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emf" ContentType="image/x-emf"/>
  <Default Extension="xls" ContentType="application/vnd.ms-exce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Default Extension="bin" ContentType="application/vnd.openxmlformats-officedocument.oleObject"/>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2174" w:rsidRDefault="00932174" w:rsidP="00932174">
      <w:pPr>
        <w:widowControl w:val="0"/>
        <w:spacing w:line="360" w:lineRule="auto"/>
        <w:ind w:right="-2"/>
        <w:jc w:val="center"/>
        <w:rPr>
          <w:rFonts w:ascii="Times New Roman" w:hAnsi="Times New Roman"/>
          <w:sz w:val="28"/>
          <w:szCs w:val="28"/>
          <w:lang w:val="uk-UA"/>
        </w:rPr>
      </w:pPr>
      <w:r>
        <w:rPr>
          <w:rFonts w:ascii="Times New Roman" w:hAnsi="Times New Roman"/>
          <w:sz w:val="28"/>
          <w:szCs w:val="28"/>
          <w:lang w:val="uk-UA"/>
        </w:rPr>
        <w:t>МІНІСТЕРСТВО ОХОРОНИ ЗДОРОВ'Я УКРАЇНИ</w:t>
      </w:r>
    </w:p>
    <w:p w:rsidR="00932174" w:rsidRDefault="00932174" w:rsidP="00932174">
      <w:pPr>
        <w:widowControl w:val="0"/>
        <w:spacing w:line="360" w:lineRule="auto"/>
        <w:ind w:right="-2"/>
        <w:jc w:val="center"/>
        <w:rPr>
          <w:rFonts w:ascii="Times New Roman" w:hAnsi="Times New Roman"/>
          <w:sz w:val="28"/>
          <w:szCs w:val="28"/>
          <w:lang w:val="uk-UA"/>
        </w:rPr>
      </w:pPr>
      <w:r>
        <w:rPr>
          <w:rFonts w:ascii="Times New Roman" w:hAnsi="Times New Roman"/>
          <w:sz w:val="28"/>
          <w:szCs w:val="28"/>
          <w:lang w:val="uk-UA"/>
        </w:rPr>
        <w:t>ХАРКІВСЬКИЙ НАЦІОНАЛЬНИЙ МЕДИЧНИЙ УНІВЕРСИТЕТ</w:t>
      </w:r>
    </w:p>
    <w:p w:rsidR="00932174" w:rsidRDefault="00932174" w:rsidP="00932174">
      <w:pPr>
        <w:widowControl w:val="0"/>
        <w:spacing w:line="360" w:lineRule="auto"/>
        <w:ind w:right="-2" w:firstLine="720"/>
        <w:jc w:val="right"/>
        <w:rPr>
          <w:rFonts w:ascii="Times New Roman" w:hAnsi="Times New Roman"/>
          <w:sz w:val="28"/>
          <w:szCs w:val="28"/>
          <w:lang w:val="uk-UA"/>
        </w:rPr>
      </w:pPr>
      <w:r>
        <w:rPr>
          <w:rFonts w:ascii="Times New Roman" w:hAnsi="Times New Roman"/>
          <w:sz w:val="28"/>
          <w:szCs w:val="28"/>
          <w:lang w:val="uk-UA"/>
        </w:rPr>
        <w:t>Кваліфікаційна наукова</w:t>
      </w:r>
    </w:p>
    <w:p w:rsidR="00932174" w:rsidRDefault="00932174" w:rsidP="00932174">
      <w:pPr>
        <w:widowControl w:val="0"/>
        <w:spacing w:line="360" w:lineRule="auto"/>
        <w:ind w:right="-2" w:firstLine="720"/>
        <w:jc w:val="right"/>
        <w:rPr>
          <w:rFonts w:ascii="Times New Roman" w:hAnsi="Times New Roman"/>
          <w:sz w:val="28"/>
          <w:szCs w:val="28"/>
          <w:lang w:val="uk-UA"/>
        </w:rPr>
      </w:pPr>
      <w:r>
        <w:rPr>
          <w:rFonts w:ascii="Times New Roman" w:hAnsi="Times New Roman"/>
          <w:sz w:val="28"/>
          <w:szCs w:val="28"/>
          <w:lang w:val="uk-UA"/>
        </w:rPr>
        <w:t>праця на правах рукопису</w:t>
      </w:r>
    </w:p>
    <w:p w:rsidR="00932174" w:rsidRDefault="00932174" w:rsidP="00932174">
      <w:pPr>
        <w:tabs>
          <w:tab w:val="left" w:pos="180"/>
          <w:tab w:val="left" w:pos="540"/>
          <w:tab w:val="left" w:pos="720"/>
        </w:tabs>
        <w:spacing w:after="0" w:line="360" w:lineRule="auto"/>
        <w:ind w:left="-284" w:firstLine="568"/>
        <w:jc w:val="center"/>
        <w:rPr>
          <w:rFonts w:ascii="Times New Roman" w:hAnsi="Times New Roman"/>
          <w:bCs/>
          <w:sz w:val="28"/>
          <w:szCs w:val="28"/>
          <w:lang w:val="uk-UA"/>
        </w:rPr>
      </w:pPr>
      <w:r>
        <w:rPr>
          <w:rFonts w:ascii="Times New Roman" w:hAnsi="Times New Roman"/>
          <w:bCs/>
          <w:sz w:val="28"/>
          <w:szCs w:val="28"/>
          <w:lang w:val="uk-UA"/>
        </w:rPr>
        <w:t>ГОНІ САМХА-КАТЕРИНА ТАХІРІВНА</w:t>
      </w:r>
    </w:p>
    <w:p w:rsidR="00932174" w:rsidRDefault="00932174" w:rsidP="00932174">
      <w:pPr>
        <w:spacing w:line="360" w:lineRule="auto"/>
        <w:ind w:right="-1" w:firstLine="567"/>
        <w:jc w:val="right"/>
        <w:rPr>
          <w:rFonts w:ascii="Times New Roman" w:hAnsi="Times New Roman"/>
          <w:sz w:val="28"/>
          <w:szCs w:val="28"/>
          <w:lang w:val="uk-UA"/>
        </w:rPr>
      </w:pPr>
      <w:r>
        <w:rPr>
          <w:rFonts w:ascii="Times New Roman" w:hAnsi="Times New Roman"/>
          <w:sz w:val="28"/>
          <w:szCs w:val="28"/>
          <w:lang w:val="uk-UA"/>
        </w:rPr>
        <w:t xml:space="preserve">УДК: 616.137.83/. 93:616.147.3/.39]-005.4-0.36.12-036.65-089-035(043.3) </w:t>
      </w:r>
    </w:p>
    <w:p w:rsidR="00932174" w:rsidRDefault="00932174" w:rsidP="00932174">
      <w:pPr>
        <w:widowControl w:val="0"/>
        <w:spacing w:line="360" w:lineRule="auto"/>
        <w:ind w:right="-2"/>
        <w:jc w:val="center"/>
        <w:rPr>
          <w:rFonts w:ascii="Times New Roman" w:hAnsi="Times New Roman"/>
          <w:b/>
          <w:sz w:val="28"/>
          <w:szCs w:val="28"/>
          <w:lang w:val="uk-UA"/>
        </w:rPr>
      </w:pPr>
    </w:p>
    <w:p w:rsidR="00932174" w:rsidRDefault="00932174" w:rsidP="00932174">
      <w:pPr>
        <w:tabs>
          <w:tab w:val="left" w:pos="180"/>
          <w:tab w:val="left" w:pos="540"/>
          <w:tab w:val="left" w:pos="720"/>
        </w:tabs>
        <w:spacing w:after="0" w:line="360" w:lineRule="auto"/>
        <w:ind w:left="-284" w:firstLine="568"/>
        <w:jc w:val="center"/>
        <w:rPr>
          <w:rFonts w:ascii="Times New Roman" w:hAnsi="Times New Roman"/>
          <w:b/>
          <w:bCs/>
          <w:sz w:val="28"/>
          <w:szCs w:val="28"/>
          <w:lang w:val="uk-UA"/>
        </w:rPr>
      </w:pPr>
      <w:r>
        <w:rPr>
          <w:rFonts w:ascii="Times New Roman" w:hAnsi="Times New Roman"/>
          <w:b/>
          <w:bCs/>
          <w:sz w:val="28"/>
          <w:szCs w:val="28"/>
          <w:lang w:val="uk-UA"/>
        </w:rPr>
        <w:t>ОПТИМІЗАЦІЯ ХІРУРГІЧНОГО ЛІКУВАННЯ ХВОРИХ НА ХРОНІЧНУ КРИТИЧНУ ІШЕМІЮ НИЖНІХ КІНЦІВОК З ДИСТАЛЬНОЮ ФОРМОЮ УРАЖЕННЯ СУДИННОГО РУСЛА</w:t>
      </w:r>
    </w:p>
    <w:p w:rsidR="00932174" w:rsidRDefault="00932174" w:rsidP="00932174">
      <w:pPr>
        <w:widowControl w:val="0"/>
        <w:spacing w:line="360" w:lineRule="auto"/>
        <w:ind w:right="-2"/>
        <w:jc w:val="center"/>
        <w:rPr>
          <w:rFonts w:ascii="Times New Roman" w:hAnsi="Times New Roman"/>
          <w:b/>
          <w:sz w:val="28"/>
          <w:szCs w:val="28"/>
          <w:lang w:val="uk-UA"/>
        </w:rPr>
      </w:pPr>
    </w:p>
    <w:p w:rsidR="00932174" w:rsidRDefault="00932174" w:rsidP="00932174">
      <w:pPr>
        <w:widowControl w:val="0"/>
        <w:spacing w:line="360" w:lineRule="auto"/>
        <w:ind w:right="-2"/>
        <w:jc w:val="center"/>
        <w:rPr>
          <w:rFonts w:ascii="Times New Roman" w:hAnsi="Times New Roman"/>
          <w:sz w:val="28"/>
          <w:szCs w:val="28"/>
          <w:lang w:val="uk-UA"/>
        </w:rPr>
      </w:pPr>
      <w:r>
        <w:rPr>
          <w:rFonts w:ascii="Times New Roman" w:hAnsi="Times New Roman"/>
          <w:sz w:val="28"/>
          <w:szCs w:val="28"/>
          <w:lang w:val="uk-UA"/>
        </w:rPr>
        <w:t>14.01.03 – хірургія</w:t>
      </w:r>
    </w:p>
    <w:p w:rsidR="00932174" w:rsidRDefault="00932174" w:rsidP="00932174">
      <w:pPr>
        <w:widowControl w:val="0"/>
        <w:spacing w:line="360" w:lineRule="auto"/>
        <w:ind w:right="-2"/>
        <w:jc w:val="center"/>
        <w:rPr>
          <w:rFonts w:ascii="Times New Roman" w:hAnsi="Times New Roman"/>
          <w:sz w:val="28"/>
          <w:szCs w:val="28"/>
          <w:lang w:val="uk-UA"/>
        </w:rPr>
      </w:pPr>
      <w:r>
        <w:rPr>
          <w:rFonts w:ascii="Times New Roman" w:hAnsi="Times New Roman"/>
          <w:sz w:val="28"/>
          <w:szCs w:val="28"/>
          <w:lang w:val="uk-UA"/>
        </w:rPr>
        <w:t>медицина</w:t>
      </w:r>
    </w:p>
    <w:p w:rsidR="00932174" w:rsidRDefault="00932174" w:rsidP="00932174">
      <w:pPr>
        <w:widowControl w:val="0"/>
        <w:spacing w:line="360" w:lineRule="auto"/>
        <w:ind w:right="-2"/>
        <w:rPr>
          <w:rFonts w:ascii="Times New Roman" w:hAnsi="Times New Roman"/>
          <w:sz w:val="28"/>
          <w:szCs w:val="28"/>
          <w:lang w:val="uk-UA"/>
        </w:rPr>
      </w:pPr>
    </w:p>
    <w:p w:rsidR="00932174" w:rsidRDefault="00932174" w:rsidP="00932174">
      <w:pPr>
        <w:widowControl w:val="0"/>
        <w:spacing w:line="360" w:lineRule="auto"/>
        <w:ind w:right="-2"/>
        <w:rPr>
          <w:rFonts w:ascii="Times New Roman" w:hAnsi="Times New Roman"/>
          <w:sz w:val="28"/>
          <w:szCs w:val="28"/>
          <w:lang w:val="uk-UA"/>
        </w:rPr>
      </w:pPr>
      <w:r>
        <w:rPr>
          <w:rFonts w:ascii="Times New Roman" w:hAnsi="Times New Roman"/>
          <w:sz w:val="28"/>
          <w:szCs w:val="28"/>
          <w:lang w:val="uk-UA"/>
        </w:rPr>
        <w:t>Подається на здобуття наукового ступеня кандидата медичних наук (доктора філософії)</w:t>
      </w:r>
    </w:p>
    <w:p w:rsidR="00932174" w:rsidRDefault="00932174" w:rsidP="00932174">
      <w:pPr>
        <w:widowControl w:val="0"/>
        <w:spacing w:line="360" w:lineRule="auto"/>
        <w:ind w:right="-2"/>
        <w:rPr>
          <w:rFonts w:ascii="Times New Roman" w:hAnsi="Times New Roman"/>
          <w:sz w:val="28"/>
          <w:szCs w:val="28"/>
          <w:lang w:val="uk-UA"/>
        </w:rPr>
      </w:pPr>
      <w:r>
        <w:rPr>
          <w:rFonts w:ascii="Times New Roman" w:hAnsi="Times New Roman"/>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932174" w:rsidRDefault="00932174" w:rsidP="00932174">
      <w:pPr>
        <w:rPr>
          <w:rFonts w:ascii="Times New Roman" w:hAnsi="Times New Roman"/>
          <w:sz w:val="28"/>
          <w:szCs w:val="28"/>
          <w:lang w:val="uk-UA"/>
        </w:rPr>
      </w:pPr>
      <w:r>
        <w:rPr>
          <w:rFonts w:ascii="Times New Roman" w:hAnsi="Times New Roman"/>
          <w:sz w:val="28"/>
          <w:szCs w:val="28"/>
          <w:lang w:val="uk-UA"/>
        </w:rPr>
        <w:t xml:space="preserve">_______________ С.-К.Т. Гоні </w:t>
      </w:r>
    </w:p>
    <w:p w:rsidR="00932174" w:rsidRDefault="00932174" w:rsidP="00932174">
      <w:pPr>
        <w:tabs>
          <w:tab w:val="left" w:pos="180"/>
          <w:tab w:val="left" w:pos="540"/>
          <w:tab w:val="left" w:pos="720"/>
        </w:tabs>
        <w:spacing w:after="0" w:line="360" w:lineRule="auto"/>
        <w:ind w:firstLine="568"/>
        <w:rPr>
          <w:rFonts w:ascii="Times New Roman" w:hAnsi="Times New Roman"/>
          <w:sz w:val="28"/>
          <w:szCs w:val="28"/>
          <w:lang w:val="uk-UA"/>
        </w:rPr>
      </w:pPr>
      <w:r>
        <w:rPr>
          <w:rFonts w:ascii="Times New Roman" w:hAnsi="Times New Roman"/>
          <w:sz w:val="28"/>
          <w:szCs w:val="28"/>
          <w:lang w:val="uk-UA"/>
        </w:rPr>
        <w:t xml:space="preserve">Науковий керівник: Ігор Андрійович Криворучко завідувач  кафедри  хірургії № 2, лауреат Державної премії України в галузі науки та техніки, д.мед.н., професор, </w:t>
      </w:r>
    </w:p>
    <w:p w:rsidR="00932174" w:rsidRDefault="00932174" w:rsidP="00932174">
      <w:pPr>
        <w:widowControl w:val="0"/>
        <w:spacing w:line="360" w:lineRule="auto"/>
        <w:ind w:right="-2"/>
        <w:rPr>
          <w:rFonts w:ascii="Times New Roman" w:hAnsi="Times New Roman"/>
          <w:sz w:val="28"/>
          <w:szCs w:val="28"/>
          <w:lang w:val="uk-UA"/>
        </w:rPr>
      </w:pPr>
    </w:p>
    <w:p w:rsidR="00932174" w:rsidRDefault="00932174" w:rsidP="00932174">
      <w:pPr>
        <w:jc w:val="center"/>
        <w:rPr>
          <w:rFonts w:ascii="Times New Roman" w:hAnsi="Times New Roman" w:cs="Times New Roman"/>
          <w:sz w:val="28"/>
          <w:szCs w:val="28"/>
          <w:lang w:val="uk-UA"/>
        </w:rPr>
      </w:pPr>
      <w:r>
        <w:rPr>
          <w:rFonts w:ascii="Times New Roman" w:hAnsi="Times New Roman" w:cs="Times New Roman"/>
          <w:sz w:val="28"/>
          <w:szCs w:val="28"/>
          <w:lang w:val="uk-UA"/>
        </w:rPr>
        <w:t>Харків - 2018</w:t>
      </w:r>
      <w:r>
        <w:rPr>
          <w:rFonts w:ascii="Times New Roman" w:hAnsi="Times New Roman" w:cs="Times New Roman"/>
          <w:sz w:val="28"/>
          <w:szCs w:val="28"/>
          <w:lang w:val="uk-UA"/>
        </w:rPr>
        <w:br w:type="page"/>
      </w:r>
    </w:p>
    <w:p w:rsidR="00A01923" w:rsidRDefault="00A01923" w:rsidP="00932174">
      <w:pPr>
        <w:pStyle w:val="rvps7"/>
        <w:shd w:val="clear" w:color="auto" w:fill="FFFFFF"/>
        <w:spacing w:before="0" w:beforeAutospacing="0" w:after="0" w:afterAutospacing="0" w:line="360" w:lineRule="auto"/>
        <w:ind w:right="576"/>
        <w:jc w:val="center"/>
        <w:textAlignment w:val="baseline"/>
        <w:rPr>
          <w:sz w:val="28"/>
          <w:szCs w:val="28"/>
          <w:lang w:val="uk-UA"/>
        </w:rPr>
      </w:pPr>
      <w:r>
        <w:rPr>
          <w:rStyle w:val="rvts15"/>
          <w:b/>
          <w:bCs/>
          <w:sz w:val="28"/>
          <w:szCs w:val="28"/>
          <w:bdr w:val="none" w:sz="0" w:space="0" w:color="auto" w:frame="1"/>
          <w:lang w:val="uk-UA"/>
        </w:rPr>
        <w:lastRenderedPageBreak/>
        <w:t>АНОТАЦІЯ</w:t>
      </w:r>
    </w:p>
    <w:p w:rsidR="00A01923" w:rsidRDefault="00A01923" w:rsidP="00A01923">
      <w:pPr>
        <w:pStyle w:val="rvps2"/>
        <w:shd w:val="clear" w:color="auto" w:fill="FFFFFF"/>
        <w:spacing w:before="0" w:beforeAutospacing="0" w:after="0" w:afterAutospacing="0" w:line="360" w:lineRule="auto"/>
        <w:ind w:left="-567" w:firstLine="567"/>
        <w:jc w:val="both"/>
        <w:textAlignment w:val="baseline"/>
        <w:rPr>
          <w:sz w:val="28"/>
          <w:szCs w:val="28"/>
          <w:lang w:val="uk-UA"/>
        </w:rPr>
      </w:pPr>
      <w:bookmarkStart w:id="0" w:name="n92"/>
      <w:bookmarkEnd w:id="0"/>
      <w:r w:rsidRPr="00A01923">
        <w:rPr>
          <w:rStyle w:val="apple-converted-space"/>
          <w:i/>
          <w:sz w:val="28"/>
          <w:szCs w:val="28"/>
          <w:lang w:val="uk-UA"/>
        </w:rPr>
        <w:t>Гоні С.-К.Т.</w:t>
      </w:r>
      <w:r w:rsidRPr="00A01923">
        <w:rPr>
          <w:rStyle w:val="apple-converted-space"/>
          <w:sz w:val="28"/>
          <w:szCs w:val="28"/>
          <w:lang w:val="uk-UA"/>
        </w:rPr>
        <w:t xml:space="preserve"> </w:t>
      </w:r>
      <w:r>
        <w:rPr>
          <w:bCs/>
          <w:sz w:val="28"/>
          <w:szCs w:val="28"/>
          <w:lang w:val="uk-UA"/>
        </w:rPr>
        <w:t>Оптимізація хірургічного лікування хворих на хронічну критичну ішемію нижніх кінцівок з дистальною формою ураження судинного русла</w:t>
      </w:r>
      <w:r>
        <w:rPr>
          <w:sz w:val="28"/>
          <w:szCs w:val="28"/>
          <w:lang w:val="uk-UA"/>
        </w:rPr>
        <w:t>. - Кваліфікаційна наукова праця на правах рукопису.</w:t>
      </w:r>
    </w:p>
    <w:p w:rsidR="00A01923" w:rsidRDefault="00A01923" w:rsidP="00A01923">
      <w:pPr>
        <w:pStyle w:val="rvps2"/>
        <w:shd w:val="clear" w:color="auto" w:fill="FFFFFF"/>
        <w:spacing w:before="0" w:beforeAutospacing="0" w:after="0" w:afterAutospacing="0" w:line="360" w:lineRule="auto"/>
        <w:ind w:left="-567" w:firstLine="567"/>
        <w:jc w:val="both"/>
        <w:textAlignment w:val="baseline"/>
        <w:rPr>
          <w:sz w:val="28"/>
          <w:szCs w:val="28"/>
          <w:lang w:val="uk-UA"/>
        </w:rPr>
      </w:pPr>
      <w:bookmarkStart w:id="1" w:name="n93"/>
      <w:bookmarkEnd w:id="1"/>
      <w:r>
        <w:rPr>
          <w:sz w:val="28"/>
          <w:szCs w:val="28"/>
          <w:lang w:val="uk-UA"/>
        </w:rPr>
        <w:t xml:space="preserve">Дисертація на здобуття наукового ступеня кандидата медичних наук (доктора філософії) за спеціальністю 14.01.03 «хірургія» - </w:t>
      </w:r>
      <w:r>
        <w:rPr>
          <w:bCs/>
          <w:sz w:val="28"/>
          <w:szCs w:val="28"/>
          <w:lang w:val="uk-UA"/>
        </w:rPr>
        <w:t>Міністерство охорони здоров’я України, Харківський національний медичний університет</w:t>
      </w:r>
      <w:r>
        <w:rPr>
          <w:sz w:val="28"/>
          <w:szCs w:val="28"/>
          <w:lang w:val="uk-UA"/>
        </w:rPr>
        <w:t>, Харків, 201</w:t>
      </w:r>
      <w:r>
        <w:rPr>
          <w:sz w:val="28"/>
          <w:szCs w:val="28"/>
        </w:rPr>
        <w:t>8</w:t>
      </w:r>
      <w:r>
        <w:rPr>
          <w:sz w:val="28"/>
          <w:szCs w:val="28"/>
          <w:lang w:val="uk-UA"/>
        </w:rPr>
        <w:t>.</w:t>
      </w:r>
    </w:p>
    <w:p w:rsidR="00A01923" w:rsidRDefault="00A01923" w:rsidP="00A01923">
      <w:pPr>
        <w:spacing w:after="0" w:line="360" w:lineRule="auto"/>
        <w:ind w:left="-567" w:right="141" w:firstLine="567"/>
        <w:jc w:val="both"/>
        <w:rPr>
          <w:rFonts w:ascii="Times New Roman" w:hAnsi="Times New Roman"/>
          <w:sz w:val="28"/>
          <w:szCs w:val="28"/>
          <w:lang w:val="uk-UA"/>
        </w:rPr>
      </w:pPr>
      <w:bookmarkStart w:id="2" w:name="n94"/>
      <w:bookmarkStart w:id="3" w:name="n95"/>
      <w:bookmarkEnd w:id="2"/>
      <w:bookmarkEnd w:id="3"/>
      <w:r>
        <w:rPr>
          <w:rFonts w:ascii="Times New Roman" w:hAnsi="Times New Roman"/>
          <w:sz w:val="28"/>
          <w:szCs w:val="28"/>
          <w:lang w:val="uk-UA"/>
        </w:rPr>
        <w:t xml:space="preserve">Проблема облітеруючих захворювань судин не перестає бути актуальною, щорічно діагностується з частотою 500-1000 випадків на 1 млн осіб в Європі і Північній Америці. Поширеність хронічної критичної ішемії нижніх кінцівок (ХКІНК) сягає 3 % населення планети, в осіб у віці більше 50 років в 9–10 % випадків, а в осіб старших за 60 років — 35–50 % [1, 51]. При цьому кількість осіб з ХКІНК невпинно зростає та найближчі роки складатиме 5–7 %  серед населення [43, 96].Частота ампутацій при судинній патології як в Україні, так і за її межами досягає 59 %, а показник летальності доходить до 48 %. При цьому хвороба в переважній більшості випадків неухильно прогресує [25]. </w:t>
      </w:r>
      <w:r>
        <w:rPr>
          <w:rFonts w:ascii="Times New Roman" w:hAnsi="Times New Roman"/>
          <w:sz w:val="28"/>
          <w:szCs w:val="28"/>
          <w:shd w:val="clear" w:color="auto" w:fill="FFFFFF"/>
          <w:lang w:val="uk-UA"/>
        </w:rPr>
        <w:t xml:space="preserve">За даними TASCII, серед пацієнтів з критичною ішемією нижніх кінцівок від 10 до 30 % живуть не більше 6 місяців, і 25-30 % пацієнтів може знадобитися «велика» ампутація [104, </w:t>
      </w:r>
      <w:r>
        <w:rPr>
          <w:rFonts w:ascii="Times New Roman" w:hAnsi="Times New Roman"/>
          <w:sz w:val="28"/>
          <w:szCs w:val="28"/>
          <w:lang w:val="uk-UA"/>
        </w:rPr>
        <w:t>110, 135</w:t>
      </w:r>
      <w:r>
        <w:rPr>
          <w:rFonts w:ascii="Times New Roman" w:hAnsi="Times New Roman"/>
          <w:sz w:val="28"/>
          <w:szCs w:val="28"/>
          <w:shd w:val="clear" w:color="auto" w:fill="FFFFFF"/>
          <w:lang w:val="uk-UA"/>
        </w:rPr>
        <w: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Розумно вибрана тактика хірургічних втручань направлена на поліпшення кровопостачання кінцівки, дозволяє сподіватись не лише на дисталізацію рівня ампутації, але й на збереження кінцівки. Це ж веде до повернення пацієнта до звичайного  життя [95, 1</w:t>
      </w:r>
      <w:r w:rsidRPr="00A01923">
        <w:rPr>
          <w:rFonts w:ascii="Times New Roman" w:hAnsi="Times New Roman"/>
          <w:sz w:val="28"/>
          <w:szCs w:val="28"/>
          <w:lang w:val="uk-UA"/>
        </w:rPr>
        <w:t>65</w:t>
      </w:r>
      <w:r>
        <w:rPr>
          <w:rFonts w:ascii="Times New Roman" w:hAnsi="Times New Roman"/>
          <w:sz w:val="28"/>
          <w:szCs w:val="28"/>
          <w:lang w:val="uk-UA"/>
        </w:rPr>
        <w:t xml:space="preserve">].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Прямі артеріальні реконструкції не вирішують повністю проблеми реваскуляризації ішемізованної кінцівки у зв'язку з частим багатоповерховим ураженням артеріального русла. У всіх випадках, коли немає можливості досягти адекватної компенсації кровообігу тільки реконструктивною операцією, з метою поліпшення кровообігу у кінцівці можливе використання непрямих методів реваскуляризації [82, 174]. Найбільш часто вживаним методом стимуляції ангіогенезу є внутрішньом'язова трансплантація клітин в зону ураження [</w:t>
      </w:r>
      <w:r>
        <w:rPr>
          <w:rFonts w:ascii="Times New Roman" w:hAnsi="Times New Roman"/>
          <w:sz w:val="28"/>
          <w:szCs w:val="28"/>
        </w:rPr>
        <w:t>79</w:t>
      </w:r>
      <w:r>
        <w:rPr>
          <w:rFonts w:ascii="Times New Roman" w:hAnsi="Times New Roman"/>
          <w:sz w:val="28"/>
          <w:szCs w:val="28"/>
          <w:lang w:val="uk-UA"/>
        </w:rPr>
        <w:t xml:space="preserve">, 88, </w:t>
      </w:r>
      <w:r>
        <w:rPr>
          <w:rFonts w:ascii="Times New Roman" w:hAnsi="Times New Roman"/>
          <w:sz w:val="28"/>
          <w:szCs w:val="28"/>
        </w:rPr>
        <w:lastRenderedPageBreak/>
        <w:t>108</w:t>
      </w:r>
      <w:r>
        <w:rPr>
          <w:rFonts w:ascii="Times New Roman" w:hAnsi="Times New Roman"/>
          <w:sz w:val="28"/>
          <w:szCs w:val="28"/>
          <w:lang w:val="uk-UA"/>
        </w:rPr>
        <w:t>, 128, 1</w:t>
      </w:r>
      <w:r>
        <w:rPr>
          <w:rFonts w:ascii="Times New Roman" w:hAnsi="Times New Roman"/>
          <w:sz w:val="28"/>
          <w:szCs w:val="28"/>
        </w:rPr>
        <w:t>68</w:t>
      </w:r>
      <w:r>
        <w:rPr>
          <w:rFonts w:ascii="Times New Roman" w:hAnsi="Times New Roman"/>
          <w:sz w:val="28"/>
          <w:szCs w:val="28"/>
          <w:lang w:val="uk-UA"/>
        </w:rPr>
        <w:t>, 1</w:t>
      </w:r>
      <w:r>
        <w:rPr>
          <w:rFonts w:ascii="Times New Roman" w:hAnsi="Times New Roman"/>
          <w:sz w:val="28"/>
          <w:szCs w:val="28"/>
        </w:rPr>
        <w:t>87</w:t>
      </w:r>
      <w:r>
        <w:rPr>
          <w:rFonts w:ascii="Times New Roman" w:hAnsi="Times New Roman"/>
          <w:sz w:val="28"/>
          <w:szCs w:val="28"/>
          <w:lang w:val="uk-UA"/>
        </w:rPr>
        <w:t xml:space="preserve">]. Показання до тих чи інших методів непрямої реваскуляризації на цей час ще не досить розроблені, а комбіноване застосування декількох метод не розповсюджене, проте вдало підібране поєднання двох або більше методів дозволяє досягти кращого результату у лікуванні хворих даної групи за рахунок додавання ефектів [119, 147]. </w:t>
      </w:r>
    </w:p>
    <w:p w:rsidR="00A01923" w:rsidRDefault="00A01923" w:rsidP="00A01923">
      <w:pPr>
        <w:widowControl w:val="0"/>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Робота заснована на ретро- та проспективному аналізі результатів хірургічного лікування 105 хворих на ХКІНК</w:t>
      </w:r>
      <w:r>
        <w:rPr>
          <w:rFonts w:ascii="Times New Roman" w:eastAsia="GaramondC-Light" w:hAnsi="Times New Roman"/>
          <w:sz w:val="28"/>
          <w:szCs w:val="28"/>
          <w:lang w:val="uk-UA"/>
        </w:rPr>
        <w:t>.</w:t>
      </w:r>
    </w:p>
    <w:p w:rsidR="00A01923" w:rsidRDefault="00A01923" w:rsidP="00A01923">
      <w:pPr>
        <w:shd w:val="clear" w:color="auto" w:fill="FFFFFF"/>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Хворих було проліковано у клініці Комунального закладу охорони здоров’я «Харківська обласна клінічна лікарня - Центр екстреної медичної допомоги та медицини катастроф», яка є клінічною базою кафедри хірургії № 2 Харківського національного медичного університету, та Державної установи «Інститут загальної та невідкладної хірургії ім. В.Т.Зайцева АМН України», яка також є клінічною базою ХНМУ за період з 2013 по 2016 рр. (105 хворих основної групи та групи порівняння).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Усі хворі були розділені на дві групи</w:t>
      </w:r>
      <w:r>
        <w:rPr>
          <w:rFonts w:ascii="Times New Roman" w:hAnsi="Times New Roman"/>
          <w:color w:val="FF0000"/>
          <w:sz w:val="28"/>
          <w:szCs w:val="28"/>
          <w:lang w:val="uk-UA"/>
        </w:rPr>
        <w:t xml:space="preserve"> – </w:t>
      </w:r>
      <w:r>
        <w:rPr>
          <w:rFonts w:ascii="Times New Roman" w:hAnsi="Times New Roman"/>
          <w:sz w:val="28"/>
          <w:szCs w:val="28"/>
          <w:lang w:val="uk-UA"/>
        </w:rPr>
        <w:t>основну та группу порівняння. Основна група – 55 хворих, що знаходилися на лікуванні з березня 2015 по травень 2016 років. З них було проліковано ендоваскулярно – 23 хворих, оперовані відкритим методом – 4 хворих; консервативне лікування було проведено – 24 хворим, та виконано хімічну симпатектомію – 4 хворим. Групу порівняння склали 50 хворих, що знаходилися на лікуванні з листопада 2014 по березень 2015 та лікувалися згідно показань: були оперовані ендоваскулярно – 11 хворих, у тому числі хворі з гібридними втручаннями (ендоваскулярно та відкритим методом) – 3; хворі, 6 хворих, що були оперовані відкритим методом; 26 - отримували консервативне лікування; 7- було виконано поперекову симпатектомію. Контрольні показники лабораторних досліджень були визначені у крові 15 умовно  здорових людей.</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Критерії включення хворих до дослідження складали наявність у хворого хронічної критичної ішемії нижніх (однієї або двох) кінцівок (3 та 4 ступінь хронічної ішемії за Покровським) з дистальною формою ураження судинного русла за рекомендаціями TASK II (2007).</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Критеріями виключення хворих були наявність пухлинних захворювань, гострих порушень мозкового та коронарного кровообігу, небажання хворого брати участь у дослідженні.</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Середній вік хворих склав 63 ± 11,3 роки (від 38 до 86 років). Хворі, що брали участь у дослідженні розподілилися за ступенем ішемії наступним чином – хворих з III ступенем було 35 (33,3%), а з IV – 70 (66,6%).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Для визначення типу та вираженості ураження судинного русла нижніх кінцівок виконували ультразвукову допплерографію та\або ультразвукове дуплексне сканування, ангіографію аорти та судин нижніх кінцівок, КТ у судинному режимі з наступною тривимірною реконструкцією судин.</w:t>
      </w:r>
    </w:p>
    <w:p w:rsidR="00A01923" w:rsidRDefault="00A01923" w:rsidP="00A01923">
      <w:pPr>
        <w:pStyle w:val="ac"/>
        <w:spacing w:line="360" w:lineRule="auto"/>
        <w:ind w:left="-567" w:firstLine="567"/>
        <w:jc w:val="both"/>
        <w:rPr>
          <w:sz w:val="28"/>
          <w:szCs w:val="28"/>
          <w:lang w:val="uk-UA"/>
        </w:rPr>
      </w:pPr>
      <w:r>
        <w:rPr>
          <w:sz w:val="28"/>
          <w:szCs w:val="28"/>
          <w:lang w:val="uk-UA"/>
        </w:rPr>
        <w:t>Аналіз плазми крові хворих на рівень фібриногену виконувався за уніфікованою методикою,  СРБ</w:t>
      </w:r>
      <w:r>
        <w:rPr>
          <w:b/>
          <w:sz w:val="28"/>
          <w:szCs w:val="28"/>
          <w:lang w:val="uk-UA"/>
        </w:rPr>
        <w:t xml:space="preserve"> </w:t>
      </w:r>
      <w:r>
        <w:rPr>
          <w:sz w:val="28"/>
          <w:szCs w:val="28"/>
          <w:lang w:val="uk-UA"/>
        </w:rPr>
        <w:t xml:space="preserve">визначали  методом імуноферментного аналізу з використанням тест систем IMMULITE 2000 High Sensitivity CPR (catalog number L2KCRP2), а також відбір плазми для подальшого аналізу на рівень ендотеліну-1 (ЕТ-1) та васкулоендотеліального фактору росту (VEGF) в сироватці крові, які визначали  методом імуноферментного аналізу з використанням тест систем «ELISA» JBL International corporation (Germany, JP 27 165)  та «VEGF Eagle Biosciences Inc.» (USA, catalog number VGF 31- K 01) відповідно. Температурний режим кінцівок визначався за допомогою інфрачервоного термометру «Heaco DT-8806S» на етапах лікування – до і після лікування та спостереження через 6 та 12 місяців після виписки – на обох нижніх кінцівках у режимах вимірювання температури поверхні та температури тіла у 14 точках передньої та задньої поверхні гомілки та стопи. Транскутанне напруження кисню визначалося на стопі за допомогою одноканального порціометру «Radiometr Dania TCM4». Якість життя хворих визначали за допомогою опитувача SF-36. Інтенсивність болю визначали за допомогою стандартної візуальної аналогової шкали (ВАШ).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Стимуляцію неоангіогенезу хворим основної групи проводили методом одноразової ін’єкції у 5 точках у латеральну та медіальну голівки литкового м’язу збагаченої тромбоцитами аутоплазми, отриманої за допомогою м’якого центрифугування цільної крові безпосередньо перед введенням. </w:t>
      </w: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r>
        <w:rPr>
          <w:sz w:val="28"/>
          <w:szCs w:val="28"/>
          <w:lang w:val="uk-UA"/>
        </w:rPr>
        <w:lastRenderedPageBreak/>
        <w:t>Усі хворі при виписці отримували рекомендації у вигляді листівки, у якій було відмічено необхідність дотримуватися дієти та контролювати рівень глікемії (для хворих на ЦД), розписані фізичні навантаження, які необхідно виконувати для закріплення ефекту лікування та стимуляції неоангіогенезу фізіологічним чином.</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У всіх підгрупах спостерігалось зниження середнього рівня ЕТ-1 протягом року спостереження, що свідчить про покращення вазомоторної функціїї ендотелію під впливом лікування, проте рівень показника, що вивчався,  залишався підвищеним у порівнянні з контролем (р</w:t>
      </w:r>
      <w:r>
        <w:rPr>
          <w:rFonts w:ascii="Times New Roman" w:hAnsi="Times New Roman"/>
          <w:sz w:val="28"/>
          <w:szCs w:val="28"/>
          <w:lang w:val="uk-UA"/>
        </w:rPr>
        <w:sym w:font="Symbol" w:char="003C"/>
      </w:r>
      <w:r>
        <w:rPr>
          <w:rFonts w:ascii="Times New Roman" w:hAnsi="Times New Roman"/>
          <w:sz w:val="28"/>
          <w:szCs w:val="28"/>
          <w:lang w:val="uk-UA"/>
        </w:rPr>
        <w:t>0,001), що свідчить про його вплив на прогресування основного захворювання. Рівень ЕТ-1, як показника вазомоторної функції ендотелію, не залежить від стадії ішемії.</w:t>
      </w:r>
    </w:p>
    <w:p w:rsidR="00A01923" w:rsidRDefault="00A01923" w:rsidP="00A01923">
      <w:pPr>
        <w:pStyle w:val="ac"/>
        <w:spacing w:line="360" w:lineRule="auto"/>
        <w:ind w:left="-567" w:firstLine="567"/>
        <w:jc w:val="both"/>
        <w:rPr>
          <w:sz w:val="28"/>
          <w:szCs w:val="28"/>
          <w:lang w:val="uk-UA"/>
        </w:rPr>
      </w:pPr>
      <w:r>
        <w:rPr>
          <w:sz w:val="28"/>
          <w:szCs w:val="28"/>
          <w:lang w:val="uk-UA"/>
        </w:rPr>
        <w:t>Аналізуючи вихідні данні  VEGF, слід зазначити, що у хворих з ІІІ стадією ішемії відзначався найвищий рівень цього показника та на 156% був вищим, ніж у хворих з IV стадією (р</w:t>
      </w:r>
      <w:r>
        <w:rPr>
          <w:sz w:val="28"/>
          <w:szCs w:val="28"/>
          <w:lang w:val="uk-UA"/>
        </w:rPr>
        <w:sym w:font="Symbol" w:char="003C"/>
      </w:r>
      <w:r>
        <w:rPr>
          <w:sz w:val="28"/>
          <w:szCs w:val="28"/>
          <w:lang w:val="uk-UA"/>
        </w:rPr>
        <w:t>0,001); також максимальний рівень VEGF спостерігається при III стадії ішемії через 6 міс. від початку лікування (р</w:t>
      </w:r>
      <w:r>
        <w:rPr>
          <w:sz w:val="28"/>
          <w:szCs w:val="28"/>
          <w:lang w:val="uk-UA"/>
        </w:rPr>
        <w:sym w:font="Symbol" w:char="003D"/>
      </w:r>
      <w:r>
        <w:rPr>
          <w:sz w:val="28"/>
          <w:szCs w:val="28"/>
          <w:lang w:val="uk-UA"/>
        </w:rPr>
        <w:t>0,039), що свідчить про більшу проліферативну активність ендотелію у цих хворих. Також, спостерігалася різниця в залежності від наявності супутнього ЦД: на 67,8 % був вищим показник у хворих без ЦД при вихідному дослідженні (р</w:t>
      </w:r>
      <w:r>
        <w:rPr>
          <w:sz w:val="28"/>
          <w:szCs w:val="28"/>
          <w:lang w:val="uk-UA"/>
        </w:rPr>
        <w:sym w:font="Symbol" w:char="003C"/>
      </w:r>
      <w:r>
        <w:rPr>
          <w:sz w:val="28"/>
          <w:szCs w:val="28"/>
          <w:lang w:val="uk-UA"/>
        </w:rPr>
        <w:t>0,05). Проведені дослідження довели, що</w:t>
      </w:r>
      <w:r>
        <w:rPr>
          <w:b/>
          <w:sz w:val="28"/>
          <w:szCs w:val="28"/>
          <w:lang w:val="uk-UA"/>
        </w:rPr>
        <w:t xml:space="preserve"> </w:t>
      </w:r>
      <w:r>
        <w:rPr>
          <w:sz w:val="28"/>
          <w:szCs w:val="28"/>
          <w:lang w:val="uk-UA"/>
        </w:rPr>
        <w:t>рівень VEGF у плазмі крові, як показника проліферативної активності ендотелію, залежить від стадії ішемії, а також від проведеного лікування, а саме успішної реваскуляризації. При зниженні рівня ішемії у хворих з IV стадією ішемії при виконанні реваскуляризації (відкритої або ендоваскулярної) рівень VEGF у плазмі підвищувався на 46,4 % та 32,0 % відповідно у строк до 6 місяців по відношенню до вихідного рівня, та на 17,64 % та 10,35 % відповідно у строк до 12 місяців по відношенню до вихідного показника.</w:t>
      </w:r>
    </w:p>
    <w:p w:rsidR="00A01923" w:rsidRDefault="00A01923" w:rsidP="00A01923">
      <w:pPr>
        <w:pStyle w:val="ac"/>
        <w:spacing w:line="360" w:lineRule="auto"/>
        <w:ind w:left="-567" w:firstLine="567"/>
        <w:jc w:val="both"/>
        <w:rPr>
          <w:sz w:val="28"/>
          <w:szCs w:val="28"/>
          <w:lang w:val="uk-UA"/>
        </w:rPr>
      </w:pPr>
      <w:r>
        <w:rPr>
          <w:sz w:val="28"/>
          <w:szCs w:val="28"/>
          <w:lang w:val="uk-UA"/>
        </w:rPr>
        <w:t>Динаміка зміни показника СРБ у крові пацієнтів основної групи показала, що у всіх хворих відмічається зниження  СРБ протягом року спостереження в середньому на 47,4 % у строк до 6 місяців у порівнянні з вихідними даними (р</w:t>
      </w:r>
      <w:r>
        <w:rPr>
          <w:sz w:val="28"/>
          <w:szCs w:val="28"/>
          <w:lang w:val="uk-UA"/>
        </w:rPr>
        <w:sym w:font="Symbol" w:char="003D"/>
      </w:r>
      <w:r>
        <w:rPr>
          <w:sz w:val="28"/>
          <w:szCs w:val="28"/>
          <w:lang w:val="uk-UA"/>
        </w:rPr>
        <w:t xml:space="preserve">0,000) та на 42,4 % у строк до 12 місяців у порівнянні з вихідними даними </w:t>
      </w:r>
      <w:r>
        <w:rPr>
          <w:sz w:val="28"/>
          <w:szCs w:val="28"/>
          <w:lang w:val="uk-UA"/>
        </w:rPr>
        <w:lastRenderedPageBreak/>
        <w:t>(р</w:t>
      </w:r>
      <w:r>
        <w:rPr>
          <w:sz w:val="28"/>
          <w:szCs w:val="28"/>
          <w:lang w:val="uk-UA"/>
        </w:rPr>
        <w:sym w:font="Symbol" w:char="003D"/>
      </w:r>
      <w:r>
        <w:rPr>
          <w:sz w:val="28"/>
          <w:szCs w:val="28"/>
          <w:lang w:val="uk-UA"/>
        </w:rPr>
        <w:t>0,000), що свідчить про зниження рівня інтенсивності запальних процесів під впливом лікування, але не їх невілювання, що також є ознакою прогресування первинного захворювання. Дані динаміки рівнів СРБ свідчать про залежність прозапальної функції ендотелію від стадії ішемії та, відповідно, від проведеного лікування, що також корелює з даними визначення якості життя хворих на ХКІНК.</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У хворих з IV стадією ішемії та консервативною терапією помітна динаміка до підвищення  фібриногену протягом всього періоду спостереження, що свідчить про прогресування основного захворювання та запальних процессів. Хворі з проведеною реваскуляризацією (черезшкірною балонною ангіопластикою (ЧБА) та стегново-підколінним шунтуванням (СГШ)) мали динаміку до зниження цих показників. Загалом, рівень фібриногену, як показника прозапальної та гемостатичної функцій ендотелію, корелював з якістю життя хворих.</w:t>
      </w: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Досліджені показники ендотеліальної дисфункції та динаміка їх змін в залежності від стадії ішемії та методу проведеного лікування показали, що рівні ЕТ-1, VEGF, СРБ та фібриногену залежать від результатів лікування хворих на ХКІНК та можуть бути об’єктивними показниками результативності лікування та корекції ендотеліальної дисфункції у цієї групи хворих.</w:t>
      </w:r>
    </w:p>
    <w:p w:rsidR="00A01923" w:rsidRDefault="00A01923" w:rsidP="00A01923">
      <w:pPr>
        <w:shd w:val="clear" w:color="auto" w:fill="FFFFFF"/>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Проведене дослідження температурного режиму нижніх кінцівок хворих основної групи показало, що після лікування хвора кінцівка була в середньому на 1,09 </w:t>
      </w:r>
      <w:r>
        <w:rPr>
          <w:rFonts w:ascii="Times New Roman" w:hAnsi="Times New Roman"/>
          <w:sz w:val="28"/>
          <w:szCs w:val="28"/>
          <w:vertAlign w:val="superscript"/>
          <w:lang w:val="uk-UA"/>
        </w:rPr>
        <w:t xml:space="preserve">о </w:t>
      </w:r>
      <w:r w:rsidRPr="00037004">
        <w:rPr>
          <w:rFonts w:ascii="Times New Roman" w:hAnsi="Times New Roman"/>
          <w:sz w:val="28"/>
          <w:szCs w:val="28"/>
          <w:lang w:val="uk-UA"/>
        </w:rPr>
        <w:t>С (3,3 %) тепліша контрольної (р=0,012), а у строк через 12 міс. – на 0,7</w:t>
      </w:r>
      <w:r w:rsidRPr="00037004">
        <w:rPr>
          <w:rFonts w:ascii="Times New Roman" w:hAnsi="Times New Roman"/>
          <w:sz w:val="28"/>
          <w:szCs w:val="28"/>
          <w:vertAlign w:val="superscript"/>
          <w:lang w:val="uk-UA"/>
        </w:rPr>
        <w:t xml:space="preserve"> о </w:t>
      </w:r>
      <w:r w:rsidRPr="00037004">
        <w:rPr>
          <w:rFonts w:ascii="Times New Roman" w:hAnsi="Times New Roman"/>
          <w:sz w:val="28"/>
          <w:szCs w:val="28"/>
          <w:lang w:val="uk-UA"/>
        </w:rPr>
        <w:t xml:space="preserve">С (2,1%) (р=0,000), а в режимі вимірювання температури тіла – на початку лікування (вихідний рівень) хвора гомілка була в середньому на 1,1 </w:t>
      </w:r>
      <w:r w:rsidRPr="00037004">
        <w:rPr>
          <w:rFonts w:ascii="Times New Roman" w:hAnsi="Times New Roman"/>
          <w:sz w:val="28"/>
          <w:szCs w:val="28"/>
          <w:vertAlign w:val="superscript"/>
          <w:lang w:val="uk-UA"/>
        </w:rPr>
        <w:t xml:space="preserve">о </w:t>
      </w:r>
      <w:r w:rsidRPr="00037004">
        <w:rPr>
          <w:rFonts w:ascii="Times New Roman" w:hAnsi="Times New Roman"/>
          <w:sz w:val="28"/>
          <w:szCs w:val="28"/>
          <w:lang w:val="uk-UA"/>
        </w:rPr>
        <w:t>С (2,9 %) холоднішою контрольної (р=0,001), а через 12 міс. – на 0,7</w:t>
      </w:r>
      <w:r w:rsidRPr="00037004">
        <w:rPr>
          <w:rFonts w:ascii="Times New Roman" w:hAnsi="Times New Roman"/>
          <w:sz w:val="28"/>
          <w:szCs w:val="28"/>
          <w:vertAlign w:val="superscript"/>
          <w:lang w:val="uk-UA"/>
        </w:rPr>
        <w:t xml:space="preserve"> о </w:t>
      </w:r>
      <w:r w:rsidRPr="00037004">
        <w:rPr>
          <w:rFonts w:ascii="Times New Roman" w:hAnsi="Times New Roman"/>
          <w:sz w:val="28"/>
          <w:szCs w:val="28"/>
          <w:lang w:val="uk-UA"/>
        </w:rPr>
        <w:t xml:space="preserve">С (2 %) (р=0,000). Температура хворої ступні у режимі вимірювання температури поверхні (шкіри) на вихідному рівні була в середньому на 1,2 </w:t>
      </w:r>
      <w:r w:rsidRPr="00037004">
        <w:rPr>
          <w:rFonts w:ascii="Times New Roman" w:hAnsi="Times New Roman"/>
          <w:sz w:val="28"/>
          <w:szCs w:val="28"/>
          <w:vertAlign w:val="superscript"/>
          <w:lang w:val="uk-UA"/>
        </w:rPr>
        <w:t xml:space="preserve">о </w:t>
      </w:r>
      <w:r w:rsidRPr="00037004">
        <w:rPr>
          <w:rFonts w:ascii="Times New Roman" w:hAnsi="Times New Roman"/>
          <w:sz w:val="28"/>
          <w:szCs w:val="28"/>
          <w:lang w:val="uk-UA"/>
        </w:rPr>
        <w:t>С (4,2 %) холоднішою контрольної</w:t>
      </w:r>
      <w:r>
        <w:rPr>
          <w:rFonts w:ascii="Times New Roman" w:hAnsi="Times New Roman"/>
          <w:sz w:val="28"/>
          <w:szCs w:val="28"/>
          <w:lang w:val="uk-UA"/>
        </w:rPr>
        <w:t xml:space="preserve"> (р=0,002), а в режимі температури тіла – на 1,3 ° C (4 %) холоднішою контрольної (р=0,005). Подальші порівняння показали невірогідну різницю між хворою та контрольною кінцівками, що говорить про зрівняння температур обох кінцівок, а отже й регресію ішемії.</w:t>
      </w:r>
    </w:p>
    <w:p w:rsidR="00A01923" w:rsidRDefault="00A01923" w:rsidP="00A01923">
      <w:pPr>
        <w:shd w:val="clear" w:color="auto" w:fill="FFFFFF"/>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Таку динаміку можна пояснити поступовим зниженням ефекту від ангіопластики протягом року спостереження та поступовим розвитком колатерального кровообігу.</w:t>
      </w:r>
    </w:p>
    <w:p w:rsidR="00A01923" w:rsidRDefault="00A01923" w:rsidP="00A01923">
      <w:pPr>
        <w:tabs>
          <w:tab w:val="left" w:pos="180"/>
          <w:tab w:val="left" w:pos="540"/>
          <w:tab w:val="left" w:pos="720"/>
        </w:tabs>
        <w:spacing w:line="360" w:lineRule="auto"/>
        <w:ind w:left="-567" w:firstLine="567"/>
        <w:jc w:val="both"/>
        <w:rPr>
          <w:rFonts w:ascii="Times New Roman" w:hAnsi="Times New Roman"/>
          <w:sz w:val="28"/>
          <w:szCs w:val="28"/>
          <w:lang w:val="uk-UA"/>
        </w:rPr>
      </w:pPr>
      <w:r>
        <w:rPr>
          <w:rFonts w:ascii="Times New Roman" w:hAnsi="Times New Roman"/>
          <w:sz w:val="28"/>
          <w:szCs w:val="28"/>
          <w:lang w:val="uk-UA"/>
        </w:rPr>
        <w:t>Дані рівня якості життя (ЯЖ) хворих на ХКІНК, що лікувалися  за допомогою ЧБА мали найвищі показники ЯЖ у більш ранні строки, та значно відрізнялися від відповідних показників у хворих, що лікувалися іншими методами, а також між двома групами – у хворих з основної групи на 100 % нижче рівень болю, на 1,1 % вище фізичне функціонування (ФФ), на 14,7 % вище психічне функціонування (ПФ) та на 11,8 % більша дистанція безбольової ходи  (ДБХ) у порівнянні з групою порівняння у строк до 12 місяців. Найгіршими результатами лікування характеризувались хворі з консервативною терапією та відкритою симпатектомією. При порівнянні обох груп хворих у строк до 12 місяців після лікування свідчить, що у хворих основної групи, що лікувалися консервативно, відмічався на 45,8 % нижче рівень болю, на 51,8 % вище ФФ, на 43,8 % вище ПФ та на 113,2 % більша дистанція безбольової ходи. Виходячи з цих даних, можна зробити висновок, що стимуляція неоангіогенезу має сенс як допоміжний метод лікування хворих на ХКІНК з дистальною формою ураження.</w:t>
      </w:r>
    </w:p>
    <w:p w:rsidR="00A01923" w:rsidRDefault="00A01923" w:rsidP="00A01923">
      <w:pPr>
        <w:spacing w:line="360" w:lineRule="auto"/>
        <w:ind w:left="-567" w:firstLine="567"/>
        <w:jc w:val="both"/>
        <w:rPr>
          <w:rFonts w:ascii="Times New Roman" w:hAnsi="Times New Roman"/>
          <w:sz w:val="28"/>
          <w:szCs w:val="28"/>
          <w:lang w:val="uk-UA"/>
        </w:rPr>
      </w:pPr>
      <w:r>
        <w:rPr>
          <w:rFonts w:ascii="Times New Roman" w:hAnsi="Times New Roman"/>
          <w:b/>
          <w:sz w:val="28"/>
          <w:szCs w:val="28"/>
          <w:lang w:val="uk-UA"/>
        </w:rPr>
        <w:t>Ключові слова:</w:t>
      </w:r>
      <w:r>
        <w:rPr>
          <w:rFonts w:ascii="Times New Roman" w:hAnsi="Times New Roman"/>
          <w:sz w:val="28"/>
          <w:szCs w:val="28"/>
          <w:lang w:val="uk-UA"/>
        </w:rPr>
        <w:t xml:space="preserve"> хронічна критична ішемія нижніх кінцівок, дисфункція ендотелію, лікування, якість життя, стимуляція неоангіогенезу, багата тромбоцитами аутоплазма</w:t>
      </w:r>
    </w:p>
    <w:p w:rsidR="00A01923" w:rsidRDefault="00A01923" w:rsidP="00A01923">
      <w:pPr>
        <w:pStyle w:val="rvps2"/>
        <w:shd w:val="clear" w:color="auto" w:fill="FFFFFF"/>
        <w:spacing w:before="0" w:beforeAutospacing="0" w:after="0" w:afterAutospacing="0" w:line="360" w:lineRule="auto"/>
        <w:ind w:left="-567" w:firstLine="567"/>
        <w:jc w:val="both"/>
        <w:textAlignment w:val="baseline"/>
        <w:rPr>
          <w:sz w:val="28"/>
          <w:szCs w:val="28"/>
          <w:lang w:val="uk-UA"/>
        </w:rPr>
      </w:pPr>
      <w:bookmarkStart w:id="4" w:name="n96"/>
      <w:bookmarkEnd w:id="4"/>
      <w:r>
        <w:rPr>
          <w:sz w:val="28"/>
          <w:szCs w:val="28"/>
          <w:lang w:val="uk-UA"/>
        </w:rPr>
        <w:t>Список публікацій здобувача</w:t>
      </w:r>
    </w:p>
    <w:p w:rsidR="00B518BA" w:rsidRPr="00B518BA" w:rsidRDefault="00B518BA" w:rsidP="00B518BA">
      <w:pPr>
        <w:spacing w:after="0" w:line="360" w:lineRule="auto"/>
        <w:ind w:left="-567" w:firstLine="568"/>
        <w:rPr>
          <w:rFonts w:ascii="Times New Roman" w:hAnsi="Times New Roman" w:cs="Times New Roman"/>
          <w:sz w:val="28"/>
          <w:szCs w:val="28"/>
          <w:lang w:val="uk-UA"/>
        </w:rPr>
      </w:pPr>
      <w:r w:rsidRPr="00B518BA">
        <w:rPr>
          <w:rFonts w:ascii="Times New Roman" w:hAnsi="Times New Roman" w:cs="Times New Roman"/>
          <w:sz w:val="28"/>
          <w:szCs w:val="28"/>
          <w:lang w:val="uk-UA"/>
        </w:rPr>
        <w:t>Праці, в яких опубліковані основні результати  дисертації:</w:t>
      </w:r>
    </w:p>
    <w:p w:rsidR="00B518BA" w:rsidRPr="00B518BA" w:rsidRDefault="00B518BA" w:rsidP="00B43186">
      <w:pPr>
        <w:pStyle w:val="ad"/>
        <w:numPr>
          <w:ilvl w:val="0"/>
          <w:numId w:val="7"/>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lang w:val="uk-UA"/>
        </w:rPr>
        <w:t>Гоні</w:t>
      </w:r>
      <w:r w:rsidRPr="00B518BA">
        <w:rPr>
          <w:rFonts w:ascii="Times New Roman" w:hAnsi="Times New Roman" w:cs="Times New Roman"/>
          <w:sz w:val="28"/>
          <w:szCs w:val="28"/>
        </w:rPr>
        <w:t> </w:t>
      </w:r>
      <w:r w:rsidRPr="00B518BA">
        <w:rPr>
          <w:rFonts w:ascii="Times New Roman" w:hAnsi="Times New Roman" w:cs="Times New Roman"/>
          <w:sz w:val="28"/>
          <w:szCs w:val="28"/>
          <w:lang w:val="uk-UA"/>
        </w:rPr>
        <w:t>С.-К.Т. Перші результати лікування хворих на хронічну критичну ішемію нижніх кінцівок із дистальною формою ураження методом стимуляції ангіогенезу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Криворучко, В.О.</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Прасол,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 xml:space="preserve">Гоні//Науковий вісник Ужгородського університету, серія «Медицина» -2015.- </w:t>
      </w:r>
      <w:r w:rsidRPr="00B518BA">
        <w:rPr>
          <w:rFonts w:ascii="Times New Roman" w:hAnsi="Times New Roman" w:cs="Times New Roman"/>
          <w:sz w:val="28"/>
          <w:szCs w:val="28"/>
        </w:rPr>
        <w:t>№2(52)- С.49-50. (дисертантом проведено збір та обробку матеріалів статті та підготовку статті до друку)</w:t>
      </w:r>
    </w:p>
    <w:p w:rsidR="00B518BA" w:rsidRPr="00B518BA" w:rsidRDefault="00B518BA" w:rsidP="00B43186">
      <w:pPr>
        <w:pStyle w:val="ad"/>
        <w:numPr>
          <w:ilvl w:val="0"/>
          <w:numId w:val="7"/>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lastRenderedPageBreak/>
        <w:t>Гоні С.-К.Т. Результати лікування хворих на хронічну критичну ішемію нижніх кінцівок/І.А.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Гоні, І.М.</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Лодяна// Науковий вісник Ужгородського університету, серія «Медицина» -2014.- №1(49)- С.115-117. (дисертантом проведено збір та обробку матеріалів статті та підготовку статті до друку)</w:t>
      </w:r>
    </w:p>
    <w:p w:rsidR="00B518BA" w:rsidRPr="00B518BA" w:rsidRDefault="00B518BA" w:rsidP="00B43186">
      <w:pPr>
        <w:pStyle w:val="ad"/>
        <w:numPr>
          <w:ilvl w:val="0"/>
          <w:numId w:val="7"/>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t>Гоні С.-К.Т. Хірургічне лікування хворих на критичну ішемію нижніх кінцівок залежно від спектру вегетуючої флори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Гоні,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І.М.</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Лодяна// Харківська хірургічна школа.- 2014.-№2(65).- С. 90-93. (дисертантом проведено збір та обробку матеріалів статті)</w:t>
      </w:r>
    </w:p>
    <w:p w:rsidR="00B518BA" w:rsidRPr="005C5977" w:rsidRDefault="00B518BA" w:rsidP="00B43186">
      <w:pPr>
        <w:pStyle w:val="ad"/>
        <w:numPr>
          <w:ilvl w:val="0"/>
          <w:numId w:val="7"/>
        </w:numPr>
        <w:spacing w:after="0" w:line="360" w:lineRule="auto"/>
        <w:ind w:left="-567" w:firstLine="568"/>
        <w:jc w:val="both"/>
        <w:rPr>
          <w:rFonts w:ascii="Times New Roman" w:hAnsi="Times New Roman" w:cs="Times New Roman"/>
          <w:sz w:val="28"/>
          <w:szCs w:val="28"/>
          <w:lang w:val="uk-UA"/>
        </w:rPr>
      </w:pPr>
      <w:r w:rsidRPr="00B518BA">
        <w:rPr>
          <w:rFonts w:ascii="Times New Roman" w:hAnsi="Times New Roman" w:cs="Times New Roman"/>
          <w:sz w:val="28"/>
          <w:szCs w:val="28"/>
        </w:rPr>
        <w:t>Гоні С.-К.Т.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 xml:space="preserve">Гоні, // Харківська хірургічна школа.- 2016.-№3(78).- С. 94-96. </w:t>
      </w:r>
      <w:r w:rsidR="005C5977" w:rsidRPr="005C5977">
        <w:rPr>
          <w:rFonts w:ascii="Times New Roman" w:hAnsi="Times New Roman" w:cs="Times New Roman"/>
          <w:sz w:val="28"/>
          <w:szCs w:val="28"/>
        </w:rPr>
        <w:t xml:space="preserve"> </w:t>
      </w:r>
      <w:r w:rsidR="005C5977">
        <w:rPr>
          <w:rFonts w:ascii="Times New Roman" w:hAnsi="Times New Roman" w:cs="Times New Roman"/>
          <w:sz w:val="28"/>
          <w:szCs w:val="28"/>
          <w:lang w:val="uk-UA"/>
        </w:rPr>
        <w:t xml:space="preserve">За матеріалами </w:t>
      </w:r>
      <w:r w:rsidR="005C5977" w:rsidRPr="00F42885">
        <w:rPr>
          <w:rFonts w:ascii="Times New Roman" w:hAnsi="Times New Roman"/>
          <w:sz w:val="28"/>
          <w:szCs w:val="28"/>
          <w:lang w:val="uk-UA"/>
        </w:rPr>
        <w:t>науково-практичн</w:t>
      </w:r>
      <w:r w:rsidR="005C5977">
        <w:rPr>
          <w:rFonts w:ascii="Times New Roman" w:hAnsi="Times New Roman"/>
          <w:sz w:val="28"/>
          <w:szCs w:val="28"/>
          <w:lang w:val="uk-UA"/>
        </w:rPr>
        <w:t xml:space="preserve">ої </w:t>
      </w:r>
      <w:r w:rsidR="005C5977" w:rsidRPr="00F42885">
        <w:rPr>
          <w:rFonts w:ascii="Times New Roman" w:hAnsi="Times New Roman"/>
          <w:sz w:val="28"/>
          <w:szCs w:val="28"/>
          <w:lang w:val="uk-UA"/>
        </w:rPr>
        <w:t xml:space="preserve">конференції з міжнародною </w:t>
      </w:r>
      <w:r w:rsidR="005C5977" w:rsidRPr="005C5977">
        <w:rPr>
          <w:rFonts w:ascii="Times New Roman" w:hAnsi="Times New Roman"/>
          <w:sz w:val="28"/>
          <w:szCs w:val="28"/>
          <w:lang w:val="uk-UA"/>
        </w:rPr>
        <w:t>участю «Актуальні питання невідкладної хірургії» (м. Харків, 2016)</w:t>
      </w:r>
      <w:r w:rsidR="005C5977" w:rsidRPr="005C5977">
        <w:rPr>
          <w:rFonts w:ascii="Times New Roman" w:hAnsi="Times New Roman" w:cs="Times New Roman"/>
          <w:sz w:val="28"/>
          <w:szCs w:val="28"/>
          <w:lang w:val="uk-UA"/>
        </w:rPr>
        <w:t xml:space="preserve"> </w:t>
      </w:r>
      <w:r w:rsidRPr="005C5977">
        <w:rPr>
          <w:rFonts w:ascii="Times New Roman" w:hAnsi="Times New Roman" w:cs="Times New Roman"/>
          <w:sz w:val="28"/>
          <w:szCs w:val="28"/>
          <w:lang w:val="uk-UA"/>
        </w:rPr>
        <w:t>(дисертантом проведено збір та обробку матеріалів статті та підготовку статті до друку</w:t>
      </w:r>
      <w:r w:rsidR="005C5977">
        <w:rPr>
          <w:rFonts w:ascii="Times New Roman" w:hAnsi="Times New Roman" w:cs="Times New Roman"/>
          <w:sz w:val="28"/>
          <w:szCs w:val="28"/>
          <w:lang w:val="uk-UA"/>
        </w:rPr>
        <w:t>, доповідь</w:t>
      </w:r>
      <w:r w:rsidRPr="005C5977">
        <w:rPr>
          <w:rFonts w:ascii="Times New Roman" w:hAnsi="Times New Roman" w:cs="Times New Roman"/>
          <w:sz w:val="28"/>
          <w:szCs w:val="28"/>
          <w:lang w:val="uk-UA"/>
        </w:rPr>
        <w:t>)</w:t>
      </w:r>
    </w:p>
    <w:p w:rsidR="00B518BA" w:rsidRPr="00B518BA" w:rsidRDefault="00B518BA" w:rsidP="00B43186">
      <w:pPr>
        <w:pStyle w:val="ad"/>
        <w:numPr>
          <w:ilvl w:val="0"/>
          <w:numId w:val="7"/>
        </w:numPr>
        <w:spacing w:after="0" w:line="360" w:lineRule="auto"/>
        <w:ind w:left="-567" w:firstLine="568"/>
        <w:jc w:val="both"/>
        <w:rPr>
          <w:rFonts w:ascii="Times New Roman" w:hAnsi="Times New Roman" w:cs="Times New Roman"/>
          <w:sz w:val="28"/>
          <w:szCs w:val="28"/>
        </w:rPr>
      </w:pPr>
      <w:r w:rsidRPr="00E44361">
        <w:rPr>
          <w:rFonts w:ascii="Times New Roman" w:hAnsi="Times New Roman" w:cs="Times New Roman"/>
          <w:sz w:val="28"/>
          <w:szCs w:val="28"/>
          <w:lang w:val="uk-UA"/>
        </w:rPr>
        <w:t xml:space="preserve">Гоні С.-К.Т. </w:t>
      </w:r>
      <w:r w:rsidRPr="00E44361">
        <w:rPr>
          <w:rFonts w:ascii="Times New Roman" w:hAnsi="Times New Roman" w:cs="Times New Roman"/>
          <w:bCs/>
          <w:sz w:val="28"/>
          <w:szCs w:val="28"/>
          <w:lang w:val="uk-UA"/>
        </w:rPr>
        <w:t>Показники дисфункції ендотелію у хворих на хронічну критичну ішемію нижніх кінцівок /</w:t>
      </w:r>
      <w:r w:rsidRPr="00E44361">
        <w:rPr>
          <w:rFonts w:ascii="Times New Roman" w:hAnsi="Times New Roman" w:cs="Times New Roman"/>
          <w:sz w:val="28"/>
          <w:szCs w:val="28"/>
          <w:lang w:val="uk-UA"/>
        </w:rPr>
        <w:t xml:space="preserve"> С.-К.Т.</w:t>
      </w:r>
      <w:r w:rsidRPr="00B518BA">
        <w:rPr>
          <w:rFonts w:ascii="Times New Roman" w:hAnsi="Times New Roman" w:cs="Times New Roman"/>
          <w:sz w:val="28"/>
          <w:szCs w:val="28"/>
          <w:lang w:val="en-US"/>
        </w:rPr>
        <w:t> </w:t>
      </w:r>
      <w:r w:rsidRPr="00E44361">
        <w:rPr>
          <w:rFonts w:ascii="Times New Roman" w:hAnsi="Times New Roman" w:cs="Times New Roman"/>
          <w:sz w:val="28"/>
          <w:szCs w:val="28"/>
          <w:lang w:val="uk-UA"/>
        </w:rPr>
        <w:t>Гоні //</w:t>
      </w:r>
      <w:r w:rsidRPr="00B518BA">
        <w:rPr>
          <w:rFonts w:ascii="Times New Roman" w:hAnsi="Times New Roman" w:cs="Times New Roman"/>
          <w:bCs/>
          <w:sz w:val="28"/>
          <w:szCs w:val="28"/>
          <w:lang w:val="en-US"/>
        </w:rPr>
        <w:t>Journal</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of</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Education</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Health</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and</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Sport</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rPr>
        <w:t>2016.-№6(10).- Р.485-492. eISSN 2391-8306.</w:t>
      </w:r>
    </w:p>
    <w:p w:rsidR="00B518BA" w:rsidRPr="00B518BA" w:rsidRDefault="00B518BA" w:rsidP="00B43186">
      <w:pPr>
        <w:pStyle w:val="ad"/>
        <w:numPr>
          <w:ilvl w:val="0"/>
          <w:numId w:val="7"/>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t>Гоні С.-К.Т. Сучасні методи стимуляції неоангіогенезу при хронічній критичній ішемії нижніх кінцівок /І.А.Криворучко, С.-К.Т.Гоні, І.М.Лодяна// Харківська хірургічна школа.- 2015.-№2(71).- С. 123-125. (дисертантом проведено збір та обробку матеріалів статті та підготовку статті до друку)</w:t>
      </w:r>
    </w:p>
    <w:p w:rsidR="00B518BA" w:rsidRPr="00B518BA" w:rsidRDefault="00B518BA" w:rsidP="00B43186">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hAnsi="Times New Roman" w:cs="Times New Roman"/>
          <w:sz w:val="28"/>
          <w:szCs w:val="28"/>
          <w:lang w:val="uk-UA"/>
        </w:rPr>
        <w:t>Гоні С.</w:t>
      </w:r>
      <w:r w:rsidRPr="00B518BA">
        <w:rPr>
          <w:rFonts w:ascii="Times New Roman" w:hAnsi="Times New Roman" w:cs="Times New Roman"/>
          <w:sz w:val="28"/>
          <w:szCs w:val="28"/>
          <w:lang w:val="en-US"/>
        </w:rPr>
        <w:t>K</w:t>
      </w:r>
      <w:r w:rsidRPr="00B518BA">
        <w:rPr>
          <w:rFonts w:ascii="Times New Roman" w:hAnsi="Times New Roman" w:cs="Times New Roman"/>
          <w:sz w:val="28"/>
          <w:szCs w:val="28"/>
          <w:lang w:val="uk-UA"/>
        </w:rPr>
        <w:t>. Т. Динаміка деяких показників дисфункції ендотелію у хворих за хронічної критичної ішемії тканин нижніх кінцівок залежно від проведеного лікування /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Гоні, С.А.Т.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Гоні, С. 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 xml:space="preserve">Андреєщев // Клінічна хірургія.- </w:t>
      </w:r>
      <w:r w:rsidRPr="00B518BA">
        <w:rPr>
          <w:rFonts w:ascii="Times New Roman" w:hAnsi="Times New Roman" w:cs="Times New Roman"/>
          <w:sz w:val="28"/>
          <w:szCs w:val="28"/>
        </w:rPr>
        <w:t>201</w:t>
      </w:r>
      <w:r w:rsidRPr="00B518BA">
        <w:rPr>
          <w:rFonts w:ascii="Times New Roman" w:hAnsi="Times New Roman" w:cs="Times New Roman"/>
          <w:sz w:val="28"/>
          <w:szCs w:val="28"/>
          <w:lang w:val="uk-UA"/>
        </w:rPr>
        <w:t>7</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4</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900</w:t>
      </w:r>
      <w:r w:rsidRPr="00B518BA">
        <w:rPr>
          <w:rFonts w:ascii="Times New Roman" w:hAnsi="Times New Roman" w:cs="Times New Roman"/>
          <w:sz w:val="28"/>
          <w:szCs w:val="28"/>
        </w:rPr>
        <w:t xml:space="preserve">).- С. </w:t>
      </w:r>
      <w:r w:rsidRPr="00B518BA">
        <w:rPr>
          <w:rFonts w:ascii="Times New Roman" w:hAnsi="Times New Roman" w:cs="Times New Roman"/>
          <w:sz w:val="28"/>
          <w:szCs w:val="28"/>
          <w:lang w:val="uk-UA"/>
        </w:rPr>
        <w:t>35</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38</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 xml:space="preserve"> </w:t>
      </w:r>
      <w:r w:rsidRPr="00B518BA">
        <w:rPr>
          <w:rFonts w:ascii="Times New Roman" w:hAnsi="Times New Roman" w:cs="Times New Roman"/>
          <w:sz w:val="28"/>
          <w:szCs w:val="28"/>
        </w:rPr>
        <w:t>(дисертантом проведено збір та обробку матеріалів статті та підготовку статті до друку)</w:t>
      </w:r>
    </w:p>
    <w:p w:rsidR="00B518BA" w:rsidRPr="00B518BA" w:rsidRDefault="00B518BA" w:rsidP="00B518BA">
      <w:p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hAnsi="Times New Roman" w:cs="Times New Roman"/>
          <w:sz w:val="28"/>
          <w:szCs w:val="28"/>
          <w:lang w:val="uk-UA"/>
        </w:rPr>
        <w:t>Праці, які засвідчують апробацію матеріалів дисертації:</w:t>
      </w:r>
    </w:p>
    <w:p w:rsidR="00B518BA" w:rsidRPr="00B518BA" w:rsidRDefault="00B518BA" w:rsidP="00B43186">
      <w:pPr>
        <w:numPr>
          <w:ilvl w:val="0"/>
          <w:numId w:val="7"/>
        </w:numPr>
        <w:spacing w:after="0" w:line="360" w:lineRule="auto"/>
        <w:ind w:left="-567" w:firstLine="568"/>
        <w:jc w:val="both"/>
        <w:rPr>
          <w:rFonts w:ascii="Times New Roman" w:eastAsia="Times New Roman" w:hAnsi="Times New Roman" w:cs="Times New Roman"/>
          <w:sz w:val="28"/>
          <w:szCs w:val="28"/>
          <w:lang w:val="en-US"/>
        </w:rPr>
      </w:pPr>
      <w:r w:rsidRPr="00B518BA">
        <w:rPr>
          <w:rFonts w:ascii="Times New Roman" w:eastAsia="Times New Roman" w:hAnsi="Times New Roman" w:cs="Times New Roman"/>
          <w:sz w:val="28"/>
          <w:szCs w:val="28"/>
          <w:lang w:val="en-US"/>
        </w:rPr>
        <w:lastRenderedPageBreak/>
        <w:t xml:space="preserve">Goni S.-K.T. The optimal method of obtaining PRP for treatment of chronic limb ischaemia. / S.-K.T. Goni // </w:t>
      </w:r>
      <w:r w:rsidRPr="00B518BA">
        <w:rPr>
          <w:rFonts w:ascii="Times New Roman" w:eastAsia="Times New Roman" w:hAnsi="Times New Roman" w:cs="Times New Roman"/>
          <w:sz w:val="28"/>
          <w:szCs w:val="28"/>
          <w:lang w:val="uk-UA"/>
        </w:rPr>
        <w:t>Abstract book of 8th International Scientific Interdisciplinary Conference for medical students and young scientist</w:t>
      </w:r>
      <w:r w:rsidRPr="00B518BA">
        <w:rPr>
          <w:rFonts w:ascii="Times New Roman" w:eastAsia="Times New Roman" w:hAnsi="Times New Roman" w:cs="Times New Roman"/>
          <w:sz w:val="28"/>
          <w:szCs w:val="28"/>
          <w:lang w:val="en-US"/>
        </w:rPr>
        <w:t xml:space="preserve"> Kharkiv.2015.- </w:t>
      </w:r>
      <w:r w:rsidRPr="00B518BA">
        <w:rPr>
          <w:rFonts w:ascii="Times New Roman" w:eastAsia="Times New Roman" w:hAnsi="Times New Roman" w:cs="Times New Roman"/>
          <w:sz w:val="28"/>
          <w:szCs w:val="28"/>
        </w:rPr>
        <w:t>Р</w:t>
      </w:r>
      <w:r w:rsidRPr="00B518BA">
        <w:rPr>
          <w:rFonts w:ascii="Times New Roman" w:eastAsia="Times New Roman" w:hAnsi="Times New Roman" w:cs="Times New Roman"/>
          <w:sz w:val="28"/>
          <w:szCs w:val="28"/>
          <w:lang w:val="en-US"/>
        </w:rPr>
        <w:t>.110</w:t>
      </w:r>
    </w:p>
    <w:p w:rsidR="006238D9" w:rsidRDefault="00B518BA" w:rsidP="006238D9">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en-US"/>
        </w:rPr>
        <w:t>Goni S.-K.T.</w:t>
      </w:r>
      <w:r w:rsidRPr="00B518BA">
        <w:rPr>
          <w:rFonts w:ascii="Times New Roman" w:eastAsia="Times New Roman" w:hAnsi="Times New Roman" w:cs="Times New Roman"/>
          <w:sz w:val="28"/>
          <w:szCs w:val="28"/>
          <w:lang w:val="uk-UA"/>
        </w:rPr>
        <w:t xml:space="preserve"> </w:t>
      </w:r>
      <w:r w:rsidRPr="00B518BA">
        <w:rPr>
          <w:rFonts w:ascii="Times New Roman" w:eastAsia="Times New Roman" w:hAnsi="Times New Roman" w:cs="Times New Roman"/>
          <w:sz w:val="28"/>
          <w:szCs w:val="28"/>
          <w:lang w:val="en-US"/>
        </w:rPr>
        <w:t>Plasmotherapy as an additional therapeutic method in surgical and non-surgical therapy of critical limb ischemia patients/ S.-K.T. Goni, V.I. Sirikh, K.V. Poradiuk  //</w:t>
      </w:r>
      <w:r w:rsidRPr="00B518BA">
        <w:rPr>
          <w:rFonts w:ascii="Times New Roman" w:eastAsia="Times New Roman" w:hAnsi="Times New Roman" w:cs="Times New Roman"/>
          <w:sz w:val="28"/>
          <w:szCs w:val="28"/>
          <w:lang w:val="uk-UA"/>
        </w:rPr>
        <w:t xml:space="preserve">Abstract book of </w:t>
      </w:r>
      <w:r w:rsidRPr="00B518BA">
        <w:rPr>
          <w:rFonts w:ascii="Times New Roman" w:eastAsia="Times New Roman" w:hAnsi="Times New Roman" w:cs="Times New Roman"/>
          <w:sz w:val="28"/>
          <w:szCs w:val="28"/>
          <w:lang w:val="en-US"/>
        </w:rPr>
        <w:t>9</w:t>
      </w:r>
      <w:r w:rsidRPr="00B518BA">
        <w:rPr>
          <w:rFonts w:ascii="Times New Roman" w:eastAsia="Times New Roman" w:hAnsi="Times New Roman" w:cs="Times New Roman"/>
          <w:sz w:val="28"/>
          <w:szCs w:val="28"/>
          <w:lang w:val="uk-UA"/>
        </w:rPr>
        <w:t xml:space="preserve"> th International Scientific Interdisciplinary Conference for medical students and young scientist</w:t>
      </w:r>
      <w:r w:rsidRPr="00B518BA">
        <w:rPr>
          <w:rFonts w:ascii="Times New Roman" w:eastAsia="Times New Roman" w:hAnsi="Times New Roman" w:cs="Times New Roman"/>
          <w:sz w:val="28"/>
          <w:szCs w:val="28"/>
          <w:lang w:val="en-US"/>
        </w:rPr>
        <w:t xml:space="preserve"> Kharkiv.2016.- </w:t>
      </w:r>
      <w:r w:rsidRPr="00B518BA">
        <w:rPr>
          <w:rFonts w:ascii="Times New Roman" w:eastAsia="Times New Roman" w:hAnsi="Times New Roman" w:cs="Times New Roman"/>
          <w:sz w:val="28"/>
          <w:szCs w:val="28"/>
        </w:rPr>
        <w:t>Р</w:t>
      </w:r>
      <w:r w:rsidRPr="00B518BA">
        <w:rPr>
          <w:rFonts w:ascii="Times New Roman" w:eastAsia="Times New Roman" w:hAnsi="Times New Roman" w:cs="Times New Roman"/>
          <w:sz w:val="28"/>
          <w:szCs w:val="28"/>
          <w:lang w:val="en-US"/>
        </w:rPr>
        <w:t>.401</w:t>
      </w:r>
      <w:r w:rsidRPr="00B518BA">
        <w:rPr>
          <w:rFonts w:ascii="Times New Roman" w:eastAsia="Times New Roman" w:hAnsi="Times New Roman" w:cs="Times New Roman"/>
          <w:sz w:val="28"/>
          <w:szCs w:val="28"/>
          <w:lang w:val="uk-UA"/>
        </w:rPr>
        <w:t xml:space="preserve"> </w:t>
      </w:r>
    </w:p>
    <w:p w:rsidR="006238D9" w:rsidRDefault="006238D9" w:rsidP="006238D9">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880319">
        <w:rPr>
          <w:rFonts w:ascii="Times New Roman" w:eastAsia="Times New Roman" w:hAnsi="Times New Roman" w:cs="Times New Roman"/>
          <w:sz w:val="28"/>
          <w:szCs w:val="28"/>
          <w:lang w:val="uk-UA"/>
        </w:rPr>
        <w:t xml:space="preserve">Гоні С.-К.Т. </w:t>
      </w:r>
      <w:r w:rsidRPr="00880319">
        <w:rPr>
          <w:rFonts w:ascii="Times New Roman" w:hAnsi="Times New Roman" w:cs="Times New Roman"/>
          <w:bCs/>
          <w:sz w:val="28"/>
          <w:szCs w:val="28"/>
          <w:lang w:val="en-US"/>
        </w:rPr>
        <w:t>C</w:t>
      </w:r>
      <w:r w:rsidRPr="00880319">
        <w:rPr>
          <w:rFonts w:ascii="Times New Roman" w:hAnsi="Times New Roman" w:cs="Times New Roman"/>
          <w:bCs/>
          <w:sz w:val="28"/>
          <w:szCs w:val="28"/>
          <w:lang w:val="uk-UA"/>
        </w:rPr>
        <w:t xml:space="preserve">посіб стимуляції неоангіогенезу при критичній ішемії нижніх кінцівок за допомогою збагаченої тромбоцитами </w:t>
      </w:r>
      <w:r>
        <w:rPr>
          <w:rFonts w:ascii="Times New Roman" w:hAnsi="Times New Roman" w:cs="Times New Roman"/>
          <w:bCs/>
          <w:sz w:val="28"/>
          <w:szCs w:val="28"/>
          <w:lang w:val="uk-UA"/>
        </w:rPr>
        <w:t>ауто</w:t>
      </w:r>
      <w:r w:rsidRPr="00880319">
        <w:rPr>
          <w:rFonts w:ascii="Times New Roman" w:hAnsi="Times New Roman" w:cs="Times New Roman"/>
          <w:bCs/>
          <w:sz w:val="28"/>
          <w:szCs w:val="28"/>
          <w:lang w:val="uk-UA"/>
        </w:rPr>
        <w:t xml:space="preserve">плазми / </w:t>
      </w:r>
      <w:r w:rsidRPr="00880319">
        <w:rPr>
          <w:rFonts w:ascii="Times New Roman" w:eastAsia="Times New Roman" w:hAnsi="Times New Roman" w:cs="Times New Roman"/>
          <w:sz w:val="28"/>
          <w:szCs w:val="28"/>
          <w:lang w:val="uk-UA"/>
        </w:rPr>
        <w:t>С.-К.Т.Гоні, І.А.Криворучко, В.О.Прасол, С.Н.Зюзько та ін.</w:t>
      </w:r>
      <w:r w:rsidRPr="00880319">
        <w:rPr>
          <w:rFonts w:ascii="Times New Roman" w:hAnsi="Times New Roman" w:cs="Times New Roman"/>
          <w:bCs/>
          <w:sz w:val="28"/>
          <w:szCs w:val="28"/>
          <w:lang w:val="uk-UA"/>
        </w:rPr>
        <w:t>//</w:t>
      </w:r>
      <w:r w:rsidRPr="00880319">
        <w:rPr>
          <w:rFonts w:ascii="Times New Roman" w:hAnsi="Times New Roman" w:cs="Times New Roman"/>
          <w:bCs/>
          <w:iCs/>
          <w:sz w:val="28"/>
          <w:szCs w:val="28"/>
          <w:lang w:val="uk-UA"/>
        </w:rPr>
        <w:t xml:space="preserve">Інформаційний лист </w:t>
      </w:r>
      <w:r w:rsidRPr="00880319">
        <w:rPr>
          <w:rFonts w:ascii="Times New Roman" w:eastAsia="TimesNewRomanPSMT" w:hAnsi="Times New Roman" w:cs="Times New Roman"/>
          <w:sz w:val="28"/>
          <w:szCs w:val="28"/>
          <w:lang w:val="uk-UA"/>
        </w:rPr>
        <w:t xml:space="preserve">про нововведення в сфері охорони здоров’я №110 – 2017, </w:t>
      </w:r>
      <w:r>
        <w:rPr>
          <w:rFonts w:ascii="Times New Roman" w:eastAsia="TimesNewRomanPSMT" w:hAnsi="Times New Roman" w:cs="Times New Roman"/>
          <w:sz w:val="28"/>
          <w:szCs w:val="28"/>
          <w:lang w:val="uk-UA"/>
        </w:rPr>
        <w:t xml:space="preserve">Київ, </w:t>
      </w:r>
      <w:r w:rsidRPr="00880319">
        <w:rPr>
          <w:rFonts w:ascii="Times New Roman" w:eastAsia="TimesNewRomanPSMT" w:hAnsi="Times New Roman" w:cs="Times New Roman"/>
          <w:sz w:val="28"/>
          <w:szCs w:val="28"/>
          <w:lang w:val="uk-UA"/>
        </w:rPr>
        <w:t>випуск 7 з проблеми «Хірургія»</w:t>
      </w:r>
    </w:p>
    <w:p w:rsidR="00B518BA" w:rsidRPr="006238D9" w:rsidRDefault="006238D9" w:rsidP="006238D9">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6720D2">
        <w:rPr>
          <w:rFonts w:ascii="Times New Roman" w:eastAsia="Times New Roman" w:hAnsi="Times New Roman" w:cs="Times New Roman"/>
          <w:sz w:val="28"/>
          <w:szCs w:val="28"/>
          <w:lang w:val="uk-UA"/>
        </w:rPr>
        <w:t xml:space="preserve">Гоні С.-К.Т. </w:t>
      </w:r>
      <w:r w:rsidRPr="006720D2">
        <w:rPr>
          <w:rFonts w:ascii="Times New Roman" w:hAnsi="Times New Roman" w:cs="Times New Roman"/>
          <w:bCs/>
          <w:sz w:val="28"/>
          <w:szCs w:val="28"/>
          <w:lang w:val="uk-UA"/>
        </w:rPr>
        <w:t xml:space="preserve">Спосіб стимуляції неоангіогенезу в лікуванні ішемії кінцівок людини/ </w:t>
      </w:r>
      <w:r w:rsidRPr="006720D2">
        <w:rPr>
          <w:rFonts w:ascii="Times New Roman" w:eastAsia="Times New Roman" w:hAnsi="Times New Roman" w:cs="Times New Roman"/>
          <w:sz w:val="28"/>
          <w:szCs w:val="28"/>
          <w:lang w:val="uk-UA"/>
        </w:rPr>
        <w:t>С.-К.Т.Гоні, І.А.Криворучко, О.А Балач та ін..</w:t>
      </w:r>
      <w:r w:rsidRPr="006720D2">
        <w:rPr>
          <w:rFonts w:ascii="Times New Roman" w:hAnsi="Times New Roman" w:cs="Times New Roman"/>
          <w:bCs/>
          <w:sz w:val="28"/>
          <w:szCs w:val="28"/>
          <w:lang w:val="uk-UA"/>
        </w:rPr>
        <w:t>//</w:t>
      </w:r>
      <w:r w:rsidRPr="006720D2">
        <w:rPr>
          <w:rFonts w:ascii="Times New Roman" w:hAnsi="Times New Roman" w:cs="Times New Roman"/>
          <w:bCs/>
          <w:iCs/>
          <w:sz w:val="28"/>
          <w:szCs w:val="28"/>
          <w:lang w:val="uk-UA"/>
        </w:rPr>
        <w:t xml:space="preserve">Інформаційний лист </w:t>
      </w:r>
      <w:r w:rsidRPr="006720D2">
        <w:rPr>
          <w:rFonts w:ascii="Times New Roman" w:eastAsia="TimesNewRomanPSMT" w:hAnsi="Times New Roman" w:cs="Times New Roman"/>
          <w:sz w:val="28"/>
          <w:szCs w:val="28"/>
          <w:lang w:val="uk-UA"/>
        </w:rPr>
        <w:t xml:space="preserve">про нововведення в сфері охорони здоров’я №109 – 2017, </w:t>
      </w:r>
      <w:r>
        <w:rPr>
          <w:rFonts w:ascii="Times New Roman" w:eastAsia="TimesNewRomanPSMT" w:hAnsi="Times New Roman" w:cs="Times New Roman"/>
          <w:sz w:val="28"/>
          <w:szCs w:val="28"/>
          <w:lang w:val="uk-UA"/>
        </w:rPr>
        <w:t xml:space="preserve">Київ, </w:t>
      </w:r>
      <w:r w:rsidRPr="006720D2">
        <w:rPr>
          <w:rFonts w:ascii="Times New Roman" w:eastAsia="TimesNewRomanPSMT" w:hAnsi="Times New Roman" w:cs="Times New Roman"/>
          <w:sz w:val="28"/>
          <w:szCs w:val="28"/>
          <w:lang w:val="uk-UA"/>
        </w:rPr>
        <w:t>випуск 6 з проблеми «Хірургія»</w:t>
      </w:r>
    </w:p>
    <w:p w:rsidR="00B518BA" w:rsidRPr="00B518BA" w:rsidRDefault="00B518BA" w:rsidP="00B518BA">
      <w:p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hAnsi="Times New Roman" w:cs="Times New Roman"/>
          <w:sz w:val="28"/>
          <w:szCs w:val="28"/>
          <w:lang w:val="uk-UA"/>
        </w:rPr>
        <w:t>Праці, які додатково відображають наукові результати дисертації:</w:t>
      </w:r>
    </w:p>
    <w:p w:rsidR="00B518BA" w:rsidRPr="00B518BA" w:rsidRDefault="00B518BA" w:rsidP="00B43186">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uk-UA"/>
        </w:rPr>
        <w:t xml:space="preserve">Гоні С.-К.Т. Спосіб стимуляції неоангіогенезу при критичній ішемії нижніх кінцівок за допомогою багатої тромбоцитами аутоплазми / С.-К.Т.Гоні, І.А.Криворучко, В.О.Прасол, С.Н.Зюзько та ін.// Патент України на корисну модель, № 111896, від 25.11.2016 </w:t>
      </w:r>
    </w:p>
    <w:p w:rsidR="00880319" w:rsidRDefault="00B518BA" w:rsidP="00B43186">
      <w:pPr>
        <w:numPr>
          <w:ilvl w:val="0"/>
          <w:numId w:val="7"/>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uk-UA"/>
        </w:rPr>
        <w:t>Гоні С.-К.Т.  Спосіб стимуляції неоангіогенезу в лікуванні ішемії кінцівок людини / С.-К.Т.Гоні, І.А.Криворучко, О.А Балач та ін.// Патент України на корисну модель, № 111490 від 10.11.2016.</w:t>
      </w:r>
    </w:p>
    <w:p w:rsidR="00880319" w:rsidRPr="00880319" w:rsidRDefault="00880319" w:rsidP="00880319">
      <w:pPr>
        <w:spacing w:after="0" w:line="360" w:lineRule="auto"/>
        <w:jc w:val="both"/>
        <w:rPr>
          <w:rFonts w:ascii="Times New Roman" w:eastAsia="Times New Roman" w:hAnsi="Times New Roman" w:cs="Times New Roman"/>
          <w:sz w:val="28"/>
          <w:szCs w:val="28"/>
          <w:lang w:val="uk-UA"/>
        </w:rPr>
      </w:pPr>
    </w:p>
    <w:p w:rsidR="00624810" w:rsidRPr="00880319" w:rsidRDefault="00624810" w:rsidP="00B518BA">
      <w:pPr>
        <w:ind w:left="-567" w:firstLine="568"/>
        <w:rPr>
          <w:rFonts w:ascii="Times New Roman" w:hAnsi="Times New Roman" w:cs="Times New Roman"/>
          <w:i/>
          <w:sz w:val="28"/>
          <w:szCs w:val="28"/>
          <w:lang w:val="uk-UA"/>
        </w:rPr>
      </w:pPr>
      <w:r w:rsidRPr="00880319">
        <w:rPr>
          <w:rFonts w:ascii="Times New Roman" w:hAnsi="Times New Roman" w:cs="Times New Roman"/>
          <w:i/>
          <w:sz w:val="28"/>
          <w:szCs w:val="28"/>
          <w:lang w:val="uk-UA"/>
        </w:rPr>
        <w:br w:type="page"/>
      </w:r>
    </w:p>
    <w:p w:rsidR="00A01923" w:rsidRPr="00624810" w:rsidRDefault="00A01923" w:rsidP="00624810">
      <w:pPr>
        <w:spacing w:after="0" w:line="360" w:lineRule="auto"/>
        <w:jc w:val="center"/>
        <w:rPr>
          <w:rFonts w:ascii="Times New Roman" w:hAnsi="Times New Roman"/>
          <w:b/>
          <w:i/>
          <w:sz w:val="28"/>
          <w:szCs w:val="28"/>
          <w:lang w:val="uk-UA"/>
        </w:rPr>
      </w:pPr>
      <w:r w:rsidRPr="00624810">
        <w:rPr>
          <w:rFonts w:ascii="Times New Roman" w:hAnsi="Times New Roman"/>
          <w:b/>
          <w:sz w:val="28"/>
          <w:szCs w:val="28"/>
          <w:lang w:val="uk-UA"/>
        </w:rPr>
        <w:lastRenderedPageBreak/>
        <w:t>SUMMARY</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i/>
          <w:sz w:val="28"/>
          <w:szCs w:val="28"/>
          <w:lang w:val="uk-UA"/>
        </w:rPr>
        <w:t>Goni S.-K.T</w:t>
      </w:r>
      <w:r>
        <w:rPr>
          <w:rFonts w:ascii="Times New Roman" w:hAnsi="Times New Roman"/>
          <w:sz w:val="28"/>
          <w:szCs w:val="28"/>
          <w:lang w:val="uk-UA"/>
        </w:rPr>
        <w:t>. Optimization of surgical treatment of patients with chronic critical limb ischemia with distal form of vascular lesion. - Qualifying scientific work on the manuscript.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Thesis for a candidate's degree (PhD) in specialty 14.01.03 "surgery" - Ministry of Health of Ukraine, Kharkiv National Medical University, Kharkiv, 201</w:t>
      </w:r>
      <w:r>
        <w:rPr>
          <w:rFonts w:ascii="Times New Roman" w:hAnsi="Times New Roman"/>
          <w:sz w:val="28"/>
          <w:szCs w:val="28"/>
          <w:lang w:val="en-US"/>
        </w:rPr>
        <w:t>8</w:t>
      </w:r>
      <w:r>
        <w:rPr>
          <w:rFonts w:ascii="Times New Roman" w:hAnsi="Times New Roman"/>
          <w:sz w:val="28"/>
          <w:szCs w:val="28"/>
          <w:lang w:val="uk-UA"/>
        </w:rPr>
        <w: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The problem obliterating vascular disease ceases to be relevant and annually diagnosed with a frequency of 500-1000 cases per 1 million people in Europe and North America. The prevalence of chronic critical lower limb ischemia (CCLI) reaches 3 % of the population in those aged over 50 years in 9-10 % of cases and </w:t>
      </w:r>
      <w:r>
        <w:rPr>
          <w:rFonts w:ascii="Times New Roman" w:hAnsi="Times New Roman"/>
          <w:sz w:val="28"/>
          <w:szCs w:val="28"/>
          <w:lang w:val="en-US"/>
        </w:rPr>
        <w:t>in population</w:t>
      </w:r>
      <w:r>
        <w:rPr>
          <w:rFonts w:ascii="Times New Roman" w:hAnsi="Times New Roman"/>
          <w:sz w:val="28"/>
          <w:szCs w:val="28"/>
          <w:lang w:val="uk-UA"/>
        </w:rPr>
        <w:t xml:space="preserve"> older than 60 years - 35-50 % [1, 51]. The number of people is increasing and CCLI in coming years will reach 5-7 % of the population [</w:t>
      </w:r>
      <w:r>
        <w:rPr>
          <w:rFonts w:ascii="Times New Roman" w:hAnsi="Times New Roman"/>
          <w:sz w:val="28"/>
          <w:szCs w:val="28"/>
          <w:lang w:val="en-US"/>
        </w:rPr>
        <w:t>51</w:t>
      </w:r>
      <w:r>
        <w:rPr>
          <w:rFonts w:ascii="Times New Roman" w:hAnsi="Times New Roman"/>
          <w:sz w:val="28"/>
          <w:szCs w:val="28"/>
          <w:lang w:val="uk-UA"/>
        </w:rPr>
        <w:t xml:space="preserve">, </w:t>
      </w:r>
      <w:r>
        <w:rPr>
          <w:rFonts w:ascii="Times New Roman" w:hAnsi="Times New Roman"/>
          <w:sz w:val="28"/>
          <w:szCs w:val="28"/>
          <w:lang w:val="en-US"/>
        </w:rPr>
        <w:t>104</w:t>
      </w:r>
      <w:r>
        <w:rPr>
          <w:rFonts w:ascii="Times New Roman" w:hAnsi="Times New Roman"/>
          <w:sz w:val="28"/>
          <w:szCs w:val="28"/>
          <w:lang w:val="uk-UA"/>
        </w:rPr>
        <w:t>] . The rate of amputations in case of vascular pathology in Ukraine and abroad reaches 59% and the mortality rate reaches 48 %. This disease in most cases is steadily progressing. [1</w:t>
      </w:r>
      <w:r>
        <w:rPr>
          <w:rFonts w:ascii="Times New Roman" w:hAnsi="Times New Roman"/>
          <w:sz w:val="28"/>
          <w:szCs w:val="28"/>
          <w:lang w:val="en-US"/>
        </w:rPr>
        <w:t>6</w:t>
      </w:r>
      <w:r>
        <w:rPr>
          <w:rFonts w:ascii="Times New Roman" w:hAnsi="Times New Roman"/>
          <w:sz w:val="28"/>
          <w:szCs w:val="28"/>
          <w:lang w:val="uk-UA"/>
        </w:rPr>
        <w:t>] According to TASCII, among patients with critical lower limb ischemia between 10 and 30 % live less than 6 months, and 25-30% of patients may need a "big" amputation [</w:t>
      </w:r>
      <w:r>
        <w:rPr>
          <w:rFonts w:ascii="Times New Roman" w:hAnsi="Times New Roman"/>
          <w:sz w:val="28"/>
          <w:szCs w:val="28"/>
          <w:shd w:val="clear" w:color="auto" w:fill="FFFFFF"/>
          <w:lang w:val="uk-UA"/>
        </w:rPr>
        <w:t xml:space="preserve">104, </w:t>
      </w:r>
      <w:r>
        <w:rPr>
          <w:rFonts w:ascii="Times New Roman" w:hAnsi="Times New Roman"/>
          <w:sz w:val="28"/>
          <w:szCs w:val="28"/>
          <w:lang w:val="uk-UA"/>
        </w:rPr>
        <w:t>110, 133].</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Reasonably chosen tactics of surgical procedures aimed at improving blood supply of the limb and decrease amputation level, but also to preserve the limb. The same returns the patient to normal life [96, 165].</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Direct arterial reconstruction do not solve the problem completely due to frequent multi-level arterial lesions. In all cases where there is no possibility to achieve adequate compensation of circulation by only reconstructive surgery, to improve blood circulation in the limb is possible to use indirect methods of revascularization [82, 185]. The most commonly used method of stimulation of angiogenesis is intramuscular transplantation of cells to the affected area [</w:t>
      </w:r>
      <w:r>
        <w:rPr>
          <w:rFonts w:ascii="Times New Roman" w:hAnsi="Times New Roman"/>
          <w:sz w:val="28"/>
          <w:szCs w:val="28"/>
          <w:lang w:val="en-US"/>
        </w:rPr>
        <w:t>79</w:t>
      </w:r>
      <w:r>
        <w:rPr>
          <w:rFonts w:ascii="Times New Roman" w:hAnsi="Times New Roman"/>
          <w:sz w:val="28"/>
          <w:szCs w:val="28"/>
          <w:lang w:val="uk-UA"/>
        </w:rPr>
        <w:t xml:space="preserve">, 88, </w:t>
      </w:r>
      <w:r>
        <w:rPr>
          <w:rFonts w:ascii="Times New Roman" w:hAnsi="Times New Roman"/>
          <w:sz w:val="28"/>
          <w:szCs w:val="28"/>
          <w:lang w:val="en-US"/>
        </w:rPr>
        <w:t>108</w:t>
      </w:r>
      <w:r>
        <w:rPr>
          <w:rFonts w:ascii="Times New Roman" w:hAnsi="Times New Roman"/>
          <w:sz w:val="28"/>
          <w:szCs w:val="28"/>
          <w:lang w:val="uk-UA"/>
        </w:rPr>
        <w:t>, 128, 1</w:t>
      </w:r>
      <w:r>
        <w:rPr>
          <w:rFonts w:ascii="Times New Roman" w:hAnsi="Times New Roman"/>
          <w:sz w:val="28"/>
          <w:szCs w:val="28"/>
          <w:lang w:val="en-US"/>
        </w:rPr>
        <w:t>68</w:t>
      </w:r>
      <w:r>
        <w:rPr>
          <w:rFonts w:ascii="Times New Roman" w:hAnsi="Times New Roman"/>
          <w:sz w:val="28"/>
          <w:szCs w:val="28"/>
          <w:lang w:val="uk-UA"/>
        </w:rPr>
        <w:t>, 1</w:t>
      </w:r>
      <w:r>
        <w:rPr>
          <w:rFonts w:ascii="Times New Roman" w:hAnsi="Times New Roman"/>
          <w:sz w:val="28"/>
          <w:szCs w:val="28"/>
          <w:lang w:val="en-US"/>
        </w:rPr>
        <w:t>87</w:t>
      </w:r>
      <w:r>
        <w:rPr>
          <w:rFonts w:ascii="Times New Roman" w:hAnsi="Times New Roman"/>
          <w:sz w:val="28"/>
          <w:szCs w:val="28"/>
          <w:lang w:val="uk-UA"/>
        </w:rPr>
        <w:t>]. Indications of various methods of indirect revascularization at this time is not yet sufficiently developed, and the combined use of methods is not widespread, but well-chosen combination of two or more methods can achieve better results in patients of this group by summation effects [119, 147].</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The work is based on the retro and prospective analysis of the results of surgical treatment of 105 patients with CCLI.</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Patients were treated at the "Kharkiv Regional Hospital - Center of emergency medical care and disaster medicine", which is the clinical base of the Department of Surgery № 2 of Kharkov National Medical University and the State Institution "Institute of General and Emergency Surgery V.T.Zaytseva of Academy of Medical Sciences of Ukraine ", which is a clinical base of KhNMU in the period from 2013 to 2016 (105 patients of the main group and the comparison group).</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All patients were divided into two groups - main group and the comparison group. The main group - 55 patients who were treated from March 2015 to May 2016. From them by endovascular procedure - 23 patients, operated by open method - 4 patients; conservative treatment was conducted to 24 patients and performed chemical sympathectomy - 4 patients. Comparison group consisted of 50 patients who were treated from November 2014 to March 2015 and treated according to testimony - were operated endovascular procedure - 11 patients, including patients with hybrid surgery (open and endovascular method) - 3 patients; patients that were operated by open method - 6 patients; patients receiving conservative treatment - 26; patients who underwent lumbar sympathectomy - 7. Benchmarks laboratory studies were identified in the blood of 15 relatively healthy people.</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Inclusion criteria consisted of the presence in patients of CCLI (one or two) with distal lesion form of the vascular bed by the recommendations TASK II (2007).</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Exclusion criteria were patients with the presence of tumor diseases, acute cerebral and coronary circulation disorders, patient reluctance to participate in the study.</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The average age of patients was 63 years (from 38 to 86 years). Patients in the study were divided by the degree of ischemia as follows - patients with III degree was 35 (33,3 %) and with IV - 70 (66,6 %).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To determine the type and severity of vascular lesion of lower limbs Doppler ultrasound was performed and \ or ultrasonic duplex scanning, angiography of the aorta and blood vessels of the lower extremities, CT in the vascular mode, followed by three-dimensional reconstruction of vessels.</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Analysis of blood plasma of patients with fibrinogen implemented a unified methodology CRP was determined by ELISA using test kits IMMULITE 2000 High Sensitivity CPR (catalog number L2KCRP2), as well as the selection of plasma for further analysis of the level of ET-1 and vasculoendotelial growth factor (VEGF) in serum, which was determined by ELISA using test kits «ELISA» JBL International corporation (Germany, JP 27,165) and «VEGF Eagle Biosciences Inc.» (USA, catalog number VGF 31- K 01), respectively. Temperature limbs was determined using an infrared thermometer «Heaco DT-8806S» on the stages of treatment - before and after likuvannya- and surveillance - after 6 and 12 months after discharge - in both lower limbs in measurement mode surface temperature and body temperature at 14 points of the front and the back of the leg and foot. Transcutaneous oxygen tension was determined on the foot by using single-channel portiometr «Radiometr Dania TCM4». Quality of life in patients was determined by interviewer SF-36. The intensity of pain was determined using standard visual analog scale (VAS).</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en-US"/>
        </w:rPr>
        <w:t>S</w:t>
      </w:r>
      <w:r>
        <w:rPr>
          <w:rFonts w:ascii="Times New Roman" w:hAnsi="Times New Roman"/>
          <w:sz w:val="28"/>
          <w:szCs w:val="28"/>
          <w:lang w:val="uk-UA"/>
        </w:rPr>
        <w:t>timulation of neoangiogenesis in the main group of patients was performed by single injection into 5 points in the lateral and medial head of the gastrocnemius muscle of platelets rich plasma, obtained using soft centrifugation of whole blood immediately prior to administration.</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All patients received discharge recommendations in the form of cards, in which it was noted the need to diet and control the level of glucose (for diabetic patients), described exercise to consolidate the treatment effect and stimulation of neoangiogenesis by physiological way.</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In all subgroups decreased the average level of ET-1 in the year of observation, indicating that improve endothelial vasomotor fun</w:t>
      </w:r>
      <w:r>
        <w:rPr>
          <w:rFonts w:ascii="Times New Roman" w:hAnsi="Times New Roman"/>
          <w:sz w:val="28"/>
          <w:szCs w:val="28"/>
          <w:lang w:val="en-US"/>
        </w:rPr>
        <w:t>ction</w:t>
      </w:r>
      <w:r>
        <w:rPr>
          <w:rFonts w:ascii="Times New Roman" w:hAnsi="Times New Roman"/>
          <w:sz w:val="28"/>
          <w:szCs w:val="28"/>
          <w:lang w:val="uk-UA"/>
        </w:rPr>
        <w:t xml:space="preserve"> </w:t>
      </w:r>
      <w:r>
        <w:rPr>
          <w:rFonts w:ascii="Times New Roman" w:hAnsi="Times New Roman"/>
          <w:sz w:val="28"/>
          <w:szCs w:val="28"/>
          <w:lang w:val="en-US"/>
        </w:rPr>
        <w:t>during</w:t>
      </w:r>
      <w:r>
        <w:rPr>
          <w:rFonts w:ascii="Times New Roman" w:hAnsi="Times New Roman"/>
          <w:sz w:val="28"/>
          <w:szCs w:val="28"/>
          <w:lang w:val="uk-UA"/>
        </w:rPr>
        <w:t xml:space="preserve"> treatment, but the level of the indicator remained elevated compared with controls (р</w:t>
      </w:r>
      <w:r>
        <w:rPr>
          <w:rFonts w:ascii="Times New Roman" w:hAnsi="Times New Roman"/>
          <w:sz w:val="28"/>
          <w:szCs w:val="28"/>
          <w:lang w:val="uk-UA"/>
        </w:rPr>
        <w:sym w:font="Symbol" w:char="003C"/>
      </w:r>
      <w:r>
        <w:rPr>
          <w:rFonts w:ascii="Times New Roman" w:hAnsi="Times New Roman"/>
          <w:sz w:val="28"/>
          <w:szCs w:val="28"/>
          <w:lang w:val="uk-UA"/>
        </w:rPr>
        <w:t>0,001), indicating that its impact on the progression of the underlying disease. The level of ET-1 as a measure of endothelial vasomotor function, independent from the stage of ischemia.</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Analyzing the data source level of VEGF, it should be noted that patients with stage III ischemia marked the highest level of VEGF </w:t>
      </w:r>
      <w:r>
        <w:rPr>
          <w:rFonts w:ascii="Times New Roman" w:hAnsi="Times New Roman"/>
          <w:sz w:val="28"/>
          <w:szCs w:val="28"/>
          <w:lang w:val="en-US"/>
        </w:rPr>
        <w:t>–</w:t>
      </w:r>
      <w:r>
        <w:rPr>
          <w:rFonts w:ascii="Times New Roman" w:hAnsi="Times New Roman"/>
          <w:sz w:val="28"/>
          <w:szCs w:val="28"/>
          <w:lang w:val="uk-UA"/>
        </w:rPr>
        <w:t xml:space="preserve"> 156 % and was higher than in patients with stage IV (р</w:t>
      </w:r>
      <w:r>
        <w:rPr>
          <w:rFonts w:ascii="Times New Roman" w:hAnsi="Times New Roman"/>
          <w:sz w:val="28"/>
          <w:szCs w:val="28"/>
          <w:lang w:val="uk-UA"/>
        </w:rPr>
        <w:sym w:font="Symbol" w:char="003C"/>
      </w:r>
      <w:r>
        <w:rPr>
          <w:rFonts w:ascii="Times New Roman" w:hAnsi="Times New Roman"/>
          <w:sz w:val="28"/>
          <w:szCs w:val="28"/>
          <w:lang w:val="uk-UA"/>
        </w:rPr>
        <w:t xml:space="preserve">0,001); VEGF </w:t>
      </w:r>
      <w:r>
        <w:rPr>
          <w:rFonts w:ascii="Times New Roman" w:hAnsi="Times New Roman"/>
          <w:sz w:val="28"/>
          <w:szCs w:val="28"/>
          <w:lang w:val="en-US"/>
        </w:rPr>
        <w:t>has</w:t>
      </w:r>
      <w:r>
        <w:rPr>
          <w:rFonts w:ascii="Times New Roman" w:hAnsi="Times New Roman"/>
          <w:sz w:val="28"/>
          <w:szCs w:val="28"/>
          <w:lang w:val="uk-UA"/>
        </w:rPr>
        <w:t xml:space="preserve"> also the highest level observed in stage III </w:t>
      </w:r>
      <w:r>
        <w:rPr>
          <w:rFonts w:ascii="Times New Roman" w:hAnsi="Times New Roman"/>
          <w:sz w:val="28"/>
          <w:szCs w:val="28"/>
          <w:lang w:val="uk-UA"/>
        </w:rPr>
        <w:lastRenderedPageBreak/>
        <w:t xml:space="preserve">ischemia at 6 months. </w:t>
      </w:r>
      <w:r>
        <w:rPr>
          <w:rFonts w:ascii="Times New Roman" w:hAnsi="Times New Roman"/>
          <w:sz w:val="28"/>
          <w:szCs w:val="28"/>
          <w:lang w:val="en-US"/>
        </w:rPr>
        <w:t>after</w:t>
      </w:r>
      <w:r>
        <w:rPr>
          <w:rFonts w:ascii="Times New Roman" w:hAnsi="Times New Roman"/>
          <w:sz w:val="28"/>
          <w:szCs w:val="28"/>
          <w:lang w:val="uk-UA"/>
        </w:rPr>
        <w:t xml:space="preserve"> treatment (р</w:t>
      </w:r>
      <w:r>
        <w:rPr>
          <w:rFonts w:ascii="Times New Roman" w:hAnsi="Times New Roman"/>
          <w:sz w:val="28"/>
          <w:szCs w:val="28"/>
          <w:lang w:val="uk-UA"/>
        </w:rPr>
        <w:sym w:font="Symbol" w:char="003D"/>
      </w:r>
      <w:r>
        <w:rPr>
          <w:rFonts w:ascii="Times New Roman" w:hAnsi="Times New Roman"/>
          <w:sz w:val="28"/>
          <w:szCs w:val="28"/>
          <w:lang w:val="uk-UA"/>
        </w:rPr>
        <w:t>0,039), which was 13,5 % higher than in patients with stage IV ischemia, indicating a greater endothelial proliferative activity in these patients. There was also a difference depending on the presence of concomitant diabetes: the 67.8% figure was higher in patients without diabetes at the initial study (р</w:t>
      </w:r>
      <w:r>
        <w:rPr>
          <w:rFonts w:ascii="Times New Roman" w:hAnsi="Times New Roman"/>
          <w:sz w:val="28"/>
          <w:szCs w:val="28"/>
          <w:lang w:val="uk-UA"/>
        </w:rPr>
        <w:sym w:font="Symbol" w:char="003C"/>
      </w:r>
      <w:r>
        <w:rPr>
          <w:rFonts w:ascii="Times New Roman" w:hAnsi="Times New Roman"/>
          <w:sz w:val="28"/>
          <w:szCs w:val="28"/>
          <w:lang w:val="uk-UA"/>
        </w:rPr>
        <w:t>0,05). Studies have shown that VEGF levels in plasma, as an indicator of endothelial proliferative activity depends on the stage of ischemia as well as of the treatment, namely the successful revascularization. By reducing the level of ischemia in patients with stage IV when performing ischemia revascularization (endovascular or open) the level of VEGF in plasma increased on 46,4% and 32,0% respectively in the period of 6 months relative to baseline, and on 17,64% and 10,35% respectively in the period of 12 months relative to baseline.</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Dynamics of change of CRP in the blood of patients of the main group showed that all subgroups marked decrease in CRP levels during the observation year average of 47,4 % for a period of 6 months compared with baseline data (р</w:t>
      </w:r>
      <w:r>
        <w:rPr>
          <w:rFonts w:ascii="Times New Roman" w:hAnsi="Times New Roman"/>
          <w:sz w:val="28"/>
          <w:szCs w:val="28"/>
          <w:lang w:val="uk-UA"/>
        </w:rPr>
        <w:sym w:font="Symbol" w:char="003D"/>
      </w:r>
      <w:r>
        <w:rPr>
          <w:rFonts w:ascii="Times New Roman" w:hAnsi="Times New Roman"/>
          <w:sz w:val="28"/>
          <w:szCs w:val="28"/>
          <w:lang w:val="uk-UA"/>
        </w:rPr>
        <w:t>0,000) and 42,4 % in period of 12 months compared with baseline data (р</w:t>
      </w:r>
      <w:r>
        <w:rPr>
          <w:rFonts w:ascii="Times New Roman" w:hAnsi="Times New Roman"/>
          <w:sz w:val="28"/>
          <w:szCs w:val="28"/>
          <w:lang w:val="uk-UA"/>
        </w:rPr>
        <w:sym w:font="Symbol" w:char="003D"/>
      </w:r>
      <w:r>
        <w:rPr>
          <w:rFonts w:ascii="Times New Roman" w:hAnsi="Times New Roman"/>
          <w:sz w:val="28"/>
          <w:szCs w:val="28"/>
          <w:lang w:val="uk-UA"/>
        </w:rPr>
        <w:t>0,000), indicating a decrease in the level of intensity of the inflammation under the influence of treatment, but they nevilyuvannya., which is also a sign of the progression of the primary disease. These dynamics suggest CRP levels of proinflammatory endothelial function dependent on the stage of ischemia and, consequently, of the treatment, which also correlates with the data determine the quality of life of patients with CCLI.</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In patients with stage IV ischemia and conservative therapy noticeable dynamics to increased levels of fibrinogen throughout the observation period, indicating the progression of the underlying disease and inflammatory processes. Patients with held revascularization (end</w:t>
      </w:r>
      <w:r>
        <w:rPr>
          <w:rFonts w:ascii="Times New Roman" w:hAnsi="Times New Roman"/>
          <w:sz w:val="28"/>
          <w:szCs w:val="28"/>
          <w:lang w:val="en-US"/>
        </w:rPr>
        <w:t>vascular</w:t>
      </w:r>
      <w:r>
        <w:rPr>
          <w:rFonts w:ascii="Times New Roman" w:hAnsi="Times New Roman"/>
          <w:sz w:val="28"/>
          <w:szCs w:val="28"/>
          <w:lang w:val="uk-UA"/>
        </w:rPr>
        <w:t xml:space="preserve"> and open) had the </w:t>
      </w:r>
      <w:r>
        <w:rPr>
          <w:rFonts w:ascii="Times New Roman" w:hAnsi="Times New Roman"/>
          <w:sz w:val="28"/>
          <w:szCs w:val="28"/>
          <w:lang w:val="en-US"/>
        </w:rPr>
        <w:t xml:space="preserve">negative </w:t>
      </w:r>
      <w:r>
        <w:rPr>
          <w:rFonts w:ascii="Times New Roman" w:hAnsi="Times New Roman"/>
          <w:sz w:val="28"/>
          <w:szCs w:val="28"/>
          <w:lang w:val="uk-UA"/>
        </w:rPr>
        <w:t>dynamics of these indicators. In general, the level of fibrinogen, as an indicator of inflammatory and hemostatic function of endothelium correlated with the quality of life of patients.</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Investigated indicators of endothelial dysfunction and the dynamics of their changes depending on the stage of ischemia and the treatment method showed that the levels of ET-1, VEGF, CRP and fibrinogen depend on the outcome of treatment CCLI </w:t>
      </w:r>
      <w:r>
        <w:rPr>
          <w:rFonts w:ascii="Times New Roman" w:hAnsi="Times New Roman"/>
          <w:sz w:val="28"/>
          <w:szCs w:val="28"/>
          <w:lang w:val="uk-UA"/>
        </w:rPr>
        <w:lastRenderedPageBreak/>
        <w:t>and may be objective indicators of effectiveness of treatment and correction of endothelial dysfunction in this group of patients.</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The study of temperature of lower limb patients of the group showed that after ending the treatment of patients was on average 1</w:t>
      </w:r>
      <w:r>
        <w:rPr>
          <w:rFonts w:ascii="Times New Roman" w:hAnsi="Times New Roman"/>
          <w:sz w:val="28"/>
          <w:szCs w:val="28"/>
          <w:lang w:val="en-US"/>
        </w:rPr>
        <w:t>,09</w:t>
      </w:r>
      <w:r>
        <w:rPr>
          <w:rFonts w:ascii="Times New Roman" w:hAnsi="Times New Roman"/>
          <w:sz w:val="28"/>
          <w:szCs w:val="28"/>
          <w:lang w:val="uk-UA"/>
        </w:rPr>
        <w:t xml:space="preserve"> °C (</w:t>
      </w:r>
      <w:r>
        <w:rPr>
          <w:rFonts w:ascii="Times New Roman" w:hAnsi="Times New Roman"/>
          <w:sz w:val="28"/>
          <w:szCs w:val="28"/>
          <w:lang w:val="en-US"/>
        </w:rPr>
        <w:t>2,1</w:t>
      </w:r>
      <w:r>
        <w:rPr>
          <w:rFonts w:ascii="Times New Roman" w:hAnsi="Times New Roman"/>
          <w:sz w:val="28"/>
          <w:szCs w:val="28"/>
          <w:lang w:val="uk-UA"/>
        </w:rPr>
        <w:t xml:space="preserve"> %) (p = 0,000), and</w:t>
      </w:r>
      <w:r>
        <w:rPr>
          <w:rFonts w:ascii="Times New Roman" w:hAnsi="Times New Roman"/>
          <w:sz w:val="28"/>
          <w:szCs w:val="28"/>
          <w:lang w:val="en-US"/>
        </w:rPr>
        <w:t xml:space="preserve"> at</w:t>
      </w:r>
      <w:r>
        <w:rPr>
          <w:rFonts w:ascii="Times New Roman" w:hAnsi="Times New Roman"/>
          <w:sz w:val="28"/>
          <w:szCs w:val="28"/>
          <w:lang w:val="uk-UA"/>
        </w:rPr>
        <w:t xml:space="preserve"> body temperature measurement mode - at the beginning of treatment (baseline) shank patient was on average 1,1 °C (2,9 %) cooler control ( p = 0,001) and 12 months. – 0,7 °C (2 %) (p = 0,000). The temperature of a sick foot mode surface temperature at baseline was on average 1,2 °C (4,2 %) cooler control (p = 0,002) and body temperature mode – 1,3 °C (4 %) cooler than control (p = 0,005). Further comparison showed improbable difference between patients and control limbs, indicating that the equalization temperature of both limbs.</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Such dynamics can be explained by a gradual reduction of the effect of angioplasty during the year of observation and gradual development of collateral circulation.</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These quality of life (QoL) of patients with CCLI in patients treated using endovascular procedure had the highest QoL in the earlier period and were significantly different from the corresponding parameters in patients treated with other methods, as well as between the two groups - patients with the main group on 100% below the level of pain, 1,1 % higher PhF, 14,7 % higher PF and 11,8 % longer silent walk distance compared to the comparison group in a period of 12 months. The worst treatment results checked in patients with conservative treatment and open sympathectomy. When comparing the two groups of patients within a period of 12 months after treatment showed that patients of the group treated conservatively was marked by 45,8 % below the level of pain, 51,8 % higher PhF, 43,8 % higher PF and the 113,2 % longer silent walking distance. Based on these data, we can conclude that stimulation neoangiogenesis makes sense as a supplementary treatment for patients with CCLI with distal form of lesion.</w:t>
      </w:r>
    </w:p>
    <w:p w:rsidR="00A01923" w:rsidRDefault="00A01923" w:rsidP="00A01923">
      <w:pPr>
        <w:spacing w:after="0" w:line="360" w:lineRule="auto"/>
        <w:ind w:left="-567" w:firstLine="567"/>
        <w:jc w:val="both"/>
        <w:rPr>
          <w:rFonts w:ascii="Times New Roman" w:hAnsi="Times New Roman"/>
          <w:sz w:val="28"/>
          <w:szCs w:val="28"/>
          <w:lang w:val="en-US"/>
        </w:rPr>
      </w:pPr>
      <w:r>
        <w:rPr>
          <w:rFonts w:ascii="Times New Roman" w:hAnsi="Times New Roman"/>
          <w:sz w:val="28"/>
          <w:szCs w:val="28"/>
          <w:lang w:val="uk-UA"/>
        </w:rPr>
        <w:t xml:space="preserve">Keywords: chronic critical limb ischemia, endothelial dysfunction, treatment, quality of life, stimulation of neoangiogenesis, </w:t>
      </w:r>
      <w:r>
        <w:rPr>
          <w:rFonts w:ascii="Times New Roman" w:hAnsi="Times New Roman"/>
          <w:sz w:val="28"/>
          <w:szCs w:val="28"/>
          <w:lang w:val="en-US"/>
        </w:rPr>
        <w:t>platelet rich plasma</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List of publications of the applicant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1. Goni S.-K.T. The first results of treatment of patients with chronic critical limb ischemia with distal lesions form by stimulating angiogenesis / I.A. Kryvoruchko, V.O. Prasol, S.-K.T. Goni // Scientific Bulletin of the Uzhgorod University, series "Medicine" ─ 2015. ─ №2 (52) ─ P.49-50.</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2. Goni S.-K.T. Results of treatment of patients with chronic critical limb ischemia / I.A.Kryvoruchko, S.-K.T. Goni, I.M.Lodyana // Scientific Bulletin of the Uzhgorod University, series "Medicine» ─2014. ─ №1 (49) ─ P.115-117.</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3. Goni S.-K.T. Surgical treatment of critical limb ischemia, depending on the range of vegetative flora /S.-K.T.Honi, I.A.Kryvoruchko, I.M.Lodyana // Kharkiv surgical school. ─ 2014. ─№2 (65). ─ P. 90-93.</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4. Goni S.-K.T. The first data to assess the quality of life of patients with chronic critical limb ischemia with distal lesions form in treatment with and without stimulation of angiogenesis /I.A.Kryvoruchko, S.-K.T. Goni, // Kharkiv surgical school. ─ 2016. ─ №3 (78) . ─ P. 94-96.</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5. Goni S.-K.T. Indicators of endothelial dysfunction in patients with chronic critical limb ischemia / S.-K.T. Goni // Journal of Education, Health and Sport. ─ 2016. ─№6 (10) . ─ R.485-492. eISSN 2391-8306.</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6. Goni S.-K.T. Modern methods of stimulation neoanhiohenezu chronic critical lower limb ischemia /I.A.Kryvoruchko, S.-K.T. Goni, I.M.Lodyana // Kharkiv surgical school. ─ 2015. ─№2 (71) . ─ P. 123-125.</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7. Goni S.K. T. Dynamics of some indicators of endothelial dysfunction in patients with chronic critical ischemia of tissue of the lower limb depending on the treatment / I.A. Kryvoruchko, S.K.T. Goni, S.A.T. Goni, S.A. Andreyeschev // Clinical surgery. ─ 2017. ─№4 (900) . ─ P.35─38.</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8. </w:t>
      </w:r>
      <w:r w:rsidR="00B43186">
        <w:rPr>
          <w:rFonts w:ascii="Times New Roman" w:hAnsi="Times New Roman"/>
          <w:sz w:val="28"/>
          <w:szCs w:val="28"/>
          <w:lang w:val="uk-UA"/>
        </w:rPr>
        <w:t>Goni S.-K.T. Method</w:t>
      </w:r>
      <w:r w:rsidR="00B43186" w:rsidRPr="006720D2">
        <w:rPr>
          <w:rFonts w:ascii="Times New Roman" w:hAnsi="Times New Roman"/>
          <w:sz w:val="28"/>
          <w:szCs w:val="28"/>
          <w:lang w:val="uk-UA"/>
        </w:rPr>
        <w:t xml:space="preserve"> of stimulation of neoanogeogenesis in critical ischemia of the low</w:t>
      </w:r>
      <w:r w:rsidR="00B43186">
        <w:rPr>
          <w:rFonts w:ascii="Times New Roman" w:hAnsi="Times New Roman"/>
          <w:sz w:val="28"/>
          <w:szCs w:val="28"/>
          <w:lang w:val="uk-UA"/>
        </w:rPr>
        <w:t>er extremities using platelet-</w:t>
      </w:r>
      <w:r w:rsidR="00B43186" w:rsidRPr="006720D2">
        <w:rPr>
          <w:rFonts w:ascii="Times New Roman" w:hAnsi="Times New Roman"/>
          <w:sz w:val="28"/>
          <w:szCs w:val="28"/>
          <w:lang w:val="uk-UA"/>
        </w:rPr>
        <w:t xml:space="preserve">riched autoplasma </w:t>
      </w:r>
      <w:r>
        <w:rPr>
          <w:rFonts w:ascii="Times New Roman" w:hAnsi="Times New Roman"/>
          <w:sz w:val="28"/>
          <w:szCs w:val="28"/>
          <w:lang w:val="uk-UA"/>
        </w:rPr>
        <w:t>/ S.-K.T. Goni, I.A.Kryvoruchko, V.O.Prasol, S.N.Zyuzko etc..// Ukraine patent for utility model , decision number 26125 / LU / 16 dated 10.28.2016 on the application number U201605206</w:t>
      </w:r>
    </w:p>
    <w:p w:rsidR="00A01923" w:rsidRDefault="00A01923" w:rsidP="00A01923">
      <w:pPr>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 xml:space="preserve">9. Goni S.-K.T. Method of neoangiogenesis stimulation in the treatment of limb ischemia person / S.-K.T. Goni, I.A.Kryvoruchko, O.A. Balach etc. // Patent of Ukraine </w:t>
      </w:r>
      <w:r>
        <w:rPr>
          <w:rFonts w:ascii="Times New Roman" w:hAnsi="Times New Roman"/>
          <w:sz w:val="28"/>
          <w:szCs w:val="28"/>
          <w:lang w:val="uk-UA"/>
        </w:rPr>
        <w:lastRenderedPageBreak/>
        <w:t>for utility model, decision number 24786 / LU / 16 of 10.10.2016 the application number U201605203</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10. Goni S.-K.T. The optimal method of obtaining PRP for treatment of chronic limb ischaemia. / S.-K.T. Goni // Abstract book of 8th International Scientific Interdisciplinary Conference for medical students and young scientist Kharkiv. ─2015.─ P.110</w:t>
      </w:r>
    </w:p>
    <w:p w:rsidR="006720D2" w:rsidRDefault="00A01923" w:rsidP="006720D2">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11. Goni S.-K.T. Plasmotherapy as an additional therapeutic method in surgical and non-surgical therapy of critical limb ischemia patients / S.-K.T. Goni, V.I. Sirikh, K.V. Poradiuk // Abstract book of 9th International Scientific Interdisciplinary Conference for medical students and young scientist Kharkiv. ─2016. ─ P.401</w:t>
      </w:r>
    </w:p>
    <w:p w:rsidR="006720D2" w:rsidRPr="006720D2" w:rsidRDefault="006720D2" w:rsidP="006720D2">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12. </w:t>
      </w:r>
      <w:r w:rsidR="00B43186">
        <w:rPr>
          <w:rFonts w:ascii="Times New Roman" w:hAnsi="Times New Roman"/>
          <w:sz w:val="28"/>
          <w:szCs w:val="28"/>
          <w:lang w:val="uk-UA"/>
        </w:rPr>
        <w:t>Goni S.-K.T. Method</w:t>
      </w:r>
      <w:r w:rsidRPr="006720D2">
        <w:rPr>
          <w:rFonts w:ascii="Times New Roman" w:hAnsi="Times New Roman"/>
          <w:sz w:val="28"/>
          <w:szCs w:val="28"/>
          <w:lang w:val="uk-UA"/>
        </w:rPr>
        <w:t xml:space="preserve"> of stimulation of neoanogeogenesis in critical ischemia of the low</w:t>
      </w:r>
      <w:r w:rsidR="00B43186">
        <w:rPr>
          <w:rFonts w:ascii="Times New Roman" w:hAnsi="Times New Roman"/>
          <w:sz w:val="28"/>
          <w:szCs w:val="28"/>
          <w:lang w:val="uk-UA"/>
        </w:rPr>
        <w:t>er extremities using platelet-riched autoplasma/</w:t>
      </w:r>
      <w:r w:rsidRPr="006720D2">
        <w:rPr>
          <w:rFonts w:ascii="Times New Roman" w:hAnsi="Times New Roman"/>
          <w:sz w:val="28"/>
          <w:szCs w:val="28"/>
          <w:lang w:val="uk-UA"/>
        </w:rPr>
        <w:t>S.-K.T.Goni, I.A.Kryvoruchko, V.O.Prasol, S.N.Zyuzko, etc.// Information letter on the innovations in Healthcare Issue No. 110 - 2017, Kyiv, Issue 7 on the Problem "Surgery"</w:t>
      </w:r>
    </w:p>
    <w:p w:rsidR="006720D2" w:rsidRPr="00B43186" w:rsidRDefault="006720D2" w:rsidP="006720D2">
      <w:pPr>
        <w:spacing w:after="0" w:line="360" w:lineRule="auto"/>
        <w:ind w:left="-567" w:firstLine="567"/>
        <w:jc w:val="both"/>
        <w:rPr>
          <w:rFonts w:ascii="Times New Roman" w:hAnsi="Times New Roman"/>
          <w:sz w:val="28"/>
          <w:szCs w:val="28"/>
          <w:lang w:val="uk-UA"/>
        </w:rPr>
      </w:pPr>
      <w:r w:rsidRPr="006720D2">
        <w:rPr>
          <w:rFonts w:ascii="Times New Roman" w:hAnsi="Times New Roman"/>
          <w:sz w:val="28"/>
          <w:szCs w:val="28"/>
          <w:lang w:val="uk-UA"/>
        </w:rPr>
        <w:t xml:space="preserve">13. </w:t>
      </w:r>
      <w:r>
        <w:rPr>
          <w:rFonts w:ascii="Times New Roman" w:hAnsi="Times New Roman"/>
          <w:sz w:val="28"/>
          <w:szCs w:val="28"/>
          <w:lang w:val="uk-UA"/>
        </w:rPr>
        <w:t>Goni S.-K.T. Method of neoangiogenesis stimulation in the treatment of limb ischemia person / S.-K.T. Goni, I.A.Kryvoruchko, O.A. Balach etc.</w:t>
      </w:r>
      <w:r w:rsidRPr="006720D2">
        <w:rPr>
          <w:rFonts w:ascii="Times New Roman" w:hAnsi="Times New Roman"/>
          <w:sz w:val="28"/>
          <w:szCs w:val="28"/>
          <w:lang w:val="uk-UA"/>
        </w:rPr>
        <w:t xml:space="preserve">.// </w:t>
      </w:r>
      <w:r w:rsidRPr="00B43186">
        <w:rPr>
          <w:rFonts w:ascii="Times New Roman" w:hAnsi="Times New Roman"/>
          <w:sz w:val="28"/>
          <w:szCs w:val="28"/>
          <w:lang w:val="uk-UA"/>
        </w:rPr>
        <w:t>Information letter on innovations in the sphere of public health №109 - 2017, Kyiv , Issue 6 on the Problem "Surgery"</w:t>
      </w:r>
    </w:p>
    <w:p w:rsidR="00A01923" w:rsidRDefault="00A01923" w:rsidP="00A01923">
      <w:pPr>
        <w:tabs>
          <w:tab w:val="left" w:pos="180"/>
          <w:tab w:val="left" w:pos="540"/>
          <w:tab w:val="left" w:pos="720"/>
          <w:tab w:val="left" w:pos="1080"/>
          <w:tab w:val="left" w:pos="6840"/>
        </w:tabs>
        <w:spacing w:after="0" w:line="360" w:lineRule="auto"/>
        <w:ind w:left="-284" w:firstLine="568"/>
        <w:jc w:val="center"/>
        <w:rPr>
          <w:rFonts w:ascii="Times New Roman" w:hAnsi="Times New Roman"/>
          <w:b/>
          <w:bCs/>
          <w:smallCaps/>
          <w:sz w:val="28"/>
          <w:szCs w:val="28"/>
          <w:lang w:val="uk-UA"/>
        </w:rPr>
      </w:pPr>
      <w:r w:rsidRPr="00B43186">
        <w:rPr>
          <w:rFonts w:ascii="Times New Roman" w:hAnsi="Times New Roman"/>
          <w:b/>
          <w:bCs/>
          <w:smallCaps/>
          <w:sz w:val="28"/>
          <w:szCs w:val="28"/>
          <w:lang w:val="uk-UA"/>
        </w:rPr>
        <w:br w:type="page"/>
      </w:r>
      <w:r>
        <w:rPr>
          <w:rFonts w:ascii="Times New Roman" w:hAnsi="Times New Roman"/>
          <w:b/>
          <w:bCs/>
          <w:smallCaps/>
          <w:sz w:val="28"/>
          <w:szCs w:val="28"/>
          <w:lang w:val="uk-UA"/>
        </w:rPr>
        <w:lastRenderedPageBreak/>
        <w:t>ЗМІСТ</w:t>
      </w:r>
    </w:p>
    <w:tbl>
      <w:tblPr>
        <w:tblW w:w="0" w:type="auto"/>
        <w:tblLook w:val="04A0"/>
      </w:tblPr>
      <w:tblGrid>
        <w:gridCol w:w="8194"/>
        <w:gridCol w:w="986"/>
      </w:tblGrid>
      <w:tr w:rsidR="00A01923" w:rsidTr="001F3608">
        <w:trPr>
          <w:trHeight w:val="148"/>
        </w:trPr>
        <w:tc>
          <w:tcPr>
            <w:tcW w:w="8194" w:type="dxa"/>
          </w:tcPr>
          <w:p w:rsidR="00A01923" w:rsidRDefault="00A01923">
            <w:pPr>
              <w:tabs>
                <w:tab w:val="left" w:pos="8505"/>
              </w:tabs>
              <w:spacing w:after="0" w:line="360" w:lineRule="auto"/>
              <w:ind w:left="-284" w:firstLine="568"/>
              <w:jc w:val="both"/>
              <w:rPr>
                <w:rFonts w:ascii="Times New Roman" w:eastAsia="Times New Roman" w:hAnsi="Times New Roman"/>
                <w:sz w:val="28"/>
                <w:szCs w:val="28"/>
                <w:lang w:val="uk-UA"/>
              </w:rPr>
            </w:pPr>
          </w:p>
        </w:tc>
        <w:tc>
          <w:tcPr>
            <w:tcW w:w="986" w:type="dxa"/>
            <w:hideMark/>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hAnsi="Times New Roman"/>
                <w:sz w:val="28"/>
                <w:szCs w:val="28"/>
                <w:lang w:val="uk-UA"/>
              </w:rPr>
              <w:t>Стор</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Анотація</w:t>
            </w:r>
          </w:p>
        </w:tc>
        <w:tc>
          <w:tcPr>
            <w:tcW w:w="986" w:type="dxa"/>
            <w:hideMark/>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hAnsi="Times New Roman"/>
                <w:sz w:val="28"/>
                <w:szCs w:val="28"/>
                <w:lang w:val="uk-UA"/>
              </w:rPr>
              <w:t>2</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Перелік умовних скорочень</w:t>
            </w:r>
          </w:p>
        </w:tc>
        <w:tc>
          <w:tcPr>
            <w:tcW w:w="986" w:type="dxa"/>
            <w:hideMark/>
          </w:tcPr>
          <w:p w:rsidR="00A01923" w:rsidRPr="00F37E51" w:rsidRDefault="00A01923" w:rsidP="00F37E51">
            <w:pPr>
              <w:tabs>
                <w:tab w:val="left" w:pos="8505"/>
              </w:tabs>
              <w:spacing w:after="0" w:line="360" w:lineRule="auto"/>
              <w:ind w:left="28" w:right="34"/>
              <w:jc w:val="right"/>
              <w:rPr>
                <w:rFonts w:ascii="Times New Roman" w:eastAsia="Times New Roman" w:hAnsi="Times New Roman"/>
                <w:sz w:val="28"/>
                <w:szCs w:val="28"/>
                <w:lang w:val="en-US"/>
              </w:rPr>
            </w:pPr>
            <w:r>
              <w:rPr>
                <w:rFonts w:ascii="Times New Roman" w:hAnsi="Times New Roman"/>
                <w:sz w:val="28"/>
                <w:szCs w:val="28"/>
                <w:lang w:val="uk-UA"/>
              </w:rPr>
              <w:t>1</w:t>
            </w:r>
            <w:r w:rsidR="00F37E51">
              <w:rPr>
                <w:rFonts w:ascii="Times New Roman" w:hAnsi="Times New Roman"/>
                <w:sz w:val="28"/>
                <w:szCs w:val="28"/>
                <w:lang w:val="en-US"/>
              </w:rPr>
              <w:t>9</w:t>
            </w:r>
          </w:p>
        </w:tc>
      </w:tr>
      <w:tr w:rsidR="00A01923" w:rsidTr="001F3608">
        <w:trPr>
          <w:trHeight w:val="148"/>
        </w:trPr>
        <w:tc>
          <w:tcPr>
            <w:tcW w:w="8194" w:type="dxa"/>
            <w:hideMark/>
          </w:tcPr>
          <w:p w:rsidR="00A01923" w:rsidRDefault="00A01923">
            <w:pPr>
              <w:tabs>
                <w:tab w:val="left" w:pos="935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Вступ</w:t>
            </w:r>
          </w:p>
        </w:tc>
        <w:tc>
          <w:tcPr>
            <w:tcW w:w="986" w:type="dxa"/>
            <w:hideMark/>
          </w:tcPr>
          <w:p w:rsidR="00A01923" w:rsidRPr="00F37E51" w:rsidRDefault="00F37E51">
            <w:pPr>
              <w:tabs>
                <w:tab w:val="left" w:pos="8505"/>
              </w:tabs>
              <w:spacing w:after="0" w:line="360" w:lineRule="auto"/>
              <w:ind w:left="28" w:right="34"/>
              <w:jc w:val="right"/>
              <w:rPr>
                <w:rFonts w:ascii="Times New Roman" w:eastAsia="Times New Roman" w:hAnsi="Times New Roman"/>
                <w:sz w:val="28"/>
                <w:szCs w:val="28"/>
                <w:lang w:val="en-US"/>
              </w:rPr>
            </w:pPr>
            <w:r>
              <w:rPr>
                <w:rFonts w:ascii="Times New Roman" w:hAnsi="Times New Roman"/>
                <w:sz w:val="28"/>
                <w:szCs w:val="28"/>
                <w:lang w:val="en-US"/>
              </w:rPr>
              <w:t>20</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Розділ 1. Огляд літератури</w:t>
            </w:r>
          </w:p>
        </w:tc>
        <w:tc>
          <w:tcPr>
            <w:tcW w:w="986" w:type="dxa"/>
            <w:hideMark/>
          </w:tcPr>
          <w:p w:rsidR="00A01923" w:rsidRPr="00F37E51" w:rsidRDefault="00A01923" w:rsidP="00F37E51">
            <w:pPr>
              <w:tabs>
                <w:tab w:val="left" w:pos="8505"/>
              </w:tabs>
              <w:spacing w:after="0" w:line="360" w:lineRule="auto"/>
              <w:ind w:left="28" w:right="34"/>
              <w:jc w:val="right"/>
              <w:rPr>
                <w:rFonts w:ascii="Times New Roman" w:eastAsia="Times New Roman" w:hAnsi="Times New Roman"/>
                <w:sz w:val="28"/>
                <w:szCs w:val="28"/>
                <w:lang w:val="en-US"/>
              </w:rPr>
            </w:pPr>
            <w:r>
              <w:rPr>
                <w:rFonts w:ascii="Times New Roman" w:hAnsi="Times New Roman"/>
                <w:sz w:val="28"/>
                <w:szCs w:val="28"/>
                <w:lang w:val="uk-UA"/>
              </w:rPr>
              <w:t>2</w:t>
            </w:r>
            <w:r w:rsidR="00F37E51">
              <w:rPr>
                <w:rFonts w:ascii="Times New Roman" w:hAnsi="Times New Roman"/>
                <w:sz w:val="28"/>
                <w:szCs w:val="28"/>
                <w:lang w:val="en-US"/>
              </w:rPr>
              <w:t>7</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1.1. Сучасні методи лікування хворих на критичну ішемію нижніх кінцівок з ураженням дистального судинного русла</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Pr="00F37E51" w:rsidRDefault="00A01923" w:rsidP="00F37E51">
            <w:pPr>
              <w:tabs>
                <w:tab w:val="left" w:pos="8505"/>
              </w:tabs>
              <w:spacing w:after="0" w:line="360" w:lineRule="auto"/>
              <w:ind w:left="28" w:right="34"/>
              <w:jc w:val="right"/>
              <w:rPr>
                <w:rFonts w:ascii="Times New Roman" w:eastAsia="Times New Roman" w:hAnsi="Times New Roman"/>
                <w:sz w:val="28"/>
                <w:szCs w:val="28"/>
                <w:lang w:val="en-US"/>
              </w:rPr>
            </w:pPr>
            <w:r>
              <w:rPr>
                <w:rFonts w:ascii="Times New Roman" w:hAnsi="Times New Roman"/>
                <w:sz w:val="28"/>
                <w:szCs w:val="28"/>
                <w:lang w:val="uk-UA"/>
              </w:rPr>
              <w:t>2</w:t>
            </w:r>
            <w:r w:rsidR="00F37E51">
              <w:rPr>
                <w:rFonts w:ascii="Times New Roman" w:hAnsi="Times New Roman"/>
                <w:sz w:val="28"/>
                <w:szCs w:val="28"/>
                <w:lang w:val="en-US"/>
              </w:rPr>
              <w:t>7</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1.2. Терапевтичний неоангіогенез як метод лікування хворих на критичну ішемію нижніх кінцівок з ураженням дистального</w:t>
            </w:r>
            <w:r w:rsidR="00F37E51" w:rsidRPr="00F37E51">
              <w:rPr>
                <w:rFonts w:ascii="Times New Roman" w:hAnsi="Times New Roman"/>
                <w:sz w:val="28"/>
                <w:szCs w:val="28"/>
              </w:rPr>
              <w:t xml:space="preserve"> </w:t>
            </w:r>
            <w:r w:rsidR="00F37E51">
              <w:rPr>
                <w:rFonts w:ascii="Times New Roman" w:hAnsi="Times New Roman"/>
                <w:sz w:val="28"/>
                <w:szCs w:val="28"/>
                <w:lang w:val="uk-UA"/>
              </w:rPr>
              <w:t>судинного</w:t>
            </w:r>
            <w:r>
              <w:rPr>
                <w:rFonts w:ascii="Times New Roman" w:hAnsi="Times New Roman"/>
                <w:sz w:val="28"/>
                <w:szCs w:val="28"/>
                <w:lang w:val="uk-UA"/>
              </w:rPr>
              <w:t xml:space="preserve"> русла</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F37E51" w:rsidRDefault="00F37E51" w:rsidP="00F37E51">
            <w:pPr>
              <w:tabs>
                <w:tab w:val="left" w:pos="8505"/>
              </w:tabs>
              <w:spacing w:after="0" w:line="360" w:lineRule="auto"/>
              <w:ind w:left="28" w:right="34"/>
              <w:jc w:val="right"/>
              <w:rPr>
                <w:rFonts w:ascii="Times New Roman" w:eastAsia="Times New Roman" w:hAnsi="Times New Roman"/>
                <w:sz w:val="28"/>
                <w:szCs w:val="28"/>
                <w:lang w:val="uk-UA"/>
              </w:rPr>
            </w:pPr>
          </w:p>
          <w:p w:rsidR="00A01923" w:rsidRPr="00F37E51" w:rsidRDefault="00313CAE" w:rsidP="00F37E51">
            <w:pPr>
              <w:tabs>
                <w:tab w:val="left" w:pos="8505"/>
              </w:tabs>
              <w:spacing w:after="0" w:line="360" w:lineRule="auto"/>
              <w:ind w:left="28" w:right="34"/>
              <w:jc w:val="right"/>
              <w:rPr>
                <w:rFonts w:ascii="Times New Roman" w:eastAsia="Times New Roman" w:hAnsi="Times New Roman"/>
                <w:sz w:val="28"/>
                <w:szCs w:val="28"/>
                <w:lang w:val="en-US"/>
              </w:rPr>
            </w:pPr>
            <w:r>
              <w:rPr>
                <w:rFonts w:ascii="Times New Roman" w:eastAsia="Times New Roman" w:hAnsi="Times New Roman"/>
                <w:sz w:val="28"/>
                <w:szCs w:val="28"/>
                <w:lang w:val="uk-UA"/>
              </w:rPr>
              <w:t>3</w:t>
            </w:r>
            <w:r w:rsidR="00F37E51">
              <w:rPr>
                <w:rFonts w:ascii="Times New Roman" w:eastAsia="Times New Roman" w:hAnsi="Times New Roman"/>
                <w:sz w:val="28"/>
                <w:szCs w:val="28"/>
                <w:lang w:val="en-US"/>
              </w:rPr>
              <w:t>7</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1.3. Значимість показників дисфункції ендотелію у діагностиці стану хворих на хронічну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4</w:t>
            </w:r>
            <w:r w:rsidR="00F37E51">
              <w:rPr>
                <w:rFonts w:ascii="Times New Roman" w:eastAsia="Times New Roman" w:hAnsi="Times New Roman"/>
                <w:sz w:val="28"/>
                <w:szCs w:val="28"/>
                <w:lang w:val="uk-UA"/>
              </w:rPr>
              <w:t>8</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1.4. Оцінка якості життя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5</w:t>
            </w:r>
            <w:r w:rsidR="00F37E51">
              <w:rPr>
                <w:rFonts w:ascii="Times New Roman" w:eastAsia="Times New Roman" w:hAnsi="Times New Roman"/>
                <w:sz w:val="28"/>
                <w:szCs w:val="28"/>
                <w:lang w:val="uk-UA"/>
              </w:rPr>
              <w:t>2</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Розділ 2. Матеріали та методи достідження</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5</w:t>
            </w:r>
            <w:r w:rsidR="00F37E51">
              <w:rPr>
                <w:rFonts w:ascii="Times New Roman" w:eastAsia="Times New Roman" w:hAnsi="Times New Roman"/>
                <w:sz w:val="28"/>
                <w:szCs w:val="28"/>
                <w:lang w:val="uk-UA"/>
              </w:rPr>
              <w:t>6</w:t>
            </w:r>
          </w:p>
        </w:tc>
      </w:tr>
      <w:tr w:rsidR="00A01923" w:rsidTr="001F3608">
        <w:trPr>
          <w:trHeight w:val="148"/>
        </w:trPr>
        <w:tc>
          <w:tcPr>
            <w:tcW w:w="8194" w:type="dxa"/>
            <w:hideMark/>
          </w:tcPr>
          <w:p w:rsidR="00A01923" w:rsidRDefault="00A01923">
            <w:pPr>
              <w:tabs>
                <w:tab w:val="left" w:pos="-540"/>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2.1. Клінічна характеристика обстежених хворих</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5</w:t>
            </w:r>
            <w:r w:rsidR="00F37E51">
              <w:rPr>
                <w:rFonts w:ascii="Times New Roman" w:eastAsia="Times New Roman" w:hAnsi="Times New Roman"/>
                <w:sz w:val="28"/>
                <w:szCs w:val="28"/>
                <w:lang w:val="uk-UA"/>
              </w:rPr>
              <w:t>6</w:t>
            </w:r>
          </w:p>
        </w:tc>
      </w:tr>
      <w:tr w:rsidR="00A01923" w:rsidTr="001F3608">
        <w:trPr>
          <w:trHeight w:val="148"/>
        </w:trPr>
        <w:tc>
          <w:tcPr>
            <w:tcW w:w="8194" w:type="dxa"/>
            <w:hideMark/>
          </w:tcPr>
          <w:p w:rsidR="00A01923" w:rsidRDefault="00A01923">
            <w:pPr>
              <w:tabs>
                <w:tab w:val="left" w:pos="-540"/>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2.2. Клінічно-лабораторні та інструментальні методи досліджень</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6</w:t>
            </w:r>
            <w:r w:rsidR="00F37E51">
              <w:rPr>
                <w:rFonts w:ascii="Times New Roman" w:eastAsia="Times New Roman" w:hAnsi="Times New Roman"/>
                <w:sz w:val="28"/>
                <w:szCs w:val="28"/>
                <w:lang w:val="uk-UA"/>
              </w:rPr>
              <w:t>2</w:t>
            </w:r>
          </w:p>
        </w:tc>
      </w:tr>
      <w:tr w:rsidR="00A01923" w:rsidTr="001F3608">
        <w:trPr>
          <w:trHeight w:val="148"/>
        </w:trPr>
        <w:tc>
          <w:tcPr>
            <w:tcW w:w="8194" w:type="dxa"/>
            <w:hideMark/>
          </w:tcPr>
          <w:p w:rsidR="00A01923" w:rsidRDefault="00A01923">
            <w:pPr>
              <w:tabs>
                <w:tab w:val="left" w:pos="180"/>
                <w:tab w:val="left" w:pos="360"/>
                <w:tab w:val="left" w:pos="540"/>
                <w:tab w:val="left" w:pos="1080"/>
                <w:tab w:val="left" w:pos="6840"/>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2.3.</w:t>
            </w:r>
            <w:r>
              <w:rPr>
                <w:rFonts w:ascii="Times New Roman" w:hAnsi="Times New Roman"/>
                <w:b/>
                <w:sz w:val="28"/>
                <w:szCs w:val="28"/>
                <w:lang w:val="uk-UA"/>
              </w:rPr>
              <w:t xml:space="preserve"> </w:t>
            </w:r>
            <w:r>
              <w:rPr>
                <w:rFonts w:ascii="Times New Roman" w:hAnsi="Times New Roman"/>
                <w:sz w:val="28"/>
                <w:szCs w:val="28"/>
                <w:lang w:val="uk-UA"/>
              </w:rPr>
              <w:t>Методи  оцінки якості життя хворих та</w:t>
            </w:r>
            <w:r w:rsidR="00F37E51">
              <w:rPr>
                <w:rFonts w:ascii="Times New Roman" w:hAnsi="Times New Roman"/>
                <w:sz w:val="28"/>
                <w:szCs w:val="28"/>
                <w:lang w:val="uk-UA"/>
              </w:rPr>
              <w:t xml:space="preserve"> рівню</w:t>
            </w:r>
            <w:r>
              <w:rPr>
                <w:rFonts w:ascii="Times New Roman" w:hAnsi="Times New Roman"/>
                <w:sz w:val="28"/>
                <w:szCs w:val="28"/>
                <w:lang w:val="uk-UA"/>
              </w:rPr>
              <w:t xml:space="preserve">  бол</w:t>
            </w:r>
            <w:r w:rsidR="001F3608">
              <w:rPr>
                <w:rFonts w:ascii="Times New Roman" w:hAnsi="Times New Roman"/>
                <w:sz w:val="28"/>
                <w:szCs w:val="28"/>
                <w:lang w:val="uk-UA"/>
              </w:rPr>
              <w:t>ю</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6</w:t>
            </w:r>
            <w:r w:rsidR="00F37E51">
              <w:rPr>
                <w:rFonts w:ascii="Times New Roman" w:eastAsia="Times New Roman" w:hAnsi="Times New Roman"/>
                <w:sz w:val="28"/>
                <w:szCs w:val="28"/>
                <w:lang w:val="uk-UA"/>
              </w:rPr>
              <w:t>6</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2.4. Методика проведення стимуляції неоангіогенезу</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6</w:t>
            </w:r>
            <w:r w:rsidR="00F37E51">
              <w:rPr>
                <w:rFonts w:ascii="Times New Roman" w:eastAsia="Times New Roman" w:hAnsi="Times New Roman"/>
                <w:sz w:val="28"/>
                <w:szCs w:val="28"/>
                <w:lang w:val="uk-UA"/>
              </w:rPr>
              <w:t>9</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2.5. Методи статистичного аналізу</w:t>
            </w:r>
          </w:p>
        </w:tc>
        <w:tc>
          <w:tcPr>
            <w:tcW w:w="986" w:type="dxa"/>
          </w:tcPr>
          <w:p w:rsidR="00A01923"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7</w:t>
            </w:r>
            <w:r w:rsidR="00F37E51">
              <w:rPr>
                <w:rFonts w:ascii="Times New Roman" w:eastAsia="Times New Roman" w:hAnsi="Times New Roman"/>
                <w:sz w:val="28"/>
                <w:szCs w:val="28"/>
                <w:lang w:val="uk-UA"/>
              </w:rPr>
              <w:t>1</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Розділ 3. Особливості комплексної діагностики ураження судинного русла та прогнозування ймовірності ампутацій у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313CAE" w:rsidRDefault="00313CAE">
            <w:pPr>
              <w:tabs>
                <w:tab w:val="left" w:pos="8505"/>
              </w:tabs>
              <w:spacing w:after="0" w:line="360" w:lineRule="auto"/>
              <w:ind w:left="28" w:right="34"/>
              <w:jc w:val="right"/>
              <w:rPr>
                <w:rFonts w:ascii="Times New Roman" w:eastAsia="Times New Roman" w:hAnsi="Times New Roman"/>
                <w:sz w:val="28"/>
                <w:szCs w:val="28"/>
                <w:lang w:val="uk-UA"/>
              </w:rPr>
            </w:pPr>
          </w:p>
          <w:p w:rsidR="00313CAE" w:rsidRDefault="00313CAE" w:rsidP="00F37E51">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7</w:t>
            </w:r>
            <w:r w:rsidR="00F37E51">
              <w:rPr>
                <w:rFonts w:ascii="Times New Roman" w:eastAsia="Times New Roman" w:hAnsi="Times New Roman"/>
                <w:sz w:val="28"/>
                <w:szCs w:val="28"/>
                <w:lang w:val="uk-UA"/>
              </w:rPr>
              <w:t>3</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3.1.Особливості комплексної діагностики ураження судинного русла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313CAE" w:rsidRDefault="00313CAE" w:rsidP="00F37E51">
            <w:pPr>
              <w:tabs>
                <w:tab w:val="left" w:pos="8505"/>
              </w:tabs>
              <w:spacing w:after="0" w:line="360" w:lineRule="auto"/>
              <w:ind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7</w:t>
            </w:r>
            <w:r w:rsidR="00F37E51">
              <w:rPr>
                <w:rFonts w:ascii="Times New Roman" w:eastAsia="Times New Roman" w:hAnsi="Times New Roman"/>
                <w:sz w:val="28"/>
                <w:szCs w:val="28"/>
                <w:lang w:val="uk-UA"/>
              </w:rPr>
              <w:t>3</w:t>
            </w:r>
          </w:p>
        </w:tc>
      </w:tr>
      <w:tr w:rsidR="00A01923" w:rsidTr="001F3608">
        <w:trPr>
          <w:trHeight w:val="148"/>
        </w:trPr>
        <w:tc>
          <w:tcPr>
            <w:tcW w:w="8194" w:type="dxa"/>
            <w:hideMark/>
          </w:tcPr>
          <w:p w:rsidR="00A01923" w:rsidRDefault="00A01923">
            <w:pPr>
              <w:tabs>
                <w:tab w:val="left" w:pos="8505"/>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 xml:space="preserve">3.2. Прогнозування ймовірності </w:t>
            </w:r>
            <w:r w:rsidR="00F37E51">
              <w:rPr>
                <w:rFonts w:ascii="Times New Roman" w:hAnsi="Times New Roman"/>
                <w:sz w:val="28"/>
                <w:szCs w:val="28"/>
                <w:lang w:val="uk-UA"/>
              </w:rPr>
              <w:t xml:space="preserve">виконання </w:t>
            </w:r>
            <w:r>
              <w:rPr>
                <w:rFonts w:ascii="Times New Roman" w:hAnsi="Times New Roman"/>
                <w:sz w:val="28"/>
                <w:szCs w:val="28"/>
                <w:lang w:val="uk-UA"/>
              </w:rPr>
              <w:t>ампутацій</w:t>
            </w:r>
            <w:r w:rsidR="00B72BC5">
              <w:rPr>
                <w:rFonts w:ascii="Times New Roman" w:hAnsi="Times New Roman"/>
                <w:sz w:val="28"/>
                <w:szCs w:val="28"/>
                <w:lang w:val="uk-UA"/>
              </w:rPr>
              <w:t xml:space="preserve"> нижніх кінціок</w:t>
            </w:r>
            <w:r>
              <w:rPr>
                <w:rFonts w:ascii="Times New Roman" w:hAnsi="Times New Roman"/>
                <w:sz w:val="28"/>
                <w:szCs w:val="28"/>
                <w:lang w:val="uk-UA"/>
              </w:rPr>
              <w:t xml:space="preserve"> при лікуванні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B72BC5" w:rsidRDefault="00B72BC5" w:rsidP="00B72BC5">
            <w:pPr>
              <w:tabs>
                <w:tab w:val="left" w:pos="8505"/>
              </w:tabs>
              <w:spacing w:after="0" w:line="360" w:lineRule="auto"/>
              <w:ind w:left="28" w:right="34"/>
              <w:jc w:val="right"/>
              <w:rPr>
                <w:rFonts w:ascii="Times New Roman" w:eastAsia="Times New Roman" w:hAnsi="Times New Roman"/>
                <w:sz w:val="28"/>
                <w:szCs w:val="28"/>
                <w:lang w:val="uk-UA"/>
              </w:rPr>
            </w:pPr>
          </w:p>
          <w:p w:rsidR="00313CAE" w:rsidRDefault="00313CAE" w:rsidP="00B72BC5">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8</w:t>
            </w:r>
            <w:r w:rsidR="00B72BC5">
              <w:rPr>
                <w:rFonts w:ascii="Times New Roman" w:eastAsia="Times New Roman" w:hAnsi="Times New Roman"/>
                <w:sz w:val="28"/>
                <w:szCs w:val="28"/>
                <w:lang w:val="uk-UA"/>
              </w:rPr>
              <w:t>9</w:t>
            </w:r>
          </w:p>
        </w:tc>
      </w:tr>
      <w:tr w:rsidR="00A01923" w:rsidTr="001F3608">
        <w:trPr>
          <w:trHeight w:val="148"/>
        </w:trPr>
        <w:tc>
          <w:tcPr>
            <w:tcW w:w="8194" w:type="dxa"/>
            <w:hideMark/>
          </w:tcPr>
          <w:p w:rsidR="00A01923" w:rsidRPr="001F3608" w:rsidRDefault="00A01923" w:rsidP="00B72BC5">
            <w:pPr>
              <w:pStyle w:val="21"/>
              <w:spacing w:after="0" w:line="360" w:lineRule="auto"/>
              <w:ind w:left="0"/>
              <w:rPr>
                <w:rFonts w:ascii="Times New Roman" w:eastAsia="Times New Roman" w:hAnsi="Times New Roman"/>
                <w:sz w:val="28"/>
                <w:szCs w:val="28"/>
              </w:rPr>
            </w:pPr>
            <w:r w:rsidRPr="001F3608">
              <w:rPr>
                <w:rFonts w:ascii="Times New Roman" w:hAnsi="Times New Roman"/>
                <w:sz w:val="28"/>
                <w:szCs w:val="28"/>
              </w:rPr>
              <w:lastRenderedPageBreak/>
              <w:t xml:space="preserve">Розділ 4. Особливості порушень показників гомеостазу та </w:t>
            </w:r>
            <w:r w:rsidR="00B72BC5" w:rsidRPr="001F3608">
              <w:rPr>
                <w:rFonts w:ascii="Times New Roman" w:hAnsi="Times New Roman"/>
                <w:sz w:val="28"/>
                <w:szCs w:val="28"/>
              </w:rPr>
              <w:t>кровообігу</w:t>
            </w:r>
            <w:r w:rsidRPr="001F3608">
              <w:rPr>
                <w:rFonts w:ascii="Times New Roman" w:hAnsi="Times New Roman"/>
                <w:sz w:val="28"/>
                <w:szCs w:val="28"/>
              </w:rPr>
              <w:t xml:space="preserve"> кінцівок у хворих</w:t>
            </w:r>
            <w:r w:rsidR="00B72BC5" w:rsidRPr="001F3608">
              <w:rPr>
                <w:rFonts w:ascii="Times New Roman" w:hAnsi="Times New Roman"/>
                <w:sz w:val="28"/>
                <w:szCs w:val="28"/>
              </w:rPr>
              <w:t xml:space="preserve"> на хронічну критичну ішемію нижніх кінцівок</w:t>
            </w:r>
          </w:p>
        </w:tc>
        <w:tc>
          <w:tcPr>
            <w:tcW w:w="986" w:type="dxa"/>
          </w:tcPr>
          <w:p w:rsidR="00A01923" w:rsidRDefault="00A01923" w:rsidP="00313CAE">
            <w:pPr>
              <w:tabs>
                <w:tab w:val="left" w:pos="8505"/>
              </w:tabs>
              <w:spacing w:after="0" w:line="360" w:lineRule="auto"/>
              <w:ind w:right="34"/>
              <w:rPr>
                <w:rFonts w:ascii="Times New Roman" w:hAnsi="Times New Roman"/>
                <w:sz w:val="28"/>
                <w:szCs w:val="28"/>
                <w:lang w:val="uk-UA"/>
              </w:rPr>
            </w:pPr>
          </w:p>
          <w:p w:rsidR="00B72BC5" w:rsidRDefault="00B72BC5">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B72BC5">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10</w:t>
            </w:r>
            <w:r w:rsidR="00B72BC5">
              <w:rPr>
                <w:rFonts w:ascii="Times New Roman" w:eastAsia="Times New Roman" w:hAnsi="Times New Roman"/>
                <w:sz w:val="28"/>
                <w:szCs w:val="28"/>
                <w:lang w:val="uk-UA"/>
              </w:rPr>
              <w:t>3</w:t>
            </w:r>
          </w:p>
        </w:tc>
      </w:tr>
      <w:tr w:rsidR="00A01923" w:rsidTr="001F3608">
        <w:trPr>
          <w:trHeight w:val="148"/>
        </w:trPr>
        <w:tc>
          <w:tcPr>
            <w:tcW w:w="8194" w:type="dxa"/>
            <w:hideMark/>
          </w:tcPr>
          <w:p w:rsidR="00A01923" w:rsidRPr="001F3608" w:rsidRDefault="00A01923" w:rsidP="001F3608">
            <w:pPr>
              <w:tabs>
                <w:tab w:val="left" w:pos="8505"/>
              </w:tabs>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 xml:space="preserve">4.1. Характеристика показників вазомоторної, проліферативної, прозапальної і гемостатичної функціі ендотелію </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10</w:t>
            </w:r>
            <w:r w:rsidR="001F3608">
              <w:rPr>
                <w:rFonts w:ascii="Times New Roman" w:eastAsia="Times New Roman" w:hAnsi="Times New Roman"/>
                <w:sz w:val="28"/>
                <w:szCs w:val="28"/>
                <w:lang w:val="uk-UA"/>
              </w:rPr>
              <w:t>3</w:t>
            </w:r>
          </w:p>
        </w:tc>
      </w:tr>
      <w:tr w:rsidR="00A01923" w:rsidTr="001F3608">
        <w:trPr>
          <w:trHeight w:val="1112"/>
        </w:trPr>
        <w:tc>
          <w:tcPr>
            <w:tcW w:w="8194" w:type="dxa"/>
            <w:hideMark/>
          </w:tcPr>
          <w:p w:rsidR="00A01923" w:rsidRPr="001F3608" w:rsidRDefault="00A01923">
            <w:pPr>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4.2. Динаміка зміни температурного режиму кінцівок у досліджуваних хворих та їх порівняння</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11</w:t>
            </w:r>
            <w:r w:rsidR="001F3608">
              <w:rPr>
                <w:rFonts w:ascii="Times New Roman" w:eastAsia="Times New Roman" w:hAnsi="Times New Roman"/>
                <w:sz w:val="28"/>
                <w:szCs w:val="28"/>
                <w:lang w:val="uk-UA"/>
              </w:rPr>
              <w:t>1</w:t>
            </w:r>
          </w:p>
        </w:tc>
      </w:tr>
      <w:tr w:rsidR="00A01923" w:rsidTr="001F3608">
        <w:trPr>
          <w:trHeight w:val="1112"/>
        </w:trPr>
        <w:tc>
          <w:tcPr>
            <w:tcW w:w="8194" w:type="dxa"/>
            <w:hideMark/>
          </w:tcPr>
          <w:p w:rsidR="00A01923" w:rsidRPr="001F3608" w:rsidRDefault="00A01923">
            <w:pPr>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4.3. Динаміка зміни транскутанного напруження кисню кінцівок досліджуваних хворих та їх порівняння</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11</w:t>
            </w:r>
            <w:r w:rsidR="001F3608">
              <w:rPr>
                <w:rFonts w:ascii="Times New Roman" w:eastAsia="Times New Roman" w:hAnsi="Times New Roman"/>
                <w:sz w:val="28"/>
                <w:szCs w:val="28"/>
                <w:lang w:val="uk-UA"/>
              </w:rPr>
              <w:t>5</w:t>
            </w:r>
          </w:p>
        </w:tc>
      </w:tr>
      <w:tr w:rsidR="00A01923" w:rsidTr="001F3608">
        <w:trPr>
          <w:trHeight w:val="411"/>
        </w:trPr>
        <w:tc>
          <w:tcPr>
            <w:tcW w:w="8194" w:type="dxa"/>
            <w:hideMark/>
          </w:tcPr>
          <w:p w:rsidR="00A01923" w:rsidRPr="001F3608" w:rsidRDefault="00A01923">
            <w:pPr>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Розділ 5. Особливості хірургічного лікування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12</w:t>
            </w:r>
            <w:r w:rsidR="001F3608">
              <w:rPr>
                <w:rFonts w:ascii="Times New Roman" w:eastAsia="Times New Roman" w:hAnsi="Times New Roman"/>
                <w:sz w:val="28"/>
                <w:szCs w:val="28"/>
                <w:lang w:val="uk-UA"/>
              </w:rPr>
              <w:t>1</w:t>
            </w:r>
          </w:p>
        </w:tc>
      </w:tr>
      <w:tr w:rsidR="00A01923" w:rsidTr="001F3608">
        <w:trPr>
          <w:trHeight w:val="411"/>
        </w:trPr>
        <w:tc>
          <w:tcPr>
            <w:tcW w:w="8194" w:type="dxa"/>
            <w:hideMark/>
          </w:tcPr>
          <w:p w:rsidR="00A01923" w:rsidRPr="001F3608" w:rsidRDefault="00A01923">
            <w:pPr>
              <w:tabs>
                <w:tab w:val="left" w:pos="180"/>
                <w:tab w:val="left" w:pos="360"/>
                <w:tab w:val="left" w:pos="540"/>
                <w:tab w:val="left" w:pos="720"/>
                <w:tab w:val="left" w:pos="6840"/>
              </w:tabs>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5.1. Особливості вибору способу хірургічного втручання</w:t>
            </w:r>
            <w:r w:rsidR="001F3608" w:rsidRPr="001F3608">
              <w:rPr>
                <w:rFonts w:ascii="Times New Roman" w:hAnsi="Times New Roman"/>
                <w:sz w:val="28"/>
                <w:szCs w:val="28"/>
                <w:lang w:val="uk-UA"/>
              </w:rPr>
              <w:t xml:space="preserve"> у хворих на хронічну критичну ішемію нижніх кінцівок</w:t>
            </w:r>
          </w:p>
        </w:tc>
        <w:tc>
          <w:tcPr>
            <w:tcW w:w="986" w:type="dxa"/>
          </w:tcPr>
          <w:p w:rsidR="001F3608" w:rsidRDefault="001F3608" w:rsidP="001F3608">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12</w:t>
            </w:r>
            <w:r w:rsidR="001F3608">
              <w:rPr>
                <w:rFonts w:ascii="Times New Roman" w:eastAsia="Times New Roman" w:hAnsi="Times New Roman"/>
                <w:sz w:val="28"/>
                <w:szCs w:val="28"/>
                <w:lang w:val="uk-UA"/>
              </w:rPr>
              <w:t>1</w:t>
            </w:r>
          </w:p>
        </w:tc>
      </w:tr>
      <w:tr w:rsidR="00A01923" w:rsidTr="001F3608">
        <w:trPr>
          <w:trHeight w:val="411"/>
        </w:trPr>
        <w:tc>
          <w:tcPr>
            <w:tcW w:w="8194" w:type="dxa"/>
            <w:hideMark/>
          </w:tcPr>
          <w:p w:rsidR="00A01923" w:rsidRPr="001F3608" w:rsidRDefault="00A01923" w:rsidP="001F3608">
            <w:pPr>
              <w:tabs>
                <w:tab w:val="left" w:pos="5950"/>
              </w:tabs>
              <w:spacing w:after="0" w:line="360" w:lineRule="auto"/>
              <w:ind w:right="141"/>
              <w:rPr>
                <w:rFonts w:ascii="Times New Roman" w:eastAsia="Times New Roman" w:hAnsi="Times New Roman"/>
                <w:sz w:val="28"/>
                <w:szCs w:val="28"/>
                <w:lang w:val="uk-UA"/>
              </w:rPr>
            </w:pPr>
            <w:r w:rsidRPr="001F3608">
              <w:rPr>
                <w:rFonts w:ascii="Times New Roman" w:hAnsi="Times New Roman"/>
                <w:sz w:val="28"/>
                <w:szCs w:val="28"/>
                <w:lang w:val="uk-UA"/>
              </w:rPr>
              <w:t>5.2 Залежність показників ендотеліальної дисфункції від проведеного лікування</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13</w:t>
            </w:r>
            <w:r w:rsidR="001F3608">
              <w:rPr>
                <w:rFonts w:ascii="Times New Roman" w:eastAsia="Times New Roman" w:hAnsi="Times New Roman"/>
                <w:sz w:val="28"/>
                <w:szCs w:val="28"/>
                <w:lang w:val="uk-UA"/>
              </w:rPr>
              <w:t>6</w:t>
            </w:r>
          </w:p>
        </w:tc>
      </w:tr>
      <w:tr w:rsidR="00A01923" w:rsidTr="001F3608">
        <w:trPr>
          <w:trHeight w:val="393"/>
        </w:trPr>
        <w:tc>
          <w:tcPr>
            <w:tcW w:w="8194" w:type="dxa"/>
            <w:hideMark/>
          </w:tcPr>
          <w:p w:rsidR="00A01923" w:rsidRPr="001F3608" w:rsidRDefault="00A01923">
            <w:pPr>
              <w:tabs>
                <w:tab w:val="left" w:pos="180"/>
                <w:tab w:val="left" w:pos="540"/>
                <w:tab w:val="left" w:pos="720"/>
              </w:tabs>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Розділ 6. Результати лікування хворих на хронічну критичну ішемію нижніх кінцівок</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313CAE"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14</w:t>
            </w:r>
            <w:r w:rsidR="001F3608">
              <w:rPr>
                <w:rFonts w:ascii="Times New Roman" w:eastAsia="Times New Roman" w:hAnsi="Times New Roman"/>
                <w:sz w:val="28"/>
                <w:szCs w:val="28"/>
                <w:lang w:val="uk-UA"/>
              </w:rPr>
              <w:t>5</w:t>
            </w:r>
          </w:p>
        </w:tc>
      </w:tr>
      <w:tr w:rsidR="00A01923" w:rsidTr="001F3608">
        <w:trPr>
          <w:trHeight w:val="411"/>
        </w:trPr>
        <w:tc>
          <w:tcPr>
            <w:tcW w:w="8194" w:type="dxa"/>
            <w:hideMark/>
          </w:tcPr>
          <w:p w:rsidR="00A01923" w:rsidRPr="001F3608" w:rsidRDefault="00A01923" w:rsidP="00C47DFD">
            <w:pPr>
              <w:tabs>
                <w:tab w:val="left" w:pos="180"/>
                <w:tab w:val="left" w:pos="540"/>
                <w:tab w:val="left" w:pos="720"/>
              </w:tabs>
              <w:spacing w:after="0" w:line="360" w:lineRule="auto"/>
              <w:rPr>
                <w:rFonts w:ascii="Times New Roman" w:eastAsia="Times New Roman" w:hAnsi="Times New Roman"/>
                <w:sz w:val="28"/>
                <w:szCs w:val="28"/>
                <w:lang w:val="uk-UA"/>
              </w:rPr>
            </w:pPr>
            <w:r w:rsidRPr="001F3608">
              <w:rPr>
                <w:rFonts w:ascii="Times New Roman" w:hAnsi="Times New Roman"/>
                <w:sz w:val="28"/>
                <w:szCs w:val="28"/>
                <w:lang w:val="uk-UA"/>
              </w:rPr>
              <w:t>6.1 Оцінка якості життя хворих</w:t>
            </w:r>
            <w:r w:rsidR="001F3608" w:rsidRPr="001F3608">
              <w:rPr>
                <w:rFonts w:ascii="Times New Roman" w:hAnsi="Times New Roman"/>
                <w:sz w:val="28"/>
                <w:szCs w:val="28"/>
                <w:lang w:val="uk-UA"/>
              </w:rPr>
              <w:t xml:space="preserve"> на хронічну критичну ішемію нижніх кінцівок</w:t>
            </w:r>
            <w:r w:rsidRPr="001F3608">
              <w:rPr>
                <w:rFonts w:ascii="Times New Roman" w:hAnsi="Times New Roman"/>
                <w:sz w:val="28"/>
                <w:szCs w:val="28"/>
                <w:lang w:val="uk-UA"/>
              </w:rPr>
              <w:t xml:space="preserve"> після лікування</w:t>
            </w:r>
          </w:p>
        </w:tc>
        <w:tc>
          <w:tcPr>
            <w:tcW w:w="986" w:type="dxa"/>
          </w:tcPr>
          <w:p w:rsidR="001F3608" w:rsidRDefault="001F3608" w:rsidP="001F3608">
            <w:pPr>
              <w:tabs>
                <w:tab w:val="left" w:pos="8505"/>
              </w:tabs>
              <w:spacing w:after="0" w:line="360" w:lineRule="auto"/>
              <w:ind w:right="34"/>
              <w:jc w:val="right"/>
              <w:rPr>
                <w:rFonts w:ascii="Times New Roman" w:eastAsia="Times New Roman" w:hAnsi="Times New Roman"/>
                <w:sz w:val="28"/>
                <w:szCs w:val="28"/>
                <w:lang w:val="uk-UA"/>
              </w:rPr>
            </w:pPr>
          </w:p>
          <w:p w:rsidR="00A01923" w:rsidRDefault="00313CAE" w:rsidP="001F3608">
            <w:pPr>
              <w:tabs>
                <w:tab w:val="left" w:pos="8505"/>
              </w:tabs>
              <w:spacing w:after="0" w:line="360" w:lineRule="auto"/>
              <w:ind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14</w:t>
            </w:r>
            <w:r w:rsidR="001F3608">
              <w:rPr>
                <w:rFonts w:ascii="Times New Roman" w:eastAsia="Times New Roman" w:hAnsi="Times New Roman"/>
                <w:sz w:val="28"/>
                <w:szCs w:val="28"/>
                <w:lang w:val="uk-UA"/>
              </w:rPr>
              <w:t>5</w:t>
            </w:r>
          </w:p>
        </w:tc>
      </w:tr>
      <w:tr w:rsidR="00A01923" w:rsidTr="001F3608">
        <w:trPr>
          <w:trHeight w:val="246"/>
        </w:trPr>
        <w:tc>
          <w:tcPr>
            <w:tcW w:w="8194" w:type="dxa"/>
            <w:hideMark/>
          </w:tcPr>
          <w:p w:rsidR="00A01923" w:rsidRDefault="00C47DFD">
            <w:pPr>
              <w:tabs>
                <w:tab w:val="left" w:pos="180"/>
                <w:tab w:val="left" w:pos="540"/>
                <w:tab w:val="left" w:pos="720"/>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6.2 Р</w:t>
            </w:r>
            <w:r w:rsidR="00A01923">
              <w:rPr>
                <w:rFonts w:ascii="Times New Roman" w:hAnsi="Times New Roman"/>
                <w:sz w:val="28"/>
                <w:szCs w:val="28"/>
                <w:lang w:val="uk-UA"/>
              </w:rPr>
              <w:t>езультати лікування хворих</w:t>
            </w:r>
            <w:r>
              <w:rPr>
                <w:rFonts w:ascii="Times New Roman" w:hAnsi="Times New Roman"/>
                <w:sz w:val="28"/>
                <w:szCs w:val="28"/>
                <w:lang w:val="uk-UA"/>
              </w:rPr>
              <w:t xml:space="preserve"> на хронічну критичну ішемію нижніх кінцівок</w:t>
            </w:r>
            <w:r w:rsidR="00A01923">
              <w:rPr>
                <w:rFonts w:ascii="Times New Roman" w:hAnsi="Times New Roman"/>
                <w:sz w:val="28"/>
                <w:szCs w:val="28"/>
                <w:lang w:val="uk-UA"/>
              </w:rPr>
              <w:t xml:space="preserve"> </w:t>
            </w:r>
          </w:p>
        </w:tc>
        <w:tc>
          <w:tcPr>
            <w:tcW w:w="986" w:type="dxa"/>
          </w:tcPr>
          <w:p w:rsidR="00A01923" w:rsidRDefault="00A01923">
            <w:pPr>
              <w:tabs>
                <w:tab w:val="left" w:pos="8505"/>
              </w:tabs>
              <w:spacing w:after="0" w:line="360" w:lineRule="auto"/>
              <w:ind w:left="28" w:right="34"/>
              <w:jc w:val="right"/>
              <w:rPr>
                <w:rFonts w:ascii="Times New Roman" w:eastAsia="Times New Roman" w:hAnsi="Times New Roman"/>
                <w:sz w:val="28"/>
                <w:szCs w:val="28"/>
                <w:lang w:val="uk-UA"/>
              </w:rPr>
            </w:pPr>
          </w:p>
          <w:p w:rsidR="00C47DFD"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14</w:t>
            </w:r>
            <w:r w:rsidR="001F3608">
              <w:rPr>
                <w:rFonts w:ascii="Times New Roman" w:eastAsia="Times New Roman" w:hAnsi="Times New Roman"/>
                <w:sz w:val="28"/>
                <w:szCs w:val="28"/>
                <w:lang w:val="uk-UA"/>
              </w:rPr>
              <w:t>8</w:t>
            </w:r>
          </w:p>
        </w:tc>
      </w:tr>
      <w:tr w:rsidR="00A01923" w:rsidTr="001F3608">
        <w:trPr>
          <w:trHeight w:val="411"/>
        </w:trPr>
        <w:tc>
          <w:tcPr>
            <w:tcW w:w="8194" w:type="dxa"/>
            <w:hideMark/>
          </w:tcPr>
          <w:p w:rsidR="00A01923" w:rsidRPr="00E44361" w:rsidRDefault="001F3608">
            <w:pPr>
              <w:tabs>
                <w:tab w:val="left" w:pos="180"/>
                <w:tab w:val="left" w:pos="540"/>
                <w:tab w:val="left" w:pos="720"/>
              </w:tabs>
              <w:spacing w:after="0" w:line="360" w:lineRule="auto"/>
              <w:rPr>
                <w:rFonts w:ascii="Times New Roman" w:eastAsia="Times New Roman" w:hAnsi="Times New Roman"/>
                <w:sz w:val="28"/>
                <w:szCs w:val="28"/>
                <w:lang w:val="uk-UA"/>
              </w:rPr>
            </w:pPr>
            <w:r>
              <w:rPr>
                <w:rFonts w:ascii="Times New Roman" w:hAnsi="Times New Roman"/>
                <w:sz w:val="28"/>
                <w:szCs w:val="28"/>
                <w:lang w:val="uk-UA"/>
              </w:rPr>
              <w:t xml:space="preserve">Розділ </w:t>
            </w:r>
            <w:r w:rsidR="00A01923" w:rsidRPr="00E44361">
              <w:rPr>
                <w:rFonts w:ascii="Times New Roman" w:hAnsi="Times New Roman"/>
                <w:sz w:val="28"/>
                <w:szCs w:val="28"/>
                <w:lang w:val="uk-UA"/>
              </w:rPr>
              <w:t xml:space="preserve">7. </w:t>
            </w:r>
            <w:r w:rsidR="00E44361" w:rsidRPr="00E44361">
              <w:rPr>
                <w:rFonts w:ascii="Times New Roman" w:hAnsi="Times New Roman"/>
                <w:sz w:val="28"/>
                <w:szCs w:val="28"/>
                <w:lang w:val="uk-UA"/>
              </w:rPr>
              <w:t>Підсумки і узагальнення результатів дослідження</w:t>
            </w:r>
          </w:p>
        </w:tc>
        <w:tc>
          <w:tcPr>
            <w:tcW w:w="986" w:type="dxa"/>
          </w:tcPr>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15</w:t>
            </w:r>
            <w:r w:rsidR="001F3608">
              <w:rPr>
                <w:rFonts w:ascii="Times New Roman" w:eastAsia="Times New Roman" w:hAnsi="Times New Roman"/>
                <w:sz w:val="28"/>
                <w:szCs w:val="28"/>
                <w:lang w:val="uk-UA"/>
              </w:rPr>
              <w:t>5</w:t>
            </w:r>
          </w:p>
        </w:tc>
      </w:tr>
      <w:tr w:rsidR="00A01923" w:rsidTr="001F3608">
        <w:trPr>
          <w:trHeight w:val="486"/>
        </w:trPr>
        <w:tc>
          <w:tcPr>
            <w:tcW w:w="8194" w:type="dxa"/>
            <w:hideMark/>
          </w:tcPr>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Висновки</w:t>
            </w:r>
          </w:p>
        </w:tc>
        <w:tc>
          <w:tcPr>
            <w:tcW w:w="986" w:type="dxa"/>
          </w:tcPr>
          <w:p w:rsidR="00A01923" w:rsidRDefault="00313CAE" w:rsidP="001F3608">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w:t>
            </w:r>
            <w:r w:rsidR="001F3608">
              <w:rPr>
                <w:rFonts w:ascii="Times New Roman" w:eastAsia="Times New Roman" w:hAnsi="Times New Roman"/>
                <w:sz w:val="28"/>
                <w:szCs w:val="28"/>
                <w:lang w:val="uk-UA"/>
              </w:rPr>
              <w:t>60</w:t>
            </w:r>
          </w:p>
        </w:tc>
      </w:tr>
      <w:tr w:rsidR="00A01923" w:rsidTr="001F3608">
        <w:trPr>
          <w:trHeight w:val="540"/>
        </w:trPr>
        <w:tc>
          <w:tcPr>
            <w:tcW w:w="8194" w:type="dxa"/>
            <w:hideMark/>
          </w:tcPr>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Список використаних джерел</w:t>
            </w:r>
          </w:p>
        </w:tc>
        <w:tc>
          <w:tcPr>
            <w:tcW w:w="986" w:type="dxa"/>
          </w:tcPr>
          <w:p w:rsidR="00A01923" w:rsidRDefault="00313CAE">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162</w:t>
            </w:r>
          </w:p>
        </w:tc>
      </w:tr>
      <w:tr w:rsidR="00A01923" w:rsidTr="001F3608">
        <w:trPr>
          <w:trHeight w:val="540"/>
        </w:trPr>
        <w:tc>
          <w:tcPr>
            <w:tcW w:w="8194" w:type="dxa"/>
            <w:hideMark/>
          </w:tcPr>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Додатки</w:t>
            </w:r>
          </w:p>
        </w:tc>
        <w:tc>
          <w:tcPr>
            <w:tcW w:w="986" w:type="dxa"/>
          </w:tcPr>
          <w:p w:rsidR="00A01923" w:rsidRDefault="00313CAE">
            <w:pPr>
              <w:tabs>
                <w:tab w:val="left" w:pos="8505"/>
              </w:tabs>
              <w:spacing w:after="0" w:line="360" w:lineRule="auto"/>
              <w:ind w:left="28" w:right="34"/>
              <w:jc w:val="right"/>
              <w:rPr>
                <w:rFonts w:ascii="Times New Roman" w:eastAsia="Times New Roman" w:hAnsi="Times New Roman"/>
                <w:sz w:val="28"/>
                <w:szCs w:val="28"/>
                <w:lang w:val="uk-UA"/>
              </w:rPr>
            </w:pPr>
            <w:r>
              <w:rPr>
                <w:rFonts w:ascii="Times New Roman" w:eastAsia="Times New Roman" w:hAnsi="Times New Roman"/>
                <w:sz w:val="28"/>
                <w:szCs w:val="28"/>
                <w:lang w:val="uk-UA"/>
              </w:rPr>
              <w:t>185</w:t>
            </w:r>
          </w:p>
        </w:tc>
      </w:tr>
    </w:tbl>
    <w:p w:rsidR="00A01923" w:rsidRDefault="00A01923" w:rsidP="00A01923">
      <w:pPr>
        <w:tabs>
          <w:tab w:val="left" w:pos="180"/>
          <w:tab w:val="left" w:pos="360"/>
          <w:tab w:val="left" w:pos="540"/>
          <w:tab w:val="left" w:pos="720"/>
          <w:tab w:val="left" w:pos="1080"/>
          <w:tab w:val="left" w:pos="6840"/>
        </w:tabs>
        <w:spacing w:after="0" w:line="360" w:lineRule="auto"/>
        <w:ind w:left="-284" w:firstLine="568"/>
        <w:jc w:val="both"/>
        <w:rPr>
          <w:rFonts w:ascii="Times New Roman" w:eastAsia="Times New Roman" w:hAnsi="Times New Roman"/>
          <w:sz w:val="28"/>
          <w:szCs w:val="28"/>
          <w:lang w:val="uk-UA"/>
        </w:rPr>
      </w:pPr>
    </w:p>
    <w:p w:rsidR="00A01923" w:rsidRDefault="00A01923" w:rsidP="00A01923">
      <w:pPr>
        <w:spacing w:after="0" w:line="360" w:lineRule="auto"/>
        <w:ind w:left="-284" w:firstLine="568"/>
        <w:jc w:val="center"/>
        <w:rPr>
          <w:rFonts w:ascii="Times New Roman" w:hAnsi="Times New Roman"/>
          <w:sz w:val="28"/>
          <w:szCs w:val="28"/>
          <w:lang w:val="uk-UA"/>
        </w:rPr>
      </w:pPr>
      <w:r>
        <w:rPr>
          <w:rFonts w:ascii="Times New Roman" w:hAnsi="Times New Roman"/>
          <w:sz w:val="28"/>
          <w:szCs w:val="28"/>
          <w:lang w:val="uk-UA"/>
        </w:rPr>
        <w:br w:type="page"/>
      </w:r>
      <w:r>
        <w:rPr>
          <w:rFonts w:ascii="Times New Roman" w:hAnsi="Times New Roman"/>
          <w:b/>
          <w:bCs/>
          <w:sz w:val="28"/>
          <w:szCs w:val="28"/>
          <w:lang w:val="uk-UA"/>
        </w:rPr>
        <w:lastRenderedPageBreak/>
        <w:t>ПЕРЕЛІК УМОВНИХ СКОРОЧЕНЬ</w:t>
      </w:r>
    </w:p>
    <w:p w:rsidR="00A01923" w:rsidRDefault="00A01923" w:rsidP="00A01923">
      <w:pPr>
        <w:tabs>
          <w:tab w:val="left" w:pos="180"/>
          <w:tab w:val="left" w:pos="540"/>
          <w:tab w:val="left" w:pos="720"/>
          <w:tab w:val="left" w:pos="9180"/>
        </w:tabs>
        <w:spacing w:after="0" w:line="360" w:lineRule="auto"/>
        <w:ind w:left="-284" w:firstLine="568"/>
        <w:jc w:val="both"/>
        <w:rPr>
          <w:rFonts w:ascii="Times New Roman" w:hAnsi="Times New Roman"/>
          <w:b/>
          <w:bCs/>
          <w:sz w:val="28"/>
          <w:szCs w:val="28"/>
          <w:lang w:val="uk-UA"/>
        </w:rPr>
      </w:pPr>
    </w:p>
    <w:p w:rsidR="00624810" w:rsidRDefault="00624810" w:rsidP="0051672D">
      <w:pPr>
        <w:tabs>
          <w:tab w:val="left" w:pos="180"/>
          <w:tab w:val="left" w:pos="540"/>
          <w:tab w:val="left" w:pos="720"/>
          <w:tab w:val="left" w:pos="9180"/>
        </w:tabs>
        <w:spacing w:after="0" w:line="360" w:lineRule="auto"/>
        <w:ind w:left="-284" w:firstLine="568"/>
        <w:jc w:val="both"/>
        <w:rPr>
          <w:rFonts w:ascii="Times New Roman" w:hAnsi="Times New Roman"/>
          <w:b/>
          <w:bCs/>
          <w:sz w:val="28"/>
          <w:szCs w:val="28"/>
          <w:lang w:val="uk-UA"/>
        </w:rPr>
      </w:pPr>
    </w:p>
    <w:tbl>
      <w:tblPr>
        <w:tblW w:w="0" w:type="auto"/>
        <w:tblInd w:w="-284" w:type="dxa"/>
        <w:tblLook w:val="04A0"/>
      </w:tblPr>
      <w:tblGrid>
        <w:gridCol w:w="1863"/>
        <w:gridCol w:w="7992"/>
      </w:tblGrid>
      <w:tr w:rsidR="00A01923" w:rsidRPr="00624810" w:rsidTr="0051672D">
        <w:trPr>
          <w:trHeight w:val="318"/>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Б</w:t>
            </w:r>
            <w:r w:rsidRPr="00624810">
              <w:rPr>
                <w:rFonts w:ascii="Times New Roman" w:hAnsi="Times New Roman"/>
                <w:sz w:val="28"/>
                <w:szCs w:val="28"/>
                <w:lang w:val="uk-UA"/>
              </w:rPr>
              <w:t>а</w:t>
            </w:r>
            <w:r w:rsidRPr="00624810">
              <w:rPr>
                <w:rFonts w:ascii="Times New Roman" w:hAnsi="Times New Roman"/>
                <w:bCs/>
                <w:smallCaps/>
                <w:sz w:val="28"/>
                <w:szCs w:val="28"/>
                <w:lang w:val="uk-UA"/>
              </w:rPr>
              <w:t>ТП</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багата тромбоцитами плазма</w:t>
            </w:r>
          </w:p>
        </w:tc>
      </w:tr>
      <w:tr w:rsidR="00A01923" w:rsidRPr="00624810" w:rsidTr="0051672D">
        <w:trPr>
          <w:trHeight w:val="30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ДБХ</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-дистанція безбольової ходи</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ДЕ</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-дисфункція ендотелію</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ЕТ-1</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-ендотелін-1</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ЗВГА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 задня великогомілкова артерія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ЗПА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-захворювання периферичних артерій</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ЗСА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 загальна стегнова артерія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КІНК</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критична ішемія нижніх кінцівок</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КПІ</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кісточково-плечовий індекс</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МГА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 малогомілкова артерія</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НЕЖК</w:t>
            </w:r>
          </w:p>
        </w:tc>
        <w:tc>
          <w:tcPr>
            <w:tcW w:w="7992" w:type="dxa"/>
            <w:hideMark/>
          </w:tcPr>
          <w:p w:rsidR="00A01923" w:rsidRPr="00624810" w:rsidRDefault="00A01923" w:rsidP="0051672D">
            <w:pPr>
              <w:numPr>
                <w:ilvl w:val="0"/>
                <w:numId w:val="3"/>
              </w:num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неетерифіковані жирні кислоти</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ОА</w:t>
            </w:r>
          </w:p>
        </w:tc>
        <w:tc>
          <w:tcPr>
            <w:tcW w:w="7992" w:type="dxa"/>
            <w:hideMark/>
          </w:tcPr>
          <w:p w:rsidR="00A01923" w:rsidRPr="00624810" w:rsidRDefault="00A01923" w:rsidP="0051672D">
            <w:pPr>
              <w:numPr>
                <w:ilvl w:val="0"/>
                <w:numId w:val="3"/>
              </w:num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облітеруючий атеросклероз</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ОЕ</w:t>
            </w:r>
          </w:p>
        </w:tc>
        <w:tc>
          <w:tcPr>
            <w:tcW w:w="7992" w:type="dxa"/>
            <w:hideMark/>
          </w:tcPr>
          <w:p w:rsidR="00A01923" w:rsidRPr="00624810" w:rsidRDefault="00A01923" w:rsidP="0051672D">
            <w:pPr>
              <w:numPr>
                <w:ilvl w:val="0"/>
                <w:numId w:val="3"/>
              </w:num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облітеруючий ендартеріїт</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ПВГА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передня великогомілкова артерія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ПКА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w:t>
            </w:r>
            <w:r w:rsidRPr="00624810">
              <w:rPr>
                <w:rFonts w:ascii="Times New Roman" w:hAnsi="Times New Roman"/>
                <w:sz w:val="28"/>
                <w:szCs w:val="28"/>
                <w:lang w:val="uk-UA"/>
              </w:rPr>
              <w:t xml:space="preserve"> підколінна артерія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ПТО</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післятромботична оклюзія</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ПФ</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-психічне функціонування</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ПСА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sz w:val="28"/>
                <w:szCs w:val="28"/>
                <w:lang w:val="uk-UA"/>
              </w:rPr>
            </w:pPr>
            <w:r w:rsidRPr="00624810">
              <w:rPr>
                <w:rFonts w:ascii="Times New Roman" w:hAnsi="Times New Roman"/>
                <w:sz w:val="28"/>
                <w:szCs w:val="28"/>
                <w:lang w:val="uk-UA"/>
              </w:rPr>
              <w:t xml:space="preserve"> - поверхнева стегнова артерія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РОТ</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-реваскуляризуюча остеотрепанація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СГШ</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-стегново-гомілкове шунтування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УЗДГ</w:t>
            </w:r>
          </w:p>
        </w:tc>
        <w:tc>
          <w:tcPr>
            <w:tcW w:w="7992" w:type="dxa"/>
            <w:hideMark/>
          </w:tcPr>
          <w:p w:rsidR="00A01923" w:rsidRPr="00624810" w:rsidRDefault="00A01923" w:rsidP="0051672D">
            <w:pPr>
              <w:spacing w:after="0"/>
              <w:rPr>
                <w:rFonts w:ascii="Times New Roman" w:eastAsia="Times New Roman" w:hAnsi="Times New Roman"/>
                <w:sz w:val="28"/>
                <w:szCs w:val="28"/>
                <w:lang w:val="uk-UA"/>
              </w:rPr>
            </w:pPr>
            <w:r w:rsidRPr="00624810">
              <w:rPr>
                <w:rFonts w:ascii="Times New Roman" w:hAnsi="Times New Roman"/>
                <w:sz w:val="28"/>
                <w:szCs w:val="28"/>
                <w:lang w:val="uk-UA"/>
              </w:rPr>
              <w:t>- ультразвукова допплерографія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ФФ</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-фізичне функціонування</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sz w:val="28"/>
                <w:szCs w:val="28"/>
                <w:lang w:val="uk-UA"/>
              </w:rPr>
              <w:t>ХІНК</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хронічна ішемія нижніх кінцівок</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ХКІНК</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хронічна критична ішемія нижніх кінцівок</w:t>
            </w:r>
          </w:p>
        </w:tc>
      </w:tr>
      <w:tr w:rsidR="00A01923" w:rsidRPr="00624810" w:rsidTr="0051672D">
        <w:trPr>
          <w:trHeight w:val="446"/>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ЦД</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w:t>
            </w:r>
            <w:r w:rsidRPr="00624810">
              <w:rPr>
                <w:rFonts w:ascii="Times New Roman" w:hAnsi="Times New Roman"/>
                <w:sz w:val="28"/>
                <w:szCs w:val="28"/>
                <w:lang w:val="uk-UA"/>
              </w:rPr>
              <w:t xml:space="preserve"> цукровий діабет</w:t>
            </w:r>
          </w:p>
        </w:tc>
      </w:tr>
      <w:tr w:rsidR="00A01923" w:rsidRPr="00624810" w:rsidTr="0051672D">
        <w:trPr>
          <w:trHeight w:val="427"/>
        </w:trPr>
        <w:tc>
          <w:tcPr>
            <w:tcW w:w="1863"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Cs/>
                <w:smallCaps/>
                <w:sz w:val="28"/>
                <w:szCs w:val="28"/>
                <w:lang w:val="uk-UA"/>
              </w:rPr>
            </w:pPr>
            <w:r w:rsidRPr="00624810">
              <w:rPr>
                <w:rFonts w:ascii="Times New Roman" w:hAnsi="Times New Roman"/>
                <w:bCs/>
                <w:smallCaps/>
                <w:sz w:val="28"/>
                <w:szCs w:val="28"/>
                <w:lang w:val="uk-UA"/>
              </w:rPr>
              <w:t>ЧБА</w:t>
            </w:r>
          </w:p>
        </w:tc>
        <w:tc>
          <w:tcPr>
            <w:tcW w:w="7992" w:type="dxa"/>
            <w:hideMark/>
          </w:tcPr>
          <w:p w:rsidR="00A01923" w:rsidRPr="00624810"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b/>
                <w:bCs/>
                <w:smallCaps/>
                <w:sz w:val="28"/>
                <w:szCs w:val="28"/>
                <w:lang w:val="uk-UA"/>
              </w:rPr>
            </w:pPr>
            <w:r w:rsidRPr="00624810">
              <w:rPr>
                <w:rFonts w:ascii="Times New Roman" w:hAnsi="Times New Roman"/>
                <w:bCs/>
                <w:smallCaps/>
                <w:sz w:val="28"/>
                <w:szCs w:val="28"/>
                <w:lang w:val="uk-UA"/>
              </w:rPr>
              <w:t xml:space="preserve">- </w:t>
            </w:r>
            <w:r w:rsidRPr="00624810">
              <w:rPr>
                <w:rFonts w:ascii="Times New Roman" w:hAnsi="Times New Roman"/>
                <w:sz w:val="28"/>
                <w:szCs w:val="28"/>
                <w:lang w:val="uk-UA"/>
              </w:rPr>
              <w:t>черезшкірна балонна ангіопластика</w:t>
            </w:r>
          </w:p>
        </w:tc>
      </w:tr>
      <w:tr w:rsidR="00A01923" w:rsidRPr="001F3608" w:rsidTr="0051672D">
        <w:trPr>
          <w:trHeight w:val="427"/>
        </w:trPr>
        <w:tc>
          <w:tcPr>
            <w:tcW w:w="1863" w:type="dxa"/>
            <w:hideMark/>
          </w:tcPr>
          <w:p w:rsidR="00A01923" w:rsidRPr="0051672D"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cs="Times New Roman"/>
                <w:bCs/>
                <w:smallCaps/>
                <w:sz w:val="28"/>
                <w:szCs w:val="28"/>
                <w:lang w:val="uk-UA"/>
              </w:rPr>
            </w:pPr>
            <w:r w:rsidRPr="0051672D">
              <w:rPr>
                <w:rFonts w:ascii="Times New Roman" w:hAnsi="Times New Roman" w:cs="Times New Roman"/>
                <w:sz w:val="28"/>
                <w:szCs w:val="28"/>
                <w:lang w:val="uk-UA"/>
              </w:rPr>
              <w:t>CCLI</w:t>
            </w:r>
          </w:p>
        </w:tc>
        <w:tc>
          <w:tcPr>
            <w:tcW w:w="7992" w:type="dxa"/>
            <w:hideMark/>
          </w:tcPr>
          <w:p w:rsidR="00A01923" w:rsidRPr="0051672D"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cs="Times New Roman"/>
                <w:bCs/>
                <w:smallCaps/>
                <w:sz w:val="28"/>
                <w:szCs w:val="28"/>
                <w:lang w:val="en-US"/>
              </w:rPr>
            </w:pPr>
            <w:r w:rsidRPr="0051672D">
              <w:rPr>
                <w:rFonts w:ascii="Times New Roman" w:hAnsi="Times New Roman" w:cs="Times New Roman"/>
                <w:bCs/>
                <w:smallCaps/>
                <w:sz w:val="28"/>
                <w:szCs w:val="28"/>
                <w:lang w:val="en-US"/>
              </w:rPr>
              <w:t xml:space="preserve"> - </w:t>
            </w:r>
            <w:r w:rsidRPr="0051672D">
              <w:rPr>
                <w:rFonts w:ascii="Times New Roman" w:hAnsi="Times New Roman" w:cs="Times New Roman"/>
                <w:sz w:val="28"/>
                <w:szCs w:val="28"/>
                <w:lang w:val="en-US"/>
              </w:rPr>
              <w:t>chronic critical lower limb ischaemia</w:t>
            </w:r>
          </w:p>
        </w:tc>
      </w:tr>
      <w:tr w:rsidR="0051672D" w:rsidRPr="00E44361" w:rsidTr="0051672D">
        <w:trPr>
          <w:trHeight w:val="427"/>
        </w:trPr>
        <w:tc>
          <w:tcPr>
            <w:tcW w:w="1863" w:type="dxa"/>
            <w:hideMark/>
          </w:tcPr>
          <w:p w:rsidR="0051672D" w:rsidRPr="0051672D" w:rsidRDefault="0051672D" w:rsidP="0051672D">
            <w:pPr>
              <w:tabs>
                <w:tab w:val="left" w:pos="180"/>
                <w:tab w:val="left" w:pos="360"/>
                <w:tab w:val="left" w:pos="540"/>
                <w:tab w:val="left" w:pos="585"/>
                <w:tab w:val="left" w:pos="720"/>
                <w:tab w:val="left" w:pos="6840"/>
              </w:tabs>
              <w:spacing w:after="0"/>
              <w:rPr>
                <w:rFonts w:ascii="Times New Roman" w:hAnsi="Times New Roman" w:cs="Times New Roman"/>
                <w:sz w:val="28"/>
                <w:szCs w:val="28"/>
                <w:lang w:val="uk-UA"/>
              </w:rPr>
            </w:pPr>
            <w:r w:rsidRPr="0051672D">
              <w:rPr>
                <w:rFonts w:ascii="Times New Roman" w:hAnsi="Times New Roman" w:cs="Times New Roman"/>
                <w:color w:val="222222"/>
                <w:sz w:val="28"/>
                <w:szCs w:val="28"/>
                <w:shd w:val="clear" w:color="auto" w:fill="FFFFFF"/>
                <w:lang w:val="uk-UA"/>
              </w:rPr>
              <w:t>VEGF</w:t>
            </w:r>
          </w:p>
        </w:tc>
        <w:tc>
          <w:tcPr>
            <w:tcW w:w="7992" w:type="dxa"/>
            <w:hideMark/>
          </w:tcPr>
          <w:p w:rsidR="0051672D" w:rsidRPr="0051672D" w:rsidRDefault="0051672D" w:rsidP="0051672D">
            <w:pPr>
              <w:tabs>
                <w:tab w:val="left" w:pos="180"/>
                <w:tab w:val="left" w:pos="360"/>
                <w:tab w:val="left" w:pos="540"/>
                <w:tab w:val="left" w:pos="585"/>
                <w:tab w:val="left" w:pos="720"/>
                <w:tab w:val="left" w:pos="6840"/>
              </w:tabs>
              <w:spacing w:after="0"/>
              <w:rPr>
                <w:rFonts w:ascii="Times New Roman" w:hAnsi="Times New Roman" w:cs="Times New Roman"/>
                <w:bCs/>
                <w:smallCaps/>
                <w:sz w:val="28"/>
                <w:szCs w:val="28"/>
                <w:lang w:val="en-US"/>
              </w:rPr>
            </w:pPr>
            <w:r w:rsidRPr="0051672D">
              <w:rPr>
                <w:rFonts w:ascii="Times New Roman" w:hAnsi="Times New Roman" w:cs="Times New Roman"/>
                <w:color w:val="222222"/>
                <w:sz w:val="28"/>
                <w:szCs w:val="28"/>
                <w:shd w:val="clear" w:color="auto" w:fill="FFFFFF"/>
                <w:lang w:val="uk-UA"/>
              </w:rPr>
              <w:t xml:space="preserve"> -фактор росту ендотелію судин </w:t>
            </w:r>
          </w:p>
        </w:tc>
      </w:tr>
      <w:tr w:rsidR="00A01923" w:rsidRPr="00624810" w:rsidTr="0051672D">
        <w:trPr>
          <w:trHeight w:val="446"/>
        </w:trPr>
        <w:tc>
          <w:tcPr>
            <w:tcW w:w="1863" w:type="dxa"/>
            <w:hideMark/>
          </w:tcPr>
          <w:p w:rsidR="00A01923" w:rsidRPr="0051672D"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cs="Times New Roman"/>
                <w:bCs/>
                <w:smallCaps/>
                <w:sz w:val="28"/>
                <w:szCs w:val="28"/>
                <w:lang w:val="uk-UA"/>
              </w:rPr>
            </w:pPr>
            <w:r w:rsidRPr="0051672D">
              <w:rPr>
                <w:rFonts w:ascii="Times New Roman" w:hAnsi="Times New Roman" w:cs="Times New Roman"/>
                <w:sz w:val="28"/>
                <w:szCs w:val="28"/>
                <w:lang w:val="uk-UA"/>
              </w:rPr>
              <w:t>ТсРО2</w:t>
            </w:r>
          </w:p>
        </w:tc>
        <w:tc>
          <w:tcPr>
            <w:tcW w:w="7992" w:type="dxa"/>
            <w:hideMark/>
          </w:tcPr>
          <w:p w:rsidR="00A01923" w:rsidRPr="0051672D" w:rsidRDefault="00A01923" w:rsidP="0051672D">
            <w:pPr>
              <w:tabs>
                <w:tab w:val="left" w:pos="180"/>
                <w:tab w:val="left" w:pos="360"/>
                <w:tab w:val="left" w:pos="540"/>
                <w:tab w:val="left" w:pos="585"/>
                <w:tab w:val="left" w:pos="720"/>
                <w:tab w:val="left" w:pos="6840"/>
              </w:tabs>
              <w:spacing w:after="0"/>
              <w:rPr>
                <w:rFonts w:ascii="Times New Roman" w:eastAsia="Times New Roman" w:hAnsi="Times New Roman" w:cs="Times New Roman"/>
                <w:bCs/>
                <w:smallCaps/>
                <w:sz w:val="28"/>
                <w:szCs w:val="28"/>
                <w:lang w:val="uk-UA"/>
              </w:rPr>
            </w:pPr>
            <w:r w:rsidRPr="0051672D">
              <w:rPr>
                <w:rFonts w:ascii="Times New Roman" w:hAnsi="Times New Roman" w:cs="Times New Roman"/>
                <w:sz w:val="28"/>
                <w:szCs w:val="28"/>
                <w:lang w:val="uk-UA"/>
              </w:rPr>
              <w:t>- транскутанне напруження кисню</w:t>
            </w:r>
          </w:p>
        </w:tc>
      </w:tr>
    </w:tbl>
    <w:p w:rsidR="00A01923" w:rsidRDefault="00A01923" w:rsidP="00A01923">
      <w:pPr>
        <w:jc w:val="center"/>
        <w:rPr>
          <w:rFonts w:ascii="Times New Roman" w:hAnsi="Times New Roman"/>
          <w:b/>
          <w:bCs/>
          <w:smallCaps/>
          <w:sz w:val="28"/>
          <w:szCs w:val="28"/>
          <w:lang w:val="uk-UA"/>
        </w:rPr>
      </w:pPr>
      <w:r>
        <w:rPr>
          <w:rFonts w:ascii="Times New Roman" w:hAnsi="Times New Roman"/>
          <w:color w:val="FF0000"/>
          <w:sz w:val="28"/>
          <w:szCs w:val="28"/>
          <w:lang w:val="uk-UA"/>
        </w:rPr>
        <w:br w:type="page"/>
      </w:r>
      <w:r>
        <w:rPr>
          <w:rFonts w:ascii="Times New Roman" w:hAnsi="Times New Roman"/>
          <w:b/>
          <w:bCs/>
          <w:smallCaps/>
          <w:sz w:val="28"/>
          <w:szCs w:val="28"/>
          <w:lang w:val="uk-UA"/>
        </w:rPr>
        <w:lastRenderedPageBreak/>
        <w:t>ВСТУП</w:t>
      </w:r>
    </w:p>
    <w:p w:rsidR="00A01923" w:rsidRDefault="00A01923" w:rsidP="00A01923">
      <w:pPr>
        <w:jc w:val="center"/>
        <w:rPr>
          <w:rFonts w:ascii="Times New Roman" w:hAnsi="Times New Roman"/>
          <w:b/>
          <w:bCs/>
          <w:smallCaps/>
          <w:sz w:val="28"/>
          <w:szCs w:val="28"/>
          <w:lang w:val="uk-UA"/>
        </w:rPr>
      </w:pPr>
    </w:p>
    <w:p w:rsidR="00A01923" w:rsidRDefault="00A01923" w:rsidP="00A01923">
      <w:pPr>
        <w:jc w:val="center"/>
        <w:rPr>
          <w:rFonts w:ascii="Times New Roman" w:hAnsi="Times New Roman"/>
          <w:b/>
          <w:bCs/>
          <w:smallCaps/>
          <w:sz w:val="28"/>
          <w:szCs w:val="28"/>
          <w:lang w:val="uk-UA"/>
        </w:rPr>
      </w:pP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Обгрунтування теми дослідження</w:t>
      </w:r>
      <w:r>
        <w:rPr>
          <w:rFonts w:ascii="Times New Roman" w:hAnsi="Times New Roman"/>
          <w:sz w:val="28"/>
          <w:szCs w:val="28"/>
          <w:lang w:val="uk-UA"/>
        </w:rPr>
        <w:t xml:space="preserve"> Проблема облітеруючих захворювань судин не перестає бути актуальною, щорічно діагностується з частотою 500-1000 випадків на 1 млн осіб в Європі і Північній Америці. Поширеність хронічної ішемії нижніх кінцівок (ХІНК) сягає 3 % населення планети, в осіб у віці більше 50 років в 9–10 % випадків, а в осіб старших за 60 років — 35-50 % [1, 51]. При цьому кількість осіб з ХІНК невпинно зростає та найближчі роки складатиме 5–7%  серед населення [</w:t>
      </w:r>
      <w:r>
        <w:rPr>
          <w:rFonts w:ascii="Times New Roman" w:hAnsi="Times New Roman"/>
          <w:sz w:val="28"/>
          <w:szCs w:val="28"/>
        </w:rPr>
        <w:t>51</w:t>
      </w:r>
      <w:r>
        <w:rPr>
          <w:rFonts w:ascii="Times New Roman" w:hAnsi="Times New Roman"/>
          <w:sz w:val="28"/>
          <w:szCs w:val="28"/>
          <w:lang w:val="uk-UA"/>
        </w:rPr>
        <w:t xml:space="preserve">, </w:t>
      </w:r>
      <w:r>
        <w:rPr>
          <w:rFonts w:ascii="Times New Roman" w:hAnsi="Times New Roman"/>
          <w:sz w:val="28"/>
          <w:szCs w:val="28"/>
        </w:rPr>
        <w:t>104</w:t>
      </w:r>
      <w:r>
        <w:rPr>
          <w:rFonts w:ascii="Times New Roman" w:hAnsi="Times New Roman"/>
          <w:sz w:val="28"/>
          <w:szCs w:val="28"/>
          <w:lang w:val="uk-UA"/>
        </w:rPr>
        <w:t xml:space="preserve">].Частота ампутацій при судинній патології як в Україні, так і за її межами досягає 59 %, а показник летальності доходить до 48 %. При цьому хвороба в переважній більшості випадків неухильно прогресує [25]. </w:t>
      </w:r>
      <w:r>
        <w:rPr>
          <w:rFonts w:ascii="Times New Roman" w:hAnsi="Times New Roman"/>
          <w:sz w:val="28"/>
          <w:szCs w:val="28"/>
          <w:shd w:val="clear" w:color="auto" w:fill="FFFFFF"/>
          <w:lang w:val="uk-UA"/>
        </w:rPr>
        <w:t xml:space="preserve">За даними TASC, серед пацієнтів з критичною ішемією нижніх кінцівок (КІНК) від 10 до 30 % живуть не більше 6 місяців, і 25-30 % пацієнтів може знадобитися «велика» ампутація [104, </w:t>
      </w:r>
      <w:r>
        <w:rPr>
          <w:rFonts w:ascii="Times New Roman" w:hAnsi="Times New Roman"/>
          <w:sz w:val="28"/>
          <w:szCs w:val="28"/>
          <w:lang w:val="uk-UA"/>
        </w:rPr>
        <w:t>110, 133</w:t>
      </w:r>
      <w:r>
        <w:rPr>
          <w:rFonts w:ascii="Times New Roman" w:hAnsi="Times New Roman"/>
          <w:sz w:val="28"/>
          <w:szCs w:val="28"/>
          <w:shd w:val="clear" w:color="auto" w:fill="FFFFFF"/>
          <w:lang w:val="uk-UA"/>
        </w:rPr>
        <w:t>].</w:t>
      </w:r>
      <w:r>
        <w:rPr>
          <w:rFonts w:ascii="Times New Roman" w:hAnsi="Times New Roman"/>
          <w:sz w:val="28"/>
          <w:szCs w:val="28"/>
          <w:lang w:val="uk-UA"/>
        </w:rPr>
        <w:t xml:space="preserve">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 xml:space="preserve">Оптимальним методом лікування ішемії нижніх кінцівок є пряма реваскуляризація, що може бути досягнуто при виконанні шунтуючих операцій в артерії дистальніше зони оклюзії. Наявність прохідності по одній артерії гомілки теоретично дозволяє виконати шунтуючу операцію з надією на гарний результат та регрес ішемії. Однак, для виконання цих операцій необхідна наявність адекватних шляхів відтоку, щоб уникнути тромбозу шунта в ранньому післяопераційному періоді та посилення початкового рівня ішемії </w:t>
      </w:r>
      <w:r>
        <w:rPr>
          <w:rFonts w:ascii="Times New Roman" w:hAnsi="Times New Roman"/>
          <w:sz w:val="28"/>
          <w:szCs w:val="28"/>
          <w:shd w:val="clear" w:color="auto" w:fill="FFFFFF"/>
          <w:lang w:val="uk-UA"/>
        </w:rPr>
        <w:t>[</w:t>
      </w:r>
      <w:r>
        <w:rPr>
          <w:rFonts w:ascii="Times New Roman" w:hAnsi="Times New Roman"/>
          <w:sz w:val="28"/>
          <w:szCs w:val="28"/>
          <w:lang w:val="uk-UA"/>
        </w:rPr>
        <w:t>133</w:t>
      </w:r>
      <w:r>
        <w:rPr>
          <w:rFonts w:ascii="Times New Roman" w:hAnsi="Times New Roman"/>
          <w:sz w:val="28"/>
          <w:szCs w:val="28"/>
          <w:shd w:val="clear" w:color="auto" w:fill="FFFFFF"/>
          <w:lang w:val="uk-UA"/>
        </w:rPr>
        <w:t>].</w:t>
      </w:r>
      <w:r>
        <w:rPr>
          <w:rFonts w:ascii="Times New Roman" w:hAnsi="Times New Roman"/>
          <w:sz w:val="28"/>
          <w:szCs w:val="28"/>
          <w:lang w:val="uk-UA"/>
        </w:rPr>
        <w:t xml:space="preserve"> </w:t>
      </w:r>
    </w:p>
    <w:p w:rsidR="00624810" w:rsidRDefault="00A01923" w:rsidP="00624810">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Думка про безперспективність реконструктивних хірургічних  втручань у хворих цієї групи пов’язана з малим діаметром судин, високою кількістю ранніх тромбозів [2</w:t>
      </w:r>
      <w:hyperlink r:id="rId8" w:history="1">
        <w:r>
          <w:rPr>
            <w:rStyle w:val="aa"/>
            <w:rFonts w:ascii="Times New Roman" w:hAnsi="Times New Roman"/>
            <w:color w:val="000000"/>
            <w:sz w:val="28"/>
            <w:szCs w:val="28"/>
            <w:lang w:val="uk-UA"/>
          </w:rPr>
          <w:t>9</w:t>
        </w:r>
      </w:hyperlink>
      <w:r>
        <w:rPr>
          <w:rFonts w:ascii="Times New Roman" w:hAnsi="Times New Roman"/>
          <w:sz w:val="28"/>
          <w:szCs w:val="28"/>
          <w:lang w:val="uk-UA"/>
        </w:rPr>
        <w:t>, 32, 84, 104, 157, 182]. Рішення проблеми лікування ішемії нижніх кінцівок пішло шляхом розроблення різноманітних реконструктивно-відновлювальних операцій з метою максимальної реваскуляризації ураженої кінцівки.</w:t>
      </w:r>
    </w:p>
    <w:p w:rsidR="00A01923" w:rsidRDefault="00A01923" w:rsidP="00624810">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lastRenderedPageBreak/>
        <w:t xml:space="preserve">Розумно вибрана тактика хірургічних втручань направлена на поліпшення кровопостачання кінцівки, дозволяє сподіватись не лише на дисталізацію рівня ампутації, але й на збереження кінцівки. Це ж веде до повернення пацієнта до звичайного  життя [96, 165].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 xml:space="preserve">У теперішній час, немає оптимальної методики оперативного лікування при критичній ішемії, зумовленій ураженням проксимального та дистального русла. Очевидна необхідність пошуку альтернативних шляхів вирішення цієї проблеми, одним з яких може стати стимуляція неоангіогенезу у тканинах ураженої кінцівки [12, 24, 25, 78, 80, 83, 89, 121, 139, 169]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До недавнього часу відсутність шляхів відтоку була протипоказом до оперативних втручань на судинах нижніх кінцівок, однак з розвитком ендоваскулярної хірургії та розробкою непрямих методів реваскуляризації з’явилася можливість урятувати кінцівку та покращити якість життя пацієнтів з даною патологією [97, 197].</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Однак, наразі найближчі та віддалені результати реконструктивних втручань на артеріях нижніх кінцівок, особливо при хронічній критичній ішемії нижніх кінцівок (</w:t>
      </w:r>
      <w:r>
        <w:rPr>
          <w:rFonts w:ascii="Times New Roman" w:hAnsi="Times New Roman"/>
          <w:sz w:val="28"/>
          <w:szCs w:val="28"/>
          <w:shd w:val="clear" w:color="auto" w:fill="FFFFFF"/>
          <w:lang w:val="uk-UA"/>
        </w:rPr>
        <w:t>ХКІНК)</w:t>
      </w:r>
      <w:r>
        <w:rPr>
          <w:rFonts w:ascii="Times New Roman" w:hAnsi="Times New Roman"/>
          <w:sz w:val="28"/>
          <w:szCs w:val="28"/>
          <w:lang w:val="uk-UA"/>
        </w:rPr>
        <w:t>, не можна вважати цілком задовільними, так як частота ранніх несприятливих результатів становить 5,8-16,5 %, а великих ампутацій 8,8-20,4 % [4, 11, 96]. Провідною причиною незадовільних результатів лікування є ураження дистального артеріального русла</w:t>
      </w:r>
      <w:r>
        <w:rPr>
          <w:rFonts w:ascii="Times New Roman" w:hAnsi="Times New Roman"/>
          <w:sz w:val="28"/>
          <w:szCs w:val="28"/>
          <w:shd w:val="clear" w:color="auto" w:fill="FFFFFF"/>
          <w:lang w:val="uk-UA"/>
        </w:rPr>
        <w:t>.</w:t>
      </w:r>
      <w:r>
        <w:rPr>
          <w:rFonts w:ascii="Times New Roman" w:hAnsi="Times New Roman"/>
          <w:sz w:val="28"/>
          <w:szCs w:val="28"/>
          <w:lang w:val="uk-UA"/>
        </w:rPr>
        <w:t xml:space="preserve"> Альтернативою стандартній хірургічної реваскуляризації при критичній ішемії є ендоваскулярне втручання [96, 97].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 xml:space="preserve">Водночас, прямі артеріальні реконструкції не вирішують повністю проблеми реваскуляризації ішемізованної кінцівки. У всіх випадках, коли немає можливості досягти адекватної компенсації кровообігу тільки реконструктивною операцією, з метою поліпшення кровообігу у кінцівці можливе використання непрямих методів реваскуляризації [82, 185]. Найбільш часто вживаним методом стимуляції ангіогенезу є внутрішньом'язова трансплантація клітин в зону ураження. </w:t>
      </w:r>
      <w:r>
        <w:rPr>
          <w:rFonts w:ascii="Times New Roman" w:hAnsi="Times New Roman"/>
          <w:color w:val="000000"/>
          <w:sz w:val="28"/>
          <w:szCs w:val="28"/>
          <w:lang w:val="uk-UA"/>
        </w:rPr>
        <w:t>Для цієї мети використовуються клітини аутокрові [79, 187</w:t>
      </w:r>
      <w:r>
        <w:rPr>
          <w:rFonts w:ascii="Times New Roman" w:hAnsi="Times New Roman"/>
          <w:sz w:val="28"/>
          <w:szCs w:val="28"/>
          <w:lang w:val="uk-UA"/>
        </w:rPr>
        <w:t>], в</w:t>
      </w:r>
      <w:r>
        <w:rPr>
          <w:rFonts w:ascii="Times New Roman" w:hAnsi="Times New Roman"/>
          <w:color w:val="000000"/>
          <w:sz w:val="28"/>
          <w:szCs w:val="28"/>
          <w:lang w:val="uk-UA"/>
        </w:rPr>
        <w:t xml:space="preserve">ведення клітин кісткового мозку [72, 102], а також стовбурових клітин, що отримуються з різних тканин [88, 128, 168, 177]. Для стимуляції ангіогенезу в ішемізованих тканинах </w:t>
      </w:r>
      <w:r>
        <w:rPr>
          <w:rFonts w:ascii="Times New Roman" w:hAnsi="Times New Roman"/>
          <w:color w:val="000000"/>
          <w:sz w:val="28"/>
          <w:szCs w:val="28"/>
          <w:lang w:val="uk-UA"/>
        </w:rPr>
        <w:lastRenderedPageBreak/>
        <w:t xml:space="preserve">запропоновано використовувати власні тромбоцити периферичної крові спільно з мононуклеарами [32, 82]. </w:t>
      </w:r>
      <w:r>
        <w:rPr>
          <w:rFonts w:ascii="Times New Roman" w:hAnsi="Times New Roman"/>
          <w:sz w:val="28"/>
          <w:szCs w:val="28"/>
          <w:lang w:val="uk-UA"/>
        </w:rPr>
        <w:t xml:space="preserve">Було показано, що при руйнуванні тромбоцитів у тканинах вивільняється велика кількість поліпептидних факторів росту, багато з яких стимулюють ангіогенез [99, 111, 118, 148, 190, 195].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 xml:space="preserve">Показання до тих чи інших методів непрямої реваскуляризації на цей час ще не досить розроблені, а комбіноване застосування декількох методів не розповсюджене, проте, вдало підібране поєднання двох або більше методів може дозволити досягти кращого результату у лікуванні хворих даної групи за рахунок сумування ефектів [119, 147]. </w:t>
      </w:r>
    </w:p>
    <w:p w:rsidR="00A01923" w:rsidRDefault="00A01923" w:rsidP="00A01923">
      <w:pPr>
        <w:spacing w:after="0" w:line="360" w:lineRule="auto"/>
        <w:ind w:left="-567" w:firstLine="568"/>
        <w:jc w:val="both"/>
        <w:rPr>
          <w:rFonts w:ascii="Times New Roman" w:hAnsi="Times New Roman"/>
          <w:color w:val="FF0000"/>
          <w:sz w:val="28"/>
          <w:szCs w:val="28"/>
          <w:lang w:val="uk-UA"/>
        </w:rPr>
      </w:pPr>
      <w:r>
        <w:rPr>
          <w:rFonts w:ascii="Times New Roman" w:hAnsi="Times New Roman"/>
          <w:sz w:val="28"/>
          <w:szCs w:val="28"/>
          <w:lang w:val="uk-UA"/>
        </w:rPr>
        <w:t xml:space="preserve">Таким чином, удосконалення методів діагностики та хірургічного лікування критичної ішемії нижніх кінцівок є актуальним. </w:t>
      </w:r>
      <w:r>
        <w:rPr>
          <w:rFonts w:ascii="Times New Roman" w:hAnsi="Times New Roman"/>
          <w:color w:val="000000"/>
          <w:sz w:val="28"/>
          <w:szCs w:val="28"/>
          <w:lang w:val="uk-UA"/>
        </w:rPr>
        <w:t xml:space="preserve">Вивчення ролі дисфункції ендотелію в розвитку генералізованого ураження судинного русла різної етіології, носить подекуди  суперечливий характер [8, 56, 59, 105, 123], у тому числі – їх ймовірність відображати несприятливий перебіг захворювання при наявності супутнього цукрового діабету (ЦД), [34, 60], а перспективним напрямом у лікуванні даної категорії хворих є застосування комбінованих технологій реваскуляризації та стимуляція розвитку колатерального кровообігу. </w:t>
      </w:r>
    </w:p>
    <w:p w:rsidR="00A01923"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 xml:space="preserve">Зв'язок роботи з науковими програмами, планами, темами. </w:t>
      </w:r>
      <w:r>
        <w:rPr>
          <w:rFonts w:ascii="Times New Roman" w:hAnsi="Times New Roman"/>
          <w:sz w:val="28"/>
          <w:szCs w:val="28"/>
          <w:lang w:val="uk-UA"/>
        </w:rPr>
        <w:t xml:space="preserve">Дисертаційна робота виконана відповідно до плану науково-дослідницьких робіт Харківського національного медичного університету №0116u004991 «Удосконалення та розробка методів діагностики і хірургічного лікування захворювань і травм  органів черевної порожнини та грудної клітки, судин верхніх та нижніх кінцівок з використанням мініінвазивних методик у пацієнтів з високим ризиком розвитку післяопераційних ускладнень». </w:t>
      </w:r>
    </w:p>
    <w:p w:rsidR="00A01923" w:rsidRDefault="00A01923" w:rsidP="00A01923">
      <w:pPr>
        <w:widowControl w:val="0"/>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 xml:space="preserve">Мета дослідження. </w:t>
      </w:r>
      <w:r>
        <w:rPr>
          <w:rFonts w:ascii="Times New Roman" w:hAnsi="Times New Roman"/>
          <w:sz w:val="28"/>
          <w:szCs w:val="28"/>
          <w:lang w:val="uk-UA"/>
        </w:rPr>
        <w:t>Поліпшення результатів хірургічного лікування хворих на хронічну критичну ішемію нижніх кінцівок з дистальною формою ураження судинного русла шляхом удосконалення хірургічної тактики, проведення стимуляції неоангіогенезу.</w:t>
      </w:r>
    </w:p>
    <w:p w:rsidR="00A01923" w:rsidRDefault="00A01923" w:rsidP="00A01923">
      <w:pPr>
        <w:widowControl w:val="0"/>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Задачі дослідження</w:t>
      </w:r>
      <w:r>
        <w:rPr>
          <w:rFonts w:ascii="Times New Roman" w:hAnsi="Times New Roman"/>
          <w:sz w:val="28"/>
          <w:szCs w:val="28"/>
          <w:lang w:val="uk-UA"/>
        </w:rPr>
        <w:t>:</w:t>
      </w:r>
    </w:p>
    <w:p w:rsidR="00A01923" w:rsidRDefault="00A01923" w:rsidP="00A01923">
      <w:pPr>
        <w:spacing w:after="0" w:line="360" w:lineRule="auto"/>
        <w:ind w:left="-567" w:firstLine="568"/>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Pr>
          <w:rFonts w:ascii="Times New Roman" w:hAnsi="Times New Roman"/>
          <w:color w:val="000000"/>
          <w:sz w:val="28"/>
          <w:szCs w:val="28"/>
          <w:lang w:val="uk-UA"/>
        </w:rPr>
        <w:tab/>
        <w:t>Провести аналіз, вивчити особливості перебігу хронічної критичної ішемії нижніх кінцівок з дистальною формою ураження судинного русла з урахуванням ступеня ураження судин та розробити прогноз ймовірності ампутацій при лікуванні хворих.</w:t>
      </w:r>
    </w:p>
    <w:p w:rsidR="00A01923" w:rsidRDefault="00A01923" w:rsidP="00A01923">
      <w:pPr>
        <w:spacing w:after="0" w:line="360" w:lineRule="auto"/>
        <w:ind w:left="-567" w:firstLine="568"/>
        <w:jc w:val="both"/>
        <w:rPr>
          <w:rFonts w:ascii="Times New Roman" w:hAnsi="Times New Roman"/>
          <w:color w:val="000000"/>
          <w:sz w:val="28"/>
          <w:szCs w:val="28"/>
          <w:lang w:val="uk-UA"/>
        </w:rPr>
      </w:pPr>
      <w:r>
        <w:rPr>
          <w:rFonts w:ascii="Times New Roman" w:hAnsi="Times New Roman"/>
          <w:color w:val="000000"/>
          <w:sz w:val="28"/>
          <w:szCs w:val="28"/>
          <w:lang w:val="uk-UA"/>
        </w:rPr>
        <w:t>2)</w:t>
      </w:r>
      <w:r>
        <w:rPr>
          <w:rFonts w:ascii="Times New Roman" w:hAnsi="Times New Roman"/>
          <w:color w:val="000000"/>
          <w:sz w:val="28"/>
          <w:szCs w:val="28"/>
          <w:lang w:val="uk-UA"/>
        </w:rPr>
        <w:tab/>
        <w:t>Визначити роль деяких показників ендотеліальної дисфункції та факторів неоангіогенезу в патогенезі ХКІНК.</w:t>
      </w:r>
    </w:p>
    <w:p w:rsidR="00A01923" w:rsidRDefault="00A01923" w:rsidP="00A01923">
      <w:pPr>
        <w:spacing w:after="0" w:line="360" w:lineRule="auto"/>
        <w:ind w:left="-567" w:firstLine="568"/>
        <w:jc w:val="both"/>
        <w:rPr>
          <w:rFonts w:ascii="Times New Roman" w:hAnsi="Times New Roman"/>
          <w:color w:val="000000"/>
          <w:sz w:val="28"/>
          <w:szCs w:val="28"/>
          <w:lang w:val="uk-UA"/>
        </w:rPr>
      </w:pPr>
      <w:r>
        <w:rPr>
          <w:rFonts w:ascii="Times New Roman" w:hAnsi="Times New Roman"/>
          <w:color w:val="000000"/>
          <w:sz w:val="28"/>
          <w:szCs w:val="28"/>
          <w:lang w:val="uk-UA"/>
        </w:rPr>
        <w:t>3)</w:t>
      </w:r>
      <w:r>
        <w:rPr>
          <w:rFonts w:ascii="Times New Roman" w:hAnsi="Times New Roman"/>
          <w:color w:val="000000"/>
          <w:sz w:val="28"/>
          <w:szCs w:val="28"/>
          <w:lang w:val="uk-UA"/>
        </w:rPr>
        <w:tab/>
        <w:t>Виявити значимість деяких показників дисфункції ендотелію у динаміці лікування в залежності від методу лікування хворих на ХКІНК.</w:t>
      </w:r>
    </w:p>
    <w:p w:rsidR="00A01923" w:rsidRDefault="00A01923" w:rsidP="00A01923">
      <w:pPr>
        <w:spacing w:after="0" w:line="360" w:lineRule="auto"/>
        <w:ind w:left="-567" w:firstLine="568"/>
        <w:jc w:val="both"/>
        <w:rPr>
          <w:rFonts w:ascii="Times New Roman" w:hAnsi="Times New Roman"/>
          <w:color w:val="000000"/>
          <w:sz w:val="28"/>
          <w:szCs w:val="28"/>
          <w:lang w:val="uk-UA"/>
        </w:rPr>
      </w:pPr>
      <w:r>
        <w:rPr>
          <w:rFonts w:ascii="Times New Roman" w:hAnsi="Times New Roman"/>
          <w:color w:val="000000"/>
          <w:sz w:val="28"/>
          <w:szCs w:val="28"/>
          <w:lang w:val="uk-UA"/>
        </w:rPr>
        <w:t>4)</w:t>
      </w:r>
      <w:r>
        <w:rPr>
          <w:rFonts w:ascii="Times New Roman" w:hAnsi="Times New Roman"/>
          <w:color w:val="000000"/>
          <w:sz w:val="28"/>
          <w:szCs w:val="28"/>
          <w:lang w:val="uk-UA"/>
        </w:rPr>
        <w:tab/>
        <w:t>Провести порівняльний аналіз результатів хірургічного лікування хворих на ХКІНК з урахуванням використання стимуляції неоангіогенезу за допомогою оцінки якості життя хворих.</w:t>
      </w:r>
    </w:p>
    <w:p w:rsidR="00A01923" w:rsidRPr="00624810"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 xml:space="preserve">Об'єкт дослідження: </w:t>
      </w:r>
      <w:r>
        <w:rPr>
          <w:rFonts w:ascii="Times New Roman" w:hAnsi="Times New Roman"/>
          <w:sz w:val="28"/>
          <w:szCs w:val="28"/>
          <w:lang w:val="uk-UA"/>
        </w:rPr>
        <w:t xml:space="preserve">хронічна критична ішемія нижніх кінцівок з дистальною формою </w:t>
      </w:r>
      <w:r w:rsidRPr="00624810">
        <w:rPr>
          <w:rFonts w:ascii="Times New Roman" w:hAnsi="Times New Roman"/>
          <w:sz w:val="28"/>
          <w:szCs w:val="28"/>
          <w:lang w:val="uk-UA"/>
        </w:rPr>
        <w:t>ураження судинного русла.</w:t>
      </w:r>
    </w:p>
    <w:p w:rsidR="00A01923" w:rsidRPr="00624810" w:rsidRDefault="00A01923" w:rsidP="00A01923">
      <w:pPr>
        <w:spacing w:after="0" w:line="360" w:lineRule="auto"/>
        <w:ind w:left="-567" w:firstLine="568"/>
        <w:jc w:val="both"/>
        <w:rPr>
          <w:rFonts w:ascii="Times New Roman" w:hAnsi="Times New Roman"/>
          <w:sz w:val="28"/>
          <w:szCs w:val="28"/>
          <w:lang w:val="uk-UA"/>
        </w:rPr>
      </w:pPr>
      <w:r w:rsidRPr="00624810">
        <w:rPr>
          <w:rFonts w:ascii="Times New Roman" w:hAnsi="Times New Roman"/>
          <w:b/>
          <w:sz w:val="28"/>
          <w:szCs w:val="28"/>
          <w:lang w:val="uk-UA"/>
        </w:rPr>
        <w:t>Предмет дослідження:</w:t>
      </w:r>
      <w:r w:rsidRPr="00624810">
        <w:rPr>
          <w:rFonts w:ascii="Times New Roman" w:hAnsi="Times New Roman"/>
          <w:sz w:val="28"/>
          <w:szCs w:val="28"/>
          <w:lang w:val="uk-UA"/>
        </w:rPr>
        <w:t xml:space="preserve"> Діагностична цінність загальноклінічних, клініко–лабораторних та інструментальних методів; прогноз ймовірності ампутацій при лікуванні хворих; маркери ендотеліальної дисфункції крові; температурний режим кінцівок; транскутанне напруження кисню у тканинах; диференційований вибір та ефективність комплексного лікування хворих; якість життя; рівень болю та дистанція безбольової ходи хворих; результати лікування.</w:t>
      </w:r>
    </w:p>
    <w:p w:rsidR="00A01923" w:rsidRPr="00624810" w:rsidRDefault="00A01923" w:rsidP="00A01923">
      <w:pPr>
        <w:spacing w:after="0" w:line="360" w:lineRule="auto"/>
        <w:ind w:left="-567" w:firstLine="568"/>
        <w:jc w:val="both"/>
        <w:rPr>
          <w:rFonts w:ascii="Times New Roman" w:hAnsi="Times New Roman"/>
          <w:sz w:val="28"/>
          <w:szCs w:val="28"/>
          <w:lang w:val="uk-UA"/>
        </w:rPr>
      </w:pPr>
      <w:r w:rsidRPr="00624810">
        <w:rPr>
          <w:rFonts w:ascii="Times New Roman" w:hAnsi="Times New Roman"/>
          <w:b/>
          <w:sz w:val="28"/>
          <w:szCs w:val="28"/>
          <w:lang w:val="uk-UA"/>
        </w:rPr>
        <w:t xml:space="preserve">Методи дослідження. </w:t>
      </w:r>
      <w:r w:rsidRPr="00624810">
        <w:rPr>
          <w:rFonts w:ascii="Times New Roman" w:hAnsi="Times New Roman"/>
          <w:sz w:val="28"/>
          <w:szCs w:val="28"/>
          <w:lang w:val="uk-UA"/>
        </w:rPr>
        <w:t xml:space="preserve">Клінічні, біохімічні, коагулогічні, інструментальні (термометрія та транскутанна оксиметрія кінцівок, УЗД, КТ, ангіографія), статистичні. </w:t>
      </w:r>
    </w:p>
    <w:p w:rsidR="00A01923" w:rsidRPr="00624810" w:rsidRDefault="00A01923" w:rsidP="00A01923">
      <w:pPr>
        <w:spacing w:after="0" w:line="360" w:lineRule="auto"/>
        <w:ind w:left="-567" w:firstLine="568"/>
        <w:jc w:val="both"/>
        <w:rPr>
          <w:rFonts w:ascii="Times New Roman" w:hAnsi="Times New Roman"/>
          <w:sz w:val="28"/>
          <w:szCs w:val="28"/>
          <w:lang w:val="uk-UA"/>
        </w:rPr>
      </w:pPr>
      <w:r w:rsidRPr="00624810">
        <w:rPr>
          <w:rFonts w:ascii="Times New Roman" w:hAnsi="Times New Roman"/>
          <w:b/>
          <w:sz w:val="28"/>
          <w:szCs w:val="28"/>
          <w:lang w:val="uk-UA"/>
        </w:rPr>
        <w:t xml:space="preserve">Наукова новизна отриманих результатів. </w:t>
      </w:r>
      <w:r w:rsidRPr="00624810">
        <w:rPr>
          <w:rFonts w:ascii="Times New Roman" w:hAnsi="Times New Roman"/>
          <w:sz w:val="28"/>
          <w:szCs w:val="28"/>
          <w:lang w:val="uk-UA"/>
        </w:rPr>
        <w:t>На підставі проведеного аналізу результатів дослідження розроблено науково-теоретичні положення</w:t>
      </w:r>
      <w:r w:rsidRPr="00624810">
        <w:rPr>
          <w:rFonts w:ascii="Times New Roman" w:hAnsi="Times New Roman"/>
          <w:b/>
          <w:sz w:val="28"/>
          <w:szCs w:val="28"/>
          <w:lang w:val="uk-UA"/>
        </w:rPr>
        <w:t xml:space="preserve"> </w:t>
      </w:r>
      <w:r w:rsidRPr="00624810">
        <w:rPr>
          <w:rFonts w:ascii="Times New Roman" w:hAnsi="Times New Roman"/>
          <w:sz w:val="28"/>
          <w:szCs w:val="28"/>
          <w:lang w:val="uk-UA"/>
        </w:rPr>
        <w:t xml:space="preserve">уточнено деякі дані про порушення проліферативної, вазомоторної, гемостатичної та прозапальної функцій ендотелію в умовах розвитку ХКІНК кінцівок, що перебігає на тлі ураження дистального судинного русла, які в своїй сукупності дозволили теоретично узагальнити і визначити нові шляхи вирішення актуальної проблеми лікування хворих. </w:t>
      </w:r>
    </w:p>
    <w:p w:rsidR="00A01923" w:rsidRDefault="00A01923" w:rsidP="00A01923">
      <w:pPr>
        <w:pStyle w:val="ac"/>
        <w:spacing w:line="360" w:lineRule="auto"/>
        <w:ind w:left="-567" w:firstLine="567"/>
        <w:jc w:val="both"/>
        <w:rPr>
          <w:rFonts w:ascii="Times New Roman CYR" w:hAnsi="Times New Roman CYR" w:cs="Times New Roman CYR"/>
          <w:color w:val="000000"/>
          <w:sz w:val="28"/>
          <w:szCs w:val="28"/>
          <w:lang w:val="uk-UA" w:eastAsia="uk-UA"/>
        </w:rPr>
      </w:pPr>
      <w:r w:rsidRPr="00624810">
        <w:rPr>
          <w:sz w:val="28"/>
          <w:szCs w:val="28"/>
          <w:lang w:val="uk-UA"/>
        </w:rPr>
        <w:lastRenderedPageBreak/>
        <w:t>Уточнені наукові дані щодо ролі та механізмів реалізації ендотеліальної дисфункції на етапах комплексного лікування хворих, встановлений зв’язок</w:t>
      </w:r>
      <w:r>
        <w:rPr>
          <w:color w:val="000000"/>
          <w:sz w:val="28"/>
          <w:szCs w:val="28"/>
          <w:lang w:val="uk-UA"/>
        </w:rPr>
        <w:t xml:space="preserve"> між стадією критичної ішемії на тлі ураження дистального судинного русла, наявністю супутнього ЦД і показниками ET-1, VEGF, С-реактивного протеїну та фібриногену крові </w:t>
      </w:r>
      <w:r>
        <w:rPr>
          <w:rFonts w:ascii="Times New Roman CYR" w:hAnsi="Times New Roman CYR" w:cs="Times New Roman CYR"/>
          <w:color w:val="000000"/>
          <w:sz w:val="28"/>
          <w:szCs w:val="28"/>
          <w:lang w:val="uk-UA" w:eastAsia="uk-UA"/>
        </w:rPr>
        <w:t>(р</w:t>
      </w:r>
      <w:r>
        <w:rPr>
          <w:rFonts w:ascii="Times New Roman CYR" w:hAnsi="Times New Roman CYR" w:cs="Times New Roman CYR"/>
          <w:color w:val="000000"/>
          <w:sz w:val="28"/>
          <w:szCs w:val="28"/>
          <w:lang w:val="uk-UA" w:eastAsia="uk-UA"/>
        </w:rPr>
        <w:sym w:font="Symbol" w:char="003C"/>
      </w:r>
      <w:r>
        <w:rPr>
          <w:rFonts w:ascii="Times New Roman CYR" w:hAnsi="Times New Roman CYR" w:cs="Times New Roman CYR"/>
          <w:color w:val="000000"/>
          <w:sz w:val="28"/>
          <w:szCs w:val="28"/>
          <w:lang w:val="uk-UA" w:eastAsia="uk-UA"/>
        </w:rPr>
        <w:t xml:space="preserve">0,05). </w:t>
      </w:r>
    </w:p>
    <w:p w:rsidR="00A01923" w:rsidRDefault="00A01923" w:rsidP="00A01923">
      <w:pPr>
        <w:spacing w:after="0" w:line="360" w:lineRule="auto"/>
        <w:ind w:left="-567" w:firstLine="567"/>
        <w:jc w:val="both"/>
        <w:rPr>
          <w:rFonts w:ascii="Times New Roman" w:hAnsi="Times New Roman" w:cs="Times New Roman"/>
          <w:color w:val="000000"/>
          <w:sz w:val="28"/>
          <w:szCs w:val="28"/>
          <w:lang w:val="uk-UA"/>
        </w:rPr>
      </w:pPr>
      <w:r>
        <w:rPr>
          <w:rFonts w:ascii="Times New Roman" w:hAnsi="Times New Roman"/>
          <w:color w:val="000000"/>
          <w:sz w:val="28"/>
          <w:szCs w:val="28"/>
          <w:lang w:val="uk-UA"/>
        </w:rPr>
        <w:t>Доповнен</w:t>
      </w:r>
      <w:r>
        <w:rPr>
          <w:rFonts w:ascii="Times New Roman" w:hAnsi="Times New Roman"/>
          <w:color w:val="FF0000"/>
          <w:sz w:val="28"/>
          <w:szCs w:val="28"/>
          <w:lang w:val="uk-UA"/>
        </w:rPr>
        <w:t>і</w:t>
      </w:r>
      <w:r>
        <w:rPr>
          <w:rFonts w:ascii="Times New Roman" w:hAnsi="Times New Roman"/>
          <w:color w:val="000000"/>
          <w:sz w:val="28"/>
          <w:szCs w:val="28"/>
          <w:lang w:val="uk-UA"/>
        </w:rPr>
        <w:t xml:space="preserve"> наукові дані, що проліферативна активність ендотелію на вихідному рівні у хворих з ІІІ стадію ішемії значно вища за рівенем VEGF крові в середньому на 156%, ніж у хворих з IV стадією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0,001), спостерігається  пряма кореляція з TсРО</w:t>
      </w:r>
      <w:r>
        <w:rPr>
          <w:rFonts w:ascii="Times New Roman" w:hAnsi="Times New Roman"/>
          <w:color w:val="000000"/>
          <w:sz w:val="28"/>
          <w:szCs w:val="28"/>
          <w:vertAlign w:val="subscript"/>
          <w:lang w:val="uk-UA"/>
        </w:rPr>
        <w:t xml:space="preserve">2 </w:t>
      </w:r>
      <w:r>
        <w:rPr>
          <w:rFonts w:ascii="Times New Roman" w:hAnsi="Times New Roman"/>
          <w:color w:val="000000"/>
          <w:sz w:val="28"/>
          <w:szCs w:val="28"/>
          <w:lang w:val="uk-UA"/>
        </w:rPr>
        <w:t>ступні через 12 міс. спостереження (r</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0,80, p</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0,008), та залежить від наявності у хворих супутнього ЦД, у яких середній рівень VEGF на 67,8% був вищим, ніж показник у хворих без ЦД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0,05). У всіх досліджуваних хворих, незалежно від методу лікування, спостерігалось зниження середнього рівня ЕТ-1 протягом року, який був вірогідно підвищеним у порівнянні з контролем, та спостерігалась зворотна кореляція з TсРО</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ступні через 12 міс. спостереження (r</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0,75, p</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0,01).</w:t>
      </w:r>
    </w:p>
    <w:p w:rsidR="00A01923" w:rsidRDefault="00A01923" w:rsidP="00A01923">
      <w:pPr>
        <w:spacing w:after="0" w:line="360" w:lineRule="auto"/>
        <w:ind w:left="-567" w:firstLine="567"/>
        <w:jc w:val="both"/>
        <w:rPr>
          <w:rFonts w:ascii="Calibri" w:hAnsi="Calibri"/>
          <w:color w:val="000000"/>
          <w:sz w:val="28"/>
          <w:szCs w:val="28"/>
          <w:lang w:val="uk-UA"/>
        </w:rPr>
      </w:pPr>
      <w:r>
        <w:rPr>
          <w:rFonts w:ascii="Times New Roman" w:hAnsi="Times New Roman"/>
          <w:color w:val="000000"/>
          <w:sz w:val="28"/>
          <w:szCs w:val="28"/>
          <w:lang w:val="uk-UA"/>
        </w:rPr>
        <w:t xml:space="preserve">Науково обґрунтована концепція  використання стимуляції неоангіогенезу за допомогою багатої тромбоцитами </w:t>
      </w:r>
      <w:r>
        <w:rPr>
          <w:rFonts w:ascii="Times New Roman" w:hAnsi="Times New Roman"/>
          <w:sz w:val="28"/>
          <w:szCs w:val="28"/>
          <w:lang w:val="uk-UA"/>
        </w:rPr>
        <w:t>аутоплазми при ХКІНК з пріоритетним використанням ендоваскулярних методів реваскуляризації у хворих з типами ураження А та B ТАSK II у порівнянні з іншими</w:t>
      </w:r>
      <w:r>
        <w:rPr>
          <w:rFonts w:ascii="Times New Roman" w:hAnsi="Times New Roman"/>
          <w:color w:val="000000"/>
          <w:sz w:val="28"/>
          <w:szCs w:val="28"/>
          <w:lang w:val="uk-UA"/>
        </w:rPr>
        <w:t xml:space="preserve"> методами лікування (</w:t>
      </w:r>
      <w:r>
        <w:rPr>
          <w:rFonts w:ascii="Times New Roman" w:hAnsi="Times New Roman"/>
          <w:color w:val="000000"/>
          <w:sz w:val="28"/>
          <w:szCs w:val="28"/>
          <w:lang w:val="uk-UA"/>
        </w:rPr>
        <w:sym w:font="Symbol" w:char="0063"/>
      </w:r>
      <w:r>
        <w:rPr>
          <w:rFonts w:ascii="Times New Roman" w:hAnsi="Times New Roman"/>
          <w:color w:val="000000"/>
          <w:sz w:val="28"/>
          <w:szCs w:val="28"/>
          <w:lang w:val="uk-UA"/>
        </w:rPr>
        <w:t>2</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10,054, p</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0,023) на тлі поліпшення функції ендотелію, а також зменшення РБ на 47,1%, поліпшення ПФ </w:t>
      </w:r>
      <w:r>
        <w:rPr>
          <w:rFonts w:ascii="Times New Roman" w:hAnsi="Times New Roman"/>
          <w:color w:val="000000"/>
          <w:sz w:val="28"/>
          <w:lang w:val="uk-UA"/>
        </w:rPr>
        <w:t>на 13,1%</w:t>
      </w:r>
      <w:r>
        <w:rPr>
          <w:rFonts w:ascii="Times New Roman" w:hAnsi="Times New Roman"/>
          <w:color w:val="000000"/>
          <w:sz w:val="28"/>
          <w:szCs w:val="28"/>
          <w:lang w:val="uk-UA"/>
        </w:rPr>
        <w:t xml:space="preserve"> та  ДБХ на </w:t>
      </w:r>
      <w:r>
        <w:rPr>
          <w:rFonts w:ascii="Times New Roman" w:hAnsi="Times New Roman"/>
          <w:color w:val="000000"/>
          <w:sz w:val="28"/>
          <w:lang w:val="uk-UA"/>
        </w:rPr>
        <w:t xml:space="preserve">18,1% </w:t>
      </w:r>
      <w:r>
        <w:rPr>
          <w:rFonts w:ascii="Times New Roman" w:hAnsi="Times New Roman"/>
          <w:color w:val="000000"/>
          <w:sz w:val="28"/>
          <w:szCs w:val="28"/>
          <w:lang w:val="uk-UA"/>
        </w:rPr>
        <w:t>через 12 міс. спостереження (</w:t>
      </w:r>
      <w:r>
        <w:rPr>
          <w:rFonts w:ascii="Times New Roman CYR" w:hAnsi="Times New Roman CYR" w:cs="Times New Roman CYR"/>
          <w:color w:val="000000"/>
          <w:sz w:val="28"/>
          <w:szCs w:val="28"/>
          <w:lang w:val="uk-UA" w:eastAsia="uk-UA"/>
        </w:rPr>
        <w:t>р</w:t>
      </w:r>
      <w:r>
        <w:rPr>
          <w:rFonts w:ascii="Times New Roman CYR" w:hAnsi="Times New Roman CYR" w:cs="Times New Roman CYR"/>
          <w:color w:val="000000"/>
          <w:sz w:val="28"/>
          <w:szCs w:val="28"/>
          <w:lang w:val="uk-UA" w:eastAsia="uk-UA"/>
        </w:rPr>
        <w:sym w:font="Symbol" w:char="003C"/>
      </w:r>
      <w:r>
        <w:rPr>
          <w:rFonts w:ascii="Times New Roman CYR" w:hAnsi="Times New Roman CYR" w:cs="Times New Roman CYR"/>
          <w:color w:val="000000"/>
          <w:sz w:val="28"/>
          <w:szCs w:val="28"/>
          <w:lang w:val="uk-UA" w:eastAsia="uk-UA"/>
        </w:rPr>
        <w:t xml:space="preserve">0,05). </w:t>
      </w:r>
    </w:p>
    <w:p w:rsidR="00A01923" w:rsidRDefault="00A01923" w:rsidP="00A01923">
      <w:pPr>
        <w:shd w:val="clear" w:color="auto" w:fill="FFFFFF"/>
        <w:spacing w:after="0" w:line="360" w:lineRule="auto"/>
        <w:ind w:left="-567" w:firstLine="851"/>
        <w:jc w:val="both"/>
        <w:rPr>
          <w:rFonts w:ascii="Times New Roman" w:hAnsi="Times New Roman"/>
          <w:b/>
          <w:sz w:val="28"/>
          <w:szCs w:val="28"/>
          <w:lang w:val="uk-UA"/>
        </w:rPr>
      </w:pPr>
      <w:r>
        <w:rPr>
          <w:rFonts w:ascii="Times New Roman" w:hAnsi="Times New Roman"/>
          <w:b/>
          <w:sz w:val="28"/>
          <w:szCs w:val="28"/>
          <w:lang w:val="uk-UA"/>
        </w:rPr>
        <w:t xml:space="preserve">Практичне значення отриманих результатів. </w:t>
      </w:r>
      <w:r>
        <w:rPr>
          <w:rFonts w:ascii="Times New Roman" w:hAnsi="Times New Roman"/>
          <w:sz w:val="28"/>
          <w:szCs w:val="28"/>
          <w:lang w:val="uk-UA"/>
        </w:rPr>
        <w:t>Проведений порівняльний аналіз результатів комплексного лікування хворих на ХКІНК з дистальною формою ураження судинного русла, вперше в практику введено проведення плазмо терапії – стимуляції ангіогенезу за допомогою багатої тромбоцитами ауто плазми – як додаткового методу лікування данної групи хворих.</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b/>
          <w:sz w:val="28"/>
          <w:szCs w:val="28"/>
          <w:lang w:val="uk-UA"/>
        </w:rPr>
      </w:pPr>
      <w:r>
        <w:rPr>
          <w:rFonts w:ascii="Times New Roman" w:hAnsi="Times New Roman"/>
          <w:sz w:val="28"/>
          <w:szCs w:val="28"/>
          <w:lang w:val="uk-UA"/>
        </w:rPr>
        <w:t xml:space="preserve">Використання розробленого методу стимуляції ангіогенезу за допомогою багатої тромбоцитами аутоплазми у хворих на ХКІНК сприяло покращенню результатів лікування цих хворих, відбулося підвищення якості життя хворих: на </w:t>
      </w:r>
      <w:r>
        <w:rPr>
          <w:rFonts w:ascii="Times New Roman" w:hAnsi="Times New Roman"/>
          <w:color w:val="000000"/>
          <w:sz w:val="28"/>
          <w:lang w:val="uk-UA"/>
        </w:rPr>
        <w:lastRenderedPageBreak/>
        <w:t>100% був нижче рівень болю, на 14,7% вище психічне функціонування та на 11,8% більша дистанція безбольової ходи у строк 12 міс. спостереження (р</w:t>
      </w:r>
      <w:r>
        <w:rPr>
          <w:rFonts w:ascii="Times New Roman" w:hAnsi="Times New Roman"/>
          <w:color w:val="000000"/>
          <w:sz w:val="28"/>
          <w:lang w:val="uk-UA"/>
        </w:rPr>
        <w:sym w:font="Symbol" w:char="003C"/>
      </w:r>
      <w:r>
        <w:rPr>
          <w:rFonts w:ascii="Times New Roman" w:hAnsi="Times New Roman"/>
          <w:color w:val="000000"/>
          <w:sz w:val="28"/>
          <w:lang w:val="uk-UA"/>
        </w:rPr>
        <w:t>0,05);</w:t>
      </w:r>
      <w:r>
        <w:rPr>
          <w:rFonts w:ascii="Times New Roman" w:hAnsi="Times New Roman"/>
          <w:sz w:val="28"/>
          <w:szCs w:val="28"/>
          <w:lang w:val="uk-UA"/>
        </w:rPr>
        <w:t xml:space="preserve"> та зниженню </w:t>
      </w:r>
      <w:r>
        <w:rPr>
          <w:rFonts w:ascii="Times New Roman" w:hAnsi="Times New Roman"/>
          <w:color w:val="000000"/>
          <w:sz w:val="28"/>
          <w:szCs w:val="28"/>
          <w:lang w:val="uk-UA"/>
        </w:rPr>
        <w:t>на протязі 12 міс. спостереження кількість ампутацій на 18% та смертність на 4,2% (</w:t>
      </w:r>
      <w:r>
        <w:rPr>
          <w:rFonts w:ascii="Times New Roman" w:hAnsi="Times New Roman"/>
          <w:color w:val="000000"/>
          <w:sz w:val="28"/>
          <w:szCs w:val="28"/>
          <w:shd w:val="clear" w:color="auto" w:fill="FFFFFF"/>
          <w:lang w:val="uk-UA"/>
        </w:rPr>
        <w:sym w:font="Symbol" w:char="0063"/>
      </w:r>
      <w:r>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sym w:font="Symbol" w:char="003D"/>
      </w:r>
      <w:r>
        <w:rPr>
          <w:rFonts w:ascii="Times New Roman" w:hAnsi="Times New Roman"/>
          <w:color w:val="000000"/>
          <w:sz w:val="28"/>
          <w:szCs w:val="28"/>
          <w:shd w:val="clear" w:color="auto" w:fill="FFFFFF"/>
          <w:lang w:val="uk-UA"/>
        </w:rPr>
        <w:t>22,411, р=0,000).</w:t>
      </w:r>
      <w:r>
        <w:rPr>
          <w:rFonts w:ascii="Times New Roman" w:hAnsi="Times New Roman"/>
          <w:sz w:val="28"/>
          <w:szCs w:val="28"/>
          <w:lang w:val="uk-UA"/>
        </w:rPr>
        <w:t xml:space="preserve"> (патент України на корисну модель №111490 від 10.11.16  та патент України на корисну модель №111896 від 25.11.16).</w:t>
      </w:r>
    </w:p>
    <w:p w:rsidR="00A01923" w:rsidRDefault="00E44361" w:rsidP="00A01923">
      <w:pPr>
        <w:spacing w:after="0" w:line="360" w:lineRule="auto"/>
        <w:ind w:left="-567" w:firstLine="568"/>
        <w:jc w:val="both"/>
        <w:rPr>
          <w:rFonts w:ascii="Times New Roman" w:hAnsi="Times New Roman"/>
          <w:sz w:val="28"/>
          <w:szCs w:val="28"/>
          <w:lang w:val="uk-UA"/>
        </w:rPr>
      </w:pPr>
      <w:r w:rsidRPr="00E44361">
        <w:rPr>
          <w:rFonts w:ascii="Times New Roman" w:hAnsi="Times New Roman"/>
          <w:sz w:val="28"/>
          <w:szCs w:val="28"/>
          <w:lang w:val="uk-UA"/>
        </w:rPr>
        <w:t>Р</w:t>
      </w:r>
      <w:r>
        <w:rPr>
          <w:rFonts w:ascii="Times New Roman" w:hAnsi="Times New Roman"/>
          <w:sz w:val="28"/>
          <w:szCs w:val="28"/>
          <w:lang w:val="uk-UA"/>
        </w:rPr>
        <w:t>езультати</w:t>
      </w:r>
      <w:r w:rsidR="00A01923">
        <w:rPr>
          <w:rFonts w:ascii="Times New Roman" w:hAnsi="Times New Roman"/>
          <w:sz w:val="28"/>
          <w:szCs w:val="28"/>
          <w:lang w:val="uk-UA"/>
        </w:rPr>
        <w:t xml:space="preserve"> досліджень</w:t>
      </w:r>
      <w:r>
        <w:rPr>
          <w:rFonts w:ascii="Times New Roman" w:hAnsi="Times New Roman"/>
          <w:sz w:val="28"/>
          <w:szCs w:val="28"/>
          <w:lang w:val="uk-UA"/>
        </w:rPr>
        <w:t>, проведених у дисертацыъ,</w:t>
      </w:r>
      <w:r w:rsidR="00A01923">
        <w:rPr>
          <w:rFonts w:ascii="Times New Roman" w:hAnsi="Times New Roman"/>
          <w:sz w:val="28"/>
          <w:szCs w:val="28"/>
          <w:lang w:val="uk-UA"/>
        </w:rPr>
        <w:t xml:space="preserve"> впроваджені та використовуються в лікувальній практиці Комунального закладу охорони здоров’я «Обласна клінічна лікарня-центр екстреної медичної допомоги та медицини катастроф», державної установи «Інститут загальної та невідкладної хірургії ім. В.Т.Зайцева НАНУ», Чугуївської, Балаклійської, Зачепілівській та Барвінківської ЦРЛ.</w:t>
      </w:r>
    </w:p>
    <w:p w:rsidR="00A01923" w:rsidRPr="00EC6814" w:rsidRDefault="00A01923" w:rsidP="00A01923">
      <w:pPr>
        <w:spacing w:after="0" w:line="360" w:lineRule="auto"/>
        <w:ind w:left="-567" w:firstLine="568"/>
        <w:jc w:val="both"/>
        <w:rPr>
          <w:rFonts w:ascii="Times New Roman" w:hAnsi="Times New Roman"/>
          <w:sz w:val="28"/>
          <w:szCs w:val="28"/>
          <w:lang w:val="uk-UA"/>
        </w:rPr>
      </w:pPr>
      <w:r>
        <w:rPr>
          <w:rFonts w:ascii="Times New Roman" w:hAnsi="Times New Roman"/>
          <w:b/>
          <w:sz w:val="28"/>
          <w:szCs w:val="28"/>
          <w:lang w:val="uk-UA"/>
        </w:rPr>
        <w:t>Особистий внесок автора.</w:t>
      </w:r>
      <w:r>
        <w:rPr>
          <w:rFonts w:ascii="Times New Roman" w:hAnsi="Times New Roman"/>
          <w:sz w:val="28"/>
          <w:szCs w:val="28"/>
          <w:lang w:val="uk-UA"/>
        </w:rPr>
        <w:t xml:space="preserve"> Ідея дисертаційної роботи, обґрунтування мети, задач та способів їх вирішення належать авторові. Автором особисто проведений аналіз вітчизняної та зарубіжної </w:t>
      </w:r>
      <w:r w:rsidRPr="00EC6814">
        <w:rPr>
          <w:rFonts w:ascii="Times New Roman" w:hAnsi="Times New Roman"/>
          <w:sz w:val="28"/>
          <w:szCs w:val="28"/>
          <w:lang w:val="uk-UA"/>
        </w:rPr>
        <w:t>літератури за проблемою, інформаційний пошук, набір клінічного матеріалу, вибір та обґрунтування методів дослідження, статистична обробка отриманих даних.</w:t>
      </w:r>
    </w:p>
    <w:p w:rsidR="00A01923" w:rsidRPr="00EC6814" w:rsidRDefault="00A01923" w:rsidP="00A01923">
      <w:pPr>
        <w:spacing w:after="0" w:line="360" w:lineRule="auto"/>
        <w:ind w:left="-567" w:firstLine="568"/>
        <w:jc w:val="both"/>
        <w:rPr>
          <w:rFonts w:ascii="Times New Roman" w:hAnsi="Times New Roman"/>
          <w:sz w:val="28"/>
          <w:szCs w:val="28"/>
          <w:lang w:val="uk-UA"/>
        </w:rPr>
      </w:pPr>
      <w:r w:rsidRPr="00EC6814">
        <w:rPr>
          <w:rFonts w:ascii="Times New Roman" w:hAnsi="Times New Roman"/>
          <w:sz w:val="28"/>
          <w:szCs w:val="28"/>
          <w:lang w:val="uk-UA"/>
        </w:rPr>
        <w:t>У наукових працях, опублікованих у співавторстві, використано матеріал досліджень автора, також автором самостійно підготовлені заявки на запропоновані винаходи.</w:t>
      </w:r>
    </w:p>
    <w:p w:rsidR="00A01923" w:rsidRPr="00EC6814" w:rsidRDefault="00A01923" w:rsidP="00A01923">
      <w:pPr>
        <w:spacing w:after="0" w:line="360" w:lineRule="auto"/>
        <w:ind w:left="-567" w:firstLine="568"/>
        <w:jc w:val="both"/>
        <w:rPr>
          <w:rFonts w:ascii="Times New Roman" w:hAnsi="Times New Roman"/>
          <w:sz w:val="28"/>
          <w:szCs w:val="28"/>
          <w:lang w:val="uk-UA"/>
        </w:rPr>
      </w:pPr>
      <w:r w:rsidRPr="00EC6814">
        <w:rPr>
          <w:rFonts w:ascii="Times New Roman" w:hAnsi="Times New Roman"/>
          <w:sz w:val="28"/>
          <w:szCs w:val="28"/>
          <w:lang w:val="uk-UA"/>
        </w:rPr>
        <w:t>Автор розробив та впровадив методику лікування хворих на ХКІНК шляхом стимуляції неоангіогенезу за допомогою збагаченої тромбоцитами.</w:t>
      </w:r>
    </w:p>
    <w:p w:rsidR="00A01923" w:rsidRPr="00EC6814" w:rsidRDefault="00A01923" w:rsidP="00A01923">
      <w:pPr>
        <w:spacing w:after="0" w:line="360" w:lineRule="auto"/>
        <w:ind w:left="-567" w:firstLine="568"/>
        <w:jc w:val="both"/>
        <w:rPr>
          <w:rFonts w:ascii="Times New Roman" w:hAnsi="Times New Roman"/>
          <w:sz w:val="28"/>
          <w:szCs w:val="28"/>
          <w:lang w:val="uk-UA"/>
        </w:rPr>
      </w:pPr>
      <w:r w:rsidRPr="00EC6814">
        <w:rPr>
          <w:rFonts w:ascii="Times New Roman" w:hAnsi="Times New Roman"/>
          <w:b/>
          <w:sz w:val="28"/>
          <w:szCs w:val="28"/>
          <w:lang w:val="uk-UA"/>
        </w:rPr>
        <w:t xml:space="preserve">Апробація результатів дисертації. </w:t>
      </w:r>
      <w:r w:rsidRPr="00EC6814">
        <w:rPr>
          <w:rFonts w:ascii="Times New Roman" w:hAnsi="Times New Roman"/>
          <w:sz w:val="28"/>
          <w:szCs w:val="28"/>
          <w:lang w:val="uk-UA"/>
        </w:rPr>
        <w:t xml:space="preserve">Основні положення дисертації повідомлені та обговорені на науково-практичних конференціях та з'їздах: на науково-практичній конференції з міжнародною участю «Актуальні питання невідкладної хірургії» (м. Харків, 2016), на міжнародній науковій міждисциплінарній конференції студентів та молодих вчених ISIC (м. Харків, 2015, 2016 рр). За матеріалами дисертації отримано патент України на корисну модель №111490 від 10.11.16 та патент України на корисну модель №111896 від </w:t>
      </w:r>
      <w:r w:rsidRPr="00EC6814">
        <w:rPr>
          <w:rFonts w:ascii="Times New Roman" w:hAnsi="Times New Roman"/>
          <w:sz w:val="28"/>
          <w:szCs w:val="28"/>
          <w:lang w:val="uk-UA"/>
        </w:rPr>
        <w:lastRenderedPageBreak/>
        <w:t>25.11.16, за матеріалами яких було видано Інформаційні листи та отримано галузеві впровадження.</w:t>
      </w:r>
    </w:p>
    <w:p w:rsidR="00A01923" w:rsidRPr="00EC6814" w:rsidRDefault="00A01923" w:rsidP="00A01923">
      <w:pPr>
        <w:pStyle w:val="a8"/>
        <w:spacing w:after="0" w:line="360" w:lineRule="auto"/>
        <w:ind w:left="-567" w:firstLine="568"/>
        <w:jc w:val="both"/>
        <w:rPr>
          <w:sz w:val="28"/>
          <w:szCs w:val="28"/>
        </w:rPr>
      </w:pPr>
      <w:r w:rsidRPr="00EC6814">
        <w:rPr>
          <w:b/>
          <w:sz w:val="28"/>
          <w:szCs w:val="28"/>
        </w:rPr>
        <w:t xml:space="preserve">Публікації. </w:t>
      </w:r>
      <w:r w:rsidRPr="00EC6814">
        <w:rPr>
          <w:bCs/>
          <w:sz w:val="28"/>
          <w:szCs w:val="28"/>
        </w:rPr>
        <w:t xml:space="preserve">За матеріалами дисертації опубліковано 11 наукових робіт,  з них </w:t>
      </w:r>
      <w:r w:rsidR="00EC6814" w:rsidRPr="00EC6814">
        <w:rPr>
          <w:bCs/>
          <w:sz w:val="28"/>
          <w:szCs w:val="28"/>
        </w:rPr>
        <w:t>6</w:t>
      </w:r>
      <w:r w:rsidRPr="00EC6814">
        <w:rPr>
          <w:bCs/>
          <w:sz w:val="28"/>
          <w:szCs w:val="28"/>
        </w:rPr>
        <w:t xml:space="preserve"> статей у наукових фахових виданнях України, 1 – у міжнародному фаховому виданні, що індексується у </w:t>
      </w:r>
      <w:r w:rsidRPr="00EC6814">
        <w:rPr>
          <w:bCs/>
          <w:sz w:val="28"/>
          <w:szCs w:val="28"/>
          <w:lang w:val="en-US"/>
        </w:rPr>
        <w:t>Index</w:t>
      </w:r>
      <w:r w:rsidRPr="00EC6814">
        <w:rPr>
          <w:bCs/>
          <w:sz w:val="28"/>
          <w:szCs w:val="28"/>
        </w:rPr>
        <w:t xml:space="preserve"> </w:t>
      </w:r>
      <w:r w:rsidRPr="00EC6814">
        <w:rPr>
          <w:bCs/>
          <w:sz w:val="28"/>
          <w:szCs w:val="28"/>
          <w:lang w:val="en-US"/>
        </w:rPr>
        <w:t>Copernicus</w:t>
      </w:r>
      <w:r w:rsidRPr="00EC6814">
        <w:rPr>
          <w:bCs/>
          <w:sz w:val="28"/>
          <w:szCs w:val="28"/>
        </w:rPr>
        <w:t xml:space="preserve"> </w:t>
      </w:r>
      <w:r w:rsidRPr="00EC6814">
        <w:rPr>
          <w:bCs/>
          <w:sz w:val="28"/>
          <w:szCs w:val="28"/>
          <w:lang w:val="en-US"/>
        </w:rPr>
        <w:t>Journals</w:t>
      </w:r>
      <w:r w:rsidRPr="00EC6814">
        <w:rPr>
          <w:bCs/>
          <w:sz w:val="28"/>
          <w:szCs w:val="28"/>
        </w:rPr>
        <w:t xml:space="preserve"> </w:t>
      </w:r>
      <w:r w:rsidRPr="00EC6814">
        <w:rPr>
          <w:bCs/>
          <w:sz w:val="28"/>
          <w:szCs w:val="28"/>
          <w:lang w:val="en-US"/>
        </w:rPr>
        <w:t>Master</w:t>
      </w:r>
      <w:r w:rsidRPr="00EC6814">
        <w:rPr>
          <w:bCs/>
          <w:sz w:val="28"/>
          <w:szCs w:val="28"/>
        </w:rPr>
        <w:t xml:space="preserve"> </w:t>
      </w:r>
      <w:r w:rsidRPr="00EC6814">
        <w:rPr>
          <w:bCs/>
          <w:sz w:val="28"/>
          <w:szCs w:val="28"/>
          <w:lang w:val="en-US"/>
        </w:rPr>
        <w:t>List</w:t>
      </w:r>
      <w:r w:rsidRPr="00EC6814">
        <w:rPr>
          <w:bCs/>
          <w:sz w:val="28"/>
          <w:szCs w:val="28"/>
        </w:rPr>
        <w:t>, 2 патенти України на корисну модель, 2 тез доповідей на з’їздах та науково-практичних конференціях.</w:t>
      </w:r>
    </w:p>
    <w:p w:rsidR="00A01923" w:rsidRPr="00EC6814" w:rsidRDefault="00A01923" w:rsidP="00A01923">
      <w:pPr>
        <w:spacing w:after="0" w:line="360" w:lineRule="auto"/>
        <w:ind w:left="-567" w:firstLine="568"/>
        <w:jc w:val="both"/>
        <w:rPr>
          <w:rFonts w:ascii="Times New Roman" w:hAnsi="Times New Roman"/>
          <w:sz w:val="28"/>
          <w:szCs w:val="28"/>
          <w:lang w:val="uk-UA"/>
        </w:rPr>
      </w:pPr>
      <w:r w:rsidRPr="00EC6814">
        <w:rPr>
          <w:rFonts w:ascii="Times New Roman" w:hAnsi="Times New Roman"/>
          <w:b/>
          <w:sz w:val="28"/>
          <w:szCs w:val="28"/>
          <w:lang w:val="uk-UA"/>
        </w:rPr>
        <w:t xml:space="preserve">Структура та об'єм роботи. </w:t>
      </w:r>
      <w:r w:rsidRPr="00EC6814">
        <w:rPr>
          <w:rFonts w:ascii="Times New Roman" w:hAnsi="Times New Roman"/>
          <w:sz w:val="28"/>
          <w:szCs w:val="28"/>
          <w:lang w:val="uk-UA"/>
        </w:rPr>
        <w:t xml:space="preserve">Дисертація викладена в одному томі на </w:t>
      </w:r>
      <w:r w:rsidR="00EC6814" w:rsidRPr="00EC6814">
        <w:rPr>
          <w:rFonts w:ascii="Times New Roman" w:hAnsi="Times New Roman"/>
          <w:sz w:val="28"/>
          <w:szCs w:val="28"/>
          <w:lang w:val="uk-UA"/>
        </w:rPr>
        <w:t>161</w:t>
      </w:r>
      <w:r w:rsidRPr="00EC6814">
        <w:rPr>
          <w:rFonts w:ascii="Times New Roman" w:hAnsi="Times New Roman"/>
          <w:sz w:val="28"/>
          <w:szCs w:val="28"/>
          <w:lang w:val="uk-UA"/>
        </w:rPr>
        <w:t xml:space="preserve"> сторін</w:t>
      </w:r>
      <w:r w:rsidR="00EC6814" w:rsidRPr="00EC6814">
        <w:rPr>
          <w:rFonts w:ascii="Times New Roman" w:hAnsi="Times New Roman"/>
          <w:sz w:val="28"/>
          <w:szCs w:val="28"/>
          <w:lang w:val="uk-UA"/>
        </w:rPr>
        <w:t>ці  основного тексту</w:t>
      </w:r>
      <w:r w:rsidRPr="00EC6814">
        <w:rPr>
          <w:rFonts w:ascii="Times New Roman" w:hAnsi="Times New Roman"/>
          <w:sz w:val="28"/>
          <w:szCs w:val="28"/>
          <w:lang w:val="uk-UA"/>
        </w:rPr>
        <w:t>, ілюстрована 38 таблиц</w:t>
      </w:r>
      <w:r w:rsidR="00EC6814" w:rsidRPr="00EC6814">
        <w:rPr>
          <w:rFonts w:ascii="Times New Roman" w:hAnsi="Times New Roman"/>
          <w:sz w:val="28"/>
          <w:szCs w:val="28"/>
          <w:lang w:val="uk-UA"/>
        </w:rPr>
        <w:t>ями</w:t>
      </w:r>
      <w:r w:rsidRPr="00EC6814">
        <w:rPr>
          <w:rFonts w:ascii="Times New Roman" w:hAnsi="Times New Roman"/>
          <w:sz w:val="28"/>
          <w:szCs w:val="28"/>
          <w:lang w:val="uk-UA"/>
        </w:rPr>
        <w:t>, 4</w:t>
      </w:r>
      <w:r w:rsidR="00EC6814" w:rsidRPr="00EC6814">
        <w:rPr>
          <w:rFonts w:ascii="Times New Roman" w:hAnsi="Times New Roman"/>
          <w:sz w:val="28"/>
          <w:szCs w:val="28"/>
          <w:lang w:val="uk-UA"/>
        </w:rPr>
        <w:t>1</w:t>
      </w:r>
      <w:r w:rsidRPr="00EC6814">
        <w:rPr>
          <w:rFonts w:ascii="Times New Roman" w:hAnsi="Times New Roman"/>
          <w:sz w:val="28"/>
          <w:szCs w:val="28"/>
          <w:lang w:val="uk-UA"/>
        </w:rPr>
        <w:t xml:space="preserve"> рисунк</w:t>
      </w:r>
      <w:r w:rsidR="00EC6814" w:rsidRPr="00EC6814">
        <w:rPr>
          <w:rFonts w:ascii="Times New Roman" w:hAnsi="Times New Roman"/>
          <w:sz w:val="28"/>
          <w:szCs w:val="28"/>
          <w:lang w:val="uk-UA"/>
        </w:rPr>
        <w:t>ами</w:t>
      </w:r>
      <w:r w:rsidRPr="00EC6814">
        <w:rPr>
          <w:rFonts w:ascii="Times New Roman" w:hAnsi="Times New Roman"/>
          <w:sz w:val="28"/>
          <w:szCs w:val="28"/>
          <w:lang w:val="uk-UA"/>
        </w:rPr>
        <w:t xml:space="preserve">, включає анотацію, перелік умовних скорочень, вступ, 7 розділів, висновків, списка літератури, що вміщує </w:t>
      </w:r>
      <w:r w:rsidR="00EC6814" w:rsidRPr="00EC6814">
        <w:rPr>
          <w:rFonts w:ascii="Times New Roman" w:hAnsi="Times New Roman"/>
          <w:sz w:val="28"/>
          <w:szCs w:val="28"/>
          <w:lang w:val="uk-UA"/>
        </w:rPr>
        <w:t>74</w:t>
      </w:r>
      <w:r w:rsidRPr="00EC6814">
        <w:rPr>
          <w:rFonts w:ascii="Times New Roman" w:hAnsi="Times New Roman"/>
          <w:sz w:val="28"/>
          <w:szCs w:val="28"/>
          <w:lang w:val="uk-UA"/>
        </w:rPr>
        <w:t xml:space="preserve"> роб</w:t>
      </w:r>
      <w:r w:rsidR="00EC6814" w:rsidRPr="00EC6814">
        <w:rPr>
          <w:rFonts w:ascii="Times New Roman" w:hAnsi="Times New Roman"/>
          <w:sz w:val="28"/>
          <w:szCs w:val="28"/>
          <w:lang w:val="uk-UA"/>
        </w:rPr>
        <w:t>оти</w:t>
      </w:r>
      <w:r w:rsidRPr="00EC6814">
        <w:rPr>
          <w:rFonts w:ascii="Times New Roman" w:hAnsi="Times New Roman"/>
          <w:sz w:val="28"/>
          <w:szCs w:val="28"/>
          <w:lang w:val="uk-UA"/>
        </w:rPr>
        <w:t xml:space="preserve"> кирилицею та 12</w:t>
      </w:r>
      <w:r w:rsidR="00EC6814" w:rsidRPr="00EC6814">
        <w:rPr>
          <w:rFonts w:ascii="Times New Roman" w:hAnsi="Times New Roman"/>
          <w:sz w:val="28"/>
          <w:szCs w:val="28"/>
          <w:lang w:val="uk-UA"/>
        </w:rPr>
        <w:t>4</w:t>
      </w:r>
      <w:r w:rsidRPr="00EC6814">
        <w:rPr>
          <w:rFonts w:ascii="Times New Roman" w:hAnsi="Times New Roman"/>
          <w:sz w:val="28"/>
          <w:szCs w:val="28"/>
          <w:lang w:val="uk-UA"/>
        </w:rPr>
        <w:t xml:space="preserve"> латиницею (2</w:t>
      </w:r>
      <w:r w:rsidR="00EC6814" w:rsidRPr="00EC6814">
        <w:rPr>
          <w:rFonts w:ascii="Times New Roman" w:hAnsi="Times New Roman"/>
          <w:sz w:val="28"/>
          <w:szCs w:val="28"/>
          <w:lang w:val="uk-UA"/>
        </w:rPr>
        <w:t>3</w:t>
      </w:r>
      <w:r w:rsidRPr="00EC6814">
        <w:rPr>
          <w:rFonts w:ascii="Times New Roman" w:hAnsi="Times New Roman"/>
          <w:sz w:val="28"/>
          <w:szCs w:val="28"/>
          <w:lang w:val="uk-UA"/>
        </w:rPr>
        <w:t xml:space="preserve"> стор), та </w:t>
      </w:r>
      <w:r w:rsidR="00EC6814" w:rsidRPr="00EC6814">
        <w:rPr>
          <w:rFonts w:ascii="Times New Roman" w:hAnsi="Times New Roman"/>
          <w:sz w:val="28"/>
          <w:szCs w:val="28"/>
          <w:lang w:val="uk-UA"/>
        </w:rPr>
        <w:t>6</w:t>
      </w:r>
      <w:r w:rsidRPr="00EC6814">
        <w:rPr>
          <w:rFonts w:ascii="Times New Roman" w:hAnsi="Times New Roman"/>
          <w:sz w:val="28"/>
          <w:szCs w:val="28"/>
          <w:lang w:val="uk-UA"/>
        </w:rPr>
        <w:t xml:space="preserve"> додатк</w:t>
      </w:r>
      <w:r w:rsidR="00EC6814" w:rsidRPr="00EC6814">
        <w:rPr>
          <w:rFonts w:ascii="Times New Roman" w:hAnsi="Times New Roman"/>
          <w:sz w:val="28"/>
          <w:szCs w:val="28"/>
          <w:lang w:val="uk-UA"/>
        </w:rPr>
        <w:t>ів</w:t>
      </w:r>
      <w:r w:rsidRPr="00EC6814">
        <w:rPr>
          <w:rFonts w:ascii="Times New Roman" w:hAnsi="Times New Roman"/>
          <w:sz w:val="28"/>
          <w:szCs w:val="28"/>
          <w:lang w:val="uk-UA"/>
        </w:rPr>
        <w:t>.</w:t>
      </w:r>
    </w:p>
    <w:p w:rsidR="00A01923" w:rsidRDefault="00A01923" w:rsidP="00A01923">
      <w:pPr>
        <w:ind w:left="-567" w:firstLine="568"/>
        <w:rPr>
          <w:rFonts w:ascii="Calibri" w:hAnsi="Calibri"/>
          <w:lang w:val="uk-UA"/>
        </w:rPr>
      </w:pPr>
      <w:r>
        <w:rPr>
          <w:lang w:val="uk-UA"/>
        </w:rPr>
        <w:br w:type="page"/>
      </w:r>
    </w:p>
    <w:p w:rsidR="00A01923" w:rsidRDefault="00A01923" w:rsidP="00A01923">
      <w:pPr>
        <w:tabs>
          <w:tab w:val="left" w:pos="180"/>
          <w:tab w:val="left" w:pos="540"/>
          <w:tab w:val="left" w:pos="720"/>
        </w:tabs>
        <w:spacing w:after="0" w:line="360" w:lineRule="auto"/>
        <w:ind w:left="-567" w:firstLine="568"/>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1 </w:t>
      </w:r>
    </w:p>
    <w:p w:rsidR="00A01923" w:rsidRDefault="00A01923" w:rsidP="00A01923">
      <w:pPr>
        <w:tabs>
          <w:tab w:val="left" w:pos="180"/>
          <w:tab w:val="left" w:pos="540"/>
          <w:tab w:val="left" w:pos="720"/>
        </w:tabs>
        <w:spacing w:after="0" w:line="360" w:lineRule="auto"/>
        <w:ind w:left="-567" w:firstLine="568"/>
        <w:jc w:val="center"/>
        <w:rPr>
          <w:rFonts w:ascii="Times New Roman" w:hAnsi="Times New Roman"/>
          <w:b/>
          <w:sz w:val="28"/>
          <w:szCs w:val="28"/>
          <w:lang w:val="uk-UA"/>
        </w:rPr>
      </w:pPr>
      <w:r>
        <w:rPr>
          <w:rFonts w:ascii="Times New Roman" w:hAnsi="Times New Roman"/>
          <w:b/>
          <w:sz w:val="28"/>
          <w:szCs w:val="28"/>
          <w:lang w:val="uk-UA"/>
        </w:rPr>
        <w:t>ОГЛЯД ЛІТЕРАТУРИ</w:t>
      </w:r>
    </w:p>
    <w:p w:rsidR="00A01923" w:rsidRDefault="00A01923" w:rsidP="00A01923">
      <w:pPr>
        <w:pStyle w:val="ac"/>
        <w:tabs>
          <w:tab w:val="left" w:pos="142"/>
        </w:tabs>
        <w:spacing w:line="360" w:lineRule="auto"/>
        <w:ind w:left="-567" w:firstLine="568"/>
        <w:jc w:val="both"/>
        <w:rPr>
          <w:b/>
          <w:sz w:val="28"/>
          <w:szCs w:val="28"/>
          <w:lang w:val="uk-UA"/>
        </w:rPr>
      </w:pPr>
      <w:r>
        <w:rPr>
          <w:b/>
          <w:sz w:val="28"/>
          <w:szCs w:val="28"/>
          <w:lang w:val="uk-UA"/>
        </w:rPr>
        <w:t>1.1 Сучасні методи хірургічного лікування хворих на критичну ішемію нижніх кінцівок з ураженням дистального судинного русла</w:t>
      </w:r>
    </w:p>
    <w:p w:rsidR="00A01923" w:rsidRDefault="00A01923" w:rsidP="00A01923">
      <w:pPr>
        <w:pStyle w:val="ac"/>
        <w:tabs>
          <w:tab w:val="left" w:pos="142"/>
        </w:tabs>
        <w:spacing w:line="360" w:lineRule="auto"/>
        <w:ind w:left="-567" w:firstLine="568"/>
        <w:jc w:val="center"/>
        <w:rPr>
          <w:b/>
          <w:sz w:val="28"/>
          <w:szCs w:val="28"/>
          <w:lang w:val="uk-UA"/>
        </w:rPr>
      </w:pPr>
    </w:p>
    <w:p w:rsidR="00A01923" w:rsidRDefault="00A01923" w:rsidP="00A01923">
      <w:pPr>
        <w:pStyle w:val="ac"/>
        <w:tabs>
          <w:tab w:val="left" w:pos="142"/>
        </w:tabs>
        <w:spacing w:line="360" w:lineRule="auto"/>
        <w:ind w:left="-567" w:firstLine="568"/>
        <w:jc w:val="center"/>
        <w:rPr>
          <w:b/>
          <w:sz w:val="28"/>
          <w:szCs w:val="28"/>
          <w:lang w:val="uk-UA"/>
        </w:rPr>
      </w:pP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Термін «критична ішемія нижньої кінцівки» (КІНК) був введений у 1982 році P.R.F.Bell для принципового виділення групи пацієнтів з постійним болем у спокої, що потребує знеболення більше 2 тижднів, з трофічною виразкою або гангреною пальців або стопи на фоні хронічної артеріальної недостатності нижніх кінцівок</w:t>
      </w:r>
      <w:r>
        <w:rPr>
          <w:sz w:val="28"/>
          <w:szCs w:val="28"/>
          <w:lang w:val="uk-UA"/>
        </w:rPr>
        <w:t xml:space="preserve"> [179]. </w:t>
      </w: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 xml:space="preserve">За визначенням Трансатлантичного міжсуспільного погоджувального консенсусу по веденню хворих із захворюванням периферичних артерій (ЗПА) TASC II (TASC II - Trans-Atlantic Inter-Society Consensus ІІ, 2007) критична ішемія нижніх кінцівок – це прояв захворювань периферійних артерій нижніх кінцівок, що включає хворих з типовими хронічними болями спокою (переважно в нічний час), з ішемічними трофічними розладами, як виразками, так і гангреною, і з переміжною кульгавістю менше 30 м </w:t>
      </w:r>
      <w:r>
        <w:rPr>
          <w:sz w:val="28"/>
          <w:szCs w:val="28"/>
          <w:lang w:val="uk-UA"/>
        </w:rPr>
        <w:t xml:space="preserve">[133]. </w:t>
      </w:r>
      <w:r>
        <w:rPr>
          <w:sz w:val="28"/>
          <w:szCs w:val="28"/>
          <w:shd w:val="clear" w:color="auto" w:fill="FFFFFF"/>
          <w:lang w:val="uk-UA"/>
        </w:rPr>
        <w:t>Термін «хронічна критична ішемія нижньої кінцівки» (ХКІНК) використовується в разі наявності симптоматики протягом більше 2 тижнів. За класифікацією Фонтейна-Покровського, представленою нижче, цей стан відповідає III-IV стадіям захворювання периферичних артерій, а за класифікацією Рутерфорда – 3-6 категоріям.</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Як відомо, чим проксимальніше рівень ураження артерій, тим кращі результати реваскуляризації. Це відноситься і до відкритих, і до ендоваскулярних методів. Найкращі результати відмічаються при втручанні на рівні аорти чи загальної здухвинної артерії. Чим дистальніше уражений сегмент, тим гірші результати. Так, прохідність після втручання на здухвинних артеріях становить 80 % через рік та 60 % через 5 років [63], при втручанні на стегново-підколінно-гомілковому сегменті ці цифри становлять 50 % через 5 років, а при ураженні двох чи трьох гомілкових артерій лише 25 % [78].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lastRenderedPageBreak/>
        <w:t>За рекомендаціями TASC II переважним методом лікування для типів А та В є ендоваскулярне втручання, а для С та D – відкрите хірургічне втручання [133].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Дистальний рівень ураження судин нижніх кінцівок – це ураження судин нижче пахвинної складки. У нашому дослідженні приймали участь хворі з ураженням артерій від підколінної артеріі та дистальніше. Цей рівень ураження й визначає важкість стану цієї групи хворих.</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За даними TASC II (2007) основними завданнями при лікуванні пацієнтів з КІНК є зменшення ішемічного болю, загоєння виразок, попередження втрати кінцівки, поліпшення якості життя і збільшення її тривалості. Тим же документом було виділено основні напрямки консервативного лікування хворих з захворюванням периферійних артерій та КІНК та рекомендації щодо їх використання [133].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Характер перебігу захворювання (симптомний або асимптомний) не відображає швидкість його прогресування. Наявність симптомів більшою мірою визначається активністю пацієнта, а не стадією захворювання. У деяких пацієнтів при первинному огляді діагностується ХКІНК, оскільки, незважаючи на те, що ступінь їх активності була незначною для прояву симптомів переміжної кульгавості, виявлене зниження перфузії у кінцівці виявляється значущим для порушення загоєння навіть найменших пошкоджень. Приблизно у 25 % пацієнтів з наявністю симптомів переміжної кульгавості протягом першого року після встановлення діагнозу спостерігається значне прогресування захворювання і посилення симптомів. У решти 75 % пацієнтів стабілізація стану відбувається внаслідок розвитку колатералей, метаболічної адаптації уражених тканин і залучення альтернативних груп м'язів при ходьбі. Атеросклеротичне ураження, яке лежить у основі ХКІНК, має дифузний, мультісегментарний характер [178].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Істотну роль в прогресуванні захворювання грають супутні фактори, такі як цукровий діабет (ЦД) і стани, що супроводжуються малим серцевим викидом. На підставі цих чинників значно знижується кровотік в мікроциркуляторному руслі [133].</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lastRenderedPageBreak/>
        <w:t>Поганий прогноз перебігу цього захворювання пов'язаний з високим ризиком ампутації кінцівки або розвитком фатальної або нефатальної судинної події. У літературі прогноз цього захворювання поється з прогнозом хворих із злоякісними новоутвореннями. Близько 25 % пацієнтів з таким діагнозом помирають, і у 30 % потрібна висока ампутація кінцівки протягом року від моменту початку захворювання [2, 54, 166, 183</w:t>
      </w:r>
      <w:r>
        <w:rPr>
          <w:sz w:val="28"/>
          <w:szCs w:val="28"/>
          <w:lang w:val="uk-UA"/>
        </w:rPr>
        <w:t>]</w:t>
      </w:r>
      <w:r>
        <w:rPr>
          <w:sz w:val="28"/>
          <w:szCs w:val="28"/>
          <w:shd w:val="clear" w:color="auto" w:fill="FFFFFF"/>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Повторимо, що цілями лікування критичної ішемії нижніх кінцівок є купіювання ішемічного болю, загоєння ішемічних виразок, підвищення активності пацієнта, покращення якості його життя і віддалений прогноз з первинним результатом – виживанням без ампутацій. Необхідним заходом для досягнення цих цілей є реваскуляризація. Можливість її проведення залежить від рівня, ступеня і протяжності ураження артерії. Пряма реваскуляризація проводиться при обмежених ураженнях артерій, при збереженому дистальному руслі. У разі полісегментарного артеріального ураження, або якщо операція була проведена, але явища ішемії з якихось причин наростають, хворим проводяться непрямі реваскуляризуючі операції [158]. Оперативне лікування, що виконується у хворих з ХКІНК, не впливає на етіологію і патогенетичну сутність атеросклеротичного процессу і тим самим лише забезпечує виграш часу для розвитку колатералей і адаптації мікроциркуляторного русла [151].</w:t>
      </w:r>
      <w:r>
        <w:rPr>
          <w:i/>
          <w:sz w:val="28"/>
          <w:szCs w:val="28"/>
          <w:shd w:val="clear" w:color="auto" w:fill="FFFFFF"/>
          <w:lang w:val="uk-UA"/>
        </w:rPr>
        <w:t xml:space="preserve"> </w:t>
      </w:r>
      <w:r>
        <w:rPr>
          <w:sz w:val="28"/>
          <w:szCs w:val="28"/>
          <w:shd w:val="clear" w:color="auto" w:fill="FFFFFF"/>
          <w:lang w:val="uk-UA"/>
        </w:rPr>
        <w:t>Основними напрямками консервативного лікування прийнято вважати поліпшення реологічних властивостей крові, підвищення антиоксидантної активності крові, придушення гіперпродукції компонентів запалення, іммунокоррекцію, нормалізацію ліпідного обміну, стимуляцію розвитку колатералей [144].</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Реваскуляризація при дистальній формі ураження судинного русла є ефективним методом лікування хворих на ХКІНК та збереження кінцівки.</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Високий темп розвитку ендоваскулярної хірургії та інтервенційної радіології призвів до того, що перкутанна балонна ангіопластика артерій гомілки останні роки усе частіше застосовується в якості методу прямої реваскуляризації у хворих з ХКІНК, у тому числі й у хворих на цукровий діабет [130, 147].</w:t>
      </w:r>
    </w:p>
    <w:p w:rsidR="00A01923" w:rsidRDefault="00A01923" w:rsidP="00A01923">
      <w:pPr>
        <w:pStyle w:val="ac"/>
        <w:tabs>
          <w:tab w:val="left" w:pos="142"/>
        </w:tabs>
        <w:spacing w:line="360" w:lineRule="auto"/>
        <w:ind w:left="-567" w:firstLine="568"/>
        <w:jc w:val="both"/>
        <w:rPr>
          <w:rFonts w:eastAsia="TimesNewRomanPSMT"/>
          <w:sz w:val="28"/>
          <w:szCs w:val="28"/>
          <w:lang w:val="uk-UA"/>
        </w:rPr>
      </w:pPr>
      <w:r>
        <w:rPr>
          <w:rFonts w:eastAsia="TimesNewRomanPSMT"/>
          <w:sz w:val="28"/>
          <w:szCs w:val="28"/>
          <w:lang w:val="uk-UA"/>
        </w:rPr>
        <w:lastRenderedPageBreak/>
        <w:t xml:space="preserve">На сьогоднішній день в економічно розвинених країнах частка балонної ангіопластики при критичній ішемії нижніх кінцівок становить 80%, дистального шунтування – 20 %. Міжнародні рекомендації Inter-Society Consensus for the Management of Peripheral Arterial Disease (TASC II, 2007), а також Міжнародний консенсус з діабетичної стопи 2011 року розглядають балонну ангіопластику як метод вибору в лікуванні критичної ішемії нижніх кінцівок </w:t>
      </w:r>
      <w:r>
        <w:rPr>
          <w:sz w:val="28"/>
          <w:szCs w:val="28"/>
          <w:lang w:val="uk-UA"/>
        </w:rPr>
        <w:t>[107, 133, 176]</w:t>
      </w:r>
      <w:r>
        <w:rPr>
          <w:rFonts w:eastAsia="TimesNewRomanPSMT"/>
          <w:sz w:val="28"/>
          <w:szCs w:val="28"/>
          <w:lang w:val="uk-UA"/>
        </w:rPr>
        <w:t>.</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 xml:space="preserve">Накопичення досвіду дозволяє в більшості випадків вирішити проблему реваскуляризації при ХКІНК – частота успішного </w:t>
      </w:r>
      <w:r w:rsidRPr="00803E73">
        <w:rPr>
          <w:sz w:val="28"/>
          <w:szCs w:val="28"/>
          <w:shd w:val="clear" w:color="auto" w:fill="FFFFFF"/>
          <w:lang w:val="uk-UA"/>
        </w:rPr>
        <w:t>виконання ЧБА навіть на рівні артерій гомілки може становити 100 % [143, 150, 189]. Це призвело</w:t>
      </w:r>
      <w:r>
        <w:rPr>
          <w:sz w:val="28"/>
          <w:szCs w:val="28"/>
          <w:shd w:val="clear" w:color="auto" w:fill="FFFFFF"/>
          <w:lang w:val="uk-UA"/>
        </w:rPr>
        <w:t xml:space="preserve"> до того, що в останні роки спостерігається зниження частки ампутацій у хворих на ЦД в загальній кількості високих ампутацій нижніх кінцівок, зменшення кількості відкритих реваскуляризації, а також розширення меж курабельних пацієнтів «високого ризику» [67, 75, 116]. За даними О.А. Шумкова, технічний успіх ЧБА на рівні гомілки відзначений у 91% пацієнтів. Підвищенню кількості успішних реваскуляризації у пацієнтів з оклюзією артерій на тлі ЦД сприяє застосування техніки субінтімальної ангіопластики [71, 116].</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За даними В.І.Русина, прохідність після ендоваскулярної черезшкірної балонної ангіопластики і / або стентування до кінця 3 року спостереження склала 64%, при цьому зберегти кінцівку вдалося у 68 % пацієнтів [41].</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lang w:val="uk-UA"/>
        </w:rPr>
        <w:t>Частота великих ускладнень ендоваскулярної ангіопластики, як правило, не перевищує 7% [</w:t>
      </w:r>
      <w:r>
        <w:rPr>
          <w:sz w:val="28"/>
          <w:szCs w:val="28"/>
          <w:shd w:val="clear" w:color="auto" w:fill="FFFFFF"/>
          <w:lang w:val="uk-UA"/>
        </w:rPr>
        <w:t>140, 157</w:t>
      </w:r>
      <w:r>
        <w:rPr>
          <w:sz w:val="28"/>
          <w:szCs w:val="28"/>
          <w:lang w:val="uk-UA"/>
        </w:rPr>
        <w:t>]. На нашу думку, високий ризик операційних ускладнень у пацієнтів з синдромом діабетичної стопи диктує необхідність застосування в якості первинного заходи щодо реваскуляризації кінцівок саме ЧБА. Зниження ступеня операційного ризику при виконанні ендоваскулярних втручань навіть робить можливим виконання в один день ЧБА і при необхідності малих ампутацій [</w:t>
      </w:r>
      <w:r>
        <w:rPr>
          <w:sz w:val="28"/>
          <w:szCs w:val="28"/>
          <w:shd w:val="clear" w:color="auto" w:fill="FFFFFF"/>
          <w:lang w:val="uk-UA"/>
        </w:rPr>
        <w:t>67</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Віддалені результати лікування пацієнтів з ХКІНК на тлі ЦД (через 12 місяців після ЧБА): при порівнянні результатів цього дослідження з наявними власними даними про частоту високих ампутацій у пацієнтів з ураженням артерій гомілки на тлі ЦД (без реваскуляризації) виявлено зниження цього показника з </w:t>
      </w:r>
      <w:r>
        <w:rPr>
          <w:sz w:val="28"/>
          <w:szCs w:val="28"/>
          <w:lang w:val="uk-UA"/>
        </w:rPr>
        <w:lastRenderedPageBreak/>
        <w:t>14,5 до 8,0 %. Отже, відношення шансів високої ампутації при КІНК протягом року після реваскуляризації і без неї становить 0,55 [</w:t>
      </w:r>
      <w:r>
        <w:rPr>
          <w:sz w:val="28"/>
          <w:szCs w:val="28"/>
          <w:shd w:val="clear" w:color="auto" w:fill="FFFFFF"/>
          <w:lang w:val="uk-UA"/>
        </w:rPr>
        <w:t>71</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 xml:space="preserve">Незважаючи на високий безпосередній успіх ЧБА артерій гомілки, первинна прохідність артерій гомілки через 12 місяців після ЧБА склала (включаючи первинно індуковану) 72 %, а виконання реваскуляризації на рівні гомілки дозволило знизити частоту високої ампутації у пацієнтів з ХКІНК на тлі ЦД в 1,8 рази. </w:t>
      </w:r>
      <w:r>
        <w:rPr>
          <w:sz w:val="28"/>
          <w:szCs w:val="28"/>
          <w:lang w:val="uk-UA"/>
        </w:rPr>
        <w:t>[</w:t>
      </w:r>
      <w:r>
        <w:rPr>
          <w:sz w:val="28"/>
          <w:szCs w:val="28"/>
          <w:shd w:val="clear" w:color="auto" w:fill="FFFFFF"/>
          <w:lang w:val="uk-UA"/>
        </w:rPr>
        <w:t>71</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ЧБА як спосіб реваскуляризації кінцівки у найбільш важкої категорії хворих в останні роки твердо зайняла свої позиції, в даний час будучи методом вибору в лікуванні багатьох судинних уражень [30]. Останнім часом спостерігається значне розширення діапазону ендоваскулярних втручань. Як правило, технічний успіх процедури досягається в 100 % випадків. Повне зникнення або значне зменшення вираженості симптомів ішемії нижніх кінцівок відзначається в 90-95 %. Прохідність протягом 5 років після ендоваскулярних операцій становить в клубових артеріях – 85-90 %, в стегнових 60-75 %. Чим дистальніше розташований оперований сегмент і менший його діаметр, тим гірше результати реваскуляризації, частота рестенозу становить 10-40 %. Показання до ендоваскулярного лікування хронічних захворювань артерій визначаються локалізацією, протяжністю і характером ураження [30].</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 xml:space="preserve">Поперекова симпатектомія широко використовується при лікуванні хворих з облітеруючими захворюваннями </w:t>
      </w:r>
      <w:r>
        <w:rPr>
          <w:sz w:val="28"/>
          <w:szCs w:val="28"/>
          <w:lang w:val="uk-UA"/>
        </w:rPr>
        <w:t xml:space="preserve">судин нижніх кінцівок на початкових стадіях, бо в більшості випадків супровождується добрими результатами </w:t>
      </w:r>
      <w:r>
        <w:rPr>
          <w:sz w:val="28"/>
          <w:szCs w:val="28"/>
          <w:shd w:val="clear" w:color="auto" w:fill="FFFFFF"/>
          <w:lang w:val="uk-UA"/>
        </w:rPr>
        <w:t>[</w:t>
      </w:r>
      <w:r>
        <w:rPr>
          <w:sz w:val="28"/>
          <w:szCs w:val="28"/>
          <w:lang w:val="uk-UA"/>
        </w:rPr>
        <w:t>6</w:t>
      </w:r>
      <w:r>
        <w:rPr>
          <w:sz w:val="28"/>
          <w:szCs w:val="28"/>
          <w:shd w:val="clear" w:color="auto" w:fill="FFFFFF"/>
          <w:lang w:val="uk-UA"/>
        </w:rPr>
        <w:t>]. Її використання при хронічній критичній ішемії, як методу непрямої реваскуляризації та збереження кінцівки, має сенс [89].</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Серед численних методів лікування облітеруючих захворювань судин, мабуть, жоден з них не користувався такою великою популярністю, як операція на симпатичному стовбурі. І в той же час жоден з методів не отримав такої суперечливої оцінки, як ця операція.</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У зв'язку з бурхливим розвитком реконструктивної хірургії і застосуванням відновлювальних операцій з використанням шунтування, протезування та різних </w:t>
      </w:r>
      <w:r>
        <w:rPr>
          <w:sz w:val="28"/>
          <w:szCs w:val="28"/>
          <w:lang w:val="uk-UA"/>
        </w:rPr>
        <w:lastRenderedPageBreak/>
        <w:t xml:space="preserve">методів ендартеректомії інтерес до поперекової симпатектомії значно знизився. Однак накопичений досвід, розчарування в найближчих і особливо віддалених результатах застосування штучних матеріалів для пластики судин навели на думку про можливе поєднання реконструктивних операцій з поперековою симпатектомією. В останні десятиліття знову повернулися до поперекової симпатектомії як до засобу, що сприяє ліквідації спазму судин, поліпшує колатеральний кровообіг і обмінні процеси в тканинах. Триває вивчення впливу операції на мікроциркуляцію в шкірі, м'язах, кістках і можливості застосування симпатектомії на різних стадіях захворювання, в залежності від локалізації і протяжності атеросклеротичних стенозів і оклюзії. Розробляються малотравматичні доступи із застосуванням сучасної відеотехніки і інструментів </w:t>
      </w:r>
      <w:r>
        <w:rPr>
          <w:sz w:val="28"/>
          <w:szCs w:val="28"/>
          <w:shd w:val="clear" w:color="auto" w:fill="FFFFFF"/>
          <w:lang w:val="uk-UA"/>
        </w:rPr>
        <w:t>[6, 62]</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Поперекова симпатектомія може бути ефективна при будь-якому рівні оклюзії артерій, в тому числі і черевної аорти, проте чим вище цей рівень, тим менш значуще поліпшення периферичного кровообігу після поперекової симпатектомії. Накопичений клінічний досвід застосування поперекової симпатектомії дозволяє характеризувати це втручання як операцію, яка при мінімальній травматичності й летальності значно покращує результати лікування хворих з облітеруючим захворюванням артерій нижніх кінцівок </w:t>
      </w:r>
      <w:r>
        <w:rPr>
          <w:sz w:val="28"/>
          <w:szCs w:val="28"/>
          <w:shd w:val="clear" w:color="auto" w:fill="FFFFFF"/>
          <w:lang w:val="uk-UA"/>
        </w:rPr>
        <w:t>[62]</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Ефективність поперекової симпатектомії залежить від стадії захворювання і поширеності атеросклеротичного процесу і не залежить від віку хворого. При наявності II стадії облітеруючого атеросклерозу артерій нижніх кінцівок, коли виконання реконструктивних операцій на судинах по ряду причин нездійсненне, поперекова симпатектомія є операцією вибору </w:t>
      </w:r>
      <w:r>
        <w:rPr>
          <w:sz w:val="28"/>
          <w:szCs w:val="28"/>
          <w:shd w:val="clear" w:color="auto" w:fill="FFFFFF"/>
          <w:lang w:val="uk-UA"/>
        </w:rPr>
        <w:t>[6]</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З урахуванням останніх публікацій слід визнати, що поперекова симпатектомія займає досить міцне місце в арсеналі численних методів лікування облітеруючих захворювань, хоча її вплив на мікроциркуляцію, трофіку та обмінні процеси потребує подальшого вивчення.</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Вплив поперекової симпатектомії на результат стегново-підколінних реконструкцій залежить від ступеня вихідної ішемії кінцівки. У стадії </w:t>
      </w:r>
      <w:r>
        <w:rPr>
          <w:sz w:val="28"/>
          <w:szCs w:val="28"/>
          <w:lang w:val="uk-UA"/>
        </w:rPr>
        <w:lastRenderedPageBreak/>
        <w:t xml:space="preserve">«переміжної кульгавості» вона значно знижує кількість післяопераційних ускладнень, зменшує кількість реокклюзії на 13 % і кількість ампутацій кінцівки в 3 рази. При критичній ішемії позитивного впливу поперекової симпатектомії не відзначено </w:t>
      </w:r>
      <w:r>
        <w:rPr>
          <w:sz w:val="28"/>
          <w:szCs w:val="28"/>
          <w:shd w:val="clear" w:color="auto" w:fill="FFFFFF"/>
          <w:lang w:val="uk-UA"/>
        </w:rPr>
        <w:t>[4]</w:t>
      </w:r>
      <w:r>
        <w:rPr>
          <w:sz w:val="28"/>
          <w:szCs w:val="28"/>
          <w:lang w:val="uk-UA"/>
        </w:rPr>
        <w:t>. Накопичений клінічний досвід застосування поперекової симпатектомії дозволяє характеризувати це втручання як операцію, яка при мінімальній травматичності й летальності значно покращує результати лікування хворих з облітеруючим захворюванням артерій нижніх кінцівок.</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Як ще один із способів непрямої реваскуляризації у 80-х роках Ф.Н. Зусманович і співавтори запропонували новий спосіб хірургічного лікування ішемії нижніх кінцівок, який отримав назву реваскуляризуюча остеотрепанація (РОТ). Даний спосіб застосовувався автором не тільки у хворих з критичною ішемією, а й у пацієнтів з ішемією легкого ступеня. Однак, в даний час в основному ця операція використовується як спосіб лікування важких стадій хронічної артеріальної недостатності нижніх кінцівок </w:t>
      </w:r>
      <w:r>
        <w:rPr>
          <w:sz w:val="28"/>
          <w:szCs w:val="28"/>
          <w:shd w:val="clear" w:color="auto" w:fill="FFFFFF"/>
          <w:lang w:val="uk-UA"/>
        </w:rPr>
        <w:t>[31]</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За даними Магомедалиевої К.С. значного поліпшення гемодинаміки і мікроциркуляції ураженої кінцівки досягти після виконання РОТ не вдалося. Результат з «помірним» і «мінімальним» поліпшенням був досягнутий у 38 (84,4%) пацієнтів. У найближчому післяопераційному періоді 8 пацієнтів повністю відмовилися від прийому анальгетиків. Дистанція безболісної ходьби збільшилася в середньому з 10 метрів до 50 метрів у 68,9 % хворих тільки через 3-4 місяці після операції і зберігалася протягом року і більше у 51,1 % пацієнтів. Без змін клінічний статус залишився у 1 (2,2 %) пацієнта У 4 (8,8 %) хворих явища хронічної критичної ішемії в найближчому післяопераційному періоді наростали, а у 2 (4,4 %) виник рецидив захворювання через 3-6 місяців цим хворим була виконана висока ампутація кінцівки. [43].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За даними Суковатих Б.С., 45 хворим на ХКІНК з ішемією ІІІ та IV ступеню проведена РОТ стегна і гомілки, при цьому в 15,5 % хворих не вдалося купірувати явище критичної ішемії [</w:t>
      </w:r>
      <w:r>
        <w:rPr>
          <w:rStyle w:val="search-hl"/>
          <w:sz w:val="28"/>
          <w:szCs w:val="28"/>
          <w:lang w:val="uk-UA"/>
        </w:rPr>
        <w:t>44</w:t>
      </w:r>
      <w:r>
        <w:rPr>
          <w:sz w:val="28"/>
          <w:szCs w:val="28"/>
          <w:lang w:val="uk-UA"/>
        </w:rPr>
        <w:t xml:space="preserve">]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Активний контроль рівня глюкози в крові при ЦД 1-го і 2-го типу знижує частоту мікросудинних ускладнень (ретинопатії і нефропатії), але ефективність </w:t>
      </w:r>
      <w:r>
        <w:rPr>
          <w:sz w:val="28"/>
          <w:szCs w:val="28"/>
          <w:lang w:val="uk-UA"/>
        </w:rPr>
        <w:lastRenderedPageBreak/>
        <w:t xml:space="preserve">контролю глікемії у пацієнтів з КІНК не настільки очевидна. Основною причиною цього є відсутність досліджень глікемічного профілю у пацієнтів з ЦД та ЗПА. Необхідні подальші дослідження для вивчення впливу контролю глікемії на перебіг ЗПА. Проте, рекомендується підтримання нормального рівня глікемії, так як це знижує частоту серцево-судинних подій у пацієнтів високого ризику [11, 27, 42, 45, 47, </w:t>
      </w:r>
      <w:r>
        <w:rPr>
          <w:sz w:val="28"/>
          <w:szCs w:val="28"/>
        </w:rPr>
        <w:t xml:space="preserve">75, </w:t>
      </w:r>
      <w:r>
        <w:rPr>
          <w:sz w:val="28"/>
          <w:szCs w:val="28"/>
          <w:lang w:val="uk-UA"/>
        </w:rPr>
        <w:t xml:space="preserve">161 ].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 даний час обговорюється гіпотеза, що інсулінорезистентність і гіперінсулінемія є факторами ризику розвитку атеросклерозу при цукровому діабеті. Однак, залишається незрозумілим, що саме впливає на розвиток ангіопатії - підвищений рівень інсуліну або резистентність до інсуліну.</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Поряд з порушенням вуглеводного обміну, важливим фактором розвитку судинних ускладнень при цукровому діабеті є порушення обміну ліпідів. Порушення вуглеводного обміну викликає гіперліпідемію і зміни в обміні ліпопротеїдів низької щільності, ліпопротеїдів дуже низької щільності, тригліцеридів, холестерину. За даними деяких авторів, гіпер- і дісліпопротеінеміі є важливими ланками патогенезу розвитку судинних уражень. При цукровому діабеті вони характеризуються збільшенням кількості ліпопротеїдів дуже низької щільності, що містять підвищену кількість тригліцеридів; гіпертрігліцерідемія, підвищенням рівня неетерифікованих форм жирних кислот, підвищенням рівня окислених, глікозильованих і «малих» ліпопротеїдів. Ліпопротеїди накопичуються в судинній стінці, модифікуються і запускають ряд процесів, що призводять до пошкодження ендотелію судин. Отже, контроль глікемії ми вважаємо важливою ланкою у лікуванні хворих з ХКІНК та ЦД, та робили на цей аспект відповідний акцент при визначенні рекомендацій для хворих [49].</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Наступний аспект ефективності лікування та подальшого розвитку колатерального кровообігу є фізичне навантаження на кінцівки. Фізичні навантаження мають подвійну дію – зниження глікемії при ЦД та стимуляцію ангіогенезу за рахунок м’язового навантаження [180].</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В якості стимуляторів ангіногенезу можуть виступати найрізноманітніші впливи: гіпоксія, накопичення метаболітів, набряк тканин, вазоактивні речовини, </w:t>
      </w:r>
      <w:r>
        <w:rPr>
          <w:sz w:val="28"/>
          <w:szCs w:val="28"/>
          <w:lang w:val="uk-UA"/>
        </w:rPr>
        <w:lastRenderedPageBreak/>
        <w:t>кініни, активатор плазміногену, гепарин, фібрин і деякі продукти його розщеплення, субстанції, які продукують нейтрофільними гранулоцитами, макрофагами, лімфоцитами і іншими клітинами і тд. [</w:t>
      </w:r>
      <w:r>
        <w:rPr>
          <w:sz w:val="28"/>
          <w:szCs w:val="28"/>
        </w:rPr>
        <w:t>148</w:t>
      </w:r>
      <w:r>
        <w:rPr>
          <w:sz w:val="28"/>
          <w:szCs w:val="28"/>
          <w:lang w:val="uk-UA"/>
        </w:rPr>
        <w:t>]. Мітогенний ефект на судинний ендотелій може надавати також вазодилятація в умовах функціонального навантаження. Існує безліч доказів клінічної ефективності програм фізичних вправ під керівництвом інструкторів для поліпшення толерантності до фізичного навантаження і дистанції ходьби. Цей тип терапії вже ретельно вивчений, описані механізми дії і видані практичні рекомендації [</w:t>
      </w:r>
      <w:r>
        <w:rPr>
          <w:sz w:val="28"/>
          <w:szCs w:val="28"/>
        </w:rPr>
        <w:t>181</w:t>
      </w:r>
      <w:r>
        <w:rPr>
          <w:sz w:val="28"/>
          <w:szCs w:val="28"/>
          <w:lang w:val="uk-UA"/>
        </w:rPr>
        <w:t>]. У кількох дослідженнях була висловлена ідея, що найкращі результати досягаються, якщо вправи виконувати під керівництвом інструкторів (загальні, недеталізірованние поради лікарів неефективні). У проспективних дослідженнях вправ під керівництвом інструкторів було показано збільшення толерантності до фізичного навантаження і зменшення ступеня больового синдрому при ходьбі [118].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Предикторами доброго прогнозу таких програм є: досягнення сильного болю під час вправ і тренування протягом 6 місяців і більше у вигляді формальних вправ і ходьби (порівняно з іншими видами навантажень). Тренування на біговій доріжці показали свою велику ефективність у порівнянні з силовими тренуваннями або комбінаціями інших видів вправ. Тим не менше, у даний час застосовуються різні типи вправ, в тому числі циклічні навантаження на верхню кінцівку, що теж призводить до клінічного ефекту. Раніше були вивчені механізми відповіді на вправи, що включають поліпшення ефективності ходьби, ендотеліальної функції і метаболічної адаптації скелетної мускулатури [118]. Хворий повинен припинити ходьбу при помірних болях (менш позитивний ефект досягається, коли хворий зупиняється відразу при появі найменшого болю). Потім хворий відпочиває до зменшення болю, після чого відновлює ходьбу до виникнення помірного м'язового дискомфорту. Такий цикл навантаження і відпочинку триває як мінімум 35 хвилин на початку тренувань і зростає до 50 хвилин, коли пацієнт адаптується до тренувань (слід уникати надмірного перевтоми або м'язового дискомфорту!). Під час наступних тренувань </w:t>
      </w:r>
      <w:r>
        <w:rPr>
          <w:sz w:val="28"/>
          <w:szCs w:val="28"/>
          <w:lang w:val="uk-UA"/>
        </w:rPr>
        <w:lastRenderedPageBreak/>
        <w:t>збільшується швидкість або кут нахилу, якщо хворий здатний йти 10 хвилин і більше при самій повільній швидкості і помірному нахилі без вираженого дискомфорту. Можна збільшувати як швидкість, так і кут нахилу, але, зазвичай, рекомендується збільшувати кут нахилу, якщо пацієнт здатний йти зі швидкістю 3,2 км/год (2 милі/год). Додатковою метою вправи є досягнення хворим нормальної швидкості 4,8 км/год (3 миль/год), тоді як початкова швидкість ходьби пацієнта з ЗПА – 2.4-3.2 км / год (1.5-2.0 миль / год) [118].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У багатьох пацієнтів є протипоказання до навантажувальних вправ (наприклад, важка ІХС, захворювання скелетно-м'язової або нервової систем). Інші хворі не бажають брати участь у таких тренуваннях, в зв'язку з, наприклад, віддаленим від місця проведення тренувань місцем проживання, що вимагає високих витрат на дорогу. Протипоказання спостерігаються у 9-34% населення за даними популяційних досліджень. Головним обмеженням методики реабілітації за допомогою фізичних вправ є недоступність спеціально обладнаних місць для таких тренувань з інструкторами. Незважаючи на те, що ефективність фізичних вправ при лікуванні вже доведена, деякі хворі просто не бажають брати участь у таких програмах. У доповнення до цього слід згадати про те, що у хворих з важкою діабетичною нейропатією на тлі вправ можуть виникнути трофічні виразки при відсутності спеціально підібраного взуття [118]. Одже фізичне навантаження – ще одна важлива рекомендація для хворих.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Отже, ефективне лікування хворих на ХКІНК з дистальною формою ураження артеріального русла має багатокомпонентний характер та й дотепер багато питань у лікування цієї групи хворих залишається відкритими. Системність захворювань, що призводять до дистального типу ураження судин нижніх кінцівок, довготривалість перебігу захворювання та супутня патологія часто стають причиною незадовільних результатів лікування, а відсутність шляхів відтоку крові є причиною неефективності прямих реваскуляризуючих втручань. З огляду на вищесказане, часто методом лікування хворих на ХКІНК з дистальною формою ураження залишається непряма реваскуляризація або стимуляція розвитку колатерального кровообігу. </w:t>
      </w:r>
    </w:p>
    <w:p w:rsidR="00A01923" w:rsidRDefault="00A01923" w:rsidP="00A01923">
      <w:pPr>
        <w:pStyle w:val="ac"/>
        <w:tabs>
          <w:tab w:val="left" w:pos="142"/>
        </w:tabs>
        <w:spacing w:line="360" w:lineRule="auto"/>
        <w:ind w:left="-567" w:firstLine="568"/>
        <w:jc w:val="both"/>
        <w:rPr>
          <w:b/>
          <w:sz w:val="28"/>
          <w:szCs w:val="28"/>
          <w:lang w:val="uk-UA"/>
        </w:rPr>
      </w:pPr>
      <w:r>
        <w:rPr>
          <w:b/>
          <w:sz w:val="28"/>
          <w:szCs w:val="28"/>
          <w:lang w:val="uk-UA"/>
        </w:rPr>
        <w:lastRenderedPageBreak/>
        <w:t>1.2. Терапевтичний неоангіогенез як метод лікування хворих на критичну ішемію нижніх кінцівок з ураженням дистального судинного русла</w:t>
      </w:r>
    </w:p>
    <w:p w:rsidR="00A01923" w:rsidRDefault="00A01923" w:rsidP="00A01923">
      <w:pPr>
        <w:pStyle w:val="ac"/>
        <w:tabs>
          <w:tab w:val="left" w:pos="142"/>
        </w:tabs>
        <w:spacing w:line="360" w:lineRule="auto"/>
        <w:rPr>
          <w:sz w:val="28"/>
          <w:szCs w:val="28"/>
          <w:lang w:val="uk-UA"/>
        </w:rPr>
      </w:pPr>
    </w:p>
    <w:p w:rsidR="00A01923" w:rsidRDefault="00A01923" w:rsidP="00A01923">
      <w:pPr>
        <w:pStyle w:val="ac"/>
        <w:tabs>
          <w:tab w:val="left" w:pos="142"/>
        </w:tabs>
        <w:spacing w:line="360" w:lineRule="auto"/>
        <w:rPr>
          <w:sz w:val="28"/>
          <w:szCs w:val="28"/>
          <w:lang w:val="uk-UA"/>
        </w:rPr>
      </w:pP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Арсенал методів лікування хронічних облітеруючих захворювань нижніх кінцівок досить великий і постійно поповнюється. При цьому, надаючи велике значення методам консервативного лікування оклюзивних захворювань артерій нижніх кінцівок, ангіохірурги продовжують пошуки нових ефективних способів реваскуляризації кінцівки. Серед них все більшої уваги заслуговують методи хірургічної корекції гемодинаміки в ураженій кінцівці. Однак, частині хворих, які страждають на оклюзію артерій гомілки і стопи, реконструктивні операції взагалі не виконуються і їм, як правило, проводиться ампутація кінцівки [7, 150, 173, 183].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Велика кількість ампутацій кінцівок при лікуванні оклюзії дистального артеріального русла змушують хірургів шукати більш адекватні та ефективні методи реваскуляризації [150, 152, 163].</w:t>
      </w: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Відсутність адекватного мікроциркуляторного русла є однією з причин ранніх післяопераційних тромбозів шунтів і протезів. Незважаючи на запропоновані численні способи профілактики цього грізного ускладнення, частота його, за даними різних авторів, коливається в межах від 2,6 до 29,5% [10, 12, 150, 198]. Ранній післяопераційний тромбоз збільшує терміни лікування і нерідко призводить до глибокої інвалідизації пацієнтів та до летальних випадків. Збільшення компенсаторних можливостей мікроциркуляторного русла може бути досягнуто за рахунок збільшення щільності та загальної площі капілярної мережі, що можливо здійснити шляхом стимуляції неоангіогенезу в ішемізованій кінцівці [198].</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Терапевтичний неоангіогенез видається важливою стратегією порятунку тканин при КІНК [78, 85, 121]. Швидка реваскуляризація в пошкоджених (ішемізованих) і в регенеруючих органах надзвичайно важлива для відновлення функцій. Судинна травма або ішемія тканин активує каскад молекулярно-</w:t>
      </w:r>
      <w:r>
        <w:rPr>
          <w:sz w:val="28"/>
          <w:szCs w:val="28"/>
          <w:shd w:val="clear" w:color="auto" w:fill="FFFFFF"/>
          <w:lang w:val="uk-UA"/>
        </w:rPr>
        <w:lastRenderedPageBreak/>
        <w:t>генетичних реакцій, головним результатом яких є мобілізація з кісткового мозку та інших джерел, попередників ендотеліальних клітин, що забезпечують реваскуляризацію за рахунок утворення нових судинних формацій – неоангіогенезу [98, 160, 167].</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Наразі назбиралася велика кількість повідомлень про ефективність використання тих чи інших методів стимуляції неоангіогенезу у хворих на ХКІНК. Існує велика кількість методів, кожний з яких має свої недоліки та переваги [80, 82, 85, 109]. Однією з найважливіших проблем стимуляції неоангіогенезу у цих хворих, вважаємо, є довготривалість розвитку ефекту, що є несприятливим фактором при ХКІНК, оскільки часу, необхідного для розвитку нових судин та покращення кровообігу у кінцівці у даних хворих немає. Це, як ми вважаємо, і є основною причиною незадовільних результатів лікування.</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Вивчається можливість використання клітинних технологій для пошуку нових методів екзогенної стимуляції ангіогенезу за допомогою прогеніторних стовбурових клітин периферичної крові, кісткового мозку, ембріональної і жирової тканин [13].</w:t>
      </w: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 xml:space="preserve">Після пошкодження, ангіогенез запускається численними молекулярними сигналами, включаючи фактори гемостазу, запалення, цитокінові фактори росту, клітинно-матричні взаємодії, і регулюється протягом всього процесу загоєння рани. Зростання нових судин відбувається через каскад біологічних подій, спрямованих на формування грануляційної тканини у рані. Цей процес підтримується аж до кінцевих стадій загоєння, коли ангіогенез сповільнюється через зниження рівня факторів росту, зменшення запалення, стабілізації матриксу тканини, і підвищення рівня ендогенних інгібіторів ангіогенезу. Індукція ангіогенезу керується про- і антиангіогенними факторами, які постійно присутні в організмі. Існує суворий фізіологічний баланс між проангіогенними і ендогенними антиангіогенними інгібіторами, в нормі що пригнічує ріст судин [162]. </w:t>
      </w:r>
    </w:p>
    <w:p w:rsidR="00A01923" w:rsidRDefault="00A01923" w:rsidP="00A01923">
      <w:pPr>
        <w:pStyle w:val="ac"/>
        <w:tabs>
          <w:tab w:val="left" w:pos="142"/>
        </w:tabs>
        <w:spacing w:line="360" w:lineRule="auto"/>
        <w:ind w:left="-567" w:firstLine="568"/>
        <w:jc w:val="both"/>
        <w:rPr>
          <w:sz w:val="28"/>
          <w:szCs w:val="28"/>
          <w:lang w:val="uk-UA"/>
        </w:rPr>
      </w:pPr>
      <w:r>
        <w:rPr>
          <w:i/>
          <w:sz w:val="28"/>
          <w:szCs w:val="28"/>
          <w:lang w:val="uk-UA"/>
        </w:rPr>
        <w:t>Г</w:t>
      </w:r>
      <w:r w:rsidR="0051559B">
        <w:rPr>
          <w:i/>
          <w:sz w:val="28"/>
          <w:szCs w:val="28"/>
          <w:lang w:val="uk-UA"/>
        </w:rPr>
        <w:t>е</w:t>
      </w:r>
      <w:r>
        <w:rPr>
          <w:i/>
          <w:sz w:val="28"/>
          <w:szCs w:val="28"/>
          <w:lang w:val="uk-UA"/>
        </w:rPr>
        <w:t xml:space="preserve">нна терапія. </w:t>
      </w:r>
      <w:r>
        <w:rPr>
          <w:sz w:val="28"/>
          <w:szCs w:val="28"/>
          <w:lang w:val="uk-UA"/>
        </w:rPr>
        <w:t xml:space="preserve">У 90х роках двадцятого сторіччя кілька дослідницьких груп встановили роль пептидних факторів росту в репарації трофічних виразок. </w:t>
      </w:r>
      <w:r>
        <w:rPr>
          <w:sz w:val="28"/>
          <w:szCs w:val="28"/>
          <w:lang w:val="uk-UA"/>
        </w:rPr>
        <w:lastRenderedPageBreak/>
        <w:t xml:space="preserve">Розпочато вивчення можливостей використання рекомбінантних факторів росту для стимуляції загоєння трофічних виразок, резистентних до стандартного лікування. Дослідження показали здатність факторів росту стимулювати загоєння нейропатичних виразок за умови багаторазового введення і створення високих локальних концентрацій. Остання обставина пояснюється тим, що при введенні в організм пептидні фактори росту швидко руйнуються протеолітичними ферментами. У зв'язку з цим, виникла ідея введення генів ростових факторів у геном клітин, присутніх в зоні виразки або ішемії, для забезпечення постійної експресії та створення концентрацій, близьких до фізіологічних. У якості «провідників» (векторів) генів запропоновано використовувати бактеріальні плазміди, віруси, ліпосоми, наночастинки, метілцелюлозні диски, колагенові гелі та пов'язки [85, 191]. </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shd w:val="clear" w:color="auto" w:fill="FFFFFF"/>
          <w:lang w:val="uk-UA"/>
        </w:rPr>
        <w:t>Для розробки геннотерапевтичних препаратів використовуються гени найбільш відомих факторів, що різною мірою беруть участь у ангіогенезі: судинний ендотеліальний фактор росту (VEGF), фактор росту фібробластів (FGF), гепатоцитарний фактор росту (HGF); фактор, отриманий з стромальних клітин (SDF), ангіопоетин (ANG), індукований гіпоксією фактор-1а (HIF-1a). Враховуючи спільність механізму дії, більшість геннотерапевтичних препаратів, які на сьогодні розробляються, досліджуються при лікуванні пацієнтів як з ХІНК, так і з ішемічними ураженнями міокарда [85, 113, 130].</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Ендотеліальний фактор росту судин (VEGF) і основний фактор росту фібробластів (bFGF) – мітогенні препарати, що стимулюють ріст нових судин. Коли протеїн bFGF вводився внутрішньоартеріально, то хворі відзначали збільшення толерантності до фізичного навантаження [175]. Новітні розробки дозволяють доставляти ці речовини за допомогою вірусних векторів, які вводяться внутрішньом'язово. На жаль, перші дослідження поки що не показали ефективність застосування VEGF [166.].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 роботах показана можливість стимуляції загоєння ранових дефектів за допомогою трансферу гена EGF, PDGF-B, трансформуючого фактора росту, FGF-</w:t>
      </w:r>
      <w:r>
        <w:rPr>
          <w:sz w:val="28"/>
          <w:szCs w:val="28"/>
          <w:lang w:val="uk-UA"/>
        </w:rPr>
        <w:lastRenderedPageBreak/>
        <w:t>4 і фактора росту ендотелію судин (VEGF) [83, 112, 130, 137, 142, 166, 171, 174, 186, 198].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Більший прогрес досягнутий в застосуванні генних технологій в лікуванні ішемічної форми діабетичної стопи. Перспективність використання методів терапевтичного ангіогенезу у цієї категорії хворих пов'язана з дистальним характером ураження артерій, яке в ряді випадків унеможливлює виконання ангіохірургічних втручань. Друга передумова полягає в неспроможності ангіогенної відповіді на ішемію, якою характеризується цукровий діабет (ЦД). Як відомо, розвиток ішемії при облітеруючих ураженнях судин характеризується активацією анг</w:t>
      </w:r>
      <w:r>
        <w:rPr>
          <w:color w:val="FF0000"/>
          <w:sz w:val="28"/>
          <w:szCs w:val="28"/>
          <w:lang w:val="uk-UA"/>
        </w:rPr>
        <w:t>і</w:t>
      </w:r>
      <w:r>
        <w:rPr>
          <w:sz w:val="28"/>
          <w:szCs w:val="28"/>
          <w:lang w:val="uk-UA"/>
        </w:rPr>
        <w:t>о- і васкулогенезу, що веде до формування колатералей і часткового відновлення кровотоку. У хворих на ЦД цей захисний механізм порушений внаслідок метаболічних змін і, можливо, генетичних особливостей [63].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Ключову роль у процесі ангіогенезу грає VEGF. Даний фактор вибірково стимулює проліферацію та міграцію ендотеліальних клітин, їх попередників і моноцитів, збільшує судинну проникність, сприяє вазодилатації через посилення продукції оксиду азоту [130]. У пілотних дослідженнях показані можливість і короткострокова безпечність стимуляції ангіогенезу у хворих з КІНК при внутрішньом'язовому введенні в зону ішемії гена VEGF [166]. Генна терапія приводила до достовірного збільшення показників кісточково-плечового індексу (КПІ) та попередження ампутацій кінцівок у частини хворих. У подвійному сліпому плацебо-контрольованому рандомізованому клінічному дослідженні, що включало 54 пацієнта з ЦД ТА КІНК, введення плазміди з VEGF165 покращувало показники кровотоку і прискорювало загоєння трофічних виразок (р = 0,01), проте статистично значущого зниження частоти ампутацій до сотого дня спостереження досягти не вдалося [192].</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Надії в плані стимуляції ангіогенезу у хворих, які не є кандидатами для ангіохірургічного лікування, також покладалися на пептиди сімейства </w:t>
      </w:r>
      <w:r>
        <w:rPr>
          <w:sz w:val="28"/>
          <w:szCs w:val="28"/>
          <w:lang w:val="en-US"/>
        </w:rPr>
        <w:t>fibroblast</w:t>
      </w:r>
      <w:r>
        <w:rPr>
          <w:sz w:val="28"/>
          <w:szCs w:val="28"/>
          <w:lang w:val="uk-UA"/>
        </w:rPr>
        <w:t xml:space="preserve"> </w:t>
      </w:r>
      <w:r>
        <w:rPr>
          <w:sz w:val="28"/>
          <w:szCs w:val="28"/>
          <w:lang w:val="en-US"/>
        </w:rPr>
        <w:t>growth</w:t>
      </w:r>
      <w:r>
        <w:rPr>
          <w:sz w:val="28"/>
          <w:szCs w:val="28"/>
          <w:lang w:val="uk-UA"/>
        </w:rPr>
        <w:t xml:space="preserve"> </w:t>
      </w:r>
      <w:r>
        <w:rPr>
          <w:sz w:val="28"/>
          <w:szCs w:val="28"/>
          <w:lang w:val="en-US"/>
        </w:rPr>
        <w:t>factor</w:t>
      </w:r>
      <w:r>
        <w:rPr>
          <w:sz w:val="28"/>
          <w:szCs w:val="28"/>
          <w:lang w:val="uk-UA"/>
        </w:rPr>
        <w:t xml:space="preserve"> (FGF). У дослідженні I фази внутрішньом'язове введення плазміди з геном FGF-1 (NV1FGF) достовірно (р &lt;0,01) зменшувало вираженість болю в </w:t>
      </w:r>
      <w:r>
        <w:rPr>
          <w:sz w:val="28"/>
          <w:szCs w:val="28"/>
          <w:lang w:val="uk-UA"/>
        </w:rPr>
        <w:lastRenderedPageBreak/>
        <w:t>спокої, розмір виразкових дефектів і підвищувало перкутанну напругу кисню у 51 хворого з ішемією нижніх кінцівок. У багатоцентровому рандомізованому клінічному дослідженні</w:t>
      </w:r>
      <w:r>
        <w:rPr>
          <w:color w:val="FF0000"/>
          <w:sz w:val="28"/>
          <w:szCs w:val="28"/>
          <w:lang w:val="uk-UA"/>
        </w:rPr>
        <w:t xml:space="preserve"> </w:t>
      </w:r>
      <w:r>
        <w:rPr>
          <w:sz w:val="28"/>
          <w:szCs w:val="28"/>
          <w:lang w:val="uk-UA"/>
        </w:rPr>
        <w:t>II фази показано зниження ризику всіх ампутацій в 2 рази (HR = 0,498, р = 0,015), високих ампутацій – в 2,7 рази (HR = 0,371, р = 0,015) при восьмикратному внутрішньом'язовому введенні NV1FGF у 125 хворих з ішемією і трофічними виразками нижніх кінцівок [185]. Однак, у найбільш великому РКД III фази TAMARIS (NV1FGF Gene Therapy on Amputation-Free Survivalin Critical Limb Ischemia), що включало 525 хворих з КІНК (з них 53% хворих з ЦД), не виявлено відмінностей у ризику ампутацій і смерті при введенні NV1FGF або плацебо протягом року спостереження (HR = 1,11, р = 0,48) [112].</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В якості цільового гена ряд розробників досліджують нуклеотидну послідовність, що кодує SDF. Механізм дії SDF полягає у залученні клітинних джерел (насамперед, ендотеліальних прогеніторних клітин) з кісткового мозку, кровотоку, «периферичних тканин» в цільову область по градієнту концентрації.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У клінічному дослідженні M.A.</w:t>
      </w:r>
      <w:r>
        <w:rPr>
          <w:sz w:val="28"/>
          <w:szCs w:val="28"/>
          <w:lang w:val="en-US"/>
        </w:rPr>
        <w:t> </w:t>
      </w:r>
      <w:r>
        <w:rPr>
          <w:sz w:val="28"/>
          <w:szCs w:val="28"/>
          <w:lang w:val="uk-UA"/>
        </w:rPr>
        <w:t xml:space="preserve">Creager із співавт. (2011) застосування гена HIF-1a ускладі аденовірусного вектора для лікування пацієнтів з ХІНК виявилося неефективним. На термінах 3, 6, 12 міс. не було виявлено статистично значущих відмінностей у показниках якості життя, дистанції безбольової ходьби і </w:t>
      </w:r>
      <w:r w:rsidRPr="00A01923">
        <w:rPr>
          <w:sz w:val="28"/>
          <w:szCs w:val="28"/>
        </w:rPr>
        <w:t>кісточково</w:t>
      </w:r>
      <w:r>
        <w:rPr>
          <w:sz w:val="28"/>
          <w:szCs w:val="28"/>
          <w:lang w:val="uk-UA"/>
        </w:rPr>
        <w:t>-плечового індексу між цільовою та контрольною групами [113].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Незважаючи на позитивні результати, отримані в окремих дослідженнях, мета-аналіз 12 рандомізованих клінічних досліджень, присвячених лікуванню облитеруючих захворювань периферичних артерій за допомогою ангіогенних факторів росту (VEGF, FGF, HGF, Del-1, HIF-1a), не виявив достовірного впливу даного виду лікування на частоту ампутацій і динаміку загоєння виразок [85].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Зауважимо, що об'єднання і навіть зіставлення результатів різних досліджень з генної терапії пов'язане зі значними труднощами. Вони пояснюються відмінностями досліджень за характеристиками включених пацієнтів (критична ішемія або кульгавість, наявність або відсутність ЦД), видам і режимам введення генів, типами векторів. Клінічна ефективність генної терапії КІНК потребує подальших досліджень.</w:t>
      </w:r>
    </w:p>
    <w:p w:rsidR="00A01923" w:rsidRDefault="00A01923" w:rsidP="00A01923">
      <w:pPr>
        <w:pStyle w:val="ac"/>
        <w:tabs>
          <w:tab w:val="left" w:pos="142"/>
        </w:tabs>
        <w:spacing w:line="360" w:lineRule="auto"/>
        <w:ind w:left="-567" w:firstLine="568"/>
        <w:jc w:val="both"/>
        <w:rPr>
          <w:sz w:val="28"/>
          <w:szCs w:val="28"/>
          <w:lang w:val="uk-UA"/>
        </w:rPr>
      </w:pPr>
      <w:r>
        <w:rPr>
          <w:i/>
          <w:sz w:val="28"/>
          <w:szCs w:val="28"/>
          <w:lang w:val="uk-UA"/>
        </w:rPr>
        <w:lastRenderedPageBreak/>
        <w:t>Клітинна терапія.</w:t>
      </w:r>
      <w:r>
        <w:rPr>
          <w:sz w:val="28"/>
          <w:szCs w:val="28"/>
          <w:lang w:val="uk-UA"/>
        </w:rPr>
        <w:t xml:space="preserve"> В експериментальних моделях КІНК для неоангіогенезу були використані різні типи клітин. Дослідження показали, що в ангіогенезі можуть брати участь: мононуклеарні клітини (МНК) кісткового мозку (КМ) [75,87] і гемопоетичні стовбурові клітини (ГСК) [88, 177], мобілізовані ендотеліальні прогеніторні клітини [95,122], клітини строми кісткового мозку [78, 86, 87,156], стовбурові клітини, виділені з жирової тканини [154, 168] та інші.</w:t>
      </w:r>
    </w:p>
    <w:p w:rsidR="00A01923" w:rsidRDefault="00A01923" w:rsidP="00A01923">
      <w:pPr>
        <w:pStyle w:val="ac"/>
        <w:tabs>
          <w:tab w:val="left" w:pos="142"/>
        </w:tabs>
        <w:spacing w:line="360" w:lineRule="auto"/>
        <w:ind w:left="-567" w:firstLine="568"/>
        <w:jc w:val="both"/>
        <w:rPr>
          <w:sz w:val="28"/>
          <w:szCs w:val="28"/>
          <w:lang w:val="uk-UA" w:eastAsia="uk-UA"/>
        </w:rPr>
      </w:pPr>
      <w:r>
        <w:rPr>
          <w:sz w:val="28"/>
          <w:szCs w:val="28"/>
          <w:lang w:val="uk-UA"/>
        </w:rPr>
        <w:t>У доклінічних дослідженнях, введення попередників ендотеліоцитів (ПЕ) ефективно прискорювало формування колатеральних судин, мінімізуючи при цьому зону ішемічного ушкодження [92, 95, 108, 149]. Механізми участі ПЕ в васкуляризації тканин людини остаточно не вивчені. Основна причина – труднощі у виділенні і розпізнаванні ПЕ і циркулюючих ендотеліальних клітин (ЦЕК) внаслідок відсутності специфічних ендотеліальних маркерів і неможливості відрізнити ці клітини від зрілих ендотеліоцитів судинної стінки. Більше того, підгрупа мієло-моноцитарних клітин може бути неправильно інтерпретована як ПЕ або ЦЕК, оскільки вони теж експресують ендотелій-специфічні антигени [92, 108].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Проведені клінічні дослідження визначили високий потенціал клітин КМ у відновленні васкуляризації ішемізованих тканин [32, 55, 78, 80, 156, 193].</w:t>
      </w:r>
    </w:p>
    <w:p w:rsidR="00A01923" w:rsidRDefault="00A01923" w:rsidP="00A01923">
      <w:pPr>
        <w:pStyle w:val="ac"/>
        <w:tabs>
          <w:tab w:val="left" w:pos="142"/>
        </w:tabs>
        <w:spacing w:line="360" w:lineRule="auto"/>
        <w:ind w:left="-567" w:firstLine="568"/>
        <w:jc w:val="both"/>
        <w:rPr>
          <w:i/>
          <w:sz w:val="28"/>
          <w:szCs w:val="28"/>
          <w:lang w:val="uk-UA"/>
        </w:rPr>
      </w:pPr>
      <w:r>
        <w:rPr>
          <w:sz w:val="28"/>
          <w:szCs w:val="28"/>
          <w:shd w:val="clear" w:color="auto" w:fill="FFFFFF"/>
          <w:lang w:val="uk-UA"/>
        </w:rPr>
        <w:t>Перше клінічне дослідження по застосуванню стволових клітин в лікуванні КІНК опубліковано в 2002 р Є. Tateishi-Yuyama</w:t>
      </w:r>
      <w:r w:rsidRPr="00A01923">
        <w:rPr>
          <w:sz w:val="28"/>
          <w:szCs w:val="28"/>
          <w:shd w:val="clear" w:color="auto" w:fill="FFFFFF"/>
          <w:lang w:val="uk-UA"/>
        </w:rPr>
        <w:t xml:space="preserve"> </w:t>
      </w:r>
      <w:r>
        <w:rPr>
          <w:sz w:val="28"/>
          <w:szCs w:val="28"/>
          <w:shd w:val="clear" w:color="auto" w:fill="FFFFFF"/>
          <w:lang w:val="uk-UA"/>
        </w:rPr>
        <w:t>et</w:t>
      </w:r>
      <w:r w:rsidRPr="00A01923">
        <w:rPr>
          <w:sz w:val="28"/>
          <w:szCs w:val="28"/>
          <w:shd w:val="clear" w:color="auto" w:fill="FFFFFF"/>
          <w:lang w:val="uk-UA"/>
        </w:rPr>
        <w:t xml:space="preserve"> </w:t>
      </w:r>
      <w:r>
        <w:rPr>
          <w:sz w:val="28"/>
          <w:szCs w:val="28"/>
          <w:shd w:val="clear" w:color="auto" w:fill="FFFFFF"/>
          <w:lang w:val="uk-UA"/>
        </w:rPr>
        <w:t>al., Які досліджували ефективність і безпеку імплантації аутологічних мононуклеарних клітин з КМ хворим з КІНК [</w:t>
      </w:r>
      <w:r w:rsidRPr="00A01923">
        <w:rPr>
          <w:sz w:val="28"/>
          <w:szCs w:val="28"/>
          <w:shd w:val="clear" w:color="auto" w:fill="FFFFFF"/>
          <w:lang w:val="uk-UA"/>
        </w:rPr>
        <w:t>1</w:t>
      </w:r>
      <w:r>
        <w:rPr>
          <w:sz w:val="28"/>
          <w:szCs w:val="28"/>
          <w:shd w:val="clear" w:color="auto" w:fill="FFFFFF"/>
          <w:lang w:val="uk-UA"/>
        </w:rPr>
        <w:t>88]. Дослідження показало, що трансплантація аутологічних МНК КМ є безпечною і ефективною процедурою для проведення терапевтичного ангіогенезу.</w:t>
      </w:r>
      <w:r>
        <w:rPr>
          <w:sz w:val="28"/>
          <w:szCs w:val="28"/>
          <w:lang w:val="uk-UA"/>
        </w:rPr>
        <w:t>У двох дослідженнях пацієнтам з КІНК проводилася трансплантація попередників ЕК в поєднанні з введенням судинних факторів росту. Отриманий стійкий ефект через 6 місяців з моменту трансплантації. Автори так само вказують на безпеку та ефективність методики [108].</w:t>
      </w:r>
      <w:r>
        <w:rPr>
          <w:color w:val="FF0000"/>
          <w:sz w:val="28"/>
          <w:szCs w:val="28"/>
          <w:lang w:val="uk-UA"/>
        </w:rPr>
        <w:t xml:space="preserve"> </w:t>
      </w:r>
      <w:r>
        <w:rPr>
          <w:sz w:val="28"/>
          <w:szCs w:val="28"/>
          <w:lang w:val="uk-UA"/>
        </w:rPr>
        <w:t xml:space="preserve">У терміни до 6 місяців від початку терапії, нарівні з клінічним поліпшенням і зникненням більшості симптомів, зазначено загоєння виразок.Р.Р. Huang et al. (2004) запропонували інший підхід до аутологічної трансплантації МНК мобілізованих в периферичну </w:t>
      </w:r>
      <w:r>
        <w:rPr>
          <w:sz w:val="28"/>
          <w:szCs w:val="28"/>
          <w:lang w:val="uk-UA"/>
        </w:rPr>
        <w:lastRenderedPageBreak/>
        <w:t>кров за допомогою G-CSF. Через 3 місяці спостережень основні клінічні симптоми значно покращилися більш ніж у половини хворих. При ангіографії відзначалося істотне поліпшення колатерального кровотоку. Однак, необхідна при отриманні аутологічних мононуклеарів кісткового мозку з периферичної крові стимуляція кісткового мозку є серйозним навантаженням для ослабленого хворобою організму і неприйнятна для багатьох пацієнтів старшої вікової групи. Дослідження останніх років показують, що стимуляція мобілізації клітин-попередників, які перебувають у ніші стовбурових клітин, може призвести до серйозних ускладнень у частини пацієнтів у віці старше 70 років [88].</w:t>
      </w:r>
    </w:p>
    <w:p w:rsidR="00A01923" w:rsidRDefault="00A01923" w:rsidP="00A01923">
      <w:pPr>
        <w:spacing w:after="0" w:line="360" w:lineRule="auto"/>
        <w:ind w:left="-567" w:firstLine="567"/>
        <w:jc w:val="both"/>
        <w:rPr>
          <w:rFonts w:ascii="Times New Roman" w:hAnsi="Times New Roman"/>
          <w:i/>
          <w:sz w:val="28"/>
          <w:szCs w:val="28"/>
          <w:lang w:val="uk-UA"/>
        </w:rPr>
      </w:pPr>
      <w:r>
        <w:rPr>
          <w:rFonts w:ascii="Times New Roman" w:hAnsi="Times New Roman"/>
          <w:sz w:val="28"/>
          <w:szCs w:val="28"/>
          <w:shd w:val="clear" w:color="auto" w:fill="FFFFFF"/>
          <w:lang w:val="uk-UA"/>
        </w:rPr>
        <w:t>Дослідження Н.Ю. Літвінової показали, що спосіб комбінованого використання прямої реваскуляризації та стимуляції ангіогенезу за допомогою аутомієлотрансплантації кінцівки дозволяє одержати ранній нормалізуючий ефект [40]</w:t>
      </w:r>
      <w:r>
        <w:rPr>
          <w:rFonts w:ascii="Times New Roman" w:hAnsi="Times New Roman"/>
          <w:i/>
          <w:sz w:val="28"/>
          <w:szCs w:val="28"/>
          <w:lang w:val="uk-UA"/>
        </w:rPr>
        <w:t xml:space="preserve">. </w:t>
      </w:r>
    </w:p>
    <w:p w:rsidR="00A01923" w:rsidRDefault="00A01923" w:rsidP="00A01923">
      <w:pPr>
        <w:pStyle w:val="ac"/>
        <w:tabs>
          <w:tab w:val="left" w:pos="142"/>
        </w:tabs>
        <w:spacing w:line="360" w:lineRule="auto"/>
        <w:ind w:left="-567" w:firstLine="567"/>
        <w:jc w:val="both"/>
        <w:rPr>
          <w:sz w:val="28"/>
          <w:szCs w:val="28"/>
          <w:lang w:val="uk-UA"/>
        </w:rPr>
      </w:pPr>
      <w:r>
        <w:rPr>
          <w:sz w:val="28"/>
          <w:szCs w:val="28"/>
          <w:lang w:val="uk-UA"/>
        </w:rPr>
        <w:t xml:space="preserve">Подвійне сліпе пілотне дослідження показало, що застосування трансплантації аутологічних стовбурових клітин кісткового мозку достовірно призводить до зменшення вираженості болю у спокої і подовженню періоду до ампутації у дослідної групи в порівнянні з контролем, які отримували плацебо у вигляді периферичної крові </w:t>
      </w:r>
      <w:r>
        <w:rPr>
          <w:sz w:val="28"/>
          <w:szCs w:val="28"/>
          <w:shd w:val="clear" w:color="auto" w:fill="FFFFFF"/>
          <w:lang w:val="uk-UA"/>
        </w:rPr>
        <w:t>[96,183]</w:t>
      </w:r>
      <w:r>
        <w:rPr>
          <w:sz w:val="28"/>
          <w:szCs w:val="28"/>
          <w:lang w:val="uk-UA"/>
        </w:rPr>
        <w:t xml:space="preserve">. В іншому дослідженні продемонстровано прискорення загоєння ран і зменшення вираженості болю в стані спокою у пацієнтів з обширною гангреною і майбутньою ампутацією, але виживання і відсоток пацієнтів, що зберегли кінцівки після ін'єкції мононуклеарів кісткового мозку, в результаті залишалися незмінними </w:t>
      </w:r>
      <w:r>
        <w:rPr>
          <w:sz w:val="28"/>
          <w:szCs w:val="28"/>
          <w:shd w:val="clear" w:color="auto" w:fill="FFFFFF"/>
          <w:lang w:val="uk-UA"/>
        </w:rPr>
        <w:t>[132]</w:t>
      </w:r>
      <w:r>
        <w:rPr>
          <w:sz w:val="28"/>
          <w:szCs w:val="28"/>
          <w:lang w:val="uk-UA"/>
        </w:rPr>
        <w:t>.</w:t>
      </w:r>
      <w:r>
        <w:rPr>
          <w:i/>
          <w:sz w:val="28"/>
          <w:szCs w:val="28"/>
          <w:lang w:val="uk-UA"/>
        </w:rPr>
        <w:t xml:space="preserve"> </w:t>
      </w:r>
      <w:r>
        <w:rPr>
          <w:sz w:val="28"/>
          <w:szCs w:val="28"/>
          <w:lang w:val="uk-UA"/>
        </w:rPr>
        <w:t xml:space="preserve">Дослідження за участю 20 пацієнтів з термінальною стадією хронічної ішемії нижніх кінцівок після внутрішньом'язового введення мононуклеарних клітин кісткового мозку виявило подовження дистанцій ходьби в більш ніж 2 рази, підвищення кісточково-плечевого індексу у 40% пацієнтів, поліпшення стану шкіри і зменшення вираженості болю в стані спокою – у 50% пацієнтів </w:t>
      </w:r>
      <w:r>
        <w:rPr>
          <w:sz w:val="28"/>
          <w:szCs w:val="28"/>
          <w:shd w:val="clear" w:color="auto" w:fill="FFFFFF"/>
          <w:lang w:val="uk-UA"/>
        </w:rPr>
        <w:t>[124].</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Мезенхімальні стовбурові клітини, виділені з тваринної жирової тканини, володіють високою пластичністю і здатністю до проліферації, а також легко піддаються трансфекції. Виділення жирової тканини людини малотравматичне і </w:t>
      </w:r>
      <w:r>
        <w:rPr>
          <w:sz w:val="28"/>
          <w:szCs w:val="28"/>
          <w:lang w:val="uk-UA"/>
        </w:rPr>
        <w:lastRenderedPageBreak/>
        <w:t xml:space="preserve">відносно безпечне, не вимагає інтенсивної медикаментозної підготовки пацієнта. Як показують результати доклінічних і клінічних досліджень, у пацієнтів з хронічною ішемією кінцівок трансплантація мультіпотентних стромальних клітин, що отримуються з аутологічної жирової тканини, здатна стимулювати процеси ангіогенезу, що призводить до зниження ішемічного впливу за рахунок активізації регенераторних сил м'яза </w:t>
      </w:r>
      <w:r>
        <w:rPr>
          <w:sz w:val="28"/>
          <w:szCs w:val="28"/>
          <w:shd w:val="clear" w:color="auto" w:fill="FFFFFF"/>
          <w:lang w:val="uk-UA"/>
        </w:rPr>
        <w:t>[57, 58, 154]</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Пізніші публікації результатів пілотних клінічних досліджень H.C. Lee і співавторів (2012) підтверджують ефективність і безпеку застосування ендотеліальних клітин-попередників, виділених з жирової тканини. За допомогою цифрової ангіографії виявлені формування чисельних колатеральних судинних мереж, в результаті чого по закінченні 6 міс. у 66,7% пацієнтів відмічено зменшення вираженості болю в стані спокою і значне збільшення відстані безболісної ходьби </w:t>
      </w:r>
      <w:r>
        <w:rPr>
          <w:sz w:val="28"/>
          <w:szCs w:val="28"/>
          <w:shd w:val="clear" w:color="auto" w:fill="FFFFFF"/>
          <w:lang w:val="uk-UA"/>
        </w:rPr>
        <w:t>[</w:t>
      </w:r>
      <w:r w:rsidRPr="00A01923">
        <w:rPr>
          <w:sz w:val="28"/>
          <w:szCs w:val="28"/>
          <w:shd w:val="clear" w:color="auto" w:fill="FFFFFF"/>
          <w:lang w:val="uk-UA"/>
        </w:rPr>
        <w:t>1</w:t>
      </w:r>
      <w:r>
        <w:rPr>
          <w:sz w:val="28"/>
          <w:szCs w:val="28"/>
          <w:shd w:val="clear" w:color="auto" w:fill="FFFFFF"/>
          <w:lang w:val="uk-UA"/>
        </w:rPr>
        <w:t>68]</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Розглядається можливість застосування прогеніторних клітин фетальних тканин, які володіють набагато більш високою здатністю до проліферації, ніж дорослі мультипотентні клітини. Результати експериментів, проведених in vitro і in vivo, свідчать про високий потенціал до диференціації в ангіобласти і ендотеліоцити прогеніторних клітин фетальної печінки людини 6-8 тижнів гестації. Доклінічні дослідження підтвердили проангіогенний і проліферативний ефекти трансплантації мезенхімальних стромальних клітин, реалізовані за допомогою стимуляції ангіогенних і мітогенних сигнальних шляхів [55, 59, 128].</w:t>
      </w:r>
    </w:p>
    <w:p w:rsidR="00A01923" w:rsidRDefault="00A01923" w:rsidP="00A01923">
      <w:pPr>
        <w:pStyle w:val="ac"/>
        <w:tabs>
          <w:tab w:val="left" w:pos="142"/>
        </w:tabs>
        <w:spacing w:line="360" w:lineRule="auto"/>
        <w:ind w:left="-567" w:firstLine="568"/>
        <w:jc w:val="both"/>
        <w:rPr>
          <w:sz w:val="28"/>
          <w:szCs w:val="28"/>
        </w:rPr>
      </w:pPr>
      <w:r>
        <w:rPr>
          <w:sz w:val="28"/>
          <w:szCs w:val="28"/>
          <w:lang w:val="uk-UA"/>
        </w:rPr>
        <w:t xml:space="preserve">Клінічні дослідження трансплантації прогеніторних стовбурових клітин фетальної печінки показали зменшення вираженості болю в стані спокою у 67% пацієнтів та збільшення дистанції безбольової ходьби. Також у 48% пацієнтів з ішемією нижніх кінцівок IV стадії загоювались трофічні виразки. У 82,5% пацієнтів через 1-3 міс. констатували зниження ступеня ішемії за Фойтейном-Покровським; у решти 9,2% - ступінь ішемії залишався незмінним або спостерігалося погіршення клінічного стану. Так, у 3 пацієнтів з ІНК IV ступеня з гнійно-запальним процесом на стопі введення клітинного трансплантата призвело до стимуляції гнійно-запального процесу, прогресування некротичного процесу та </w:t>
      </w:r>
      <w:r>
        <w:rPr>
          <w:sz w:val="28"/>
          <w:szCs w:val="28"/>
          <w:lang w:val="uk-UA"/>
        </w:rPr>
        <w:lastRenderedPageBreak/>
        <w:t>активації латентної мікотичної інфекції, що стало показанням до ампутації кінцівки</w:t>
      </w:r>
      <w:r>
        <w:rPr>
          <w:sz w:val="28"/>
          <w:szCs w:val="28"/>
        </w:rPr>
        <w:t xml:space="preserve"> [13, 55, 59, 70].</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Ще однією методикою, яка недостатньо вивчена в плані застосування у судинній хірургії є використання багатої тромбоцитами плазми (БаТП). “Галас навколо БаТП виразно прийшов перед наукою”, сказав Веллінгтон Хсу, доктор медичних наук, доцент ортопедичної хірургії та нейрохірургії Північно-Західного університету “Feinberg School of Medicine”.“У медицині, ми покладаємося на наукові дані, щоб підтримати оптимальне використання процедур, але з БаТП, так не сталося. Інтерес до БаТП стрибнув далеко попереду дослідження. БаТП не містить будь-яких ліків або хімічних речовин. БаТП є цілком природним і використовує власні тромбоцити крові пацієнта для підвищення біологічного процесу загоєння в організмі” – сказав Майкл Террі, доктор медичних наук, ад'юнкт-професор ортопедичної хірургії в “Feinberg School of Medicine” – “Є дуже мало задокументованих ускладнень, пов'язаних з БаТП, це безпечний метод, та він показав хороші результати у багатьох випадках”.</w:t>
      </w:r>
    </w:p>
    <w:p w:rsidR="00A01923" w:rsidRDefault="00A01923" w:rsidP="00A01923">
      <w:pPr>
        <w:pStyle w:val="ac"/>
        <w:tabs>
          <w:tab w:val="left" w:pos="142"/>
        </w:tabs>
        <w:spacing w:line="360" w:lineRule="auto"/>
        <w:ind w:left="-567" w:firstLine="568"/>
        <w:jc w:val="both"/>
        <w:rPr>
          <w:sz w:val="28"/>
          <w:szCs w:val="28"/>
          <w:lang w:val="uk-UA"/>
        </w:rPr>
      </w:pPr>
      <w:r>
        <w:rPr>
          <w:sz w:val="28"/>
          <w:szCs w:val="28"/>
          <w:shd w:val="clear" w:color="auto" w:fill="FFFFFF"/>
          <w:lang w:val="uk-UA"/>
        </w:rPr>
        <w:t xml:space="preserve">При збільшенні концентрації тромбоцитів збільшується концентрація факторів росту. Нижче перераховані сім основних факторів росту, які містяться в багатій тромбоцитами плазмі: тромбоцитарний фактор росту (PDGF-aa, PDGF-bb, PDGF-ab), трансформуючий фактор росту (TGF-β1, TGF-β2), васкулоендотеліальний фактор росту (VEGF) і фактор росту епітелію (EGF). Ці природні фактори росту перебувають в біологічно зумовлених співвідношеннях </w:t>
      </w:r>
      <w:r>
        <w:rPr>
          <w:sz w:val="28"/>
          <w:szCs w:val="28"/>
          <w:lang w:val="uk-UA"/>
        </w:rPr>
        <w:t>[</w:t>
      </w:r>
      <w:r w:rsidRPr="00F506C5">
        <w:rPr>
          <w:sz w:val="28"/>
          <w:szCs w:val="28"/>
          <w:lang w:val="uk-UA"/>
        </w:rPr>
        <w:t>82</w:t>
      </w:r>
      <w:r>
        <w:rPr>
          <w:sz w:val="28"/>
          <w:szCs w:val="28"/>
          <w:lang w:val="uk-UA"/>
        </w:rPr>
        <w:t>, 1</w:t>
      </w:r>
      <w:r w:rsidRPr="00F506C5">
        <w:rPr>
          <w:sz w:val="28"/>
          <w:szCs w:val="28"/>
          <w:lang w:val="uk-UA"/>
        </w:rPr>
        <w:t>48</w:t>
      </w:r>
      <w:r>
        <w:rPr>
          <w:sz w:val="28"/>
          <w:szCs w:val="28"/>
          <w:lang w:val="uk-UA"/>
        </w:rPr>
        <w:t>, 1</w:t>
      </w:r>
      <w:r w:rsidRPr="00F506C5">
        <w:rPr>
          <w:sz w:val="28"/>
          <w:szCs w:val="28"/>
          <w:lang w:val="uk-UA"/>
        </w:rPr>
        <w:t>64</w:t>
      </w:r>
      <w:r>
        <w:rPr>
          <w:sz w:val="28"/>
          <w:szCs w:val="28"/>
          <w:lang w:val="uk-UA"/>
        </w:rPr>
        <w:t>, 1</w:t>
      </w:r>
      <w:r w:rsidRPr="00F506C5">
        <w:rPr>
          <w:sz w:val="28"/>
          <w:szCs w:val="28"/>
          <w:lang w:val="uk-UA"/>
        </w:rPr>
        <w:t>62</w:t>
      </w:r>
      <w:r>
        <w:rPr>
          <w:sz w:val="28"/>
          <w:szCs w:val="28"/>
          <w:lang w:val="uk-UA"/>
        </w:rPr>
        <w:t xml:space="preserve">]. </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lang w:val="uk-UA"/>
        </w:rPr>
        <w:t xml:space="preserve">Фізіологічний процес дії багатої тромбоцитами аутоплазми спрощено можна представити таким чином: внаслідок втрати контакту тромбоцита з ендотелієм при виході з кровоносного русла, він змінює свою форму, виділяючи альфа-гранули, що викидають, в свою чергу, в рану чинники зростання </w:t>
      </w:r>
      <w:r>
        <w:rPr>
          <w:sz w:val="28"/>
          <w:szCs w:val="28"/>
          <w:shd w:val="clear" w:color="auto" w:fill="FFFFFF"/>
          <w:lang w:val="uk-UA"/>
        </w:rPr>
        <w:t>[164].</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Основні чинники зростання, що містяться в тромбоцитах і їх функції:</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IGF (інсуліноподібний фактор росту) – астимулює диференціювання стовбурових клітин, підсилює метаболізм кісткової тканини і синтез колагену.</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lastRenderedPageBreak/>
        <w:t>• PDGF (тромбоцитарний фактор росту) – містить сигнальні пептиди. Активує проліферацію і міграцію мезенхімальних (остеогенних) клітин. Стимулює ангіогенез.</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EGF (епідермальний фактор росту) – стимулює проліферацію фибро- і остеобластів. Стимулює синтез фібронектину.</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FGF (фібробластний фактор росту) – продукується ендотеліальними клітинами, макрофагами, остеобластами і тромбоцитами. Викликає експресію в кістковій тканині, ангіогенезу, оссифікації. Індукує продукцію TGF в остеобластних клітинах.</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TGF ( «сімейство» трансформуючого фактора росту) – не тільки індукують диференціювання мезенхімальних клітин, але і викликають безліч клітинних і міжклітинних відповідей, включаючи продукцію інших факторів росту.</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PDEGF (тромбоцитарний фактор росту ендотеліальних клітин) – фермент, що підтримує цілісність кровоносних судин. Надає стимулюючу дію на ендотеліальні клітини і має ангіогенний ефект.</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VEGF або PDAF (ростові фактори ендотелію судин) – є 4 види фактора VEGF-A, -B, -C і -D. Беруть участь в ангіогенезі, індукують проліферацію ендотеліальних клітин судин.</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PLGF-1 / -2 (плацентарні ростові фактори) – потенціюють дію VEGF, підвищують проникність судинної стінки.</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тромбоспондину – опосередковується адгезію кісткових клітин.</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остеонектін – регулює проліферацію і взаємодію клітин з матриксом.</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EGF (епідермальний фактор росту) – дає сигнал до поділу клітини. Саме він пригнічує роботу гена, відповідального за старіння, стимулюючи активність і зростання клітин.</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До складу плазми також входять більше 20 амінокислот, мікро- і макроелементи, такі як К, Mg, Li, Zn, Ca, Fe, Br, середньомолекулярні пептиди і вітаміни групи В, С, A, D, E, K та інші. Оскільки плазма є неаллергенним середовищем для тканин людини, і перераховані компоненти знаходяться в </w:t>
      </w:r>
      <w:r>
        <w:rPr>
          <w:sz w:val="28"/>
          <w:szCs w:val="28"/>
          <w:lang w:val="uk-UA"/>
        </w:rPr>
        <w:lastRenderedPageBreak/>
        <w:t xml:space="preserve">біохімічному співвідношенні, властивому даному організму, аутоплазма має ідеальну біодоступність і прискорює процес регенерації природним чином </w:t>
      </w:r>
      <w:r>
        <w:rPr>
          <w:sz w:val="28"/>
          <w:szCs w:val="28"/>
          <w:shd w:val="clear" w:color="auto" w:fill="FFFFFF"/>
          <w:lang w:val="uk-UA"/>
        </w:rPr>
        <w:t>[164]</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i/>
          <w:sz w:val="28"/>
          <w:szCs w:val="28"/>
          <w:lang w:val="uk-UA"/>
        </w:rPr>
        <w:t>Особливості при цукровому діабеті</w:t>
      </w:r>
      <w:r>
        <w:rPr>
          <w:i/>
          <w:sz w:val="28"/>
          <w:szCs w:val="28"/>
        </w:rPr>
        <w:t>.</w:t>
      </w:r>
      <w:r>
        <w:rPr>
          <w:i/>
          <w:color w:val="FF0000"/>
          <w:sz w:val="28"/>
          <w:szCs w:val="28"/>
          <w:lang w:val="uk-UA"/>
        </w:rPr>
        <w:t xml:space="preserve"> </w:t>
      </w:r>
      <w:r>
        <w:rPr>
          <w:sz w:val="28"/>
          <w:szCs w:val="28"/>
          <w:lang w:val="uk-UA"/>
        </w:rPr>
        <w:t>Цікаві результати робіт, які цілеспрямовано вивчали ефекти застосування клітинної терапії при КІНК у хворих на ЦД. Показано, що внутрішньом'язове введення (в 50-70 точок) гематопоетичних стовбурових клітин, отриманих з підшкірної клітковини у хворих на ЦД з КІНК активує ангіогенез в зоні ішемії кінцівки протягом 1,5 місяців після процедури [51]. У рандомізованому клінічному дослідженні, який включав 96 хворих на ЦД з КІНК, показана менша частота високих ампутацій кінцівок у пацієнтів, які отримували стовбурові клітини з кісткового мозку, в порівнянні зі стандартним режимом лікування (21% і 44% протягом 120 днів відповідно, р &lt;0,05) . У 6-місячному контрольованому дослідженні, що включало 50 хворих на ЦД з КІНК, встановлено, що внутрішньом'язове введення стовбурових клітин, отриманих як з підшкірної клітковини, так і з кісткового мозку, в однаковій мірі підвищує транс-кутанне  напруження кисню (р &lt;0,05) і зменшує частоту високих ампутацій (11,1%, в групі стандартного лікування - 50%, р = 0,003) [</w:t>
      </w:r>
      <w:r>
        <w:rPr>
          <w:sz w:val="28"/>
          <w:szCs w:val="28"/>
        </w:rPr>
        <w:t>186</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При цукровому діабеті 2-го типу не тільки безпосередньо порушуються функціональні спроможності попередників ендотеліальних клітин, але і пошкоджується костно-мозгова ніша, яка в нормі забезпечує дозрівання клітин і їх мобілізацію. Відомо, що тривала інкубація в середовищі з високою концентрацією глюкози призводить, в залежності від дози, до зменшення кількості та проліферативної активності цих клітин, прискоренню їх старіння і порушення міграції ) [63]</w:t>
      </w:r>
    </w:p>
    <w:p w:rsidR="00A01923" w:rsidRDefault="00A01923" w:rsidP="00A01923">
      <w:pPr>
        <w:pStyle w:val="ac"/>
        <w:tabs>
          <w:tab w:val="left" w:pos="142"/>
        </w:tabs>
        <w:spacing w:line="360" w:lineRule="auto"/>
        <w:ind w:left="-567" w:firstLine="568"/>
        <w:jc w:val="both"/>
        <w:rPr>
          <w:rFonts w:eastAsia="Calibri"/>
          <w:sz w:val="28"/>
          <w:szCs w:val="28"/>
          <w:lang w:val="uk-UA" w:eastAsia="en-US"/>
        </w:rPr>
      </w:pPr>
      <w:r>
        <w:rPr>
          <w:rFonts w:eastAsia="Calibri"/>
          <w:sz w:val="28"/>
          <w:szCs w:val="28"/>
          <w:lang w:val="uk-UA" w:eastAsia="en-US"/>
        </w:rPr>
        <w:t>Застосування методів регенераторної медицини (генних і клітинних технологій) є перспективним напрямком. Потенційними кандидатами для генної та клітинної терапії є хворі з ХКІНК, що не підлягають ангіохірургічному лікуванню.</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 xml:space="preserve">Таким чином, пошук нових джерел ендотеліальних клітин-попередників актуальний донині. Постійно вдосконалюються вже існуючі методи поліпшення </w:t>
      </w:r>
      <w:r>
        <w:rPr>
          <w:sz w:val="28"/>
          <w:szCs w:val="28"/>
          <w:lang w:val="uk-UA"/>
        </w:rPr>
        <w:lastRenderedPageBreak/>
        <w:t>реваскуляризації. Комплексне лікування з використанням фракції мононуклеарних прогеніторних клітин, отриманих з периферичної крові, кісткового мозку, жирової тканини і фетального матеріалу проводиться для стимуляції ангіогенезу у пацієнтів з неоперабельними ураженнями дистального судинного русла нижніх кінцівок і / або анатомо-функціональною недостатністю колатеральних шляхів кровотоку при повній прохідності проксимального сегмента артерій і наявності ішемії IIb-IV стадії, хворих старечого віку та з вираженою супутньою патологією. При трансплантації ендотеліальних клітин попередників відбувається збільшення судинної мережі, загоєння трофічних виразок та інших ушкоджень ішемізованих ділянок, збільшення дистанції і швидкості ходьби, зменшення болю в спокої, що дозволяє зберегти кінцівку в більшості пацієнтів. Стимуляція ангіогенезу богатою тромбоцитами плазмою, як один з найпростіших технічно та безпечних методів є надзвичайно перспективним методом непрямої реваскуляризації.</w:t>
      </w:r>
    </w:p>
    <w:p w:rsidR="00A01923" w:rsidRDefault="00A01923" w:rsidP="00A01923">
      <w:pPr>
        <w:pStyle w:val="ac"/>
        <w:tabs>
          <w:tab w:val="left" w:pos="142"/>
        </w:tabs>
        <w:spacing w:line="360" w:lineRule="auto"/>
        <w:ind w:left="-567" w:firstLine="568"/>
        <w:jc w:val="both"/>
        <w:rPr>
          <w:sz w:val="28"/>
          <w:szCs w:val="28"/>
          <w:lang w:val="uk-UA"/>
        </w:rPr>
      </w:pPr>
    </w:p>
    <w:p w:rsidR="00A01923" w:rsidRDefault="00A01923" w:rsidP="00A01923">
      <w:pPr>
        <w:pStyle w:val="ac"/>
        <w:tabs>
          <w:tab w:val="left" w:pos="142"/>
        </w:tabs>
        <w:spacing w:line="360" w:lineRule="auto"/>
        <w:ind w:left="-567" w:firstLine="567"/>
        <w:jc w:val="center"/>
        <w:rPr>
          <w:b/>
          <w:sz w:val="28"/>
          <w:szCs w:val="28"/>
          <w:lang w:val="uk-UA"/>
        </w:rPr>
      </w:pPr>
    </w:p>
    <w:p w:rsidR="00A01923" w:rsidRDefault="00A01923" w:rsidP="00A01923">
      <w:pPr>
        <w:pStyle w:val="ac"/>
        <w:tabs>
          <w:tab w:val="left" w:pos="142"/>
        </w:tabs>
        <w:spacing w:line="360" w:lineRule="auto"/>
        <w:ind w:left="-567" w:firstLine="567"/>
        <w:jc w:val="both"/>
        <w:rPr>
          <w:b/>
          <w:sz w:val="28"/>
          <w:szCs w:val="28"/>
          <w:lang w:val="uk-UA"/>
        </w:rPr>
      </w:pPr>
      <w:r>
        <w:rPr>
          <w:b/>
          <w:sz w:val="28"/>
          <w:szCs w:val="28"/>
          <w:lang w:val="uk-UA"/>
        </w:rPr>
        <w:t>1.3. Значимість показників дисфункції ендотелію у діагностиці стану хворих на хронічну критичну ішемію нижніх кінцівок</w:t>
      </w:r>
    </w:p>
    <w:p w:rsidR="00A01923" w:rsidRPr="00A01923" w:rsidRDefault="00A01923" w:rsidP="00A01923">
      <w:pPr>
        <w:pStyle w:val="ac"/>
        <w:tabs>
          <w:tab w:val="left" w:pos="142"/>
        </w:tabs>
        <w:spacing w:line="360" w:lineRule="auto"/>
        <w:ind w:left="-567" w:firstLine="567"/>
        <w:jc w:val="both"/>
        <w:rPr>
          <w:b/>
          <w:sz w:val="28"/>
          <w:szCs w:val="28"/>
          <w:lang w:val="uk-UA"/>
        </w:rPr>
      </w:pPr>
    </w:p>
    <w:p w:rsidR="00A01923" w:rsidRPr="00A01923" w:rsidRDefault="00A01923" w:rsidP="00A01923">
      <w:pPr>
        <w:pStyle w:val="ac"/>
        <w:tabs>
          <w:tab w:val="left" w:pos="142"/>
        </w:tabs>
        <w:spacing w:line="360" w:lineRule="auto"/>
        <w:ind w:left="-567" w:firstLine="567"/>
        <w:jc w:val="both"/>
        <w:rPr>
          <w:b/>
          <w:sz w:val="28"/>
          <w:szCs w:val="28"/>
          <w:lang w:val="uk-UA"/>
        </w:rPr>
      </w:pPr>
    </w:p>
    <w:p w:rsidR="00037004" w:rsidRDefault="00A01923" w:rsidP="00037004">
      <w:pPr>
        <w:pStyle w:val="ac"/>
        <w:tabs>
          <w:tab w:val="left" w:pos="142"/>
        </w:tabs>
        <w:spacing w:line="360" w:lineRule="auto"/>
        <w:ind w:left="-567" w:firstLine="568"/>
        <w:jc w:val="both"/>
        <w:rPr>
          <w:sz w:val="28"/>
          <w:szCs w:val="28"/>
          <w:lang w:val="uk-UA"/>
        </w:rPr>
      </w:pPr>
      <w:r>
        <w:rPr>
          <w:sz w:val="28"/>
          <w:szCs w:val="28"/>
          <w:lang w:val="uk-UA"/>
        </w:rPr>
        <w:t xml:space="preserve">Відповідно до сучасних уявлень, ендотелій – своєрідна комунікативна структура між кров'ю і судинною стінкою. Основна мета ендотеліальної регуляції – підтримання динамічної рівноваги різноспрямованих процесів вазоконстрикції і вазодилатації, тромбоутворення і фібринолізу, синтезу і пригнічення факторів проліферації, про- і протизапальної активності. Адаптацію судин до постійно мінливих біохімічних і гемодинамічних характеристик кровотоку забезпечують біологічноактивні речовини, синтез яких відбувається в ендотеліальних клітинах. Субстанції ендотеліального походження контролюють судинний тонус, процеси тромбоутворення і фібринолізу, проліферацію та міграцію клітин в судинну </w:t>
      </w:r>
      <w:r>
        <w:rPr>
          <w:sz w:val="28"/>
          <w:szCs w:val="28"/>
          <w:lang w:val="uk-UA"/>
        </w:rPr>
        <w:lastRenderedPageBreak/>
        <w:t>стінку вироблення про- і протизапальних факторів, ремоделювання судин і ангіогенез [14,</w:t>
      </w:r>
      <w:r>
        <w:rPr>
          <w:bCs/>
          <w:sz w:val="28"/>
          <w:szCs w:val="28"/>
          <w:lang w:val="uk-UA"/>
        </w:rPr>
        <w:t xml:space="preserve"> 52, 53</w:t>
      </w:r>
      <w:r>
        <w:rPr>
          <w:sz w:val="28"/>
          <w:szCs w:val="28"/>
          <w:lang w:val="uk-UA"/>
        </w:rPr>
        <w:t xml:space="preserve">]. </w:t>
      </w:r>
    </w:p>
    <w:p w:rsidR="00037004" w:rsidRDefault="002C416F" w:rsidP="00037004">
      <w:pPr>
        <w:pStyle w:val="ac"/>
        <w:tabs>
          <w:tab w:val="left" w:pos="142"/>
        </w:tabs>
        <w:spacing w:line="360" w:lineRule="auto"/>
        <w:ind w:left="-567" w:firstLine="568"/>
        <w:jc w:val="both"/>
        <w:rPr>
          <w:sz w:val="28"/>
          <w:szCs w:val="28"/>
          <w:lang w:val="uk-UA"/>
        </w:rPr>
      </w:pPr>
      <w:r>
        <w:rPr>
          <w:sz w:val="28"/>
          <w:szCs w:val="28"/>
          <w:lang w:val="uk-UA"/>
        </w:rPr>
        <w:t>Різномаїття функцій судинного ендотелію дозволяє розглядати його як метаболічно активну тканину, умовно названу «найбільшою ендокринною залозою людини» [</w:t>
      </w:r>
      <w:r>
        <w:rPr>
          <w:bCs/>
          <w:sz w:val="28"/>
          <w:szCs w:val="28"/>
          <w:lang w:val="uk-UA"/>
        </w:rPr>
        <w:t>53</w:t>
      </w:r>
      <w:r>
        <w:rPr>
          <w:sz w:val="28"/>
          <w:szCs w:val="28"/>
          <w:lang w:val="uk-UA"/>
        </w:rPr>
        <w:t xml:space="preserve">]. </w:t>
      </w:r>
    </w:p>
    <w:p w:rsidR="00037004" w:rsidRDefault="00A01923" w:rsidP="00A01923">
      <w:pPr>
        <w:pStyle w:val="ac"/>
        <w:tabs>
          <w:tab w:val="left" w:pos="142"/>
        </w:tabs>
        <w:spacing w:line="360" w:lineRule="auto"/>
        <w:ind w:left="-567" w:firstLine="568"/>
        <w:jc w:val="both"/>
        <w:rPr>
          <w:sz w:val="28"/>
          <w:szCs w:val="28"/>
          <w:lang w:val="uk-UA"/>
        </w:rPr>
      </w:pPr>
      <w:r>
        <w:rPr>
          <w:sz w:val="28"/>
          <w:szCs w:val="28"/>
          <w:lang w:val="uk-UA"/>
        </w:rPr>
        <w:t>У фізіологічних умовах в ендотеліальних клітинах відбувається постійна секреція оксиду азоту NO, необхідного для розслаблення гладких клітин і вазодилатації. Гіпотеза про ангіопротективні властивості цієї речовини, поклала початок вивченню активної ролі ендотелію в підтримці судинного гомеостазу і була удостоєна Нобелівської премії в 1998 році [5].</w:t>
      </w:r>
      <w:r w:rsidR="00037004" w:rsidRPr="00037004">
        <w:rPr>
          <w:lang w:val="uk-UA"/>
        </w:rPr>
        <w:t xml:space="preserve"> </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В результаті впливу факторів різної природи порушується здатність клітин ендотелію забезпечувати оптимальне протягом всіх ендотелій-залежних процесів, зменшується утворення релаксирующих чинників, тоді як синтез вазоконстрикторів зростає, збільшується тромбогенний потенціал судинної стінки, порушуються процеси міжклітинної взаємодії [</w:t>
      </w:r>
      <w:r>
        <w:rPr>
          <w:bCs/>
          <w:sz w:val="28"/>
          <w:szCs w:val="28"/>
          <w:lang w:val="uk-UA"/>
        </w:rPr>
        <w:t>53</w:t>
      </w:r>
      <w:r>
        <w:rPr>
          <w:sz w:val="28"/>
          <w:szCs w:val="28"/>
          <w:lang w:val="uk-UA"/>
        </w:rPr>
        <w:t>].</w:t>
      </w:r>
    </w:p>
    <w:p w:rsidR="00A01923" w:rsidRDefault="00A01923" w:rsidP="00A01923">
      <w:pPr>
        <w:pStyle w:val="ac"/>
        <w:tabs>
          <w:tab w:val="left" w:pos="142"/>
        </w:tabs>
        <w:spacing w:line="360" w:lineRule="auto"/>
        <w:ind w:left="-567" w:firstLine="568"/>
        <w:jc w:val="both"/>
        <w:rPr>
          <w:i/>
          <w:sz w:val="28"/>
          <w:szCs w:val="28"/>
          <w:lang w:val="uk-UA"/>
        </w:rPr>
      </w:pPr>
      <w:r>
        <w:rPr>
          <w:sz w:val="28"/>
          <w:szCs w:val="28"/>
          <w:lang w:val="uk-UA"/>
        </w:rPr>
        <w:t xml:space="preserve">Пошкоджені або надлишково активовані ендотеліальні клітини можуть секретувати як вазоконстрикторні речовини, найбільш відомим з яких є ендотелін - 1, так і фактори, що впливають на диференціювання і зростання судинних гладком'язових клітин. Ендотеліальні клітини також взаємодіють з клітинами в кров'яному руслі, ендотелін-1 і інші фактори звільняються з ендотеліальних клітин в кров, де їх хемотаксична дія може індукувати лейкоцити і тромбоцити мігрувати в судинну стінку. Ендотеліальні клітини індукують адгезію шляхом експресії специфічних молекул адгезії (селектіни, інтегрини і сімейство імуноглобулінів), які можуть взаємодіяти з лігандами на лейкоцитах і тромбоцитах. Порушена проникність ендотеліального шару у пацієнтів з СД і гіперліпідемією веде до збільшеного притоку субстанцій з циркуляції в судинну стінку. Крім того, дисфункція ендотеліальних клітин може вести до прискореного внутрішньосудинного згортання крові. Очевидно, що ендотелій відіграє центральну роль у багатьох ранніх патофізіологічних процесах, що беруть участь в атеросклерозі [8, </w:t>
      </w:r>
      <w:r>
        <w:rPr>
          <w:sz w:val="28"/>
          <w:szCs w:val="28"/>
        </w:rPr>
        <w:t>105</w:t>
      </w:r>
      <w:r>
        <w:rPr>
          <w:sz w:val="28"/>
          <w:szCs w:val="28"/>
          <w:lang w:val="uk-UA"/>
        </w:rPr>
        <w:t>].</w:t>
      </w:r>
    </w:p>
    <w:p w:rsidR="00A01923" w:rsidRDefault="00A01923" w:rsidP="00A01923">
      <w:pPr>
        <w:pStyle w:val="ac"/>
        <w:tabs>
          <w:tab w:val="left" w:pos="142"/>
        </w:tabs>
        <w:spacing w:line="360" w:lineRule="auto"/>
        <w:ind w:left="-567" w:firstLine="568"/>
        <w:jc w:val="both"/>
        <w:rPr>
          <w:sz w:val="28"/>
          <w:szCs w:val="28"/>
          <w:shd w:val="clear" w:color="auto" w:fill="FFFFFF"/>
          <w:lang w:val="uk-UA"/>
        </w:rPr>
      </w:pPr>
      <w:r>
        <w:rPr>
          <w:sz w:val="28"/>
          <w:szCs w:val="28"/>
          <w:lang w:val="uk-UA"/>
        </w:rPr>
        <w:lastRenderedPageBreak/>
        <w:t>Під терміном ендотеліальна дисфункція в даний час розуміють порушення процесів вазодилатації і вазоконстрикції, про- і атромботичних реакцій, проліферації і придушення клітинного росту, патологічний ангіонеогенез і порушення міжклітинних взаємодій [53,</w:t>
      </w:r>
      <w:r>
        <w:rPr>
          <w:bCs/>
          <w:sz w:val="28"/>
          <w:szCs w:val="28"/>
          <w:lang w:val="uk-UA"/>
        </w:rPr>
        <w:t xml:space="preserve"> 63</w:t>
      </w:r>
      <w:r>
        <w:rPr>
          <w:sz w:val="28"/>
          <w:szCs w:val="28"/>
          <w:lang w:val="uk-UA"/>
        </w:rPr>
        <w:t>]. Ендотеліальна дисфункція (ЕД) – це, перш за все, дисбаланс між продукцією вазодилатуючих, ангіопротективних, антипроліферативних факторів (оксиду азоту (NO), простацикліну, тканинного активатора плазміногену, С-типу натрійуретичного пептиду та ін.), з одного боку, і вазоконстрікторних, протромботичних, проліферативних факторів (ендотеліну, тромбоксану А2, інгібітора тканинного активатора плазміногену</w:t>
      </w:r>
      <w:r w:rsidR="002C416F">
        <w:rPr>
          <w:sz w:val="28"/>
          <w:szCs w:val="28"/>
          <w:lang w:val="uk-UA"/>
        </w:rPr>
        <w:t xml:space="preserve"> і фібриногену</w:t>
      </w:r>
      <w:r>
        <w:rPr>
          <w:sz w:val="28"/>
          <w:szCs w:val="28"/>
          <w:lang w:val="uk-UA"/>
        </w:rPr>
        <w:t xml:space="preserve">), з іншого. Крім цих показників в якості потенційних маркерів ЕД розглядається кілька субстанцій, продукція яких може опосередковано відображати функцію ендотелію. Йдеться про такі показники, як прозапальні цитокіни: інтерлейкіни (інтерлейкіни -1,-6, -8), фактор некрозу пухлини-a (ФНП-а), фактор Віллебранда, селектіни, С-реактивний білок (СРБ) та ін </w:t>
      </w:r>
      <w:r>
        <w:rPr>
          <w:sz w:val="28"/>
          <w:szCs w:val="28"/>
          <w:shd w:val="clear" w:color="auto" w:fill="FFFFFF"/>
          <w:lang w:val="uk-UA"/>
        </w:rPr>
        <w:t>[53, 105,123].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Таким чином, ендотелін є одним з найважливіших регуляторів функціонального стану ендотелію і розглядається як маркер і предиктор тяжкості і результату безлічі ендотелін-пов'язаних патологій [69, 123].</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У пацієнтів із критичною ішемією нижніх кінцівок наявний декомпенсований капілярний кровообіг і виражені порушення функції ендотелію, що призводить до пригнічення метаболізму в тканинах [40].</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З практичної точки зору найбільший інтерес представляє собою визначення ендотеліну-1 як універсального маркера розвитку більшості судинних ускладнень ЦД. Підвищення рівня одного з найпотужніших вазоконстрикторів на ранніх стадіях дистального ураження артерій, мабуть, відображає активаційний характер секреції даної речовини у відповідь на вплив хронічної гіперглікемії, що узгоджується з літературними даними [49, 69].</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t>Ендотеліальна дисфункція при ЦД – це стан вазоконстрикції, підвищеної адгезії лейкоцитів і тромбоцитів, неконтрольований клітинний ріст, особливо гладких клітин, збільшення в'язкості крові і схильність до тромбоутворення [34].</w:t>
      </w:r>
    </w:p>
    <w:p w:rsidR="00A01923" w:rsidRDefault="00A01923" w:rsidP="00A01923">
      <w:pPr>
        <w:spacing w:after="0" w:line="360" w:lineRule="auto"/>
        <w:ind w:left="-567" w:firstLine="56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Проведення аутомієлотрансплантації як самостійного заходу непрямої реваскуляризації та як компонента комбінованої реваскуляризації обумовлює суттєве зростання концентрації фактора VEGF крові через 6 і 12 місяців у хворих всіх вікових груп, за виключенням групи пацієнтів старечого віку. Інтенсивність стимуляції синтезу фактора VEGF суттєво пов’язана з властивостями аспірата кісткового мозку. Найбільшою мірою стимуляція синтетичної активності відбувається після проведення аутомієлотрансплантації у хворих молодого і зрілого віку, дещо меншою – у пацієнтів похилого віку </w:t>
      </w:r>
      <w:r>
        <w:rPr>
          <w:rFonts w:ascii="Times New Roman" w:hAnsi="Times New Roman"/>
          <w:sz w:val="28"/>
          <w:szCs w:val="28"/>
          <w:lang w:val="uk-UA"/>
        </w:rPr>
        <w:t>[40]</w:t>
      </w:r>
      <w:r>
        <w:rPr>
          <w:rFonts w:ascii="Times New Roman" w:hAnsi="Times New Roman"/>
          <w:sz w:val="28"/>
          <w:szCs w:val="28"/>
          <w:shd w:val="clear" w:color="auto" w:fill="FFFFFF"/>
          <w:lang w:val="uk-UA"/>
        </w:rPr>
        <w:t>.</w:t>
      </w:r>
    </w:p>
    <w:p w:rsidR="00A01923" w:rsidRDefault="00A01923" w:rsidP="00A01923">
      <w:pPr>
        <w:pStyle w:val="ac"/>
        <w:tabs>
          <w:tab w:val="left" w:pos="142"/>
        </w:tabs>
        <w:spacing w:line="360" w:lineRule="auto"/>
        <w:ind w:left="-567" w:firstLine="567"/>
        <w:jc w:val="both"/>
        <w:rPr>
          <w:sz w:val="28"/>
          <w:szCs w:val="28"/>
          <w:lang w:val="uk-UA"/>
        </w:rPr>
      </w:pPr>
      <w:r>
        <w:rPr>
          <w:sz w:val="28"/>
          <w:szCs w:val="28"/>
          <w:lang w:val="uk-UA"/>
        </w:rPr>
        <w:t>Гострофазні білки (ГБ) – це білки коагуляції (фібриноген, протромбін) транспортні білки (церулоплазмін, феритин, трансферин, гаптоглобін, С-реактивний білок і ін.), які також виконують функції медіаторів імунної системи. ГБ безпосередньо беруть участь в реакціях, спрямованих на видалення шкідливого чинника, локалізацію вогнища пошкодження і відновлення порушеної структури і функції. Фібриноген має відношення до судинних реакцій при запаленні. ГБ синтезуються в печінці, їх концентрація істотно змінюється і залежить від стадії, перебігу захворювання та масивності пошкодження, що і визначає цінність цих тестів для клінічної лабораторної діагностики. У зв'язку з цим визначення ГБ використовується для моніторингу перебігу захворювання та контролю ефективності лікування.</w:t>
      </w:r>
    </w:p>
    <w:p w:rsidR="00A01923" w:rsidRDefault="00A01923" w:rsidP="00A01923">
      <w:pPr>
        <w:pStyle w:val="ac"/>
        <w:tabs>
          <w:tab w:val="left" w:pos="142"/>
        </w:tabs>
        <w:spacing w:line="360" w:lineRule="auto"/>
        <w:ind w:left="-567" w:firstLine="567"/>
        <w:jc w:val="both"/>
        <w:rPr>
          <w:sz w:val="28"/>
          <w:szCs w:val="28"/>
          <w:lang w:val="uk-UA"/>
        </w:rPr>
      </w:pPr>
      <w:r>
        <w:rPr>
          <w:sz w:val="28"/>
          <w:szCs w:val="28"/>
          <w:lang w:val="uk-UA"/>
        </w:rPr>
        <w:t>Рівень СРБ зростає при пошкодженні в перші 6-12 год. до 100 раз (в окремих випадках в 1000 разів). Слід визначати СРБ, концентрація якого підвищується через 6-8 години після початку острофазном відповіді, при відсутності лікування досягаючи максимуму на 2-3 добу. Нормальні значення СРБ індивідуальні і варіюють від 1 до 6 мг / л. Ці значення залежать від віку, статі, фізіологічного стану, наявність хронічних захворювань. Підвищення СРБ в крові починається через 6-24 годин з моменту початку запалення і зникає в ході реконвалесценції. СРБ при запальному процесі може підвищуватися в 20 разів і більше. Ефект біологічної дії на ендотелій СРБ полягає в його здатності індукувати експресію ендотеліоцитами основного прозапального хемокіну МСР-1 (mоnocyte chemotactic protein-1) і стимулювати експресію молекул адгезії на ендотелії [68].</w:t>
      </w:r>
    </w:p>
    <w:p w:rsidR="00A01923" w:rsidRDefault="00A01923" w:rsidP="00A01923">
      <w:pPr>
        <w:pStyle w:val="ac"/>
        <w:tabs>
          <w:tab w:val="left" w:pos="142"/>
        </w:tabs>
        <w:spacing w:line="360" w:lineRule="auto"/>
        <w:ind w:left="-567" w:firstLine="568"/>
        <w:jc w:val="both"/>
        <w:rPr>
          <w:sz w:val="28"/>
          <w:szCs w:val="28"/>
          <w:lang w:val="uk-UA"/>
        </w:rPr>
      </w:pPr>
      <w:r>
        <w:rPr>
          <w:sz w:val="28"/>
          <w:szCs w:val="28"/>
          <w:lang w:val="uk-UA"/>
        </w:rPr>
        <w:lastRenderedPageBreak/>
        <w:t xml:space="preserve">Фібриноген є розчинним попередником фібрину </w:t>
      </w:r>
      <w:r>
        <w:rPr>
          <w:color w:val="FF0000"/>
          <w:sz w:val="28"/>
          <w:szCs w:val="28"/>
          <w:lang w:val="uk-UA"/>
        </w:rPr>
        <w:t>–</w:t>
      </w:r>
      <w:r>
        <w:rPr>
          <w:sz w:val="28"/>
          <w:szCs w:val="28"/>
          <w:lang w:val="uk-UA"/>
        </w:rPr>
        <w:t xml:space="preserve"> головного компонента кров'яного згустку. Синтезується в печінці в кількості 2-5 г/доб</w:t>
      </w:r>
      <w:r>
        <w:rPr>
          <w:color w:val="FF0000"/>
          <w:sz w:val="28"/>
          <w:szCs w:val="28"/>
          <w:lang w:val="uk-UA"/>
        </w:rPr>
        <w:t>.</w:t>
      </w:r>
      <w:r>
        <w:rPr>
          <w:sz w:val="28"/>
          <w:szCs w:val="28"/>
          <w:lang w:val="uk-UA"/>
        </w:rPr>
        <w:t xml:space="preserve"> Час напіввиведення становить близько 4 діб. Підвищення концентрації фібриногену в плазмі крові розглядається як фактор ризику тромбозу і розвитку серцево-судинних захворювань. Інтерес до визначення фібриногену викликається тим, що він одночасно є і прозапальним фактором і важливим фактором згортання крові. Збільшення вмісту фібриногену в плазмі крові відзначає ся при різних запальних процесах в життєво важливих органах.</w:t>
      </w:r>
    </w:p>
    <w:p w:rsidR="00A01923" w:rsidRDefault="00A01923" w:rsidP="00A01923">
      <w:pPr>
        <w:pStyle w:val="ac"/>
        <w:tabs>
          <w:tab w:val="left" w:pos="142"/>
        </w:tabs>
        <w:spacing w:line="360" w:lineRule="auto"/>
        <w:ind w:left="-567" w:firstLine="567"/>
        <w:jc w:val="both"/>
        <w:rPr>
          <w:sz w:val="28"/>
          <w:szCs w:val="28"/>
          <w:lang w:val="uk-UA"/>
        </w:rPr>
      </w:pPr>
      <w:r>
        <w:rPr>
          <w:sz w:val="28"/>
          <w:szCs w:val="28"/>
          <w:lang w:val="uk-UA"/>
        </w:rPr>
        <w:t>Отже, що вивчення вищезазначених показників дисфункції ендотелію (прямих та посередніх) є важливою ланкою визначення стану судин, ефективності лікування та прогресування захворювання у хворих на ХКІНК. Вважаємо важливим визначення також взаємозв’язку між показниками дисфункції ендотелію та станом порушення кровообігу (ступенем ішемії) для  можливого прогнозування перебігу захворювання.</w:t>
      </w:r>
    </w:p>
    <w:p w:rsidR="00A01923" w:rsidRDefault="00A01923" w:rsidP="00A01923">
      <w:pPr>
        <w:pStyle w:val="ac"/>
        <w:tabs>
          <w:tab w:val="left" w:pos="142"/>
        </w:tabs>
        <w:spacing w:line="360" w:lineRule="auto"/>
        <w:ind w:left="-567" w:firstLine="567"/>
        <w:jc w:val="both"/>
        <w:rPr>
          <w:color w:val="FF0000"/>
          <w:sz w:val="28"/>
          <w:szCs w:val="28"/>
          <w:lang w:val="uk-UA"/>
        </w:rPr>
      </w:pPr>
    </w:p>
    <w:p w:rsidR="00A01923" w:rsidRDefault="00A01923" w:rsidP="00A01923">
      <w:pPr>
        <w:pStyle w:val="ac"/>
        <w:tabs>
          <w:tab w:val="left" w:pos="142"/>
        </w:tabs>
        <w:spacing w:line="360" w:lineRule="auto"/>
        <w:ind w:left="-567" w:firstLine="567"/>
        <w:jc w:val="both"/>
        <w:rPr>
          <w:b/>
          <w:color w:val="FF0000"/>
          <w:sz w:val="28"/>
          <w:szCs w:val="28"/>
          <w:lang w:val="uk-UA"/>
        </w:rPr>
      </w:pPr>
    </w:p>
    <w:p w:rsidR="00A01923" w:rsidRDefault="00A01923" w:rsidP="00A01923">
      <w:pPr>
        <w:pStyle w:val="ac"/>
        <w:tabs>
          <w:tab w:val="left" w:pos="142"/>
        </w:tabs>
        <w:spacing w:line="360" w:lineRule="auto"/>
        <w:ind w:left="-567" w:firstLine="567"/>
        <w:rPr>
          <w:b/>
          <w:sz w:val="28"/>
          <w:szCs w:val="28"/>
          <w:lang w:val="uk-UA"/>
        </w:rPr>
      </w:pPr>
      <w:r>
        <w:rPr>
          <w:b/>
          <w:sz w:val="28"/>
          <w:szCs w:val="28"/>
          <w:lang w:val="uk-UA"/>
        </w:rPr>
        <w:t>1.4 Оцінка якості життя хворих на хронічну критичну ішемію нижніх кінцівок.</w:t>
      </w:r>
    </w:p>
    <w:p w:rsidR="00A01923" w:rsidRDefault="00A01923" w:rsidP="00A01923">
      <w:pPr>
        <w:pStyle w:val="ac"/>
        <w:tabs>
          <w:tab w:val="left" w:pos="142"/>
        </w:tabs>
        <w:spacing w:line="360" w:lineRule="auto"/>
        <w:ind w:left="-567" w:firstLine="567"/>
        <w:rPr>
          <w:b/>
          <w:sz w:val="28"/>
          <w:szCs w:val="28"/>
          <w:lang w:val="uk-UA"/>
        </w:rPr>
      </w:pPr>
    </w:p>
    <w:p w:rsidR="00A01923" w:rsidRDefault="00A01923" w:rsidP="00A01923">
      <w:pPr>
        <w:pStyle w:val="ac"/>
        <w:tabs>
          <w:tab w:val="left" w:pos="142"/>
        </w:tabs>
        <w:spacing w:line="360" w:lineRule="auto"/>
        <w:ind w:left="-567" w:firstLine="567"/>
        <w:rPr>
          <w:b/>
          <w:sz w:val="28"/>
          <w:szCs w:val="28"/>
          <w:lang w:val="uk-UA"/>
        </w:rPr>
      </w:pPr>
    </w:p>
    <w:p w:rsidR="00A01923" w:rsidRDefault="00A01923" w:rsidP="00A01923">
      <w:pPr>
        <w:pStyle w:val="21"/>
        <w:tabs>
          <w:tab w:val="left" w:pos="180"/>
          <w:tab w:val="left" w:pos="540"/>
          <w:tab w:val="left" w:pos="720"/>
        </w:tabs>
        <w:spacing w:after="0" w:line="360" w:lineRule="auto"/>
        <w:ind w:left="-567" w:firstLine="567"/>
        <w:jc w:val="both"/>
        <w:rPr>
          <w:rFonts w:ascii="Times New Roman" w:hAnsi="Times New Roman"/>
          <w:sz w:val="28"/>
          <w:szCs w:val="28"/>
        </w:rPr>
      </w:pPr>
      <w:r>
        <w:rPr>
          <w:rFonts w:ascii="Times New Roman" w:hAnsi="Times New Roman"/>
          <w:sz w:val="28"/>
          <w:szCs w:val="28"/>
        </w:rPr>
        <w:t>ХКІНК є останньою стадією облітеруючого захворювання судини та супроводжується у більшості хворих болем у спокої. Отже, такі хворі мають дуже знижену якість життя (ЯЖ). Рівень ЯЖ хворих залежить не тільки від ступеню ішемії, а й від довготривалості перебігу захворювання, а також перенесених оперативних втручань, як реваскуляризацій, так і ампутацій.</w:t>
      </w:r>
    </w:p>
    <w:p w:rsidR="00A01923" w:rsidRDefault="00A01923" w:rsidP="00A01923">
      <w:pPr>
        <w:pStyle w:val="21"/>
        <w:tabs>
          <w:tab w:val="left" w:pos="180"/>
          <w:tab w:val="left" w:pos="540"/>
          <w:tab w:val="left" w:pos="720"/>
        </w:tabs>
        <w:spacing w:after="0" w:line="360" w:lineRule="auto"/>
        <w:ind w:left="-567" w:firstLine="568"/>
        <w:jc w:val="both"/>
        <w:rPr>
          <w:rFonts w:ascii="Times New Roman" w:hAnsi="Times New Roman"/>
          <w:sz w:val="28"/>
          <w:szCs w:val="28"/>
        </w:rPr>
      </w:pPr>
      <w:r>
        <w:rPr>
          <w:rFonts w:ascii="Times New Roman" w:hAnsi="Times New Roman"/>
          <w:sz w:val="28"/>
          <w:szCs w:val="28"/>
        </w:rPr>
        <w:t>Важливість визначення ЯЖ зумовлена необхідністю аналізувати ЯЖ у динаміці лікування та у залежності від способу лікування [96, 165].</w:t>
      </w:r>
    </w:p>
    <w:p w:rsidR="00A01923" w:rsidRDefault="00A01923" w:rsidP="00A01923">
      <w:pPr>
        <w:pStyle w:val="21"/>
        <w:tabs>
          <w:tab w:val="left" w:pos="180"/>
          <w:tab w:val="left" w:pos="540"/>
          <w:tab w:val="left" w:pos="720"/>
        </w:tabs>
        <w:spacing w:after="0" w:line="360" w:lineRule="auto"/>
        <w:ind w:left="-567" w:firstLine="568"/>
        <w:jc w:val="both"/>
        <w:rPr>
          <w:rFonts w:ascii="Times New Roman" w:hAnsi="Times New Roman"/>
          <w:sz w:val="28"/>
          <w:szCs w:val="28"/>
        </w:rPr>
      </w:pPr>
      <w:r>
        <w:rPr>
          <w:rFonts w:ascii="Times New Roman" w:hAnsi="Times New Roman"/>
          <w:sz w:val="28"/>
          <w:szCs w:val="28"/>
        </w:rPr>
        <w:t xml:space="preserve">Опитувач SF-36 (автор – J.Е.Ware, 1992) був розроблений на основі попереднього опитувача, відомого як Medical Outcomes Study General Health Survey Instrument. Метою авторів було розробити загальне обстеження здоров'я, </w:t>
      </w:r>
      <w:r>
        <w:rPr>
          <w:rFonts w:ascii="Times New Roman" w:hAnsi="Times New Roman"/>
          <w:sz w:val="28"/>
          <w:szCs w:val="28"/>
        </w:rPr>
        <w:lastRenderedPageBreak/>
        <w:t>яке б було всеосяжним і враховувало психометричні показники, але водночас було досить коротким, щоб мати практичне застосування в великомасштабних дослідженнях. В результаті був стандартизований загальний опитувач, призначений для самостійного заповнення інтерв'ю. SF-36 містить 36 питань, що охоплюють вісім аспектів здоров'я і визначають його профіль. Для кожного вимірювання, питання оцінки кодуються, підсумовуються і враховуються за шкалою від 0 (найгірше здоров'я) до 100 (найкраще здоров'я). У дослідженнях населення і в інших групах пацієнтів, було встановлено , що SF-36 є прийнятним, достовірним, надійним і задовольняє звичайні психометричних критерії</w:t>
      </w:r>
      <w:r>
        <w:rPr>
          <w:rFonts w:ascii="Times New Roman" w:hAnsi="Times New Roman"/>
          <w:sz w:val="28"/>
          <w:szCs w:val="28"/>
          <w:lang w:val="ru-RU"/>
        </w:rPr>
        <w:t xml:space="preserve"> [193]</w:t>
      </w:r>
      <w:r>
        <w:rPr>
          <w:rFonts w:ascii="Times New Roman" w:hAnsi="Times New Roman"/>
          <w:sz w:val="28"/>
          <w:szCs w:val="28"/>
        </w:rPr>
        <w:t>.</w:t>
      </w:r>
      <w:r>
        <w:rPr>
          <w:rFonts w:ascii="Times New Roman" w:hAnsi="Times New Roman"/>
          <w:iCs/>
          <w:sz w:val="28"/>
          <w:szCs w:val="28"/>
        </w:rPr>
        <w:t xml:space="preserve"> </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Дослідниками Міжнаціонального Центру дослідження якості життя (МЦДЯЖ, м. Санкт-Петербург) у 1998 р. була створена російськомовна версія опитувача SF-36, за допомогою якої вивчали ЯЖ у 2114 мешканців м. Санкт-Петербурга. Результати досліджень вказали на узгодження з характеристиками якості даних опитувань, які проводились у інших країнах</w:t>
      </w:r>
      <w:r>
        <w:rPr>
          <w:rFonts w:ascii="Times New Roman" w:hAnsi="Times New Roman"/>
          <w:color w:val="FF0000"/>
          <w:sz w:val="28"/>
          <w:szCs w:val="28"/>
          <w:lang w:val="uk-UA"/>
        </w:rPr>
        <w:t>.</w:t>
      </w:r>
    </w:p>
    <w:p w:rsidR="00A01923" w:rsidRDefault="00A01923" w:rsidP="00A01923">
      <w:pPr>
        <w:pStyle w:val="21"/>
        <w:tabs>
          <w:tab w:val="left" w:pos="180"/>
          <w:tab w:val="left" w:pos="540"/>
          <w:tab w:val="left" w:pos="720"/>
        </w:tabs>
        <w:spacing w:after="0" w:line="360" w:lineRule="auto"/>
        <w:ind w:left="-567" w:firstLine="568"/>
        <w:jc w:val="both"/>
        <w:rPr>
          <w:rFonts w:ascii="Times New Roman" w:hAnsi="Times New Roman"/>
          <w:i/>
          <w:sz w:val="28"/>
          <w:szCs w:val="28"/>
        </w:rPr>
      </w:pPr>
      <w:r>
        <w:rPr>
          <w:rFonts w:ascii="Times New Roman" w:hAnsi="Times New Roman"/>
          <w:sz w:val="28"/>
          <w:szCs w:val="28"/>
        </w:rPr>
        <w:t>Таким чином, SF-36 є загальним опитувачем здоров'я та може використовуватися для оцінки ЯЖ здорових та хворих різними захворюваннями</w:t>
      </w:r>
      <w:r>
        <w:rPr>
          <w:rFonts w:ascii="Times New Roman" w:hAnsi="Times New Roman"/>
          <w:i/>
          <w:sz w:val="28"/>
          <w:szCs w:val="28"/>
        </w:rPr>
        <w:t>.</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Метод суб'єктивної оцінки болю за допомогою візуальної аналогової шкали (ВАШ) (Visual Analogue Scale (Huskisson E. С., 1974)) полягає в тому, що пацієнта просять відзначити на неградуйований лінії довжиною 10 см точку, яка відповідає ступеню вираженості болю. Ліва межа лінії відповідає визначенню «болю немає», права</w:t>
      </w:r>
      <w:r>
        <w:rPr>
          <w:rFonts w:ascii="Times New Roman" w:hAnsi="Times New Roman"/>
          <w:color w:val="FF0000"/>
          <w:sz w:val="28"/>
          <w:szCs w:val="28"/>
          <w:lang w:val="uk-UA"/>
        </w:rPr>
        <w:t xml:space="preserve"> – </w:t>
      </w:r>
      <w:r>
        <w:rPr>
          <w:rFonts w:ascii="Times New Roman" w:hAnsi="Times New Roman"/>
          <w:sz w:val="28"/>
          <w:szCs w:val="28"/>
          <w:lang w:val="uk-UA"/>
        </w:rPr>
        <w:t xml:space="preserve">«найгірший біль, яку можна собі уявити». Як правило, використовується паперова, картонна або пластмасова лінійка довжиною 10 см. Зі зворотного боку лінійки нанесені сантиметрові розподілу, за якими лікар (а в зарубіжних клініках це обов'язок середнього медперсоналу) відзначає отримане значення і заносить в лист спостереження. До безумовних переваг цієї шкали відносяться її простота і зручність </w:t>
      </w:r>
      <w:r>
        <w:rPr>
          <w:rFonts w:ascii="Times New Roman" w:hAnsi="Times New Roman"/>
          <w:sz w:val="28"/>
          <w:szCs w:val="28"/>
        </w:rPr>
        <w:t>[12</w:t>
      </w:r>
      <w:r>
        <w:rPr>
          <w:rFonts w:ascii="Times New Roman" w:hAnsi="Times New Roman"/>
          <w:sz w:val="28"/>
          <w:szCs w:val="28"/>
          <w:lang w:val="uk-UA"/>
        </w:rPr>
        <w:t>9</w:t>
      </w:r>
      <w:r>
        <w:rPr>
          <w:rFonts w:ascii="Times New Roman" w:hAnsi="Times New Roman"/>
          <w:sz w:val="28"/>
          <w:szCs w:val="28"/>
        </w:rPr>
        <w:t>]</w:t>
      </w:r>
      <w:r>
        <w:rPr>
          <w:rFonts w:ascii="Times New Roman" w:hAnsi="Times New Roman"/>
          <w:sz w:val="28"/>
          <w:szCs w:val="28"/>
          <w:lang w:val="uk-UA"/>
        </w:rPr>
        <w:t>.</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t xml:space="preserve">При динамічній оцінці зміна інтенсивності болю вважається об'єктивним і істотним, якщо справжнє значення відрізняється від попереднього більш ніж на 13 мм. </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sz w:val="28"/>
          <w:szCs w:val="28"/>
          <w:lang w:val="uk-UA"/>
        </w:rPr>
      </w:pPr>
      <w:r>
        <w:rPr>
          <w:rFonts w:ascii="Times New Roman" w:hAnsi="Times New Roman"/>
          <w:sz w:val="28"/>
          <w:szCs w:val="28"/>
          <w:lang w:val="uk-UA"/>
        </w:rPr>
        <w:lastRenderedPageBreak/>
        <w:t>Якість життя – один з найбільш вагоміших показників результативності лікування будь-якої патології людини. Наразі все більше уваги приділяється саме цьому показнику. Визначення якості життя пацієнта вкрай важливе для вибору тактики лікування та є невід’ємною складовою кваліфікованої клінічної допомоги- чого хоче пацієнт у подальшому житті, на які моральні та матеріальні збитки він готовий піти.</w:t>
      </w:r>
    </w:p>
    <w:p w:rsidR="00A01923" w:rsidRPr="00803E7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Pr="00803E73">
        <w:rPr>
          <w:rFonts w:ascii="Times New Roman" w:hAnsi="Times New Roman"/>
          <w:sz w:val="28"/>
          <w:szCs w:val="28"/>
          <w:lang w:val="uk-UA"/>
        </w:rPr>
        <w:t xml:space="preserve">розумно обрана тактика хірургічних втручань у хворих на ХКІНК з дистальною формою ураження судинного русла направлена на поліпшення кровопостачання кінцівки та дозволяє сподіватись не лише на дисталізацію рівня ампутації, але й на збереження кінцівки. Це ж веде до повернення пацієнта до звичайного життя. </w:t>
      </w:r>
    </w:p>
    <w:p w:rsidR="00A01923" w:rsidRPr="00803E73" w:rsidRDefault="00A01923" w:rsidP="00A01923">
      <w:pPr>
        <w:pStyle w:val="ac"/>
        <w:tabs>
          <w:tab w:val="left" w:pos="142"/>
        </w:tabs>
        <w:spacing w:line="360" w:lineRule="auto"/>
        <w:ind w:left="-567" w:firstLine="567"/>
        <w:jc w:val="both"/>
        <w:rPr>
          <w:sz w:val="28"/>
          <w:szCs w:val="28"/>
          <w:shd w:val="clear" w:color="auto" w:fill="FFFFFF"/>
          <w:lang w:val="uk-UA"/>
        </w:rPr>
      </w:pPr>
      <w:r w:rsidRPr="00803E73">
        <w:rPr>
          <w:sz w:val="28"/>
          <w:szCs w:val="28"/>
          <w:shd w:val="clear" w:color="auto" w:fill="FFFFFF"/>
          <w:lang w:val="uk-UA"/>
        </w:rPr>
        <w:t>Черезшкірна балонна ангіопластика як спосіб реваскуляризації кінцівки у найбільш важкої категорії хворих в останні роки твердо зайняла свої позиції.. Незважаючи на високий безпосередній успіх ЧБА артерій гомілки, первинна прохідність артерій гомілки через 12 місяців після ЧБА за даними літератури складала 72 %</w:t>
      </w:r>
      <w:r w:rsidRPr="00803E73">
        <w:rPr>
          <w:sz w:val="28"/>
          <w:szCs w:val="28"/>
          <w:lang w:val="uk-UA"/>
        </w:rPr>
        <w:t>. Прямі артеріальні реконструкції не вирішують повністю проблеми реваскуляризації ішемізованної кінцівки у зв'язку з частим багатоповерховим ураженням артеріального русла та особливо при дистальних формах ураження.</w:t>
      </w:r>
    </w:p>
    <w:p w:rsidR="00A01923" w:rsidRPr="00803E73" w:rsidRDefault="00A01923" w:rsidP="00A01923">
      <w:pPr>
        <w:spacing w:after="0" w:line="360" w:lineRule="auto"/>
        <w:ind w:left="-567" w:firstLine="567"/>
        <w:jc w:val="both"/>
        <w:rPr>
          <w:rFonts w:ascii="Times New Roman" w:hAnsi="Times New Roman"/>
          <w:sz w:val="28"/>
          <w:szCs w:val="28"/>
          <w:lang w:val="uk-UA"/>
        </w:rPr>
      </w:pPr>
      <w:r w:rsidRPr="00803E73">
        <w:rPr>
          <w:rFonts w:ascii="Times New Roman" w:hAnsi="Times New Roman"/>
          <w:sz w:val="28"/>
          <w:szCs w:val="28"/>
          <w:lang w:val="uk-UA"/>
        </w:rPr>
        <w:t xml:space="preserve">У всіх випадках, коли немає можливості досягти адекватної компенсації кровообігу тільки реконструктивною операцією, з метою поліпшення кровообігу у кінцівці можливе використання непрямих методів реваскуляризації. </w:t>
      </w:r>
      <w:r w:rsidRPr="00803E73">
        <w:rPr>
          <w:rFonts w:ascii="Times New Roman" w:hAnsi="Times New Roman"/>
          <w:sz w:val="28"/>
          <w:szCs w:val="28"/>
          <w:shd w:val="clear" w:color="auto" w:fill="FFFFFF"/>
          <w:lang w:val="uk-UA"/>
        </w:rPr>
        <w:t xml:space="preserve">Поперекова симпатектомія широко використовується при лікуванні хворих з облітеруючими захворюваннями </w:t>
      </w:r>
      <w:r w:rsidRPr="00803E73">
        <w:rPr>
          <w:rFonts w:ascii="Times New Roman" w:hAnsi="Times New Roman"/>
          <w:sz w:val="28"/>
          <w:szCs w:val="28"/>
          <w:lang w:val="uk-UA"/>
        </w:rPr>
        <w:t>судин нижніх кінцівок на початкових стадіях, бо в більшості випадків супровождується добрими результатами</w:t>
      </w:r>
      <w:r w:rsidRPr="00803E73">
        <w:rPr>
          <w:rFonts w:ascii="Times New Roman" w:hAnsi="Times New Roman"/>
          <w:sz w:val="28"/>
          <w:szCs w:val="28"/>
          <w:shd w:val="clear" w:color="auto" w:fill="FFFFFF"/>
          <w:lang w:val="uk-UA"/>
        </w:rPr>
        <w:t>. Її використання при хронічній критичній ішемії, як методу непрямої реваскуляризації та збереження кінцівки, має сенс.</w:t>
      </w:r>
      <w:r w:rsidRPr="00803E73">
        <w:rPr>
          <w:rFonts w:ascii="Times New Roman" w:hAnsi="Times New Roman"/>
          <w:sz w:val="28"/>
          <w:szCs w:val="28"/>
          <w:lang w:val="uk-UA"/>
        </w:rPr>
        <w:t xml:space="preserve"> Найбільш часто вживаним методом стимуляції ангіогенезу є внутрішньом'язова трансплантація генів або клітин в зону ураження .</w:t>
      </w:r>
    </w:p>
    <w:p w:rsidR="00A01923" w:rsidRPr="00803E73" w:rsidRDefault="00A01923" w:rsidP="00A01923">
      <w:pPr>
        <w:spacing w:after="0" w:line="360" w:lineRule="auto"/>
        <w:ind w:left="-567" w:right="-143" w:firstLine="567"/>
        <w:jc w:val="both"/>
        <w:rPr>
          <w:rFonts w:ascii="Times New Roman" w:hAnsi="Times New Roman"/>
          <w:sz w:val="28"/>
          <w:szCs w:val="28"/>
          <w:lang w:val="uk-UA"/>
        </w:rPr>
      </w:pPr>
      <w:r w:rsidRPr="00803E73">
        <w:rPr>
          <w:rFonts w:ascii="Times New Roman" w:hAnsi="Times New Roman"/>
          <w:sz w:val="28"/>
          <w:szCs w:val="28"/>
          <w:lang w:val="uk-UA"/>
        </w:rPr>
        <w:t xml:space="preserve">Застосування методів регенераторної медицини (генних і клітинних технологій) є перспективним напрямком у лікуванні ХКІНК. Потенційними кандидатами для генної та клітинної терапії є хворі, що не підлягають </w:t>
      </w:r>
      <w:r w:rsidRPr="00803E73">
        <w:rPr>
          <w:rFonts w:ascii="Times New Roman" w:hAnsi="Times New Roman"/>
          <w:sz w:val="28"/>
          <w:szCs w:val="28"/>
          <w:lang w:val="uk-UA"/>
        </w:rPr>
        <w:lastRenderedPageBreak/>
        <w:t>ангіохірургічному лікуванню. Д</w:t>
      </w:r>
      <w:r w:rsidRPr="00803E73">
        <w:rPr>
          <w:rFonts w:ascii="Times New Roman" w:hAnsi="Times New Roman"/>
          <w:sz w:val="28"/>
          <w:szCs w:val="28"/>
        </w:rPr>
        <w:t>ля терапевтичного ангіогенезу</w:t>
      </w:r>
      <w:r w:rsidRPr="00803E73">
        <w:rPr>
          <w:rFonts w:ascii="Times New Roman" w:hAnsi="Times New Roman"/>
          <w:sz w:val="28"/>
          <w:szCs w:val="28"/>
          <w:lang w:val="uk-UA"/>
        </w:rPr>
        <w:t xml:space="preserve"> </w:t>
      </w:r>
      <w:r w:rsidRPr="00803E73">
        <w:rPr>
          <w:rFonts w:ascii="Times New Roman" w:hAnsi="Times New Roman"/>
          <w:sz w:val="28"/>
          <w:szCs w:val="28"/>
        </w:rPr>
        <w:t>найбільш ефективн</w:t>
      </w:r>
      <w:r w:rsidRPr="00803E73">
        <w:rPr>
          <w:rFonts w:ascii="Times New Roman" w:hAnsi="Times New Roman"/>
          <w:sz w:val="28"/>
          <w:szCs w:val="28"/>
          <w:lang w:val="uk-UA"/>
        </w:rPr>
        <w:t>ими є</w:t>
      </w:r>
      <w:r w:rsidRPr="00803E73">
        <w:rPr>
          <w:rFonts w:ascii="Times New Roman" w:hAnsi="Times New Roman"/>
          <w:sz w:val="28"/>
          <w:szCs w:val="28"/>
        </w:rPr>
        <w:t xml:space="preserve"> препарати з геном VEGF, що підтверджено результатами численних клінічних досліджень. </w:t>
      </w:r>
      <w:r w:rsidRPr="00803E73">
        <w:rPr>
          <w:rFonts w:ascii="Times New Roman" w:hAnsi="Times New Roman"/>
          <w:sz w:val="28"/>
          <w:szCs w:val="28"/>
          <w:lang w:val="uk-UA"/>
        </w:rPr>
        <w:t>При використанні клітинних технологій відбувається збільшення судинної мережі, загоєння трофічних виразок, збільшення дистанції і швидкості ходьби, зменшення вираженості болю у спокої, що дозволяє зберегти кінцівку більшості пацієнтів. Лікування ХІНК за допомогою описаних шляхів стимуляції ангіогенезу є ефективним методом непрямої реваскуляризації, та все ж потребує подальшого вивчення. Стимуляція ангіогенезу богатою тромбоцитами плазмою, як один з найпростіших технічно та безпечних методів є надзвичайно перспективним методом непрямої реваскуляризації.</w:t>
      </w:r>
    </w:p>
    <w:p w:rsidR="00A01923" w:rsidRPr="00803E73" w:rsidRDefault="00A01923" w:rsidP="00A01923">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803E73">
        <w:rPr>
          <w:rFonts w:ascii="Times New Roman" w:hAnsi="Times New Roman"/>
          <w:sz w:val="28"/>
          <w:szCs w:val="28"/>
          <w:lang w:val="uk-UA"/>
        </w:rPr>
        <w:t>Вважаємо, що велике значення для лікування також має активна участь пацієнта у лікуванні, а саме виконання дозованих фізичних навантажень.</w:t>
      </w:r>
    </w:p>
    <w:p w:rsidR="00A01923" w:rsidRPr="00803E73" w:rsidRDefault="00A01923" w:rsidP="00A01923">
      <w:pPr>
        <w:pStyle w:val="ac"/>
        <w:tabs>
          <w:tab w:val="left" w:pos="142"/>
        </w:tabs>
        <w:spacing w:line="360" w:lineRule="auto"/>
        <w:ind w:left="-567" w:firstLine="567"/>
        <w:jc w:val="both"/>
        <w:rPr>
          <w:sz w:val="28"/>
          <w:szCs w:val="28"/>
          <w:lang w:val="uk-UA"/>
        </w:rPr>
      </w:pPr>
      <w:r w:rsidRPr="00803E73">
        <w:rPr>
          <w:sz w:val="28"/>
          <w:szCs w:val="28"/>
          <w:lang w:val="uk-UA"/>
        </w:rPr>
        <w:t xml:space="preserve">Вивчення показників дисфункції ендотелію (прямих та посередніх) є важливою ланкою визначення стану судин, ефективності лікування та прогресування захворювання у хворих на ХКІНК. </w:t>
      </w:r>
    </w:p>
    <w:p w:rsidR="00A01923" w:rsidRDefault="00A01923" w:rsidP="00A01923">
      <w:pPr>
        <w:tabs>
          <w:tab w:val="left" w:pos="180"/>
          <w:tab w:val="left" w:pos="540"/>
          <w:tab w:val="left" w:pos="720"/>
        </w:tabs>
        <w:spacing w:after="0" w:line="360" w:lineRule="auto"/>
        <w:ind w:left="-567" w:firstLine="568"/>
        <w:jc w:val="both"/>
        <w:rPr>
          <w:rFonts w:ascii="Times New Roman" w:hAnsi="Times New Roman"/>
          <w:color w:val="FF0000"/>
          <w:sz w:val="28"/>
          <w:szCs w:val="28"/>
          <w:lang w:val="uk-UA"/>
        </w:rPr>
      </w:pPr>
    </w:p>
    <w:p w:rsidR="00A01923" w:rsidRDefault="00A01923" w:rsidP="00A01923">
      <w:pPr>
        <w:spacing w:line="360" w:lineRule="auto"/>
        <w:rPr>
          <w:rFonts w:ascii="Times New Roman" w:hAnsi="Times New Roman"/>
          <w:sz w:val="28"/>
          <w:szCs w:val="28"/>
          <w:lang w:val="uk-UA"/>
        </w:rPr>
      </w:pPr>
      <w:r>
        <w:rPr>
          <w:rFonts w:ascii="Times New Roman" w:hAnsi="Times New Roman"/>
          <w:color w:val="000000"/>
          <w:sz w:val="28"/>
          <w:szCs w:val="28"/>
        </w:rPr>
        <w:t>Матеріали цього розділу опубліковані у стат</w:t>
      </w:r>
      <w:r>
        <w:rPr>
          <w:rFonts w:ascii="Times New Roman" w:hAnsi="Times New Roman"/>
          <w:color w:val="000000"/>
          <w:sz w:val="28"/>
          <w:szCs w:val="28"/>
          <w:lang w:val="uk-UA"/>
        </w:rPr>
        <w:t>ті</w:t>
      </w:r>
      <w:r>
        <w:rPr>
          <w:rFonts w:ascii="Times New Roman" w:hAnsi="Times New Roman"/>
          <w:sz w:val="28"/>
          <w:szCs w:val="28"/>
          <w:lang w:val="uk-UA"/>
        </w:rPr>
        <w:t xml:space="preserve"> </w:t>
      </w:r>
    </w:p>
    <w:p w:rsidR="00A01923" w:rsidRDefault="00A01923" w:rsidP="00B43186">
      <w:pPr>
        <w:numPr>
          <w:ilvl w:val="0"/>
          <w:numId w:val="4"/>
        </w:numPr>
        <w:spacing w:line="360" w:lineRule="auto"/>
        <w:ind w:left="-567" w:firstLine="567"/>
        <w:rPr>
          <w:rFonts w:ascii="Times New Roman" w:hAnsi="Times New Roman"/>
          <w:sz w:val="28"/>
          <w:szCs w:val="28"/>
          <w:lang w:val="uk-UA"/>
        </w:rPr>
      </w:pPr>
      <w:r>
        <w:rPr>
          <w:rFonts w:ascii="Times New Roman" w:hAnsi="Times New Roman"/>
          <w:sz w:val="28"/>
          <w:szCs w:val="28"/>
          <w:lang w:val="uk-UA"/>
        </w:rPr>
        <w:t xml:space="preserve">Гоні С.-К.Т. Сучасні методи стимуляції неоангіогенезу при хронічній критичній ішемії нижніх кінцівок / І.А. Криворучко, С.-К.Т. Гоні, І.М. Лодяна // Харківська хірургічна школа. – 2015. – №2(71). – С. 123-125. </w:t>
      </w:r>
      <w:r>
        <w:rPr>
          <w:rFonts w:ascii="Times New Roman" w:hAnsi="Times New Roman"/>
          <w:sz w:val="28"/>
          <w:szCs w:val="28"/>
        </w:rPr>
        <w:t>(дисертантом проведено збір та обробку матеріалів статті та підготовку статті до друку)</w:t>
      </w:r>
      <w:r>
        <w:rPr>
          <w:rFonts w:ascii="Times New Roman" w:hAnsi="Times New Roman"/>
          <w:sz w:val="28"/>
          <w:szCs w:val="28"/>
          <w:lang w:val="uk-UA"/>
        </w:rPr>
        <w:t>.</w:t>
      </w:r>
    </w:p>
    <w:p w:rsidR="00A01923" w:rsidRDefault="00A01923" w:rsidP="00A01923">
      <w:pPr>
        <w:spacing w:after="0"/>
        <w:jc w:val="center"/>
        <w:rPr>
          <w:rFonts w:ascii="Times New Roman" w:hAnsi="Times New Roman"/>
          <w:b/>
          <w:sz w:val="28"/>
          <w:szCs w:val="28"/>
          <w:lang w:val="uk-UA"/>
        </w:rPr>
      </w:pPr>
      <w:r>
        <w:rPr>
          <w:rFonts w:ascii="Times New Roman" w:hAnsi="Times New Roman"/>
          <w:sz w:val="28"/>
          <w:szCs w:val="28"/>
          <w:lang w:val="uk-UA"/>
        </w:rPr>
        <w:br w:type="page"/>
      </w:r>
      <w:r>
        <w:rPr>
          <w:rFonts w:ascii="Times New Roman" w:hAnsi="Times New Roman"/>
          <w:b/>
          <w:sz w:val="28"/>
          <w:szCs w:val="28"/>
        </w:rPr>
        <w:lastRenderedPageBreak/>
        <w:t>РОЗДІЛ 2</w:t>
      </w:r>
      <w:r>
        <w:rPr>
          <w:rFonts w:ascii="Times New Roman" w:hAnsi="Times New Roman"/>
          <w:b/>
          <w:sz w:val="28"/>
          <w:szCs w:val="28"/>
          <w:lang w:val="uk-UA"/>
        </w:rPr>
        <w:t xml:space="preserve"> </w:t>
      </w:r>
    </w:p>
    <w:p w:rsidR="00A01923" w:rsidRDefault="00A01923" w:rsidP="00A01923">
      <w:pPr>
        <w:spacing w:after="0"/>
        <w:jc w:val="center"/>
        <w:rPr>
          <w:rFonts w:ascii="Times New Roman" w:hAnsi="Times New Roman"/>
          <w:b/>
          <w:sz w:val="28"/>
          <w:szCs w:val="28"/>
        </w:rPr>
      </w:pPr>
      <w:r>
        <w:rPr>
          <w:rFonts w:ascii="Times New Roman" w:hAnsi="Times New Roman"/>
          <w:b/>
          <w:sz w:val="28"/>
          <w:szCs w:val="28"/>
        </w:rPr>
        <w:t>МАТЕРІАЛИ ТА МЕТОДИ ДОСЛІДЖЕННЯ</w:t>
      </w:r>
    </w:p>
    <w:p w:rsidR="00A01923" w:rsidRDefault="00A01923" w:rsidP="00A01923">
      <w:pPr>
        <w:pStyle w:val="ac"/>
        <w:spacing w:line="360" w:lineRule="auto"/>
        <w:rPr>
          <w:b/>
          <w:sz w:val="28"/>
          <w:szCs w:val="28"/>
          <w:lang w:val="uk-UA"/>
        </w:rPr>
      </w:pPr>
      <w:r>
        <w:rPr>
          <w:b/>
          <w:sz w:val="28"/>
          <w:szCs w:val="28"/>
          <w:lang w:val="uk-UA"/>
        </w:rPr>
        <w:t>2.1 Клінічна характеристика обстежених хворих</w:t>
      </w:r>
    </w:p>
    <w:p w:rsidR="00A01923" w:rsidRDefault="00A01923" w:rsidP="00A01923">
      <w:pPr>
        <w:pStyle w:val="ac"/>
        <w:spacing w:line="360" w:lineRule="auto"/>
        <w:rPr>
          <w:b/>
          <w:sz w:val="28"/>
          <w:szCs w:val="28"/>
          <w:lang w:val="uk-UA"/>
        </w:rPr>
      </w:pPr>
    </w:p>
    <w:p w:rsidR="00A01923" w:rsidRDefault="00A01923" w:rsidP="00A01923">
      <w:pPr>
        <w:pStyle w:val="ac"/>
        <w:spacing w:line="360" w:lineRule="auto"/>
        <w:rPr>
          <w:b/>
          <w:sz w:val="28"/>
          <w:szCs w:val="28"/>
          <w:lang w:val="uk-UA"/>
        </w:rPr>
      </w:pPr>
    </w:p>
    <w:p w:rsidR="00A01923" w:rsidRDefault="00A01923" w:rsidP="00A01923">
      <w:pPr>
        <w:pStyle w:val="ac"/>
        <w:spacing w:line="360" w:lineRule="auto"/>
        <w:ind w:left="-567" w:firstLine="568"/>
        <w:jc w:val="both"/>
        <w:rPr>
          <w:sz w:val="28"/>
          <w:szCs w:val="28"/>
          <w:lang w:val="uk-UA"/>
        </w:rPr>
      </w:pPr>
      <w:r>
        <w:rPr>
          <w:sz w:val="28"/>
          <w:szCs w:val="28"/>
          <w:lang w:val="uk-UA"/>
        </w:rPr>
        <w:t>Для вирішення основних задач дисертаційного дослідження було обрано 105 хворих на хронічну критичну ішемію нижніх кінцівок з дистальною формою ураження судинного русла, що знаходились на лікуванні у відділенні серцево-судинної хірургії Комунального закладу охорони здоров’я «Обласна клінічна лікарня – центр екстреної медичної допомоги та медицини катастроф» (м.Харків) та відділенні гострих захворювань судин Державної установи «Інститут загальної та невідкладної хірургії ім. В.Т.Зайцева Національної Академії Наук України»  (м.Харків) протягом 2013-2016 рр.</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Критерії включення хворих до дослідження складали наявність у хворого хронічної критичної ішемії нижніх (однієї або двох) кінцівок (3 та 4 стадія хронічної ішемії за </w:t>
      </w:r>
      <w:r>
        <w:rPr>
          <w:rFonts w:ascii="Times New Roman" w:hAnsi="Times New Roman"/>
          <w:sz w:val="28"/>
          <w:szCs w:val="28"/>
          <w:lang w:val="en-US"/>
        </w:rPr>
        <w:t>R</w:t>
      </w:r>
      <w:r>
        <w:rPr>
          <w:rFonts w:ascii="Times New Roman" w:hAnsi="Times New Roman"/>
          <w:sz w:val="28"/>
          <w:szCs w:val="28"/>
          <w:lang w:val="uk-UA"/>
        </w:rPr>
        <w:t>.</w:t>
      </w:r>
      <w:r>
        <w:rPr>
          <w:rFonts w:ascii="Times New Roman" w:hAnsi="Times New Roman"/>
          <w:sz w:val="28"/>
          <w:szCs w:val="28"/>
          <w:lang w:val="en-US"/>
        </w:rPr>
        <w:t>Fontaine</w:t>
      </w:r>
      <w:r>
        <w:rPr>
          <w:rFonts w:ascii="Times New Roman" w:hAnsi="Times New Roman"/>
          <w:sz w:val="28"/>
          <w:szCs w:val="28"/>
          <w:lang w:val="uk-UA"/>
        </w:rPr>
        <w:t xml:space="preserve">, 1954) з дистальною формою ураження судинного русла за рекомендаціями </w:t>
      </w:r>
      <w:r>
        <w:rPr>
          <w:rFonts w:ascii="Times New Roman" w:hAnsi="Times New Roman"/>
          <w:sz w:val="28"/>
          <w:szCs w:val="28"/>
          <w:lang w:val="en-US"/>
        </w:rPr>
        <w:t>TASK</w:t>
      </w:r>
      <w:r>
        <w:rPr>
          <w:rFonts w:ascii="Times New Roman" w:hAnsi="Times New Roman"/>
          <w:sz w:val="28"/>
          <w:szCs w:val="28"/>
          <w:lang w:val="uk-UA"/>
        </w:rPr>
        <w:t xml:space="preserve"> </w:t>
      </w:r>
      <w:r>
        <w:rPr>
          <w:rFonts w:ascii="Times New Roman" w:hAnsi="Times New Roman"/>
          <w:sz w:val="28"/>
          <w:szCs w:val="28"/>
          <w:lang w:val="en-US"/>
        </w:rPr>
        <w:t>II</w:t>
      </w:r>
      <w:r>
        <w:rPr>
          <w:rFonts w:ascii="Times New Roman" w:hAnsi="Times New Roman"/>
          <w:sz w:val="28"/>
          <w:szCs w:val="28"/>
          <w:lang w:val="uk-UA"/>
        </w:rPr>
        <w:t xml:space="preserve"> (2007). </w:t>
      </w:r>
    </w:p>
    <w:p w:rsidR="00A01923" w:rsidRDefault="00A01923" w:rsidP="00A01923">
      <w:pPr>
        <w:spacing w:after="0" w:line="360" w:lineRule="auto"/>
        <w:ind w:left="-567" w:firstLine="567"/>
        <w:jc w:val="both"/>
        <w:rPr>
          <w:rFonts w:ascii="Times New Roman" w:hAnsi="Times New Roman"/>
          <w:color w:val="FF0000"/>
          <w:sz w:val="28"/>
          <w:szCs w:val="28"/>
          <w:lang w:val="uk-UA"/>
        </w:rPr>
      </w:pPr>
      <w:r>
        <w:rPr>
          <w:rFonts w:ascii="Times New Roman" w:hAnsi="Times New Roman"/>
          <w:sz w:val="28"/>
          <w:szCs w:val="28"/>
          <w:lang w:val="uk-UA"/>
        </w:rPr>
        <w:t>Критеріями виключення хворих були наявність пухлинних захворювань, гострих порушень мозкового та коронарного кровообігу, небажання хворого брати участь у дослідженні.</w:t>
      </w:r>
      <w:r>
        <w:rPr>
          <w:rFonts w:ascii="Times New Roman" w:hAnsi="Times New Roman"/>
          <w:color w:val="FF0000"/>
          <w:sz w:val="28"/>
          <w:szCs w:val="28"/>
          <w:lang w:val="uk-UA"/>
        </w:rPr>
        <w:t xml:space="preserve">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Наше дослідження мало три організаційні рівні: планування, реалізацію та визначення та аналіз результатів . На першому рівні було встановлено гіпотезу дослідження, проведено ретроспективний та проспективний аналіз особливостей перебігу захворювання у хворих на ХКІНК з дистальною формою ураження та відбір хворих. На етапі реалізації дослідження виконувалися діагностичні маніпуляції, визначалася тактика та проводилося  лікування хворих обох груп. Третім етапом дослідження був рік активного спостереження за хворими з визначенням основних показників результивності лікування, що були розглянуті та проаналізовані у даному дослідженні, їх аналізу та порівняння.</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 Дизайн дослідження представлений на рис. 2.1</w:t>
      </w:r>
    </w:p>
    <w:p w:rsidR="00A01923" w:rsidRDefault="00A01923" w:rsidP="00803E73">
      <w:pPr>
        <w:pStyle w:val="ac"/>
        <w:spacing w:line="360" w:lineRule="auto"/>
        <w:jc w:val="both"/>
        <w:rPr>
          <w:sz w:val="28"/>
          <w:szCs w:val="28"/>
          <w:lang w:val="uk-UA"/>
        </w:rPr>
      </w:pPr>
      <w:r>
        <w:rPr>
          <w:sz w:val="28"/>
          <w:szCs w:val="28"/>
          <w:lang w:val="uk-UA"/>
        </w:rPr>
        <w:lastRenderedPageBreak/>
        <w:br w:type="page"/>
      </w:r>
      <w:r w:rsidR="00487043" w:rsidRPr="00487043">
        <w:pict>
          <v:group id="_x0000_s1819" style="position:absolute;left:0;text-align:left;margin-left:-20.1pt;margin-top:17.5pt;width:454.1pt;height:649.35pt;z-index:251616768" coordorigin="1299,1484" coordsize="9082,12987">
            <v:shapetype id="_x0000_t202" coordsize="21600,21600" o:spt="202" path="m,l,21600r21600,l21600,xe">
              <v:stroke joinstyle="miter"/>
              <v:path gradientshapeok="t" o:connecttype="rect"/>
            </v:shapetype>
            <v:shape id="_x0000_s1820" type="#_x0000_t202" style="position:absolute;left:1311;top:1494;width:3725;height:1822;mso-width-percent:400;mso-width-percent:400;mso-width-relative:margin;mso-height-relative:margin">
              <v:shadow opacity=".5" offset="-6pt,-6pt"/>
              <v:textbox>
                <w:txbxContent>
                  <w:p w:rsidR="00DA0A21" w:rsidRDefault="00DA0A21" w:rsidP="00A01923">
                    <w:pPr>
                      <w:spacing w:line="240" w:lineRule="auto"/>
                      <w:jc w:val="center"/>
                      <w:rPr>
                        <w:rFonts w:ascii="Times New Roman" w:hAnsi="Times New Roman"/>
                        <w:sz w:val="28"/>
                        <w:szCs w:val="28"/>
                      </w:rPr>
                    </w:pPr>
                    <w:r>
                      <w:rPr>
                        <w:rFonts w:ascii="Times New Roman" w:hAnsi="Times New Roman"/>
                        <w:sz w:val="28"/>
                        <w:szCs w:val="28"/>
                      </w:rPr>
                      <w:t>Ретроспективний аналіз особливостей перебігу ХКІНК, оцінка методів діагностики та хірургічних втручань</w:t>
                    </w:r>
                  </w:p>
                  <w:p w:rsidR="00DA0A21" w:rsidRDefault="00DA0A21" w:rsidP="00A01923">
                    <w:pPr>
                      <w:rPr>
                        <w:rFonts w:ascii="Calibri" w:hAnsi="Calibri"/>
                      </w:rPr>
                    </w:pPr>
                  </w:p>
                </w:txbxContent>
              </v:textbox>
            </v:shape>
            <v:shape id="_x0000_s1821" type="#_x0000_t202" style="position:absolute;left:6480;top:1484;width:3901;height:1824;mso-width-relative:margin;mso-height-relative:margin">
              <v:shadow opacity=".5" offset="6pt,-6pt"/>
              <v:textbox>
                <w:txbxContent>
                  <w:p w:rsidR="00DA0A21" w:rsidRDefault="00DA0A21" w:rsidP="00A01923">
                    <w:pPr>
                      <w:jc w:val="center"/>
                    </w:pPr>
                    <w:r>
                      <w:rPr>
                        <w:rFonts w:ascii="Times New Roman" w:hAnsi="Times New Roman"/>
                        <w:sz w:val="28"/>
                        <w:szCs w:val="28"/>
                      </w:rPr>
                      <w:t>Проспективний аналіз, розподіл хворих на основну групу та групу порівняння</w:t>
                    </w:r>
                  </w:p>
                  <w:p w:rsidR="00DA0A21" w:rsidRDefault="00DA0A21" w:rsidP="00A01923"/>
                </w:txbxContent>
              </v:textbox>
            </v:shape>
            <v:shape id="_x0000_s1822" type="#_x0000_t202" style="position:absolute;left:2597;top:4412;width:5998;height:1632;mso-width-relative:margin;mso-height-relative:margin">
              <v:shadow opacity=".5" offset="-6pt,6pt"/>
              <v:textbox>
                <w:txbxContent>
                  <w:p w:rsidR="00DA0A21" w:rsidRDefault="00DA0A21" w:rsidP="00A01923">
                    <w:pPr>
                      <w:jc w:val="center"/>
                    </w:pPr>
                    <w:r>
                      <w:rPr>
                        <w:rFonts w:ascii="Times New Roman" w:hAnsi="Times New Roman"/>
                        <w:sz w:val="28"/>
                        <w:szCs w:val="28"/>
                      </w:rPr>
                      <w:t>Клінічне і інструментальне обстеження, розробка алгоритму діагностичної та лікувальної тактики з виділенням приоритетних напрямків лікування</w:t>
                    </w:r>
                  </w:p>
                  <w:p w:rsidR="00DA0A21" w:rsidRDefault="00DA0A21" w:rsidP="00A01923"/>
                </w:txbxContent>
              </v:textbox>
            </v:shape>
            <v:shape id="_x0000_s1823" type="#_x0000_t202" style="position:absolute;left:1417;top:7200;width:3613;height:1369">
              <v:shadow opacity=".5" offset="-6pt,-6pt"/>
              <v:textbox>
                <w:txbxContent>
                  <w:p w:rsidR="00DA0A21" w:rsidRDefault="00DA0A21" w:rsidP="00A01923">
                    <w:pPr>
                      <w:spacing w:line="240" w:lineRule="auto"/>
                      <w:jc w:val="center"/>
                      <w:rPr>
                        <w:rFonts w:ascii="Times New Roman" w:hAnsi="Times New Roman"/>
                        <w:sz w:val="28"/>
                        <w:szCs w:val="28"/>
                      </w:rPr>
                    </w:pPr>
                    <w:r>
                      <w:rPr>
                        <w:rFonts w:ascii="Times New Roman" w:hAnsi="Times New Roman"/>
                        <w:sz w:val="28"/>
                        <w:szCs w:val="28"/>
                      </w:rPr>
                      <w:t>Вивчення особливостей показників ендотеліальної дисфункції у хворих на ХКІНК</w:t>
                    </w:r>
                  </w:p>
                  <w:p w:rsidR="00DA0A21" w:rsidRDefault="00DA0A21" w:rsidP="00A01923">
                    <w:pPr>
                      <w:rPr>
                        <w:rFonts w:ascii="Calibri" w:hAnsi="Calibri"/>
                      </w:rPr>
                    </w:pPr>
                  </w:p>
                </w:txbxContent>
              </v:textbox>
            </v:shape>
            <v:shape id="_x0000_s1824" type="#_x0000_t202" style="position:absolute;left:5554;top:6903;width:4533;height:1810;mso-width-relative:margin;mso-height-relative:margin">
              <v:shadow opacity=".5" offset="6pt,-6pt"/>
              <v:textbox>
                <w:txbxContent>
                  <w:p w:rsidR="00DA0A21" w:rsidRDefault="00DA0A21" w:rsidP="00A01923">
                    <w:pPr>
                      <w:spacing w:line="240" w:lineRule="auto"/>
                      <w:jc w:val="center"/>
                      <w:rPr>
                        <w:rFonts w:ascii="Times New Roman" w:hAnsi="Times New Roman"/>
                        <w:sz w:val="28"/>
                        <w:szCs w:val="28"/>
                      </w:rPr>
                    </w:pPr>
                    <w:r>
                      <w:rPr>
                        <w:rFonts w:ascii="Times New Roman" w:hAnsi="Times New Roman"/>
                        <w:sz w:val="28"/>
                        <w:szCs w:val="28"/>
                      </w:rPr>
                      <w:t xml:space="preserve">Лікувальна тактика в залежності від характеру ураження судин з використанням запрпонованого варіанту стимуляції неоангіогенезу у нижній кінцівці </w:t>
                    </w:r>
                  </w:p>
                  <w:p w:rsidR="00DA0A21" w:rsidRDefault="00DA0A21" w:rsidP="00A01923">
                    <w:pPr>
                      <w:rPr>
                        <w:rFonts w:ascii="Calibri" w:hAnsi="Calibri"/>
                      </w:rPr>
                    </w:pPr>
                  </w:p>
                </w:txbxContent>
              </v:textbox>
            </v:shape>
            <v:shape id="_x0000_s1825" type="#_x0000_t202" style="position:absolute;left:1299;top:9886;width:2877;height:3666;mso-width-relative:margin;mso-height-relative:margin">
              <v:shadow opacity=".5" offset="-6pt,6pt"/>
              <v:textbox>
                <w:txbxContent>
                  <w:p w:rsidR="00DA0A21" w:rsidRDefault="00DA0A21" w:rsidP="00A01923">
                    <w:pPr>
                      <w:spacing w:line="240" w:lineRule="auto"/>
                      <w:jc w:val="center"/>
                      <w:rPr>
                        <w:rFonts w:ascii="Times New Roman" w:hAnsi="Times New Roman"/>
                        <w:sz w:val="28"/>
                        <w:szCs w:val="28"/>
                      </w:rPr>
                    </w:pPr>
                    <w:r>
                      <w:rPr>
                        <w:rFonts w:ascii="Times New Roman" w:hAnsi="Times New Roman"/>
                        <w:sz w:val="28"/>
                        <w:szCs w:val="28"/>
                      </w:rPr>
                      <w:t xml:space="preserve">Контрольне обстеження, корекція виявлених порушень, виділення </w:t>
                    </w:r>
                    <w:r>
                      <w:rPr>
                        <w:rFonts w:ascii="Times New Roman" w:hAnsi="Times New Roman"/>
                        <w:sz w:val="28"/>
                        <w:szCs w:val="28"/>
                        <w:lang w:val="uk-UA"/>
                      </w:rPr>
                      <w:t xml:space="preserve">у </w:t>
                    </w:r>
                    <w:r>
                      <w:rPr>
                        <w:rFonts w:ascii="Times New Roman" w:hAnsi="Times New Roman"/>
                        <w:sz w:val="28"/>
                        <w:szCs w:val="28"/>
                      </w:rPr>
                      <w:t>хворих ранні</w:t>
                    </w:r>
                    <w:r>
                      <w:rPr>
                        <w:rFonts w:ascii="Times New Roman" w:hAnsi="Times New Roman"/>
                        <w:sz w:val="28"/>
                        <w:szCs w:val="28"/>
                        <w:lang w:val="uk-UA"/>
                      </w:rPr>
                      <w:t>х</w:t>
                    </w:r>
                    <w:r>
                      <w:rPr>
                        <w:rFonts w:ascii="Times New Roman" w:hAnsi="Times New Roman"/>
                        <w:sz w:val="28"/>
                        <w:szCs w:val="28"/>
                      </w:rPr>
                      <w:t xml:space="preserve"> ускладнен</w:t>
                    </w:r>
                    <w:r>
                      <w:rPr>
                        <w:rFonts w:ascii="Times New Roman" w:hAnsi="Times New Roman"/>
                        <w:sz w:val="28"/>
                        <w:szCs w:val="28"/>
                        <w:lang w:val="uk-UA"/>
                      </w:rPr>
                      <w:t>ь</w:t>
                    </w:r>
                    <w:r>
                      <w:rPr>
                        <w:rFonts w:ascii="Times New Roman" w:hAnsi="Times New Roman"/>
                        <w:sz w:val="28"/>
                        <w:szCs w:val="28"/>
                      </w:rPr>
                      <w:t>, оцінка якості життя, рівн</w:t>
                    </w:r>
                    <w:r>
                      <w:rPr>
                        <w:rFonts w:ascii="Times New Roman" w:hAnsi="Times New Roman"/>
                        <w:sz w:val="28"/>
                        <w:szCs w:val="28"/>
                        <w:lang w:val="uk-UA"/>
                      </w:rPr>
                      <w:t>ів</w:t>
                    </w:r>
                    <w:r>
                      <w:rPr>
                        <w:rFonts w:ascii="Times New Roman" w:hAnsi="Times New Roman"/>
                        <w:sz w:val="28"/>
                        <w:szCs w:val="28"/>
                      </w:rPr>
                      <w:t xml:space="preserve"> болю, вимірювання температури кінцівок</w:t>
                    </w:r>
                  </w:p>
                  <w:p w:rsidR="00DA0A21" w:rsidRDefault="00DA0A21" w:rsidP="00A01923">
                    <w:pPr>
                      <w:rPr>
                        <w:rFonts w:ascii="Calibri" w:hAnsi="Calibri"/>
                      </w:rPr>
                    </w:pPr>
                  </w:p>
                </w:txbxContent>
              </v:textbox>
            </v:shape>
            <v:shape id="_x0000_s1826" type="#_x0000_t202" style="position:absolute;left:4588;top:9886;width:2559;height:2492;mso-width-relative:margin;mso-height-relative:margin">
              <v:shadow opacity=".5" offset="-6pt,6pt"/>
              <v:textbox>
                <w:txbxContent>
                  <w:p w:rsidR="00DA0A21" w:rsidRDefault="00DA0A21" w:rsidP="00A01923">
                    <w:pPr>
                      <w:spacing w:line="240" w:lineRule="auto"/>
                      <w:jc w:val="center"/>
                      <w:rPr>
                        <w:rFonts w:ascii="Times New Roman" w:hAnsi="Times New Roman"/>
                        <w:sz w:val="28"/>
                        <w:szCs w:val="28"/>
                      </w:rPr>
                    </w:pPr>
                    <w:r>
                      <w:rPr>
                        <w:rFonts w:ascii="Times New Roman" w:hAnsi="Times New Roman"/>
                        <w:sz w:val="28"/>
                        <w:szCs w:val="28"/>
                      </w:rPr>
                      <w:t>В</w:t>
                    </w:r>
                    <w:r>
                      <w:rPr>
                        <w:rFonts w:ascii="Times New Roman" w:hAnsi="Times New Roman"/>
                        <w:sz w:val="28"/>
                        <w:szCs w:val="28"/>
                        <w:lang w:val="uk-UA"/>
                      </w:rPr>
                      <w:t>становлення</w:t>
                    </w:r>
                    <w:r>
                      <w:rPr>
                        <w:rFonts w:ascii="Times New Roman" w:hAnsi="Times New Roman"/>
                        <w:sz w:val="28"/>
                        <w:szCs w:val="28"/>
                      </w:rPr>
                      <w:t xml:space="preserve"> віддалених результатів лікування хворих (6 та 12 місяців)  з оцінкою якості їх життя</w:t>
                    </w:r>
                  </w:p>
                  <w:p w:rsidR="00DA0A21" w:rsidRDefault="00DA0A21" w:rsidP="00A01923">
                    <w:pPr>
                      <w:rPr>
                        <w:rFonts w:ascii="Calibri" w:hAnsi="Calibri"/>
                      </w:rPr>
                    </w:pPr>
                  </w:p>
                </w:txbxContent>
              </v:textbox>
            </v:shape>
            <v:shape id="_x0000_s1827" type="#_x0000_t202" style="position:absolute;left:7331;top:9886;width:2809;height:1328;mso-width-relative:margin;mso-height-relative:margin">
              <v:shadow opacity=".5" offset="6pt,6pt"/>
              <v:textbox>
                <w:txbxContent>
                  <w:p w:rsidR="00DA0A21" w:rsidRDefault="00DA0A21" w:rsidP="00A01923">
                    <w:pPr>
                      <w:jc w:val="center"/>
                      <w:rPr>
                        <w:rFonts w:ascii="Times New Roman" w:hAnsi="Times New Roman"/>
                        <w:sz w:val="28"/>
                        <w:szCs w:val="28"/>
                      </w:rPr>
                    </w:pPr>
                    <w:r>
                      <w:rPr>
                        <w:rFonts w:ascii="Times New Roman" w:hAnsi="Times New Roman"/>
                        <w:sz w:val="28"/>
                        <w:szCs w:val="28"/>
                      </w:rPr>
                      <w:t>Обробка результатів дослідження</w:t>
                    </w:r>
                  </w:p>
                  <w:p w:rsidR="00DA0A21" w:rsidRDefault="00DA0A21" w:rsidP="00A01923">
                    <w:pPr>
                      <w:rPr>
                        <w:rFonts w:ascii="Calibri" w:hAnsi="Calibri"/>
                      </w:rPr>
                    </w:pP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828" type="#_x0000_t68" style="position:absolute;left:3040;top:6147;width:765;height:756;rotation:180">
              <v:textbox style="layout-flow:vertical-ideographic"/>
            </v:shape>
            <v:shape id="_x0000_s1829" type="#_x0000_t68" style="position:absolute;left:5344;top:3533;width:765;height:836;rotation:180">
              <v:textbox style="layout-flow:vertical-ideographic"/>
            </v:shape>
            <v:shape id="_x0000_s1830" type="#_x0000_t68" style="position:absolute;left:2597;top:9008;width:765;height:716;rotation:180">
              <v:textbox style="layout-flow:vertical-ideographic"/>
            </v:shape>
            <v:shape id="_x0000_s1831" type="#_x0000_t68" style="position:absolute;left:8090;top:9008;width:765;height:716;rotation:180">
              <v:textbox style="layout-flow:vertical-ideographic"/>
            </v:shape>
            <v:shape id="_x0000_s1832" type="#_x0000_t68" style="position:absolute;left:5344;top:9008;width:765;height:716;rotation:180">
              <v:textbox style="layout-flow:vertical-ideographic"/>
            </v:shape>
            <v:shape id="_x0000_s1833" type="#_x0000_t68" style="position:absolute;left:7331;top:6147;width:765;height:756;rotation:180">
              <v:textbox style="layout-flow:vertical-ideographic"/>
            </v:shape>
            <v:rect id="_x0000_s1834" style="position:absolute;left:4053;top:3430;width:4073;height:103"/>
            <v:rect id="_x0000_s1835" style="position:absolute;left:3040;top:6044;width:4876;height:103"/>
            <v:rect id="_x0000_s1836" style="position:absolute;left:2597;top:8905;width:6258;height:103"/>
            <v:shape id="_x0000_s1837" type="#_x0000_t202" style="position:absolute;left:3049;top:13742;width:6251;height:729;mso-height-percent:200;mso-height-percent:200;mso-width-relative:margin;mso-height-relative:margin" strokecolor="white">
              <v:textbox style="mso-fit-shape-to-text:t">
                <w:txbxContent>
                  <w:p w:rsidR="00DA0A21" w:rsidRDefault="00DA0A21" w:rsidP="00A01923">
                    <w:pPr>
                      <w:jc w:val="center"/>
                      <w:rPr>
                        <w:rFonts w:ascii="Times New Roman" w:hAnsi="Times New Roman"/>
                        <w:sz w:val="28"/>
                        <w:szCs w:val="28"/>
                      </w:rPr>
                    </w:pPr>
                    <w:r>
                      <w:rPr>
                        <w:rFonts w:ascii="Times New Roman" w:hAnsi="Times New Roman"/>
                        <w:sz w:val="28"/>
                        <w:szCs w:val="28"/>
                      </w:rPr>
                      <w:t>Рис. 2.</w:t>
                    </w:r>
                    <w:r>
                      <w:rPr>
                        <w:rFonts w:ascii="Times New Roman" w:hAnsi="Times New Roman"/>
                        <w:sz w:val="28"/>
                        <w:szCs w:val="28"/>
                        <w:lang w:val="uk-UA"/>
                      </w:rPr>
                      <w:t xml:space="preserve">1 </w:t>
                    </w:r>
                    <w:r>
                      <w:rPr>
                        <w:rFonts w:ascii="Times New Roman" w:hAnsi="Times New Roman"/>
                        <w:sz w:val="28"/>
                        <w:szCs w:val="28"/>
                      </w:rPr>
                      <w:t>Дизайн дослідження</w:t>
                    </w:r>
                  </w:p>
                </w:txbxContent>
              </v:textbox>
            </v:shape>
          </v:group>
        </w:pict>
      </w:r>
    </w:p>
    <w:p w:rsidR="00A01923" w:rsidRDefault="00A01923" w:rsidP="00A01923">
      <w:pPr>
        <w:spacing w:after="0" w:line="360" w:lineRule="auto"/>
        <w:ind w:left="-567" w:firstLine="567"/>
        <w:jc w:val="both"/>
        <w:rPr>
          <w:rFonts w:ascii="Times New Roman" w:hAnsi="Times New Roman"/>
          <w:i/>
          <w:sz w:val="28"/>
          <w:szCs w:val="28"/>
          <w:lang w:val="uk-UA"/>
        </w:rPr>
      </w:pPr>
      <w:r>
        <w:rPr>
          <w:rFonts w:ascii="Times New Roman" w:hAnsi="Times New Roman"/>
          <w:sz w:val="28"/>
          <w:szCs w:val="28"/>
          <w:lang w:val="uk-UA"/>
        </w:rPr>
        <w:lastRenderedPageBreak/>
        <w:t xml:space="preserve">Основна група  – </w:t>
      </w:r>
      <w:r>
        <w:rPr>
          <w:rFonts w:ascii="Times New Roman" w:hAnsi="Times New Roman"/>
          <w:sz w:val="28"/>
          <w:szCs w:val="28"/>
        </w:rPr>
        <w:t xml:space="preserve">55 </w:t>
      </w:r>
      <w:r>
        <w:rPr>
          <w:rFonts w:ascii="Times New Roman" w:hAnsi="Times New Roman"/>
          <w:sz w:val="28"/>
          <w:szCs w:val="28"/>
          <w:lang w:val="uk-UA"/>
        </w:rPr>
        <w:t>хворих, що знаходилися на лікуванні з березня 2015 по травень 2016 років. З них ендоваскулярні втручання виконані 23 (41,8%) хворим, оперовані відкритим методом – 4 (7.3%); консервативне лікування проведене – 24 (43,6%), та виконана хімічна симпатектомія – 4 (7,3%) хворим. Групу порівняння склали 50 хворих, які знаходилися на лікуванні з листопада 2014 по березень 2015 років. Серед них оперовані ендоваскулярним методом 11 (22,0%), у тому числі з гібридними втручаннями (ендоваскулярно та відкритим методом) – 3 (6,0%), оперовані відкритим способом – 6 (12.0%), отримували консервативне лікування – 26 (52,0%) та поперекова симпатектомія виконана – 7 (14,0%) пацієнтів (табл.. 2.1).</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rPr>
        <w:t>Таблиця 2.</w:t>
      </w:r>
      <w:r>
        <w:rPr>
          <w:rFonts w:ascii="Times New Roman" w:hAnsi="Times New Roman"/>
          <w:i/>
          <w:sz w:val="28"/>
          <w:szCs w:val="28"/>
          <w:lang w:val="uk-UA"/>
        </w:rPr>
        <w:t>1</w:t>
      </w:r>
    </w:p>
    <w:p w:rsidR="00A01923" w:rsidRDefault="00A01923" w:rsidP="00A01923">
      <w:pPr>
        <w:spacing w:after="0" w:line="360" w:lineRule="auto"/>
        <w:ind w:left="-567" w:firstLine="567"/>
        <w:jc w:val="center"/>
        <w:rPr>
          <w:rFonts w:ascii="Times New Roman" w:hAnsi="Times New Roman"/>
          <w:b/>
          <w:sz w:val="28"/>
          <w:szCs w:val="28"/>
        </w:rPr>
      </w:pPr>
      <w:r>
        <w:rPr>
          <w:rFonts w:ascii="Times New Roman" w:hAnsi="Times New Roman"/>
          <w:b/>
          <w:sz w:val="28"/>
          <w:szCs w:val="28"/>
        </w:rPr>
        <w:t>Характеристика основної групи та групи порівняння</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2"/>
        <w:gridCol w:w="1985"/>
        <w:gridCol w:w="2693"/>
      </w:tblGrid>
      <w:tr w:rsidR="00A01923" w:rsidTr="00A01923">
        <w:tc>
          <w:tcPr>
            <w:tcW w:w="496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Показники</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Основна група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Група порівняння</w:t>
            </w:r>
          </w:p>
        </w:tc>
      </w:tr>
      <w:tr w:rsidR="00A01923" w:rsidTr="00A01923">
        <w:trPr>
          <w:trHeight w:val="585"/>
        </w:trPr>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rPr>
            </w:pPr>
            <w:r>
              <w:rPr>
                <w:rFonts w:ascii="Times New Roman" w:hAnsi="Times New Roman"/>
                <w:sz w:val="28"/>
                <w:szCs w:val="28"/>
              </w:rPr>
              <w:t>Кількість хворих</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55</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50</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rPr>
              <w:t xml:space="preserve">Середній вік </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64,9±8,2</w:t>
            </w:r>
            <w:r>
              <w:rPr>
                <w:rFonts w:ascii="Times New Roman" w:hAnsi="Times New Roman"/>
                <w:sz w:val="28"/>
                <w:szCs w:val="28"/>
                <w:lang w:val="uk-UA"/>
              </w:rPr>
              <w:t>2</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65,05±10,87</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en-US"/>
              </w:rPr>
            </w:pPr>
            <w:r>
              <w:rPr>
                <w:rFonts w:ascii="Times New Roman" w:hAnsi="Times New Roman"/>
                <w:sz w:val="28"/>
                <w:szCs w:val="28"/>
                <w:lang w:val="uk-UA"/>
              </w:rPr>
              <w:t>Ступінь ішемії</w:t>
            </w:r>
            <w:r>
              <w:rPr>
                <w:rFonts w:ascii="Times New Roman" w:hAnsi="Times New Roman"/>
                <w:sz w:val="28"/>
                <w:szCs w:val="28"/>
                <w:lang w:val="en-US"/>
              </w:rPr>
              <w:t xml:space="preserve"> (III/IV)</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23/32</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rPr>
              <w:t>17/33</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rPr>
              <w:t>Ендоваскулярне втручання</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23</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11</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rPr>
              <w:t>Відкрите оперативне втручання</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4</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6</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rPr>
              <w:t>Консервативна терапія</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24</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rPr>
            </w:pPr>
            <w:r>
              <w:rPr>
                <w:rFonts w:ascii="Times New Roman" w:hAnsi="Times New Roman"/>
                <w:sz w:val="28"/>
                <w:szCs w:val="28"/>
                <w:lang w:val="uk-UA"/>
              </w:rPr>
              <w:t>2</w:t>
            </w:r>
            <w:r>
              <w:rPr>
                <w:rFonts w:ascii="Times New Roman" w:hAnsi="Times New Roman"/>
                <w:sz w:val="28"/>
                <w:szCs w:val="28"/>
              </w:rPr>
              <w:t>6</w:t>
            </w:r>
          </w:p>
        </w:tc>
      </w:tr>
      <w:tr w:rsidR="00A01923" w:rsidTr="00A01923">
        <w:tc>
          <w:tcPr>
            <w:tcW w:w="496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rPr>
              <w:t>Поперекова симпатектомі</w:t>
            </w:r>
            <w:r>
              <w:rPr>
                <w:rFonts w:ascii="Times New Roman" w:hAnsi="Times New Roman"/>
                <w:sz w:val="28"/>
                <w:szCs w:val="28"/>
                <w:lang w:val="uk-UA"/>
              </w:rPr>
              <w:t>я</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4</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7</w:t>
            </w:r>
          </w:p>
        </w:tc>
      </w:tr>
    </w:tbl>
    <w:p w:rsidR="00A01923" w:rsidRDefault="00A01923" w:rsidP="00A01923">
      <w:pPr>
        <w:spacing w:after="0" w:line="360" w:lineRule="auto"/>
        <w:ind w:left="-567" w:firstLine="567"/>
        <w:jc w:val="right"/>
        <w:rPr>
          <w:rFonts w:ascii="Times New Roman" w:eastAsia="Times New Roman" w:hAnsi="Times New Roman"/>
          <w:sz w:val="28"/>
          <w:szCs w:val="28"/>
          <w:lang w:val="uk-UA"/>
        </w:rPr>
      </w:pPr>
      <w:r>
        <w:rPr>
          <w:rFonts w:ascii="Times New Roman" w:hAnsi="Times New Roman"/>
          <w:sz w:val="28"/>
          <w:szCs w:val="28"/>
          <w:shd w:val="clear" w:color="auto" w:fill="FFFFFF"/>
        </w:rPr>
        <w:sym w:font="Symbol" w:char="0063"/>
      </w:r>
      <w:r>
        <w:rPr>
          <w:rFonts w:ascii="Times New Roman" w:hAnsi="Times New Roman"/>
          <w:sz w:val="28"/>
          <w:szCs w:val="28"/>
          <w:shd w:val="clear" w:color="auto" w:fill="FFFFFF"/>
        </w:rPr>
        <w:t>2=</w:t>
      </w:r>
      <w:r>
        <w:rPr>
          <w:rFonts w:ascii="Times New Roman" w:hAnsi="Times New Roman"/>
          <w:sz w:val="28"/>
          <w:szCs w:val="28"/>
          <w:shd w:val="clear" w:color="auto" w:fill="FFFFFF"/>
          <w:lang w:val="uk-UA"/>
        </w:rPr>
        <w:t>6,259</w:t>
      </w:r>
      <w:r>
        <w:rPr>
          <w:rFonts w:ascii="Times New Roman" w:hAnsi="Times New Roman"/>
          <w:sz w:val="28"/>
          <w:szCs w:val="28"/>
          <w:shd w:val="clear" w:color="auto" w:fill="FFFFFF"/>
        </w:rPr>
        <w:t>, р=0,</w:t>
      </w:r>
      <w:r>
        <w:rPr>
          <w:rFonts w:ascii="Times New Roman" w:hAnsi="Times New Roman"/>
          <w:sz w:val="28"/>
          <w:szCs w:val="28"/>
          <w:shd w:val="clear" w:color="auto" w:fill="FFFFFF"/>
          <w:lang w:val="uk-UA"/>
        </w:rPr>
        <w:t>131</w:t>
      </w:r>
    </w:p>
    <w:p w:rsidR="00A01923" w:rsidRDefault="00A01923" w:rsidP="00A01923">
      <w:pPr>
        <w:spacing w:after="0" w:line="360" w:lineRule="auto"/>
        <w:ind w:left="-567" w:firstLine="567"/>
        <w:jc w:val="both"/>
        <w:rPr>
          <w:rFonts w:ascii="Times New Roman" w:hAnsi="Times New Roman"/>
          <w:color w:val="FF0000"/>
          <w:sz w:val="28"/>
          <w:szCs w:val="28"/>
          <w:lang w:val="uk-UA"/>
        </w:rPr>
      </w:pPr>
      <w:r>
        <w:rPr>
          <w:rFonts w:ascii="Times New Roman" w:hAnsi="Times New Roman"/>
          <w:color w:val="FF0000"/>
          <w:sz w:val="28"/>
          <w:szCs w:val="28"/>
          <w:lang w:val="uk-UA"/>
        </w:rPr>
        <w:t xml:space="preserve">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FF0000"/>
          <w:sz w:val="28"/>
          <w:szCs w:val="28"/>
          <w:lang w:val="uk-UA"/>
        </w:rPr>
        <w:t xml:space="preserve"> </w:t>
      </w:r>
      <w:r>
        <w:rPr>
          <w:rFonts w:ascii="Times New Roman" w:hAnsi="Times New Roman"/>
          <w:sz w:val="28"/>
          <w:szCs w:val="28"/>
          <w:lang w:val="uk-UA"/>
        </w:rPr>
        <w:t>Як видно з таблиці 2.1, основна група та група порівняння є репрезентативними за кількісними, віковими показниками, співвідношенню стадії ішемії та виду проведеного лікування (</w:t>
      </w:r>
      <w:r>
        <w:rPr>
          <w:rFonts w:ascii="Times New Roman" w:hAnsi="Times New Roman"/>
          <w:sz w:val="28"/>
          <w:szCs w:val="28"/>
          <w:shd w:val="clear" w:color="auto" w:fill="FFFFFF"/>
        </w:rPr>
        <w:sym w:font="Symbol" w:char="0063"/>
      </w:r>
      <w:r>
        <w:rPr>
          <w:rFonts w:ascii="Times New Roman" w:hAnsi="Times New Roman"/>
          <w:sz w:val="28"/>
          <w:szCs w:val="28"/>
          <w:shd w:val="clear" w:color="auto" w:fill="FFFFFF"/>
          <w:lang w:val="uk-UA"/>
        </w:rPr>
        <w:t>2=6,259, р=0,131</w:t>
      </w:r>
      <w:r>
        <w:rPr>
          <w:rFonts w:ascii="Times New Roman" w:hAnsi="Times New Roman"/>
          <w:sz w:val="28"/>
          <w:szCs w:val="28"/>
          <w:lang w:val="uk-UA"/>
        </w:rPr>
        <w:t>).</w:t>
      </w:r>
    </w:p>
    <w:p w:rsidR="00A01923" w:rsidRDefault="00A01923" w:rsidP="00A01923">
      <w:pPr>
        <w:pStyle w:val="ac"/>
        <w:spacing w:line="360" w:lineRule="auto"/>
        <w:ind w:left="-567" w:firstLine="568"/>
        <w:jc w:val="both"/>
        <w:rPr>
          <w:color w:val="FF0000"/>
          <w:sz w:val="28"/>
          <w:szCs w:val="28"/>
          <w:lang w:val="uk-UA"/>
        </w:rPr>
      </w:pPr>
      <w:r>
        <w:rPr>
          <w:sz w:val="28"/>
          <w:szCs w:val="28"/>
          <w:lang w:val="uk-UA"/>
        </w:rPr>
        <w:t xml:space="preserve">Контрольні показники лабораторних досліджень було визначено у крові 15 умовно -здорових людей. У всіх хворих відстежувалися </w:t>
      </w:r>
      <w:r w:rsidR="004A1376">
        <w:rPr>
          <w:sz w:val="28"/>
          <w:szCs w:val="28"/>
          <w:lang w:val="uk-UA"/>
        </w:rPr>
        <w:t>результати лікування протягом одного року</w:t>
      </w:r>
      <w:r>
        <w:rPr>
          <w:sz w:val="28"/>
          <w:szCs w:val="28"/>
          <w:lang w:val="uk-UA"/>
        </w:rPr>
        <w:t>.</w:t>
      </w:r>
      <w:r>
        <w:rPr>
          <w:color w:val="FF0000"/>
          <w:sz w:val="28"/>
          <w:szCs w:val="28"/>
          <w:lang w:val="uk-UA"/>
        </w:rPr>
        <w:t xml:space="preserve">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Середній вік хворих склав 63± 11,3  роки (від 38 до 86 років), причому вік хворих дещо відрізнявся в залежності від етіологічного чиннику. У хворих на облітеруючий атеросклероз без цукрового діабету вік становив у середньому 61,6 років (від 53 до 86), а з цукровим діабетом – 66,2 років. У хворих на ендартеріїт та тромбангіїт середній вік склав 47,2 років. Слід зазначити, що більшість хворих була чоловічої статі – 72 (68,5%) з 105 хворих. Структура статевого та вікового складу хворих представлена на графіку (рис. 2.2).  </w:t>
      </w:r>
    </w:p>
    <w:p w:rsidR="00A01923" w:rsidRDefault="00A01923" w:rsidP="00A01923">
      <w:pPr>
        <w:pStyle w:val="ac"/>
        <w:spacing w:line="360" w:lineRule="auto"/>
        <w:ind w:left="-567" w:firstLine="568"/>
        <w:jc w:val="both"/>
        <w:rPr>
          <w:sz w:val="28"/>
          <w:szCs w:val="28"/>
          <w:lang w:val="uk-UA"/>
        </w:rPr>
      </w:pPr>
    </w:p>
    <w:p w:rsidR="00A01923" w:rsidRDefault="00A01923" w:rsidP="00A01923">
      <w:pPr>
        <w:pStyle w:val="ac"/>
        <w:spacing w:line="360" w:lineRule="auto"/>
        <w:ind w:firstLine="568"/>
        <w:jc w:val="both"/>
        <w:rPr>
          <w:sz w:val="28"/>
          <w:szCs w:val="28"/>
          <w:lang w:val="uk-UA"/>
        </w:rPr>
      </w:pPr>
    </w:p>
    <w:p w:rsidR="00A01923" w:rsidRDefault="00487043" w:rsidP="00A01923">
      <w:pPr>
        <w:pStyle w:val="ac"/>
        <w:spacing w:line="360" w:lineRule="auto"/>
        <w:ind w:firstLine="568"/>
        <w:jc w:val="both"/>
        <w:rPr>
          <w:sz w:val="28"/>
          <w:szCs w:val="28"/>
          <w:lang w:val="uk-UA"/>
        </w:rPr>
      </w:pPr>
      <w:r w:rsidRPr="00487043">
        <w:pict>
          <v:shape id="_x0000_s1889" type="#_x0000_t202" style="position:absolute;left:0;text-align:left;margin-left:-2.85pt;margin-top:268.45pt;width:497.85pt;height:30.75pt;z-index:251617792;mso-width-relative:margin;mso-height-relative:margin" stroked="f">
            <v:textbox style="mso-next-textbox:#_x0000_s1889">
              <w:txbxContent>
                <w:p w:rsidR="00DA0A21" w:rsidRDefault="00DA0A21" w:rsidP="00A01923">
                  <w:pPr>
                    <w:ind w:left="-284" w:firstLine="142"/>
                    <w:rPr>
                      <w:b/>
                    </w:rPr>
                  </w:pPr>
                  <w:r>
                    <w:rPr>
                      <w:rFonts w:ascii="Times New Roman" w:hAnsi="Times New Roman"/>
                      <w:sz w:val="28"/>
                      <w:szCs w:val="28"/>
                    </w:rPr>
                    <w:t>Рис. 2.</w:t>
                  </w:r>
                  <w:r>
                    <w:rPr>
                      <w:rFonts w:ascii="Times New Roman" w:hAnsi="Times New Roman"/>
                      <w:sz w:val="28"/>
                      <w:szCs w:val="28"/>
                      <w:lang w:val="uk-UA"/>
                    </w:rPr>
                    <w:t>2</w:t>
                  </w:r>
                  <w:r>
                    <w:rPr>
                      <w:rFonts w:ascii="Times New Roman" w:hAnsi="Times New Roman"/>
                      <w:sz w:val="28"/>
                      <w:szCs w:val="28"/>
                    </w:rPr>
                    <w:t xml:space="preserve"> Структура статевого та вікового складу досліджуваної групи хворих</w:t>
                  </w:r>
                </w:p>
              </w:txbxContent>
            </v:textbox>
          </v:shape>
        </w:pict>
      </w:r>
      <w:r w:rsidRPr="00487043">
        <w:pict>
          <v:group id="_x0000_s1890" style="position:absolute;left:0;text-align:left;margin-left:-9.8pt;margin-top:5pt;width:466.05pt;height:253.75pt;z-index:251618816" coordorigin="1505,5581" coordsize="9321,5075">
            <v:shape id="_x0000_s1891" type="#_x0000_t202" style="position:absolute;left:1644;top:5581;width:9180;height:5075;mso-wrap-style:none" stroked="f">
              <v:textbox style="mso-next-textbox:#_x0000_s1891;mso-fit-shape-to-text:t">
                <w:txbxContent>
                  <w:p w:rsidR="00DA0A21" w:rsidRDefault="00DA0A21" w:rsidP="00A01923">
                    <w:r w:rsidRPr="00454A41">
                      <w:rPr>
                        <w:rFonts w:ascii="Calibri" w:eastAsia="Times New Roman" w:hAnsi="Calibri" w:cs="Times New Roman"/>
                      </w:rPr>
                      <w:object w:dxaOrig="8865" w:dyaOrig="4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4.4pt;height:234.6pt" o:ole="">
                          <v:imagedata r:id="rId9" o:title="" croptop="-2386f" cropbottom="-1931f" cropleft="-798f" cropright="-1257f"/>
                          <o:lock v:ext="edit" aspectratio="f"/>
                        </v:shape>
                        <o:OLEObject Type="Embed" ProgID="Excel.Sheet.8" ShapeID="_x0000_i1026" DrawAspect="Content" ObjectID="_1585401155" r:id="rId10">
                          <o:FieldCodes>\s</o:FieldCodes>
                        </o:OLEObject>
                      </w:object>
                    </w:r>
                  </w:p>
                </w:txbxContent>
              </v:textbox>
            </v:shape>
            <v:shape id="_x0000_s1892" type="#_x0000_t202" style="position:absolute;left:10041;top:9251;width:785;height:480"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 xml:space="preserve">Вік </w:t>
                    </w:r>
                  </w:p>
                </w:txbxContent>
              </v:textbox>
            </v:shape>
            <v:shape id="_x0000_s1893" type="#_x0000_t202" style="position:absolute;left:1505;top:5716;width:568;height:2531" stroked="f">
              <v:textbox style="layout-flow:vertical">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Кількість хворих</w:t>
                    </w:r>
                  </w:p>
                </w:txbxContent>
              </v:textbox>
            </v:shape>
          </v:group>
        </w:pict>
      </w: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pStyle w:val="ac"/>
        <w:spacing w:line="360" w:lineRule="auto"/>
        <w:ind w:firstLine="568"/>
        <w:jc w:val="both"/>
        <w:rPr>
          <w:noProof/>
          <w:sz w:val="28"/>
          <w:szCs w:val="28"/>
          <w:lang w:val="uk-UA" w:eastAsia="uk-UA"/>
        </w:rPr>
      </w:pPr>
    </w:p>
    <w:p w:rsidR="00A01923" w:rsidRDefault="00A01923" w:rsidP="00A01923">
      <w:pPr>
        <w:spacing w:after="0" w:line="360" w:lineRule="auto"/>
        <w:ind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Як видно з графіку, серед жінок переважали хворі віком старше 70 років – 17 (51,5%), тоді як серед чоловіків – від 50 до 60 та від 60 до 70 років (відповідно 26 (36,1%) та 25 (34,7%) хворих).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Згідно класифікації Фонтейна хронічна критична ішемія нижніх кінцівок відповідає III-IV стадіям захворювання периферійних артерій, а за класифікацією Рутерфорда – 3-6 категоріям та використовується в разі наявності симптоматики протягом більше 2 тижнів..</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Відповідно, клінічними проявами даних стадій захворювання є типові хронічні болі спокою (переважно в нічний час), ішемічні трофічні розлади, як виразки, так і гангрена.</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Структура первинної патології у хворих на хронічну критичну ішемію нижніх кінцівок представлена у таблиці 2.2. </w:t>
      </w:r>
    </w:p>
    <w:p w:rsidR="00A01923" w:rsidRDefault="00A01923" w:rsidP="00A01923">
      <w:pPr>
        <w:pStyle w:val="ac"/>
        <w:spacing w:line="360" w:lineRule="auto"/>
        <w:ind w:firstLine="568"/>
        <w:jc w:val="right"/>
        <w:rPr>
          <w:i/>
          <w:sz w:val="28"/>
          <w:szCs w:val="28"/>
          <w:lang w:val="uk-UA"/>
        </w:rPr>
      </w:pPr>
      <w:r>
        <w:rPr>
          <w:i/>
          <w:sz w:val="28"/>
          <w:szCs w:val="28"/>
          <w:lang w:val="uk-UA"/>
        </w:rPr>
        <w:t>Таблиця 2.2</w:t>
      </w:r>
    </w:p>
    <w:p w:rsidR="00A01923" w:rsidRDefault="00A01923" w:rsidP="00A01923">
      <w:pPr>
        <w:pStyle w:val="ac"/>
        <w:spacing w:line="360" w:lineRule="auto"/>
        <w:ind w:firstLine="568"/>
        <w:jc w:val="center"/>
        <w:rPr>
          <w:b/>
          <w:sz w:val="28"/>
          <w:szCs w:val="28"/>
          <w:lang w:val="uk-UA"/>
        </w:rPr>
      </w:pPr>
      <w:r>
        <w:rPr>
          <w:b/>
          <w:sz w:val="28"/>
          <w:szCs w:val="28"/>
          <w:lang w:val="uk-UA"/>
        </w:rPr>
        <w:t>Структура первинної патології хворих</w:t>
      </w:r>
    </w:p>
    <w:tbl>
      <w:tblPr>
        <w:tblW w:w="9747"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11"/>
        <w:gridCol w:w="2458"/>
        <w:gridCol w:w="2178"/>
      </w:tblGrid>
      <w:tr w:rsidR="00A01923" w:rsidTr="00A01923">
        <w:trPr>
          <w:trHeight w:val="447"/>
        </w:trPr>
        <w:tc>
          <w:tcPr>
            <w:tcW w:w="511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Діагноз</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Кількість хворих</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jc w:val="center"/>
              <w:rPr>
                <w:sz w:val="28"/>
                <w:szCs w:val="28"/>
                <w:lang w:val="uk-UA"/>
              </w:rPr>
            </w:pPr>
            <w:r>
              <w:rPr>
                <w:sz w:val="28"/>
                <w:szCs w:val="28"/>
                <w:lang w:val="uk-UA"/>
              </w:rPr>
              <w:t>Відсоток (%)</w:t>
            </w:r>
          </w:p>
        </w:tc>
      </w:tr>
      <w:tr w:rsidR="00A01923" w:rsidTr="00A01923">
        <w:trPr>
          <w:trHeight w:val="475"/>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34"/>
              <w:rPr>
                <w:sz w:val="28"/>
                <w:szCs w:val="28"/>
                <w:lang w:val="uk-UA"/>
              </w:rPr>
            </w:pPr>
            <w:r>
              <w:rPr>
                <w:sz w:val="28"/>
                <w:szCs w:val="28"/>
                <w:lang w:val="uk-UA"/>
              </w:rPr>
              <w:t>Облітеруючий атеросклероз (ОА)</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48</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45,7</w:t>
            </w:r>
          </w:p>
        </w:tc>
      </w:tr>
      <w:tr w:rsidR="00A01923" w:rsidTr="00A01923">
        <w:trPr>
          <w:trHeight w:val="475"/>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34"/>
              <w:rPr>
                <w:sz w:val="28"/>
                <w:szCs w:val="28"/>
                <w:lang w:val="uk-UA"/>
              </w:rPr>
            </w:pPr>
            <w:r>
              <w:rPr>
                <w:sz w:val="28"/>
                <w:szCs w:val="28"/>
                <w:lang w:val="uk-UA"/>
              </w:rPr>
              <w:t>Облітеруючий атеросклероз з цукровим діабетом</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43</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40,9</w:t>
            </w:r>
          </w:p>
        </w:tc>
      </w:tr>
      <w:tr w:rsidR="00A01923" w:rsidTr="00A01923">
        <w:trPr>
          <w:trHeight w:val="447"/>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34"/>
              <w:rPr>
                <w:sz w:val="28"/>
                <w:szCs w:val="28"/>
                <w:lang w:val="uk-UA"/>
              </w:rPr>
            </w:pPr>
            <w:r>
              <w:rPr>
                <w:sz w:val="28"/>
                <w:szCs w:val="28"/>
                <w:lang w:val="uk-UA"/>
              </w:rPr>
              <w:t>Облітеруючий ендартеріїт (ОЕ)</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5</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4,7</w:t>
            </w:r>
          </w:p>
        </w:tc>
      </w:tr>
      <w:tr w:rsidR="00A01923" w:rsidTr="00A01923">
        <w:trPr>
          <w:trHeight w:val="447"/>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34"/>
              <w:rPr>
                <w:sz w:val="28"/>
                <w:szCs w:val="28"/>
                <w:lang w:val="uk-UA"/>
              </w:rPr>
            </w:pPr>
            <w:r>
              <w:rPr>
                <w:sz w:val="28"/>
                <w:szCs w:val="28"/>
                <w:lang w:val="uk-UA"/>
              </w:rPr>
              <w:t>Післятромботична оклюзія (ПТО) на тлі облітеруючого атеросклерозу</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8</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7,6</w:t>
            </w:r>
          </w:p>
        </w:tc>
      </w:tr>
      <w:tr w:rsidR="00A01923" w:rsidTr="00A01923">
        <w:trPr>
          <w:trHeight w:val="928"/>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34"/>
              <w:rPr>
                <w:sz w:val="28"/>
                <w:szCs w:val="28"/>
                <w:lang w:val="uk-UA"/>
              </w:rPr>
            </w:pPr>
            <w:r>
              <w:rPr>
                <w:sz w:val="28"/>
                <w:szCs w:val="28"/>
                <w:lang w:val="uk-UA"/>
              </w:rPr>
              <w:t>Післятромботична оклюзія на тлі облітеруючого атеросклерозу та ЦД</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1</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0,95</w:t>
            </w:r>
          </w:p>
        </w:tc>
      </w:tr>
      <w:tr w:rsidR="00A01923" w:rsidTr="00A01923">
        <w:trPr>
          <w:trHeight w:val="447"/>
        </w:trPr>
        <w:tc>
          <w:tcPr>
            <w:tcW w:w="511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lang w:val="uk-UA"/>
              </w:rPr>
            </w:pPr>
            <w:r>
              <w:rPr>
                <w:sz w:val="28"/>
                <w:szCs w:val="28"/>
                <w:lang w:val="uk-UA"/>
              </w:rPr>
              <w:t>Разом</w:t>
            </w:r>
          </w:p>
        </w:tc>
        <w:tc>
          <w:tcPr>
            <w:tcW w:w="245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27"/>
              <w:jc w:val="center"/>
              <w:rPr>
                <w:sz w:val="28"/>
                <w:szCs w:val="28"/>
                <w:lang w:val="uk-UA"/>
              </w:rPr>
            </w:pPr>
            <w:r>
              <w:rPr>
                <w:sz w:val="28"/>
                <w:szCs w:val="28"/>
                <w:lang w:val="uk-UA"/>
              </w:rPr>
              <w:t>105</w:t>
            </w:r>
          </w:p>
        </w:tc>
        <w:tc>
          <w:tcPr>
            <w:tcW w:w="217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firstLine="568"/>
              <w:jc w:val="center"/>
              <w:rPr>
                <w:sz w:val="28"/>
                <w:szCs w:val="28"/>
                <w:lang w:val="uk-UA"/>
              </w:rPr>
            </w:pPr>
            <w:r>
              <w:rPr>
                <w:sz w:val="28"/>
                <w:szCs w:val="28"/>
                <w:lang w:val="uk-UA"/>
              </w:rPr>
              <w:t>100</w:t>
            </w:r>
          </w:p>
        </w:tc>
      </w:tr>
    </w:tbl>
    <w:p w:rsidR="00A01923" w:rsidRDefault="00A01923" w:rsidP="00A01923">
      <w:pPr>
        <w:pStyle w:val="ac"/>
        <w:spacing w:line="360" w:lineRule="auto"/>
        <w:jc w:val="both"/>
        <w:rPr>
          <w:sz w:val="28"/>
          <w:szCs w:val="28"/>
          <w:shd w:val="clear" w:color="auto" w:fill="FFFFFF"/>
          <w:lang w:val="uk-UA"/>
        </w:rPr>
      </w:pPr>
    </w:p>
    <w:p w:rsidR="00A01923" w:rsidRDefault="00A01923" w:rsidP="00A01923">
      <w:pPr>
        <w:pStyle w:val="ac"/>
        <w:spacing w:line="360" w:lineRule="auto"/>
        <w:ind w:left="-567" w:firstLine="568"/>
        <w:jc w:val="both"/>
        <w:rPr>
          <w:sz w:val="28"/>
          <w:szCs w:val="28"/>
          <w:shd w:val="clear" w:color="auto" w:fill="FFFFFF"/>
          <w:lang w:val="uk-UA"/>
        </w:rPr>
      </w:pPr>
      <w:r>
        <w:rPr>
          <w:sz w:val="28"/>
          <w:szCs w:val="28"/>
          <w:shd w:val="clear" w:color="auto" w:fill="FFFFFF"/>
          <w:lang w:val="uk-UA"/>
        </w:rPr>
        <w:t xml:space="preserve">Хворі, які брали участь у дослідженні, розподілилися за стадією ішемії наступним чином – з </w:t>
      </w:r>
      <w:r>
        <w:rPr>
          <w:sz w:val="28"/>
          <w:szCs w:val="28"/>
          <w:shd w:val="clear" w:color="auto" w:fill="FFFFFF"/>
          <w:lang w:val="en-US"/>
        </w:rPr>
        <w:t>III</w:t>
      </w:r>
      <w:r>
        <w:rPr>
          <w:sz w:val="28"/>
          <w:szCs w:val="28"/>
          <w:shd w:val="clear" w:color="auto" w:fill="FFFFFF"/>
          <w:lang w:val="uk-UA"/>
        </w:rPr>
        <w:t xml:space="preserve">  було 35 (33,3 %), а з </w:t>
      </w:r>
      <w:r>
        <w:rPr>
          <w:sz w:val="28"/>
          <w:szCs w:val="28"/>
          <w:shd w:val="clear" w:color="auto" w:fill="FFFFFF"/>
          <w:lang w:val="en-US"/>
        </w:rPr>
        <w:t>IV</w:t>
      </w:r>
      <w:r>
        <w:rPr>
          <w:sz w:val="28"/>
          <w:szCs w:val="28"/>
          <w:shd w:val="clear" w:color="auto" w:fill="FFFFFF"/>
          <w:lang w:val="uk-UA"/>
        </w:rPr>
        <w:t xml:space="preserve"> – 70 (66,6 %). </w:t>
      </w:r>
    </w:p>
    <w:p w:rsidR="00A01923" w:rsidRDefault="00A01923" w:rsidP="00A01923">
      <w:pPr>
        <w:pStyle w:val="ac"/>
        <w:spacing w:line="360" w:lineRule="auto"/>
        <w:ind w:left="-567" w:firstLine="568"/>
        <w:jc w:val="both"/>
        <w:rPr>
          <w:sz w:val="28"/>
          <w:szCs w:val="28"/>
          <w:shd w:val="clear" w:color="auto" w:fill="FFFFFF"/>
          <w:lang w:val="uk-UA"/>
        </w:rPr>
      </w:pPr>
      <w:r>
        <w:rPr>
          <w:sz w:val="28"/>
          <w:szCs w:val="28"/>
          <w:shd w:val="clear" w:color="auto" w:fill="FFFFFF"/>
          <w:lang w:val="uk-UA"/>
        </w:rPr>
        <w:t xml:space="preserve">Відображенням системного характеру процесу в артеріальному руслі нижніх кінцівок стало його двостороннє поширення в 92,3 % випадків, (n = 97), незалежно від етіології ураження. При цьому до уваги бралася та нижня кінцівка, ступінь ішемії якої на момент госпіталізації був вищим. </w:t>
      </w:r>
    </w:p>
    <w:p w:rsidR="00A01923" w:rsidRDefault="00A01923" w:rsidP="00A01923">
      <w:pPr>
        <w:pStyle w:val="ac"/>
        <w:spacing w:line="360" w:lineRule="auto"/>
        <w:ind w:left="-567" w:firstLine="568"/>
        <w:jc w:val="both"/>
        <w:rPr>
          <w:sz w:val="28"/>
          <w:szCs w:val="28"/>
          <w:shd w:val="clear" w:color="auto" w:fill="FFFFFF"/>
          <w:lang w:val="uk-UA"/>
        </w:rPr>
      </w:pPr>
      <w:r>
        <w:rPr>
          <w:sz w:val="28"/>
          <w:szCs w:val="28"/>
          <w:shd w:val="clear" w:color="auto" w:fill="FFFFFF"/>
          <w:lang w:val="uk-UA"/>
        </w:rPr>
        <w:t xml:space="preserve">Строк хвороби у хворих (за їх словами) складав від 3 місяців до 6 років, у середньому 1,2 роки. Це вказує на значущість та злоякісність перебігу захворювання у цих хворих. Залежно від етіологічного чиннику, ступінь ішемії дещо варіював. </w:t>
      </w:r>
    </w:p>
    <w:p w:rsidR="00A01923" w:rsidRDefault="00A01923" w:rsidP="00A01923">
      <w:pPr>
        <w:pStyle w:val="ac"/>
        <w:spacing w:line="360" w:lineRule="auto"/>
        <w:ind w:left="-567" w:firstLine="568"/>
        <w:jc w:val="both"/>
        <w:rPr>
          <w:sz w:val="28"/>
          <w:szCs w:val="28"/>
          <w:shd w:val="clear" w:color="auto" w:fill="FFFFFF"/>
          <w:lang w:val="uk-UA"/>
        </w:rPr>
      </w:pPr>
      <w:r>
        <w:rPr>
          <w:sz w:val="28"/>
          <w:szCs w:val="28"/>
          <w:shd w:val="clear" w:color="auto" w:fill="FFFFFF"/>
          <w:lang w:val="uk-UA"/>
        </w:rPr>
        <w:t>Розподіл хворих в залежності від етіології та стадії критичної ішемії показаний на рис. 2.3.</w:t>
      </w:r>
    </w:p>
    <w:p w:rsidR="00A01923" w:rsidRDefault="00487043" w:rsidP="00A01923">
      <w:pPr>
        <w:pStyle w:val="ac"/>
        <w:spacing w:line="360" w:lineRule="auto"/>
        <w:ind w:firstLine="568"/>
        <w:jc w:val="both"/>
        <w:rPr>
          <w:sz w:val="28"/>
          <w:szCs w:val="28"/>
          <w:shd w:val="clear" w:color="auto" w:fill="FFFFFF"/>
          <w:lang w:val="uk-UA"/>
        </w:rPr>
      </w:pPr>
      <w:r w:rsidRPr="00487043">
        <w:lastRenderedPageBreak/>
        <w:pict>
          <v:group id="_x0000_s1894" style="position:absolute;left:0;text-align:left;margin-left:-18.5pt;margin-top:6.6pt;width:489.55pt;height:372.1pt;z-index:251619840" coordorigin="1331,1266" coordsize="9791,7442">
            <v:shape id="_x0000_s1895" type="#_x0000_t202" style="position:absolute;left:1624;top:1266;width:9498;height:6125" stroked="f">
              <v:textbox>
                <w:txbxContent>
                  <w:p w:rsidR="00DA0A21" w:rsidRDefault="00DA0A21" w:rsidP="00A01923">
                    <w:r w:rsidRPr="00454A41">
                      <w:rPr>
                        <w:rFonts w:ascii="Calibri" w:eastAsia="Times New Roman" w:hAnsi="Calibri" w:cs="Times New Roman"/>
                      </w:rPr>
                      <w:object w:dxaOrig="9063" w:dyaOrig="6058">
                        <v:shape id="Диаграмма 2" o:spid="_x0000_i1028" type="#_x0000_t75" style="width:454.35pt;height:304.15pt;visibility:visible" o:ole="">
                          <v:imagedata r:id="rId11" o:title="" cropbottom="-130f"/>
                          <o:lock v:ext="edit" aspectratio="f"/>
                        </v:shape>
                        <o:OLEObject Type="Embed" ProgID="Excel.Sheet.8" ShapeID="Диаграмма 2" DrawAspect="Content" ObjectID="_1585401156" r:id="rId12">
                          <o:FieldCodes>\s</o:FieldCodes>
                        </o:OLEObject>
                      </w:object>
                    </w:r>
                  </w:p>
                </w:txbxContent>
              </v:textbox>
            </v:shape>
            <v:shape id="_x0000_s1896" type="#_x0000_t202" style="position:absolute;left:1703;top:7716;width:9239;height:992" stroked="f">
              <v:textbox>
                <w:txbxContent>
                  <w:p w:rsidR="00DA0A21" w:rsidRDefault="00DA0A21" w:rsidP="00A01923">
                    <w:pPr>
                      <w:pStyle w:val="ac"/>
                      <w:spacing w:line="360" w:lineRule="auto"/>
                      <w:ind w:firstLine="568"/>
                      <w:jc w:val="center"/>
                      <w:rPr>
                        <w:sz w:val="28"/>
                        <w:szCs w:val="28"/>
                        <w:shd w:val="clear" w:color="auto" w:fill="FFFFFF"/>
                        <w:lang w:val="uk-UA"/>
                      </w:rPr>
                    </w:pPr>
                    <w:r>
                      <w:rPr>
                        <w:sz w:val="28"/>
                        <w:szCs w:val="28"/>
                        <w:shd w:val="clear" w:color="auto" w:fill="FFFFFF"/>
                        <w:lang w:val="uk-UA"/>
                      </w:rPr>
                      <w:t>Рис. 2.3. Розподіл хворих залежно від ступеню ішемії та етіології ХКІНК (</w:t>
                    </w:r>
                    <w:r>
                      <w:rPr>
                        <w:sz w:val="28"/>
                        <w:szCs w:val="28"/>
                        <w:shd w:val="clear" w:color="auto" w:fill="FFFFFF"/>
                        <w:lang w:val="uk-UA"/>
                      </w:rPr>
                      <w:sym w:font="Symbol" w:char="0063"/>
                    </w:r>
                    <w:r>
                      <w:rPr>
                        <w:sz w:val="28"/>
                        <w:szCs w:val="28"/>
                        <w:shd w:val="clear" w:color="auto" w:fill="FFFFFF"/>
                        <w:lang w:val="uk-UA"/>
                      </w:rPr>
                      <w:t>2=20,68,  р=0,000)</w:t>
                    </w:r>
                  </w:p>
                  <w:p w:rsidR="00DA0A21" w:rsidRDefault="00DA0A21" w:rsidP="00A01923"/>
                </w:txbxContent>
              </v:textbox>
            </v:shape>
            <v:shape id="_x0000_s1897" type="#_x0000_t202" style="position:absolute;left:1331;top:1811;width:567;height:2310" stroked="f">
              <v:textbox style="layout-flow:vertical">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Кількість хворих</w:t>
                    </w:r>
                  </w:p>
                </w:txbxContent>
              </v:textbox>
            </v:shape>
          </v:group>
        </w:pict>
      </w: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noProof/>
          <w:sz w:val="28"/>
          <w:szCs w:val="28"/>
          <w:shd w:val="clear" w:color="auto" w:fill="FFFFFF"/>
          <w:lang w:val="uk-UA" w:eastAsia="uk-UA"/>
        </w:rPr>
      </w:pPr>
    </w:p>
    <w:p w:rsidR="00A01923" w:rsidRDefault="00A01923" w:rsidP="00A01923">
      <w:pPr>
        <w:pStyle w:val="ac"/>
        <w:spacing w:line="360" w:lineRule="auto"/>
        <w:ind w:firstLine="568"/>
        <w:jc w:val="both"/>
        <w:rPr>
          <w:sz w:val="28"/>
          <w:szCs w:val="28"/>
          <w:shd w:val="clear" w:color="auto" w:fill="FFFFFF"/>
          <w:lang w:val="uk-UA"/>
        </w:rPr>
      </w:pPr>
    </w:p>
    <w:p w:rsidR="00A01923" w:rsidRDefault="00A01923" w:rsidP="00A01923">
      <w:pPr>
        <w:pStyle w:val="ac"/>
        <w:spacing w:line="360" w:lineRule="auto"/>
        <w:ind w:firstLine="568"/>
        <w:jc w:val="both"/>
        <w:rPr>
          <w:sz w:val="28"/>
          <w:szCs w:val="28"/>
          <w:shd w:val="clear" w:color="auto" w:fill="FFFFFF"/>
          <w:lang w:val="uk-UA"/>
        </w:rPr>
      </w:pPr>
    </w:p>
    <w:p w:rsidR="00A01923" w:rsidRDefault="00A01923" w:rsidP="00A01923">
      <w:pPr>
        <w:pStyle w:val="ac"/>
        <w:spacing w:line="360" w:lineRule="auto"/>
        <w:ind w:firstLine="568"/>
        <w:jc w:val="both"/>
        <w:rPr>
          <w:sz w:val="28"/>
          <w:szCs w:val="28"/>
          <w:shd w:val="clear" w:color="auto" w:fill="FFFFFF"/>
          <w:lang w:val="uk-UA"/>
        </w:rPr>
      </w:pPr>
    </w:p>
    <w:p w:rsidR="00A01923" w:rsidRDefault="00A01923" w:rsidP="00A01923">
      <w:pPr>
        <w:pStyle w:val="ac"/>
        <w:spacing w:line="360" w:lineRule="auto"/>
        <w:ind w:firstLine="568"/>
        <w:jc w:val="both"/>
        <w:rPr>
          <w:sz w:val="28"/>
          <w:szCs w:val="28"/>
          <w:shd w:val="clear" w:color="auto" w:fill="FFFFFF"/>
          <w:lang w:val="uk-UA"/>
        </w:rPr>
      </w:pPr>
    </w:p>
    <w:p w:rsidR="00A01923" w:rsidRDefault="00A01923" w:rsidP="00A01923">
      <w:pPr>
        <w:pStyle w:val="ac"/>
        <w:spacing w:line="360" w:lineRule="auto"/>
        <w:ind w:firstLine="568"/>
        <w:jc w:val="both"/>
        <w:rPr>
          <w:sz w:val="28"/>
          <w:szCs w:val="28"/>
          <w:shd w:val="clear" w:color="auto" w:fill="FFFFFF"/>
          <w:lang w:val="uk-UA"/>
        </w:rPr>
      </w:pPr>
    </w:p>
    <w:p w:rsidR="00A01923" w:rsidRDefault="00A01923" w:rsidP="00A01923">
      <w:pPr>
        <w:pStyle w:val="ac"/>
        <w:spacing w:line="360" w:lineRule="auto"/>
        <w:ind w:left="-567" w:firstLine="568"/>
        <w:jc w:val="both"/>
        <w:rPr>
          <w:sz w:val="28"/>
          <w:szCs w:val="28"/>
          <w:lang w:val="uk-UA"/>
        </w:rPr>
      </w:pPr>
      <w:r>
        <w:rPr>
          <w:sz w:val="28"/>
          <w:szCs w:val="28"/>
          <w:lang w:val="uk-UA"/>
        </w:rPr>
        <w:t>Як видно з рисунку, хворих на облітеруючий атеросклероз та посттромботичну оклюзію була майже однакова кількість у групах з ІІІ та І</w:t>
      </w:r>
      <w:r>
        <w:rPr>
          <w:sz w:val="28"/>
          <w:szCs w:val="28"/>
          <w:lang w:val="en-US"/>
        </w:rPr>
        <w:t>V</w:t>
      </w:r>
      <w:r>
        <w:rPr>
          <w:sz w:val="28"/>
          <w:szCs w:val="28"/>
          <w:lang w:val="uk-UA"/>
        </w:rPr>
        <w:t xml:space="preserve"> стадіями ішемії (21 та 26, 5 та 3 хворих відповідно), тоді як хворі з облітеруючим ендартеріїтом зверталися загалом на 3 стадії ішемії, та значуща різниця спостерігалася у хворих на ХКІНК з облітеруючим атеросклерозом у поєднанні з цукровим діабетом – серед таких хворих хворих з І</w:t>
      </w:r>
      <w:r>
        <w:rPr>
          <w:sz w:val="28"/>
          <w:szCs w:val="28"/>
          <w:lang w:val="en-US"/>
        </w:rPr>
        <w:t>V</w:t>
      </w:r>
      <w:r>
        <w:rPr>
          <w:sz w:val="28"/>
          <w:szCs w:val="28"/>
          <w:lang w:val="uk-UA"/>
        </w:rPr>
        <w:t xml:space="preserve"> стадією ішемії було у 8 разів більше, ніж з ІІІ (40 (38%) та 5 (4,7%) хворих відповідно). </w:t>
      </w:r>
    </w:p>
    <w:p w:rsidR="00A01923" w:rsidRDefault="00A01923" w:rsidP="00A01923">
      <w:pPr>
        <w:pStyle w:val="ac"/>
        <w:spacing w:line="360" w:lineRule="auto"/>
        <w:ind w:left="-567" w:firstLine="568"/>
        <w:jc w:val="both"/>
        <w:rPr>
          <w:sz w:val="28"/>
          <w:szCs w:val="28"/>
          <w:lang w:val="uk-UA"/>
        </w:rPr>
      </w:pPr>
      <w:r>
        <w:rPr>
          <w:sz w:val="28"/>
          <w:szCs w:val="28"/>
          <w:lang w:val="uk-UA"/>
        </w:rPr>
        <w:t xml:space="preserve">У хворих досліджуваних груп було виявлено наступну супутню патологію: ІХС, атеросклеротичний кардіосклероз (88,5%), післяінфарктний кардіосклероз (35,2%), передсердна тахікардія (13,2%), ГХ І-ІІІ ст (82,8%), атеросклероз судин головного мозку (37,1%) та ішемічний інсульт в анамнезі (14,2%), хронічне обструктивне захворювання легень (2,8%), виразкова хвороба (6,6%)(таблиця 2.2). Структура супутньої патології у більшості випадків вказує на системність ураження судин та довго тривалість захворювання на генералізований </w:t>
      </w:r>
      <w:r>
        <w:rPr>
          <w:sz w:val="28"/>
          <w:szCs w:val="28"/>
          <w:lang w:val="uk-UA"/>
        </w:rPr>
        <w:lastRenderedPageBreak/>
        <w:t>атеросклероз. Для виявлення супутніх захворювань хворим виконували ФГДС, рентгенографію органів грудної клітини, тощо. Для визначення ступеню ураження судин інших басейнів, усім хворим виконували ультразвукову допплерографію судин шиї, ультразвукове дослідження органів черевної порожнини та серця, електрокардіографію.</w:t>
      </w:r>
    </w:p>
    <w:p w:rsidR="00A01923" w:rsidRDefault="00A01923" w:rsidP="00A01923">
      <w:pPr>
        <w:pStyle w:val="ac"/>
        <w:spacing w:line="360" w:lineRule="auto"/>
        <w:ind w:left="-567" w:firstLine="568"/>
        <w:jc w:val="right"/>
        <w:rPr>
          <w:i/>
          <w:sz w:val="28"/>
          <w:szCs w:val="28"/>
          <w:lang w:val="uk-UA"/>
        </w:rPr>
      </w:pPr>
      <w:r>
        <w:rPr>
          <w:i/>
          <w:sz w:val="28"/>
          <w:szCs w:val="28"/>
          <w:lang w:val="uk-UA"/>
        </w:rPr>
        <w:t>Таблиця 2.2</w:t>
      </w:r>
    </w:p>
    <w:p w:rsidR="00A01923" w:rsidRDefault="00A01923" w:rsidP="00A01923">
      <w:pPr>
        <w:pStyle w:val="ac"/>
        <w:spacing w:line="360" w:lineRule="auto"/>
        <w:ind w:firstLine="568"/>
        <w:jc w:val="center"/>
        <w:rPr>
          <w:b/>
          <w:sz w:val="28"/>
          <w:szCs w:val="28"/>
          <w:lang w:val="uk-UA"/>
        </w:rPr>
      </w:pPr>
      <w:r>
        <w:rPr>
          <w:b/>
          <w:sz w:val="28"/>
          <w:szCs w:val="28"/>
          <w:lang w:val="uk-UA"/>
        </w:rPr>
        <w:t>Структура супутньої патології у хворих обох груп дослідження</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04"/>
        <w:gridCol w:w="2409"/>
        <w:gridCol w:w="1843"/>
      </w:tblGrid>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jc w:val="center"/>
              <w:rPr>
                <w:sz w:val="28"/>
                <w:szCs w:val="28"/>
              </w:rPr>
            </w:pPr>
            <w:r>
              <w:rPr>
                <w:sz w:val="28"/>
                <w:szCs w:val="28"/>
              </w:rPr>
              <w:t>Супутня патологія</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109" w:right="-250"/>
              <w:jc w:val="center"/>
              <w:rPr>
                <w:sz w:val="28"/>
                <w:szCs w:val="28"/>
                <w:lang w:val="uk-UA"/>
              </w:rPr>
            </w:pPr>
            <w:r>
              <w:rPr>
                <w:sz w:val="28"/>
                <w:szCs w:val="28"/>
                <w:lang w:val="uk-UA"/>
              </w:rPr>
              <w:t>Кількість хворих</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w:t>
            </w:r>
          </w:p>
        </w:tc>
      </w:tr>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ІХС, Атеросклеротичний кардіосклероз</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93</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88,5</w:t>
            </w:r>
          </w:p>
        </w:tc>
      </w:tr>
      <w:tr w:rsidR="00A01923" w:rsidTr="00A01923">
        <w:trPr>
          <w:trHeight w:val="455"/>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Післяінфарктний кардіосклероз</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37</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35,2</w:t>
            </w:r>
          </w:p>
        </w:tc>
      </w:tr>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Передсердна тахікардія</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14</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13,3</w:t>
            </w:r>
          </w:p>
        </w:tc>
      </w:tr>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ГХ І-ІІІст</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87</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82,8</w:t>
            </w:r>
          </w:p>
        </w:tc>
      </w:tr>
      <w:tr w:rsidR="00A01923" w:rsidTr="00A01923">
        <w:trPr>
          <w:trHeight w:val="506"/>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Атеросклероз судин головного мозку</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39</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37,1</w:t>
            </w:r>
          </w:p>
        </w:tc>
      </w:tr>
      <w:tr w:rsidR="00A01923" w:rsidTr="00A01923">
        <w:trPr>
          <w:trHeight w:val="441"/>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Ішемічний інсульт в анамнезі</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15</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14,2</w:t>
            </w:r>
          </w:p>
        </w:tc>
      </w:tr>
      <w:tr w:rsidR="00A01923" w:rsidTr="00A01923">
        <w:trPr>
          <w:trHeight w:val="944"/>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Хронічне обструктивне захворювання легень</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3</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2,8</w:t>
            </w:r>
          </w:p>
        </w:tc>
      </w:tr>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Виразкова хвороба шлунку та дванадцитапалої кишки</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7</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6,6</w:t>
            </w:r>
          </w:p>
        </w:tc>
      </w:tr>
      <w:tr w:rsidR="00A01923" w:rsidTr="00A01923">
        <w:trPr>
          <w:trHeight w:val="472"/>
        </w:trPr>
        <w:tc>
          <w:tcPr>
            <w:tcW w:w="510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sz w:val="28"/>
                <w:szCs w:val="28"/>
              </w:rPr>
            </w:pPr>
            <w:r>
              <w:rPr>
                <w:sz w:val="28"/>
                <w:szCs w:val="28"/>
              </w:rPr>
              <w:t>Разом:</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right="-250"/>
              <w:jc w:val="center"/>
              <w:rPr>
                <w:sz w:val="28"/>
                <w:szCs w:val="28"/>
              </w:rPr>
            </w:pPr>
            <w:r>
              <w:rPr>
                <w:sz w:val="28"/>
                <w:szCs w:val="28"/>
              </w:rPr>
              <w:t>295</w:t>
            </w:r>
          </w:p>
        </w:tc>
        <w:tc>
          <w:tcPr>
            <w:tcW w:w="1843" w:type="dxa"/>
            <w:tcBorders>
              <w:top w:val="single" w:sz="4" w:space="0" w:color="000000"/>
              <w:left w:val="single" w:sz="4" w:space="0" w:color="000000"/>
              <w:bottom w:val="single" w:sz="4" w:space="0" w:color="000000"/>
              <w:right w:val="single" w:sz="4" w:space="0" w:color="000000"/>
            </w:tcBorders>
            <w:vAlign w:val="center"/>
          </w:tcPr>
          <w:p w:rsidR="00A01923" w:rsidRDefault="00A01923">
            <w:pPr>
              <w:pStyle w:val="ac"/>
              <w:spacing w:line="360" w:lineRule="auto"/>
              <w:ind w:left="-109" w:right="-250" w:firstLine="568"/>
              <w:jc w:val="center"/>
              <w:rPr>
                <w:sz w:val="28"/>
                <w:szCs w:val="28"/>
              </w:rPr>
            </w:pPr>
          </w:p>
        </w:tc>
      </w:tr>
    </w:tbl>
    <w:p w:rsidR="00A01923" w:rsidRDefault="00A01923" w:rsidP="00A01923">
      <w:pPr>
        <w:pStyle w:val="ac"/>
        <w:spacing w:line="360" w:lineRule="auto"/>
        <w:ind w:firstLine="568"/>
        <w:jc w:val="both"/>
        <w:rPr>
          <w:sz w:val="28"/>
          <w:szCs w:val="28"/>
          <w:lang w:val="uk-UA"/>
        </w:rPr>
      </w:pPr>
    </w:p>
    <w:p w:rsidR="00A01923" w:rsidRDefault="00A01923" w:rsidP="00A01923">
      <w:pPr>
        <w:spacing w:after="0" w:line="360" w:lineRule="auto"/>
        <w:ind w:left="-567" w:firstLine="567"/>
        <w:jc w:val="center"/>
        <w:rPr>
          <w:rFonts w:ascii="Times New Roman" w:hAnsi="Times New Roman"/>
          <w:b/>
          <w:sz w:val="28"/>
          <w:szCs w:val="28"/>
          <w:lang w:val="uk-UA"/>
        </w:rPr>
      </w:pPr>
    </w:p>
    <w:p w:rsidR="00A01923" w:rsidRDefault="00A01923" w:rsidP="00A01923">
      <w:pPr>
        <w:spacing w:after="0" w:line="360" w:lineRule="auto"/>
        <w:ind w:left="-567" w:firstLine="567"/>
        <w:jc w:val="center"/>
        <w:rPr>
          <w:rFonts w:ascii="Times New Roman" w:hAnsi="Times New Roman"/>
          <w:b/>
          <w:sz w:val="28"/>
          <w:szCs w:val="28"/>
          <w:lang w:val="uk-UA"/>
        </w:rPr>
      </w:pPr>
    </w:p>
    <w:p w:rsidR="00A01923" w:rsidRDefault="00A01923" w:rsidP="00A01923">
      <w:pPr>
        <w:spacing w:after="0" w:line="360" w:lineRule="auto"/>
        <w:ind w:left="-567" w:firstLine="567"/>
        <w:rPr>
          <w:rFonts w:ascii="Times New Roman" w:hAnsi="Times New Roman"/>
          <w:b/>
          <w:sz w:val="28"/>
          <w:szCs w:val="28"/>
          <w:lang w:val="uk-UA"/>
        </w:rPr>
      </w:pPr>
      <w:r>
        <w:rPr>
          <w:rFonts w:ascii="Times New Roman" w:hAnsi="Times New Roman"/>
          <w:b/>
          <w:sz w:val="28"/>
          <w:szCs w:val="28"/>
          <w:lang w:val="uk-UA"/>
        </w:rPr>
        <w:t>2.2 Клінічно-лабораторні та інструментальні методи досліджень</w:t>
      </w:r>
    </w:p>
    <w:p w:rsidR="00A01923" w:rsidRDefault="00A01923" w:rsidP="00A01923">
      <w:pPr>
        <w:pStyle w:val="ac"/>
        <w:spacing w:line="360" w:lineRule="auto"/>
        <w:ind w:left="-567" w:firstLine="568"/>
        <w:jc w:val="both"/>
        <w:rPr>
          <w:sz w:val="28"/>
          <w:szCs w:val="28"/>
          <w:lang w:val="uk-UA"/>
        </w:rPr>
      </w:pPr>
    </w:p>
    <w:p w:rsidR="00A01923" w:rsidRDefault="00A01923" w:rsidP="00A01923">
      <w:pPr>
        <w:pStyle w:val="ac"/>
        <w:spacing w:line="360" w:lineRule="auto"/>
        <w:ind w:left="-567" w:firstLine="568"/>
        <w:jc w:val="both"/>
        <w:rPr>
          <w:sz w:val="28"/>
          <w:szCs w:val="28"/>
          <w:lang w:val="uk-UA"/>
        </w:rPr>
      </w:pPr>
    </w:p>
    <w:p w:rsidR="00A01923" w:rsidRDefault="00A01923" w:rsidP="00A01923">
      <w:pPr>
        <w:pStyle w:val="ac"/>
        <w:spacing w:line="360" w:lineRule="auto"/>
        <w:ind w:left="-567" w:firstLine="568"/>
        <w:jc w:val="both"/>
        <w:rPr>
          <w:sz w:val="28"/>
          <w:szCs w:val="28"/>
        </w:rPr>
      </w:pPr>
      <w:r>
        <w:rPr>
          <w:sz w:val="28"/>
          <w:szCs w:val="28"/>
          <w:lang w:val="uk-UA"/>
        </w:rPr>
        <w:t xml:space="preserve">Наявність у хворих ХКІНК було встановлено на підставі скарг, анамнезу захворювання та даних, отриманих при проведенні комплексного обстеження. </w:t>
      </w:r>
      <w:r>
        <w:rPr>
          <w:sz w:val="28"/>
          <w:szCs w:val="28"/>
        </w:rPr>
        <w:t>Для обстеження хворих</w:t>
      </w:r>
      <w:r>
        <w:rPr>
          <w:sz w:val="28"/>
          <w:szCs w:val="28"/>
          <w:lang w:val="uk-UA"/>
        </w:rPr>
        <w:t xml:space="preserve"> </w:t>
      </w:r>
      <w:r>
        <w:rPr>
          <w:sz w:val="28"/>
          <w:szCs w:val="28"/>
        </w:rPr>
        <w:t>використовували клініко-лабораторні, біохімічні та інструментальні методи дослідження.</w:t>
      </w:r>
    </w:p>
    <w:p w:rsidR="00A01923" w:rsidRDefault="00A01923" w:rsidP="00A01923">
      <w:pPr>
        <w:pStyle w:val="ac"/>
        <w:spacing w:line="360" w:lineRule="auto"/>
        <w:ind w:left="-567" w:firstLine="567"/>
        <w:jc w:val="both"/>
        <w:rPr>
          <w:color w:val="FF0000"/>
          <w:sz w:val="28"/>
          <w:szCs w:val="28"/>
          <w:lang w:val="uk-UA"/>
        </w:rPr>
      </w:pPr>
      <w:r>
        <w:rPr>
          <w:sz w:val="28"/>
          <w:szCs w:val="28"/>
        </w:rPr>
        <w:lastRenderedPageBreak/>
        <w:t>Всім хворим проводили лабораторні дослідження крові</w:t>
      </w:r>
      <w:r>
        <w:rPr>
          <w:sz w:val="28"/>
          <w:szCs w:val="28"/>
          <w:lang w:val="uk-UA"/>
        </w:rPr>
        <w:t xml:space="preserve"> (клінічні та біохімічні)</w:t>
      </w:r>
      <w:r>
        <w:rPr>
          <w:sz w:val="28"/>
          <w:szCs w:val="28"/>
        </w:rPr>
        <w:t>, сечі, біохімічні дослідження крові,</w:t>
      </w:r>
      <w:r>
        <w:rPr>
          <w:sz w:val="28"/>
          <w:szCs w:val="28"/>
          <w:lang w:val="uk-UA"/>
        </w:rPr>
        <w:t xml:space="preserve"> визначення глікемічного профілю (за потреби),</w:t>
      </w:r>
      <w:r>
        <w:rPr>
          <w:sz w:val="28"/>
          <w:szCs w:val="28"/>
        </w:rPr>
        <w:t xml:space="preserve"> показників згортання крові</w:t>
      </w:r>
      <w:r>
        <w:rPr>
          <w:sz w:val="28"/>
          <w:szCs w:val="28"/>
          <w:lang w:val="uk-UA"/>
        </w:rPr>
        <w:t xml:space="preserve">, </w:t>
      </w:r>
      <w:r>
        <w:rPr>
          <w:sz w:val="28"/>
          <w:szCs w:val="28"/>
        </w:rPr>
        <w:t xml:space="preserve">групи крові та резус-фактору за </w:t>
      </w:r>
      <w:r>
        <w:rPr>
          <w:sz w:val="28"/>
          <w:szCs w:val="28"/>
          <w:lang w:val="uk-UA"/>
        </w:rPr>
        <w:t>стандартними</w:t>
      </w:r>
      <w:r>
        <w:rPr>
          <w:sz w:val="28"/>
          <w:szCs w:val="28"/>
        </w:rPr>
        <w:t xml:space="preserve"> методиками.</w:t>
      </w:r>
      <w:r>
        <w:rPr>
          <w:sz w:val="28"/>
          <w:szCs w:val="28"/>
          <w:lang w:val="uk-UA"/>
        </w:rPr>
        <w:t xml:space="preserve"> </w:t>
      </w:r>
    </w:p>
    <w:p w:rsidR="00A01923" w:rsidRDefault="00A01923" w:rsidP="00A01923">
      <w:pPr>
        <w:pStyle w:val="ac"/>
        <w:spacing w:line="360" w:lineRule="auto"/>
        <w:ind w:left="-567" w:firstLine="567"/>
        <w:jc w:val="both"/>
        <w:rPr>
          <w:sz w:val="28"/>
          <w:szCs w:val="28"/>
          <w:lang w:val="uk-UA"/>
        </w:rPr>
      </w:pPr>
      <w:r>
        <w:rPr>
          <w:sz w:val="28"/>
          <w:szCs w:val="28"/>
          <w:lang w:val="uk-UA"/>
        </w:rPr>
        <w:t xml:space="preserve">Для визначення типу та вираженості ураження судинного русла нижніх кінцівок виконували ультразвукову допплерографію (УЗД система </w:t>
      </w:r>
      <w:r>
        <w:rPr>
          <w:sz w:val="28"/>
          <w:szCs w:val="28"/>
        </w:rPr>
        <w:t>Sonoline</w:t>
      </w:r>
      <w:r>
        <w:rPr>
          <w:sz w:val="28"/>
          <w:szCs w:val="28"/>
          <w:lang w:val="uk-UA"/>
        </w:rPr>
        <w:t xml:space="preserve"> </w:t>
      </w:r>
      <w:r>
        <w:rPr>
          <w:sz w:val="28"/>
          <w:szCs w:val="28"/>
        </w:rPr>
        <w:t>G</w:t>
      </w:r>
      <w:r>
        <w:rPr>
          <w:sz w:val="28"/>
          <w:szCs w:val="28"/>
          <w:lang w:val="uk-UA"/>
        </w:rPr>
        <w:t>50 (</w:t>
      </w:r>
      <w:r>
        <w:rPr>
          <w:sz w:val="28"/>
          <w:szCs w:val="28"/>
        </w:rPr>
        <w:t>Siemens</w:t>
      </w:r>
      <w:r>
        <w:rPr>
          <w:sz w:val="28"/>
          <w:szCs w:val="28"/>
          <w:lang w:val="uk-UA"/>
        </w:rPr>
        <w:t>)) та\або ангіографію аорти та судин нижніх кінцівок (Система діагностична рентгенкардіоваскулярна «</w:t>
      </w:r>
      <w:r>
        <w:rPr>
          <w:sz w:val="28"/>
          <w:szCs w:val="28"/>
        </w:rPr>
        <w:t>Integris</w:t>
      </w:r>
      <w:r>
        <w:rPr>
          <w:sz w:val="28"/>
          <w:szCs w:val="28"/>
          <w:lang w:val="uk-UA"/>
        </w:rPr>
        <w:t xml:space="preserve"> </w:t>
      </w:r>
      <w:r>
        <w:rPr>
          <w:sz w:val="28"/>
          <w:szCs w:val="28"/>
        </w:rPr>
        <w:t>Allura</w:t>
      </w:r>
      <w:r>
        <w:rPr>
          <w:sz w:val="28"/>
          <w:szCs w:val="28"/>
          <w:lang w:val="uk-UA"/>
        </w:rPr>
        <w:t>», Ангіограф «</w:t>
      </w:r>
      <w:r>
        <w:rPr>
          <w:sz w:val="28"/>
          <w:szCs w:val="28"/>
        </w:rPr>
        <w:t>Trideros</w:t>
      </w:r>
      <w:r>
        <w:rPr>
          <w:sz w:val="28"/>
          <w:szCs w:val="28"/>
          <w:lang w:val="uk-UA"/>
        </w:rPr>
        <w:t>-</w:t>
      </w:r>
      <w:r>
        <w:rPr>
          <w:sz w:val="28"/>
          <w:szCs w:val="28"/>
        </w:rPr>
        <w:t>Optimatic</w:t>
      </w:r>
      <w:r>
        <w:rPr>
          <w:sz w:val="28"/>
          <w:szCs w:val="28"/>
          <w:lang w:val="uk-UA"/>
        </w:rPr>
        <w:t xml:space="preserve">-2000», </w:t>
      </w:r>
      <w:r>
        <w:rPr>
          <w:sz w:val="28"/>
          <w:szCs w:val="28"/>
        </w:rPr>
        <w:t>Siemens</w:t>
      </w:r>
      <w:r>
        <w:rPr>
          <w:sz w:val="28"/>
          <w:szCs w:val="28"/>
          <w:lang w:val="uk-UA"/>
        </w:rPr>
        <w:t>), КТ у судинному режимі з наступною тривимірною реконструкцією судин (рентгенівський компьютерний томограф «</w:t>
      </w:r>
      <w:r>
        <w:rPr>
          <w:sz w:val="28"/>
          <w:szCs w:val="28"/>
        </w:rPr>
        <w:t>Aquilion</w:t>
      </w:r>
      <w:r>
        <w:rPr>
          <w:sz w:val="28"/>
          <w:szCs w:val="28"/>
          <w:lang w:val="uk-UA"/>
        </w:rPr>
        <w:t xml:space="preserve"> 64 </w:t>
      </w:r>
      <w:r>
        <w:rPr>
          <w:sz w:val="28"/>
          <w:szCs w:val="28"/>
        </w:rPr>
        <w:t>TSX</w:t>
      </w:r>
      <w:r>
        <w:rPr>
          <w:sz w:val="28"/>
          <w:szCs w:val="28"/>
          <w:lang w:val="uk-UA"/>
        </w:rPr>
        <w:t>-101</w:t>
      </w:r>
      <w:r>
        <w:rPr>
          <w:sz w:val="28"/>
          <w:szCs w:val="28"/>
        </w:rPr>
        <w:t>A</w:t>
      </w:r>
      <w:r>
        <w:rPr>
          <w:sz w:val="28"/>
          <w:szCs w:val="28"/>
          <w:lang w:val="uk-UA"/>
        </w:rPr>
        <w:t xml:space="preserve">», </w:t>
      </w:r>
      <w:r>
        <w:rPr>
          <w:sz w:val="28"/>
          <w:szCs w:val="28"/>
        </w:rPr>
        <w:t>Toshiba</w:t>
      </w:r>
      <w:r>
        <w:rPr>
          <w:sz w:val="28"/>
          <w:szCs w:val="28"/>
          <w:lang w:val="uk-UA"/>
        </w:rPr>
        <w:t>).</w:t>
      </w:r>
    </w:p>
    <w:p w:rsidR="00A01923" w:rsidRDefault="00A01923" w:rsidP="00A01923">
      <w:pPr>
        <w:pStyle w:val="ac"/>
        <w:spacing w:line="360" w:lineRule="auto"/>
        <w:ind w:left="-567" w:firstLine="567"/>
        <w:jc w:val="both"/>
        <w:rPr>
          <w:sz w:val="28"/>
          <w:szCs w:val="28"/>
          <w:lang w:val="uk-UA"/>
        </w:rPr>
      </w:pPr>
      <w:r>
        <w:rPr>
          <w:sz w:val="28"/>
          <w:szCs w:val="28"/>
          <w:lang w:val="uk-UA"/>
        </w:rPr>
        <w:t xml:space="preserve">Спектр вегетуючої флори у хворих з трофічними ураженнями (32 хворим основної групи та 33 хворим групи порівняння) при надходженні у стаціонар визначали за допомогою методики бактеріологічного дослідження виділень з методом бактеріологічного посіву на щільне поживне середовище з подальшим визначенням чутливості до антибактеріальних препаратів. </w:t>
      </w:r>
    </w:p>
    <w:p w:rsidR="00A01923" w:rsidRDefault="00A01923" w:rsidP="00A01923">
      <w:pPr>
        <w:pStyle w:val="ac"/>
        <w:spacing w:line="360" w:lineRule="auto"/>
        <w:ind w:left="-567" w:firstLine="567"/>
        <w:jc w:val="both"/>
        <w:rPr>
          <w:b/>
          <w:sz w:val="28"/>
          <w:szCs w:val="28"/>
          <w:lang w:val="uk-UA"/>
        </w:rPr>
      </w:pPr>
      <w:r>
        <w:rPr>
          <w:sz w:val="28"/>
          <w:szCs w:val="28"/>
          <w:lang w:val="uk-UA"/>
        </w:rPr>
        <w:t xml:space="preserve">Визначення дисфункції ендотелію та активності запального процесу у ураженій кінцівці, ефективності лікування проводили шляхом визначення рівнів ЕТ1, </w:t>
      </w:r>
      <w:r>
        <w:rPr>
          <w:sz w:val="28"/>
          <w:szCs w:val="28"/>
          <w:lang w:val="en-US"/>
        </w:rPr>
        <w:t>VEGF</w:t>
      </w:r>
      <w:r>
        <w:rPr>
          <w:sz w:val="28"/>
          <w:szCs w:val="28"/>
          <w:lang w:val="uk-UA"/>
        </w:rPr>
        <w:t xml:space="preserve"> та С-реактивного білку. Рівень ендотеліну 1 і васкулоендотеліального фактору росту в сироватці крові визначали  тричі – при надходженні у стаціонар, та через 6 та 12 місяців після лікування методом імуноферментного аналізу з використанням тест систем «</w:t>
      </w:r>
      <w:r>
        <w:rPr>
          <w:sz w:val="28"/>
          <w:szCs w:val="28"/>
          <w:lang w:val="en-US"/>
        </w:rPr>
        <w:t>ELISA</w:t>
      </w:r>
      <w:r>
        <w:rPr>
          <w:sz w:val="28"/>
          <w:szCs w:val="28"/>
          <w:lang w:val="uk-UA"/>
        </w:rPr>
        <w:t xml:space="preserve">» </w:t>
      </w:r>
      <w:r>
        <w:rPr>
          <w:sz w:val="28"/>
          <w:szCs w:val="28"/>
          <w:lang w:val="en-US"/>
        </w:rPr>
        <w:t>JBL</w:t>
      </w:r>
      <w:r>
        <w:rPr>
          <w:sz w:val="28"/>
          <w:szCs w:val="28"/>
          <w:lang w:val="uk-UA"/>
        </w:rPr>
        <w:t xml:space="preserve"> </w:t>
      </w:r>
      <w:r>
        <w:rPr>
          <w:sz w:val="28"/>
          <w:szCs w:val="28"/>
          <w:lang w:val="en-US"/>
        </w:rPr>
        <w:t>International</w:t>
      </w:r>
      <w:r>
        <w:rPr>
          <w:sz w:val="28"/>
          <w:szCs w:val="28"/>
          <w:lang w:val="uk-UA"/>
        </w:rPr>
        <w:t xml:space="preserve"> </w:t>
      </w:r>
      <w:r>
        <w:rPr>
          <w:sz w:val="28"/>
          <w:szCs w:val="28"/>
          <w:lang w:val="en-US"/>
        </w:rPr>
        <w:t>corporation</w:t>
      </w:r>
      <w:r>
        <w:rPr>
          <w:sz w:val="28"/>
          <w:szCs w:val="28"/>
          <w:lang w:val="uk-UA"/>
        </w:rPr>
        <w:t xml:space="preserve"> (</w:t>
      </w:r>
      <w:r>
        <w:rPr>
          <w:sz w:val="28"/>
          <w:szCs w:val="28"/>
          <w:lang w:val="en-US"/>
        </w:rPr>
        <w:t>Germany</w:t>
      </w:r>
      <w:r>
        <w:rPr>
          <w:sz w:val="28"/>
          <w:szCs w:val="28"/>
          <w:lang w:val="uk-UA"/>
        </w:rPr>
        <w:t xml:space="preserve">, </w:t>
      </w:r>
      <w:r>
        <w:rPr>
          <w:sz w:val="28"/>
          <w:szCs w:val="28"/>
          <w:lang w:val="en-US"/>
        </w:rPr>
        <w:t>JP</w:t>
      </w:r>
      <w:r>
        <w:rPr>
          <w:sz w:val="28"/>
          <w:szCs w:val="28"/>
          <w:lang w:val="uk-UA"/>
        </w:rPr>
        <w:t xml:space="preserve"> 27 165) та «</w:t>
      </w:r>
      <w:r>
        <w:rPr>
          <w:sz w:val="28"/>
          <w:szCs w:val="28"/>
          <w:lang w:val="en-US"/>
        </w:rPr>
        <w:t>VEGF</w:t>
      </w:r>
      <w:r>
        <w:rPr>
          <w:sz w:val="28"/>
          <w:szCs w:val="28"/>
          <w:lang w:val="uk-UA"/>
        </w:rPr>
        <w:t xml:space="preserve"> </w:t>
      </w:r>
      <w:r>
        <w:rPr>
          <w:sz w:val="28"/>
          <w:szCs w:val="28"/>
          <w:lang w:val="en-US"/>
        </w:rPr>
        <w:t>Eagle</w:t>
      </w:r>
      <w:r>
        <w:rPr>
          <w:sz w:val="28"/>
          <w:szCs w:val="28"/>
          <w:lang w:val="uk-UA"/>
        </w:rPr>
        <w:t xml:space="preserve"> </w:t>
      </w:r>
      <w:r>
        <w:rPr>
          <w:sz w:val="28"/>
          <w:szCs w:val="28"/>
          <w:lang w:val="en-US"/>
        </w:rPr>
        <w:t>Biosciences</w:t>
      </w:r>
      <w:r>
        <w:rPr>
          <w:sz w:val="28"/>
          <w:szCs w:val="28"/>
          <w:lang w:val="uk-UA"/>
        </w:rPr>
        <w:t xml:space="preserve"> </w:t>
      </w:r>
      <w:r>
        <w:rPr>
          <w:sz w:val="28"/>
          <w:szCs w:val="28"/>
          <w:lang w:val="en-US"/>
        </w:rPr>
        <w:t>Inc</w:t>
      </w:r>
      <w:r>
        <w:rPr>
          <w:sz w:val="28"/>
          <w:szCs w:val="28"/>
          <w:lang w:val="uk-UA"/>
        </w:rPr>
        <w:t>.»(</w:t>
      </w:r>
      <w:r>
        <w:rPr>
          <w:sz w:val="28"/>
          <w:szCs w:val="28"/>
          <w:lang w:val="en-US"/>
        </w:rPr>
        <w:t>USA</w:t>
      </w:r>
      <w:r>
        <w:rPr>
          <w:sz w:val="28"/>
          <w:szCs w:val="28"/>
          <w:lang w:val="uk-UA"/>
        </w:rPr>
        <w:t xml:space="preserve">, </w:t>
      </w:r>
      <w:r>
        <w:rPr>
          <w:sz w:val="28"/>
          <w:szCs w:val="28"/>
          <w:lang w:val="en-US"/>
        </w:rPr>
        <w:t>catalog</w:t>
      </w:r>
      <w:r>
        <w:rPr>
          <w:sz w:val="28"/>
          <w:szCs w:val="28"/>
          <w:lang w:val="uk-UA"/>
        </w:rPr>
        <w:t xml:space="preserve"> </w:t>
      </w:r>
      <w:r>
        <w:rPr>
          <w:sz w:val="28"/>
          <w:szCs w:val="28"/>
          <w:lang w:val="en-US"/>
        </w:rPr>
        <w:t>number</w:t>
      </w:r>
      <w:r>
        <w:rPr>
          <w:sz w:val="28"/>
          <w:szCs w:val="28"/>
          <w:lang w:val="uk-UA"/>
        </w:rPr>
        <w:t xml:space="preserve"> </w:t>
      </w:r>
      <w:r>
        <w:rPr>
          <w:sz w:val="28"/>
          <w:szCs w:val="28"/>
          <w:lang w:val="en-US"/>
        </w:rPr>
        <w:t>VGF</w:t>
      </w:r>
      <w:r>
        <w:rPr>
          <w:sz w:val="28"/>
          <w:szCs w:val="28"/>
          <w:lang w:val="uk-UA"/>
        </w:rPr>
        <w:t xml:space="preserve"> 31- </w:t>
      </w:r>
      <w:r>
        <w:rPr>
          <w:sz w:val="28"/>
          <w:szCs w:val="28"/>
          <w:lang w:val="en-US"/>
        </w:rPr>
        <w:t>K</w:t>
      </w:r>
      <w:r>
        <w:rPr>
          <w:sz w:val="28"/>
          <w:szCs w:val="28"/>
          <w:lang w:val="uk-UA"/>
        </w:rPr>
        <w:t xml:space="preserve"> 01) відповідно. </w:t>
      </w:r>
      <w:r>
        <w:rPr>
          <w:sz w:val="28"/>
          <w:szCs w:val="28"/>
        </w:rPr>
        <w:t>Вимірювання проводили фотометром Sunrise (фірма TECAN, Австрія. Номер в державному реєстрі У1922-04).  Результати обробляли за допомогою програми Magelan V 7.1.</w:t>
      </w:r>
      <w:r>
        <w:rPr>
          <w:b/>
          <w:sz w:val="28"/>
          <w:szCs w:val="28"/>
        </w:rPr>
        <w:t xml:space="preserve"> </w:t>
      </w:r>
    </w:p>
    <w:p w:rsidR="00A01923" w:rsidRDefault="00A01923" w:rsidP="00A01923">
      <w:pPr>
        <w:pStyle w:val="ac"/>
        <w:spacing w:line="360" w:lineRule="auto"/>
        <w:ind w:left="-567" w:firstLine="567"/>
        <w:jc w:val="both"/>
        <w:rPr>
          <w:sz w:val="28"/>
          <w:szCs w:val="28"/>
          <w:lang w:val="uk-UA"/>
        </w:rPr>
      </w:pPr>
      <w:r>
        <w:rPr>
          <w:sz w:val="28"/>
          <w:szCs w:val="28"/>
          <w:lang w:val="uk-UA"/>
        </w:rPr>
        <w:t xml:space="preserve">Контрольні показники лабораторних </w:t>
      </w:r>
      <w:r>
        <w:rPr>
          <w:color w:val="000000"/>
          <w:sz w:val="28"/>
          <w:szCs w:val="28"/>
          <w:lang w:val="uk-UA"/>
        </w:rPr>
        <w:t>досліджень було визначено у крові 15 умовно здорових людей обох статей віком старше 60 років.</w:t>
      </w:r>
      <w:r>
        <w:rPr>
          <w:sz w:val="28"/>
          <w:szCs w:val="28"/>
          <w:lang w:val="uk-UA"/>
        </w:rPr>
        <w:t xml:space="preserve"> </w:t>
      </w:r>
      <w:r>
        <w:rPr>
          <w:sz w:val="28"/>
          <w:szCs w:val="28"/>
        </w:rPr>
        <w:t>За норму</w:t>
      </w:r>
      <w:r>
        <w:rPr>
          <w:sz w:val="28"/>
          <w:szCs w:val="28"/>
          <w:lang w:val="uk-UA"/>
        </w:rPr>
        <w:t xml:space="preserve"> ЕТ-1</w:t>
      </w:r>
      <w:r>
        <w:rPr>
          <w:sz w:val="28"/>
          <w:szCs w:val="28"/>
        </w:rPr>
        <w:t xml:space="preserve"> вважали середній рівень ц</w:t>
      </w:r>
      <w:r>
        <w:rPr>
          <w:sz w:val="28"/>
          <w:szCs w:val="28"/>
          <w:lang w:val="uk-UA"/>
        </w:rPr>
        <w:t>ього</w:t>
      </w:r>
      <w:r>
        <w:rPr>
          <w:sz w:val="28"/>
          <w:szCs w:val="28"/>
        </w:rPr>
        <w:t xml:space="preserve"> показник</w:t>
      </w:r>
      <w:r>
        <w:rPr>
          <w:sz w:val="28"/>
          <w:szCs w:val="28"/>
          <w:lang w:val="uk-UA"/>
        </w:rPr>
        <w:t>у</w:t>
      </w:r>
      <w:r>
        <w:rPr>
          <w:sz w:val="28"/>
          <w:szCs w:val="28"/>
        </w:rPr>
        <w:t>, який було отримано при обстеженні контрольної группи (</w:t>
      </w:r>
      <w:r>
        <w:rPr>
          <w:sz w:val="28"/>
          <w:szCs w:val="28"/>
          <w:lang w:val="en-US"/>
        </w:rPr>
        <w:t>n</w:t>
      </w:r>
      <w:r>
        <w:rPr>
          <w:sz w:val="28"/>
          <w:szCs w:val="28"/>
        </w:rPr>
        <w:sym w:font="Symbol" w:char="003D"/>
      </w:r>
      <w:r>
        <w:rPr>
          <w:sz w:val="28"/>
          <w:szCs w:val="28"/>
        </w:rPr>
        <w:t xml:space="preserve">15), а саме - </w:t>
      </w:r>
      <w:r>
        <w:rPr>
          <w:sz w:val="28"/>
          <w:szCs w:val="28"/>
          <w:lang w:val="uk-UA"/>
        </w:rPr>
        <w:t>3,964</w:t>
      </w:r>
      <w:r>
        <w:rPr>
          <w:sz w:val="28"/>
          <w:szCs w:val="28"/>
          <w:u w:val="single"/>
          <w:lang w:val="uk-UA"/>
        </w:rPr>
        <w:t>+</w:t>
      </w:r>
      <w:r>
        <w:rPr>
          <w:sz w:val="28"/>
          <w:szCs w:val="28"/>
          <w:lang w:val="uk-UA"/>
        </w:rPr>
        <w:t xml:space="preserve"> 0,032 п</w:t>
      </w:r>
      <w:r>
        <w:rPr>
          <w:sz w:val="28"/>
          <w:szCs w:val="28"/>
        </w:rPr>
        <w:t>г/</w:t>
      </w:r>
      <w:r>
        <w:rPr>
          <w:sz w:val="28"/>
          <w:szCs w:val="28"/>
          <w:lang w:val="uk-UA"/>
        </w:rPr>
        <w:t>мл</w:t>
      </w:r>
      <w:r>
        <w:rPr>
          <w:sz w:val="28"/>
          <w:szCs w:val="28"/>
        </w:rPr>
        <w:t xml:space="preserve"> (мінімум – </w:t>
      </w:r>
      <w:r>
        <w:rPr>
          <w:sz w:val="28"/>
          <w:szCs w:val="28"/>
          <w:lang w:val="uk-UA"/>
        </w:rPr>
        <w:t>3,91</w:t>
      </w:r>
      <w:r>
        <w:rPr>
          <w:sz w:val="28"/>
          <w:szCs w:val="28"/>
        </w:rPr>
        <w:t xml:space="preserve">, максимум </w:t>
      </w:r>
      <w:r>
        <w:rPr>
          <w:sz w:val="28"/>
          <w:szCs w:val="28"/>
        </w:rPr>
        <w:lastRenderedPageBreak/>
        <w:t xml:space="preserve">– </w:t>
      </w:r>
      <w:r>
        <w:rPr>
          <w:sz w:val="28"/>
          <w:szCs w:val="28"/>
          <w:lang w:val="uk-UA"/>
        </w:rPr>
        <w:t>4,02</w:t>
      </w:r>
      <w:r>
        <w:rPr>
          <w:sz w:val="28"/>
          <w:szCs w:val="28"/>
        </w:rPr>
        <w:t xml:space="preserve">, медіана – </w:t>
      </w:r>
      <w:r>
        <w:rPr>
          <w:sz w:val="28"/>
          <w:szCs w:val="28"/>
          <w:lang w:val="uk-UA"/>
        </w:rPr>
        <w:t>3,97</w:t>
      </w:r>
      <w:r>
        <w:rPr>
          <w:sz w:val="28"/>
          <w:szCs w:val="28"/>
        </w:rPr>
        <w:t xml:space="preserve">). </w:t>
      </w:r>
      <w:r>
        <w:rPr>
          <w:sz w:val="28"/>
          <w:szCs w:val="28"/>
          <w:lang w:val="uk-UA"/>
        </w:rPr>
        <w:t xml:space="preserve">Нормою рівню </w:t>
      </w:r>
      <w:r>
        <w:rPr>
          <w:sz w:val="28"/>
          <w:szCs w:val="28"/>
          <w:lang w:val="en-US"/>
        </w:rPr>
        <w:t>VEGF</w:t>
      </w:r>
      <w:r>
        <w:rPr>
          <w:sz w:val="28"/>
          <w:szCs w:val="28"/>
          <w:lang w:val="uk-UA"/>
        </w:rPr>
        <w:t xml:space="preserve"> також вважали рівень цього показнику у плазмі контрольної групи - 59</w:t>
      </w:r>
      <w:r>
        <w:rPr>
          <w:sz w:val="28"/>
          <w:szCs w:val="28"/>
          <w:u w:val="single"/>
          <w:lang w:val="uk-UA"/>
        </w:rPr>
        <w:t>+</w:t>
      </w:r>
      <w:r>
        <w:rPr>
          <w:sz w:val="28"/>
          <w:szCs w:val="28"/>
          <w:lang w:val="uk-UA"/>
        </w:rPr>
        <w:t>12,58 п</w:t>
      </w:r>
      <w:r>
        <w:rPr>
          <w:sz w:val="28"/>
          <w:szCs w:val="28"/>
        </w:rPr>
        <w:t>г/</w:t>
      </w:r>
      <w:r>
        <w:rPr>
          <w:sz w:val="28"/>
          <w:szCs w:val="28"/>
          <w:lang w:val="uk-UA"/>
        </w:rPr>
        <w:t>мл</w:t>
      </w:r>
      <w:r>
        <w:rPr>
          <w:sz w:val="28"/>
          <w:szCs w:val="28"/>
        </w:rPr>
        <w:t xml:space="preserve"> (мінімум – </w:t>
      </w:r>
      <w:r>
        <w:rPr>
          <w:sz w:val="28"/>
          <w:szCs w:val="28"/>
          <w:lang w:val="uk-UA"/>
        </w:rPr>
        <w:t>34</w:t>
      </w:r>
      <w:r>
        <w:rPr>
          <w:sz w:val="28"/>
          <w:szCs w:val="28"/>
        </w:rPr>
        <w:t xml:space="preserve">, максимум – </w:t>
      </w:r>
      <w:r>
        <w:rPr>
          <w:sz w:val="28"/>
          <w:szCs w:val="28"/>
          <w:lang w:val="uk-UA"/>
        </w:rPr>
        <w:t>80</w:t>
      </w:r>
      <w:r>
        <w:rPr>
          <w:sz w:val="28"/>
          <w:szCs w:val="28"/>
        </w:rPr>
        <w:t xml:space="preserve">, медіана – </w:t>
      </w:r>
      <w:r>
        <w:rPr>
          <w:sz w:val="28"/>
          <w:szCs w:val="28"/>
          <w:lang w:val="uk-UA"/>
        </w:rPr>
        <w:t>56</w:t>
      </w:r>
      <w:r>
        <w:rPr>
          <w:sz w:val="28"/>
          <w:szCs w:val="28"/>
        </w:rPr>
        <w:t>).</w:t>
      </w:r>
      <w:r>
        <w:rPr>
          <w:sz w:val="28"/>
          <w:szCs w:val="28"/>
          <w:lang w:val="uk-UA"/>
        </w:rPr>
        <w:t xml:space="preserve"> Аналіз плазми крові хворих на рівень фібриногену виконувався за уніфікованою методикою, СРБ</w:t>
      </w:r>
      <w:r>
        <w:rPr>
          <w:b/>
          <w:color w:val="FF0000"/>
          <w:sz w:val="28"/>
          <w:szCs w:val="28"/>
          <w:lang w:val="uk-UA"/>
        </w:rPr>
        <w:t xml:space="preserve"> </w:t>
      </w:r>
      <w:r>
        <w:rPr>
          <w:sz w:val="28"/>
          <w:szCs w:val="28"/>
          <w:lang w:val="uk-UA"/>
        </w:rPr>
        <w:t>визначали методом імуноферментного аналізу з використанням тест систем</w:t>
      </w:r>
      <w:r>
        <w:rPr>
          <w:color w:val="FF0000"/>
          <w:sz w:val="28"/>
          <w:szCs w:val="28"/>
          <w:lang w:val="uk-UA"/>
        </w:rPr>
        <w:t xml:space="preserve"> </w:t>
      </w:r>
      <w:r>
        <w:rPr>
          <w:color w:val="000000"/>
          <w:sz w:val="28"/>
          <w:szCs w:val="28"/>
          <w:lang w:val="en-US"/>
        </w:rPr>
        <w:t>IMMULITE</w:t>
      </w:r>
      <w:r>
        <w:rPr>
          <w:sz w:val="28"/>
          <w:szCs w:val="28"/>
          <w:lang w:val="uk-UA"/>
        </w:rPr>
        <w:t xml:space="preserve"> 2000 </w:t>
      </w:r>
      <w:r>
        <w:rPr>
          <w:sz w:val="28"/>
          <w:szCs w:val="28"/>
          <w:lang w:val="en-US"/>
        </w:rPr>
        <w:t>High</w:t>
      </w:r>
      <w:r>
        <w:rPr>
          <w:sz w:val="28"/>
          <w:szCs w:val="28"/>
          <w:lang w:val="uk-UA"/>
        </w:rPr>
        <w:t xml:space="preserve"> </w:t>
      </w:r>
      <w:r>
        <w:rPr>
          <w:sz w:val="28"/>
          <w:szCs w:val="28"/>
          <w:lang w:val="en-US"/>
        </w:rPr>
        <w:t>Sensitivity</w:t>
      </w:r>
      <w:r>
        <w:rPr>
          <w:sz w:val="28"/>
          <w:szCs w:val="28"/>
          <w:lang w:val="uk-UA"/>
        </w:rPr>
        <w:t xml:space="preserve"> </w:t>
      </w:r>
      <w:r>
        <w:rPr>
          <w:sz w:val="28"/>
          <w:szCs w:val="28"/>
          <w:lang w:val="en-US"/>
        </w:rPr>
        <w:t>CPR</w:t>
      </w:r>
      <w:r>
        <w:rPr>
          <w:sz w:val="28"/>
          <w:szCs w:val="28"/>
          <w:lang w:val="uk-UA"/>
        </w:rPr>
        <w:t xml:space="preserve"> (</w:t>
      </w:r>
      <w:r>
        <w:rPr>
          <w:sz w:val="28"/>
          <w:szCs w:val="28"/>
          <w:lang w:val="en-US"/>
        </w:rPr>
        <w:t>catalog</w:t>
      </w:r>
      <w:r>
        <w:rPr>
          <w:sz w:val="28"/>
          <w:szCs w:val="28"/>
          <w:lang w:val="uk-UA"/>
        </w:rPr>
        <w:t xml:space="preserve"> </w:t>
      </w:r>
      <w:r>
        <w:rPr>
          <w:sz w:val="28"/>
          <w:szCs w:val="28"/>
          <w:lang w:val="en-US"/>
        </w:rPr>
        <w:t>number</w:t>
      </w:r>
      <w:r>
        <w:rPr>
          <w:sz w:val="28"/>
          <w:szCs w:val="28"/>
          <w:lang w:val="uk-UA"/>
        </w:rPr>
        <w:t xml:space="preserve"> </w:t>
      </w:r>
      <w:r>
        <w:rPr>
          <w:sz w:val="28"/>
          <w:szCs w:val="28"/>
          <w:lang w:val="en-US"/>
        </w:rPr>
        <w:t>L</w:t>
      </w:r>
      <w:r>
        <w:rPr>
          <w:sz w:val="28"/>
          <w:szCs w:val="28"/>
          <w:lang w:val="uk-UA"/>
        </w:rPr>
        <w:t>2</w:t>
      </w:r>
      <w:r>
        <w:rPr>
          <w:sz w:val="28"/>
          <w:szCs w:val="28"/>
          <w:lang w:val="en-US"/>
        </w:rPr>
        <w:t>KCRP</w:t>
      </w:r>
      <w:r>
        <w:rPr>
          <w:sz w:val="28"/>
          <w:szCs w:val="28"/>
          <w:lang w:val="uk-UA"/>
        </w:rPr>
        <w:t xml:space="preserve">2). </w:t>
      </w:r>
      <w:r>
        <w:rPr>
          <w:color w:val="000000"/>
          <w:sz w:val="28"/>
          <w:szCs w:val="28"/>
          <w:lang w:val="uk-UA"/>
        </w:rPr>
        <w:t>Дослідження виконували у</w:t>
      </w:r>
      <w:r>
        <w:rPr>
          <w:color w:val="FF0000"/>
          <w:sz w:val="28"/>
          <w:szCs w:val="28"/>
          <w:lang w:val="uk-UA"/>
        </w:rPr>
        <w:t xml:space="preserve">  </w:t>
      </w:r>
      <w:r>
        <w:rPr>
          <w:sz w:val="28"/>
          <w:szCs w:val="28"/>
          <w:lang w:val="uk-UA"/>
        </w:rPr>
        <w:t xml:space="preserve">лабораторії радіаційної імунології Державної установи «Інститут медичної радіології ім. </w:t>
      </w:r>
      <w:r>
        <w:rPr>
          <w:sz w:val="28"/>
          <w:szCs w:val="28"/>
        </w:rPr>
        <w:t>С.П. Григор'єва» Національної Академії медичних наук України</w:t>
      </w:r>
      <w:r>
        <w:rPr>
          <w:sz w:val="28"/>
          <w:szCs w:val="28"/>
          <w:lang w:val="uk-UA"/>
        </w:rPr>
        <w:t xml:space="preserve"> </w:t>
      </w:r>
      <w:r>
        <w:rPr>
          <w:sz w:val="28"/>
          <w:szCs w:val="28"/>
        </w:rPr>
        <w:t>(свідоцтво про атестацію № 100-059/2012 від 26.03.2012 р.)</w:t>
      </w:r>
      <w:r>
        <w:rPr>
          <w:sz w:val="28"/>
          <w:szCs w:val="28"/>
          <w:lang w:val="uk-UA"/>
        </w:rPr>
        <w:t>.</w:t>
      </w:r>
    </w:p>
    <w:p w:rsidR="00A01923" w:rsidRDefault="00A01923" w:rsidP="00A01923">
      <w:pPr>
        <w:pStyle w:val="ac"/>
        <w:spacing w:line="360" w:lineRule="auto"/>
        <w:ind w:left="-567" w:firstLine="567"/>
        <w:jc w:val="both"/>
        <w:rPr>
          <w:color w:val="FF0000"/>
          <w:sz w:val="28"/>
          <w:szCs w:val="28"/>
          <w:lang w:val="uk-UA"/>
        </w:rPr>
      </w:pPr>
      <w:r>
        <w:rPr>
          <w:sz w:val="28"/>
          <w:szCs w:val="28"/>
          <w:lang w:val="uk-UA"/>
        </w:rPr>
        <w:t>Температурний режим кінцівок визначався за допомогою інфрачервоного термометру «Heaco DT-8806S» на етапах лікування – до та після лікування та через 6 та 12 місяців після виписки, на обох нижніх кінцівках у режимах вимірювання температури поверхні та температури тіла у 14 точках передньої та задньої поверхонь гомілки та стопи, у тому числі у точках введення збагаченої тромбоцитами плазми (рис.2.4).</w:t>
      </w:r>
    </w:p>
    <w:p w:rsidR="00A01923" w:rsidRDefault="00487043" w:rsidP="00A01923">
      <w:pPr>
        <w:pStyle w:val="Default"/>
        <w:spacing w:line="360" w:lineRule="auto"/>
        <w:ind w:left="-567" w:firstLine="567"/>
        <w:jc w:val="both"/>
        <w:rPr>
          <w:color w:val="auto"/>
          <w:sz w:val="28"/>
          <w:szCs w:val="28"/>
          <w:lang w:val="uk-UA"/>
        </w:rPr>
      </w:pPr>
      <w:r w:rsidRPr="00487043">
        <w:pict>
          <v:shape id="_x0000_s1838" type="#_x0000_t202" style="position:absolute;left:0;text-align:left;margin-left:3.25pt;margin-top:272.4pt;width:460.6pt;height:28.4pt;z-index:251620864;mso-width-relative:margin;mso-height-relative:margin" filled="f" strokecolor="white">
            <v:textbox>
              <w:txbxContent>
                <w:p w:rsidR="00DA0A21" w:rsidRDefault="00DA0A21" w:rsidP="00A01923">
                  <w:pPr>
                    <w:pStyle w:val="Default"/>
                    <w:spacing w:line="360" w:lineRule="auto"/>
                    <w:ind w:left="-567" w:firstLine="567"/>
                    <w:jc w:val="both"/>
                    <w:rPr>
                      <w:color w:val="auto"/>
                      <w:sz w:val="28"/>
                      <w:szCs w:val="28"/>
                      <w:lang w:val="uk-UA"/>
                    </w:rPr>
                  </w:pPr>
                  <w:r>
                    <w:rPr>
                      <w:color w:val="auto"/>
                      <w:sz w:val="28"/>
                      <w:szCs w:val="28"/>
                      <w:lang w:val="uk-UA"/>
                    </w:rPr>
                    <w:t>Рис. 2.4. Точки  та методика вимірювання температури кінцівок.</w:t>
                  </w:r>
                </w:p>
                <w:p w:rsidR="00DA0A21" w:rsidRDefault="00DA0A21" w:rsidP="00A01923"/>
              </w:txbxContent>
            </v:textbox>
          </v:shape>
        </w:pict>
      </w:r>
      <w:r w:rsidR="00A01923">
        <w:rPr>
          <w:noProof/>
          <w:color w:val="auto"/>
          <w:sz w:val="28"/>
          <w:szCs w:val="28"/>
        </w:rPr>
        <w:drawing>
          <wp:inline distT="0" distB="0" distL="0" distR="0">
            <wp:extent cx="2612390" cy="3134995"/>
            <wp:effectExtent l="19050" t="0" r="0" b="0"/>
            <wp:docPr id="3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cstate="print"/>
                    <a:srcRect/>
                    <a:stretch>
                      <a:fillRect/>
                    </a:stretch>
                  </pic:blipFill>
                  <pic:spPr bwMode="auto">
                    <a:xfrm>
                      <a:off x="0" y="0"/>
                      <a:ext cx="2612390" cy="3134995"/>
                    </a:xfrm>
                    <a:prstGeom prst="rect">
                      <a:avLst/>
                    </a:prstGeom>
                    <a:noFill/>
                    <a:ln w="9525">
                      <a:noFill/>
                      <a:miter lim="800000"/>
                      <a:headEnd/>
                      <a:tailEnd/>
                    </a:ln>
                  </pic:spPr>
                </pic:pic>
              </a:graphicData>
            </a:graphic>
          </wp:inline>
        </w:drawing>
      </w:r>
      <w:r w:rsidR="00A01923">
        <w:rPr>
          <w:noProof/>
          <w:color w:val="auto"/>
          <w:sz w:val="28"/>
          <w:szCs w:val="28"/>
        </w:rPr>
        <w:drawing>
          <wp:inline distT="0" distB="0" distL="0" distR="0">
            <wp:extent cx="3099435" cy="3289300"/>
            <wp:effectExtent l="19050" t="0" r="5715" b="0"/>
            <wp:docPr id="31" name="Рисунок 11" descr="IMG_20161102_115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IMG_20161102_115754"/>
                    <pic:cNvPicPr>
                      <a:picLocks noChangeAspect="1" noChangeArrowheads="1"/>
                    </pic:cNvPicPr>
                  </pic:nvPicPr>
                  <pic:blipFill>
                    <a:blip r:embed="rId14" cstate="print"/>
                    <a:srcRect/>
                    <a:stretch>
                      <a:fillRect/>
                    </a:stretch>
                  </pic:blipFill>
                  <pic:spPr bwMode="auto">
                    <a:xfrm>
                      <a:off x="0" y="0"/>
                      <a:ext cx="3099435" cy="3289300"/>
                    </a:xfrm>
                    <a:prstGeom prst="rect">
                      <a:avLst/>
                    </a:prstGeom>
                    <a:noFill/>
                    <a:ln w="9525">
                      <a:noFill/>
                      <a:miter lim="800000"/>
                      <a:headEnd/>
                      <a:tailEnd/>
                    </a:ln>
                  </pic:spPr>
                </pic:pic>
              </a:graphicData>
            </a:graphic>
          </wp:inline>
        </w:drawing>
      </w: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Для об'єктивної оцінки тяжкості ішемії у хворих виключно важливо дослідження порушень мікроциркуляції і тканинного метаболізму із </w:t>
      </w:r>
      <w:r>
        <w:rPr>
          <w:sz w:val="28"/>
          <w:szCs w:val="28"/>
        </w:rPr>
        <w:lastRenderedPageBreak/>
        <w:t>застосуванням методу транскутанної оксиметрії. Переваги транскутанної оксиметрії в діагностиці ХКІНК щодо інших рутинних методів полягають у відсутності впливу медіакальціноза на результати вимірювання черезшкірного насичення кисню (TcPO</w:t>
      </w:r>
      <w:r>
        <w:rPr>
          <w:sz w:val="28"/>
          <w:szCs w:val="28"/>
          <w:vertAlign w:val="subscript"/>
        </w:rPr>
        <w:t>2</w:t>
      </w:r>
      <w:r>
        <w:rPr>
          <w:sz w:val="28"/>
          <w:szCs w:val="28"/>
        </w:rPr>
        <w:t>). Граничним для діагностики критичної ішемії кінцівки значенням TcPO</w:t>
      </w:r>
      <w:r>
        <w:rPr>
          <w:sz w:val="28"/>
          <w:szCs w:val="28"/>
          <w:vertAlign w:val="subscript"/>
        </w:rPr>
        <w:t>2</w:t>
      </w:r>
      <w:r>
        <w:rPr>
          <w:sz w:val="28"/>
          <w:szCs w:val="28"/>
        </w:rPr>
        <w:t xml:space="preserve"> визнано 40 мм рт.ст. </w:t>
      </w:r>
    </w:p>
    <w:p w:rsidR="00A01923" w:rsidRDefault="00A01923" w:rsidP="00A01923">
      <w:pPr>
        <w:pStyle w:val="ac"/>
        <w:spacing w:line="360" w:lineRule="auto"/>
        <w:ind w:left="-567" w:firstLine="567"/>
        <w:jc w:val="both"/>
        <w:rPr>
          <w:color w:val="FF0000"/>
          <w:sz w:val="28"/>
          <w:szCs w:val="28"/>
          <w:lang w:val="uk-UA"/>
        </w:rPr>
      </w:pPr>
      <w:r>
        <w:rPr>
          <w:sz w:val="28"/>
          <w:szCs w:val="28"/>
          <w:lang w:val="uk-UA"/>
        </w:rPr>
        <w:t xml:space="preserve">Хворим основної групи було проведено визначення </w:t>
      </w:r>
      <w:r>
        <w:rPr>
          <w:sz w:val="28"/>
          <w:szCs w:val="28"/>
        </w:rPr>
        <w:t>TcPO</w:t>
      </w:r>
      <w:r>
        <w:rPr>
          <w:sz w:val="28"/>
          <w:szCs w:val="28"/>
          <w:vertAlign w:val="subscript"/>
          <w:lang w:val="uk-UA"/>
        </w:rPr>
        <w:t>2</w:t>
      </w:r>
      <w:r>
        <w:rPr>
          <w:sz w:val="28"/>
          <w:szCs w:val="28"/>
          <w:lang w:val="uk-UA"/>
        </w:rPr>
        <w:t xml:space="preserve"> на тильній поверхні ступні хворої кінцівки у строки до лікування, після лікування, та через 6 та 12 місяців за допомогою одноканального порціометру </w:t>
      </w:r>
      <w:r>
        <w:rPr>
          <w:sz w:val="28"/>
          <w:szCs w:val="28"/>
        </w:rPr>
        <w:t>TCM</w:t>
      </w:r>
      <w:r>
        <w:rPr>
          <w:sz w:val="28"/>
          <w:szCs w:val="28"/>
          <w:lang w:val="uk-UA"/>
        </w:rPr>
        <w:t xml:space="preserve"> 4 </w:t>
      </w:r>
      <w:r>
        <w:rPr>
          <w:sz w:val="28"/>
          <w:szCs w:val="28"/>
        </w:rPr>
        <w:t>RADIOMETER</w:t>
      </w:r>
      <w:r>
        <w:rPr>
          <w:sz w:val="28"/>
          <w:szCs w:val="28"/>
          <w:lang w:val="uk-UA"/>
        </w:rPr>
        <w:t xml:space="preserve"> (Данія). </w:t>
      </w:r>
      <w:r>
        <w:rPr>
          <w:sz w:val="28"/>
          <w:szCs w:val="28"/>
        </w:rPr>
        <w:t>Методика неінвазивна, на шкіру накладали особливі датчики і прилад оцінював концентрацію (тиск) кисню в місці постановки датчика (рис.2.5).</w:t>
      </w:r>
      <w:r>
        <w:rPr>
          <w:sz w:val="28"/>
          <w:szCs w:val="28"/>
          <w:lang w:val="uk-UA"/>
        </w:rPr>
        <w:t xml:space="preserve"> Контрольні значення показнику були визначені</w:t>
      </w:r>
      <w:r>
        <w:rPr>
          <w:color w:val="000000"/>
          <w:sz w:val="28"/>
          <w:szCs w:val="28"/>
          <w:lang w:val="uk-UA"/>
        </w:rPr>
        <w:t xml:space="preserve"> у 5 умовно здорових людей старших 60 років.</w:t>
      </w:r>
    </w:p>
    <w:p w:rsidR="00A01923" w:rsidRDefault="00487043" w:rsidP="00A01923">
      <w:pPr>
        <w:pStyle w:val="a8"/>
        <w:spacing w:after="0" w:line="360" w:lineRule="auto"/>
        <w:ind w:left="-567" w:firstLine="567"/>
        <w:jc w:val="both"/>
        <w:rPr>
          <w:i/>
          <w:sz w:val="28"/>
          <w:szCs w:val="28"/>
        </w:rPr>
      </w:pPr>
      <w:r w:rsidRPr="00487043">
        <w:pict>
          <v:group id="_x0000_s1880" style="position:absolute;left:0;text-align:left;margin-left:-6.9pt;margin-top:18pt;width:468.75pt;height:439.7pt;z-index:251621888" coordorigin="1563,6324" coordsize="9375,8794">
            <v:shape id="_x0000_s1881" type="#_x0000_t202" style="position:absolute;left:1563;top:6324;width:9375;height:8272" stroked="f">
              <v:textbox>
                <w:txbxContent>
                  <w:p w:rsidR="00DA0A21" w:rsidRDefault="00DA0A21" w:rsidP="00A01923">
                    <w:pPr>
                      <w:rPr>
                        <w:lang w:val="uk-UA"/>
                      </w:rPr>
                    </w:pPr>
                    <w:r w:rsidRPr="00487043">
                      <w:rPr>
                        <w:rFonts w:ascii="Calibri" w:eastAsia="Calibri" w:hAnsi="Calibri"/>
                        <w:sz w:val="20"/>
                        <w:szCs w:val="20"/>
                      </w:rPr>
                      <w:pict>
                        <v:shape id="_x0000_i1030" type="#_x0000_t75" style="width:454.35pt;height:191.15pt;visibility:visible">
                          <v:imagedata r:id="rId15" o:title="20170405100938 bv"/>
                        </v:shape>
                      </w:pict>
                    </w:r>
                    <w:r w:rsidRPr="00487043">
                      <w:rPr>
                        <w:rFonts w:ascii="Calibri" w:eastAsia="Calibri" w:hAnsi="Calibri"/>
                        <w:sz w:val="20"/>
                        <w:szCs w:val="20"/>
                      </w:rPr>
                      <w:pict>
                        <v:shape id="_x0000_i1032" type="#_x0000_t75" style="width:458.05pt;height:224.7pt;visibility:visible">
                          <v:imagedata r:id="rId16" o:title="20170405100915 2"/>
                        </v:shape>
                      </w:pict>
                    </w:r>
                  </w:p>
                  <w:p w:rsidR="00DA0A21" w:rsidRDefault="00DA0A21" w:rsidP="00A01923">
                    <w:pPr>
                      <w:rPr>
                        <w:lang w:val="uk-UA"/>
                      </w:rPr>
                    </w:pPr>
                  </w:p>
                </w:txbxContent>
              </v:textbox>
            </v:shape>
            <v:shape id="_x0000_s1882" type="#_x0000_t202" style="position:absolute;left:1767;top:14596;width:8548;height:522"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 xml:space="preserve">Рис. 2.5. Методика визначення транскутанного напруження кисню </w:t>
                    </w:r>
                  </w:p>
                </w:txbxContent>
              </v:textbox>
            </v:shape>
          </v:group>
        </w:pict>
      </w: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i/>
          <w:color w:val="548DD4"/>
          <w:sz w:val="28"/>
          <w:szCs w:val="28"/>
        </w:rPr>
      </w:pPr>
    </w:p>
    <w:p w:rsidR="00A01923" w:rsidRDefault="00A01923" w:rsidP="00A01923">
      <w:pPr>
        <w:pStyle w:val="a8"/>
        <w:spacing w:after="0" w:line="360" w:lineRule="auto"/>
        <w:ind w:left="-284" w:firstLine="568"/>
        <w:jc w:val="right"/>
        <w:rPr>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color w:val="FF0000"/>
          <w:sz w:val="28"/>
          <w:szCs w:val="28"/>
        </w:rPr>
      </w:pPr>
      <w:r>
        <w:rPr>
          <w:color w:val="FF0000"/>
          <w:sz w:val="28"/>
          <w:szCs w:val="28"/>
        </w:rPr>
        <w:t>На рис. елементи реклами препарату!</w:t>
      </w:r>
    </w:p>
    <w:p w:rsidR="00A01923" w:rsidRDefault="00A01923" w:rsidP="00A01923">
      <w:pPr>
        <w:pStyle w:val="a8"/>
        <w:spacing w:after="0" w:line="360" w:lineRule="auto"/>
        <w:ind w:left="-567" w:firstLine="567"/>
        <w:jc w:val="both"/>
        <w:rPr>
          <w:sz w:val="28"/>
          <w:szCs w:val="28"/>
          <w:lang w:val="ru-RU"/>
        </w:rPr>
      </w:pPr>
      <w:r>
        <w:rPr>
          <w:sz w:val="28"/>
          <w:szCs w:val="28"/>
        </w:rPr>
        <w:lastRenderedPageBreak/>
        <w:t xml:space="preserve">Транскутанна </w:t>
      </w:r>
      <w:r>
        <w:rPr>
          <w:color w:val="000000"/>
          <w:sz w:val="28"/>
          <w:szCs w:val="28"/>
        </w:rPr>
        <w:t>оксиметрія є одним з методів, що дозволяють оцінити рівень доставки кисню до тканин</w:t>
      </w:r>
      <w:r>
        <w:rPr>
          <w:sz w:val="28"/>
          <w:szCs w:val="28"/>
        </w:rPr>
        <w:t xml:space="preserve">, тобто виміряти функціональну ефективність руху крові в мікроциркуляторному руслі. </w:t>
      </w:r>
      <w:r>
        <w:rPr>
          <w:sz w:val="28"/>
          <w:szCs w:val="28"/>
          <w:lang w:val="ru-RU"/>
        </w:rPr>
        <w:t>Визначення TcPO</w:t>
      </w:r>
      <w:r>
        <w:rPr>
          <w:sz w:val="28"/>
          <w:szCs w:val="28"/>
          <w:vertAlign w:val="subscript"/>
          <w:lang w:val="ru-RU"/>
        </w:rPr>
        <w:t xml:space="preserve">2 </w:t>
      </w:r>
      <w:r>
        <w:rPr>
          <w:color w:val="FF0000"/>
          <w:sz w:val="28"/>
          <w:szCs w:val="28"/>
          <w:lang w:val="ru-RU"/>
        </w:rPr>
        <w:t xml:space="preserve">– </w:t>
      </w:r>
      <w:r>
        <w:rPr>
          <w:sz w:val="28"/>
          <w:szCs w:val="28"/>
          <w:lang w:val="ru-RU"/>
        </w:rPr>
        <w:t>метод, заснований на принципі полярографічного виявлення кисню в біологічних об'єктах.</w:t>
      </w:r>
    </w:p>
    <w:p w:rsidR="00A01923" w:rsidRDefault="00A01923" w:rsidP="00A01923">
      <w:pPr>
        <w:pStyle w:val="a8"/>
        <w:spacing w:after="0" w:line="360" w:lineRule="auto"/>
        <w:ind w:left="-567" w:firstLine="567"/>
        <w:jc w:val="both"/>
        <w:rPr>
          <w:sz w:val="28"/>
          <w:szCs w:val="28"/>
          <w:lang w:val="ru-RU"/>
        </w:rPr>
      </w:pPr>
      <w:r>
        <w:rPr>
          <w:sz w:val="28"/>
          <w:szCs w:val="28"/>
          <w:lang w:val="ru-RU"/>
        </w:rPr>
        <w:t>Вимірювання проводять над областю з рівномірним капілярним ложем без великих артерій і вен, дефектів шкіри або волосяного покриву. Розташування електрода над кісткою може привести до невірних результатів, особливо, якщо зміна положення тіла викликає натяг шкіри виступаючою кісткою. Значний набряк в зоні дослідження також може привести до неточних результатів.</w:t>
      </w:r>
    </w:p>
    <w:p w:rsidR="00A01923" w:rsidRDefault="00A01923" w:rsidP="00A01923">
      <w:pPr>
        <w:pStyle w:val="a8"/>
        <w:spacing w:after="0" w:line="360" w:lineRule="auto"/>
        <w:ind w:left="-567" w:firstLine="567"/>
        <w:jc w:val="both"/>
        <w:rPr>
          <w:sz w:val="28"/>
          <w:szCs w:val="28"/>
          <w:lang w:val="ru-RU"/>
        </w:rPr>
      </w:pPr>
      <w:r>
        <w:rPr>
          <w:sz w:val="28"/>
          <w:szCs w:val="28"/>
          <w:lang w:val="ru-RU"/>
        </w:rPr>
        <w:t>Перед початком дослідження не рекомендується вживання алкогольних напоїв, міцного чаю і кави. Хворий під час дослідження знаходиться в лежачому положенні і повинен перебувати в спокійному і розслабленому психоемоційному стані. Температура в приміщенні, де проводиться дослідження, повинна бути комфортною для пацієнта і складати 21-23 ° С.</w:t>
      </w:r>
    </w:p>
    <w:p w:rsidR="00A01923" w:rsidRDefault="00A01923" w:rsidP="00A01923">
      <w:pPr>
        <w:pStyle w:val="a8"/>
        <w:spacing w:after="0" w:line="360" w:lineRule="auto"/>
        <w:ind w:left="-567" w:firstLine="567"/>
        <w:jc w:val="both"/>
        <w:rPr>
          <w:sz w:val="28"/>
          <w:szCs w:val="28"/>
          <w:lang w:val="ru-RU"/>
        </w:rPr>
      </w:pPr>
      <w:r>
        <w:rPr>
          <w:sz w:val="28"/>
          <w:szCs w:val="28"/>
          <w:lang w:val="ru-RU"/>
        </w:rPr>
        <w:t>Поверхню шкіри попередньо обробляють спиртовим розчином, волосяний покрив збривають. Перед початком дослідження проводиться калібрування електрода. Електрод встановлюється в фіксуюче кільце на шкірі. Порожнина фіксуючого кільця попередньо заповнюється розчином електроліту (2-3 краплі). Між шкірою і електродом не повинно бути бульбашок повітря, інакше значення TcPO</w:t>
      </w:r>
      <w:r>
        <w:rPr>
          <w:sz w:val="28"/>
          <w:szCs w:val="28"/>
          <w:vertAlign w:val="subscript"/>
          <w:lang w:val="ru-RU"/>
        </w:rPr>
        <w:t>2</w:t>
      </w:r>
      <w:r>
        <w:rPr>
          <w:sz w:val="28"/>
          <w:szCs w:val="28"/>
          <w:lang w:val="ru-RU"/>
        </w:rPr>
        <w:t xml:space="preserve"> будуть сумнівними. Після підготовки шкіри і кільця датчик може бути встановлений в фіксуюче кільце на шкіру. Для стабілізації показників TcPO</w:t>
      </w:r>
      <w:r>
        <w:rPr>
          <w:sz w:val="28"/>
          <w:szCs w:val="28"/>
          <w:vertAlign w:val="subscript"/>
          <w:lang w:val="ru-RU"/>
        </w:rPr>
        <w:t>2</w:t>
      </w:r>
      <w:r>
        <w:rPr>
          <w:sz w:val="28"/>
          <w:szCs w:val="28"/>
          <w:lang w:val="ru-RU"/>
        </w:rPr>
        <w:t xml:space="preserve"> після установки датчика на шкіру потрібно близько 15 хв.</w:t>
      </w:r>
    </w:p>
    <w:p w:rsidR="00A01923" w:rsidRDefault="00A01923" w:rsidP="00A01923">
      <w:pPr>
        <w:pStyle w:val="a8"/>
        <w:spacing w:after="0" w:line="360" w:lineRule="auto"/>
        <w:ind w:left="-567" w:firstLine="567"/>
        <w:jc w:val="both"/>
        <w:rPr>
          <w:sz w:val="28"/>
          <w:szCs w:val="28"/>
          <w:lang w:val="ru-RU"/>
        </w:rPr>
      </w:pPr>
    </w:p>
    <w:p w:rsidR="00A01923" w:rsidRDefault="00A01923" w:rsidP="00A01923">
      <w:pPr>
        <w:pStyle w:val="a8"/>
        <w:spacing w:after="0" w:line="360" w:lineRule="auto"/>
        <w:ind w:left="-567" w:firstLine="567"/>
        <w:jc w:val="both"/>
        <w:rPr>
          <w:b/>
          <w:sz w:val="28"/>
          <w:szCs w:val="28"/>
          <w:lang w:val="ru-RU"/>
        </w:rPr>
      </w:pPr>
    </w:p>
    <w:p w:rsidR="00A01923" w:rsidRDefault="00A01923" w:rsidP="00A01923">
      <w:pPr>
        <w:pStyle w:val="ac"/>
        <w:spacing w:line="360" w:lineRule="auto"/>
        <w:ind w:left="-567" w:firstLine="568"/>
        <w:rPr>
          <w:b/>
          <w:sz w:val="28"/>
          <w:szCs w:val="28"/>
          <w:lang w:val="uk-UA"/>
        </w:rPr>
      </w:pPr>
      <w:r>
        <w:rPr>
          <w:b/>
          <w:sz w:val="28"/>
          <w:szCs w:val="28"/>
        </w:rPr>
        <w:t>2.3 Методи оцінки якості життя хворих та рівню болю</w:t>
      </w:r>
    </w:p>
    <w:p w:rsidR="00A01923" w:rsidRDefault="00A01923" w:rsidP="00A01923">
      <w:pPr>
        <w:pStyle w:val="ac"/>
        <w:spacing w:line="360" w:lineRule="auto"/>
        <w:ind w:left="-567" w:firstLine="568"/>
        <w:rPr>
          <w:b/>
          <w:sz w:val="28"/>
          <w:szCs w:val="28"/>
          <w:lang w:val="uk-UA"/>
        </w:rPr>
      </w:pPr>
    </w:p>
    <w:p w:rsidR="00A01923" w:rsidRDefault="00A01923" w:rsidP="00A01923">
      <w:pPr>
        <w:pStyle w:val="ac"/>
        <w:spacing w:line="360" w:lineRule="auto"/>
        <w:ind w:left="-567" w:firstLine="568"/>
        <w:rPr>
          <w:b/>
          <w:sz w:val="28"/>
          <w:szCs w:val="28"/>
          <w:lang w:val="uk-UA"/>
        </w:rPr>
      </w:pPr>
    </w:p>
    <w:p w:rsidR="00A01923" w:rsidRDefault="00A01923" w:rsidP="00A01923">
      <w:pPr>
        <w:pStyle w:val="ac"/>
        <w:spacing w:line="360" w:lineRule="auto"/>
        <w:ind w:left="-567" w:firstLine="568"/>
        <w:jc w:val="both"/>
        <w:rPr>
          <w:sz w:val="28"/>
          <w:szCs w:val="28"/>
          <w:lang w:val="uk-UA"/>
        </w:rPr>
      </w:pPr>
      <w:r>
        <w:rPr>
          <w:sz w:val="28"/>
          <w:szCs w:val="28"/>
          <w:lang w:val="uk-UA"/>
        </w:rPr>
        <w:t xml:space="preserve">Якість життя хворих визначали під час лікування, а також через 6 та 12 місяців після лікування за допомогою опитувача SF-36 (The Short Form-36, </w:t>
      </w:r>
      <w:r>
        <w:rPr>
          <w:sz w:val="28"/>
          <w:szCs w:val="28"/>
          <w:lang w:val="en-US"/>
        </w:rPr>
        <w:t>J</w:t>
      </w:r>
      <w:r>
        <w:rPr>
          <w:sz w:val="28"/>
          <w:szCs w:val="28"/>
          <w:lang w:val="uk-UA"/>
        </w:rPr>
        <w:t>.Е.</w:t>
      </w:r>
      <w:r>
        <w:rPr>
          <w:sz w:val="28"/>
          <w:szCs w:val="28"/>
          <w:lang w:val="en-US"/>
        </w:rPr>
        <w:t>Ware</w:t>
      </w:r>
      <w:r>
        <w:rPr>
          <w:sz w:val="28"/>
          <w:szCs w:val="28"/>
          <w:lang w:val="uk-UA"/>
        </w:rPr>
        <w:t xml:space="preserve">, 1992р), який широко використовується при проведенні досліджень в </w:t>
      </w:r>
      <w:r>
        <w:rPr>
          <w:sz w:val="28"/>
          <w:szCs w:val="28"/>
          <w:lang w:val="uk-UA"/>
        </w:rPr>
        <w:lastRenderedPageBreak/>
        <w:t>країнах Європи і в США. Опитувальник відображає загальне благополуччя і ступінь задоволеності тими сторонами життєдіяльності людини, на які впливає стан здоров'я [193].</w:t>
      </w:r>
    </w:p>
    <w:p w:rsidR="00A01923" w:rsidRDefault="00A01923" w:rsidP="00A01923">
      <w:pPr>
        <w:pStyle w:val="ac"/>
        <w:spacing w:line="360" w:lineRule="auto"/>
        <w:ind w:left="-567" w:firstLine="567"/>
        <w:jc w:val="both"/>
        <w:rPr>
          <w:sz w:val="28"/>
          <w:szCs w:val="28"/>
          <w:lang w:val="uk-UA"/>
        </w:rPr>
      </w:pPr>
      <w:r>
        <w:rPr>
          <w:sz w:val="28"/>
          <w:szCs w:val="28"/>
          <w:lang w:val="uk-UA"/>
        </w:rPr>
        <w:t>SF-36 складається з 36 питань, згрупованих у вісім шкал: фізичне функціонування, рольова діяльність, тілесний біль, загальне здоров'я, життєздатність, соціальне функціонування, емоційний стан і психічне здоров'я. Показники кожної шкали складені таким чином, що чим вище значення показника (від 0 до 100), тим краща оцінка за обраною шкалою. З них формують два параметри: психологічний і фізичний компоненти здоров'я (таблиця 2.4).</w:t>
      </w:r>
    </w:p>
    <w:p w:rsidR="00A01923" w:rsidRDefault="00A01923" w:rsidP="00A01923">
      <w:pPr>
        <w:pStyle w:val="ac"/>
        <w:spacing w:line="360" w:lineRule="auto"/>
        <w:ind w:left="-567" w:firstLine="568"/>
        <w:jc w:val="both"/>
        <w:rPr>
          <w:sz w:val="28"/>
          <w:szCs w:val="28"/>
          <w:lang w:val="uk-UA"/>
        </w:rPr>
      </w:pPr>
    </w:p>
    <w:p w:rsidR="00A01923" w:rsidRDefault="00A01923" w:rsidP="00A01923">
      <w:pPr>
        <w:pStyle w:val="ac"/>
        <w:spacing w:line="360" w:lineRule="auto"/>
        <w:ind w:left="-284" w:right="141" w:firstLine="568"/>
        <w:jc w:val="right"/>
        <w:rPr>
          <w:i/>
          <w:sz w:val="28"/>
          <w:szCs w:val="28"/>
          <w:lang w:val="uk-UA"/>
        </w:rPr>
      </w:pPr>
      <w:r>
        <w:rPr>
          <w:i/>
          <w:sz w:val="28"/>
          <w:szCs w:val="28"/>
        </w:rPr>
        <w:t>Таблиця 2.</w:t>
      </w:r>
      <w:r>
        <w:rPr>
          <w:i/>
          <w:sz w:val="28"/>
          <w:szCs w:val="28"/>
          <w:lang w:val="uk-UA"/>
        </w:rPr>
        <w:t>4</w:t>
      </w:r>
    </w:p>
    <w:p w:rsidR="00A01923" w:rsidRDefault="00A01923" w:rsidP="00A01923">
      <w:pPr>
        <w:pStyle w:val="ac"/>
        <w:spacing w:line="360" w:lineRule="auto"/>
        <w:ind w:left="-284" w:firstLine="568"/>
        <w:jc w:val="center"/>
        <w:rPr>
          <w:b/>
          <w:sz w:val="28"/>
          <w:szCs w:val="28"/>
        </w:rPr>
      </w:pPr>
      <w:r>
        <w:rPr>
          <w:b/>
          <w:sz w:val="28"/>
          <w:szCs w:val="28"/>
        </w:rPr>
        <w:t xml:space="preserve">Структура </w:t>
      </w:r>
      <w:r>
        <w:rPr>
          <w:b/>
          <w:sz w:val="28"/>
          <w:szCs w:val="28"/>
          <w:lang w:val="uk-UA"/>
        </w:rPr>
        <w:t>опитувальника</w:t>
      </w:r>
      <w:r>
        <w:rPr>
          <w:b/>
          <w:sz w:val="28"/>
          <w:szCs w:val="28"/>
          <w:lang w:val="en-US"/>
        </w:rPr>
        <w:t xml:space="preserve"> SF</w:t>
      </w:r>
      <w:r>
        <w:rPr>
          <w:b/>
          <w:sz w:val="28"/>
          <w:szCs w:val="28"/>
        </w:rPr>
        <w:t>-36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tblPr>
      <w:tblGrid>
        <w:gridCol w:w="2448"/>
        <w:gridCol w:w="6874"/>
      </w:tblGrid>
      <w:tr w:rsidR="00A01923" w:rsidTr="00A01923">
        <w:tc>
          <w:tcPr>
            <w:tcW w:w="2448"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Показники</w:t>
            </w: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Шкали</w:t>
            </w:r>
          </w:p>
        </w:tc>
      </w:tr>
      <w:tr w:rsidR="00A01923" w:rsidTr="00A01923">
        <w:tc>
          <w:tcPr>
            <w:tcW w:w="2448" w:type="dxa"/>
            <w:vMerge w:val="restart"/>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Фізичне здоров'я</w:t>
            </w: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Фізичне функціонування</w:t>
            </w:r>
          </w:p>
        </w:tc>
      </w:tr>
      <w:tr w:rsidR="00A01923" w:rsidTr="00A01923">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Рольове фізичне функціонування</w:t>
            </w:r>
          </w:p>
        </w:tc>
      </w:tr>
      <w:tr w:rsidR="00A01923" w:rsidTr="00A01923">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Біль</w:t>
            </w:r>
          </w:p>
        </w:tc>
      </w:tr>
      <w:tr w:rsidR="00A01923" w:rsidTr="00A01923">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Загальне здоров'я</w:t>
            </w:r>
          </w:p>
        </w:tc>
      </w:tr>
      <w:tr w:rsidR="00A01923" w:rsidTr="00A01923">
        <w:tc>
          <w:tcPr>
            <w:tcW w:w="2448" w:type="dxa"/>
            <w:vMerge w:val="restart"/>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Психічне здоров'я</w:t>
            </w: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Життєздатність</w:t>
            </w:r>
          </w:p>
        </w:tc>
      </w:tr>
      <w:tr w:rsidR="00A01923" w:rsidTr="00A01923">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Соціальне функціонування</w:t>
            </w:r>
          </w:p>
        </w:tc>
      </w:tr>
      <w:tr w:rsidR="00A01923" w:rsidTr="00A01923">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Рольове емоційне функціонування</w:t>
            </w:r>
          </w:p>
        </w:tc>
      </w:tr>
      <w:tr w:rsidR="00A01923" w:rsidTr="00A01923">
        <w:trPr>
          <w:trHeight w:val="490"/>
        </w:trPr>
        <w:tc>
          <w:tcPr>
            <w:tcW w:w="2448" w:type="dxa"/>
            <w:vMerge/>
            <w:tcBorders>
              <w:top w:val="single" w:sz="6" w:space="0" w:color="auto"/>
              <w:left w:val="single" w:sz="6" w:space="0" w:color="auto"/>
              <w:bottom w:val="single" w:sz="6" w:space="0" w:color="auto"/>
              <w:right w:val="single" w:sz="6" w:space="0" w:color="auto"/>
            </w:tcBorders>
            <w:vAlign w:val="center"/>
            <w:hideMark/>
          </w:tcPr>
          <w:p w:rsidR="00A01923" w:rsidRDefault="00A01923">
            <w:pPr>
              <w:spacing w:after="0" w:line="240" w:lineRule="auto"/>
              <w:rPr>
                <w:rFonts w:ascii="Times New Roman" w:eastAsia="Times New Roman" w:hAnsi="Times New Roman"/>
                <w:sz w:val="28"/>
                <w:szCs w:val="28"/>
              </w:rPr>
            </w:pPr>
          </w:p>
        </w:tc>
        <w:tc>
          <w:tcPr>
            <w:tcW w:w="6874" w:type="dxa"/>
            <w:tcBorders>
              <w:top w:val="single" w:sz="6" w:space="0" w:color="auto"/>
              <w:left w:val="single" w:sz="6" w:space="0" w:color="auto"/>
              <w:bottom w:val="single" w:sz="6" w:space="0" w:color="auto"/>
              <w:right w:val="single" w:sz="6" w:space="0" w:color="auto"/>
            </w:tcBorders>
            <w:vAlign w:val="center"/>
            <w:hideMark/>
          </w:tcPr>
          <w:p w:rsidR="00A01923" w:rsidRDefault="00A01923">
            <w:pPr>
              <w:pStyle w:val="ac"/>
              <w:spacing w:line="360" w:lineRule="auto"/>
              <w:ind w:right="-36" w:firstLine="142"/>
              <w:jc w:val="center"/>
              <w:rPr>
                <w:sz w:val="28"/>
                <w:szCs w:val="28"/>
              </w:rPr>
            </w:pPr>
            <w:r>
              <w:rPr>
                <w:sz w:val="28"/>
                <w:szCs w:val="28"/>
              </w:rPr>
              <w:t>Психічне здоров'я</w:t>
            </w:r>
          </w:p>
        </w:tc>
      </w:tr>
    </w:tbl>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r>
        <w:rPr>
          <w:sz w:val="28"/>
          <w:szCs w:val="28"/>
          <w:lang w:val="uk-UA"/>
        </w:rPr>
        <w:t xml:space="preserve">Фізична активність – відображає ступінь, в якій здоров'я лімітує виконання фізичних навантажень (самообслуговування, ходьба, підйом по сходах, перенесення ваги, тощо). </w:t>
      </w:r>
      <w:r>
        <w:rPr>
          <w:sz w:val="28"/>
          <w:szCs w:val="28"/>
        </w:rPr>
        <w:t xml:space="preserve">Цей критерій </w:t>
      </w:r>
      <w:r>
        <w:rPr>
          <w:sz w:val="28"/>
          <w:szCs w:val="28"/>
          <w:lang w:val="uk-UA"/>
        </w:rPr>
        <w:t>є прямим</w:t>
      </w:r>
      <w:r>
        <w:rPr>
          <w:sz w:val="28"/>
          <w:szCs w:val="28"/>
        </w:rPr>
        <w:t xml:space="preserve"> – чим вище показник, тим більше фізичне навантаження, яке на думку респондента, він </w:t>
      </w:r>
      <w:r>
        <w:rPr>
          <w:sz w:val="28"/>
          <w:szCs w:val="28"/>
          <w:lang w:val="uk-UA"/>
        </w:rPr>
        <w:t>може</w:t>
      </w:r>
      <w:r>
        <w:rPr>
          <w:sz w:val="28"/>
          <w:szCs w:val="28"/>
        </w:rPr>
        <w:t xml:space="preserve"> виконати. </w:t>
      </w:r>
    </w:p>
    <w:p w:rsidR="00A01923" w:rsidRDefault="00A01923" w:rsidP="00A01923">
      <w:pPr>
        <w:pStyle w:val="ac"/>
        <w:spacing w:line="360" w:lineRule="auto"/>
        <w:ind w:left="-567" w:firstLine="567"/>
        <w:jc w:val="both"/>
        <w:rPr>
          <w:sz w:val="28"/>
          <w:szCs w:val="28"/>
          <w:lang w:val="uk-UA"/>
        </w:rPr>
      </w:pPr>
      <w:r>
        <w:rPr>
          <w:sz w:val="28"/>
          <w:szCs w:val="28"/>
        </w:rPr>
        <w:t xml:space="preserve">Роль фізичних проблем в обмеженні життєдіяльності – ступінь обмеження повсякденної діяльності проблемами здоров'я. Цей критерій </w:t>
      </w:r>
      <w:r>
        <w:rPr>
          <w:sz w:val="28"/>
          <w:szCs w:val="28"/>
          <w:lang w:val="uk-UA"/>
        </w:rPr>
        <w:t>є</w:t>
      </w:r>
      <w:r>
        <w:rPr>
          <w:sz w:val="28"/>
          <w:szCs w:val="28"/>
        </w:rPr>
        <w:t xml:space="preserve"> зворотнім – чим </w:t>
      </w:r>
      <w:r>
        <w:rPr>
          <w:sz w:val="28"/>
          <w:szCs w:val="28"/>
        </w:rPr>
        <w:lastRenderedPageBreak/>
        <w:t>вище показник, тим менше, на думку респондента, проблем зі здоров'ям обмежу</w:t>
      </w:r>
      <w:r>
        <w:rPr>
          <w:sz w:val="28"/>
          <w:szCs w:val="28"/>
          <w:lang w:val="uk-UA"/>
        </w:rPr>
        <w:t>ють</w:t>
      </w:r>
      <w:r>
        <w:rPr>
          <w:sz w:val="28"/>
          <w:szCs w:val="28"/>
        </w:rPr>
        <w:t xml:space="preserve"> його повсякденну діяльність. </w:t>
      </w:r>
    </w:p>
    <w:p w:rsidR="00A01923" w:rsidRDefault="00A01923" w:rsidP="00A01923">
      <w:pPr>
        <w:pStyle w:val="ac"/>
        <w:spacing w:line="360" w:lineRule="auto"/>
        <w:ind w:left="-567" w:firstLine="567"/>
        <w:jc w:val="both"/>
        <w:rPr>
          <w:sz w:val="28"/>
          <w:szCs w:val="28"/>
          <w:lang w:val="uk-UA"/>
        </w:rPr>
      </w:pPr>
      <w:r>
        <w:rPr>
          <w:sz w:val="28"/>
          <w:szCs w:val="28"/>
          <w:lang w:val="uk-UA"/>
        </w:rPr>
        <w:t xml:space="preserve">Біль – оцінка об'єму суб'єктивних больових відчуттів, які відчував респондент за останні 4 тиждні, інтенсивність болю і її вплив на здатність займатися повсякденною діяльністю, включаючи роботу по дому і поза домом. </w:t>
      </w:r>
      <w:r>
        <w:rPr>
          <w:sz w:val="28"/>
          <w:szCs w:val="28"/>
        </w:rPr>
        <w:t>Цей критерій зворотні</w:t>
      </w:r>
      <w:r>
        <w:rPr>
          <w:sz w:val="28"/>
          <w:szCs w:val="28"/>
          <w:lang w:val="uk-UA"/>
        </w:rPr>
        <w:t>й</w:t>
      </w:r>
      <w:r>
        <w:rPr>
          <w:sz w:val="28"/>
          <w:szCs w:val="28"/>
        </w:rPr>
        <w:t xml:space="preserve"> – чим вище показник, т</w:t>
      </w:r>
      <w:r>
        <w:rPr>
          <w:sz w:val="28"/>
          <w:szCs w:val="28"/>
          <w:lang w:val="uk-UA"/>
        </w:rPr>
        <w:t>и</w:t>
      </w:r>
      <w:r>
        <w:rPr>
          <w:sz w:val="28"/>
          <w:szCs w:val="28"/>
        </w:rPr>
        <w:t>м менше больових відчуттів зазна</w:t>
      </w:r>
      <w:r>
        <w:rPr>
          <w:sz w:val="28"/>
          <w:szCs w:val="28"/>
          <w:lang w:val="uk-UA"/>
        </w:rPr>
        <w:t>є</w:t>
      </w:r>
      <w:r>
        <w:rPr>
          <w:sz w:val="28"/>
          <w:szCs w:val="28"/>
        </w:rPr>
        <w:t xml:space="preserve"> респондент. </w:t>
      </w:r>
    </w:p>
    <w:p w:rsidR="00A01923" w:rsidRDefault="00A01923" w:rsidP="00A01923">
      <w:pPr>
        <w:pStyle w:val="ac"/>
        <w:spacing w:line="360" w:lineRule="auto"/>
        <w:ind w:left="-567" w:firstLine="567"/>
        <w:jc w:val="both"/>
        <w:rPr>
          <w:sz w:val="28"/>
          <w:szCs w:val="28"/>
          <w:lang w:val="uk-UA"/>
        </w:rPr>
      </w:pPr>
      <w:r>
        <w:rPr>
          <w:sz w:val="28"/>
          <w:szCs w:val="28"/>
        </w:rPr>
        <w:t>Загальне здоров'я – оціню</w:t>
      </w:r>
      <w:r>
        <w:rPr>
          <w:sz w:val="28"/>
          <w:szCs w:val="28"/>
          <w:lang w:val="uk-UA"/>
        </w:rPr>
        <w:t>є</w:t>
      </w:r>
      <w:r>
        <w:rPr>
          <w:sz w:val="28"/>
          <w:szCs w:val="28"/>
        </w:rPr>
        <w:t xml:space="preserve"> загальний стан здоров'я на момент опитування. Критерій визначався як прямий, тобто</w:t>
      </w:r>
      <w:r>
        <w:rPr>
          <w:sz w:val="28"/>
          <w:szCs w:val="28"/>
          <w:lang w:val="uk-UA"/>
        </w:rPr>
        <w:t>,</w:t>
      </w:r>
      <w:r>
        <w:rPr>
          <w:sz w:val="28"/>
          <w:szCs w:val="28"/>
        </w:rPr>
        <w:t xml:space="preserve"> чим вище був показник, тим краще був стан здоров'я респондента.</w:t>
      </w:r>
      <w:r>
        <w:rPr>
          <w:sz w:val="28"/>
          <w:szCs w:val="28"/>
          <w:lang w:val="uk-UA"/>
        </w:rPr>
        <w:t xml:space="preserve"> Життєздатність – оцінка стану життєвого тонусу за останні 4 тижні (має на увазі відчуття себе повним сил і енергії або, навпаки, знесиленим). </w:t>
      </w:r>
      <w:r>
        <w:rPr>
          <w:sz w:val="28"/>
          <w:szCs w:val="28"/>
        </w:rPr>
        <w:t xml:space="preserve">Цей критерій був прямим, тобто чим вище був показник, тим більше часу респондент відчував себе бадьорим та повним сил. </w:t>
      </w:r>
    </w:p>
    <w:p w:rsidR="00A01923" w:rsidRDefault="00A01923" w:rsidP="00A01923">
      <w:pPr>
        <w:pStyle w:val="ac"/>
        <w:spacing w:line="360" w:lineRule="auto"/>
        <w:ind w:left="-567" w:firstLine="567"/>
        <w:jc w:val="both"/>
        <w:rPr>
          <w:sz w:val="28"/>
          <w:szCs w:val="28"/>
          <w:lang w:val="uk-UA"/>
        </w:rPr>
      </w:pPr>
      <w:r>
        <w:rPr>
          <w:sz w:val="28"/>
          <w:szCs w:val="28"/>
          <w:lang w:val="uk-UA"/>
        </w:rPr>
        <w:t xml:space="preserve">Соціальна активність – оцінка об'єму соціальних зв'язків, соціальне функціонування, визначається ступенем, в якій фізичний або емоційний стан обмежує соціальну активність. </w:t>
      </w:r>
      <w:r>
        <w:rPr>
          <w:sz w:val="28"/>
          <w:szCs w:val="28"/>
        </w:rPr>
        <w:t xml:space="preserve">Прямий критерій: чим вище був показник, тим вища, на думку респондента, була його соціальна активність за останні 4 тижні. </w:t>
      </w:r>
    </w:p>
    <w:p w:rsidR="00A01923" w:rsidRDefault="00A01923" w:rsidP="00A01923">
      <w:pPr>
        <w:pStyle w:val="ac"/>
        <w:spacing w:line="360" w:lineRule="auto"/>
        <w:ind w:left="-567" w:firstLine="567"/>
        <w:jc w:val="both"/>
        <w:rPr>
          <w:sz w:val="28"/>
          <w:szCs w:val="28"/>
          <w:lang w:val="uk-UA"/>
        </w:rPr>
      </w:pPr>
      <w:r>
        <w:rPr>
          <w:sz w:val="28"/>
          <w:szCs w:val="28"/>
        </w:rPr>
        <w:t xml:space="preserve">Роль емоційних проблем в обмеженні життєдіяльності </w:t>
      </w:r>
      <w:r>
        <w:rPr>
          <w:b/>
          <w:color w:val="FF0000"/>
          <w:sz w:val="28"/>
          <w:szCs w:val="28"/>
        </w:rPr>
        <w:t>–</w:t>
      </w:r>
      <w:r>
        <w:rPr>
          <w:sz w:val="28"/>
          <w:szCs w:val="28"/>
        </w:rPr>
        <w:t xml:space="preserve"> ступінь обмеження повсякденної діяльності емоційними проблемами. Критерій зворотній – чим вище був показник, тим менше, на думку респондента, емоційний стан обмежував його повсякденну діяльність</w:t>
      </w:r>
      <w:r>
        <w:t xml:space="preserve"> </w:t>
      </w:r>
      <w:r>
        <w:rPr>
          <w:sz w:val="28"/>
          <w:szCs w:val="28"/>
        </w:rPr>
        <w:t>(включаючи збільшення витрат часу, зменшення обсягу виконаної роботи, зниження якості її виконання</w:t>
      </w:r>
      <w:r>
        <w:rPr>
          <w:sz w:val="28"/>
          <w:szCs w:val="28"/>
          <w:lang w:val="uk-UA"/>
        </w:rPr>
        <w:t>. тощо</w:t>
      </w:r>
      <w:r>
        <w:rPr>
          <w:sz w:val="28"/>
          <w:szCs w:val="28"/>
        </w:rPr>
        <w:t xml:space="preserve">). </w:t>
      </w:r>
    </w:p>
    <w:p w:rsidR="00A01923" w:rsidRDefault="00A01923" w:rsidP="00A01923">
      <w:pPr>
        <w:pStyle w:val="ac"/>
        <w:spacing w:line="360" w:lineRule="auto"/>
        <w:ind w:left="-567" w:firstLine="567"/>
        <w:jc w:val="both"/>
        <w:rPr>
          <w:sz w:val="28"/>
          <w:szCs w:val="28"/>
          <w:lang w:val="uk-UA"/>
        </w:rPr>
      </w:pPr>
      <w:r>
        <w:rPr>
          <w:sz w:val="28"/>
          <w:szCs w:val="28"/>
        </w:rPr>
        <w:t>Психічне здоров' я – оцінка стану ментальної сфери. Критерій зворотній – чим вище був показник, тим більше часу респондент відчував себе спокійним та задоволеним впродовж останніх 4 тижнів</w:t>
      </w:r>
      <w:r>
        <w:rPr>
          <w:sz w:val="28"/>
          <w:szCs w:val="28"/>
          <w:lang w:val="uk-UA"/>
        </w:rPr>
        <w:t xml:space="preserve"> (наявність депресії, тривоги, загальний показник позитивних емоцій)</w:t>
      </w:r>
      <w:r>
        <w:rPr>
          <w:sz w:val="28"/>
          <w:szCs w:val="28"/>
        </w:rPr>
        <w:t>.</w:t>
      </w:r>
    </w:p>
    <w:p w:rsidR="00A01923" w:rsidRDefault="00A01923" w:rsidP="00A01923">
      <w:pPr>
        <w:pStyle w:val="ac"/>
        <w:spacing w:line="360" w:lineRule="auto"/>
        <w:ind w:left="-567" w:firstLine="567"/>
        <w:jc w:val="both"/>
        <w:rPr>
          <w:sz w:val="28"/>
          <w:szCs w:val="28"/>
          <w:lang w:val="uk-UA"/>
        </w:rPr>
      </w:pPr>
      <w:r>
        <w:rPr>
          <w:sz w:val="28"/>
          <w:szCs w:val="28"/>
        </w:rPr>
        <w:t xml:space="preserve">Опитування </w:t>
      </w:r>
      <w:r>
        <w:rPr>
          <w:sz w:val="28"/>
          <w:szCs w:val="28"/>
          <w:lang w:val="en-US"/>
        </w:rPr>
        <w:t>SF</w:t>
      </w:r>
      <w:r>
        <w:rPr>
          <w:sz w:val="28"/>
          <w:szCs w:val="28"/>
        </w:rPr>
        <w:t xml:space="preserve">-36 проводилися шляхом </w:t>
      </w:r>
      <w:r>
        <w:rPr>
          <w:sz w:val="28"/>
          <w:szCs w:val="28"/>
          <w:lang w:val="uk-UA"/>
        </w:rPr>
        <w:t>самостійного заповнювання</w:t>
      </w:r>
      <w:r>
        <w:rPr>
          <w:sz w:val="28"/>
          <w:szCs w:val="28"/>
        </w:rPr>
        <w:t xml:space="preserve"> хворими</w:t>
      </w:r>
      <w:r>
        <w:rPr>
          <w:sz w:val="28"/>
          <w:szCs w:val="28"/>
          <w:lang w:val="uk-UA"/>
        </w:rPr>
        <w:t xml:space="preserve"> та анкетування їх у означені строки</w:t>
      </w:r>
      <w:r>
        <w:rPr>
          <w:sz w:val="28"/>
          <w:szCs w:val="28"/>
        </w:rPr>
        <w:t>.</w:t>
      </w:r>
    </w:p>
    <w:p w:rsidR="00A01923" w:rsidRDefault="00A01923" w:rsidP="00A01923">
      <w:pPr>
        <w:pStyle w:val="ac"/>
        <w:spacing w:line="360" w:lineRule="auto"/>
        <w:ind w:left="-567" w:firstLine="568"/>
        <w:jc w:val="both"/>
        <w:rPr>
          <w:sz w:val="28"/>
          <w:szCs w:val="28"/>
          <w:lang w:val="uk-UA"/>
        </w:rPr>
      </w:pPr>
      <w:r>
        <w:rPr>
          <w:sz w:val="28"/>
          <w:szCs w:val="28"/>
          <w:lang w:val="uk-UA"/>
        </w:rPr>
        <w:t xml:space="preserve">Інтенсивність болю визначали за допомогою стандартної візуальної аналогової шкали (ВАШ), запропонованої Huskisson E. С. у 1974 р довжиною 10 </w:t>
      </w:r>
      <w:r>
        <w:rPr>
          <w:sz w:val="28"/>
          <w:szCs w:val="28"/>
          <w:lang w:val="uk-UA"/>
        </w:rPr>
        <w:lastRenderedPageBreak/>
        <w:t>см, на якій хворий самостійно відмічав рівень болю у вказані вище строки (рис.2.6) [129].</w:t>
      </w:r>
    </w:p>
    <w:p w:rsidR="00A01923" w:rsidRDefault="00487043" w:rsidP="00A01923">
      <w:pPr>
        <w:pStyle w:val="ac"/>
        <w:spacing w:line="360" w:lineRule="auto"/>
        <w:ind w:left="-284" w:firstLine="568"/>
        <w:jc w:val="both"/>
        <w:rPr>
          <w:sz w:val="28"/>
          <w:szCs w:val="28"/>
          <w:lang w:val="uk-UA"/>
        </w:rPr>
      </w:pPr>
      <w:r w:rsidRPr="00487043">
        <w:pict>
          <v:group id="_x0000_s1839" style="position:absolute;left:0;text-align:left;margin-left:-44.9pt;margin-top:7.6pt;width:522.25pt;height:164.25pt;z-index:251622912" coordorigin="1821,2886" coordsize="7723,3285">
            <v:group id="_x0000_s1840" style="position:absolute;left:3105;top:2886;width:5567;height:1620" coordorigin="3105,1920" coordsize="5567,1620">
              <v:shapetype id="_x0000_t32" coordsize="21600,21600" o:spt="32" o:oned="t" path="m,l21600,21600e" filled="f">
                <v:path arrowok="t" fillok="f" o:connecttype="none"/>
                <o:lock v:ext="edit" shapetype="t"/>
              </v:shapetype>
              <v:shape id="_x0000_s1841" type="#_x0000_t32" style="position:absolute;left:3317;top:2985;width:4815;height:0" o:connectortype="straight" strokeweight="2.5pt">
                <v:shadow color="#868686"/>
              </v:shape>
              <v:shape id="_x0000_s1842" type="#_x0000_t32" style="position:absolute;left:3317;top:2730;width:0;height:255" o:connectortype="straight"/>
              <v:shape id="_x0000_s1843" type="#_x0000_t32" style="position:absolute;left:3797;top:2730;width:0;height:255" o:connectortype="straight"/>
              <v:shape id="_x0000_s1844" type="#_x0000_t32" style="position:absolute;left:4277;top:2730;width:0;height:255" o:connectortype="straight"/>
              <v:shape id="_x0000_s1845" type="#_x0000_t32" style="position:absolute;left:4757;top:2730;width:0;height:255" o:connectortype="straight"/>
              <v:shape id="_x0000_s1846" type="#_x0000_t32" style="position:absolute;left:5237;top:2730;width:0;height:255" o:connectortype="straight"/>
              <v:shape id="_x0000_s1847" type="#_x0000_t32" style="position:absolute;left:5717;top:2730;width:0;height:255" o:connectortype="straight"/>
              <v:shape id="_x0000_s1848" type="#_x0000_t32" style="position:absolute;left:6227;top:2730;width:0;height:255" o:connectortype="straight"/>
              <v:shape id="_x0000_s1849" type="#_x0000_t32" style="position:absolute;left:6707;top:2730;width:0;height:255" o:connectortype="straight"/>
              <v:shape id="_x0000_s1850" type="#_x0000_t32" style="position:absolute;left:7217;top:2730;width:0;height:255" o:connectortype="straight"/>
              <v:shape id="_x0000_s1851" type="#_x0000_t32" style="position:absolute;left:7652;top:2730;width:0;height:255" o:connectortype="straight"/>
              <v:shape id="_x0000_s1852" type="#_x0000_t32" style="position:absolute;left:8132;top:2730;width:0;height:255" o:connectortype="straigh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853" type="#_x0000_t87" style="position:absolute;left:3415;top:2169;width:285;height:478;rotation:90"/>
              <v:shape id="_x0000_s1854" type="#_x0000_t202" style="position:absolute;left:3315;top:1920;width:812;height:435" stroked="f">
                <v:textbox style="mso-next-textbox:#_x0000_s1854">
                  <w:txbxContent>
                    <w:p w:rsidR="00DA0A21" w:rsidRDefault="00DA0A21" w:rsidP="00A01923">
                      <w:pPr>
                        <w:rPr>
                          <w:rFonts w:ascii="Times New Roman" w:hAnsi="Times New Roman"/>
                          <w:sz w:val="28"/>
                          <w:szCs w:val="28"/>
                        </w:rPr>
                      </w:pPr>
                      <w:r>
                        <w:rPr>
                          <w:rFonts w:ascii="Times New Roman" w:hAnsi="Times New Roman"/>
                          <w:sz w:val="28"/>
                          <w:szCs w:val="28"/>
                        </w:rPr>
                        <w:t>1см см</w:t>
                      </w:r>
                    </w:p>
                  </w:txbxContent>
                </v:textbox>
              </v:shape>
              <v:shape id="_x0000_s1855" type="#_x0000_t202" style="position:absolute;left:3105;top:3060;width:482;height:465" stroked="f">
                <v:textbox style="mso-next-textbox:#_x0000_s1855">
                  <w:txbxContent>
                    <w:p w:rsidR="00DA0A21" w:rsidRDefault="00DA0A21" w:rsidP="00A01923">
                      <w:pPr>
                        <w:rPr>
                          <w:rFonts w:ascii="Times New Roman" w:hAnsi="Times New Roman"/>
                          <w:sz w:val="28"/>
                          <w:szCs w:val="28"/>
                        </w:rPr>
                      </w:pPr>
                      <w:r>
                        <w:rPr>
                          <w:rFonts w:ascii="Times New Roman" w:hAnsi="Times New Roman"/>
                          <w:sz w:val="28"/>
                          <w:szCs w:val="28"/>
                        </w:rPr>
                        <w:t>0</w:t>
                      </w:r>
                    </w:p>
                  </w:txbxContent>
                </v:textbox>
              </v:shape>
              <v:shape id="_x0000_s1856" type="#_x0000_t202" style="position:absolute;left:3587;top:3075;width:482;height:465" stroked="f">
                <v:textbox style="mso-next-textbox:#_x0000_s1856">
                  <w:txbxContent>
                    <w:p w:rsidR="00DA0A21" w:rsidRDefault="00DA0A21" w:rsidP="00A01923">
                      <w:pPr>
                        <w:rPr>
                          <w:rFonts w:ascii="Times New Roman" w:hAnsi="Times New Roman"/>
                          <w:sz w:val="28"/>
                          <w:szCs w:val="28"/>
                        </w:rPr>
                      </w:pPr>
                      <w:r>
                        <w:rPr>
                          <w:rFonts w:ascii="Times New Roman" w:hAnsi="Times New Roman"/>
                          <w:sz w:val="28"/>
                          <w:szCs w:val="28"/>
                        </w:rPr>
                        <w:t>1</w:t>
                      </w:r>
                    </w:p>
                  </w:txbxContent>
                </v:textbox>
              </v:shape>
              <v:shape id="_x0000_s1857" type="#_x0000_t202" style="position:absolute;left:4019;top:3075;width:482;height:465" stroked="f">
                <v:textbox style="mso-next-textbox:#_x0000_s1857">
                  <w:txbxContent>
                    <w:p w:rsidR="00DA0A21" w:rsidRDefault="00DA0A21" w:rsidP="00A01923">
                      <w:pPr>
                        <w:rPr>
                          <w:rFonts w:ascii="Times New Roman" w:hAnsi="Times New Roman"/>
                          <w:sz w:val="28"/>
                          <w:szCs w:val="28"/>
                        </w:rPr>
                      </w:pPr>
                      <w:r>
                        <w:rPr>
                          <w:rFonts w:ascii="Times New Roman" w:hAnsi="Times New Roman"/>
                          <w:sz w:val="28"/>
                          <w:szCs w:val="28"/>
                        </w:rPr>
                        <w:t>2</w:t>
                      </w:r>
                    </w:p>
                  </w:txbxContent>
                </v:textbox>
              </v:shape>
              <v:shape id="_x0000_s1858" type="#_x0000_t202" style="position:absolute;left:4501;top:3075;width:482;height:465" stroked="f">
                <v:textbox style="mso-next-textbox:#_x0000_s1858">
                  <w:txbxContent>
                    <w:p w:rsidR="00DA0A21" w:rsidRDefault="00DA0A21" w:rsidP="00A01923">
                      <w:pPr>
                        <w:rPr>
                          <w:rFonts w:ascii="Times New Roman" w:hAnsi="Times New Roman"/>
                          <w:sz w:val="28"/>
                          <w:szCs w:val="28"/>
                        </w:rPr>
                      </w:pPr>
                      <w:r>
                        <w:rPr>
                          <w:rFonts w:ascii="Times New Roman" w:hAnsi="Times New Roman"/>
                          <w:sz w:val="28"/>
                          <w:szCs w:val="28"/>
                        </w:rPr>
                        <w:t>3</w:t>
                      </w:r>
                    </w:p>
                  </w:txbxContent>
                </v:textbox>
              </v:shape>
              <v:shape id="_x0000_s1859" type="#_x0000_t202" style="position:absolute;left:4983;top:3075;width:482;height:465" stroked="f">
                <v:textbox style="mso-next-textbox:#_x0000_s1859">
                  <w:txbxContent>
                    <w:p w:rsidR="00DA0A21" w:rsidRDefault="00DA0A21" w:rsidP="00A01923">
                      <w:pPr>
                        <w:rPr>
                          <w:rFonts w:ascii="Times New Roman" w:hAnsi="Times New Roman"/>
                          <w:sz w:val="28"/>
                          <w:szCs w:val="28"/>
                        </w:rPr>
                      </w:pPr>
                      <w:r>
                        <w:rPr>
                          <w:rFonts w:ascii="Times New Roman" w:hAnsi="Times New Roman"/>
                          <w:sz w:val="28"/>
                          <w:szCs w:val="28"/>
                        </w:rPr>
                        <w:t>4</w:t>
                      </w:r>
                    </w:p>
                  </w:txbxContent>
                </v:textbox>
              </v:shape>
              <v:shape id="_x0000_s1860" type="#_x0000_t202" style="position:absolute;left:5465;top:3075;width:482;height:465" stroked="f">
                <v:textbox style="mso-next-textbox:#_x0000_s1860">
                  <w:txbxContent>
                    <w:p w:rsidR="00DA0A21" w:rsidRDefault="00DA0A21" w:rsidP="00A01923">
                      <w:pPr>
                        <w:rPr>
                          <w:rFonts w:ascii="Times New Roman" w:hAnsi="Times New Roman"/>
                          <w:sz w:val="28"/>
                          <w:szCs w:val="28"/>
                        </w:rPr>
                      </w:pPr>
                      <w:r>
                        <w:rPr>
                          <w:rFonts w:ascii="Times New Roman" w:hAnsi="Times New Roman"/>
                          <w:sz w:val="28"/>
                          <w:szCs w:val="28"/>
                        </w:rPr>
                        <w:t>5</w:t>
                      </w:r>
                    </w:p>
                  </w:txbxContent>
                </v:textbox>
              </v:shape>
              <v:shape id="_x0000_s1861" type="#_x0000_t202" style="position:absolute;left:6022;top:3075;width:482;height:465" stroked="f">
                <v:textbox style="mso-next-textbox:#_x0000_s1861">
                  <w:txbxContent>
                    <w:p w:rsidR="00DA0A21" w:rsidRDefault="00DA0A21" w:rsidP="00A01923">
                      <w:pPr>
                        <w:rPr>
                          <w:rFonts w:ascii="Times New Roman" w:hAnsi="Times New Roman"/>
                          <w:sz w:val="28"/>
                          <w:szCs w:val="28"/>
                        </w:rPr>
                      </w:pPr>
                      <w:r>
                        <w:rPr>
                          <w:rFonts w:ascii="Times New Roman" w:hAnsi="Times New Roman"/>
                          <w:sz w:val="28"/>
                          <w:szCs w:val="28"/>
                        </w:rPr>
                        <w:t>6</w:t>
                      </w:r>
                    </w:p>
                  </w:txbxContent>
                </v:textbox>
              </v:shape>
              <v:shape id="_x0000_s1862" type="#_x0000_t202" style="position:absolute;left:6504;top:3060;width:482;height:465" stroked="f">
                <v:textbox style="mso-next-textbox:#_x0000_s1862">
                  <w:txbxContent>
                    <w:p w:rsidR="00DA0A21" w:rsidRDefault="00DA0A21" w:rsidP="00A01923">
                      <w:pPr>
                        <w:rPr>
                          <w:rFonts w:ascii="Times New Roman" w:hAnsi="Times New Roman"/>
                          <w:sz w:val="28"/>
                          <w:szCs w:val="28"/>
                        </w:rPr>
                      </w:pPr>
                      <w:r>
                        <w:rPr>
                          <w:rFonts w:ascii="Times New Roman" w:hAnsi="Times New Roman"/>
                          <w:sz w:val="28"/>
                          <w:szCs w:val="28"/>
                        </w:rPr>
                        <w:t>7</w:t>
                      </w:r>
                    </w:p>
                  </w:txbxContent>
                </v:textbox>
              </v:shape>
              <v:shape id="_x0000_s1863" type="#_x0000_t202" style="position:absolute;left:6986;top:3060;width:482;height:465" stroked="f">
                <v:textbox style="mso-next-textbox:#_x0000_s1863">
                  <w:txbxContent>
                    <w:p w:rsidR="00DA0A21" w:rsidRDefault="00DA0A21" w:rsidP="00A01923">
                      <w:pPr>
                        <w:rPr>
                          <w:rFonts w:ascii="Times New Roman" w:hAnsi="Times New Roman"/>
                          <w:sz w:val="28"/>
                          <w:szCs w:val="28"/>
                        </w:rPr>
                      </w:pPr>
                      <w:r>
                        <w:rPr>
                          <w:rFonts w:ascii="Times New Roman" w:hAnsi="Times New Roman"/>
                          <w:sz w:val="28"/>
                          <w:szCs w:val="28"/>
                        </w:rPr>
                        <w:t>8</w:t>
                      </w:r>
                    </w:p>
                  </w:txbxContent>
                </v:textbox>
              </v:shape>
              <v:shape id="_x0000_s1864" type="#_x0000_t202" style="position:absolute;left:7468;top:3075;width:482;height:465" stroked="f">
                <v:textbox style="mso-next-textbox:#_x0000_s1864">
                  <w:txbxContent>
                    <w:p w:rsidR="00DA0A21" w:rsidRDefault="00DA0A21" w:rsidP="00A01923">
                      <w:pPr>
                        <w:rPr>
                          <w:rFonts w:ascii="Times New Roman" w:hAnsi="Times New Roman"/>
                          <w:sz w:val="28"/>
                          <w:szCs w:val="28"/>
                        </w:rPr>
                      </w:pPr>
                      <w:r>
                        <w:rPr>
                          <w:rFonts w:ascii="Times New Roman" w:hAnsi="Times New Roman"/>
                          <w:sz w:val="28"/>
                          <w:szCs w:val="28"/>
                        </w:rPr>
                        <w:t>9</w:t>
                      </w:r>
                    </w:p>
                  </w:txbxContent>
                </v:textbox>
              </v:shape>
              <v:shape id="_x0000_s1865" type="#_x0000_t202" style="position:absolute;left:7950;top:3060;width:722;height:465" stroked="f">
                <v:textbox style="mso-next-textbox:#_x0000_s1865">
                  <w:txbxContent>
                    <w:p w:rsidR="00DA0A21" w:rsidRDefault="00DA0A21" w:rsidP="00A01923">
                      <w:pPr>
                        <w:rPr>
                          <w:rFonts w:ascii="Times New Roman" w:hAnsi="Times New Roman"/>
                          <w:sz w:val="28"/>
                          <w:szCs w:val="28"/>
                        </w:rPr>
                      </w:pPr>
                      <w:r>
                        <w:rPr>
                          <w:rFonts w:ascii="Times New Roman" w:hAnsi="Times New Roman"/>
                          <w:sz w:val="28"/>
                          <w:szCs w:val="28"/>
                        </w:rPr>
                        <w:t>10</w:t>
                      </w:r>
                    </w:p>
                  </w:txbxContent>
                </v:textbox>
              </v:shape>
            </v:group>
            <v:shape id="_x0000_s1866" type="#_x0000_t202" style="position:absolute;left:1821;top:5646;width:7723;height:525" stroked="f">
              <v:textbox style="mso-next-textbox:#_x0000_s1866">
                <w:txbxContent>
                  <w:p w:rsidR="00DA0A21" w:rsidRDefault="00DA0A21" w:rsidP="00A01923">
                    <w:pPr>
                      <w:ind w:left="1134" w:firstLine="282"/>
                      <w:jc w:val="center"/>
                      <w:rPr>
                        <w:rFonts w:ascii="Times New Roman" w:hAnsi="Times New Roman"/>
                        <w:sz w:val="28"/>
                        <w:szCs w:val="28"/>
                        <w:lang w:val="uk-UA"/>
                      </w:rPr>
                    </w:pPr>
                    <w:r>
                      <w:rPr>
                        <w:rFonts w:ascii="Times New Roman" w:hAnsi="Times New Roman"/>
                        <w:sz w:val="28"/>
                        <w:szCs w:val="28"/>
                      </w:rPr>
                      <w:t>Рис. 2.</w:t>
                    </w:r>
                    <w:r>
                      <w:rPr>
                        <w:rFonts w:ascii="Times New Roman" w:hAnsi="Times New Roman"/>
                        <w:sz w:val="28"/>
                        <w:szCs w:val="28"/>
                        <w:lang w:val="uk-UA"/>
                      </w:rPr>
                      <w:t>6</w:t>
                    </w:r>
                    <w:r>
                      <w:rPr>
                        <w:rFonts w:ascii="Times New Roman" w:hAnsi="Times New Roman"/>
                        <w:sz w:val="28"/>
                        <w:szCs w:val="28"/>
                      </w:rPr>
                      <w:t xml:space="preserve"> Візуаль</w:t>
                    </w:r>
                    <w:r>
                      <w:rPr>
                        <w:rFonts w:ascii="Times New Roman" w:hAnsi="Times New Roman"/>
                        <w:color w:val="000000"/>
                        <w:sz w:val="28"/>
                        <w:szCs w:val="28"/>
                      </w:rPr>
                      <w:t>н</w:t>
                    </w:r>
                    <w:r>
                      <w:rPr>
                        <w:rFonts w:ascii="Times New Roman" w:hAnsi="Times New Roman"/>
                        <w:color w:val="000000"/>
                        <w:sz w:val="28"/>
                        <w:szCs w:val="28"/>
                        <w:lang w:val="uk-UA"/>
                      </w:rPr>
                      <w:t>а</w:t>
                    </w:r>
                    <w:r>
                      <w:rPr>
                        <w:rFonts w:ascii="Times New Roman" w:hAnsi="Times New Roman"/>
                        <w:sz w:val="28"/>
                        <w:szCs w:val="28"/>
                      </w:rPr>
                      <w:t xml:space="preserve"> аналогова шкала болю</w:t>
                    </w:r>
                  </w:p>
                </w:txbxContent>
              </v:textbox>
            </v:shape>
            <v:shape id="_x0000_s1867" type="#_x0000_t32" style="position:absolute;left:3797;top:4791;width:960;height:0" o:connectortype="straight"/>
            <v:shape id="_x0000_s1868" type="#_x0000_t32" style="position:absolute;left:3797;top:4506;width:0;height:285;flip:y" o:connectortype="straight">
              <v:stroke endarrow="block"/>
            </v:shape>
            <v:shape id="_x0000_s1869" type="#_x0000_t32" style="position:absolute;left:4757;top:4506;width:0;height:285;flip:y" o:connectortype="straight">
              <v:stroke endarrow="block"/>
            </v:shape>
            <v:shape id="_x0000_s1870" type="#_x0000_t32" style="position:absolute;left:5160;top:4491;width:0;height:285;flip:y" o:connectortype="straight">
              <v:stroke endarrow="block"/>
            </v:shape>
            <v:shape id="_x0000_s1871" type="#_x0000_t32" style="position:absolute;left:6227;top:4507;width:0;height:285;flip:y" o:connectortype="straight">
              <v:stroke endarrow="block"/>
            </v:shape>
            <v:shape id="_x0000_s1872" type="#_x0000_t32" style="position:absolute;left:6707;top:4491;width:0;height:285;flip:y" o:connectortype="straight">
              <v:stroke endarrow="block"/>
            </v:shape>
            <v:shape id="_x0000_s1873" type="#_x0000_t32" style="position:absolute;left:8132;top:4491;width:0;height:285;flip:y" o:connectortype="straight">
              <v:stroke endarrow="block"/>
            </v:shape>
            <v:shape id="_x0000_s1874" type="#_x0000_t32" style="position:absolute;left:5160;top:4792;width:1067;height:0" o:connectortype="straight"/>
            <v:shape id="_x0000_s1875" type="#_x0000_t32" style="position:absolute;left:6707;top:4776;width:1425;height:0" o:connectortype="straight"/>
            <v:shape id="_x0000_s1876" type="#_x0000_t202" style="position:absolute;left:2522;top:4410;width:1065;height:479" stroked="f">
              <v:textbox style="mso-next-textbox:#_x0000_s1876">
                <w:txbxContent>
                  <w:p w:rsidR="00DA0A21" w:rsidRDefault="00DA0A21" w:rsidP="00A01923">
                    <w:pPr>
                      <w:rPr>
                        <w:rFonts w:ascii="Times New Roman" w:hAnsi="Times New Roman"/>
                        <w:sz w:val="28"/>
                        <w:szCs w:val="28"/>
                      </w:rPr>
                    </w:pPr>
                    <w:r>
                      <w:rPr>
                        <w:rFonts w:ascii="Times New Roman" w:hAnsi="Times New Roman"/>
                        <w:sz w:val="28"/>
                        <w:szCs w:val="28"/>
                      </w:rPr>
                      <w:t>немає</w:t>
                    </w:r>
                  </w:p>
                </w:txbxContent>
              </v:textbox>
            </v:shape>
            <v:shape id="_x0000_s1877" type="#_x0000_t202" style="position:absolute;left:3688;top:4986;width:1186;height:479" stroked="f">
              <v:textbox style="mso-next-textbox:#_x0000_s1877">
                <w:txbxContent>
                  <w:p w:rsidR="00DA0A21" w:rsidRDefault="00DA0A21" w:rsidP="00A01923">
                    <w:pPr>
                      <w:rPr>
                        <w:rFonts w:ascii="Times New Roman" w:hAnsi="Times New Roman"/>
                        <w:sz w:val="28"/>
                        <w:szCs w:val="28"/>
                      </w:rPr>
                    </w:pPr>
                    <w:r>
                      <w:rPr>
                        <w:rFonts w:ascii="Times New Roman" w:hAnsi="Times New Roman"/>
                        <w:sz w:val="28"/>
                        <w:szCs w:val="28"/>
                      </w:rPr>
                      <w:t>легкий</w:t>
                    </w:r>
                  </w:p>
                </w:txbxContent>
              </v:textbox>
            </v:shape>
            <v:shape id="_x0000_s1878" type="#_x0000_t202" style="position:absolute;left:5114;top:4970;width:1291;height:479" stroked="f">
              <v:textbox style="mso-next-textbox:#_x0000_s1878">
                <w:txbxContent>
                  <w:p w:rsidR="00DA0A21" w:rsidRDefault="00DA0A21" w:rsidP="00A01923">
                    <w:pPr>
                      <w:jc w:val="both"/>
                      <w:rPr>
                        <w:rFonts w:ascii="Times New Roman" w:hAnsi="Times New Roman"/>
                        <w:sz w:val="28"/>
                        <w:szCs w:val="28"/>
                      </w:rPr>
                    </w:pPr>
                    <w:r>
                      <w:rPr>
                        <w:rFonts w:ascii="Times New Roman" w:hAnsi="Times New Roman"/>
                        <w:sz w:val="28"/>
                        <w:szCs w:val="28"/>
                      </w:rPr>
                      <w:t>середній</w:t>
                    </w:r>
                  </w:p>
                </w:txbxContent>
              </v:textbox>
            </v:shape>
            <v:shape id="_x0000_s1879" type="#_x0000_t202" style="position:absolute;left:6944;top:4970;width:1188;height:479" stroked="f">
              <v:textbox style="mso-next-textbox:#_x0000_s1879">
                <w:txbxContent>
                  <w:p w:rsidR="00DA0A21" w:rsidRDefault="00DA0A21" w:rsidP="00A01923">
                    <w:pPr>
                      <w:rPr>
                        <w:rFonts w:ascii="Times New Roman" w:hAnsi="Times New Roman"/>
                        <w:sz w:val="28"/>
                        <w:szCs w:val="28"/>
                      </w:rPr>
                    </w:pPr>
                    <w:r>
                      <w:rPr>
                        <w:rFonts w:ascii="Times New Roman" w:hAnsi="Times New Roman"/>
                        <w:sz w:val="28"/>
                        <w:szCs w:val="28"/>
                      </w:rPr>
                      <w:t>тяжкий</w:t>
                    </w:r>
                  </w:p>
                </w:txbxContent>
              </v:textbox>
            </v:shape>
          </v:group>
        </w:pict>
      </w: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284" w:firstLine="568"/>
        <w:jc w:val="both"/>
        <w:rPr>
          <w:sz w:val="28"/>
          <w:szCs w:val="28"/>
          <w:lang w:val="uk-UA"/>
        </w:rPr>
      </w:pPr>
    </w:p>
    <w:p w:rsidR="00A01923" w:rsidRDefault="00A01923" w:rsidP="00A01923">
      <w:pPr>
        <w:pStyle w:val="ac"/>
        <w:spacing w:line="360" w:lineRule="auto"/>
        <w:ind w:left="-567" w:firstLine="568"/>
        <w:rPr>
          <w:b/>
          <w:sz w:val="28"/>
          <w:szCs w:val="28"/>
          <w:lang w:val="uk-UA"/>
        </w:rPr>
      </w:pPr>
    </w:p>
    <w:p w:rsidR="00A01923" w:rsidRDefault="00A01923" w:rsidP="00A01923">
      <w:pPr>
        <w:pStyle w:val="ac"/>
        <w:spacing w:line="360" w:lineRule="auto"/>
        <w:ind w:left="-567" w:firstLine="568"/>
        <w:rPr>
          <w:b/>
          <w:sz w:val="28"/>
          <w:szCs w:val="28"/>
          <w:lang w:val="uk-UA"/>
        </w:rPr>
      </w:pPr>
    </w:p>
    <w:p w:rsidR="00A01923" w:rsidRDefault="00A01923" w:rsidP="00A01923">
      <w:pPr>
        <w:pStyle w:val="ac"/>
        <w:spacing w:line="360" w:lineRule="auto"/>
        <w:ind w:left="-567" w:firstLine="568"/>
        <w:rPr>
          <w:b/>
          <w:sz w:val="28"/>
          <w:szCs w:val="28"/>
          <w:lang w:val="uk-UA"/>
        </w:rPr>
      </w:pPr>
      <w:r>
        <w:rPr>
          <w:b/>
          <w:sz w:val="28"/>
          <w:szCs w:val="28"/>
          <w:lang w:val="uk-UA"/>
        </w:rPr>
        <w:t xml:space="preserve">2.4 Методика </w:t>
      </w:r>
      <w:r w:rsidR="0051559B">
        <w:rPr>
          <w:b/>
          <w:sz w:val="28"/>
          <w:szCs w:val="28"/>
          <w:lang w:val="uk-UA"/>
        </w:rPr>
        <w:t xml:space="preserve">проведення </w:t>
      </w:r>
      <w:r>
        <w:rPr>
          <w:b/>
          <w:sz w:val="28"/>
          <w:szCs w:val="28"/>
          <w:lang w:val="uk-UA"/>
        </w:rPr>
        <w:t>стимуляції неоангіогенезу</w:t>
      </w:r>
    </w:p>
    <w:p w:rsidR="00A01923" w:rsidRDefault="00A01923" w:rsidP="00A01923">
      <w:pPr>
        <w:pStyle w:val="ac"/>
        <w:spacing w:line="360" w:lineRule="auto"/>
        <w:ind w:left="-567" w:firstLine="568"/>
        <w:rPr>
          <w:b/>
          <w:color w:val="000000"/>
          <w:sz w:val="28"/>
          <w:szCs w:val="28"/>
          <w:lang w:val="uk-UA"/>
        </w:rPr>
      </w:pPr>
    </w:p>
    <w:p w:rsidR="00A01923" w:rsidRDefault="00A01923" w:rsidP="00A01923">
      <w:pPr>
        <w:pStyle w:val="ac"/>
        <w:spacing w:line="360" w:lineRule="auto"/>
        <w:ind w:left="-567" w:firstLine="568"/>
        <w:rPr>
          <w:b/>
          <w:color w:val="000000"/>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Стимуляцію неоангіогенезу хворим основної групи проводили методом одноразової ін’єкції у 5 точок у латеральну та медіальну голівки литкового м’язу збагаченої тромбоцитами аутоплазми, отриманої за допомогою м’якого центрифугування цільної крові безпосередньо перед введенням.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rPr>
        <w:t>Відбирали аутокров з ліктьової вени у кількості 80 мл і вливали її в пробірки з гепарином з розрахунку 125 ОД на 10 мл крові. Пробірки закривали кришками і поміщали в центрифугу, де центрифугу</w:t>
      </w:r>
      <w:r>
        <w:rPr>
          <w:rFonts w:ascii="Times New Roman" w:hAnsi="Times New Roman"/>
          <w:sz w:val="28"/>
          <w:szCs w:val="28"/>
          <w:lang w:val="uk-UA"/>
        </w:rPr>
        <w:t>вали</w:t>
      </w:r>
      <w:r>
        <w:rPr>
          <w:rFonts w:ascii="Times New Roman" w:hAnsi="Times New Roman"/>
          <w:sz w:val="28"/>
          <w:szCs w:val="28"/>
        </w:rPr>
        <w:t xml:space="preserve"> при температурі 24-30</w:t>
      </w:r>
      <w:r>
        <w:rPr>
          <w:rFonts w:ascii="Times New Roman" w:hAnsi="Times New Roman"/>
          <w:sz w:val="28"/>
          <w:szCs w:val="28"/>
          <w:vertAlign w:val="superscript"/>
        </w:rPr>
        <w:t>о</w:t>
      </w:r>
      <w:r>
        <w:rPr>
          <w:rFonts w:ascii="Times New Roman" w:hAnsi="Times New Roman"/>
          <w:sz w:val="28"/>
          <w:szCs w:val="28"/>
        </w:rPr>
        <w:t xml:space="preserve">С зі швидкістю 1000 об/хв, протягом 3 хвилин, під час яких відбувається відділення плазми, багатої тромбоцитами. Надалі пробірки обережно дістають та відбирають збагачену тромбоцитами плазму шприцом, не зачіпаючи нижній шар крові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rPr>
        <w:t>Одержану плазму, збагачену тромбоцитами, вводили в литковий м</w:t>
      </w:r>
      <w:r>
        <w:rPr>
          <w:rFonts w:ascii="Times New Roman" w:hAnsi="Times New Roman"/>
          <w:sz w:val="28"/>
          <w:szCs w:val="28"/>
          <w:lang w:val="uk-UA"/>
        </w:rPr>
        <w:t>’</w:t>
      </w:r>
      <w:r>
        <w:rPr>
          <w:rFonts w:ascii="Times New Roman" w:hAnsi="Times New Roman"/>
          <w:sz w:val="28"/>
          <w:szCs w:val="28"/>
        </w:rPr>
        <w:t>яз гомілки хворого, яку попередньо тр</w:t>
      </w:r>
      <w:r>
        <w:rPr>
          <w:rFonts w:ascii="Times New Roman" w:hAnsi="Times New Roman"/>
          <w:sz w:val="28"/>
          <w:szCs w:val="28"/>
          <w:lang w:val="uk-UA"/>
        </w:rPr>
        <w:t>и</w:t>
      </w:r>
      <w:r>
        <w:rPr>
          <w:rFonts w:ascii="Times New Roman" w:hAnsi="Times New Roman"/>
          <w:sz w:val="28"/>
          <w:szCs w:val="28"/>
        </w:rPr>
        <w:t>разово обробля</w:t>
      </w:r>
      <w:r>
        <w:rPr>
          <w:rFonts w:ascii="Times New Roman" w:hAnsi="Times New Roman"/>
          <w:sz w:val="28"/>
          <w:szCs w:val="28"/>
          <w:lang w:val="uk-UA"/>
        </w:rPr>
        <w:t>ли</w:t>
      </w:r>
      <w:r>
        <w:rPr>
          <w:rFonts w:ascii="Times New Roman" w:hAnsi="Times New Roman"/>
          <w:sz w:val="28"/>
          <w:szCs w:val="28"/>
        </w:rPr>
        <w:t xml:space="preserve"> 70° спиртом. Плазму вводили у латеральну голівку литкового м</w:t>
      </w:r>
      <w:r>
        <w:rPr>
          <w:rFonts w:ascii="Times New Roman" w:hAnsi="Times New Roman"/>
          <w:sz w:val="28"/>
          <w:szCs w:val="28"/>
          <w:lang w:val="uk-UA"/>
        </w:rPr>
        <w:t>’</w:t>
      </w:r>
      <w:r>
        <w:rPr>
          <w:rFonts w:ascii="Times New Roman" w:hAnsi="Times New Roman"/>
          <w:sz w:val="28"/>
          <w:szCs w:val="28"/>
        </w:rPr>
        <w:t xml:space="preserve">яза у три точки </w:t>
      </w:r>
      <w:r>
        <w:rPr>
          <w:rFonts w:ascii="Times New Roman" w:hAnsi="Times New Roman"/>
          <w:color w:val="FF0000"/>
          <w:sz w:val="28"/>
          <w:szCs w:val="28"/>
        </w:rPr>
        <w:t>–</w:t>
      </w:r>
      <w:r>
        <w:rPr>
          <w:rFonts w:ascii="Times New Roman" w:hAnsi="Times New Roman"/>
          <w:sz w:val="28"/>
          <w:szCs w:val="28"/>
        </w:rPr>
        <w:t xml:space="preserve"> у верхню, середню та нижню третини, </w:t>
      </w:r>
      <w:r>
        <w:rPr>
          <w:rFonts w:ascii="Times New Roman" w:hAnsi="Times New Roman"/>
          <w:sz w:val="28"/>
          <w:szCs w:val="28"/>
          <w:lang w:val="uk-UA"/>
        </w:rPr>
        <w:t xml:space="preserve">а також </w:t>
      </w:r>
      <w:r>
        <w:rPr>
          <w:rFonts w:ascii="Times New Roman" w:hAnsi="Times New Roman"/>
          <w:sz w:val="28"/>
          <w:szCs w:val="28"/>
        </w:rPr>
        <w:t>у медіальну голівку литкового м</w:t>
      </w:r>
      <w:r>
        <w:rPr>
          <w:rFonts w:ascii="Times New Roman" w:hAnsi="Times New Roman"/>
          <w:sz w:val="28"/>
          <w:szCs w:val="28"/>
          <w:lang w:val="uk-UA"/>
        </w:rPr>
        <w:t>’</w:t>
      </w:r>
      <w:r>
        <w:rPr>
          <w:rFonts w:ascii="Times New Roman" w:hAnsi="Times New Roman"/>
          <w:sz w:val="28"/>
          <w:szCs w:val="28"/>
        </w:rPr>
        <w:t>яза у дві точки</w:t>
      </w:r>
      <w:r>
        <w:rPr>
          <w:rFonts w:ascii="Times New Roman" w:hAnsi="Times New Roman"/>
          <w:color w:val="FF0000"/>
          <w:sz w:val="28"/>
          <w:szCs w:val="28"/>
        </w:rPr>
        <w:t xml:space="preserve"> –</w:t>
      </w:r>
      <w:r>
        <w:rPr>
          <w:rFonts w:ascii="Times New Roman" w:hAnsi="Times New Roman"/>
          <w:sz w:val="28"/>
          <w:szCs w:val="28"/>
        </w:rPr>
        <w:t xml:space="preserve"> у верхню та нижню частини</w:t>
      </w:r>
      <w:r>
        <w:rPr>
          <w:rFonts w:ascii="Times New Roman" w:hAnsi="Times New Roman"/>
          <w:sz w:val="28"/>
          <w:szCs w:val="28"/>
          <w:lang w:val="uk-UA"/>
        </w:rPr>
        <w:t xml:space="preserve"> в </w:t>
      </w:r>
      <w:r>
        <w:rPr>
          <w:rFonts w:ascii="Times New Roman" w:hAnsi="Times New Roman"/>
          <w:sz w:val="28"/>
          <w:szCs w:val="28"/>
        </w:rPr>
        <w:t>уражен</w:t>
      </w:r>
      <w:r>
        <w:rPr>
          <w:rFonts w:ascii="Times New Roman" w:hAnsi="Times New Roman"/>
          <w:sz w:val="28"/>
          <w:szCs w:val="28"/>
          <w:lang w:val="uk-UA"/>
        </w:rPr>
        <w:t xml:space="preserve">у </w:t>
      </w:r>
      <w:r>
        <w:rPr>
          <w:rFonts w:ascii="Times New Roman" w:hAnsi="Times New Roman"/>
          <w:sz w:val="28"/>
          <w:szCs w:val="28"/>
        </w:rPr>
        <w:t>гомілк</w:t>
      </w:r>
      <w:r>
        <w:rPr>
          <w:rFonts w:ascii="Times New Roman" w:hAnsi="Times New Roman"/>
          <w:sz w:val="28"/>
          <w:szCs w:val="28"/>
          <w:lang w:val="uk-UA"/>
        </w:rPr>
        <w:t>у</w:t>
      </w:r>
      <w:r>
        <w:rPr>
          <w:rFonts w:ascii="Times New Roman" w:hAnsi="Times New Roman"/>
          <w:sz w:val="28"/>
          <w:szCs w:val="28"/>
        </w:rPr>
        <w:t xml:space="preserve"> на максимальну глибину з обов’язковим </w:t>
      </w:r>
      <w:r>
        <w:rPr>
          <w:rFonts w:ascii="Times New Roman" w:hAnsi="Times New Roman"/>
          <w:sz w:val="28"/>
          <w:szCs w:val="28"/>
        </w:rPr>
        <w:lastRenderedPageBreak/>
        <w:t>контролем пункції судин (не вводити у судинно-нервовий пучок, а вводити в м’язи). (</w:t>
      </w:r>
      <w:r>
        <w:rPr>
          <w:rFonts w:ascii="Times New Roman" w:hAnsi="Times New Roman"/>
          <w:sz w:val="28"/>
          <w:szCs w:val="28"/>
          <w:lang w:val="uk-UA"/>
        </w:rPr>
        <w:t>р</w:t>
      </w:r>
      <w:r>
        <w:rPr>
          <w:rFonts w:ascii="Times New Roman" w:hAnsi="Times New Roman"/>
          <w:sz w:val="28"/>
          <w:szCs w:val="28"/>
        </w:rPr>
        <w:t>ис. 2.</w:t>
      </w:r>
      <w:r>
        <w:rPr>
          <w:rFonts w:ascii="Times New Roman" w:hAnsi="Times New Roman"/>
          <w:sz w:val="28"/>
          <w:szCs w:val="28"/>
          <w:lang w:val="uk-UA"/>
        </w:rPr>
        <w:t>7</w:t>
      </w:r>
      <w:r>
        <w:rPr>
          <w:rFonts w:ascii="Times New Roman" w:hAnsi="Times New Roman"/>
          <w:sz w:val="28"/>
          <w:szCs w:val="28"/>
        </w:rPr>
        <w:t xml:space="preserve">). </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487043" w:rsidP="00A01923">
      <w:pPr>
        <w:spacing w:after="0" w:line="360" w:lineRule="auto"/>
        <w:ind w:left="-567" w:firstLine="567"/>
        <w:jc w:val="both"/>
        <w:rPr>
          <w:rFonts w:ascii="Times New Roman" w:hAnsi="Times New Roman"/>
          <w:sz w:val="28"/>
          <w:szCs w:val="28"/>
          <w:lang w:val="uk-UA"/>
        </w:rPr>
      </w:pPr>
      <w:r w:rsidRPr="00487043">
        <w:rPr>
          <w:rFonts w:ascii="Calibri" w:hAnsi="Calibri"/>
        </w:rPr>
        <w:pict>
          <v:group id="_x0000_s1883" style="position:absolute;left:0;text-align:left;margin-left:-29.05pt;margin-top:.15pt;width:496pt;height:355.4pt;z-index:251623936" coordorigin="1120,1137" coordsize="9920,7108">
            <v:shape id="_x0000_s1884" type="#_x0000_t202" style="position:absolute;left:1187;top:7306;width:9853;height:939;mso-width-relative:margin;mso-height-relative:margin" stroked="f">
              <v:textbox>
                <w:txbxContent>
                  <w:p w:rsidR="00DA0A21" w:rsidRDefault="00DA0A21" w:rsidP="00A01923">
                    <w:pPr>
                      <w:spacing w:line="360" w:lineRule="auto"/>
                      <w:jc w:val="center"/>
                      <w:rPr>
                        <w:rFonts w:ascii="Times New Roman" w:hAnsi="Times New Roman"/>
                        <w:sz w:val="28"/>
                        <w:szCs w:val="28"/>
                      </w:rPr>
                    </w:pPr>
                    <w:r>
                      <w:rPr>
                        <w:rFonts w:ascii="Times New Roman" w:hAnsi="Times New Roman"/>
                        <w:sz w:val="28"/>
                        <w:szCs w:val="28"/>
                      </w:rPr>
                      <w:t>Рис. 2.</w:t>
                    </w:r>
                    <w:r>
                      <w:rPr>
                        <w:rFonts w:ascii="Times New Roman" w:hAnsi="Times New Roman"/>
                        <w:sz w:val="28"/>
                        <w:szCs w:val="28"/>
                        <w:lang w:val="uk-UA"/>
                      </w:rPr>
                      <w:t xml:space="preserve">7 </w:t>
                    </w:r>
                    <w:r>
                      <w:rPr>
                        <w:rFonts w:ascii="Times New Roman" w:hAnsi="Times New Roman"/>
                        <w:sz w:val="28"/>
                        <w:szCs w:val="28"/>
                      </w:rPr>
                      <w:t>Точки введення та процедура введення збагаченої тромбоцитами плазми</w:t>
                    </w:r>
                  </w:p>
                  <w:p w:rsidR="00DA0A21" w:rsidRDefault="00DA0A21" w:rsidP="00A01923">
                    <w:pPr>
                      <w:rPr>
                        <w:rFonts w:ascii="Calibri" w:hAnsi="Calibri"/>
                      </w:rPr>
                    </w:pPr>
                  </w:p>
                </w:txbxContent>
              </v:textbox>
            </v:shape>
            <v:shape id="_x0000_s1885" type="#_x0000_t202" style="position:absolute;left:1120;top:1137;width:9920;height:5664" stroked="f">
              <v:textbox>
                <w:txbxContent>
                  <w:p w:rsidR="00DA0A21" w:rsidRDefault="00DA0A21" w:rsidP="00A01923">
                    <w:r w:rsidRPr="00487043">
                      <w:rPr>
                        <w:rFonts w:eastAsia="Calibri"/>
                        <w:sz w:val="20"/>
                        <w:szCs w:val="20"/>
                      </w:rPr>
                      <w:pict>
                        <v:shape id="_x0000_i1034" type="#_x0000_t75" style="width:110.5pt;height:254.5pt;visibility:visible">
                          <v:imagedata r:id="rId17" o:title=""/>
                        </v:shape>
                      </w:pict>
                    </w:r>
                    <w:r w:rsidRPr="00487043">
                      <w:rPr>
                        <w:rFonts w:eastAsia="Calibri"/>
                        <w:sz w:val="20"/>
                        <w:szCs w:val="20"/>
                      </w:rPr>
                      <w:pict>
                        <v:shape id="_x0000_i1036" type="#_x0000_t75" alt="image-1 (289)1" style="width:367.45pt;height:252pt;visibility:visible">
                          <v:imagedata r:id="rId18" o:title="image-1 (289)1"/>
                        </v:shape>
                      </w:pict>
                    </w:r>
                  </w:p>
                </w:txbxContent>
              </v:textbox>
            </v:shape>
          </v:group>
        </w:pic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color w:val="FF0000"/>
          <w:sz w:val="28"/>
          <w:szCs w:val="28"/>
          <w:lang w:val="uk-UA"/>
        </w:rPr>
      </w:pPr>
    </w:p>
    <w:p w:rsidR="00A01923" w:rsidRDefault="00A01923" w:rsidP="00A01923">
      <w:pPr>
        <w:spacing w:after="0" w:line="360" w:lineRule="auto"/>
        <w:jc w:val="both"/>
        <w:rPr>
          <w:rFonts w:ascii="Times New Roman" w:hAnsi="Times New Roman"/>
          <w:sz w:val="28"/>
          <w:szCs w:val="28"/>
          <w:lang w:val="uk-UA"/>
        </w:rPr>
      </w:pPr>
    </w:p>
    <w:p w:rsidR="00A01923" w:rsidRDefault="00A01923" w:rsidP="00A01923">
      <w:pPr>
        <w:spacing w:after="0" w:line="360" w:lineRule="auto"/>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Ефективність лікування в найбільшою мірою залежить від якості БаТП. </w:t>
      </w:r>
      <w:r>
        <w:rPr>
          <w:rFonts w:ascii="Times New Roman" w:hAnsi="Times New Roman"/>
          <w:sz w:val="28"/>
          <w:szCs w:val="28"/>
        </w:rPr>
        <w:t xml:space="preserve">При зростанні концентрації тромбоцитів до 1 млн. </w:t>
      </w:r>
      <w:r>
        <w:rPr>
          <w:rFonts w:ascii="Times New Roman" w:hAnsi="Times New Roman"/>
          <w:sz w:val="28"/>
          <w:szCs w:val="28"/>
          <w:lang w:val="uk-UA"/>
        </w:rPr>
        <w:t>в</w:t>
      </w:r>
      <w:r>
        <w:rPr>
          <w:rFonts w:ascii="Times New Roman" w:hAnsi="Times New Roman"/>
          <w:sz w:val="28"/>
          <w:szCs w:val="28"/>
        </w:rPr>
        <w:t xml:space="preserve"> мкл (робота Haynesworth S</w:t>
      </w:r>
      <w:r>
        <w:rPr>
          <w:rFonts w:ascii="Times New Roman" w:hAnsi="Times New Roman"/>
          <w:sz w:val="28"/>
          <w:szCs w:val="28"/>
          <w:lang w:val="uk-UA"/>
        </w:rPr>
        <w:t>.</w:t>
      </w:r>
      <w:r>
        <w:rPr>
          <w:rFonts w:ascii="Times New Roman" w:hAnsi="Times New Roman"/>
          <w:sz w:val="28"/>
          <w:szCs w:val="28"/>
        </w:rPr>
        <w:t>E</w:t>
      </w:r>
      <w:r>
        <w:rPr>
          <w:rFonts w:ascii="Times New Roman" w:hAnsi="Times New Roman"/>
          <w:sz w:val="28"/>
          <w:szCs w:val="28"/>
          <w:lang w:val="uk-UA"/>
        </w:rPr>
        <w:t>.</w:t>
      </w:r>
      <w:r>
        <w:rPr>
          <w:rFonts w:ascii="Times New Roman" w:hAnsi="Times New Roman"/>
          <w:sz w:val="28"/>
          <w:szCs w:val="28"/>
        </w:rPr>
        <w:t xml:space="preserve">) регенеративні властивості плазми ростуть пропорційно з ростом концентрації тромбоцитів. </w:t>
      </w:r>
      <w:r>
        <w:rPr>
          <w:rFonts w:ascii="Times New Roman" w:hAnsi="Times New Roman"/>
          <w:sz w:val="28"/>
          <w:szCs w:val="28"/>
          <w:lang w:val="uk-UA"/>
        </w:rPr>
        <w:t xml:space="preserve">Показано, що стимулюючий ефект багатою тромбоцитами плазми проявляється, якщо концентрація тромбоцитів в ній дорівнює 1.000.000 / мкл. Понад 1 млн. на мкл, зростання регенеративної активності тромбоцитарної плазми відсутня. За даними авторів наймолодші і найбільш активні тромбоцити важчі за старі і тому змішуються з найбільш легкими еритроцитами. Тому отримана нами БаТП має дещо червоне забарвлення. Аутоплазму збагачували із розрахунку 5 млн. та більше тромбоцитів у об’ємі 10-12 мл плазми. Подібна кількість </w:t>
      </w:r>
      <w:r>
        <w:rPr>
          <w:rFonts w:ascii="Times New Roman" w:hAnsi="Times New Roman"/>
          <w:sz w:val="28"/>
          <w:szCs w:val="28"/>
          <w:lang w:val="uk-UA"/>
        </w:rPr>
        <w:lastRenderedPageBreak/>
        <w:t xml:space="preserve">тромбоцитів необхідна для досягнення максимального стимулюючого ефекту </w:t>
      </w:r>
      <w:r>
        <w:rPr>
          <w:rFonts w:ascii="Times New Roman" w:hAnsi="Times New Roman"/>
          <w:sz w:val="28"/>
          <w:szCs w:val="28"/>
        </w:rPr>
        <w:t>(рис</w:t>
      </w:r>
      <w:r>
        <w:rPr>
          <w:rFonts w:ascii="Times New Roman" w:hAnsi="Times New Roman"/>
          <w:sz w:val="28"/>
          <w:szCs w:val="28"/>
          <w:lang w:val="uk-UA"/>
        </w:rPr>
        <w:t>.</w:t>
      </w:r>
      <w:r>
        <w:rPr>
          <w:rFonts w:ascii="Times New Roman" w:hAnsi="Times New Roman"/>
          <w:sz w:val="28"/>
          <w:szCs w:val="28"/>
        </w:rPr>
        <w:t xml:space="preserve"> 2.</w:t>
      </w:r>
      <w:r>
        <w:rPr>
          <w:rFonts w:ascii="Times New Roman" w:hAnsi="Times New Roman"/>
          <w:sz w:val="28"/>
          <w:szCs w:val="28"/>
          <w:lang w:val="uk-UA"/>
        </w:rPr>
        <w:t>8</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148</w:t>
      </w:r>
      <w:r>
        <w:rPr>
          <w:rFonts w:ascii="Times New Roman" w:hAnsi="Times New Roman"/>
          <w:sz w:val="28"/>
          <w:szCs w:val="28"/>
        </w:rPr>
        <w:t>].</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487043" w:rsidP="00A01923">
      <w:pPr>
        <w:spacing w:after="0" w:line="360" w:lineRule="auto"/>
        <w:ind w:left="-567" w:firstLine="567"/>
        <w:jc w:val="both"/>
        <w:rPr>
          <w:rFonts w:ascii="Times New Roman" w:hAnsi="Times New Roman"/>
          <w:sz w:val="28"/>
          <w:szCs w:val="28"/>
          <w:lang w:val="uk-UA"/>
        </w:rPr>
      </w:pPr>
      <w:r w:rsidRPr="00487043">
        <w:rPr>
          <w:rFonts w:ascii="Calibri" w:hAnsi="Calibri"/>
        </w:rPr>
        <w:pict>
          <v:group id="_x0000_s1886" style="position:absolute;left:0;text-align:left;margin-left:-33.85pt;margin-top:2.2pt;width:500.8pt;height:261.35pt;z-index:251624960" coordorigin="1024,1178" coordsize="10016,5227">
            <v:shape id="_x0000_s1887" type="#_x0000_t202" style="position:absolute;left:1461;top:5838;width:9291;height:567;mso-width-relative:margin;mso-height-relative:margin"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rPr>
                      <w:t>Рис. 2.</w:t>
                    </w:r>
                    <w:r>
                      <w:rPr>
                        <w:rFonts w:ascii="Times New Roman" w:hAnsi="Times New Roman"/>
                        <w:sz w:val="28"/>
                        <w:szCs w:val="28"/>
                        <w:lang w:val="uk-UA"/>
                      </w:rPr>
                      <w:t>8</w:t>
                    </w:r>
                    <w:r>
                      <w:rPr>
                        <w:rFonts w:ascii="Times New Roman" w:hAnsi="Times New Roman"/>
                        <w:sz w:val="28"/>
                        <w:szCs w:val="28"/>
                      </w:rPr>
                      <w:t xml:space="preserve"> Результат підрахування кількості клітин у БоТП</w:t>
                    </w:r>
                    <w:r>
                      <w:rPr>
                        <w:rFonts w:ascii="Times New Roman" w:hAnsi="Times New Roman"/>
                        <w:sz w:val="28"/>
                        <w:szCs w:val="28"/>
                        <w:lang w:val="uk-UA"/>
                      </w:rPr>
                      <w:t>.</w:t>
                    </w:r>
                  </w:p>
                </w:txbxContent>
              </v:textbox>
            </v:shape>
            <v:shape id="_x0000_s1888" type="#_x0000_t202" style="position:absolute;left:1024;top:1178;width:10016;height:4480" stroked="f">
              <v:textbox>
                <w:txbxContent>
                  <w:p w:rsidR="00DA0A21" w:rsidRDefault="00DA0A21" w:rsidP="00A01923">
                    <w:r w:rsidRPr="00487043">
                      <w:rPr>
                        <w:rFonts w:eastAsia="Calibri"/>
                        <w:sz w:val="20"/>
                        <w:szCs w:val="20"/>
                      </w:rPr>
                      <w:pict>
                        <v:shape id="_x0000_i1038" type="#_x0000_t75" style="width:486.6pt;height:235.85pt;visibility:visible">
                          <v:imagedata r:id="rId19" o:title="OdHY8pn36Q8"/>
                        </v:shape>
                      </w:pict>
                    </w:r>
                  </w:p>
                </w:txbxContent>
              </v:textbox>
            </v:shape>
          </v:group>
        </w:pic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center"/>
        <w:rPr>
          <w:color w:val="000000"/>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rPr>
        <w:t xml:space="preserve">Два мілілітри збагаченої тромбоцитами плазми відправляли на контроль. </w:t>
      </w:r>
      <w:r>
        <w:rPr>
          <w:rFonts w:ascii="Times New Roman" w:hAnsi="Times New Roman"/>
          <w:color w:val="000000"/>
          <w:sz w:val="28"/>
          <w:szCs w:val="28"/>
          <w:lang w:val="uk-UA"/>
        </w:rPr>
        <w:t>З</w:t>
      </w:r>
      <w:r>
        <w:rPr>
          <w:rFonts w:ascii="Times New Roman" w:hAnsi="Times New Roman"/>
          <w:color w:val="000000"/>
          <w:sz w:val="28"/>
          <w:szCs w:val="28"/>
        </w:rPr>
        <w:t>а описаною методикою оформлен</w:t>
      </w:r>
      <w:r>
        <w:rPr>
          <w:rFonts w:ascii="Times New Roman" w:hAnsi="Times New Roman"/>
          <w:color w:val="000000"/>
          <w:sz w:val="28"/>
          <w:szCs w:val="28"/>
          <w:lang w:val="uk-UA"/>
        </w:rPr>
        <w:t>і</w:t>
      </w:r>
      <w:r>
        <w:rPr>
          <w:rFonts w:ascii="Times New Roman" w:hAnsi="Times New Roman"/>
          <w:color w:val="000000"/>
          <w:sz w:val="28"/>
          <w:szCs w:val="28"/>
        </w:rPr>
        <w:t xml:space="preserve"> два патенти України на корисну модель (№ </w:t>
      </w:r>
      <w:r>
        <w:rPr>
          <w:rFonts w:ascii="Times New Roman" w:hAnsi="Times New Roman"/>
          <w:color w:val="000000"/>
          <w:sz w:val="28"/>
          <w:szCs w:val="28"/>
          <w:lang w:val="en-US"/>
        </w:rPr>
        <w:t>u</w:t>
      </w:r>
      <w:r>
        <w:rPr>
          <w:rFonts w:ascii="Times New Roman" w:hAnsi="Times New Roman"/>
          <w:color w:val="000000"/>
          <w:sz w:val="28"/>
          <w:szCs w:val="28"/>
          <w:lang w:val="uk-UA"/>
        </w:rPr>
        <w:t xml:space="preserve"> 111490 </w:t>
      </w:r>
      <w:r>
        <w:rPr>
          <w:rFonts w:ascii="Times New Roman" w:hAnsi="Times New Roman"/>
          <w:color w:val="000000"/>
          <w:sz w:val="28"/>
          <w:szCs w:val="28"/>
        </w:rPr>
        <w:t xml:space="preserve">від </w:t>
      </w:r>
      <w:r>
        <w:rPr>
          <w:rFonts w:ascii="Times New Roman" w:hAnsi="Times New Roman"/>
          <w:color w:val="000000"/>
          <w:sz w:val="28"/>
          <w:szCs w:val="28"/>
          <w:lang w:val="uk-UA"/>
        </w:rPr>
        <w:t>10.11.</w:t>
      </w:r>
      <w:r>
        <w:rPr>
          <w:rFonts w:ascii="Times New Roman" w:hAnsi="Times New Roman"/>
          <w:color w:val="000000"/>
          <w:sz w:val="28"/>
          <w:szCs w:val="28"/>
        </w:rPr>
        <w:t>2016 р</w:t>
      </w:r>
      <w:r>
        <w:rPr>
          <w:rFonts w:ascii="Times New Roman" w:hAnsi="Times New Roman"/>
          <w:color w:val="000000"/>
          <w:sz w:val="28"/>
          <w:szCs w:val="28"/>
          <w:lang w:val="uk-UA"/>
        </w:rPr>
        <w:t xml:space="preserve">., та </w:t>
      </w:r>
      <w:r>
        <w:rPr>
          <w:rFonts w:ascii="Times New Roman" w:hAnsi="Times New Roman"/>
          <w:color w:val="000000"/>
          <w:sz w:val="28"/>
          <w:szCs w:val="28"/>
        </w:rPr>
        <w:t xml:space="preserve">№ </w:t>
      </w:r>
      <w:r>
        <w:rPr>
          <w:rFonts w:ascii="Times New Roman" w:hAnsi="Times New Roman"/>
          <w:color w:val="000000"/>
          <w:sz w:val="28"/>
          <w:szCs w:val="28"/>
          <w:lang w:val="en-US"/>
        </w:rPr>
        <w:t>u</w:t>
      </w:r>
      <w:r>
        <w:rPr>
          <w:rFonts w:ascii="Times New Roman" w:hAnsi="Times New Roman"/>
          <w:color w:val="000000"/>
          <w:sz w:val="28"/>
          <w:szCs w:val="28"/>
          <w:lang w:val="uk-UA"/>
        </w:rPr>
        <w:t xml:space="preserve"> 111896 </w:t>
      </w:r>
      <w:r>
        <w:rPr>
          <w:rFonts w:ascii="Times New Roman" w:hAnsi="Times New Roman"/>
          <w:color w:val="000000"/>
          <w:sz w:val="28"/>
          <w:szCs w:val="28"/>
        </w:rPr>
        <w:t xml:space="preserve">від </w:t>
      </w:r>
      <w:r>
        <w:rPr>
          <w:rFonts w:ascii="Times New Roman" w:hAnsi="Times New Roman"/>
          <w:color w:val="000000"/>
          <w:sz w:val="28"/>
          <w:szCs w:val="28"/>
          <w:lang w:val="uk-UA"/>
        </w:rPr>
        <w:t>25.11.</w:t>
      </w:r>
      <w:r>
        <w:rPr>
          <w:rFonts w:ascii="Times New Roman" w:hAnsi="Times New Roman"/>
          <w:color w:val="000000"/>
          <w:sz w:val="28"/>
          <w:szCs w:val="28"/>
        </w:rPr>
        <w:t>2016 р</w:t>
      </w:r>
      <w:r w:rsidRPr="00D85F09">
        <w:rPr>
          <w:rFonts w:ascii="Times New Roman" w:hAnsi="Times New Roman" w:cs="Times New Roman"/>
          <w:color w:val="000000"/>
          <w:sz w:val="28"/>
          <w:szCs w:val="28"/>
          <w:lang w:val="uk-UA"/>
        </w:rPr>
        <w:t>.</w:t>
      </w:r>
      <w:r w:rsidRPr="00D85F09">
        <w:rPr>
          <w:rFonts w:ascii="Times New Roman" w:hAnsi="Times New Roman" w:cs="Times New Roman"/>
          <w:color w:val="000000"/>
          <w:sz w:val="28"/>
          <w:szCs w:val="28"/>
        </w:rPr>
        <w:t>).</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Технічною задачею</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на</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вирішення якої спрямовано</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винаходи,</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є розробка</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спрощеного та</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дешевшого</w:t>
      </w:r>
      <w:r w:rsidRPr="00D85F09">
        <w:rPr>
          <w:rFonts w:ascii="Times New Roman" w:hAnsi="Times New Roman" w:cs="Times New Roman"/>
          <w:sz w:val="28"/>
          <w:szCs w:val="28"/>
          <w:lang w:val="uk-UA"/>
        </w:rPr>
        <w:t xml:space="preserve"> </w:t>
      </w:r>
      <w:r w:rsidRPr="00D85F09">
        <w:rPr>
          <w:rStyle w:val="hps"/>
          <w:rFonts w:ascii="Times New Roman" w:hAnsi="Times New Roman" w:cs="Times New Roman"/>
          <w:sz w:val="28"/>
          <w:szCs w:val="28"/>
          <w:lang w:val="uk-UA"/>
        </w:rPr>
        <w:t xml:space="preserve">способу ефективної стимуляції неоангіогенезу у хворих на критичну ішемію нижніх кінцівок. </w:t>
      </w:r>
      <w:r w:rsidRPr="00D85F09">
        <w:rPr>
          <w:rFonts w:ascii="Times New Roman" w:hAnsi="Times New Roman" w:cs="Times New Roman"/>
          <w:sz w:val="28"/>
          <w:szCs w:val="28"/>
          <w:lang w:val="uk-UA"/>
        </w:rPr>
        <w:t>Стимуляція неоангіогенезу полягає у введенні багатої</w:t>
      </w:r>
      <w:r>
        <w:rPr>
          <w:rFonts w:ascii="Times New Roman" w:hAnsi="Times New Roman"/>
          <w:sz w:val="28"/>
          <w:szCs w:val="28"/>
          <w:lang w:val="uk-UA"/>
        </w:rPr>
        <w:t xml:space="preserve"> тромбоцитами плазми (БаТП) в ішемізовані м'язи з виділенням ними факторів росту нових судин і факторів регенерації тканин. </w:t>
      </w:r>
    </w:p>
    <w:p w:rsidR="00A01923" w:rsidRDefault="00A01923" w:rsidP="00A01923">
      <w:pPr>
        <w:pStyle w:val="ac"/>
        <w:spacing w:line="360" w:lineRule="auto"/>
        <w:ind w:left="-567" w:firstLine="568"/>
        <w:jc w:val="both"/>
        <w:rPr>
          <w:b/>
          <w:sz w:val="28"/>
          <w:szCs w:val="28"/>
          <w:lang w:val="uk-UA"/>
        </w:rPr>
      </w:pPr>
    </w:p>
    <w:p w:rsidR="00A01923" w:rsidRDefault="00A01923" w:rsidP="00A01923">
      <w:pPr>
        <w:pStyle w:val="ac"/>
        <w:spacing w:line="360" w:lineRule="auto"/>
        <w:ind w:left="-567" w:firstLine="568"/>
        <w:jc w:val="both"/>
        <w:rPr>
          <w:b/>
          <w:sz w:val="28"/>
          <w:szCs w:val="28"/>
          <w:lang w:val="uk-UA"/>
        </w:rPr>
      </w:pPr>
    </w:p>
    <w:p w:rsidR="00A01923" w:rsidRDefault="00A01923" w:rsidP="00A01923">
      <w:pPr>
        <w:pStyle w:val="ac"/>
        <w:spacing w:line="360" w:lineRule="auto"/>
        <w:ind w:left="-567" w:firstLine="568"/>
        <w:jc w:val="both"/>
        <w:rPr>
          <w:b/>
          <w:sz w:val="28"/>
          <w:szCs w:val="28"/>
          <w:lang w:val="uk-UA"/>
        </w:rPr>
      </w:pPr>
      <w:r>
        <w:rPr>
          <w:b/>
          <w:sz w:val="28"/>
          <w:szCs w:val="28"/>
          <w:lang w:val="uk-UA"/>
        </w:rPr>
        <w:t>2.5. Методи статистичного аналізу</w:t>
      </w:r>
    </w:p>
    <w:p w:rsidR="00A01923" w:rsidRDefault="00A01923" w:rsidP="00A01923">
      <w:pPr>
        <w:pStyle w:val="ac"/>
        <w:spacing w:line="360" w:lineRule="auto"/>
        <w:ind w:left="-567" w:firstLine="568"/>
        <w:jc w:val="both"/>
        <w:rPr>
          <w:b/>
          <w:sz w:val="28"/>
          <w:szCs w:val="28"/>
          <w:lang w:val="uk-UA"/>
        </w:rPr>
      </w:pPr>
    </w:p>
    <w:p w:rsidR="00A01923" w:rsidRDefault="00A01923" w:rsidP="00A01923">
      <w:pPr>
        <w:pStyle w:val="ac"/>
        <w:spacing w:line="360" w:lineRule="auto"/>
        <w:ind w:left="-567" w:firstLine="568"/>
        <w:jc w:val="both"/>
        <w:rPr>
          <w:b/>
          <w:sz w:val="28"/>
          <w:szCs w:val="28"/>
          <w:lang w:val="uk-UA"/>
        </w:rPr>
      </w:pPr>
    </w:p>
    <w:p w:rsidR="00A01923" w:rsidRDefault="00A01923" w:rsidP="00A01923">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 Статистичний аналіз отриманих результатів проводили на персональному комп'ютері за допомогою статистичного пакету MS Office Excel та </w:t>
      </w:r>
      <w:r>
        <w:rPr>
          <w:rFonts w:ascii="Times New Roman" w:hAnsi="Times New Roman"/>
          <w:sz w:val="28"/>
          <w:szCs w:val="28"/>
          <w:lang w:val="en-US"/>
        </w:rPr>
        <w:t>BIOSTAT</w:t>
      </w:r>
      <w:r>
        <w:rPr>
          <w:rFonts w:ascii="Times New Roman" w:hAnsi="Times New Roman"/>
          <w:sz w:val="28"/>
          <w:szCs w:val="28"/>
        </w:rPr>
        <w:t xml:space="preserve">. Для </w:t>
      </w:r>
      <w:r>
        <w:rPr>
          <w:rFonts w:ascii="Times New Roman" w:hAnsi="Times New Roman"/>
          <w:sz w:val="28"/>
          <w:szCs w:val="28"/>
        </w:rPr>
        <w:lastRenderedPageBreak/>
        <w:t xml:space="preserve">порівняльної оцінки показників використані методи математичної статистики параметричні і непараметричні. Вибір методу залежав від нормального розподілу у вибірці. Достовірність різниць між групами та етапами дослідження оцінювали за допомогою критерію Ст'юдента. Розрахунок середнього значення, стандартного відхилення, похибки довірчого інтервалу проводили для кількісних показників. Відмінність вважали достовірно вірогідною, якщо p&lt;0,05. Для виявлення значимості зв'язків номінальних показників проводилась за допомогою критерію </w:t>
      </w:r>
      <w:r>
        <w:rPr>
          <w:rFonts w:ascii="Times New Roman" w:hAnsi="Times New Roman"/>
          <w:sz w:val="28"/>
          <w:szCs w:val="28"/>
        </w:rPr>
        <w:sym w:font="Symbol" w:char="0063"/>
      </w:r>
      <w:r>
        <w:rPr>
          <w:rFonts w:ascii="Times New Roman" w:hAnsi="Times New Roman"/>
          <w:sz w:val="28"/>
          <w:szCs w:val="28"/>
          <w:vertAlign w:val="superscript"/>
        </w:rPr>
        <w:t>2.</w:t>
      </w:r>
      <w:r>
        <w:rPr>
          <w:rFonts w:ascii="Times New Roman" w:hAnsi="Times New Roman"/>
          <w:sz w:val="28"/>
          <w:szCs w:val="28"/>
        </w:rPr>
        <w:t>. Для виявлення взаємозв'язків між параметрами застосовували кореляційний аналіз із визначенням коефіцієнту кореляції Спірмена (r).</w:t>
      </w:r>
    </w:p>
    <w:p w:rsidR="00A01923" w:rsidRDefault="00A01923" w:rsidP="00A01923">
      <w:pPr>
        <w:widowControl w:val="0"/>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Д</w:t>
      </w:r>
      <w:r w:rsidR="004A1376">
        <w:rPr>
          <w:rFonts w:ascii="Times New Roman" w:hAnsi="Times New Roman"/>
          <w:sz w:val="28"/>
          <w:szCs w:val="28"/>
          <w:lang w:val="uk-UA"/>
        </w:rPr>
        <w:t>ля прогнозування ймовірності виконання</w:t>
      </w:r>
      <w:r>
        <w:rPr>
          <w:rFonts w:ascii="Times New Roman" w:hAnsi="Times New Roman"/>
          <w:sz w:val="28"/>
          <w:szCs w:val="28"/>
          <w:lang w:val="uk-UA"/>
        </w:rPr>
        <w:t xml:space="preserve"> ампутації нижньої кінцівки використовувались біноміальний критерій </w:t>
      </w:r>
      <w:r>
        <w:rPr>
          <w:rFonts w:ascii="Times New Roman" w:hAnsi="Times New Roman"/>
          <w:sz w:val="28"/>
          <w:szCs w:val="28"/>
        </w:rPr>
        <w:t>[</w:t>
      </w:r>
      <w:r>
        <w:rPr>
          <w:rFonts w:ascii="Times New Roman" w:hAnsi="Times New Roman"/>
          <w:sz w:val="28"/>
          <w:szCs w:val="28"/>
          <w:lang w:val="uk-UA"/>
        </w:rPr>
        <w:t>48</w:t>
      </w:r>
      <w:r>
        <w:rPr>
          <w:rFonts w:ascii="Times New Roman" w:hAnsi="Times New Roman"/>
          <w:sz w:val="28"/>
          <w:szCs w:val="28"/>
        </w:rPr>
        <w:t>]</w:t>
      </w:r>
      <w:r>
        <w:rPr>
          <w:rFonts w:ascii="Times New Roman" w:hAnsi="Times New Roman"/>
          <w:sz w:val="28"/>
          <w:szCs w:val="28"/>
          <w:lang w:val="uk-UA"/>
        </w:rPr>
        <w:t xml:space="preserve"> та багатовимірні методи статистичного аналізу: дерева класифікації </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 xml:space="preserve"> та аналіз відповідностей </w:t>
      </w:r>
      <w:r>
        <w:rPr>
          <w:rFonts w:ascii="Times New Roman" w:hAnsi="Times New Roman"/>
          <w:sz w:val="28"/>
          <w:szCs w:val="28"/>
        </w:rPr>
        <w:t>[</w:t>
      </w:r>
      <w:r>
        <w:rPr>
          <w:rFonts w:ascii="Times New Roman" w:hAnsi="Times New Roman"/>
          <w:sz w:val="28"/>
          <w:szCs w:val="28"/>
          <w:lang w:val="uk-UA"/>
        </w:rPr>
        <w:t>36, 77, 127</w:t>
      </w:r>
      <w:r>
        <w:rPr>
          <w:rFonts w:ascii="Times New Roman" w:hAnsi="Times New Roman"/>
          <w:sz w:val="28"/>
          <w:szCs w:val="28"/>
        </w:rPr>
        <w:t>]</w:t>
      </w:r>
      <w:r>
        <w:rPr>
          <w:rFonts w:ascii="Times New Roman" w:hAnsi="Times New Roman"/>
          <w:sz w:val="28"/>
          <w:szCs w:val="28"/>
          <w:lang w:val="uk-UA"/>
        </w:rPr>
        <w:t>.</w:t>
      </w:r>
    </w:p>
    <w:p w:rsidR="00A01923" w:rsidRDefault="00A01923" w:rsidP="00A01923">
      <w:pPr>
        <w:pStyle w:val="ad"/>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Таким чином, обрані методи дослідження є сучасними, дозволяють в повній мірі характеризувати тип та ступінь ураження судин, ступінь порушення кровообігу у кінцівці та рівень гомеостатичних змін у хворих на ХКІНК. Методи статистичного аналізу отриманих результатів дають можливість достовірно порівняти результати лікування хворих обох груп та визначити ймовірність виконання ампутації.</w:t>
      </w:r>
    </w:p>
    <w:p w:rsidR="00A01923" w:rsidRDefault="00A01923" w:rsidP="00A01923">
      <w:pPr>
        <w:pStyle w:val="ad"/>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Розроблений нами метод отриманні багатої тромбоцитами ауто плазми для стимуляції неоангіогенезу є безпечним та простим у виконанні та не потребує додаткових витрат.</w:t>
      </w:r>
    </w:p>
    <w:p w:rsidR="00A01923" w:rsidRDefault="00A01923" w:rsidP="00A01923">
      <w:pPr>
        <w:widowControl w:val="0"/>
        <w:spacing w:after="0" w:line="360" w:lineRule="auto"/>
        <w:ind w:left="-567" w:firstLine="567"/>
        <w:jc w:val="both"/>
        <w:rPr>
          <w:rFonts w:ascii="Times New Roman" w:hAnsi="Times New Roman"/>
          <w:color w:val="FF0000"/>
          <w:sz w:val="28"/>
          <w:szCs w:val="28"/>
          <w:lang w:val="uk-UA"/>
        </w:rPr>
      </w:pPr>
    </w:p>
    <w:p w:rsidR="00A01923" w:rsidRDefault="00A01923" w:rsidP="00A01923">
      <w:pPr>
        <w:widowControl w:val="0"/>
        <w:spacing w:after="0" w:line="360" w:lineRule="auto"/>
        <w:ind w:left="-567" w:firstLine="567"/>
        <w:jc w:val="both"/>
        <w:rPr>
          <w:rFonts w:ascii="Times New Roman" w:hAnsi="Times New Roman"/>
          <w:sz w:val="28"/>
          <w:szCs w:val="28"/>
          <w:lang w:val="uk-UA"/>
        </w:rPr>
      </w:pPr>
      <w:r>
        <w:rPr>
          <w:rFonts w:ascii="Times New Roman" w:hAnsi="Times New Roman"/>
          <w:sz w:val="28"/>
          <w:szCs w:val="28"/>
        </w:rPr>
        <w:t>Матеріали цього розділу опубліковані у вигляді статей</w:t>
      </w:r>
      <w:r>
        <w:rPr>
          <w:rFonts w:ascii="Times New Roman" w:hAnsi="Times New Roman"/>
          <w:sz w:val="28"/>
          <w:szCs w:val="28"/>
          <w:lang w:val="uk-UA"/>
        </w:rPr>
        <w:t xml:space="preserve"> та патентів на корисну модель</w:t>
      </w:r>
      <w:r w:rsidR="00D85F09">
        <w:rPr>
          <w:rFonts w:ascii="Times New Roman" w:hAnsi="Times New Roman"/>
          <w:sz w:val="28"/>
          <w:szCs w:val="28"/>
          <w:lang w:val="uk-UA"/>
        </w:rPr>
        <w:t xml:space="preserve"> </w:t>
      </w:r>
      <w:r w:rsidR="00D85F09">
        <w:rPr>
          <w:rFonts w:ascii="Times New Roman" w:hAnsi="Times New Roman"/>
          <w:sz w:val="28"/>
          <w:szCs w:val="28"/>
        </w:rPr>
        <w:t>[</w:t>
      </w:r>
      <w:r w:rsidR="00D85F09">
        <w:rPr>
          <w:rFonts w:ascii="Times New Roman" w:hAnsi="Times New Roman"/>
          <w:sz w:val="28"/>
          <w:szCs w:val="28"/>
          <w:lang w:val="uk-UA"/>
        </w:rPr>
        <w:t>17</w:t>
      </w:r>
      <w:r w:rsidR="00744C97">
        <w:rPr>
          <w:rFonts w:ascii="Times New Roman" w:hAnsi="Times New Roman"/>
          <w:sz w:val="28"/>
          <w:szCs w:val="28"/>
          <w:lang w:val="uk-UA"/>
        </w:rPr>
        <w:t>, 20,21,22, 125</w:t>
      </w:r>
      <w:r w:rsidR="00D85F09">
        <w:rPr>
          <w:rFonts w:ascii="Times New Roman" w:hAnsi="Times New Roman"/>
          <w:sz w:val="28"/>
          <w:szCs w:val="28"/>
        </w:rPr>
        <w:t>]</w:t>
      </w:r>
      <w:r w:rsidR="00D85F09">
        <w:rPr>
          <w:rFonts w:ascii="Times New Roman" w:hAnsi="Times New Roman"/>
          <w:sz w:val="28"/>
          <w:szCs w:val="28"/>
          <w:lang w:val="uk-UA"/>
        </w:rPr>
        <w:t>.</w:t>
      </w:r>
    </w:p>
    <w:p w:rsidR="00A01923" w:rsidRDefault="00A01923" w:rsidP="00A01923">
      <w:pPr>
        <w:spacing w:after="0" w:line="360" w:lineRule="auto"/>
        <w:ind w:left="-567" w:firstLine="567"/>
        <w:jc w:val="center"/>
        <w:rPr>
          <w:rFonts w:ascii="Times New Roman" w:hAnsi="Times New Roman"/>
          <w:b/>
          <w:sz w:val="28"/>
          <w:szCs w:val="28"/>
          <w:lang w:val="uk-UA"/>
        </w:rPr>
      </w:pPr>
      <w:r>
        <w:rPr>
          <w:lang w:val="uk-UA"/>
        </w:rPr>
        <w:br w:type="page"/>
      </w:r>
      <w:r>
        <w:rPr>
          <w:rFonts w:ascii="Times New Roman" w:hAnsi="Times New Roman"/>
          <w:b/>
          <w:sz w:val="28"/>
          <w:szCs w:val="28"/>
          <w:lang w:val="uk-UA"/>
        </w:rPr>
        <w:lastRenderedPageBreak/>
        <w:t>РОЗДІЛ 3</w:t>
      </w:r>
    </w:p>
    <w:p w:rsidR="00A01923" w:rsidRDefault="00A01923" w:rsidP="00A01923">
      <w:pPr>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t>ОСОБЛИВОСТІ КОМПЛЕКСНОЇ ДІАГНОСТИКИ УРАЖЕННЯ СУДИННОГО РУСЛА ТА ПРОГНОЗУВАННЯ ЙМОВІРНОСТІ АМПУТАЦІЙ У ХВОРИХ НА ХРОНІЧНУ КРИТИЧНУ ІШЕМІЮ НИЖНІХ КІНЦІВОК</w:t>
      </w:r>
    </w:p>
    <w:p w:rsidR="00A01923" w:rsidRDefault="00A01923" w:rsidP="00A01923">
      <w:pPr>
        <w:spacing w:after="0" w:line="360" w:lineRule="auto"/>
        <w:ind w:left="-567" w:firstLine="567"/>
        <w:jc w:val="both"/>
        <w:rPr>
          <w:rFonts w:ascii="Times New Roman" w:hAnsi="Times New Roman"/>
          <w:b/>
          <w:sz w:val="28"/>
          <w:szCs w:val="28"/>
          <w:lang w:val="uk-UA"/>
        </w:rPr>
      </w:pPr>
      <w:r>
        <w:rPr>
          <w:rFonts w:ascii="Times New Roman" w:hAnsi="Times New Roman"/>
          <w:b/>
          <w:sz w:val="28"/>
          <w:szCs w:val="28"/>
          <w:lang w:val="uk-UA"/>
        </w:rPr>
        <w:t>3.1 Особливості комплексної діагностики ураження судинного русла хворих на хронічну критичну ішемію нижніх кінцівок.</w:t>
      </w:r>
    </w:p>
    <w:p w:rsidR="00A01923" w:rsidRDefault="00A01923" w:rsidP="00A01923">
      <w:pPr>
        <w:spacing w:after="0" w:line="360" w:lineRule="auto"/>
        <w:ind w:left="-567" w:firstLine="567"/>
        <w:jc w:val="both"/>
        <w:rPr>
          <w:rFonts w:ascii="Times New Roman" w:hAnsi="Times New Roman"/>
          <w:b/>
          <w:sz w:val="28"/>
          <w:szCs w:val="28"/>
          <w:lang w:val="uk-UA"/>
        </w:rPr>
      </w:pPr>
    </w:p>
    <w:p w:rsidR="00A01923" w:rsidRDefault="00A01923" w:rsidP="00A01923">
      <w:pPr>
        <w:spacing w:after="0" w:line="360" w:lineRule="auto"/>
        <w:ind w:left="-567" w:firstLine="567"/>
        <w:jc w:val="both"/>
        <w:rPr>
          <w:rFonts w:ascii="Times New Roman" w:hAnsi="Times New Roman"/>
          <w:b/>
          <w:sz w:val="28"/>
          <w:szCs w:val="28"/>
          <w:lang w:val="uk-UA"/>
        </w:rPr>
      </w:pPr>
    </w:p>
    <w:p w:rsidR="00A01923" w:rsidRDefault="00A01923" w:rsidP="00A01923">
      <w:pPr>
        <w:pStyle w:val="21"/>
        <w:spacing w:after="0" w:line="360" w:lineRule="auto"/>
        <w:ind w:left="-567" w:firstLine="567"/>
        <w:jc w:val="both"/>
        <w:rPr>
          <w:rFonts w:ascii="Times New Roman" w:hAnsi="Times New Roman"/>
          <w:color w:val="000000"/>
          <w:sz w:val="28"/>
          <w:szCs w:val="28"/>
        </w:rPr>
      </w:pPr>
      <w:r>
        <w:rPr>
          <w:rFonts w:ascii="Times New Roman" w:hAnsi="Times New Roman"/>
          <w:color w:val="000000"/>
          <w:sz w:val="28"/>
          <w:szCs w:val="28"/>
        </w:rPr>
        <w:t>Відомо, що клінічним визначенням ХКІНК є: постійний біль у спокої, що вимагає знеболення протягом 2 тижнів і більше, трофічна виразка або гангрена пальців або стопи, що виникли на тлі хронічної артеріальної недостатності нижніх кінцівок (TASC II, 2007).</w:t>
      </w:r>
    </w:p>
    <w:p w:rsidR="00A01923" w:rsidRPr="00803E73" w:rsidRDefault="00A01923" w:rsidP="00A01923">
      <w:pPr>
        <w:pStyle w:val="21"/>
        <w:spacing w:after="0" w:line="360" w:lineRule="auto"/>
        <w:ind w:left="-567" w:firstLine="567"/>
        <w:jc w:val="both"/>
        <w:rPr>
          <w:rFonts w:ascii="Times New Roman" w:hAnsi="Times New Roman"/>
          <w:bCs/>
          <w:i/>
          <w:sz w:val="28"/>
          <w:szCs w:val="28"/>
        </w:rPr>
      </w:pPr>
      <w:r w:rsidRPr="00803E73">
        <w:rPr>
          <w:rFonts w:ascii="Times New Roman" w:hAnsi="Times New Roman"/>
          <w:sz w:val="28"/>
          <w:szCs w:val="28"/>
        </w:rPr>
        <w:t>Клінічна картина при ХКІНК у хворих, що досліджувались, залежала від ступеню ішемії кінцівок та включала біль у спокої (ІІІ ступінь ішемії); для</w:t>
      </w:r>
      <w:r w:rsidRPr="00803E73">
        <w:t xml:space="preserve"> </w:t>
      </w:r>
      <w:r w:rsidRPr="00803E73">
        <w:rPr>
          <w:rFonts w:ascii="Times New Roman" w:hAnsi="Times New Roman"/>
          <w:sz w:val="28"/>
          <w:szCs w:val="28"/>
        </w:rPr>
        <w:t xml:space="preserve">IV ступеню ішемії </w:t>
      </w:r>
      <w:r w:rsidRPr="00803E73">
        <w:rPr>
          <w:rFonts w:ascii="Times New Roman" w:hAnsi="Times New Roman"/>
          <w:sz w:val="28"/>
          <w:szCs w:val="28"/>
        </w:rPr>
        <w:sym w:font="Symbol" w:char="002D"/>
      </w:r>
      <w:r w:rsidRPr="00803E73">
        <w:rPr>
          <w:rFonts w:ascii="Times New Roman" w:hAnsi="Times New Roman"/>
          <w:sz w:val="28"/>
          <w:szCs w:val="28"/>
        </w:rPr>
        <w:t xml:space="preserve"> наявність трофічних порушень як виразок, так і гангрени різного ступеню. У всіх обстежених хворих на ХКІНК спостерігався рецидивуючий або постійний біль у одній або обох нижніх кінцівках, нічний біль. ХКІНК діагностувалася за допомогою різних інструментальних методів дослідження, які наведені </w:t>
      </w:r>
      <w:r w:rsidRPr="00803E73">
        <w:rPr>
          <w:rFonts w:ascii="Times New Roman" w:hAnsi="Times New Roman"/>
          <w:bCs/>
          <w:sz w:val="28"/>
          <w:szCs w:val="28"/>
        </w:rPr>
        <w:t>у таблиці 3.1.</w:t>
      </w:r>
    </w:p>
    <w:p w:rsidR="00A01923" w:rsidRPr="00803E73" w:rsidRDefault="00A01923" w:rsidP="00A01923">
      <w:pPr>
        <w:pStyle w:val="a8"/>
        <w:spacing w:after="0" w:line="360" w:lineRule="auto"/>
        <w:ind w:left="-567" w:firstLine="567"/>
        <w:jc w:val="right"/>
        <w:outlineLvl w:val="0"/>
        <w:rPr>
          <w:bCs/>
          <w:i/>
          <w:sz w:val="28"/>
          <w:szCs w:val="28"/>
        </w:rPr>
      </w:pPr>
      <w:r w:rsidRPr="00803E73">
        <w:rPr>
          <w:bCs/>
          <w:i/>
          <w:sz w:val="28"/>
          <w:szCs w:val="28"/>
        </w:rPr>
        <w:t>Таблиця 3.1</w:t>
      </w:r>
    </w:p>
    <w:p w:rsidR="00A01923" w:rsidRPr="00803E73" w:rsidRDefault="00A01923" w:rsidP="00A01923">
      <w:pPr>
        <w:pStyle w:val="a8"/>
        <w:spacing w:after="0"/>
        <w:ind w:left="-567" w:firstLine="567"/>
        <w:jc w:val="center"/>
        <w:rPr>
          <w:b/>
          <w:bCs/>
          <w:sz w:val="28"/>
          <w:szCs w:val="28"/>
        </w:rPr>
      </w:pPr>
      <w:r w:rsidRPr="00803E73">
        <w:rPr>
          <w:b/>
          <w:bCs/>
          <w:sz w:val="28"/>
          <w:szCs w:val="28"/>
        </w:rPr>
        <w:t>Способи діагностики ХКІНК у хворих обох груп дослідження</w:t>
      </w:r>
    </w:p>
    <w:tbl>
      <w:tblPr>
        <w:tblpPr w:leftFromText="180" w:rightFromText="180" w:vertAnchor="text" w:horzAnchor="margin" w:tblpXSpec="center" w:tblpY="323"/>
        <w:tblW w:w="10065" w:type="dxa"/>
        <w:tblBorders>
          <w:top w:val="single" w:sz="4" w:space="0" w:color="auto"/>
          <w:left w:val="single" w:sz="4" w:space="0" w:color="auto"/>
          <w:bottom w:val="single" w:sz="4" w:space="0" w:color="auto"/>
          <w:right w:val="single" w:sz="4" w:space="0" w:color="auto"/>
        </w:tblBorders>
        <w:tblLayout w:type="fixed"/>
        <w:tblLook w:val="04A0"/>
      </w:tblPr>
      <w:tblGrid>
        <w:gridCol w:w="7016"/>
        <w:gridCol w:w="1914"/>
        <w:gridCol w:w="1135"/>
      </w:tblGrid>
      <w:tr w:rsidR="00A01923" w:rsidRPr="00803E73" w:rsidTr="00A01923">
        <w:trPr>
          <w:cantSplit/>
          <w:trHeight w:val="413"/>
        </w:trPr>
        <w:tc>
          <w:tcPr>
            <w:tcW w:w="7016" w:type="dxa"/>
            <w:vMerge w:val="restart"/>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Способ діагностики</w:t>
            </w:r>
          </w:p>
        </w:tc>
        <w:tc>
          <w:tcPr>
            <w:tcW w:w="3049" w:type="dxa"/>
            <w:gridSpan w:val="2"/>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Обстежені хворі</w:t>
            </w:r>
          </w:p>
        </w:tc>
      </w:tr>
      <w:tr w:rsidR="00A01923" w:rsidRPr="00803E73" w:rsidTr="00A01923">
        <w:trPr>
          <w:cantSplit/>
        </w:trPr>
        <w:tc>
          <w:tcPr>
            <w:tcW w:w="7016" w:type="dxa"/>
            <w:vMerge/>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spacing w:after="0" w:line="240" w:lineRule="auto"/>
              <w:rPr>
                <w:rFonts w:ascii="Times New Roman" w:eastAsia="Times New Roman" w:hAnsi="Times New Roman"/>
                <w:bCs/>
                <w:sz w:val="28"/>
                <w:szCs w:val="28"/>
                <w:lang w:val="uk-UA"/>
              </w:rPr>
            </w:pPr>
          </w:p>
        </w:tc>
        <w:tc>
          <w:tcPr>
            <w:tcW w:w="1914"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c"/>
              <w:spacing w:line="360" w:lineRule="auto"/>
              <w:ind w:left="-567" w:firstLine="567"/>
              <w:jc w:val="center"/>
              <w:rPr>
                <w:sz w:val="28"/>
                <w:szCs w:val="28"/>
                <w:shd w:val="clear" w:color="auto" w:fill="FFFFFF"/>
                <w:lang w:val="uk-UA"/>
              </w:rPr>
            </w:pPr>
            <w:r w:rsidRPr="00803E73">
              <w:rPr>
                <w:sz w:val="28"/>
                <w:szCs w:val="28"/>
                <w:shd w:val="clear" w:color="auto" w:fill="FFFFFF"/>
                <w:lang w:val="uk-UA"/>
              </w:rPr>
              <w:t>кількість</w:t>
            </w:r>
          </w:p>
        </w:tc>
        <w:tc>
          <w:tcPr>
            <w:tcW w:w="1135"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c"/>
              <w:spacing w:line="360" w:lineRule="auto"/>
              <w:ind w:left="-567" w:firstLine="567"/>
              <w:jc w:val="center"/>
              <w:rPr>
                <w:sz w:val="28"/>
                <w:szCs w:val="28"/>
                <w:shd w:val="clear" w:color="auto" w:fill="FFFFFF"/>
                <w:lang w:val="uk-UA"/>
              </w:rPr>
            </w:pPr>
            <w:r w:rsidRPr="00803E73">
              <w:rPr>
                <w:sz w:val="28"/>
                <w:szCs w:val="28"/>
                <w:shd w:val="clear" w:color="auto" w:fill="FFFFFF"/>
                <w:lang w:val="uk-UA"/>
              </w:rPr>
              <w:t>%</w:t>
            </w:r>
          </w:p>
        </w:tc>
      </w:tr>
      <w:tr w:rsidR="00A01923" w:rsidRPr="00803E73" w:rsidTr="00A01923">
        <w:tc>
          <w:tcPr>
            <w:tcW w:w="7016"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rPr>
                <w:bCs/>
                <w:sz w:val="28"/>
                <w:szCs w:val="28"/>
              </w:rPr>
            </w:pPr>
            <w:r w:rsidRPr="00803E73">
              <w:rPr>
                <w:bCs/>
                <w:sz w:val="28"/>
                <w:szCs w:val="28"/>
              </w:rPr>
              <w:t xml:space="preserve">Клініко-лабораторні дані </w:t>
            </w:r>
          </w:p>
        </w:tc>
        <w:tc>
          <w:tcPr>
            <w:tcW w:w="1914"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105</w:t>
            </w:r>
          </w:p>
        </w:tc>
        <w:tc>
          <w:tcPr>
            <w:tcW w:w="1135"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100,0</w:t>
            </w:r>
          </w:p>
        </w:tc>
      </w:tr>
      <w:tr w:rsidR="00A01923" w:rsidRPr="00803E73" w:rsidTr="00A01923">
        <w:tc>
          <w:tcPr>
            <w:tcW w:w="7016"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rPr>
                <w:bCs/>
                <w:sz w:val="28"/>
                <w:szCs w:val="28"/>
              </w:rPr>
            </w:pPr>
            <w:r w:rsidRPr="00803E73">
              <w:rPr>
                <w:bCs/>
                <w:sz w:val="28"/>
                <w:szCs w:val="28"/>
              </w:rPr>
              <w:t>УЗД судин нижніх кінцівок</w:t>
            </w:r>
          </w:p>
        </w:tc>
        <w:tc>
          <w:tcPr>
            <w:tcW w:w="1914"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105</w:t>
            </w:r>
          </w:p>
        </w:tc>
        <w:tc>
          <w:tcPr>
            <w:tcW w:w="1135"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100,0</w:t>
            </w:r>
          </w:p>
        </w:tc>
      </w:tr>
      <w:tr w:rsidR="00A01923" w:rsidRPr="00803E73" w:rsidTr="00A01923">
        <w:tc>
          <w:tcPr>
            <w:tcW w:w="7016"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rPr>
                <w:bCs/>
                <w:sz w:val="28"/>
                <w:szCs w:val="28"/>
              </w:rPr>
            </w:pPr>
            <w:r w:rsidRPr="00803E73">
              <w:rPr>
                <w:bCs/>
                <w:sz w:val="28"/>
                <w:szCs w:val="28"/>
              </w:rPr>
              <w:t>Рентгенконтрастна ангіографія</w:t>
            </w:r>
          </w:p>
        </w:tc>
        <w:tc>
          <w:tcPr>
            <w:tcW w:w="1914"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101</w:t>
            </w:r>
          </w:p>
        </w:tc>
        <w:tc>
          <w:tcPr>
            <w:tcW w:w="1135"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96,2</w:t>
            </w:r>
          </w:p>
        </w:tc>
      </w:tr>
      <w:tr w:rsidR="00A01923" w:rsidRPr="00803E73" w:rsidTr="00A01923">
        <w:tc>
          <w:tcPr>
            <w:tcW w:w="7016"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rPr>
                <w:bCs/>
                <w:sz w:val="28"/>
                <w:szCs w:val="28"/>
              </w:rPr>
            </w:pPr>
            <w:r w:rsidRPr="00803E73">
              <w:rPr>
                <w:bCs/>
                <w:sz w:val="28"/>
                <w:szCs w:val="28"/>
              </w:rPr>
              <w:t>КТ у судинному режимі</w:t>
            </w:r>
          </w:p>
        </w:tc>
        <w:tc>
          <w:tcPr>
            <w:tcW w:w="1914"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4</w:t>
            </w:r>
          </w:p>
        </w:tc>
        <w:tc>
          <w:tcPr>
            <w:tcW w:w="1135" w:type="dxa"/>
            <w:tcBorders>
              <w:top w:val="single" w:sz="4" w:space="0" w:color="auto"/>
              <w:left w:val="single" w:sz="4" w:space="0" w:color="auto"/>
              <w:bottom w:val="single" w:sz="4" w:space="0" w:color="auto"/>
              <w:right w:val="single" w:sz="4" w:space="0" w:color="auto"/>
            </w:tcBorders>
            <w:vAlign w:val="center"/>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3,8</w:t>
            </w:r>
          </w:p>
        </w:tc>
      </w:tr>
      <w:tr w:rsidR="00A01923" w:rsidRPr="00803E73" w:rsidTr="00A01923">
        <w:tc>
          <w:tcPr>
            <w:tcW w:w="7016"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rPr>
                <w:bCs/>
                <w:sz w:val="28"/>
                <w:szCs w:val="28"/>
              </w:rPr>
            </w:pPr>
            <w:r w:rsidRPr="00803E73">
              <w:rPr>
                <w:bCs/>
                <w:sz w:val="28"/>
                <w:szCs w:val="28"/>
              </w:rPr>
              <w:t>TcPO</w:t>
            </w:r>
            <w:r w:rsidRPr="00803E73">
              <w:rPr>
                <w:bCs/>
                <w:sz w:val="28"/>
                <w:szCs w:val="28"/>
                <w:vertAlign w:val="subscript"/>
              </w:rPr>
              <w:t>2</w:t>
            </w:r>
          </w:p>
        </w:tc>
        <w:tc>
          <w:tcPr>
            <w:tcW w:w="1914"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36</w:t>
            </w:r>
          </w:p>
        </w:tc>
        <w:tc>
          <w:tcPr>
            <w:tcW w:w="1135" w:type="dxa"/>
            <w:tcBorders>
              <w:top w:val="single" w:sz="4" w:space="0" w:color="auto"/>
              <w:left w:val="single" w:sz="4" w:space="0" w:color="auto"/>
              <w:bottom w:val="single" w:sz="4" w:space="0" w:color="auto"/>
              <w:right w:val="single" w:sz="4" w:space="0" w:color="auto"/>
            </w:tcBorders>
            <w:hideMark/>
          </w:tcPr>
          <w:p w:rsidR="00A01923" w:rsidRPr="00803E73" w:rsidRDefault="00A01923">
            <w:pPr>
              <w:pStyle w:val="a8"/>
              <w:spacing w:after="0" w:line="360" w:lineRule="auto"/>
              <w:ind w:left="-567" w:firstLine="567"/>
              <w:jc w:val="center"/>
              <w:rPr>
                <w:bCs/>
                <w:sz w:val="28"/>
                <w:szCs w:val="28"/>
              </w:rPr>
            </w:pPr>
            <w:r w:rsidRPr="00803E73">
              <w:rPr>
                <w:bCs/>
                <w:sz w:val="28"/>
                <w:szCs w:val="28"/>
              </w:rPr>
              <w:t>34,2</w:t>
            </w:r>
          </w:p>
        </w:tc>
      </w:tr>
    </w:tbl>
    <w:p w:rsidR="00A01923" w:rsidRDefault="00A01923" w:rsidP="00A01923">
      <w:pPr>
        <w:pStyle w:val="ac"/>
        <w:spacing w:line="360" w:lineRule="auto"/>
        <w:ind w:left="-567" w:firstLine="567"/>
        <w:jc w:val="both"/>
        <w:rPr>
          <w:sz w:val="28"/>
          <w:szCs w:val="28"/>
          <w:shd w:val="clear" w:color="auto" w:fill="FFFFFF"/>
          <w:lang w:val="uk-UA"/>
        </w:rPr>
      </w:pPr>
      <w:r w:rsidRPr="00803E73">
        <w:rPr>
          <w:sz w:val="28"/>
          <w:szCs w:val="28"/>
          <w:shd w:val="clear" w:color="auto" w:fill="FFFFFF"/>
          <w:lang w:val="uk-UA"/>
        </w:rPr>
        <w:lastRenderedPageBreak/>
        <w:t xml:space="preserve">Частота виявлення симптомів ішемії нижніх кінцівок при різних </w:t>
      </w:r>
      <w:r w:rsidR="00803E73">
        <w:rPr>
          <w:sz w:val="28"/>
          <w:szCs w:val="28"/>
          <w:shd w:val="clear" w:color="auto" w:fill="FFFFFF"/>
          <w:lang w:val="uk-UA"/>
        </w:rPr>
        <w:t>ступенях</w:t>
      </w:r>
      <w:r>
        <w:rPr>
          <w:sz w:val="28"/>
          <w:szCs w:val="28"/>
          <w:shd w:val="clear" w:color="auto" w:fill="FFFFFF"/>
          <w:lang w:val="uk-UA"/>
        </w:rPr>
        <w:t xml:space="preserve"> ішемії у обстежених хворих представлений у таблиці 3.2.</w:t>
      </w:r>
    </w:p>
    <w:p w:rsidR="00A01923" w:rsidRDefault="00A01923" w:rsidP="00A01923">
      <w:pPr>
        <w:pStyle w:val="ac"/>
        <w:spacing w:line="360" w:lineRule="auto"/>
        <w:ind w:left="-567" w:firstLine="567"/>
        <w:jc w:val="right"/>
        <w:rPr>
          <w:i/>
          <w:sz w:val="28"/>
          <w:szCs w:val="28"/>
          <w:shd w:val="clear" w:color="auto" w:fill="FFFFFF"/>
          <w:lang w:val="uk-UA"/>
        </w:rPr>
      </w:pPr>
      <w:r>
        <w:rPr>
          <w:i/>
          <w:sz w:val="28"/>
          <w:szCs w:val="28"/>
          <w:shd w:val="clear" w:color="auto" w:fill="FFFFFF"/>
          <w:lang w:val="uk-UA"/>
        </w:rPr>
        <w:t>Таблиця 3.2</w:t>
      </w:r>
    </w:p>
    <w:p w:rsidR="00A01923" w:rsidRDefault="00A01923" w:rsidP="00A01923">
      <w:pPr>
        <w:pStyle w:val="ac"/>
        <w:spacing w:line="360" w:lineRule="auto"/>
        <w:ind w:left="-567" w:firstLine="567"/>
        <w:jc w:val="center"/>
        <w:outlineLvl w:val="0"/>
        <w:rPr>
          <w:b/>
          <w:color w:val="000000"/>
          <w:sz w:val="28"/>
          <w:szCs w:val="28"/>
          <w:shd w:val="clear" w:color="auto" w:fill="FFFFFF"/>
          <w:lang w:val="uk-UA"/>
        </w:rPr>
      </w:pPr>
      <w:r>
        <w:rPr>
          <w:b/>
          <w:sz w:val="28"/>
          <w:szCs w:val="28"/>
          <w:shd w:val="clear" w:color="auto" w:fill="FFFFFF"/>
          <w:lang w:val="uk-UA"/>
        </w:rPr>
        <w:t>Симптоми ішемії при різних ступенях ішемії у хворих обох груп дослідження</w:t>
      </w:r>
    </w:p>
    <w:tbl>
      <w:tblPr>
        <w:tblW w:w="9750"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94"/>
        <w:gridCol w:w="1702"/>
        <w:gridCol w:w="1844"/>
        <w:gridCol w:w="1559"/>
        <w:gridCol w:w="1951"/>
      </w:tblGrid>
      <w:tr w:rsidR="00A01923" w:rsidTr="00A01923">
        <w:tc>
          <w:tcPr>
            <w:tcW w:w="2694"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tabs>
                <w:tab w:val="right" w:pos="4924"/>
              </w:tabs>
              <w:spacing w:line="360" w:lineRule="auto"/>
              <w:ind w:left="-567" w:firstLine="567"/>
              <w:jc w:val="center"/>
              <w:rPr>
                <w:sz w:val="28"/>
                <w:szCs w:val="28"/>
                <w:shd w:val="clear" w:color="auto" w:fill="FFFFFF"/>
                <w:lang w:val="uk-UA"/>
              </w:rPr>
            </w:pPr>
            <w:r>
              <w:rPr>
                <w:sz w:val="28"/>
                <w:szCs w:val="28"/>
                <w:shd w:val="clear" w:color="auto" w:fill="FFFFFF"/>
                <w:lang w:val="uk-UA"/>
              </w:rPr>
              <w:t>Симптоми</w:t>
            </w:r>
          </w:p>
        </w:tc>
        <w:tc>
          <w:tcPr>
            <w:tcW w:w="3544"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color w:val="000000"/>
                <w:sz w:val="28"/>
                <w:szCs w:val="28"/>
                <w:shd w:val="clear" w:color="auto" w:fill="FFFFFF"/>
                <w:lang w:val="uk-UA"/>
              </w:rPr>
            </w:pPr>
            <w:r>
              <w:rPr>
                <w:color w:val="000000"/>
                <w:sz w:val="28"/>
                <w:szCs w:val="28"/>
                <w:shd w:val="clear" w:color="auto" w:fill="FFFFFF"/>
                <w:lang w:val="uk-UA"/>
              </w:rPr>
              <w:t>ІІІ ступінь (n</w:t>
            </w:r>
            <w:r>
              <w:rPr>
                <w:color w:val="000000"/>
                <w:sz w:val="28"/>
                <w:szCs w:val="28"/>
                <w:shd w:val="clear" w:color="auto" w:fill="FFFFFF"/>
                <w:lang w:val="uk-UA"/>
              </w:rPr>
              <w:sym w:font="Symbol" w:char="003D"/>
            </w:r>
            <w:r>
              <w:rPr>
                <w:color w:val="000000"/>
                <w:sz w:val="28"/>
                <w:szCs w:val="28"/>
                <w:shd w:val="clear" w:color="auto" w:fill="FFFFFF"/>
                <w:lang w:val="uk-UA"/>
              </w:rPr>
              <w:t>35)</w:t>
            </w:r>
          </w:p>
        </w:tc>
        <w:tc>
          <w:tcPr>
            <w:tcW w:w="3509"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color w:val="000000"/>
                <w:sz w:val="28"/>
                <w:szCs w:val="28"/>
                <w:shd w:val="clear" w:color="auto" w:fill="FFFFFF"/>
                <w:lang w:val="uk-UA"/>
              </w:rPr>
            </w:pPr>
            <w:r>
              <w:rPr>
                <w:color w:val="000000"/>
                <w:sz w:val="28"/>
                <w:szCs w:val="28"/>
                <w:shd w:val="clear" w:color="auto" w:fill="FFFFFF"/>
                <w:lang w:val="uk-UA"/>
              </w:rPr>
              <w:t>IV ступінь (n</w:t>
            </w:r>
            <w:r>
              <w:rPr>
                <w:color w:val="000000"/>
                <w:sz w:val="28"/>
                <w:szCs w:val="28"/>
                <w:shd w:val="clear" w:color="auto" w:fill="FFFFFF"/>
                <w:lang w:val="uk-UA"/>
              </w:rPr>
              <w:sym w:font="Symbol" w:char="003D"/>
            </w:r>
            <w:r>
              <w:rPr>
                <w:color w:val="000000"/>
                <w:sz w:val="28"/>
                <w:szCs w:val="28"/>
                <w:shd w:val="clear" w:color="auto" w:fill="FFFFFF"/>
                <w:lang w:val="uk-UA"/>
              </w:rPr>
              <w:t>70)</w:t>
            </w:r>
          </w:p>
        </w:tc>
      </w:tr>
      <w:tr w:rsidR="00A01923" w:rsidTr="00A01923">
        <w:tc>
          <w:tcPr>
            <w:tcW w:w="2694"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shd w:val="clear" w:color="auto" w:fill="FFFFFF"/>
                <w:lang w:val="uk-UA"/>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кількість</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кількість</w:t>
            </w:r>
          </w:p>
        </w:tc>
        <w:tc>
          <w:tcPr>
            <w:tcW w:w="195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w:t>
            </w:r>
          </w:p>
        </w:tc>
      </w:tr>
      <w:tr w:rsidR="00A01923" w:rsidTr="00A01923">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Біль спокою</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35</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33,3</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50</w:t>
            </w:r>
          </w:p>
        </w:tc>
        <w:tc>
          <w:tcPr>
            <w:tcW w:w="195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47,6</w:t>
            </w:r>
          </w:p>
        </w:tc>
      </w:tr>
      <w:tr w:rsidR="00A01923" w:rsidTr="00A01923">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Виразки</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0</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39</w:t>
            </w:r>
          </w:p>
        </w:tc>
        <w:tc>
          <w:tcPr>
            <w:tcW w:w="195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37,1</w:t>
            </w:r>
          </w:p>
        </w:tc>
      </w:tr>
      <w:tr w:rsidR="00A01923" w:rsidTr="00A01923">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Гангрена</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0</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31</w:t>
            </w:r>
          </w:p>
        </w:tc>
        <w:tc>
          <w:tcPr>
            <w:tcW w:w="195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360" w:lineRule="auto"/>
              <w:ind w:left="-567" w:firstLine="567"/>
              <w:jc w:val="center"/>
              <w:rPr>
                <w:sz w:val="28"/>
                <w:szCs w:val="28"/>
                <w:shd w:val="clear" w:color="auto" w:fill="FFFFFF"/>
                <w:lang w:val="uk-UA"/>
              </w:rPr>
            </w:pPr>
            <w:r>
              <w:rPr>
                <w:sz w:val="28"/>
                <w:szCs w:val="28"/>
                <w:shd w:val="clear" w:color="auto" w:fill="FFFFFF"/>
                <w:lang w:val="uk-UA"/>
              </w:rPr>
              <w:t>29,5</w:t>
            </w:r>
          </w:p>
        </w:tc>
      </w:tr>
    </w:tbl>
    <w:p w:rsidR="00A01923" w:rsidRDefault="00A01923" w:rsidP="00A01923">
      <w:pPr>
        <w:spacing w:after="0" w:line="360" w:lineRule="auto"/>
        <w:ind w:left="-567" w:firstLine="567"/>
        <w:jc w:val="both"/>
        <w:rPr>
          <w:rFonts w:ascii="Times New Roman" w:eastAsia="Times New Roman" w:hAnsi="Times New Roman"/>
          <w:sz w:val="28"/>
          <w:szCs w:val="28"/>
          <w:shd w:val="clear" w:color="auto" w:fill="FFFFFF"/>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Біль спокою спостерігався у 85 (80,9%) з 105 хворих. Однак, 20 (19,1%) пацієнтів із ЦД. через наявність нейропатії нижніх кінцівок, біль не відчували, але всі вони мали трофічні ураження. </w:t>
      </w:r>
      <w:r>
        <w:rPr>
          <w:rFonts w:ascii="Times New Roman" w:hAnsi="Times New Roman"/>
          <w:sz w:val="28"/>
          <w:szCs w:val="28"/>
          <w:lang w:val="uk-UA"/>
        </w:rPr>
        <w:t xml:space="preserve">Закономірність інтенсивності болю в залежності від ступеню ішемії за 10-бальною аналоговою шкалою була наступною: при ІІІ ступені ішемії біль мав рівень 5,9±1,98 балів, а при IV </w:t>
      </w:r>
      <w:r>
        <w:rPr>
          <w:rFonts w:ascii="Times New Roman" w:hAnsi="Times New Roman"/>
          <w:sz w:val="28"/>
          <w:szCs w:val="28"/>
          <w:lang w:val="uk-UA"/>
        </w:rPr>
        <w:sym w:font="Symbol" w:char="002D"/>
      </w:r>
      <w:r>
        <w:rPr>
          <w:rFonts w:ascii="Times New Roman" w:hAnsi="Times New Roman"/>
          <w:sz w:val="28"/>
          <w:szCs w:val="28"/>
          <w:lang w:val="uk-UA"/>
        </w:rPr>
        <w:t xml:space="preserve"> 5,9±2,2 балів (р</w:t>
      </w:r>
      <w:r>
        <w:rPr>
          <w:rFonts w:ascii="Times New Roman" w:hAnsi="Times New Roman"/>
          <w:sz w:val="28"/>
          <w:szCs w:val="28"/>
          <w:lang w:val="uk-UA"/>
        </w:rPr>
        <w:sym w:font="Symbol" w:char="003E"/>
      </w:r>
      <w:r>
        <w:rPr>
          <w:rFonts w:ascii="Times New Roman" w:hAnsi="Times New Roman"/>
          <w:sz w:val="28"/>
          <w:szCs w:val="28"/>
          <w:lang w:val="uk-UA"/>
        </w:rPr>
        <w:t xml:space="preserve">0,05). Отже, при надходженні на лікування хворі мали у середньому однаковий рівень болю незалежно від ступеню ішемії.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lang w:val="uk-UA"/>
        </w:rPr>
        <w:t>Дистанція безбольової ходи (ДБХ), як один з основних показників компенсації кровообігу у нижніх кінцівках, був важливим критерієм визначення ступеню ішемії та ефективності лікування (табл. 3.3). Як видно з наведених даних, у всіх хворих ДБХ була в середньому менше 30 метрів</w:t>
      </w:r>
      <w:r>
        <w:rPr>
          <w:rFonts w:ascii="Times New Roman" w:hAnsi="Times New Roman"/>
          <w:sz w:val="28"/>
          <w:szCs w:val="28"/>
          <w:lang w:val="uk-UA"/>
        </w:rPr>
        <w:t>.</w:t>
      </w:r>
    </w:p>
    <w:p w:rsidR="00A01923" w:rsidRDefault="00A01923" w:rsidP="00A01923">
      <w:pPr>
        <w:spacing w:after="0" w:line="360" w:lineRule="auto"/>
        <w:ind w:left="-567" w:firstLine="567"/>
        <w:jc w:val="right"/>
        <w:rPr>
          <w:rFonts w:ascii="Times New Roman" w:hAnsi="Times New Roman"/>
          <w:i/>
          <w:color w:val="000000"/>
          <w:sz w:val="28"/>
          <w:szCs w:val="28"/>
          <w:lang w:val="uk-UA"/>
        </w:rPr>
      </w:pPr>
      <w:r>
        <w:rPr>
          <w:rFonts w:ascii="Times New Roman" w:hAnsi="Times New Roman"/>
          <w:i/>
          <w:color w:val="000000"/>
          <w:sz w:val="28"/>
          <w:szCs w:val="28"/>
          <w:lang w:val="uk-UA"/>
        </w:rPr>
        <w:t>Таблиця 3.3</w:t>
      </w:r>
    </w:p>
    <w:p w:rsidR="00A01923" w:rsidRDefault="00A01923" w:rsidP="00A01923">
      <w:pPr>
        <w:spacing w:after="0" w:line="360" w:lineRule="auto"/>
        <w:ind w:left="-567" w:firstLine="567"/>
        <w:jc w:val="center"/>
        <w:rPr>
          <w:rFonts w:ascii="Times New Roman" w:hAnsi="Times New Roman"/>
          <w:b/>
          <w:color w:val="000000"/>
          <w:sz w:val="28"/>
          <w:szCs w:val="28"/>
          <w:lang w:val="uk-UA"/>
        </w:rPr>
      </w:pPr>
      <w:r>
        <w:rPr>
          <w:rFonts w:ascii="Times New Roman" w:hAnsi="Times New Roman"/>
          <w:b/>
          <w:color w:val="000000"/>
          <w:sz w:val="28"/>
          <w:szCs w:val="28"/>
          <w:lang w:val="uk-UA"/>
        </w:rPr>
        <w:t>Показники дистанції безбольової ходи (м)</w:t>
      </w:r>
    </w:p>
    <w:tbl>
      <w:tblPr>
        <w:tblW w:w="0" w:type="auto"/>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2"/>
        <w:gridCol w:w="2393"/>
        <w:gridCol w:w="2393"/>
        <w:gridCol w:w="2393"/>
      </w:tblGrid>
      <w:tr w:rsidR="00A01923" w:rsidTr="00A01923">
        <w:tc>
          <w:tcPr>
            <w:tcW w:w="9571" w:type="dxa"/>
            <w:gridSpan w:val="4"/>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Середня дистанція безбольової ходи (м)</w:t>
            </w:r>
          </w:p>
        </w:tc>
      </w:tr>
      <w:tr w:rsidR="00A01923" w:rsidTr="00A01923">
        <w:tc>
          <w:tcPr>
            <w:tcW w:w="4785" w:type="dxa"/>
            <w:gridSpan w:val="2"/>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Група порівняння (n</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50)</w:t>
            </w:r>
          </w:p>
        </w:tc>
        <w:tc>
          <w:tcPr>
            <w:tcW w:w="4786" w:type="dxa"/>
            <w:gridSpan w:val="2"/>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Основна група (n</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55)</w:t>
            </w:r>
          </w:p>
        </w:tc>
      </w:tr>
      <w:tr w:rsidR="00A01923" w:rsidTr="00A01923">
        <w:tc>
          <w:tcPr>
            <w:tcW w:w="239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III ступінь ішемії</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IV ступінь ішемії</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III ступінь ішемії</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IV ступінь ішемії</w:t>
            </w:r>
          </w:p>
        </w:tc>
      </w:tr>
      <w:tr w:rsidR="00A01923" w:rsidTr="00A01923">
        <w:tc>
          <w:tcPr>
            <w:tcW w:w="239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28,6</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13,2</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19,1</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9,8</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26,7</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12,95</w:t>
            </w:r>
          </w:p>
        </w:tc>
        <w:tc>
          <w:tcPr>
            <w:tcW w:w="23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16,2</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6,5</w:t>
            </w:r>
          </w:p>
        </w:tc>
      </w:tr>
    </w:tbl>
    <w:p w:rsidR="00A01923" w:rsidRDefault="00A01923" w:rsidP="00744C97">
      <w:pPr>
        <w:spacing w:after="0" w:line="360" w:lineRule="auto"/>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Клінічні прояви ХКІНК у вигляді трофічних уражень бу</w:t>
      </w:r>
      <w:r w:rsidR="00803E73">
        <w:rPr>
          <w:rFonts w:ascii="Times New Roman" w:hAnsi="Times New Roman"/>
          <w:color w:val="000000"/>
          <w:sz w:val="28"/>
          <w:szCs w:val="28"/>
          <w:lang w:val="uk-UA"/>
        </w:rPr>
        <w:t>ли присутні у всіх хворих з IV ступенем</w:t>
      </w:r>
      <w:r>
        <w:rPr>
          <w:rFonts w:ascii="Times New Roman" w:hAnsi="Times New Roman"/>
          <w:color w:val="000000"/>
          <w:sz w:val="28"/>
          <w:szCs w:val="28"/>
          <w:lang w:val="uk-UA"/>
        </w:rPr>
        <w:t xml:space="preserve"> ішемії (рис. 3.1).</w:t>
      </w:r>
    </w:p>
    <w:p w:rsidR="00A01923" w:rsidRDefault="00487043" w:rsidP="00A01923">
      <w:pPr>
        <w:spacing w:after="0" w:line="360" w:lineRule="auto"/>
        <w:ind w:left="-567" w:firstLine="567"/>
        <w:jc w:val="both"/>
        <w:rPr>
          <w:rFonts w:ascii="Times New Roman" w:hAnsi="Times New Roman"/>
          <w:color w:val="000000"/>
          <w:sz w:val="28"/>
          <w:szCs w:val="28"/>
          <w:lang w:val="uk-UA"/>
        </w:rPr>
      </w:pPr>
      <w:r w:rsidRPr="00487043">
        <w:rPr>
          <w:rFonts w:ascii="Calibri" w:hAnsi="Calibri"/>
        </w:rPr>
        <w:pict>
          <v:group id="_x0000_s2121" style="position:absolute;left:0;text-align:left;margin-left:-43.75pt;margin-top:20.1pt;width:521.5pt;height:609.6pt;z-index:251625984" coordorigin="826,4002" coordsize="10430,12192">
            <v:shape id="_x0000_s2122" type="#_x0000_t202" style="position:absolute;left:1313;top:13641;width:9943;height:2553;mso-width-relative:margin;mso-height-relative:margin" stroked="f">
              <v:textbox>
                <w:txbxContent>
                  <w:p w:rsidR="00DA0A21" w:rsidRDefault="00DA0A21" w:rsidP="00A01923">
                    <w:pPr>
                      <w:ind w:firstLine="284"/>
                      <w:rPr>
                        <w:rFonts w:ascii="Times New Roman" w:hAnsi="Times New Roman"/>
                        <w:sz w:val="28"/>
                        <w:szCs w:val="28"/>
                        <w:lang w:val="uk-UA"/>
                      </w:rPr>
                    </w:pPr>
                    <w:r>
                      <w:rPr>
                        <w:rFonts w:ascii="Times New Roman" w:hAnsi="Times New Roman"/>
                        <w:sz w:val="28"/>
                        <w:szCs w:val="28"/>
                      </w:rPr>
                      <w:t xml:space="preserve">Рис. 3.1 </w:t>
                    </w:r>
                    <w:r>
                      <w:rPr>
                        <w:rFonts w:ascii="Times New Roman" w:hAnsi="Times New Roman"/>
                        <w:sz w:val="28"/>
                        <w:szCs w:val="28"/>
                        <w:lang w:val="uk-UA"/>
                      </w:rPr>
                      <w:t>Т</w:t>
                    </w:r>
                    <w:r>
                      <w:rPr>
                        <w:rFonts w:ascii="Times New Roman" w:hAnsi="Times New Roman"/>
                        <w:sz w:val="28"/>
                        <w:szCs w:val="28"/>
                      </w:rPr>
                      <w:t>рофічн</w:t>
                    </w:r>
                    <w:r>
                      <w:rPr>
                        <w:rFonts w:ascii="Times New Roman" w:hAnsi="Times New Roman"/>
                        <w:sz w:val="28"/>
                        <w:szCs w:val="28"/>
                        <w:lang w:val="uk-UA"/>
                      </w:rPr>
                      <w:t>і</w:t>
                    </w:r>
                    <w:r>
                      <w:rPr>
                        <w:rFonts w:ascii="Times New Roman" w:hAnsi="Times New Roman"/>
                        <w:sz w:val="28"/>
                        <w:szCs w:val="28"/>
                      </w:rPr>
                      <w:t xml:space="preserve"> порушен</w:t>
                    </w:r>
                    <w:r>
                      <w:rPr>
                        <w:rFonts w:ascii="Times New Roman" w:hAnsi="Times New Roman"/>
                        <w:sz w:val="28"/>
                        <w:szCs w:val="28"/>
                        <w:lang w:val="uk-UA"/>
                      </w:rPr>
                      <w:t>ня</w:t>
                    </w:r>
                    <w:r>
                      <w:rPr>
                        <w:rFonts w:ascii="Times New Roman" w:hAnsi="Times New Roman"/>
                        <w:sz w:val="28"/>
                        <w:szCs w:val="28"/>
                      </w:rPr>
                      <w:t xml:space="preserve"> нижніх кінцівок у досліджуваних хворих</w:t>
                    </w:r>
                  </w:p>
                  <w:p w:rsidR="00DA0A21" w:rsidRDefault="00DA0A21" w:rsidP="00A01923">
                    <w:pPr>
                      <w:ind w:firstLine="284"/>
                      <w:jc w:val="center"/>
                      <w:rPr>
                        <w:rFonts w:ascii="Times New Roman" w:hAnsi="Times New Roman"/>
                        <w:sz w:val="28"/>
                        <w:szCs w:val="28"/>
                        <w:lang w:val="uk-UA"/>
                      </w:rPr>
                    </w:pPr>
                    <w:r>
                      <w:rPr>
                        <w:rFonts w:ascii="Times New Roman" w:hAnsi="Times New Roman"/>
                        <w:sz w:val="28"/>
                        <w:szCs w:val="28"/>
                        <w:lang w:val="uk-UA"/>
                      </w:rPr>
                      <w:t xml:space="preserve">А.Хворий К., 61 рік, Основна група. Ішемічна гангрена усіх пальців лівої стопи; Б. Пацієнт Б, 82 роки, основна група, суха гангрена І, ІІ, ІІІ пальців правої стопи; В. Пацієнт С, 65 років, група порівняння, суха гангрена </w:t>
                    </w:r>
                    <w:r>
                      <w:rPr>
                        <w:rFonts w:ascii="Times New Roman" w:hAnsi="Times New Roman"/>
                        <w:sz w:val="28"/>
                        <w:szCs w:val="28"/>
                        <w:lang w:val="en-US"/>
                      </w:rPr>
                      <w:t>V</w:t>
                    </w:r>
                    <w:r>
                      <w:rPr>
                        <w:rFonts w:ascii="Times New Roman" w:hAnsi="Times New Roman"/>
                        <w:sz w:val="28"/>
                        <w:szCs w:val="28"/>
                        <w:lang w:val="uk-UA"/>
                      </w:rPr>
                      <w:t xml:space="preserve"> пальця правої стопи; Г. Пацієнт Р, 58 років, основна група, трофічна виразка на І</w:t>
                    </w:r>
                    <w:r>
                      <w:rPr>
                        <w:rFonts w:ascii="Times New Roman" w:hAnsi="Times New Roman"/>
                        <w:sz w:val="28"/>
                        <w:szCs w:val="28"/>
                        <w:lang w:val="en-US"/>
                      </w:rPr>
                      <w:t>V</w:t>
                    </w:r>
                    <w:r>
                      <w:rPr>
                        <w:rFonts w:ascii="Times New Roman" w:hAnsi="Times New Roman"/>
                        <w:sz w:val="28"/>
                        <w:szCs w:val="28"/>
                        <w:lang w:val="uk-UA"/>
                      </w:rPr>
                      <w:t xml:space="preserve"> пальці правої стопи</w:t>
                    </w:r>
                  </w:p>
                </w:txbxContent>
              </v:textbox>
            </v:shape>
            <v:shape id="_x0000_s2123" type="#_x0000_t202" style="position:absolute;left:826;top:4002;width:10430;height:9639" stroked="f">
              <v:textbox>
                <w:txbxContent>
                  <w:p w:rsidR="00DA0A21" w:rsidRDefault="00DA0A21" w:rsidP="00A01923">
                    <w:pPr>
                      <w:ind w:left="851"/>
                    </w:pPr>
                    <w:r w:rsidRPr="00487043">
                      <w:rPr>
                        <w:rFonts w:eastAsia="Calibri"/>
                        <w:sz w:val="20"/>
                        <w:szCs w:val="20"/>
                      </w:rPr>
                      <w:pict>
                        <v:shape id="_x0000_i1040" type="#_x0000_t75" style="width:229.65pt;height:242.05pt;visibility:visible">
                          <v:imagedata r:id="rId20" o:title="IMG_20160115_102703"/>
                        </v:shape>
                      </w:pict>
                    </w:r>
                    <w:r w:rsidRPr="00487043">
                      <w:rPr>
                        <w:rFonts w:eastAsia="Calibri"/>
                        <w:sz w:val="20"/>
                        <w:szCs w:val="20"/>
                      </w:rPr>
                      <w:pict>
                        <v:shape id="Рисунок 4" o:spid="_x0000_i1042" type="#_x0000_t75" style="width:229.65pt;height:243.3pt;visibility:visible">
                          <v:imagedata r:id="rId21" o:title="IMG_20160119_094001"/>
                        </v:shape>
                      </w:pict>
                    </w:r>
                    <w:r w:rsidRPr="00487043">
                      <w:rPr>
                        <w:rFonts w:eastAsia="Calibri"/>
                        <w:sz w:val="20"/>
                        <w:szCs w:val="20"/>
                      </w:rPr>
                      <w:pict>
                        <v:shape id="_x0000_i1044" type="#_x0000_t75" style="width:229.65pt;height:232.15pt;visibility:visible">
                          <v:imagedata r:id="rId22" o:title="IMG_20160129_101114_HDR"/>
                        </v:shape>
                      </w:pict>
                    </w:r>
                    <w:r w:rsidRPr="00487043">
                      <w:rPr>
                        <w:rFonts w:eastAsia="Calibri"/>
                        <w:sz w:val="20"/>
                        <w:szCs w:val="20"/>
                      </w:rPr>
                      <w:pict>
                        <v:shape id="Рисунок 10" o:spid="_x0000_i1046" type="#_x0000_t75" style="width:229.65pt;height:233.4pt;visibility:visible">
                          <v:imagedata r:id="rId23" o:title="IMG_20151210_115926"/>
                        </v:shape>
                      </w:pict>
                    </w:r>
                  </w:p>
                </w:txbxContent>
              </v:textbox>
            </v:shape>
            <v:shape id="_x0000_s2124" type="#_x0000_t202" style="position:absolute;left:10481;top:13031;width:465;height:471;mso-wrap-style:none">
              <v:textbox>
                <w:txbxContent>
                  <w:p w:rsidR="00DA0A21" w:rsidRDefault="00DA0A21"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Г</w:t>
                    </w:r>
                  </w:p>
                </w:txbxContent>
              </v:textbox>
            </v:shape>
            <v:shape id="_x0000_s2125" type="#_x0000_t202" style="position:absolute;left:5872;top:13031;width:490;height:471;mso-wrap-style:none">
              <v:textbox>
                <w:txbxContent>
                  <w:p w:rsidR="00DA0A21" w:rsidRDefault="00DA0A21"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В</w:t>
                    </w:r>
                  </w:p>
                </w:txbxContent>
              </v:textbox>
            </v:shape>
            <v:shape id="_x0000_s2126" type="#_x0000_t202" style="position:absolute;left:5856;top:8451;width:506;height:471;mso-wrap-style:none">
              <v:textbox>
                <w:txbxContent>
                  <w:p w:rsidR="00DA0A21" w:rsidRDefault="00DA0A21"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А</w:t>
                    </w:r>
                  </w:p>
                </w:txbxContent>
              </v:textbox>
            </v:shape>
            <v:shape id="_x0000_s2127" type="#_x0000_t202" style="position:absolute;left:10481;top:8451;width:464;height:471;mso-wrap-style:none">
              <v:textbox>
                <w:txbxContent>
                  <w:p w:rsidR="00DA0A21" w:rsidRDefault="00DA0A21"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Б</w:t>
                    </w:r>
                  </w:p>
                </w:txbxContent>
              </v:textbox>
            </v:shape>
          </v:group>
        </w:pict>
      </w: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p>
    <w:p w:rsidR="00A01923" w:rsidRDefault="00A01923" w:rsidP="00A01923">
      <w:pPr>
        <w:spacing w:after="0" w:line="360" w:lineRule="auto"/>
        <w:ind w:left="-567" w:firstLine="567"/>
        <w:jc w:val="both"/>
        <w:rPr>
          <w:rFonts w:ascii="Times New Roman" w:hAnsi="Times New Roman"/>
          <w:color w:val="FF0000"/>
          <w:sz w:val="28"/>
          <w:szCs w:val="28"/>
          <w:lang w:val="uk-UA"/>
        </w:rPr>
      </w:pPr>
    </w:p>
    <w:p w:rsidR="00A01923" w:rsidRDefault="00A01923" w:rsidP="00A01923">
      <w:pPr>
        <w:spacing w:after="0" w:line="360" w:lineRule="auto"/>
        <w:ind w:left="-567" w:firstLine="567"/>
        <w:jc w:val="both"/>
        <w:rPr>
          <w:rFonts w:ascii="Times New Roman" w:hAnsi="Times New Roman"/>
          <w:color w:val="FF0000"/>
          <w:sz w:val="28"/>
          <w:szCs w:val="28"/>
          <w:lang w:val="uk-UA"/>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Дифузне </w:t>
      </w:r>
      <w:r>
        <w:rPr>
          <w:color w:val="000000"/>
          <w:sz w:val="28"/>
          <w:szCs w:val="28"/>
        </w:rPr>
        <w:t>атеросклеротичне ураження в поєднанні з вираженим медіакальцінозом судинної стінки є найбільш характерним для</w:t>
      </w:r>
      <w:r>
        <w:rPr>
          <w:sz w:val="28"/>
          <w:szCs w:val="28"/>
        </w:rPr>
        <w:t xml:space="preserve"> пацієнтів з </w:t>
      </w:r>
      <w:r>
        <w:rPr>
          <w:sz w:val="28"/>
          <w:szCs w:val="28"/>
        </w:rPr>
        <w:lastRenderedPageBreak/>
        <w:t>супутнім ЦД та значно ускладнює діагностику ХКІНК і проведення як ендоваскулярної реваскуляризації, так і дистального шунтування (рис. 3.2).</w:t>
      </w:r>
    </w:p>
    <w:p w:rsidR="00A01923" w:rsidRDefault="00A01923" w:rsidP="00A01923">
      <w:pPr>
        <w:pStyle w:val="a8"/>
        <w:spacing w:after="0" w:line="360" w:lineRule="auto"/>
        <w:ind w:left="-567" w:firstLine="567"/>
        <w:jc w:val="center"/>
        <w:rPr>
          <w:sz w:val="28"/>
          <w:szCs w:val="28"/>
        </w:rPr>
      </w:pPr>
      <w:r>
        <w:rPr>
          <w:noProof/>
          <w:lang w:val="ru-RU"/>
        </w:rPr>
        <w:drawing>
          <wp:inline distT="0" distB="0" distL="0" distR="0">
            <wp:extent cx="6047147" cy="5506278"/>
            <wp:effectExtent l="19050" t="0" r="0" b="0"/>
            <wp:docPr id="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4" cstate="print"/>
                    <a:srcRect/>
                    <a:stretch>
                      <a:fillRect/>
                    </a:stretch>
                  </pic:blipFill>
                  <pic:spPr bwMode="auto">
                    <a:xfrm>
                      <a:off x="0" y="0"/>
                      <a:ext cx="6038236" cy="5498164"/>
                    </a:xfrm>
                    <a:prstGeom prst="rect">
                      <a:avLst/>
                    </a:prstGeom>
                    <a:noFill/>
                    <a:ln w="9525">
                      <a:noFill/>
                      <a:miter lim="800000"/>
                      <a:headEnd/>
                      <a:tailEnd/>
                    </a:ln>
                  </pic:spPr>
                </pic:pic>
              </a:graphicData>
            </a:graphic>
          </wp:inline>
        </w:drawing>
      </w:r>
    </w:p>
    <w:p w:rsidR="00A01923" w:rsidRDefault="00487043" w:rsidP="00A01923">
      <w:pPr>
        <w:pStyle w:val="a8"/>
        <w:spacing w:after="0" w:line="360" w:lineRule="auto"/>
        <w:ind w:left="-567" w:firstLine="567"/>
        <w:jc w:val="both"/>
        <w:rPr>
          <w:sz w:val="28"/>
          <w:szCs w:val="28"/>
        </w:rPr>
      </w:pPr>
      <w:r w:rsidRPr="00487043">
        <w:pict>
          <v:shape id="_x0000_s2128" type="#_x0000_t202" style="position:absolute;left:0;text-align:left;margin-left:.15pt;margin-top:3.95pt;width:436.8pt;height:92.95pt;z-index:251627008" stroked="f">
            <v:textbox>
              <w:txbxContent>
                <w:p w:rsidR="00DA0A21" w:rsidRDefault="00DA0A21" w:rsidP="00A01923">
                  <w:pPr>
                    <w:jc w:val="center"/>
                  </w:pPr>
                  <w:r>
                    <w:rPr>
                      <w:rFonts w:ascii="Times New Roman" w:hAnsi="Times New Roman"/>
                      <w:sz w:val="28"/>
                      <w:szCs w:val="28"/>
                      <w:lang w:val="uk-UA"/>
                    </w:rPr>
                    <w:t xml:space="preserve">Рис. 3.2 Рентгенограма правої стопи хворого В, 78 років, група порівняння: звапніння стінок артерій стопи (вказано стрілками) у пацієнта з </w:t>
                  </w:r>
                  <w:r>
                    <w:rPr>
                      <w:rFonts w:ascii="Times New Roman" w:hAnsi="Times New Roman"/>
                      <w:sz w:val="28"/>
                      <w:szCs w:val="28"/>
                      <w:lang w:val="en-US"/>
                    </w:rPr>
                    <w:t>III</w:t>
                  </w:r>
                  <w:r>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тадією хронічної ішемії (за Фонтейном-Покровським)ішемії нижньої кінцівки та супутнім ЦД</w:t>
                  </w:r>
                </w:p>
              </w:txbxContent>
            </v:textbox>
          </v:shape>
        </w:pict>
      </w: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803E73" w:rsidRDefault="00803E7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Клініко-лабораторні дані дозволили припустити наявність ХКІНК у 100% хворих обох груп. Ультразвукове дослідження судин нижніх кінцівок було виконано всім хворим і свідчило про наявність периферійного типу ураження судин у всіх хворих </w:t>
      </w:r>
      <w:r>
        <w:rPr>
          <w:color w:val="000000"/>
          <w:sz w:val="28"/>
          <w:szCs w:val="28"/>
        </w:rPr>
        <w:t xml:space="preserve">(чутливість методу 100%). </w:t>
      </w:r>
      <w:r>
        <w:rPr>
          <w:sz w:val="28"/>
          <w:szCs w:val="28"/>
        </w:rPr>
        <w:t xml:space="preserve">Ангіографічне дослідження судин </w:t>
      </w:r>
      <w:r>
        <w:rPr>
          <w:sz w:val="28"/>
          <w:szCs w:val="28"/>
        </w:rPr>
        <w:lastRenderedPageBreak/>
        <w:t xml:space="preserve">було виконано 101 хворому та дозволило уточнити ступінь та тип ураження судин та визначити подальшу тактику лікування (чутливість методу склала 100%). Важливим критерієм вибору хворих було визначення прохідності артерій до нижньої третини стегна, що є необхідною умовою для формування колатералей. </w:t>
      </w:r>
    </w:p>
    <w:p w:rsidR="00A01923" w:rsidRDefault="00A01923" w:rsidP="00A01923">
      <w:pPr>
        <w:pStyle w:val="a8"/>
        <w:spacing w:after="0" w:line="360" w:lineRule="auto"/>
        <w:ind w:left="-567" w:firstLine="567"/>
        <w:jc w:val="both"/>
        <w:rPr>
          <w:sz w:val="28"/>
          <w:szCs w:val="28"/>
        </w:rPr>
      </w:pPr>
      <w:r>
        <w:rPr>
          <w:sz w:val="28"/>
          <w:szCs w:val="28"/>
        </w:rPr>
        <w:t>На сьогодні, ультразвукова допплерографія (УЗДГ) судин нижніх кінцівок є скринінговим дослідженням та дозволяє визначити ступінь порушення кровообігу, протяжність та ступінь стенозів артерій, рівень оклюзії. Дуплексне сканування – якісна методика, що дозволяє «побачити» судину, її просвіт, стінку, розташування, характер кровотоку; УЗДГ це кількісна методика, що дозволяє визначити швидкість і інтенсивність кровотоку, але не дає можливості визначити діаметр судини, будову стінки і клапаного апарату. Ультразвукове дослідження сьогодні є «золотим стандартом» діагностики, оскільки дає можливість оцінити весь спектр уражень, починаючи від невидимих оку змін структурно-функціональних властивостей артеріальної стінки та оцінити результати оперативного та медикаментозного лікування.</w:t>
      </w:r>
    </w:p>
    <w:p w:rsidR="00A01923" w:rsidRDefault="00A01923" w:rsidP="00A01923">
      <w:pPr>
        <w:pStyle w:val="a8"/>
        <w:spacing w:after="0" w:line="360" w:lineRule="auto"/>
        <w:ind w:left="-567" w:firstLine="567"/>
        <w:jc w:val="both"/>
        <w:rPr>
          <w:sz w:val="28"/>
          <w:szCs w:val="28"/>
        </w:rPr>
      </w:pPr>
      <w:r>
        <w:rPr>
          <w:sz w:val="28"/>
          <w:szCs w:val="28"/>
        </w:rPr>
        <w:t>Для визначення ступеня ураження артерій використовують дані зображення судини (вимірювання вираження стенозу до діаметра і до площі поперечного перерізу) і критерії якісного і кількісного аналізу спектру допплерівського зсуву частот. У нормі в артеріях нижніх кінцівок відзначається однорідний гіпоехогенний просвіт в В-режимі і рівномірне фарбування потоку в режимі кольорового доплерографічного картування з наявністю чітких, рівних контурів стінок артерій. Якісна оцінка форми  спектру допплерівського зсуву частот дозволяє виділити три компонента, які характеризують нормальний магістральний тип кровотоку: гострий систолічний пік, зворотний кровотік в період ранньої діастоли і відхилення в період пізньої діастоли.</w:t>
      </w:r>
    </w:p>
    <w:p w:rsidR="00A01923" w:rsidRDefault="00A01923" w:rsidP="00A01923">
      <w:pPr>
        <w:pStyle w:val="a8"/>
        <w:spacing w:after="0" w:line="360" w:lineRule="auto"/>
        <w:ind w:left="-567" w:firstLine="567"/>
        <w:jc w:val="both"/>
        <w:rPr>
          <w:color w:val="000000"/>
          <w:sz w:val="28"/>
          <w:szCs w:val="28"/>
        </w:rPr>
      </w:pPr>
      <w:r>
        <w:rPr>
          <w:sz w:val="28"/>
          <w:szCs w:val="28"/>
        </w:rPr>
        <w:t xml:space="preserve">З огляду на те, що одним з основних чинників, які визначають клінічну картину захворювання артерій нижніх кінцівок, є ступінь розвитку колатерального кровообігу, доцільно дуплексне сканування доповнювати виміром – кісточково-плечового індексу </w:t>
      </w:r>
      <w:r>
        <w:rPr>
          <w:color w:val="000000"/>
          <w:sz w:val="28"/>
          <w:szCs w:val="28"/>
        </w:rPr>
        <w:t>тиску (КПІ) (табл. 3.4).</w:t>
      </w:r>
    </w:p>
    <w:p w:rsidR="00744C97" w:rsidRDefault="00744C97" w:rsidP="00A01923">
      <w:pPr>
        <w:pStyle w:val="a8"/>
        <w:spacing w:after="0" w:line="360" w:lineRule="auto"/>
        <w:ind w:left="-567" w:firstLine="567"/>
        <w:jc w:val="both"/>
        <w:rPr>
          <w:sz w:val="28"/>
          <w:szCs w:val="28"/>
        </w:rPr>
      </w:pPr>
    </w:p>
    <w:p w:rsidR="00A01923" w:rsidRDefault="00A01923" w:rsidP="00A01923">
      <w:pPr>
        <w:spacing w:after="0" w:line="360" w:lineRule="auto"/>
        <w:ind w:left="-567" w:firstLine="567"/>
        <w:jc w:val="right"/>
        <w:rPr>
          <w:rFonts w:ascii="Times New Roman" w:hAnsi="Times New Roman"/>
          <w:i/>
          <w:color w:val="000000"/>
          <w:sz w:val="28"/>
          <w:szCs w:val="28"/>
          <w:lang w:val="uk-UA"/>
        </w:rPr>
      </w:pPr>
      <w:r>
        <w:rPr>
          <w:rFonts w:ascii="Times New Roman" w:hAnsi="Times New Roman"/>
          <w:i/>
          <w:color w:val="000000"/>
          <w:sz w:val="28"/>
          <w:szCs w:val="28"/>
          <w:lang w:val="uk-UA"/>
        </w:rPr>
        <w:lastRenderedPageBreak/>
        <w:t>Таблиця 3.4.</w:t>
      </w:r>
    </w:p>
    <w:p w:rsidR="00A01923" w:rsidRDefault="00A01923" w:rsidP="00A01923">
      <w:pPr>
        <w:spacing w:after="0" w:line="360" w:lineRule="auto"/>
        <w:ind w:left="-567" w:firstLine="567"/>
        <w:jc w:val="center"/>
        <w:rPr>
          <w:rFonts w:ascii="Times New Roman" w:hAnsi="Times New Roman"/>
          <w:b/>
          <w:color w:val="000000"/>
          <w:sz w:val="28"/>
          <w:szCs w:val="28"/>
          <w:lang w:val="uk-UA"/>
        </w:rPr>
      </w:pPr>
      <w:r>
        <w:rPr>
          <w:rFonts w:ascii="Times New Roman" w:hAnsi="Times New Roman"/>
          <w:b/>
          <w:color w:val="000000"/>
          <w:sz w:val="28"/>
          <w:szCs w:val="28"/>
          <w:lang w:val="uk-UA"/>
        </w:rPr>
        <w:t>Показники кісточково-плечового індексу у хворих на ХКІНК</w:t>
      </w:r>
    </w:p>
    <w:tbl>
      <w:tblPr>
        <w:tblW w:w="0" w:type="auto"/>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2"/>
        <w:gridCol w:w="2393"/>
        <w:gridCol w:w="2393"/>
        <w:gridCol w:w="2393"/>
      </w:tblGrid>
      <w:tr w:rsidR="00A01923" w:rsidTr="00A01923">
        <w:tc>
          <w:tcPr>
            <w:tcW w:w="9571"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Середні показники кісточково-плечового індексу</w:t>
            </w:r>
          </w:p>
        </w:tc>
      </w:tr>
      <w:tr w:rsidR="00A01923" w:rsidTr="00A01923">
        <w:tc>
          <w:tcPr>
            <w:tcW w:w="478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Група порівняння (n</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50)</w:t>
            </w:r>
          </w:p>
        </w:tc>
        <w:tc>
          <w:tcPr>
            <w:tcW w:w="4786"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Основна група (n</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55)</w:t>
            </w:r>
          </w:p>
        </w:tc>
      </w:tr>
      <w:tr w:rsidR="00A01923" w:rsidTr="00A01923">
        <w:tc>
          <w:tcPr>
            <w:tcW w:w="239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III ступінь ішемії</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IV ступінь ішемії</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III ступінь ішемії</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IV ступінь ішемії</w:t>
            </w:r>
          </w:p>
        </w:tc>
      </w:tr>
      <w:tr w:rsidR="00A01923" w:rsidTr="00A01923">
        <w:tc>
          <w:tcPr>
            <w:tcW w:w="239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26,8</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7,02</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19,8</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17,6</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28,5</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4,7</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18,8</w:t>
            </w:r>
            <w:r>
              <w:rPr>
                <w:rFonts w:ascii="Times New Roman" w:hAnsi="Times New Roman"/>
                <w:color w:val="000000"/>
                <w:sz w:val="28"/>
                <w:szCs w:val="28"/>
                <w:lang w:val="uk-UA"/>
              </w:rPr>
              <w:sym w:font="Symbol" w:char="00B1"/>
            </w:r>
            <w:r>
              <w:rPr>
                <w:rFonts w:ascii="Times New Roman" w:hAnsi="Times New Roman"/>
                <w:color w:val="000000"/>
                <w:sz w:val="28"/>
                <w:szCs w:val="28"/>
                <w:lang w:val="uk-UA"/>
              </w:rPr>
              <w:t>14,2</w:t>
            </w:r>
          </w:p>
        </w:tc>
      </w:tr>
    </w:tbl>
    <w:p w:rsidR="00A01923" w:rsidRDefault="00A01923" w:rsidP="00A01923">
      <w:pPr>
        <w:spacing w:after="0" w:line="360" w:lineRule="auto"/>
        <w:ind w:left="-567" w:firstLine="567"/>
        <w:jc w:val="center"/>
        <w:rPr>
          <w:rFonts w:ascii="Times New Roman" w:eastAsia="Times New Roman" w:hAnsi="Times New Roman"/>
          <w:sz w:val="28"/>
          <w:szCs w:val="28"/>
          <w:lang w:val="uk-UA"/>
        </w:rPr>
      </w:pPr>
    </w:p>
    <w:p w:rsidR="00A01923" w:rsidRDefault="00A01923" w:rsidP="00A01923">
      <w:pPr>
        <w:pStyle w:val="a8"/>
        <w:spacing w:after="0" w:line="360" w:lineRule="auto"/>
        <w:ind w:left="-567" w:firstLine="567"/>
        <w:jc w:val="both"/>
        <w:rPr>
          <w:color w:val="000000"/>
          <w:sz w:val="28"/>
          <w:szCs w:val="28"/>
        </w:rPr>
      </w:pPr>
      <w:r>
        <w:rPr>
          <w:color w:val="000000"/>
          <w:sz w:val="28"/>
          <w:szCs w:val="28"/>
        </w:rPr>
        <w:t>Отримані дані свідчать, що всі хворі, що досліджувались, мали КПІ нижче 40 мм.рт.ст. (p</w:t>
      </w:r>
      <w:r>
        <w:rPr>
          <w:color w:val="000000"/>
          <w:sz w:val="28"/>
          <w:szCs w:val="28"/>
        </w:rPr>
        <w:sym w:font="Symbol" w:char="003E"/>
      </w:r>
      <w:r>
        <w:rPr>
          <w:color w:val="000000"/>
          <w:sz w:val="28"/>
          <w:szCs w:val="28"/>
        </w:rPr>
        <w:t>0,05)</w:t>
      </w:r>
    </w:p>
    <w:p w:rsidR="00744C97" w:rsidRDefault="00A01923" w:rsidP="00744C97">
      <w:pPr>
        <w:pStyle w:val="a8"/>
        <w:spacing w:after="0" w:line="360" w:lineRule="auto"/>
        <w:ind w:left="-567" w:firstLine="567"/>
        <w:jc w:val="both"/>
        <w:rPr>
          <w:sz w:val="28"/>
          <w:szCs w:val="28"/>
        </w:rPr>
      </w:pPr>
      <w:r>
        <w:rPr>
          <w:color w:val="000000"/>
          <w:sz w:val="28"/>
          <w:szCs w:val="28"/>
        </w:rPr>
        <w:t>Основними параметрами, які використовуються для діагностики ступеня стенозу артерій нижніх кінцівок, як найбільш інформативними, є: тип кровотоку, пікова систолічна швидкість кровотоку і наявність бляшки на сірошкальному або кольоровому зображенні</w:t>
      </w:r>
      <w:r>
        <w:rPr>
          <w:sz w:val="28"/>
          <w:szCs w:val="28"/>
        </w:rPr>
        <w:t xml:space="preserve"> (рис.3.3).</w:t>
      </w:r>
    </w:p>
    <w:p w:rsidR="00A01923" w:rsidRDefault="00487043" w:rsidP="00A01923">
      <w:pPr>
        <w:pStyle w:val="a8"/>
        <w:spacing w:after="0" w:line="360" w:lineRule="auto"/>
        <w:ind w:left="-567" w:firstLine="567"/>
        <w:jc w:val="both"/>
        <w:rPr>
          <w:sz w:val="28"/>
          <w:szCs w:val="28"/>
        </w:rPr>
      </w:pPr>
      <w:r w:rsidRPr="00487043">
        <w:pict>
          <v:shape id="_x0000_s2129" type="#_x0000_t202" style="position:absolute;left:0;text-align:left;margin-left:-8.25pt;margin-top:290.75pt;width:463.2pt;height:42pt;z-index:251628032" stroked="f">
            <v:textbox>
              <w:txbxContent>
                <w:p w:rsidR="00DA0A21" w:rsidRDefault="00DA0A21" w:rsidP="00A01923">
                  <w:pPr>
                    <w:jc w:val="center"/>
                    <w:rPr>
                      <w:rFonts w:ascii="Times New Roman" w:hAnsi="Times New Roman"/>
                      <w:sz w:val="28"/>
                      <w:szCs w:val="28"/>
                    </w:rPr>
                  </w:pPr>
                  <w:r>
                    <w:rPr>
                      <w:rFonts w:ascii="Times New Roman" w:hAnsi="Times New Roman"/>
                      <w:sz w:val="28"/>
                      <w:szCs w:val="28"/>
                      <w:lang w:val="uk-UA"/>
                    </w:rPr>
                    <w:t>Рис. 3.3 Оклюзія задньої великогомілкової артерії у хворого М., 68 років, основна група</w:t>
                  </w:r>
                </w:p>
                <w:p w:rsidR="00DA0A21" w:rsidRDefault="00DA0A21" w:rsidP="00A01923">
                  <w:pPr>
                    <w:rPr>
                      <w:rFonts w:ascii="Calibri" w:hAnsi="Calibri"/>
                    </w:rPr>
                  </w:pPr>
                </w:p>
              </w:txbxContent>
            </v:textbox>
          </v:shape>
        </w:pict>
      </w:r>
      <w:r w:rsidR="00A01923">
        <w:rPr>
          <w:noProof/>
          <w:lang w:val="ru-RU"/>
        </w:rPr>
        <w:drawing>
          <wp:inline distT="0" distB="0" distL="0" distR="0">
            <wp:extent cx="5688330" cy="3597910"/>
            <wp:effectExtent l="19050" t="0" r="7620" b="0"/>
            <wp:docPr id="3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 cstate="print"/>
                    <a:srcRect/>
                    <a:stretch>
                      <a:fillRect/>
                    </a:stretch>
                  </pic:blipFill>
                  <pic:spPr bwMode="auto">
                    <a:xfrm>
                      <a:off x="0" y="0"/>
                      <a:ext cx="5688330" cy="3597910"/>
                    </a:xfrm>
                    <a:prstGeom prst="rect">
                      <a:avLst/>
                    </a:prstGeom>
                    <a:noFill/>
                    <a:ln w="9525">
                      <a:noFill/>
                      <a:miter lim="800000"/>
                      <a:headEnd/>
                      <a:tailEnd/>
                    </a:ln>
                  </pic:spPr>
                </pic:pic>
              </a:graphicData>
            </a:graphic>
          </wp:inline>
        </w:drawing>
      </w: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0"/>
        <w:jc w:val="both"/>
        <w:rPr>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Необхідно відзначити, що при </w:t>
      </w:r>
      <w:r>
        <w:rPr>
          <w:color w:val="000000"/>
          <w:sz w:val="28"/>
          <w:szCs w:val="28"/>
        </w:rPr>
        <w:t xml:space="preserve">використанні планіметричного методу оцінки ступеня стенозу слід аналізувати зображення як в поздовжній, так і в поперечній </w:t>
      </w:r>
      <w:r>
        <w:rPr>
          <w:color w:val="000000"/>
          <w:sz w:val="28"/>
          <w:szCs w:val="28"/>
        </w:rPr>
        <w:lastRenderedPageBreak/>
        <w:t>площинах сканування, оскільки якщо не врахувати полуконцентричну або концентричну локалізацію бляшки, може виникнути</w:t>
      </w:r>
      <w:r>
        <w:rPr>
          <w:sz w:val="28"/>
          <w:szCs w:val="28"/>
        </w:rPr>
        <w:t xml:space="preserve"> хибне враження про в меншу міру звуження судини в поздовжній площині.</w:t>
      </w:r>
    </w:p>
    <w:p w:rsidR="00A01923" w:rsidRDefault="00A01923" w:rsidP="00A01923">
      <w:pPr>
        <w:pStyle w:val="a8"/>
        <w:spacing w:after="0" w:line="360" w:lineRule="auto"/>
        <w:ind w:left="-567" w:firstLine="567"/>
        <w:jc w:val="both"/>
        <w:rPr>
          <w:sz w:val="28"/>
          <w:szCs w:val="28"/>
        </w:rPr>
      </w:pPr>
      <w:r>
        <w:rPr>
          <w:sz w:val="28"/>
          <w:szCs w:val="28"/>
        </w:rPr>
        <w:t>За даними спектра допплерівського зсуву частот, заснованих на аналізі пікової систолічної швидкості на ділянці стенозу, можливо визначити ступінь стенозу судини. Відмінною рисою стенозу 70% є підвищення пікової систолічної швидкості кровотоку на ділянці стенозу більше 2,0 м/с, а при стенозі 75-90% – спостерігаються всі ознаки, характерні для ураження 70%., а також реєструються негативні значення допплерівського зсуву частот (рис. 3.4, 3.5).</w:t>
      </w:r>
    </w:p>
    <w:p w:rsidR="00A01923" w:rsidRDefault="00487043" w:rsidP="00A01923">
      <w:pPr>
        <w:pStyle w:val="a8"/>
        <w:spacing w:after="0" w:line="360" w:lineRule="auto"/>
        <w:ind w:left="-567" w:firstLine="567"/>
        <w:jc w:val="both"/>
        <w:rPr>
          <w:sz w:val="28"/>
          <w:szCs w:val="28"/>
        </w:rPr>
      </w:pPr>
      <w:r w:rsidRPr="00487043">
        <w:pict>
          <v:shape id="_x0000_s1904" type="#_x0000_t202" style="position:absolute;left:0;text-align:left;margin-left:-20.4pt;margin-top:456.2pt;width:493.15pt;height:50.4pt;z-index:251629056;mso-width-relative:margin;mso-height-relative:margin" stroked="f">
            <v:textbox style="mso-next-textbox:#_x0000_s1904">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Рис. 3.5 Критичний стеноз передної гомілкової артерії (показані стрілками) у хворого К., 74 роки</w:t>
                  </w:r>
                </w:p>
              </w:txbxContent>
            </v:textbox>
          </v:shape>
        </w:pict>
      </w:r>
      <w:r w:rsidRPr="00487043">
        <w:pict>
          <v:shape id="_x0000_s1898" type="#_x0000_t202" style="position:absolute;left:0;text-align:left;margin-left:-4.35pt;margin-top:168.15pt;width:470.3pt;height:54.6pt;z-index:251630080;mso-width-relative:margin;mso-height-relative:margin" stroked="f">
            <v:textbox style="mso-next-textbox:#_x0000_s1898">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Рис. 3.4 Кровотік у зоні стенозу передньої великогомілкової артерії у  хворої Б., 81 рік, основна група</w:t>
                  </w:r>
                </w:p>
              </w:txbxContent>
            </v:textbox>
          </v:shape>
        </w:pict>
      </w:r>
      <w:r w:rsidRPr="00487043">
        <w:pict>
          <v:shape id="_x0000_s1908" type="#_x0000_t202" style="position:absolute;left:0;text-align:left;margin-left:-20.4pt;margin-top:-5.65pt;width:499.6pt;height:174.85pt;z-index:251631104" stroked="f">
            <v:textbox style="mso-next-textbox:#_x0000_s1908">
              <w:txbxContent>
                <w:p w:rsidR="00DA0A21" w:rsidRDefault="00DA0A21" w:rsidP="00A01923">
                  <w:r>
                    <w:rPr>
                      <w:rFonts w:ascii="Calibri" w:eastAsia="Calibri" w:hAnsi="Calibri"/>
                      <w:noProof/>
                      <w:sz w:val="20"/>
                      <w:szCs w:val="20"/>
                    </w:rPr>
                    <w:drawing>
                      <wp:inline distT="0" distB="0" distL="0" distR="0">
                        <wp:extent cx="5949315" cy="4109085"/>
                        <wp:effectExtent l="19050" t="0" r="0" b="0"/>
                        <wp:docPr id="55" name="Рисунок 55" descr="Кровоток престенот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Кровоток престенотич"/>
                                <pic:cNvPicPr>
                                  <a:picLocks noChangeAspect="1" noChangeArrowheads="1"/>
                                </pic:cNvPicPr>
                              </pic:nvPicPr>
                              <pic:blipFill>
                                <a:blip r:embed="rId26"/>
                                <a:srcRect/>
                                <a:stretch>
                                  <a:fillRect/>
                                </a:stretch>
                              </pic:blipFill>
                              <pic:spPr bwMode="auto">
                                <a:xfrm>
                                  <a:off x="0" y="0"/>
                                  <a:ext cx="5949315" cy="4109085"/>
                                </a:xfrm>
                                <a:prstGeom prst="rect">
                                  <a:avLst/>
                                </a:prstGeom>
                                <a:noFill/>
                                <a:ln w="9525">
                                  <a:noFill/>
                                  <a:miter lim="800000"/>
                                  <a:headEnd/>
                                  <a:tailEnd/>
                                </a:ln>
                              </pic:spPr>
                            </pic:pic>
                          </a:graphicData>
                        </a:graphic>
                      </wp:inline>
                    </w:drawing>
                  </w:r>
                </w:p>
              </w:txbxContent>
            </v:textbox>
          </v:shape>
        </w:pict>
      </w:r>
      <w:r w:rsidRPr="00487043">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909" type="#_x0000_t67" style="position:absolute;left:0;text-align:left;margin-left:214.95pt;margin-top:1.55pt;width:10.3pt;height:38.2pt;z-index:251632128">
            <v:textbox style="layout-flow:vertical-ideographic"/>
          </v:shape>
        </w:pict>
      </w:r>
      <w:r w:rsidRPr="00487043">
        <w:pict>
          <v:shape id="_x0000_s1910" type="#_x0000_t202" style="position:absolute;left:0;text-align:left;margin-left:-13.05pt;margin-top:222.45pt;width:479pt;height:226.3pt;z-index:251633152" stroked="f">
            <v:textbox>
              <w:txbxContent>
                <w:p w:rsidR="00DA0A21" w:rsidRDefault="00DA0A21" w:rsidP="00A01923">
                  <w:r>
                    <w:rPr>
                      <w:rFonts w:ascii="Calibri" w:eastAsia="Calibri" w:hAnsi="Calibri"/>
                      <w:noProof/>
                      <w:sz w:val="20"/>
                      <w:szCs w:val="20"/>
                    </w:rPr>
                    <w:drawing>
                      <wp:inline distT="0" distB="0" distL="0" distR="0">
                        <wp:extent cx="5890260" cy="3622040"/>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7"/>
                                <a:srcRect/>
                                <a:stretch>
                                  <a:fillRect/>
                                </a:stretch>
                              </pic:blipFill>
                              <pic:spPr bwMode="auto">
                                <a:xfrm>
                                  <a:off x="0" y="0"/>
                                  <a:ext cx="5890260" cy="3622040"/>
                                </a:xfrm>
                                <a:prstGeom prst="rect">
                                  <a:avLst/>
                                </a:prstGeom>
                                <a:noFill/>
                                <a:ln w="9525">
                                  <a:noFill/>
                                  <a:miter lim="800000"/>
                                  <a:headEnd/>
                                  <a:tailEnd/>
                                </a:ln>
                              </pic:spPr>
                            </pic:pic>
                          </a:graphicData>
                        </a:graphic>
                      </wp:inline>
                    </w:drawing>
                  </w:r>
                </w:p>
              </w:txbxContent>
            </v:textbox>
          </v:shape>
        </w:pict>
      </w: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r>
        <w:rPr>
          <w:sz w:val="28"/>
          <w:szCs w:val="28"/>
          <w:lang w:val="uk-UA"/>
        </w:rPr>
        <w:t xml:space="preserve">Температурний режим кінцівок визначався за допомогою безконтактної термометрії у режимах вимірювання температури поверхні ( на поверхні шкіри) </w:t>
      </w:r>
      <w:r>
        <w:rPr>
          <w:sz w:val="28"/>
          <w:szCs w:val="28"/>
          <w:lang w:val="uk-UA"/>
        </w:rPr>
        <w:lastRenderedPageBreak/>
        <w:t>та температури тіла (на глибині 1,5 см) у 14 точках передньої та задньої поверхні гомілки та стопи обох кінцівок хворого. При цьому хворому пропонували прийняти лежаче положення та залишатися у спокої впродовж 20-30 хвилин. Одяг з досліджуваних ділянок знімався на весь період спокою.</w:t>
      </w: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Для обчислення результатів було прийнято рішення підраховувати середнє значення температури гомілки та стопи для кожного режиму для обох кінцівок: кількість хворих – 30; кількість вимірювань на гомілці – 10 (загалом 300); кількість вимірювань на ступні – 5 (загалом 150</w:t>
      </w:r>
      <w:r>
        <w:rPr>
          <w:rFonts w:ascii="Times New Roman" w:hAnsi="Times New Roman"/>
          <w:color w:val="000000"/>
          <w:sz w:val="28"/>
          <w:szCs w:val="28"/>
          <w:lang w:val="uk-UA"/>
        </w:rPr>
        <w:t>). Вирішено проводити порівняння між обома нижніми кінцівками одного хворого у кожний окремий строк для об’єктивізації ефективності лікування хворих. Результати вимірювання температурного режиму кінцівок хворих</w:t>
      </w:r>
      <w:r>
        <w:rPr>
          <w:rFonts w:ascii="Times New Roman" w:hAnsi="Times New Roman"/>
          <w:sz w:val="28"/>
          <w:szCs w:val="28"/>
          <w:lang w:val="uk-UA"/>
        </w:rPr>
        <w:t xml:space="preserve"> основної групи представлені у таблиці 3.5.</w:t>
      </w:r>
    </w:p>
    <w:p w:rsidR="00A01923" w:rsidRDefault="00A01923" w:rsidP="00A01923">
      <w:pPr>
        <w:shd w:val="clear" w:color="auto" w:fill="FFFFFF"/>
        <w:spacing w:after="0" w:line="360" w:lineRule="auto"/>
        <w:ind w:firstLine="568"/>
        <w:jc w:val="right"/>
        <w:rPr>
          <w:rFonts w:ascii="Times New Roman" w:hAnsi="Times New Roman"/>
          <w:i/>
          <w:sz w:val="28"/>
          <w:szCs w:val="28"/>
          <w:lang w:val="uk-UA"/>
        </w:rPr>
      </w:pPr>
      <w:r>
        <w:rPr>
          <w:rFonts w:ascii="Times New Roman" w:hAnsi="Times New Roman"/>
          <w:i/>
          <w:sz w:val="28"/>
          <w:szCs w:val="28"/>
          <w:lang w:val="uk-UA"/>
        </w:rPr>
        <w:t>Таблиця 3.5</w:t>
      </w:r>
    </w:p>
    <w:p w:rsidR="00A01923" w:rsidRDefault="00A01923" w:rsidP="00A01923">
      <w:pPr>
        <w:shd w:val="clear" w:color="auto" w:fill="FFFFFF"/>
        <w:spacing w:after="0" w:line="360" w:lineRule="auto"/>
        <w:ind w:firstLine="568"/>
        <w:jc w:val="center"/>
        <w:rPr>
          <w:rFonts w:ascii="Times New Roman" w:hAnsi="Times New Roman"/>
          <w:b/>
          <w:sz w:val="28"/>
          <w:szCs w:val="28"/>
        </w:rPr>
      </w:pPr>
      <w:r>
        <w:rPr>
          <w:rFonts w:ascii="Times New Roman" w:hAnsi="Times New Roman"/>
          <w:b/>
          <w:sz w:val="28"/>
          <w:szCs w:val="28"/>
          <w:lang w:val="uk-UA"/>
        </w:rPr>
        <w:t xml:space="preserve">Загальні групові дані температурного режиму кінцівок хворих на ХКІНК </w:t>
      </w:r>
    </w:p>
    <w:tbl>
      <w:tblPr>
        <w:tblW w:w="0" w:type="auto"/>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3"/>
        <w:gridCol w:w="3364"/>
        <w:gridCol w:w="2147"/>
        <w:gridCol w:w="2201"/>
      </w:tblGrid>
      <w:tr w:rsidR="00A01923" w:rsidTr="00A01923">
        <w:trPr>
          <w:trHeight w:val="275"/>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Місце вимірювання</w:t>
            </w:r>
          </w:p>
        </w:tc>
        <w:tc>
          <w:tcPr>
            <w:tcW w:w="3364"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Режим вимірювання</w:t>
            </w:r>
          </w:p>
        </w:tc>
        <w:tc>
          <w:tcPr>
            <w:tcW w:w="4348" w:type="dxa"/>
            <w:gridSpan w:val="2"/>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Основна група</w:t>
            </w:r>
          </w:p>
        </w:tc>
      </w:tr>
      <w:tr w:rsidR="00A01923" w:rsidTr="00A01923">
        <w:trPr>
          <w:trHeight w:val="188"/>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364"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jc w:val="center"/>
              <w:rPr>
                <w:rFonts w:ascii="Times New Roman" w:eastAsia="Times New Roman" w:hAnsi="Times New Roman"/>
                <w:sz w:val="28"/>
                <w:szCs w:val="28"/>
                <w:lang w:val="uk-UA" w:eastAsia="uk-UA"/>
              </w:rPr>
            </w:pPr>
            <w:r>
              <w:rPr>
                <w:rFonts w:ascii="Times New Roman" w:hAnsi="Times New Roman"/>
                <w:sz w:val="28"/>
                <w:szCs w:val="28"/>
                <w:lang w:val="uk-UA"/>
              </w:rPr>
              <w:t>До лікування</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jc w:val="center"/>
              <w:rPr>
                <w:rFonts w:ascii="Times New Roman" w:eastAsia="Times New Roman" w:hAnsi="Times New Roman"/>
                <w:sz w:val="28"/>
                <w:szCs w:val="28"/>
                <w:lang w:val="uk-UA" w:eastAsia="uk-UA"/>
              </w:rPr>
            </w:pPr>
            <w:r>
              <w:rPr>
                <w:rFonts w:ascii="Times New Roman" w:hAnsi="Times New Roman"/>
                <w:sz w:val="28"/>
                <w:szCs w:val="28"/>
                <w:lang w:val="uk-UA"/>
              </w:rPr>
              <w:t>Після лікування</w:t>
            </w:r>
          </w:p>
        </w:tc>
      </w:tr>
      <w:tr w:rsidR="00A01923" w:rsidTr="00A01923">
        <w:trPr>
          <w:trHeight w:val="144"/>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Гомілка контрольна</w:t>
            </w: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поверхні</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31,5 </w:t>
            </w:r>
            <w:r>
              <w:rPr>
                <w:rFonts w:ascii="Times New Roman" w:hAnsi="Times New Roman"/>
                <w:sz w:val="28"/>
                <w:szCs w:val="28"/>
                <w:u w:val="single"/>
                <w:lang w:val="uk-UA"/>
              </w:rPr>
              <w:t>+</w:t>
            </w:r>
            <w:r>
              <w:rPr>
                <w:rFonts w:ascii="Times New Roman" w:hAnsi="Times New Roman"/>
                <w:sz w:val="28"/>
                <w:szCs w:val="28"/>
                <w:lang w:val="uk-UA"/>
              </w:rPr>
              <w:t>1,3</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32,79 </w:t>
            </w:r>
            <w:r>
              <w:rPr>
                <w:rFonts w:ascii="Times New Roman" w:hAnsi="Times New Roman"/>
                <w:sz w:val="28"/>
                <w:szCs w:val="28"/>
                <w:u w:val="single"/>
                <w:lang w:val="uk-UA"/>
              </w:rPr>
              <w:t>+</w:t>
            </w:r>
            <w:r>
              <w:rPr>
                <w:rFonts w:ascii="Times New Roman" w:hAnsi="Times New Roman"/>
                <w:sz w:val="28"/>
                <w:szCs w:val="28"/>
                <w:lang w:val="uk-UA"/>
              </w:rPr>
              <w:t>1,2</w:t>
            </w:r>
          </w:p>
        </w:tc>
      </w:tr>
      <w:tr w:rsidR="00A01923" w:rsidTr="00A01923">
        <w:trPr>
          <w:trHeight w:val="144"/>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тіла</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34,2 </w:t>
            </w:r>
            <w:r>
              <w:rPr>
                <w:rFonts w:ascii="Times New Roman" w:hAnsi="Times New Roman"/>
                <w:sz w:val="28"/>
                <w:szCs w:val="28"/>
                <w:u w:val="single"/>
                <w:lang w:val="uk-UA"/>
              </w:rPr>
              <w:t>+</w:t>
            </w:r>
            <w:r>
              <w:rPr>
                <w:rFonts w:ascii="Times New Roman" w:hAnsi="Times New Roman"/>
                <w:sz w:val="28"/>
                <w:szCs w:val="28"/>
                <w:lang w:val="uk-UA"/>
              </w:rPr>
              <w:t>0,9</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35,79 </w:t>
            </w:r>
            <w:r>
              <w:rPr>
                <w:rFonts w:ascii="Times New Roman" w:hAnsi="Times New Roman"/>
                <w:sz w:val="28"/>
                <w:szCs w:val="28"/>
                <w:u w:val="single"/>
                <w:lang w:val="uk-UA"/>
              </w:rPr>
              <w:t>+</w:t>
            </w:r>
            <w:r>
              <w:rPr>
                <w:rFonts w:ascii="Times New Roman" w:hAnsi="Times New Roman"/>
                <w:sz w:val="28"/>
                <w:szCs w:val="28"/>
                <w:lang w:val="uk-UA"/>
              </w:rPr>
              <w:t>0,8</w:t>
            </w:r>
          </w:p>
        </w:tc>
      </w:tr>
      <w:tr w:rsidR="00A01923" w:rsidTr="00A01923">
        <w:trPr>
          <w:trHeight w:val="144"/>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Гомілка хвора</w:t>
            </w: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поверхні</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32,5 </w:t>
            </w:r>
            <w:r>
              <w:rPr>
                <w:rFonts w:ascii="Times New Roman" w:hAnsi="Times New Roman"/>
                <w:sz w:val="28"/>
                <w:szCs w:val="28"/>
                <w:u w:val="single"/>
                <w:lang w:val="uk-UA"/>
              </w:rPr>
              <w:t>+</w:t>
            </w:r>
            <w:r>
              <w:rPr>
                <w:rFonts w:ascii="Times New Roman" w:hAnsi="Times New Roman"/>
                <w:sz w:val="28"/>
                <w:szCs w:val="28"/>
                <w:lang w:val="uk-UA"/>
              </w:rPr>
              <w:t>1,7</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32,88 </w:t>
            </w:r>
            <w:r>
              <w:rPr>
                <w:rFonts w:ascii="Times New Roman" w:hAnsi="Times New Roman"/>
                <w:sz w:val="28"/>
                <w:szCs w:val="28"/>
                <w:u w:val="single"/>
                <w:lang w:val="uk-UA"/>
              </w:rPr>
              <w:t>+</w:t>
            </w:r>
            <w:r>
              <w:rPr>
                <w:rFonts w:ascii="Times New Roman" w:hAnsi="Times New Roman"/>
                <w:sz w:val="28"/>
                <w:szCs w:val="28"/>
                <w:lang w:val="uk-UA"/>
              </w:rPr>
              <w:t>1,9</w:t>
            </w:r>
          </w:p>
        </w:tc>
      </w:tr>
      <w:tr w:rsidR="00A01923" w:rsidTr="00A01923">
        <w:trPr>
          <w:trHeight w:val="144"/>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тіла</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35,3 </w:t>
            </w:r>
            <w:r>
              <w:rPr>
                <w:rFonts w:ascii="Times New Roman" w:hAnsi="Times New Roman"/>
                <w:sz w:val="28"/>
                <w:szCs w:val="28"/>
                <w:u w:val="single"/>
                <w:lang w:val="uk-UA"/>
              </w:rPr>
              <w:t>+</w:t>
            </w:r>
            <w:r>
              <w:rPr>
                <w:rFonts w:ascii="Times New Roman" w:hAnsi="Times New Roman"/>
                <w:sz w:val="28"/>
                <w:szCs w:val="28"/>
                <w:lang w:val="uk-UA"/>
              </w:rPr>
              <w:t>1,2</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35,6 </w:t>
            </w:r>
            <w:r>
              <w:rPr>
                <w:rFonts w:ascii="Times New Roman" w:hAnsi="Times New Roman"/>
                <w:sz w:val="28"/>
                <w:szCs w:val="28"/>
                <w:u w:val="single"/>
                <w:lang w:val="uk-UA"/>
              </w:rPr>
              <w:t>+</w:t>
            </w:r>
            <w:r>
              <w:rPr>
                <w:rFonts w:ascii="Times New Roman" w:hAnsi="Times New Roman"/>
                <w:sz w:val="28"/>
                <w:szCs w:val="28"/>
                <w:lang w:val="uk-UA"/>
              </w:rPr>
              <w:t>1,4</w:t>
            </w:r>
          </w:p>
        </w:tc>
      </w:tr>
      <w:tr w:rsidR="00A01923" w:rsidTr="00A01923">
        <w:trPr>
          <w:trHeight w:val="144"/>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Ступня контрольна</w:t>
            </w: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поверхні</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29,4</w:t>
            </w:r>
            <w:r>
              <w:rPr>
                <w:rFonts w:ascii="Times New Roman" w:hAnsi="Times New Roman"/>
                <w:sz w:val="28"/>
                <w:szCs w:val="28"/>
                <w:u w:val="single"/>
                <w:lang w:val="uk-UA"/>
              </w:rPr>
              <w:t>+</w:t>
            </w:r>
            <w:r>
              <w:rPr>
                <w:rFonts w:ascii="Times New Roman" w:hAnsi="Times New Roman"/>
                <w:sz w:val="28"/>
                <w:szCs w:val="28"/>
                <w:lang w:val="uk-UA"/>
              </w:rPr>
              <w:t>1,2</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30,8 </w:t>
            </w:r>
            <w:r>
              <w:rPr>
                <w:rFonts w:ascii="Times New Roman" w:hAnsi="Times New Roman"/>
                <w:sz w:val="28"/>
                <w:szCs w:val="28"/>
                <w:u w:val="single"/>
                <w:lang w:val="uk-UA"/>
              </w:rPr>
              <w:t>+</w:t>
            </w:r>
            <w:r>
              <w:rPr>
                <w:rFonts w:ascii="Times New Roman" w:hAnsi="Times New Roman"/>
                <w:sz w:val="28"/>
                <w:szCs w:val="28"/>
                <w:lang w:val="uk-UA"/>
              </w:rPr>
              <w:t>1,5</w:t>
            </w:r>
          </w:p>
        </w:tc>
      </w:tr>
      <w:tr w:rsidR="00A01923" w:rsidTr="00A01923">
        <w:trPr>
          <w:trHeight w:val="144"/>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тіла</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33,7 </w:t>
            </w:r>
            <w:r>
              <w:rPr>
                <w:rFonts w:ascii="Times New Roman" w:hAnsi="Times New Roman"/>
                <w:sz w:val="28"/>
                <w:szCs w:val="28"/>
                <w:u w:val="single"/>
                <w:lang w:val="uk-UA"/>
              </w:rPr>
              <w:t>+</w:t>
            </w:r>
            <w:r>
              <w:rPr>
                <w:rFonts w:ascii="Times New Roman" w:hAnsi="Times New Roman"/>
                <w:sz w:val="28"/>
                <w:szCs w:val="28"/>
                <w:lang w:val="uk-UA"/>
              </w:rPr>
              <w:t>1,6</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34,7 </w:t>
            </w:r>
            <w:r>
              <w:rPr>
                <w:rFonts w:ascii="Times New Roman" w:hAnsi="Times New Roman"/>
                <w:sz w:val="28"/>
                <w:szCs w:val="28"/>
                <w:u w:val="single"/>
                <w:lang w:val="uk-UA"/>
              </w:rPr>
              <w:t>+</w:t>
            </w:r>
            <w:r>
              <w:rPr>
                <w:rFonts w:ascii="Times New Roman" w:hAnsi="Times New Roman"/>
                <w:sz w:val="28"/>
                <w:szCs w:val="28"/>
                <w:lang w:val="uk-UA"/>
              </w:rPr>
              <w:t>1,9</w:t>
            </w:r>
          </w:p>
        </w:tc>
      </w:tr>
      <w:tr w:rsidR="00A01923" w:rsidTr="00A01923">
        <w:trPr>
          <w:trHeight w:val="428"/>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Ступня хвора</w:t>
            </w: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поверхні</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30,2 </w:t>
            </w:r>
            <w:r>
              <w:rPr>
                <w:rFonts w:ascii="Times New Roman" w:hAnsi="Times New Roman"/>
                <w:sz w:val="28"/>
                <w:szCs w:val="28"/>
                <w:u w:val="single"/>
                <w:lang w:val="uk-UA"/>
              </w:rPr>
              <w:t>+</w:t>
            </w:r>
            <w:r>
              <w:rPr>
                <w:rFonts w:ascii="Times New Roman" w:hAnsi="Times New Roman"/>
                <w:sz w:val="28"/>
                <w:szCs w:val="28"/>
                <w:lang w:val="uk-UA"/>
              </w:rPr>
              <w:t>1,6</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30,9 </w:t>
            </w:r>
            <w:r>
              <w:rPr>
                <w:rFonts w:ascii="Times New Roman" w:hAnsi="Times New Roman"/>
                <w:sz w:val="28"/>
                <w:szCs w:val="28"/>
                <w:u w:val="single"/>
                <w:lang w:val="uk-UA"/>
              </w:rPr>
              <w:t>+</w:t>
            </w:r>
            <w:r>
              <w:rPr>
                <w:rFonts w:ascii="Times New Roman" w:hAnsi="Times New Roman"/>
                <w:sz w:val="28"/>
                <w:szCs w:val="28"/>
                <w:lang w:val="uk-UA"/>
              </w:rPr>
              <w:t>1,9</w:t>
            </w:r>
          </w:p>
        </w:tc>
      </w:tr>
      <w:tr w:rsidR="00A01923" w:rsidTr="00A01923">
        <w:trPr>
          <w:trHeight w:val="144"/>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364"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Температура тіла</w:t>
            </w:r>
          </w:p>
        </w:tc>
        <w:tc>
          <w:tcPr>
            <w:tcW w:w="2147"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34,4 </w:t>
            </w:r>
            <w:r>
              <w:rPr>
                <w:rFonts w:ascii="Times New Roman" w:hAnsi="Times New Roman"/>
                <w:sz w:val="28"/>
                <w:szCs w:val="28"/>
                <w:u w:val="single"/>
                <w:lang w:val="uk-UA"/>
              </w:rPr>
              <w:t>+</w:t>
            </w:r>
            <w:r>
              <w:rPr>
                <w:rFonts w:ascii="Times New Roman" w:hAnsi="Times New Roman"/>
                <w:sz w:val="28"/>
                <w:szCs w:val="28"/>
                <w:lang w:val="uk-UA"/>
              </w:rPr>
              <w:t>1,8</w:t>
            </w:r>
          </w:p>
        </w:tc>
        <w:tc>
          <w:tcPr>
            <w:tcW w:w="2201" w:type="dxa"/>
            <w:tcBorders>
              <w:top w:val="single" w:sz="4" w:space="0" w:color="auto"/>
              <w:left w:val="single" w:sz="4" w:space="0" w:color="auto"/>
              <w:bottom w:val="single" w:sz="4" w:space="0" w:color="auto"/>
              <w:right w:val="single" w:sz="4" w:space="0" w:color="auto"/>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34,82</w:t>
            </w:r>
            <w:r>
              <w:rPr>
                <w:rFonts w:ascii="Times New Roman" w:hAnsi="Times New Roman"/>
                <w:sz w:val="28"/>
                <w:szCs w:val="28"/>
                <w:u w:val="single"/>
                <w:lang w:val="uk-UA"/>
              </w:rPr>
              <w:t>+</w:t>
            </w:r>
            <w:r>
              <w:rPr>
                <w:rFonts w:ascii="Times New Roman" w:hAnsi="Times New Roman"/>
                <w:sz w:val="28"/>
                <w:szCs w:val="28"/>
                <w:lang w:val="uk-UA"/>
              </w:rPr>
              <w:t>2,9</w:t>
            </w:r>
          </w:p>
        </w:tc>
      </w:tr>
    </w:tbl>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r>
        <w:rPr>
          <w:sz w:val="28"/>
          <w:szCs w:val="28"/>
          <w:lang w:val="uk-UA"/>
        </w:rPr>
        <w:t xml:space="preserve">При порівнянні показників температури між обома кінцівками до та після лікування виявилено, що у режимі вимірювання температури поверхні – до лікування хвора гомілка була на 0,4 </w:t>
      </w:r>
      <w:r>
        <w:rPr>
          <w:sz w:val="28"/>
          <w:szCs w:val="28"/>
          <w:vertAlign w:val="superscript"/>
          <w:lang w:val="uk-UA"/>
        </w:rPr>
        <w:t>о</w:t>
      </w:r>
      <w:r>
        <w:rPr>
          <w:sz w:val="28"/>
          <w:szCs w:val="28"/>
          <w:lang w:val="uk-UA"/>
        </w:rPr>
        <w:t xml:space="preserve">С, а після лікування в середньому на 1,09 </w:t>
      </w:r>
      <w:r>
        <w:rPr>
          <w:sz w:val="28"/>
          <w:szCs w:val="28"/>
          <w:vertAlign w:val="superscript"/>
          <w:lang w:val="uk-UA"/>
        </w:rPr>
        <w:t>о</w:t>
      </w:r>
      <w:r>
        <w:rPr>
          <w:sz w:val="28"/>
          <w:szCs w:val="28"/>
          <w:lang w:val="uk-UA"/>
        </w:rPr>
        <w:t xml:space="preserve">С тепліша контрольної (р=0,012), а в режимі вимірювання температури тіла – на </w:t>
      </w:r>
      <w:r>
        <w:rPr>
          <w:sz w:val="28"/>
          <w:szCs w:val="28"/>
          <w:lang w:val="uk-UA"/>
        </w:rPr>
        <w:lastRenderedPageBreak/>
        <w:t xml:space="preserve">початку лікування (вихідний рівень) хвора гомілка була в середньому на 1,1 </w:t>
      </w:r>
      <w:r>
        <w:rPr>
          <w:sz w:val="28"/>
          <w:szCs w:val="28"/>
          <w:vertAlign w:val="superscript"/>
          <w:lang w:val="uk-UA"/>
        </w:rPr>
        <w:t>о</w:t>
      </w:r>
      <w:r>
        <w:rPr>
          <w:sz w:val="28"/>
          <w:szCs w:val="28"/>
          <w:lang w:val="uk-UA"/>
        </w:rPr>
        <w:t>С холоднішою контрольної (р=0,001), а після лікування – на 0,1</w:t>
      </w:r>
      <w:r>
        <w:rPr>
          <w:sz w:val="28"/>
          <w:szCs w:val="28"/>
          <w:vertAlign w:val="superscript"/>
          <w:lang w:val="uk-UA"/>
        </w:rPr>
        <w:t xml:space="preserve"> о</w:t>
      </w:r>
      <w:r>
        <w:rPr>
          <w:sz w:val="28"/>
          <w:szCs w:val="28"/>
          <w:lang w:val="uk-UA"/>
        </w:rPr>
        <w:t xml:space="preserve">С холоднішою контрольної (р=0,528), що вказує на зрівняння температури кінцівок. Температура хворої ступні у режимі температури поверхні на вихідному рівні була в середньому на 1,2 </w:t>
      </w:r>
      <w:r>
        <w:rPr>
          <w:sz w:val="28"/>
          <w:szCs w:val="28"/>
          <w:vertAlign w:val="superscript"/>
          <w:lang w:val="uk-UA"/>
        </w:rPr>
        <w:t>о</w:t>
      </w:r>
      <w:r>
        <w:rPr>
          <w:sz w:val="28"/>
          <w:szCs w:val="28"/>
          <w:lang w:val="uk-UA"/>
        </w:rPr>
        <w:t xml:space="preserve">С холоднішою контрольної (р=0,002), а після лікування – на 0,6% </w:t>
      </w:r>
      <w:r>
        <w:rPr>
          <w:sz w:val="28"/>
          <w:szCs w:val="28"/>
          <w:vertAlign w:val="superscript"/>
          <w:lang w:val="uk-UA"/>
        </w:rPr>
        <w:t>о</w:t>
      </w:r>
      <w:r>
        <w:rPr>
          <w:sz w:val="28"/>
          <w:szCs w:val="28"/>
          <w:lang w:val="uk-UA"/>
        </w:rPr>
        <w:t xml:space="preserve">С теплішою (р=0,183) контрольної. У режимі вимірювання температури тіла на вихідному рівні хвора ступня була на 1,3 </w:t>
      </w:r>
      <w:r>
        <w:rPr>
          <w:sz w:val="28"/>
          <w:szCs w:val="28"/>
          <w:vertAlign w:val="superscript"/>
          <w:lang w:val="uk-UA"/>
        </w:rPr>
        <w:t>о</w:t>
      </w:r>
      <w:r>
        <w:rPr>
          <w:sz w:val="28"/>
          <w:szCs w:val="28"/>
          <w:lang w:val="uk-UA"/>
        </w:rPr>
        <w:t xml:space="preserve">С холоднішою контрольної (р=0,005), а після лікування – на 0,12 </w:t>
      </w:r>
      <w:r>
        <w:rPr>
          <w:sz w:val="28"/>
          <w:szCs w:val="28"/>
          <w:vertAlign w:val="superscript"/>
          <w:lang w:val="uk-UA"/>
        </w:rPr>
        <w:t>о</w:t>
      </w:r>
      <w:r>
        <w:rPr>
          <w:sz w:val="28"/>
          <w:szCs w:val="28"/>
          <w:lang w:val="uk-UA"/>
        </w:rPr>
        <w:t>С теплішою (р=0,853), що також вказує на зрівняння температур після лікування, а отже й на добрий ефект від лікування на час виписки.</w:t>
      </w:r>
    </w:p>
    <w:p w:rsidR="00A01923" w:rsidRDefault="00A01923" w:rsidP="00A01923">
      <w:pPr>
        <w:pStyle w:val="a8"/>
        <w:spacing w:after="0" w:line="360" w:lineRule="auto"/>
        <w:ind w:left="-567" w:firstLine="567"/>
        <w:jc w:val="both"/>
        <w:rPr>
          <w:sz w:val="28"/>
          <w:szCs w:val="28"/>
        </w:rPr>
      </w:pPr>
      <w:r>
        <w:rPr>
          <w:color w:val="000000"/>
          <w:sz w:val="28"/>
          <w:szCs w:val="28"/>
        </w:rPr>
        <w:t>Хворим основної групи проведене визначення транскутанного напруження кисню (TcPO</w:t>
      </w:r>
      <w:r>
        <w:rPr>
          <w:color w:val="000000"/>
          <w:sz w:val="28"/>
          <w:szCs w:val="28"/>
          <w:vertAlign w:val="subscript"/>
        </w:rPr>
        <w:t>2</w:t>
      </w:r>
      <w:r>
        <w:rPr>
          <w:color w:val="000000"/>
          <w:sz w:val="28"/>
          <w:szCs w:val="28"/>
        </w:rPr>
        <w:t>) на тильній поверхні ступні хворої кінцівки у строки до лікування, після лікування, та через 6 та 12 місяців за</w:t>
      </w:r>
      <w:r>
        <w:rPr>
          <w:sz w:val="28"/>
          <w:szCs w:val="28"/>
        </w:rPr>
        <w:t xml:space="preserve"> допомогою одноканального порціометру TCM 4 «RADIOMETER» (Данія) (рис. 3.11). </w:t>
      </w:r>
    </w:p>
    <w:p w:rsidR="00A01923" w:rsidRDefault="00803E73" w:rsidP="00A01923">
      <w:pPr>
        <w:pStyle w:val="a8"/>
        <w:spacing w:after="0" w:line="360" w:lineRule="auto"/>
        <w:ind w:left="-567"/>
        <w:jc w:val="both"/>
        <w:rPr>
          <w:b/>
          <w:sz w:val="28"/>
          <w:szCs w:val="28"/>
        </w:rPr>
      </w:pPr>
      <w:r>
        <w:rPr>
          <w:noProof/>
          <w:sz w:val="28"/>
          <w:szCs w:val="28"/>
          <w:lang w:val="ru-RU"/>
        </w:rPr>
        <w:drawing>
          <wp:inline distT="0" distB="0" distL="0" distR="0">
            <wp:extent cx="5925556" cy="3377682"/>
            <wp:effectExtent l="19050" t="0" r="0" b="0"/>
            <wp:docPr id="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cstate="print"/>
                    <a:srcRect/>
                    <a:stretch>
                      <a:fillRect/>
                    </a:stretch>
                  </pic:blipFill>
                  <pic:spPr bwMode="auto">
                    <a:xfrm>
                      <a:off x="0" y="0"/>
                      <a:ext cx="5937885" cy="3384710"/>
                    </a:xfrm>
                    <a:prstGeom prst="rect">
                      <a:avLst/>
                    </a:prstGeom>
                    <a:noFill/>
                    <a:ln w="9525">
                      <a:noFill/>
                      <a:miter lim="800000"/>
                      <a:headEnd/>
                      <a:tailEnd/>
                    </a:ln>
                  </pic:spPr>
                </pic:pic>
              </a:graphicData>
            </a:graphic>
          </wp:inline>
        </w:drawing>
      </w:r>
    </w:p>
    <w:p w:rsidR="00803E73" w:rsidRDefault="00487043" w:rsidP="00A01923">
      <w:pPr>
        <w:pStyle w:val="a8"/>
        <w:spacing w:after="0" w:line="360" w:lineRule="auto"/>
        <w:ind w:left="-567" w:firstLine="567"/>
        <w:jc w:val="both"/>
        <w:rPr>
          <w:sz w:val="28"/>
          <w:szCs w:val="28"/>
        </w:rPr>
      </w:pPr>
      <w:r w:rsidRPr="00487043">
        <w:pict>
          <v:shape id="_x0000_s2120" type="#_x0000_t202" style="position:absolute;left:0;text-align:left;margin-left:-29pt;margin-top:.65pt;width:494.1pt;height:52.8pt;z-index:251634176" stroked="f">
            <v:textbox style="mso-next-textbox:#_x0000_s2120">
              <w:txbxContent>
                <w:p w:rsidR="00DA0A21" w:rsidRDefault="00DA0A21" w:rsidP="00A01923">
                  <w:pPr>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Рис. 3.6. Визначення напруження кисню у тканинах правої ступні. </w:t>
                  </w:r>
                </w:p>
                <w:p w:rsidR="00DA0A21" w:rsidRDefault="00DA0A21" w:rsidP="00A01923">
                  <w:pPr>
                    <w:jc w:val="center"/>
                    <w:rPr>
                      <w:rFonts w:ascii="Times New Roman" w:hAnsi="Times New Roman"/>
                      <w:color w:val="000000"/>
                      <w:sz w:val="28"/>
                      <w:szCs w:val="28"/>
                      <w:lang w:val="uk-UA"/>
                    </w:rPr>
                  </w:pPr>
                  <w:r>
                    <w:rPr>
                      <w:rFonts w:ascii="Times New Roman" w:hAnsi="Times New Roman"/>
                      <w:color w:val="000000"/>
                      <w:sz w:val="28"/>
                      <w:szCs w:val="28"/>
                      <w:lang w:val="uk-UA"/>
                    </w:rPr>
                    <w:t>Хворий В., 68 років, основна група</w:t>
                  </w:r>
                </w:p>
              </w:txbxContent>
            </v:textbox>
          </v:shape>
        </w:pict>
      </w:r>
    </w:p>
    <w:p w:rsidR="00431481" w:rsidRDefault="00431481"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Перед початком дослідження проводиться калібрування електрода. Електрод встановлюється в </w:t>
      </w:r>
      <w:r>
        <w:rPr>
          <w:color w:val="000000"/>
          <w:sz w:val="28"/>
          <w:szCs w:val="28"/>
        </w:rPr>
        <w:t xml:space="preserve">фіксуюче кільце на шкірі, порожнина якого попередньо </w:t>
      </w:r>
      <w:r>
        <w:rPr>
          <w:color w:val="000000"/>
          <w:sz w:val="28"/>
          <w:szCs w:val="28"/>
        </w:rPr>
        <w:lastRenderedPageBreak/>
        <w:t>заповнюється розчином електроліту (2-3</w:t>
      </w:r>
      <w:r>
        <w:rPr>
          <w:sz w:val="28"/>
          <w:szCs w:val="28"/>
        </w:rPr>
        <w:t xml:space="preserve"> краплі). Між шкірою і електродом не повинно бути бульбашок повітря, інакше значення TcPO</w:t>
      </w:r>
      <w:r>
        <w:rPr>
          <w:sz w:val="28"/>
          <w:szCs w:val="28"/>
          <w:vertAlign w:val="subscript"/>
        </w:rPr>
        <w:t>2</w:t>
      </w:r>
      <w:r>
        <w:rPr>
          <w:sz w:val="28"/>
          <w:szCs w:val="28"/>
        </w:rPr>
        <w:t xml:space="preserve"> будуть сумнівними. Після підготовки шкіри і кільця датчик може бути встановлений в фіксує кільце на шкіру. Для стабілізації показників TcPO</w:t>
      </w:r>
      <w:r>
        <w:rPr>
          <w:sz w:val="28"/>
          <w:szCs w:val="28"/>
          <w:vertAlign w:val="subscript"/>
        </w:rPr>
        <w:t>2</w:t>
      </w:r>
      <w:r>
        <w:rPr>
          <w:sz w:val="28"/>
          <w:szCs w:val="28"/>
        </w:rPr>
        <w:t xml:space="preserve"> після установки датчика на шкіру потрібно близько 15 хв</w:t>
      </w:r>
      <w:r>
        <w:rPr>
          <w:b/>
          <w:sz w:val="28"/>
          <w:szCs w:val="28"/>
        </w:rPr>
        <w:t xml:space="preserve">. </w:t>
      </w:r>
      <w:r>
        <w:rPr>
          <w:sz w:val="28"/>
          <w:szCs w:val="28"/>
        </w:rPr>
        <w:t>Контрольну групу склали умовно здорові пацієнти, в середньому, одного віку з досліджуваними хворими.</w:t>
      </w:r>
      <w:r>
        <w:rPr>
          <w:b/>
          <w:sz w:val="28"/>
          <w:szCs w:val="28"/>
        </w:rPr>
        <w:t xml:space="preserve"> </w:t>
      </w:r>
      <w:r>
        <w:rPr>
          <w:sz w:val="28"/>
          <w:szCs w:val="28"/>
        </w:rPr>
        <w:t>Дана методика дає можливість також прогнозувати ефективність проведеної судинної терапії; визначати рівень безпечної ампутації кінцівки, оцінити ефективність реваскуляризуючих втручань (табл. 3.6.).</w:t>
      </w:r>
    </w:p>
    <w:p w:rsidR="00A01923" w:rsidRDefault="00A01923" w:rsidP="00A01923">
      <w:pPr>
        <w:pStyle w:val="a8"/>
        <w:spacing w:after="0" w:line="360" w:lineRule="auto"/>
        <w:ind w:left="-567" w:firstLine="567"/>
        <w:jc w:val="right"/>
        <w:rPr>
          <w:i/>
          <w:sz w:val="28"/>
          <w:szCs w:val="28"/>
        </w:rPr>
      </w:pPr>
      <w:r>
        <w:rPr>
          <w:i/>
          <w:sz w:val="28"/>
          <w:szCs w:val="28"/>
        </w:rPr>
        <w:t>Таблиця 3.6</w:t>
      </w:r>
    </w:p>
    <w:p w:rsidR="00A01923" w:rsidRDefault="00A01923" w:rsidP="00A01923">
      <w:pPr>
        <w:pStyle w:val="a8"/>
        <w:spacing w:after="0" w:line="360" w:lineRule="auto"/>
        <w:ind w:left="-567" w:firstLine="567"/>
        <w:jc w:val="center"/>
        <w:rPr>
          <w:b/>
          <w:sz w:val="28"/>
          <w:szCs w:val="28"/>
        </w:rPr>
      </w:pPr>
      <w:r>
        <w:rPr>
          <w:b/>
          <w:sz w:val="28"/>
          <w:szCs w:val="28"/>
        </w:rPr>
        <w:t xml:space="preserve">Результати визначення напруження кисню до початку лікування у тканинах хворої кінцівки у пацієнтів основної групи </w:t>
      </w:r>
    </w:p>
    <w:tbl>
      <w:tblPr>
        <w:tblW w:w="960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359"/>
        <w:gridCol w:w="2550"/>
        <w:gridCol w:w="2691"/>
      </w:tblGrid>
      <w:tr w:rsidR="00A01923" w:rsidTr="00A01923">
        <w:trPr>
          <w:trHeight w:val="557"/>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Підгрупа хворих</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Кількість хворих</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До лікування</w:t>
            </w:r>
          </w:p>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(мм.рт.ст.)</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Хворі з ЧБА</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14</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24,75±3,5</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Хворі з СГШ</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4</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24±2,8</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Хворі з симпатектомією</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5</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26±2,8</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Хворі з консервативною терапією</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13</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27±4,3</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both"/>
              <w:rPr>
                <w:rFonts w:ascii="Times New Roman" w:eastAsia="Times New Roman" w:hAnsi="Times New Roman"/>
                <w:sz w:val="28"/>
                <w:szCs w:val="28"/>
                <w:lang w:val="uk-UA"/>
              </w:rPr>
            </w:pPr>
            <w:r>
              <w:rPr>
                <w:rFonts w:ascii="Times New Roman" w:hAnsi="Times New Roman"/>
                <w:sz w:val="28"/>
                <w:szCs w:val="28"/>
                <w:lang w:val="uk-UA"/>
              </w:rPr>
              <w:t>Загальногруповий показник</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36</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25,45±3,2</w:t>
            </w:r>
          </w:p>
        </w:tc>
      </w:tr>
      <w:tr w:rsidR="00A01923" w:rsidTr="00A01923">
        <w:trPr>
          <w:trHeight w:val="13"/>
        </w:trPr>
        <w:tc>
          <w:tcPr>
            <w:tcW w:w="4361"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sz w:val="28"/>
                <w:szCs w:val="28"/>
                <w:lang w:val="uk-UA"/>
              </w:rPr>
            </w:pPr>
            <w:r>
              <w:rPr>
                <w:rFonts w:ascii="Times New Roman" w:hAnsi="Times New Roman"/>
                <w:sz w:val="28"/>
                <w:szCs w:val="28"/>
                <w:lang w:val="uk-UA"/>
              </w:rPr>
              <w:t>Контрольна група (умовно здорові)</w:t>
            </w:r>
          </w:p>
        </w:tc>
        <w:tc>
          <w:tcPr>
            <w:tcW w:w="2552"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15</w:t>
            </w:r>
          </w:p>
        </w:tc>
        <w:tc>
          <w:tcPr>
            <w:tcW w:w="2693"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74,55±5,1</w:t>
            </w:r>
          </w:p>
        </w:tc>
      </w:tr>
    </w:tbl>
    <w:p w:rsidR="00A01923" w:rsidRDefault="00A01923" w:rsidP="00A01923">
      <w:pPr>
        <w:pStyle w:val="a8"/>
        <w:spacing w:after="0" w:line="360" w:lineRule="auto"/>
        <w:ind w:left="-567" w:firstLine="567"/>
        <w:jc w:val="both"/>
        <w:rPr>
          <w:color w:val="FF0000"/>
          <w:sz w:val="28"/>
          <w:szCs w:val="28"/>
        </w:rPr>
      </w:pPr>
    </w:p>
    <w:p w:rsidR="00A01923" w:rsidRDefault="00A01923" w:rsidP="00A01923">
      <w:pPr>
        <w:pStyle w:val="a8"/>
        <w:spacing w:after="0" w:line="360" w:lineRule="auto"/>
        <w:ind w:left="-567" w:firstLine="567"/>
        <w:jc w:val="both"/>
        <w:rPr>
          <w:sz w:val="28"/>
          <w:szCs w:val="28"/>
        </w:rPr>
      </w:pPr>
      <w:r>
        <w:rPr>
          <w:sz w:val="28"/>
          <w:szCs w:val="28"/>
        </w:rPr>
        <w:t>Як видно з таблиці 3.6, у всіх хворих показник напруження кисню у тканинах був у середньому вірогідно на 65,8% нижчим за контроль (</w:t>
      </w:r>
      <w:r>
        <w:rPr>
          <w:sz w:val="28"/>
          <w:szCs w:val="28"/>
          <w:lang w:val="ru-RU"/>
        </w:rPr>
        <w:t>р</w:t>
      </w:r>
      <w:r>
        <w:rPr>
          <w:sz w:val="28"/>
          <w:szCs w:val="28"/>
        </w:rPr>
        <w:t>=0,00), та невірогідно відрізнявся у хворих, розподілених за методом лікування, між собою на вихідному рівні.</w:t>
      </w:r>
    </w:p>
    <w:p w:rsidR="00A01923" w:rsidRDefault="00A01923" w:rsidP="00A01923">
      <w:pPr>
        <w:pStyle w:val="a8"/>
        <w:spacing w:after="0" w:line="360" w:lineRule="auto"/>
        <w:ind w:left="-567" w:firstLine="567"/>
        <w:jc w:val="both"/>
        <w:rPr>
          <w:color w:val="000000"/>
          <w:sz w:val="28"/>
          <w:szCs w:val="28"/>
        </w:rPr>
      </w:pPr>
      <w:r>
        <w:rPr>
          <w:sz w:val="28"/>
          <w:szCs w:val="28"/>
        </w:rPr>
        <w:t xml:space="preserve">Рентгенконтрастна ангіографія </w:t>
      </w:r>
      <w:r>
        <w:rPr>
          <w:color w:val="000000"/>
          <w:sz w:val="28"/>
          <w:szCs w:val="28"/>
        </w:rPr>
        <w:t>є надзвичайно чутливим та точним методом візуалізації судинного русла, дозволяє визначити ступінь та протяжність стенозу або оклюзії, наявність та кількість колатералей та спроможність кровообігу. Технічний прогрес рентгенівського обладнання</w:t>
      </w:r>
      <w:r>
        <w:rPr>
          <w:sz w:val="28"/>
          <w:szCs w:val="28"/>
        </w:rPr>
        <w:t xml:space="preserve">, зменшення діаметра </w:t>
      </w:r>
      <w:r>
        <w:rPr>
          <w:color w:val="000000"/>
          <w:sz w:val="28"/>
          <w:szCs w:val="28"/>
        </w:rPr>
        <w:lastRenderedPageBreak/>
        <w:t xml:space="preserve">ангіографічних катетерів і селективна катетеризація привели до більш якісної оцінки судинного русла і зробили процедуру безпечнішою. </w:t>
      </w: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r>
        <w:rPr>
          <w:color w:val="000000"/>
          <w:sz w:val="28"/>
          <w:szCs w:val="28"/>
          <w:lang w:val="uk-UA"/>
        </w:rPr>
        <w:t>На агіографічних зображеннях видно кальцифіковані, уражені атеросклерозом артерії, часом, і без контрастування (рис 3.7, вказані</w:t>
      </w:r>
      <w:r>
        <w:rPr>
          <w:sz w:val="28"/>
          <w:szCs w:val="28"/>
          <w:lang w:val="uk-UA"/>
        </w:rPr>
        <w:t xml:space="preserve"> стрілками).</w:t>
      </w:r>
    </w:p>
    <w:p w:rsidR="00A01923" w:rsidRDefault="00487043" w:rsidP="00A01923">
      <w:pPr>
        <w:pStyle w:val="a5"/>
        <w:tabs>
          <w:tab w:val="left" w:pos="9360"/>
        </w:tabs>
        <w:spacing w:before="0" w:beforeAutospacing="0" w:after="0" w:afterAutospacing="0" w:line="360" w:lineRule="auto"/>
        <w:ind w:left="-567" w:firstLine="567"/>
        <w:jc w:val="both"/>
        <w:rPr>
          <w:sz w:val="28"/>
          <w:szCs w:val="28"/>
          <w:lang w:val="uk-UA"/>
        </w:rPr>
      </w:pPr>
      <w:r w:rsidRPr="00487043">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899" type="#_x0000_t13" style="position:absolute;left:0;text-align:left;margin-left:242.15pt;margin-top:134.95pt;width:29.2pt;height:9.2pt;z-index:251635200"/>
        </w:pict>
      </w:r>
      <w:r w:rsidRPr="00487043">
        <w:pict>
          <v:shape id="_x0000_s1901" type="#_x0000_t13" style="position:absolute;left:0;text-align:left;margin-left:207.65pt;margin-top:316.65pt;width:29.2pt;height:9.2pt;z-index:251636224"/>
        </w:pict>
      </w:r>
      <w:r w:rsidRPr="00487043">
        <w:pict>
          <v:shape id="_x0000_s1900" type="#_x0000_t13" style="position:absolute;left:0;text-align:left;margin-left:259.7pt;margin-top:40.95pt;width:29.2pt;height:7.8pt;flip:y;z-index:251637248"/>
        </w:pict>
      </w:r>
      <w:r w:rsidR="00A01923">
        <w:rPr>
          <w:noProof/>
        </w:rPr>
        <w:drawing>
          <wp:inline distT="0" distB="0" distL="0" distR="0">
            <wp:extent cx="5937885" cy="3930650"/>
            <wp:effectExtent l="19050" t="0" r="5715" b="0"/>
            <wp:docPr id="35" name="Рисунок 6" descr="Salaschenko A-G-- 12-03-1958- XA от 10-10-2016 S0 I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Salaschenko A-G-- 12-03-1958- XA от 10-10-2016 S0 I18"/>
                    <pic:cNvPicPr>
                      <a:picLocks noChangeAspect="1" noChangeArrowheads="1"/>
                    </pic:cNvPicPr>
                  </pic:nvPicPr>
                  <pic:blipFill>
                    <a:blip r:embed="rId29" cstate="print"/>
                    <a:srcRect/>
                    <a:stretch>
                      <a:fillRect/>
                    </a:stretch>
                  </pic:blipFill>
                  <pic:spPr bwMode="auto">
                    <a:xfrm>
                      <a:off x="0" y="0"/>
                      <a:ext cx="5937885" cy="3930650"/>
                    </a:xfrm>
                    <a:prstGeom prst="rect">
                      <a:avLst/>
                    </a:prstGeom>
                    <a:noFill/>
                    <a:ln w="9525">
                      <a:noFill/>
                      <a:miter lim="800000"/>
                      <a:headEnd/>
                      <a:tailEnd/>
                    </a:ln>
                  </pic:spPr>
                </pic:pic>
              </a:graphicData>
            </a:graphic>
          </wp:inline>
        </w:drawing>
      </w:r>
    </w:p>
    <w:p w:rsidR="00A01923" w:rsidRDefault="00487043" w:rsidP="00A01923">
      <w:pPr>
        <w:pStyle w:val="a5"/>
        <w:tabs>
          <w:tab w:val="left" w:pos="9360"/>
        </w:tabs>
        <w:spacing w:before="0" w:beforeAutospacing="0" w:after="0" w:afterAutospacing="0" w:line="360" w:lineRule="auto"/>
        <w:ind w:left="-567" w:firstLine="567"/>
        <w:jc w:val="both"/>
        <w:rPr>
          <w:sz w:val="28"/>
          <w:szCs w:val="28"/>
          <w:lang w:val="uk-UA"/>
        </w:rPr>
      </w:pPr>
      <w:r w:rsidRPr="00487043">
        <w:pict>
          <v:shape id="_x0000_s1902" type="#_x0000_t202" style="position:absolute;left:0;text-align:left;margin-left:-25.05pt;margin-top:4.9pt;width:509.4pt;height:52.7pt;z-index:251638272;mso-width-relative:margin;mso-height-relative:margin" strokecolor="white">
            <v:textbox>
              <w:txbxContent>
                <w:p w:rsidR="00DA0A21" w:rsidRDefault="00DA0A21" w:rsidP="00A01923">
                  <w:pPr>
                    <w:jc w:val="center"/>
                    <w:rPr>
                      <w:rFonts w:ascii="Times New Roman" w:hAnsi="Times New Roman"/>
                      <w:color w:val="000000"/>
                      <w:sz w:val="28"/>
                      <w:szCs w:val="28"/>
                      <w:lang w:val="uk-UA"/>
                    </w:rPr>
                  </w:pPr>
                  <w:r>
                    <w:rPr>
                      <w:rFonts w:ascii="Times New Roman" w:hAnsi="Times New Roman"/>
                      <w:color w:val="000000"/>
                      <w:sz w:val="28"/>
                      <w:szCs w:val="28"/>
                    </w:rPr>
                    <w:t>Рис. 3.</w:t>
                  </w:r>
                  <w:r>
                    <w:rPr>
                      <w:rFonts w:ascii="Times New Roman" w:hAnsi="Times New Roman"/>
                      <w:color w:val="000000"/>
                      <w:sz w:val="28"/>
                      <w:szCs w:val="28"/>
                      <w:lang w:val="uk-UA"/>
                    </w:rPr>
                    <w:t>7</w:t>
                  </w:r>
                  <w:r>
                    <w:rPr>
                      <w:rFonts w:ascii="Times New Roman" w:hAnsi="Times New Roman"/>
                      <w:color w:val="000000"/>
                      <w:sz w:val="28"/>
                      <w:szCs w:val="28"/>
                    </w:rPr>
                    <w:t xml:space="preserve">. Візуалізація </w:t>
                  </w:r>
                  <w:r>
                    <w:rPr>
                      <w:rFonts w:ascii="Times New Roman" w:hAnsi="Times New Roman"/>
                      <w:color w:val="000000"/>
                      <w:sz w:val="28"/>
                      <w:szCs w:val="28"/>
                      <w:lang w:val="uk-UA"/>
                    </w:rPr>
                    <w:t xml:space="preserve">правої </w:t>
                  </w:r>
                  <w:r>
                    <w:rPr>
                      <w:rFonts w:ascii="Times New Roman" w:hAnsi="Times New Roman"/>
                      <w:color w:val="000000"/>
                      <w:sz w:val="28"/>
                      <w:szCs w:val="28"/>
                    </w:rPr>
                    <w:t>поверхневої стегнової артерії без контрастування</w:t>
                  </w:r>
                  <w:r>
                    <w:rPr>
                      <w:rFonts w:ascii="Times New Roman" w:hAnsi="Times New Roman"/>
                      <w:color w:val="000000"/>
                      <w:sz w:val="28"/>
                      <w:szCs w:val="28"/>
                      <w:lang w:val="uk-UA"/>
                    </w:rPr>
                    <w:t xml:space="preserve"> (вказана стрілками). Хворий В., 59 років, група порівняння</w:t>
                  </w:r>
                </w:p>
              </w:txbxContent>
            </v:textbox>
          </v:shape>
        </w:pict>
      </w: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color w:val="000000"/>
          <w:sz w:val="28"/>
          <w:szCs w:val="28"/>
        </w:rPr>
      </w:pPr>
      <w:r>
        <w:rPr>
          <w:color w:val="000000"/>
          <w:sz w:val="28"/>
          <w:szCs w:val="28"/>
        </w:rPr>
        <w:t>Контрастна ангіографія залишається домінантним дослідженням, яке використовується перед інтервенційними втручаннями. Інформація про стан притоку і відтоку крові, як і характеристики зони ураження, надають визначальне значення при виборі методу операції. З технічної точки зору, чим ближче знаходиться катетер до досліджуваної ділянки судини, тим краще виходять зображення і необхідна менша кількість контрасту. Селективна і суперселективна катетеризація потрібна для оптимізації</w:t>
      </w:r>
      <w:r>
        <w:rPr>
          <w:sz w:val="28"/>
          <w:szCs w:val="28"/>
        </w:rPr>
        <w:t xml:space="preserve"> якості зображення. У ангіографії є декілька несприятливих сторін. По-перше, ризик як при будь-якій інвазивній процедурі. Вони перш за все пов'язані з місцем доступу (кровотеча, інфекція, </w:t>
      </w:r>
      <w:r>
        <w:rPr>
          <w:color w:val="000000"/>
          <w:sz w:val="28"/>
          <w:szCs w:val="28"/>
        </w:rPr>
        <w:lastRenderedPageBreak/>
        <w:t xml:space="preserve">розрив судини). Більш рідко є ризик реакції на контрастну речовину, при цьому частота важких реакцій становить 0,1%. </w:t>
      </w:r>
    </w:p>
    <w:p w:rsidR="00A01923" w:rsidRDefault="00A01923" w:rsidP="00A01923">
      <w:pPr>
        <w:pStyle w:val="a8"/>
        <w:spacing w:after="0" w:line="360" w:lineRule="auto"/>
        <w:ind w:left="-567" w:firstLine="567"/>
        <w:jc w:val="both"/>
        <w:rPr>
          <w:color w:val="000000"/>
          <w:sz w:val="28"/>
          <w:szCs w:val="28"/>
        </w:rPr>
      </w:pPr>
      <w:r>
        <w:rPr>
          <w:color w:val="000000"/>
          <w:sz w:val="28"/>
          <w:szCs w:val="28"/>
        </w:rPr>
        <w:t xml:space="preserve">Характерні ускладнення, які можуть виникнути при інвазивних втручаннях і катетерних маніпуляціях, такі як атероемболія, розшарування, розрив стінки судини і його перфорація можуть мати місце і при ангіографії. Тому, виконання обережних маніпуляцій з провідниками і катетерами є дуже актуальними. </w:t>
      </w:r>
    </w:p>
    <w:p w:rsidR="00A01923" w:rsidRDefault="00A01923" w:rsidP="00A01923">
      <w:pPr>
        <w:pStyle w:val="a5"/>
        <w:tabs>
          <w:tab w:val="left" w:pos="9360"/>
        </w:tabs>
        <w:spacing w:before="0" w:beforeAutospacing="0" w:after="0" w:afterAutospacing="0" w:line="360" w:lineRule="auto"/>
        <w:ind w:left="-567" w:firstLine="567"/>
        <w:jc w:val="both"/>
        <w:rPr>
          <w:color w:val="000000"/>
          <w:sz w:val="28"/>
          <w:szCs w:val="28"/>
          <w:lang w:val="uk-UA"/>
        </w:rPr>
      </w:pPr>
      <w:r>
        <w:rPr>
          <w:color w:val="000000"/>
          <w:sz w:val="28"/>
          <w:szCs w:val="28"/>
          <w:lang w:val="uk-UA"/>
        </w:rPr>
        <w:t>Ознаками стенозу судин на ангіографії є звуження тіні судини, нерівність внутрішнього контуру судини. Оклюзія виявляється симптомом «ампутованої» артерії (рис. 3.8, вказана стрілкою).</w:t>
      </w: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r>
        <w:rPr>
          <w:noProof/>
          <w:sz w:val="28"/>
          <w:szCs w:val="28"/>
        </w:rPr>
        <w:drawing>
          <wp:inline distT="0" distB="0" distL="0" distR="0">
            <wp:extent cx="5024314" cy="3657600"/>
            <wp:effectExtent l="19050" t="0" r="4886" b="0"/>
            <wp:docPr id="3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0" cstate="print"/>
                    <a:srcRect/>
                    <a:stretch>
                      <a:fillRect/>
                    </a:stretch>
                  </pic:blipFill>
                  <pic:spPr bwMode="auto">
                    <a:xfrm>
                      <a:off x="0" y="0"/>
                      <a:ext cx="5023485" cy="3656997"/>
                    </a:xfrm>
                    <a:prstGeom prst="rect">
                      <a:avLst/>
                    </a:prstGeom>
                    <a:noFill/>
                    <a:ln w="9525">
                      <a:noFill/>
                      <a:miter lim="800000"/>
                      <a:headEnd/>
                      <a:tailEnd/>
                    </a:ln>
                  </pic:spPr>
                </pic:pic>
              </a:graphicData>
            </a:graphic>
          </wp:inline>
        </w:drawing>
      </w:r>
    </w:p>
    <w:p w:rsidR="00A01923" w:rsidRDefault="00487043" w:rsidP="00A01923">
      <w:pPr>
        <w:pStyle w:val="a5"/>
        <w:tabs>
          <w:tab w:val="left" w:pos="9360"/>
        </w:tabs>
        <w:spacing w:before="0" w:beforeAutospacing="0" w:after="0" w:afterAutospacing="0" w:line="360" w:lineRule="auto"/>
        <w:ind w:left="-567" w:firstLine="567"/>
        <w:jc w:val="both"/>
        <w:rPr>
          <w:sz w:val="28"/>
          <w:szCs w:val="28"/>
          <w:lang w:val="uk-UA"/>
        </w:rPr>
      </w:pPr>
      <w:r w:rsidRPr="00487043">
        <w:pict>
          <v:shape id="_x0000_s1903" type="#_x0000_t202" style="position:absolute;left:0;text-align:left;margin-left:-18.55pt;margin-top:14.05pt;width:488.25pt;height:45.45pt;z-index:251639296;mso-width-relative:margin;mso-height-relative:margin" stroked="f">
            <v:textbox>
              <w:txbxContent>
                <w:p w:rsidR="00DA0A21" w:rsidRDefault="00DA0A21" w:rsidP="00A01923">
                  <w:pPr>
                    <w:jc w:val="center"/>
                    <w:rPr>
                      <w:lang w:val="uk-UA"/>
                    </w:rPr>
                  </w:pPr>
                  <w:r>
                    <w:rPr>
                      <w:rFonts w:ascii="Times New Roman" w:hAnsi="Times New Roman"/>
                      <w:sz w:val="28"/>
                      <w:szCs w:val="28"/>
                    </w:rPr>
                    <w:t>Рис. 3.</w:t>
                  </w:r>
                  <w:r>
                    <w:rPr>
                      <w:rFonts w:ascii="Times New Roman" w:hAnsi="Times New Roman"/>
                      <w:sz w:val="28"/>
                      <w:szCs w:val="28"/>
                      <w:lang w:val="uk-UA"/>
                    </w:rPr>
                    <w:t>8</w:t>
                  </w:r>
                  <w:r>
                    <w:rPr>
                      <w:rFonts w:ascii="Times New Roman" w:hAnsi="Times New Roman"/>
                      <w:sz w:val="28"/>
                      <w:szCs w:val="28"/>
                    </w:rPr>
                    <w:t xml:space="preserve"> Ангіографія</w:t>
                  </w:r>
                  <w:r>
                    <w:rPr>
                      <w:rFonts w:ascii="Times New Roman" w:hAnsi="Times New Roman"/>
                      <w:sz w:val="28"/>
                      <w:szCs w:val="28"/>
                      <w:lang w:val="uk-UA"/>
                    </w:rPr>
                    <w:t xml:space="preserve"> лівої стегнової та підколінної артерій хворого Р., 52 роки, основна група</w:t>
                  </w:r>
                  <w:r>
                    <w:rPr>
                      <w:rFonts w:ascii="Times New Roman" w:hAnsi="Times New Roman"/>
                      <w:sz w:val="28"/>
                      <w:szCs w:val="28"/>
                    </w:rPr>
                    <w:t xml:space="preserve">. </w:t>
                  </w:r>
                  <w:r>
                    <w:rPr>
                      <w:rFonts w:ascii="Times New Roman" w:hAnsi="Times New Roman"/>
                      <w:sz w:val="28"/>
                      <w:szCs w:val="28"/>
                      <w:lang w:val="uk-UA"/>
                    </w:rPr>
                    <w:t xml:space="preserve">Стрілкою </w:t>
                  </w:r>
                  <w:r>
                    <w:rPr>
                      <w:rFonts w:ascii="Times New Roman" w:hAnsi="Times New Roman"/>
                      <w:color w:val="000000"/>
                      <w:sz w:val="28"/>
                      <w:szCs w:val="28"/>
                      <w:lang w:val="uk-UA"/>
                    </w:rPr>
                    <w:t>показана о</w:t>
                  </w:r>
                  <w:r>
                    <w:rPr>
                      <w:rFonts w:ascii="Times New Roman" w:hAnsi="Times New Roman"/>
                      <w:color w:val="000000"/>
                      <w:sz w:val="28"/>
                      <w:szCs w:val="28"/>
                    </w:rPr>
                    <w:t>клюзія тібіоперінеального стволу</w:t>
                  </w:r>
                </w:p>
              </w:txbxContent>
            </v:textbox>
          </v:shape>
        </w:pict>
      </w:r>
    </w:p>
    <w:p w:rsidR="00A01923" w:rsidRDefault="00A01923" w:rsidP="00A01923">
      <w:pPr>
        <w:pStyle w:val="a5"/>
        <w:tabs>
          <w:tab w:val="left" w:pos="9360"/>
        </w:tabs>
        <w:spacing w:before="0" w:beforeAutospacing="0" w:after="0" w:afterAutospacing="0" w:line="360" w:lineRule="auto"/>
        <w:ind w:left="-567" w:firstLine="567"/>
        <w:jc w:val="both"/>
        <w:rPr>
          <w:sz w:val="28"/>
          <w:szCs w:val="28"/>
          <w:lang w:val="uk-UA"/>
        </w:rPr>
      </w:pPr>
    </w:p>
    <w:p w:rsidR="00803E73" w:rsidRDefault="00803E73" w:rsidP="00803E73">
      <w:pPr>
        <w:pStyle w:val="a5"/>
        <w:tabs>
          <w:tab w:val="left" w:pos="9360"/>
        </w:tabs>
        <w:spacing w:before="0" w:beforeAutospacing="0" w:after="0" w:afterAutospacing="0" w:line="360" w:lineRule="auto"/>
        <w:jc w:val="both"/>
        <w:rPr>
          <w:sz w:val="28"/>
          <w:szCs w:val="28"/>
          <w:lang w:val="uk-UA"/>
        </w:rPr>
      </w:pPr>
    </w:p>
    <w:p w:rsidR="00A01923" w:rsidRDefault="00A01923" w:rsidP="00803E73">
      <w:pPr>
        <w:pStyle w:val="a5"/>
        <w:tabs>
          <w:tab w:val="left" w:pos="9360"/>
        </w:tabs>
        <w:spacing w:before="0" w:beforeAutospacing="0" w:after="0" w:afterAutospacing="0" w:line="360" w:lineRule="auto"/>
        <w:ind w:left="-567" w:firstLine="567"/>
        <w:jc w:val="both"/>
        <w:rPr>
          <w:sz w:val="28"/>
          <w:szCs w:val="28"/>
          <w:lang w:val="uk-UA"/>
        </w:rPr>
      </w:pPr>
      <w:r w:rsidRPr="00803E73">
        <w:rPr>
          <w:sz w:val="28"/>
          <w:szCs w:val="28"/>
          <w:lang w:val="uk-UA"/>
        </w:rPr>
        <w:t>Важливо було визначити ступінь ураження судин гомілки та ступні для визначення показань</w:t>
      </w:r>
      <w:r>
        <w:rPr>
          <w:sz w:val="28"/>
          <w:szCs w:val="28"/>
          <w:lang w:val="uk-UA"/>
        </w:rPr>
        <w:t xml:space="preserve"> до методу реваскуляризації, наявність </w:t>
      </w:r>
      <w:r w:rsidRPr="00803E73">
        <w:rPr>
          <w:sz w:val="28"/>
          <w:szCs w:val="28"/>
          <w:lang w:val="uk-UA"/>
        </w:rPr>
        <w:t>колатералей та</w:t>
      </w:r>
      <w:r>
        <w:rPr>
          <w:sz w:val="28"/>
          <w:szCs w:val="28"/>
          <w:lang w:val="uk-UA"/>
        </w:rPr>
        <w:t xml:space="preserve"> шляхів відтоку крові (рис. 3.9). </w:t>
      </w:r>
    </w:p>
    <w:p w:rsidR="00A01923" w:rsidRDefault="00487043" w:rsidP="00803E73">
      <w:pPr>
        <w:pStyle w:val="a5"/>
        <w:tabs>
          <w:tab w:val="left" w:pos="9360"/>
        </w:tabs>
        <w:spacing w:before="0" w:beforeAutospacing="0" w:after="0" w:afterAutospacing="0" w:line="360" w:lineRule="auto"/>
        <w:ind w:left="-567" w:firstLine="567"/>
        <w:jc w:val="both"/>
        <w:rPr>
          <w:sz w:val="28"/>
          <w:szCs w:val="28"/>
          <w:lang w:val="uk-UA"/>
        </w:rPr>
      </w:pPr>
      <w:r w:rsidRPr="00487043">
        <w:lastRenderedPageBreak/>
        <w:pict>
          <v:shape id="_x0000_s2130" type="#_x0000_t202" style="position:absolute;left:0;text-align:left;margin-left:-39.45pt;margin-top:245.35pt;width:508.8pt;height:48.85pt;z-index:251640320" stroked="f">
            <v:textbox>
              <w:txbxContent>
                <w:p w:rsidR="00DA0A21" w:rsidRDefault="00DA0A21" w:rsidP="00A01923">
                  <w:pPr>
                    <w:jc w:val="center"/>
                    <w:rPr>
                      <w:rFonts w:ascii="Times New Roman" w:hAnsi="Times New Roman"/>
                      <w:color w:val="000000"/>
                      <w:sz w:val="28"/>
                      <w:szCs w:val="28"/>
                      <w:lang w:val="uk-UA"/>
                    </w:rPr>
                  </w:pPr>
                  <w:r>
                    <w:rPr>
                      <w:rFonts w:ascii="Times New Roman" w:hAnsi="Times New Roman"/>
                      <w:color w:val="000000"/>
                      <w:sz w:val="28"/>
                      <w:szCs w:val="28"/>
                    </w:rPr>
                    <w:t>Рис. 3.</w:t>
                  </w:r>
                  <w:r>
                    <w:rPr>
                      <w:rFonts w:ascii="Times New Roman" w:hAnsi="Times New Roman"/>
                      <w:color w:val="000000"/>
                      <w:sz w:val="28"/>
                      <w:szCs w:val="28"/>
                      <w:lang w:val="uk-UA"/>
                    </w:rPr>
                    <w:t>9</w:t>
                  </w:r>
                  <w:r>
                    <w:rPr>
                      <w:rFonts w:ascii="Times New Roman" w:hAnsi="Times New Roman"/>
                      <w:color w:val="000000"/>
                      <w:sz w:val="28"/>
                      <w:szCs w:val="28"/>
                    </w:rPr>
                    <w:t xml:space="preserve"> Ангіографія</w:t>
                  </w:r>
                  <w:r>
                    <w:rPr>
                      <w:rFonts w:ascii="Times New Roman" w:hAnsi="Times New Roman"/>
                      <w:color w:val="000000"/>
                      <w:sz w:val="28"/>
                      <w:szCs w:val="28"/>
                      <w:lang w:val="uk-UA"/>
                    </w:rPr>
                    <w:t xml:space="preserve"> лівої стегнової артерії хворого Р., 52 роки, основна група</w:t>
                  </w:r>
                  <w:r>
                    <w:rPr>
                      <w:rFonts w:ascii="Times New Roman" w:hAnsi="Times New Roman"/>
                      <w:color w:val="000000"/>
                      <w:sz w:val="28"/>
                      <w:szCs w:val="28"/>
                    </w:rPr>
                    <w:t xml:space="preserve">. </w:t>
                  </w:r>
                  <w:r>
                    <w:rPr>
                      <w:rFonts w:ascii="Times New Roman" w:hAnsi="Times New Roman"/>
                      <w:color w:val="000000"/>
                      <w:sz w:val="28"/>
                      <w:szCs w:val="28"/>
                      <w:lang w:val="uk-UA"/>
                    </w:rPr>
                    <w:t>Стрілками показане к</w:t>
                  </w:r>
                  <w:r>
                    <w:rPr>
                      <w:rFonts w:ascii="Times New Roman" w:hAnsi="Times New Roman"/>
                      <w:color w:val="000000"/>
                      <w:sz w:val="28"/>
                      <w:szCs w:val="28"/>
                    </w:rPr>
                    <w:t>олатеральне заповнення судин гомілки та ступні</w:t>
                  </w:r>
                </w:p>
                <w:p w:rsidR="00DA0A21" w:rsidRDefault="00DA0A21" w:rsidP="00A01923">
                  <w:pPr>
                    <w:rPr>
                      <w:rFonts w:ascii="Calibri" w:hAnsi="Calibri"/>
                    </w:rPr>
                  </w:pPr>
                </w:p>
              </w:txbxContent>
            </v:textbox>
          </v:shape>
        </w:pict>
      </w:r>
      <w:r w:rsidR="00A01923">
        <w:rPr>
          <w:noProof/>
        </w:rPr>
        <w:drawing>
          <wp:inline distT="0" distB="0" distL="0" distR="0">
            <wp:extent cx="2921635" cy="3122930"/>
            <wp:effectExtent l="19050" t="0" r="0" b="0"/>
            <wp:docPr id="3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1" cstate="print"/>
                    <a:srcRect/>
                    <a:stretch>
                      <a:fillRect/>
                    </a:stretch>
                  </pic:blipFill>
                  <pic:spPr bwMode="auto">
                    <a:xfrm>
                      <a:off x="0" y="0"/>
                      <a:ext cx="2921635" cy="3122930"/>
                    </a:xfrm>
                    <a:prstGeom prst="rect">
                      <a:avLst/>
                    </a:prstGeom>
                    <a:noFill/>
                    <a:ln w="9525">
                      <a:noFill/>
                      <a:miter lim="800000"/>
                      <a:headEnd/>
                      <a:tailEnd/>
                    </a:ln>
                  </pic:spPr>
                </pic:pic>
              </a:graphicData>
            </a:graphic>
          </wp:inline>
        </w:drawing>
      </w:r>
      <w:r w:rsidR="00A01923">
        <w:rPr>
          <w:noProof/>
        </w:rPr>
        <w:drawing>
          <wp:inline distT="0" distB="0" distL="0" distR="0">
            <wp:extent cx="2719705" cy="3099435"/>
            <wp:effectExtent l="19050" t="0" r="4445" b="0"/>
            <wp:docPr id="3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2" cstate="print"/>
                    <a:srcRect/>
                    <a:stretch>
                      <a:fillRect/>
                    </a:stretch>
                  </pic:blipFill>
                  <pic:spPr bwMode="auto">
                    <a:xfrm>
                      <a:off x="0" y="0"/>
                      <a:ext cx="2719705" cy="3099435"/>
                    </a:xfrm>
                    <a:prstGeom prst="rect">
                      <a:avLst/>
                    </a:prstGeom>
                    <a:noFill/>
                    <a:ln w="9525">
                      <a:noFill/>
                      <a:miter lim="800000"/>
                      <a:headEnd/>
                      <a:tailEnd/>
                    </a:ln>
                  </pic:spPr>
                </pic:pic>
              </a:graphicData>
            </a:graphic>
          </wp:inline>
        </w:drawing>
      </w:r>
    </w:p>
    <w:p w:rsidR="00A01923" w:rsidRDefault="00A01923" w:rsidP="00A01923">
      <w:pPr>
        <w:pStyle w:val="a5"/>
        <w:tabs>
          <w:tab w:val="left" w:pos="9360"/>
        </w:tabs>
        <w:spacing w:before="0" w:beforeAutospacing="0" w:after="0" w:afterAutospacing="0" w:line="360" w:lineRule="auto"/>
        <w:jc w:val="both"/>
        <w:rPr>
          <w:sz w:val="28"/>
          <w:szCs w:val="28"/>
          <w:lang w:val="uk-UA"/>
        </w:rPr>
      </w:pP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567" w:firstLine="567"/>
        <w:jc w:val="both"/>
        <w:rPr>
          <w:sz w:val="28"/>
          <w:szCs w:val="28"/>
        </w:rPr>
      </w:pPr>
      <w:r>
        <w:rPr>
          <w:sz w:val="28"/>
          <w:szCs w:val="28"/>
        </w:rPr>
        <w:t xml:space="preserve">КТ-ангіографія, або КТ у судинному режимі дозволяє отримати докладне зображення кровоносних судин і оцінити характер кровотоку </w:t>
      </w:r>
      <w:r>
        <w:rPr>
          <w:color w:val="000000"/>
          <w:sz w:val="28"/>
          <w:szCs w:val="28"/>
        </w:rPr>
        <w:t>(рис. 3.10)</w:t>
      </w:r>
      <w:r>
        <w:rPr>
          <w:sz w:val="28"/>
          <w:szCs w:val="28"/>
        </w:rPr>
        <w:t xml:space="preserve">. </w:t>
      </w:r>
    </w:p>
    <w:p w:rsidR="00A01923" w:rsidRDefault="00487043" w:rsidP="00A01923">
      <w:pPr>
        <w:pStyle w:val="a8"/>
        <w:spacing w:after="0" w:line="360" w:lineRule="auto"/>
        <w:ind w:left="-567" w:firstLine="567"/>
        <w:jc w:val="both"/>
        <w:rPr>
          <w:sz w:val="28"/>
          <w:szCs w:val="28"/>
        </w:rPr>
      </w:pPr>
      <w:r w:rsidRPr="00487043">
        <w:pict>
          <v:group id="_x0000_s2131" style="position:absolute;left:0;text-align:left;margin-left:-27.45pt;margin-top:14.8pt;width:490.55pt;height:359.6pt;z-index:251641344" coordorigin="1152,8927" coordsize="9811,7192">
            <v:shape id="_x0000_s2132" type="#_x0000_t202" style="position:absolute;left:1152;top:8927;width:5030;height:6171;mso-wrap-style:none" stroked="f">
              <v:textbox style="mso-next-textbox:#_x0000_s2132;mso-fit-shape-to-text:t">
                <w:txbxContent>
                  <w:p w:rsidR="00DA0A21" w:rsidRDefault="00DA0A21" w:rsidP="00A01923">
                    <w:r w:rsidRPr="00487043">
                      <w:rPr>
                        <w:rFonts w:ascii="Calibri" w:eastAsia="Calibri" w:hAnsi="Calibri"/>
                        <w:sz w:val="20"/>
                        <w:szCs w:val="20"/>
                      </w:rPr>
                      <w:pict>
                        <v:shape id="_x0000_i1048" type="#_x0000_t75" style="width:237.1pt;height:289.25pt;visibility:visible">
                          <v:imagedata r:id="rId33" o:title=""/>
                        </v:shape>
                      </w:pict>
                    </w:r>
                  </w:p>
                </w:txbxContent>
              </v:textbox>
            </v:shape>
            <v:shape id="_x0000_s2133" type="#_x0000_t202" style="position:absolute;left:6327;top:8927;width:4636;height:7192;mso-wrap-style:none" stroked="f">
              <v:textbox style="mso-next-textbox:#_x0000_s2133">
                <w:txbxContent>
                  <w:p w:rsidR="00DA0A21" w:rsidRDefault="00DA0A21" w:rsidP="00A01923">
                    <w:r w:rsidRPr="00487043">
                      <w:rPr>
                        <w:rFonts w:ascii="Calibri" w:eastAsia="Calibri" w:hAnsi="Calibri"/>
                        <w:sz w:val="20"/>
                        <w:szCs w:val="20"/>
                      </w:rPr>
                      <w:pict>
                        <v:shape id="_x0000_i1050" type="#_x0000_t75" style="width:217.25pt;height:289.25pt;visibility:visible">
                          <v:imagedata r:id="rId34" o:title=""/>
                        </v:shape>
                      </w:pict>
                    </w:r>
                  </w:p>
                </w:txbxContent>
              </v:textbox>
            </v:shape>
          </v:group>
        </w:pict>
      </w:r>
      <w:r w:rsidRPr="00487043">
        <w:pict>
          <v:shape id="_x0000_s2134" type="#_x0000_t202" style="position:absolute;left:0;text-align:left;margin-left:-45.45pt;margin-top:320.35pt;width:524.4pt;height:50.5pt;z-index:251642368;mso-width-relative:margin;mso-height-relative:margin" stroked="f">
            <v:textbox style="mso-next-textbox:#_x0000_s2134">
              <w:txbxContent>
                <w:p w:rsidR="00DA0A21" w:rsidRDefault="00DA0A21" w:rsidP="00A01923">
                  <w:pPr>
                    <w:pStyle w:val="a8"/>
                    <w:spacing w:after="0" w:line="360" w:lineRule="auto"/>
                    <w:ind w:left="0"/>
                    <w:jc w:val="center"/>
                    <w:rPr>
                      <w:color w:val="000000"/>
                      <w:sz w:val="28"/>
                      <w:szCs w:val="28"/>
                    </w:rPr>
                  </w:pPr>
                  <w:r>
                    <w:rPr>
                      <w:color w:val="000000"/>
                      <w:sz w:val="28"/>
                      <w:szCs w:val="28"/>
                    </w:rPr>
                    <w:t>Рис. 3.10 КТ-артеріографія гомілок хворої Н., 62 років, основна група.</w:t>
                  </w:r>
                </w:p>
                <w:p w:rsidR="00DA0A21" w:rsidRDefault="00DA0A21" w:rsidP="00A01923">
                  <w:pPr>
                    <w:pStyle w:val="a8"/>
                    <w:spacing w:after="0" w:line="360" w:lineRule="auto"/>
                    <w:ind w:left="0"/>
                    <w:jc w:val="center"/>
                    <w:rPr>
                      <w:color w:val="000000"/>
                      <w:sz w:val="28"/>
                      <w:szCs w:val="28"/>
                    </w:rPr>
                  </w:pPr>
                  <w:r>
                    <w:rPr>
                      <w:color w:val="000000"/>
                      <w:sz w:val="28"/>
                      <w:szCs w:val="28"/>
                    </w:rPr>
                    <w:t>Стрілками вказані початок та кінець оклюзії лівої задньої великогомілкової артерії.</w:t>
                  </w:r>
                </w:p>
              </w:txbxContent>
            </v:textbox>
          </v:shape>
        </w:pict>
      </w: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8"/>
        <w:spacing w:after="0" w:line="360" w:lineRule="auto"/>
        <w:ind w:left="-567" w:firstLine="567"/>
        <w:jc w:val="both"/>
        <w:rPr>
          <w:color w:val="000000"/>
          <w:sz w:val="28"/>
          <w:szCs w:val="28"/>
        </w:rPr>
      </w:pPr>
      <w:r>
        <w:rPr>
          <w:color w:val="000000"/>
          <w:sz w:val="28"/>
          <w:szCs w:val="28"/>
        </w:rPr>
        <w:lastRenderedPageBreak/>
        <w:t>Стан артерій відтоку класифікували за R. Rutherford (1997). Критерії для класифікації представлені в таблицях 3.7 та 3.8.</w:t>
      </w:r>
    </w:p>
    <w:p w:rsidR="00A01923" w:rsidRDefault="00A01923" w:rsidP="00A01923">
      <w:pPr>
        <w:pStyle w:val="a8"/>
        <w:spacing w:after="0" w:line="360" w:lineRule="auto"/>
        <w:ind w:left="-142" w:firstLine="426"/>
        <w:jc w:val="right"/>
        <w:rPr>
          <w:i/>
          <w:color w:val="000000"/>
          <w:sz w:val="28"/>
          <w:szCs w:val="28"/>
        </w:rPr>
      </w:pPr>
      <w:r>
        <w:rPr>
          <w:i/>
          <w:color w:val="000000"/>
          <w:sz w:val="28"/>
          <w:szCs w:val="28"/>
        </w:rPr>
        <w:t>Таблиця 3.7</w:t>
      </w:r>
    </w:p>
    <w:p w:rsidR="00A01923" w:rsidRDefault="00A01923" w:rsidP="00A01923">
      <w:pPr>
        <w:pStyle w:val="a8"/>
        <w:spacing w:after="0" w:line="360" w:lineRule="auto"/>
        <w:ind w:left="-142" w:firstLine="426"/>
        <w:jc w:val="center"/>
        <w:rPr>
          <w:b/>
          <w:color w:val="000000"/>
          <w:sz w:val="28"/>
          <w:szCs w:val="28"/>
        </w:rPr>
      </w:pPr>
      <w:r>
        <w:rPr>
          <w:b/>
          <w:color w:val="000000"/>
          <w:sz w:val="28"/>
          <w:szCs w:val="28"/>
        </w:rPr>
        <w:t>Критерії оцінки стану артерій відтоку у хворих з ураженням артерій нижніх кінцівок</w:t>
      </w:r>
    </w:p>
    <w:tbl>
      <w:tblPr>
        <w:tblW w:w="9930"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19"/>
        <w:gridCol w:w="2837"/>
        <w:gridCol w:w="5674"/>
      </w:tblGrid>
      <w:tr w:rsidR="00A01923" w:rsidTr="00A01923">
        <w:trPr>
          <w:trHeight w:val="530"/>
        </w:trPr>
        <w:tc>
          <w:tcPr>
            <w:tcW w:w="1418" w:type="dxa"/>
            <w:vMerge w:val="restart"/>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Кількість балів</w:t>
            </w:r>
          </w:p>
        </w:tc>
        <w:tc>
          <w:tcPr>
            <w:tcW w:w="8505" w:type="dxa"/>
            <w:gridSpan w:val="2"/>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Ступінь оклюзії</w:t>
            </w:r>
          </w:p>
        </w:tc>
      </w:tr>
      <w:tr w:rsidR="00A01923" w:rsidTr="00A01923">
        <w:trPr>
          <w:trHeight w:val="160"/>
        </w:trPr>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lang w:val="uk-UA"/>
              </w:rPr>
            </w:pP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Великі артерії відтоку</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Шляхи відтоку стопи</w:t>
            </w:r>
          </w:p>
        </w:tc>
      </w:tr>
      <w:tr w:rsidR="00A01923" w:rsidTr="00A01923">
        <w:trPr>
          <w:trHeight w:val="507"/>
        </w:trPr>
        <w:tc>
          <w:tcPr>
            <w:tcW w:w="141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1</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Оклюзія на всьому протязі</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Немає прохідних артерій стопи</w:t>
            </w:r>
          </w:p>
        </w:tc>
      </w:tr>
      <w:tr w:rsidR="00A01923" w:rsidRPr="001F3608" w:rsidTr="00A01923">
        <w:trPr>
          <w:trHeight w:val="530"/>
        </w:trPr>
        <w:tc>
          <w:tcPr>
            <w:tcW w:w="141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2,5</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Оклюзія протягом менш ніж ½ довжини; видимі колатералі</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Артерії, що є продовженням оклюзованої і створюють основний блок, частково або повністю прохідні</w:t>
            </w:r>
          </w:p>
        </w:tc>
      </w:tr>
      <w:tr w:rsidR="00A01923" w:rsidRPr="001F3608" w:rsidTr="00A01923">
        <w:trPr>
          <w:trHeight w:val="1304"/>
        </w:trPr>
        <w:tc>
          <w:tcPr>
            <w:tcW w:w="141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2</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Стеноз від 50% до 99%</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Артерії, що є продовженням оклюзованої і створюють основний блок, повністю прохідні, але дуга стопи розімкнута</w:t>
            </w:r>
          </w:p>
        </w:tc>
      </w:tr>
      <w:tr w:rsidR="00A01923" w:rsidTr="00A01923">
        <w:trPr>
          <w:trHeight w:val="507"/>
        </w:trPr>
        <w:tc>
          <w:tcPr>
            <w:tcW w:w="141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1</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Стеноз від 20% до 49%</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Один або кілька критичних стенозів артерій стопи, які не є продовженням оклюзованої артерії, що створює основний блок</w:t>
            </w:r>
          </w:p>
        </w:tc>
      </w:tr>
      <w:tr w:rsidR="00A01923" w:rsidTr="00A01923">
        <w:trPr>
          <w:trHeight w:val="408"/>
        </w:trPr>
        <w:tc>
          <w:tcPr>
            <w:tcW w:w="141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0</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 xml:space="preserve">Стеноз </w:t>
            </w:r>
            <w:r>
              <w:rPr>
                <w:color w:val="000000"/>
                <w:sz w:val="28"/>
                <w:szCs w:val="28"/>
              </w:rPr>
              <w:sym w:font="Symbol" w:char="003C"/>
            </w:r>
            <w:r>
              <w:rPr>
                <w:color w:val="000000"/>
                <w:sz w:val="28"/>
                <w:szCs w:val="28"/>
              </w:rPr>
              <w:t xml:space="preserve"> 20%</w:t>
            </w:r>
          </w:p>
        </w:tc>
        <w:tc>
          <w:tcPr>
            <w:tcW w:w="5670"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color w:val="000000"/>
                <w:sz w:val="28"/>
                <w:szCs w:val="28"/>
              </w:rPr>
            </w:pPr>
            <w:r>
              <w:rPr>
                <w:color w:val="000000"/>
                <w:sz w:val="28"/>
                <w:szCs w:val="28"/>
              </w:rPr>
              <w:t xml:space="preserve">Повністю прохідна стопи дуга (стеноз </w:t>
            </w:r>
            <w:r>
              <w:rPr>
                <w:color w:val="000000"/>
                <w:sz w:val="28"/>
                <w:szCs w:val="28"/>
              </w:rPr>
              <w:sym w:font="Symbol" w:char="003C"/>
            </w:r>
            <w:r>
              <w:rPr>
                <w:color w:val="000000"/>
                <w:sz w:val="28"/>
                <w:szCs w:val="28"/>
              </w:rPr>
              <w:t>20%)</w:t>
            </w:r>
          </w:p>
        </w:tc>
      </w:tr>
    </w:tbl>
    <w:p w:rsidR="00A01923" w:rsidRDefault="00A01923" w:rsidP="00A01923">
      <w:pPr>
        <w:pStyle w:val="a8"/>
        <w:spacing w:after="0" w:line="360" w:lineRule="auto"/>
        <w:ind w:left="0"/>
        <w:jc w:val="both"/>
        <w:rPr>
          <w:sz w:val="28"/>
          <w:szCs w:val="28"/>
        </w:rPr>
      </w:pPr>
    </w:p>
    <w:p w:rsidR="00A01923" w:rsidRDefault="00A01923" w:rsidP="00A01923">
      <w:pPr>
        <w:pStyle w:val="a8"/>
        <w:spacing w:after="0" w:line="360" w:lineRule="auto"/>
        <w:ind w:left="-567" w:firstLine="567"/>
        <w:jc w:val="both"/>
        <w:rPr>
          <w:color w:val="000000"/>
          <w:sz w:val="28"/>
          <w:szCs w:val="28"/>
        </w:rPr>
      </w:pPr>
      <w:r>
        <w:rPr>
          <w:sz w:val="28"/>
          <w:szCs w:val="28"/>
        </w:rPr>
        <w:t xml:space="preserve">На підставі даних </w:t>
      </w:r>
      <w:r>
        <w:rPr>
          <w:color w:val="000000"/>
          <w:sz w:val="28"/>
          <w:szCs w:val="28"/>
        </w:rPr>
        <w:t>таблиць 3.7 і 3.8 задовільними вважаються шляху відтоку, які отримали менше 7,5 балів, хорошими - менше 5 балів, а якщо бал відтоку перевищує 7,5 – незадовільними. Зважаючи на ці показники необхідно обирати ту чи іншу тактику лікування, маючи змогу прогнозувати результати прямих реваскуляризуючих втручань, та корегувати шляхи відтоку за можливості – виконання гібридних втручань.</w:t>
      </w:r>
    </w:p>
    <w:p w:rsidR="00A01923" w:rsidRDefault="00A01923" w:rsidP="00A01923">
      <w:pPr>
        <w:pStyle w:val="a8"/>
        <w:spacing w:after="0" w:line="360" w:lineRule="auto"/>
        <w:ind w:left="-567" w:firstLine="567"/>
        <w:jc w:val="both"/>
        <w:rPr>
          <w:sz w:val="28"/>
          <w:szCs w:val="28"/>
        </w:rPr>
      </w:pPr>
    </w:p>
    <w:p w:rsidR="00A01923" w:rsidRDefault="00A01923" w:rsidP="00A01923">
      <w:pPr>
        <w:pStyle w:val="a8"/>
        <w:spacing w:after="0" w:line="360" w:lineRule="auto"/>
        <w:ind w:left="-142" w:firstLine="426"/>
        <w:jc w:val="right"/>
        <w:rPr>
          <w:i/>
          <w:sz w:val="28"/>
          <w:szCs w:val="28"/>
        </w:rPr>
      </w:pPr>
      <w:r>
        <w:rPr>
          <w:i/>
          <w:sz w:val="28"/>
          <w:szCs w:val="28"/>
        </w:rPr>
        <w:lastRenderedPageBreak/>
        <w:t>Таблиця 3.8</w:t>
      </w:r>
    </w:p>
    <w:p w:rsidR="00A01923" w:rsidRDefault="00A01923" w:rsidP="00A01923">
      <w:pPr>
        <w:pStyle w:val="a8"/>
        <w:spacing w:after="0" w:line="360" w:lineRule="auto"/>
        <w:ind w:left="-142" w:firstLine="426"/>
        <w:jc w:val="center"/>
        <w:rPr>
          <w:b/>
          <w:sz w:val="28"/>
          <w:szCs w:val="28"/>
        </w:rPr>
      </w:pPr>
      <w:r>
        <w:rPr>
          <w:b/>
          <w:sz w:val="28"/>
          <w:szCs w:val="28"/>
        </w:rPr>
        <w:t>Критерії оцінки стану артерій відтоку в залежності від локалізації дистального кінця передбачуваного анастомозу.</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3"/>
        <w:gridCol w:w="567"/>
        <w:gridCol w:w="2835"/>
        <w:gridCol w:w="2942"/>
      </w:tblGrid>
      <w:tr w:rsidR="00A01923" w:rsidTr="00A01923">
        <w:tc>
          <w:tcPr>
            <w:tcW w:w="3403" w:type="dxa"/>
            <w:vMerge w:val="restart"/>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Локалізація дистального анастомозу</w:t>
            </w:r>
          </w:p>
        </w:tc>
        <w:tc>
          <w:tcPr>
            <w:tcW w:w="6344" w:type="dxa"/>
            <w:gridSpan w:val="3"/>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Кількість балів</w:t>
            </w:r>
          </w:p>
        </w:tc>
      </w:tr>
      <w:tr w:rsidR="00A01923" w:rsidTr="00A01923">
        <w:tc>
          <w:tcPr>
            <w:tcW w:w="3403"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1</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2</w:t>
            </w:r>
          </w:p>
        </w:tc>
        <w:tc>
          <w:tcPr>
            <w:tcW w:w="2942"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3</w:t>
            </w:r>
          </w:p>
        </w:tc>
      </w:tr>
      <w:tr w:rsidR="00A01923" w:rsidTr="00A01923">
        <w:tc>
          <w:tcPr>
            <w:tcW w:w="3403"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Підколінна нижче щілини колінного суглоба</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color w:val="FF0000"/>
                <w:sz w:val="28"/>
                <w:szCs w:val="28"/>
              </w:rPr>
            </w:pPr>
            <w:r>
              <w:rPr>
                <w:sz w:val="28"/>
                <w:szCs w:val="28"/>
              </w:rPr>
              <w:t>−</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sz w:val="28"/>
                <w:szCs w:val="28"/>
              </w:rPr>
            </w:pPr>
            <w:r>
              <w:rPr>
                <w:sz w:val="28"/>
                <w:szCs w:val="28"/>
              </w:rPr>
              <w:t>−</w:t>
            </w:r>
          </w:p>
        </w:tc>
        <w:tc>
          <w:tcPr>
            <w:tcW w:w="2942"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Малогомілкова артерія</w:t>
            </w:r>
          </w:p>
        </w:tc>
      </w:tr>
      <w:tr w:rsidR="00A01923" w:rsidTr="00A01923">
        <w:tc>
          <w:tcPr>
            <w:tcW w:w="3403"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Передня гомілкова артерія</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color w:val="FF0000"/>
                <w:sz w:val="28"/>
                <w:szCs w:val="28"/>
              </w:rPr>
            </w:pPr>
            <w:r>
              <w:rPr>
                <w:sz w:val="28"/>
                <w:szCs w:val="28"/>
              </w:rPr>
              <w:t>−</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Дистальні відділи гомілкової артерії</w:t>
            </w:r>
          </w:p>
        </w:tc>
        <w:tc>
          <w:tcPr>
            <w:tcW w:w="2942"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Артеріальна дуга ступні</w:t>
            </w:r>
          </w:p>
        </w:tc>
      </w:tr>
      <w:tr w:rsidR="00A01923" w:rsidTr="00A01923">
        <w:tc>
          <w:tcPr>
            <w:tcW w:w="3403"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Задня гомілкова артерія</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sz w:val="28"/>
                <w:szCs w:val="28"/>
              </w:rPr>
            </w:pPr>
            <w:r>
              <w:rPr>
                <w:sz w:val="28"/>
                <w:szCs w:val="28"/>
              </w:rPr>
              <w:t>−</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Дистальні відділи гомілкової артерії</w:t>
            </w:r>
          </w:p>
        </w:tc>
        <w:tc>
          <w:tcPr>
            <w:tcW w:w="2942"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Артеріальна дуга ступні</w:t>
            </w:r>
          </w:p>
        </w:tc>
      </w:tr>
      <w:tr w:rsidR="00A01923" w:rsidTr="00A01923">
        <w:tc>
          <w:tcPr>
            <w:tcW w:w="3403"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Малогомілкова артерія</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sz w:val="28"/>
                <w:szCs w:val="28"/>
              </w:rPr>
            </w:pPr>
            <w:r>
              <w:rPr>
                <w:sz w:val="28"/>
                <w:szCs w:val="28"/>
              </w:rPr>
              <w:t>−</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Шляхи відтоку ступні</w:t>
            </w:r>
          </w:p>
        </w:tc>
        <w:tc>
          <w:tcPr>
            <w:tcW w:w="2942" w:type="dxa"/>
            <w:vMerge w:val="restart"/>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Колатералі в передню і задню велико-гомілкові артерії</w:t>
            </w:r>
          </w:p>
        </w:tc>
      </w:tr>
      <w:tr w:rsidR="00A01923" w:rsidTr="00A01923">
        <w:trPr>
          <w:trHeight w:val="106"/>
        </w:trPr>
        <w:tc>
          <w:tcPr>
            <w:tcW w:w="3403"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rPr>
                <w:sz w:val="28"/>
                <w:szCs w:val="28"/>
              </w:rPr>
            </w:pPr>
            <w:r>
              <w:rPr>
                <w:sz w:val="28"/>
                <w:szCs w:val="28"/>
              </w:rPr>
              <w:t>Тильна артерія стопи</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both"/>
              <w:rPr>
                <w:sz w:val="28"/>
                <w:szCs w:val="28"/>
              </w:rPr>
            </w:pPr>
            <w:r>
              <w:rPr>
                <w:sz w:val="28"/>
                <w:szCs w:val="28"/>
              </w:rPr>
              <w:t>−</w:t>
            </w:r>
          </w:p>
        </w:tc>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8"/>
              <w:spacing w:after="0" w:line="360" w:lineRule="auto"/>
              <w:ind w:left="0"/>
              <w:jc w:val="center"/>
              <w:rPr>
                <w:sz w:val="28"/>
                <w:szCs w:val="28"/>
              </w:rPr>
            </w:pPr>
            <w:r>
              <w:rPr>
                <w:sz w:val="28"/>
                <w:szCs w:val="28"/>
              </w:rPr>
              <w:t>−</w:t>
            </w:r>
          </w:p>
        </w:tc>
        <w:tc>
          <w:tcPr>
            <w:tcW w:w="2942"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r>
    </w:tbl>
    <w:p w:rsidR="00A01923" w:rsidRDefault="00A01923" w:rsidP="00A01923">
      <w:pPr>
        <w:pStyle w:val="a8"/>
        <w:spacing w:after="0" w:line="360" w:lineRule="auto"/>
        <w:ind w:left="0"/>
        <w:jc w:val="both"/>
        <w:rPr>
          <w:sz w:val="28"/>
          <w:szCs w:val="28"/>
        </w:rPr>
      </w:pPr>
    </w:p>
    <w:p w:rsidR="00A01923" w:rsidRDefault="00A01923" w:rsidP="00A01923">
      <w:pPr>
        <w:pStyle w:val="a8"/>
        <w:spacing w:after="0" w:line="360" w:lineRule="auto"/>
        <w:ind w:left="0"/>
        <w:jc w:val="both"/>
        <w:rPr>
          <w:sz w:val="28"/>
          <w:szCs w:val="28"/>
        </w:rPr>
      </w:pPr>
      <w:r>
        <w:rPr>
          <w:sz w:val="28"/>
          <w:szCs w:val="28"/>
        </w:rPr>
        <w:t xml:space="preserve">Розподіл хворих за типами ураження артерій </w:t>
      </w:r>
      <w:r>
        <w:rPr>
          <w:color w:val="000000"/>
          <w:sz w:val="28"/>
          <w:szCs w:val="28"/>
        </w:rPr>
        <w:t>представлений в таблиці 3.9.</w:t>
      </w:r>
    </w:p>
    <w:p w:rsidR="00A01923" w:rsidRDefault="00A01923" w:rsidP="00A01923">
      <w:pPr>
        <w:spacing w:after="0" w:line="360" w:lineRule="auto"/>
        <w:ind w:left="-284" w:firstLine="568"/>
        <w:jc w:val="right"/>
        <w:rPr>
          <w:rFonts w:ascii="Times New Roman" w:hAnsi="Times New Roman"/>
          <w:i/>
          <w:sz w:val="28"/>
          <w:szCs w:val="28"/>
          <w:lang w:val="uk-UA"/>
        </w:rPr>
      </w:pPr>
      <w:r>
        <w:rPr>
          <w:rFonts w:ascii="Times New Roman" w:hAnsi="Times New Roman"/>
          <w:i/>
          <w:sz w:val="28"/>
          <w:szCs w:val="28"/>
          <w:lang w:val="uk-UA"/>
        </w:rPr>
        <w:t>Таблиця 3.9</w:t>
      </w:r>
    </w:p>
    <w:p w:rsidR="00A01923" w:rsidRDefault="00A01923" w:rsidP="00A01923">
      <w:pPr>
        <w:pStyle w:val="a8"/>
        <w:spacing w:after="0" w:line="360" w:lineRule="auto"/>
        <w:ind w:left="0" w:firstLine="425"/>
        <w:jc w:val="center"/>
        <w:rPr>
          <w:b/>
          <w:sz w:val="28"/>
          <w:szCs w:val="28"/>
        </w:rPr>
      </w:pPr>
      <w:r>
        <w:rPr>
          <w:b/>
          <w:sz w:val="28"/>
          <w:szCs w:val="28"/>
        </w:rPr>
        <w:t>Розподіл хворих за типами ураження артерій.</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61"/>
        <w:gridCol w:w="709"/>
        <w:gridCol w:w="926"/>
        <w:gridCol w:w="749"/>
        <w:gridCol w:w="926"/>
        <w:gridCol w:w="834"/>
        <w:gridCol w:w="841"/>
        <w:gridCol w:w="910"/>
        <w:gridCol w:w="733"/>
      </w:tblGrid>
      <w:tr w:rsidR="00A01923" w:rsidTr="00A01923">
        <w:tc>
          <w:tcPr>
            <w:tcW w:w="3261"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Рівень ураження</w:t>
            </w:r>
          </w:p>
        </w:tc>
        <w:tc>
          <w:tcPr>
            <w:tcW w:w="3310"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Основна група (n=55)</w:t>
            </w:r>
          </w:p>
        </w:tc>
        <w:tc>
          <w:tcPr>
            <w:tcW w:w="3318"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Група порівняння (n=50)</w:t>
            </w:r>
          </w:p>
        </w:tc>
      </w:tr>
      <w:tr w:rsidR="00A01923" w:rsidTr="00A01923">
        <w:tc>
          <w:tcPr>
            <w:tcW w:w="3261"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163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Стеноз</w:t>
            </w:r>
          </w:p>
        </w:tc>
        <w:tc>
          <w:tcPr>
            <w:tcW w:w="167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Оклюзія</w:t>
            </w:r>
          </w:p>
        </w:tc>
        <w:tc>
          <w:tcPr>
            <w:tcW w:w="167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Стеноз</w:t>
            </w:r>
          </w:p>
        </w:tc>
        <w:tc>
          <w:tcPr>
            <w:tcW w:w="1643"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Оклюзія</w:t>
            </w:r>
          </w:p>
        </w:tc>
      </w:tr>
      <w:tr w:rsidR="00A01923" w:rsidTr="00A01923">
        <w:tc>
          <w:tcPr>
            <w:tcW w:w="3261"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абс.</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абс.</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абс.</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абс.</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Підколінна артерія</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11</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20,0</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19</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34,5</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11</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22,0</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7</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14,0</w:t>
            </w:r>
          </w:p>
        </w:tc>
      </w:tr>
      <w:tr w:rsidR="00A01923" w:rsidTr="00A01923">
        <w:trPr>
          <w:trHeight w:val="722"/>
        </w:trPr>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276" w:lineRule="auto"/>
              <w:jc w:val="center"/>
              <w:rPr>
                <w:sz w:val="28"/>
                <w:szCs w:val="28"/>
                <w:lang w:val="uk-UA"/>
              </w:rPr>
            </w:pPr>
            <w:r>
              <w:rPr>
                <w:sz w:val="28"/>
                <w:szCs w:val="28"/>
                <w:lang w:val="uk-UA"/>
              </w:rPr>
              <w:t>Задня великогомілкова артерія</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7</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12,7</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28</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50,1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7</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14,0</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26</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52,0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276" w:lineRule="auto"/>
              <w:jc w:val="center"/>
              <w:rPr>
                <w:sz w:val="28"/>
                <w:szCs w:val="28"/>
                <w:lang w:val="uk-UA"/>
              </w:rPr>
            </w:pPr>
            <w:r>
              <w:rPr>
                <w:sz w:val="28"/>
                <w:szCs w:val="28"/>
                <w:lang w:val="uk-UA"/>
              </w:rPr>
              <w:t>Передня великогомілкова артерія</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10</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18,2</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27</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49,1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6</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12,0</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26</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52,0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Малогомілкова артерія</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2</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3,6</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6</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10,9</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1</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2,0</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3</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6,0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sz w:val="28"/>
                <w:szCs w:val="28"/>
                <w:lang w:val="uk-UA"/>
              </w:rPr>
            </w:pPr>
            <w:r>
              <w:rPr>
                <w:sz w:val="28"/>
                <w:szCs w:val="28"/>
                <w:lang w:val="uk-UA"/>
              </w:rPr>
              <w:t>Артерії ступні</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c>
          <w:tcPr>
            <w:tcW w:w="74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1</w:t>
            </w:r>
          </w:p>
        </w:tc>
        <w:tc>
          <w:tcPr>
            <w:tcW w:w="9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1,8</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w:t>
            </w:r>
          </w:p>
        </w:tc>
        <w:tc>
          <w:tcPr>
            <w:tcW w:w="84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w:t>
            </w:r>
          </w:p>
        </w:tc>
        <w:tc>
          <w:tcPr>
            <w:tcW w:w="9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360" w:lineRule="auto"/>
              <w:jc w:val="center"/>
              <w:rPr>
                <w:color w:val="000000"/>
                <w:sz w:val="28"/>
                <w:szCs w:val="28"/>
                <w:lang w:val="uk-UA"/>
              </w:rPr>
            </w:pPr>
            <w:r>
              <w:rPr>
                <w:color w:val="000000"/>
                <w:sz w:val="28"/>
                <w:szCs w:val="28"/>
                <w:lang w:val="uk-UA"/>
              </w:rPr>
              <w:t>2</w:t>
            </w:r>
          </w:p>
        </w:tc>
        <w:tc>
          <w:tcPr>
            <w:tcW w:w="73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4,0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5"/>
              <w:tabs>
                <w:tab w:val="left" w:pos="9360"/>
              </w:tabs>
              <w:spacing w:before="0" w:beforeAutospacing="0" w:after="0" w:afterAutospacing="0" w:line="276" w:lineRule="auto"/>
              <w:jc w:val="center"/>
              <w:rPr>
                <w:sz w:val="28"/>
                <w:szCs w:val="28"/>
                <w:lang w:val="uk-UA"/>
              </w:rPr>
            </w:pPr>
            <w:r>
              <w:rPr>
                <w:sz w:val="28"/>
                <w:szCs w:val="28"/>
                <w:lang w:val="uk-UA"/>
              </w:rPr>
              <w:t>Стан шляхів відтоку (бали)</w:t>
            </w:r>
          </w:p>
        </w:tc>
        <w:tc>
          <w:tcPr>
            <w:tcW w:w="163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5,2</w:t>
            </w:r>
            <w:r>
              <w:rPr>
                <w:sz w:val="28"/>
                <w:szCs w:val="28"/>
              </w:rPr>
              <w:sym w:font="Symbol" w:char="00B1"/>
            </w:r>
            <w:r>
              <w:rPr>
                <w:sz w:val="28"/>
                <w:szCs w:val="28"/>
              </w:rPr>
              <w:t>1,4</w:t>
            </w:r>
          </w:p>
        </w:tc>
        <w:tc>
          <w:tcPr>
            <w:tcW w:w="167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7,06</w:t>
            </w:r>
            <w:r>
              <w:rPr>
                <w:sz w:val="28"/>
                <w:szCs w:val="28"/>
              </w:rPr>
              <w:sym w:font="Symbol" w:char="00B1"/>
            </w:r>
            <w:r>
              <w:rPr>
                <w:sz w:val="28"/>
                <w:szCs w:val="28"/>
              </w:rPr>
              <w:t>1,3</w:t>
            </w:r>
          </w:p>
        </w:tc>
        <w:tc>
          <w:tcPr>
            <w:tcW w:w="1675"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4,6</w:t>
            </w:r>
            <w:r>
              <w:rPr>
                <w:sz w:val="28"/>
                <w:szCs w:val="28"/>
              </w:rPr>
              <w:sym w:font="Symbol" w:char="00B1"/>
            </w:r>
            <w:r>
              <w:rPr>
                <w:sz w:val="28"/>
                <w:szCs w:val="28"/>
              </w:rPr>
              <w:t>1,6</w:t>
            </w:r>
          </w:p>
        </w:tc>
        <w:tc>
          <w:tcPr>
            <w:tcW w:w="1643"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8"/>
              <w:spacing w:after="0" w:line="360" w:lineRule="auto"/>
              <w:ind w:left="0"/>
              <w:jc w:val="center"/>
              <w:rPr>
                <w:sz w:val="28"/>
                <w:szCs w:val="28"/>
              </w:rPr>
            </w:pPr>
            <w:r>
              <w:rPr>
                <w:sz w:val="28"/>
                <w:szCs w:val="28"/>
              </w:rPr>
              <w:t>7,1</w:t>
            </w:r>
            <w:r>
              <w:rPr>
                <w:sz w:val="28"/>
                <w:szCs w:val="28"/>
              </w:rPr>
              <w:sym w:font="Symbol" w:char="00B1"/>
            </w:r>
            <w:r>
              <w:rPr>
                <w:sz w:val="28"/>
                <w:szCs w:val="28"/>
              </w:rPr>
              <w:t>0,2</w:t>
            </w:r>
          </w:p>
        </w:tc>
      </w:tr>
    </w:tbl>
    <w:p w:rsidR="00A01923" w:rsidRDefault="00A01923" w:rsidP="00A01923">
      <w:pPr>
        <w:pStyle w:val="a8"/>
        <w:spacing w:after="0" w:line="360" w:lineRule="auto"/>
        <w:ind w:left="-426" w:firstLine="426"/>
        <w:jc w:val="both"/>
        <w:rPr>
          <w:sz w:val="28"/>
          <w:szCs w:val="28"/>
        </w:rPr>
      </w:pPr>
    </w:p>
    <w:p w:rsidR="00A01923" w:rsidRDefault="00A01923" w:rsidP="00A01923">
      <w:pPr>
        <w:pStyle w:val="a8"/>
        <w:spacing w:after="0" w:line="360" w:lineRule="auto"/>
        <w:ind w:left="-426" w:firstLine="426"/>
        <w:jc w:val="both"/>
        <w:rPr>
          <w:sz w:val="28"/>
          <w:szCs w:val="28"/>
        </w:rPr>
      </w:pPr>
      <w:r>
        <w:rPr>
          <w:color w:val="000000"/>
          <w:sz w:val="28"/>
          <w:szCs w:val="28"/>
        </w:rPr>
        <w:lastRenderedPageBreak/>
        <w:t>З табл.3.9 свідчить, що здебільшого хворі мали множинні ураження артерій</w:t>
      </w:r>
      <w:r>
        <w:rPr>
          <w:sz w:val="28"/>
          <w:szCs w:val="28"/>
        </w:rPr>
        <w:t xml:space="preserve"> гомілки, а саме оклюзії, та найчастіше виявлялися ураженими задня та передня великогомілкові артерії. При цьому, стан шляхів відтоку в основній групі при наявності стенозу в середньому склав 5,2</w:t>
      </w:r>
      <w:r>
        <w:rPr>
          <w:sz w:val="28"/>
          <w:szCs w:val="28"/>
        </w:rPr>
        <w:sym w:font="Symbol" w:char="00B1"/>
      </w:r>
      <w:r>
        <w:rPr>
          <w:sz w:val="28"/>
          <w:szCs w:val="28"/>
        </w:rPr>
        <w:t>1,4 бали (мінімум – 4, максимум – 9,5, медіана – 5), в групі порівняння – 4,6</w:t>
      </w:r>
      <w:r>
        <w:rPr>
          <w:sz w:val="28"/>
          <w:szCs w:val="28"/>
        </w:rPr>
        <w:sym w:font="Symbol" w:char="00B1"/>
      </w:r>
      <w:r>
        <w:rPr>
          <w:sz w:val="28"/>
          <w:szCs w:val="28"/>
        </w:rPr>
        <w:t>1,6 (мінімум – 4,5, максимум – 9,5, медіана – 3) (p</w:t>
      </w:r>
      <w:r>
        <w:rPr>
          <w:sz w:val="28"/>
          <w:szCs w:val="28"/>
        </w:rPr>
        <w:sym w:font="Symbol" w:char="003E"/>
      </w:r>
      <w:r>
        <w:rPr>
          <w:sz w:val="28"/>
          <w:szCs w:val="28"/>
        </w:rPr>
        <w:t>0,05); при наявності оклюзії – в основній групі 7,06</w:t>
      </w:r>
      <w:r>
        <w:rPr>
          <w:sz w:val="28"/>
          <w:szCs w:val="28"/>
        </w:rPr>
        <w:sym w:font="Symbol" w:char="00B1"/>
      </w:r>
      <w:r>
        <w:rPr>
          <w:sz w:val="28"/>
          <w:szCs w:val="28"/>
        </w:rPr>
        <w:t>1,3 бали (мінімум – 5,5, максимум – 10, медіана – 7), в групі порівняння – 7,1</w:t>
      </w:r>
      <w:r>
        <w:rPr>
          <w:sz w:val="28"/>
          <w:szCs w:val="28"/>
        </w:rPr>
        <w:sym w:font="Symbol" w:char="00B1"/>
      </w:r>
      <w:r>
        <w:rPr>
          <w:sz w:val="28"/>
          <w:szCs w:val="28"/>
        </w:rPr>
        <w:t>0,2 (мінімум – 5,5, максимум –10, медіана – 6,5) (p</w:t>
      </w:r>
      <w:r>
        <w:rPr>
          <w:sz w:val="28"/>
          <w:szCs w:val="28"/>
        </w:rPr>
        <w:sym w:font="Symbol" w:char="003E"/>
      </w:r>
      <w:r>
        <w:rPr>
          <w:sz w:val="28"/>
          <w:szCs w:val="28"/>
        </w:rPr>
        <w:t>0,05) (рис. 3.11).</w:t>
      </w:r>
    </w:p>
    <w:p w:rsidR="00A01923" w:rsidRDefault="00487043" w:rsidP="00A01923">
      <w:pPr>
        <w:pStyle w:val="a5"/>
        <w:tabs>
          <w:tab w:val="left" w:pos="9360"/>
        </w:tabs>
        <w:spacing w:before="0" w:beforeAutospacing="0" w:after="0" w:afterAutospacing="0" w:line="360" w:lineRule="auto"/>
        <w:ind w:left="-284" w:firstLine="568"/>
        <w:jc w:val="both"/>
        <w:rPr>
          <w:sz w:val="28"/>
          <w:szCs w:val="28"/>
          <w:lang w:val="uk-UA"/>
        </w:rPr>
      </w:pPr>
      <w:r w:rsidRPr="00487043">
        <w:pict>
          <v:group id="_x0000_s1912" style="position:absolute;left:0;text-align:left;margin-left:-8.55pt;margin-top:15.2pt;width:498pt;height:427.5pt;z-index:251643392" coordorigin="1065,6872" coordsize="9960,8550">
            <v:shape id="_x0000_s1913" type="#_x0000_t202" style="position:absolute;left:1065;top:6872;width:9960;height:7695" stroked="f">
              <v:textbox style="mso-next-textbox:#_x0000_s1913">
                <w:txbxContent>
                  <w:p w:rsidR="00DA0A21" w:rsidRDefault="00DA0A21" w:rsidP="00A01923"/>
                </w:txbxContent>
              </v:textbox>
            </v:shape>
            <v:shape id="_x0000_s1914" type="#_x0000_t32" style="position:absolute;left:1965;top:7427;width:0;height:6120" o:connectortype="straight" strokeweight="1pt"/>
            <v:shape id="_x0000_s1915" type="#_x0000_t32" style="position:absolute;left:1965;top:13547;width:8370;height:0" o:connectortype="straight"/>
            <v:shape id="_x0000_s1916" type="#_x0000_t32" style="position:absolute;left:3705;top:7431;width:0;height:6120" o:connectortype="straight" strokeweight="1pt"/>
            <v:shape id="_x0000_s1917" type="#_x0000_t32" style="position:absolute;left:5490;top:7431;width:0;height:6120" o:connectortype="straight" strokeweight="1pt"/>
            <v:shape id="_x0000_s1918" type="#_x0000_t32" style="position:absolute;left:7318;top:7416;width:0;height:6120" o:connectortype="straight" strokeweight="1pt"/>
            <v:shape id="_x0000_s1919" type="#_x0000_t32" style="position:absolute;left:9180;top:7416;width:0;height:6120" o:connectortype="straight" strokeweight="1pt"/>
            <v:shape id="_x0000_s1920" type="#_x0000_t202" style="position:absolute;left:1965;top:13577;width:1665;height:480"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стеноз</w:t>
                    </w:r>
                  </w:p>
                  <w:p w:rsidR="00DA0A21" w:rsidRDefault="00DA0A21" w:rsidP="00A01923">
                    <w:pPr>
                      <w:jc w:val="center"/>
                      <w:rPr>
                        <w:rFonts w:ascii="Times New Roman" w:hAnsi="Times New Roman"/>
                        <w:sz w:val="28"/>
                        <w:szCs w:val="28"/>
                        <w:lang w:val="uk-UA"/>
                      </w:rPr>
                    </w:pPr>
                  </w:p>
                </w:txbxContent>
              </v:textbox>
            </v:shape>
            <v:shape id="_x0000_s1921" type="#_x0000_t202" style="position:absolute;left:5653;top:13562;width:1665;height:495"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стеноз</w:t>
                    </w:r>
                  </w:p>
                </w:txbxContent>
              </v:textbox>
            </v:shape>
            <v:shape id="_x0000_s1922" type="#_x0000_t202" style="position:absolute;left:3825;top:13577;width:1665;height:465"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оклюзія</w:t>
                    </w:r>
                  </w:p>
                </w:txbxContent>
              </v:textbox>
            </v:shape>
            <v:shape id="_x0000_s1923" type="#_x0000_t202" style="position:absolute;left:7515;top:13577;width:1665;height:465"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оклюзія</w:t>
                    </w:r>
                  </w:p>
                </w:txbxContent>
              </v:textbox>
            </v:shape>
            <v:shape id="_x0000_s1924" type="#_x0000_t202" style="position:absolute;left:2040;top:14042;width:3450;height:525"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Основна група</w:t>
                    </w:r>
                  </w:p>
                </w:txbxContent>
              </v:textbox>
            </v:shape>
            <v:shape id="_x0000_s1925" type="#_x0000_t202" style="position:absolute;left:5781;top:13967;width:3450;height:525"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Група порівняння</w:t>
                    </w:r>
                  </w:p>
                </w:txbxContent>
              </v:textbox>
            </v:shape>
            <v:shape id="_x0000_s1926" type="#_x0000_t32" style="position:absolute;left:1875;top:12977;width:90;height:0;flip:x" o:connectortype="straight"/>
            <v:shape id="_x0000_s1927" type="#_x0000_t32" style="position:absolute;left:1875;top:12407;width:90;height:0;flip:x" o:connectortype="straight"/>
            <v:shape id="_x0000_s1928" type="#_x0000_t32" style="position:absolute;left:1875;top:11822;width:90;height:0;flip:x" o:connectortype="straight"/>
            <v:shape id="_x0000_s1929" type="#_x0000_t32" style="position:absolute;left:1875;top:11252;width:90;height:0;flip:x" o:connectortype="straight"/>
            <v:shape id="_x0000_s1930" type="#_x0000_t32" style="position:absolute;left:1875;top:10682;width:90;height:0;flip:x" o:connectortype="straight"/>
            <v:shape id="_x0000_s1931" type="#_x0000_t32" style="position:absolute;left:1860;top:10127;width:90;height:0;flip:x" o:connectortype="straight"/>
            <v:shape id="_x0000_s1932" type="#_x0000_t32" style="position:absolute;left:1860;top:9572;width:90;height:0;flip:x" o:connectortype="straight"/>
            <v:shape id="_x0000_s1933" type="#_x0000_t32" style="position:absolute;left:1875;top:9047;width:90;height:0;flip:x" o:connectortype="straight"/>
            <v:shape id="_x0000_s1934" type="#_x0000_t32" style="position:absolute;left:1875;top:8522;width:90;height:0;flip:x" o:connectortype="straight"/>
            <v:shape id="_x0000_s1935" type="#_x0000_t32" style="position:absolute;left:1875;top:8012;width:90;height:0;flip:x" o:connectortype="straight"/>
            <v:shape id="_x0000_s1936" type="#_x0000_t202" style="position:absolute;left:1530;top:12737;width:345;height:46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1</w:t>
                    </w:r>
                  </w:p>
                </w:txbxContent>
              </v:textbox>
            </v:shape>
            <v:shape id="_x0000_s1937" type="#_x0000_t202" style="position:absolute;left:1500;top:12197;width:345;height:46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2</w:t>
                    </w:r>
                  </w:p>
                </w:txbxContent>
              </v:textbox>
            </v:shape>
            <v:shape id="_x0000_s1938" type="#_x0000_t202" style="position:absolute;left:1500;top:8327;width:345;height:465" stroked="f">
              <v:textbox style="mso-next-textbox:#_x0000_s1938">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9</w:t>
                    </w:r>
                  </w:p>
                </w:txbxContent>
              </v:textbox>
            </v:shape>
            <v:shape id="_x0000_s1939" type="#_x0000_t202" style="position:absolute;left:1500;top:8792;width:345;height:465" stroked="f">
              <v:textbox style="mso-next-textbox:#_x0000_s1939">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8</w:t>
                    </w:r>
                  </w:p>
                </w:txbxContent>
              </v:textbox>
            </v:shape>
            <v:shape id="_x0000_s1940" type="#_x0000_t202" style="position:absolute;left:1500;top:9347;width:345;height:465" stroked="f">
              <v:textbox style="mso-next-textbox:#_x0000_s1940">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7</w:t>
                    </w:r>
                  </w:p>
                </w:txbxContent>
              </v:textbox>
            </v:shape>
            <v:shape id="_x0000_s1941" type="#_x0000_t202" style="position:absolute;left:1500;top:9902;width:345;height:465" stroked="f">
              <v:textbox style="mso-next-textbox:#_x0000_s1941">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6</w:t>
                    </w:r>
                  </w:p>
                </w:txbxContent>
              </v:textbox>
            </v:shape>
            <v:shape id="_x0000_s1942" type="#_x0000_t202" style="position:absolute;left:1500;top:10457;width:345;height:46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5</w:t>
                    </w:r>
                  </w:p>
                </w:txbxContent>
              </v:textbox>
            </v:shape>
            <v:shape id="_x0000_s1943" type="#_x0000_t202" style="position:absolute;left:1500;top:11012;width:345;height:46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4</w:t>
                    </w:r>
                  </w:p>
                </w:txbxContent>
              </v:textbox>
            </v:shape>
            <v:shape id="_x0000_s1944" type="#_x0000_t202" style="position:absolute;left:1500;top:11597;width:345;height:46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3</w:t>
                    </w:r>
                  </w:p>
                </w:txbxContent>
              </v:textbox>
            </v:shape>
            <v:shape id="_x0000_s1945" type="#_x0000_t202" style="position:absolute;left:1290;top:7772;width:570;height:555" stroked="f">
              <v:textbox style="mso-next-textbox:#_x0000_s1945">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10</w:t>
                    </w:r>
                  </w:p>
                </w:txbxContent>
              </v:textbox>
            </v:shape>
            <v:shape id="_x0000_s1946" type="#_x0000_t202" style="position:absolute;left:1065;top:7112;width:885;height:570" stroked="f">
              <v:textbox style="mso-next-textbox:#_x0000_s1946">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бали</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947" type="#_x0000_t120" style="position:absolute;left:2415;top:10607;width:143;height:143"/>
            <v:shape id="_x0000_s1948" type="#_x0000_t120" style="position:absolute;left:2272;top:10607;width:143;height:143"/>
            <v:shape id="_x0000_s1949" type="#_x0000_t120" style="position:absolute;left:2558;top:10607;width:143;height:143"/>
            <v:shape id="_x0000_s1950" type="#_x0000_t120" style="position:absolute;left:2701;top:10607;width:143;height:143"/>
            <v:shape id="_x0000_s1951" type="#_x0000_t120" style="position:absolute;left:2844;top:10682;width:143;height:143"/>
            <v:shape id="_x0000_s1952" type="#_x0000_t120" style="position:absolute;left:2844;top:10607;width:143;height:143"/>
            <v:shape id="_x0000_s1953" type="#_x0000_t120" style="position:absolute;left:2987;top:10539;width:143;height:143"/>
            <v:shape id="_x0000_s1954" type="#_x0000_t120" style="position:absolute;left:2987;top:10682;width:143;height:143"/>
            <v:shape id="_x0000_s1955" type="#_x0000_t120" style="position:absolute;left:2987;top:10607;width:143;height:143"/>
            <v:shape id="_x0000_s1956" type="#_x0000_t120" style="position:absolute;left:3130;top:10607;width:143;height:143"/>
            <v:shape id="_x0000_s1957" type="#_x0000_t120" style="position:absolute;left:2558;top:10539;width:143;height:143"/>
            <v:shape id="_x0000_s1958" type="#_x0000_t120" style="position:absolute;left:2129;top:10607;width:143;height:143"/>
            <v:shape id="_x0000_s1959" type="#_x0000_t120" style="position:absolute;left:3232;top:10607;width:143;height:143"/>
            <v:shape id="_x0000_s1960" type="#_x0000_t120" style="position:absolute;left:3278;top:10607;width:143;height:143"/>
            <v:shape id="_x0000_s1961" type="#_x0000_t120" style="position:absolute;left:3375;top:10607;width:143;height:143"/>
            <v:shape id="_x0000_s1962" type="#_x0000_t120" style="position:absolute;left:3487;top:10607;width:143;height:143"/>
            <v:shape id="_x0000_s1963" type="#_x0000_t120" style="position:absolute;left:3232;top:10682;width:143;height:143"/>
            <v:shape id="_x0000_s1964" type="#_x0000_t120" style="position:absolute;left:2340;top:10667;width:143;height:143"/>
            <v:shape id="_x0000_s1965" type="#_x0000_t120" style="position:absolute;left:2204;top:10547;width:143;height:143"/>
            <v:shape id="_x0000_s1966" type="#_x0000_t120" style="position:absolute;left:3547;top:10607;width:143;height:143"/>
            <v:shape id="_x0000_s1967" type="#_x0000_t120" style="position:absolute;left:2197;top:11177;width:143;height:143"/>
            <v:shape id="_x0000_s1968" type="#_x0000_t120" style="position:absolute;left:2844;top:11177;width:143;height:143"/>
            <v:shape id="_x0000_s1969" type="#_x0000_t120" style="position:absolute;left:2655;top:11177;width:143;height:143"/>
            <v:shape id="_x0000_s1970" type="#_x0000_t120" style="position:absolute;left:2430;top:11177;width:143;height:143"/>
            <v:shape id="_x0000_s1971" type="#_x0000_t120" style="position:absolute;left:2340;top:8184;width:143;height:143"/>
            <v:shape id="_x0000_s1972" type="#_x0000_t120" style="position:absolute;left:2625;top:8184;width:143;height:143"/>
            <v:shape id="_x0000_s1973" type="#_x0000_t120" style="position:absolute;left:6391;top:11679;width:143;height:143"/>
            <v:shape id="_x0000_s1974" type="#_x0000_t120" style="position:absolute;left:6248;top:11679;width:143;height:143"/>
            <v:shape id="_x0000_s1975" type="#_x0000_t120" style="position:absolute;left:6105;top:11679;width:143;height:143"/>
            <v:shape id="_x0000_s1976" type="#_x0000_t120" style="position:absolute;left:5940;top:11679;width:143;height:143"/>
            <v:shape id="_x0000_s1977" type="#_x0000_t120" style="position:absolute;left:6391;top:11109;width:143;height:143"/>
            <v:shape id="_x0000_s1978" type="#_x0000_t120" style="position:absolute;left:6248;top:11109;width:143;height:143"/>
            <v:shape id="_x0000_s1979" type="#_x0000_t120" style="position:absolute;left:6120;top:11109;width:143;height:143"/>
            <v:shape id="_x0000_s1980" type="#_x0000_t120" style="position:absolute;left:5940;top:11109;width:143;height:143"/>
            <v:shape id="_x0000_s1981" type="#_x0000_t120" style="position:absolute;left:5797;top:11109;width:143;height:143"/>
            <v:shape id="_x0000_s1982" type="#_x0000_t120" style="position:absolute;left:5638;top:11109;width:143;height:143"/>
            <v:shape id="_x0000_s1983" type="#_x0000_t120" style="position:absolute;left:6564;top:11109;width:143;height:143"/>
            <v:shape id="_x0000_s1984" type="#_x0000_t120" style="position:absolute;left:5638;top:10052;width:143;height:143"/>
            <v:shape id="_x0000_s1985" type="#_x0000_t120" style="position:absolute;left:6421;top:10059;width:143;height:143"/>
            <v:shape id="_x0000_s1986" type="#_x0000_t120" style="position:absolute;left:6263;top:10052;width:143;height:143"/>
            <v:shape id="_x0000_s1987" type="#_x0000_t120" style="position:absolute;left:6105;top:10052;width:143;height:143"/>
            <v:shape id="_x0000_s1988" type="#_x0000_t120" style="position:absolute;left:5940;top:10052;width:143;height:143"/>
            <v:shape id="_x0000_s1989" type="#_x0000_t120" style="position:absolute;left:5797;top:10052;width:143;height:143"/>
            <v:shape id="_x0000_s1990" type="#_x0000_t120" style="position:absolute;left:6105;top:8086;width:143;height:143"/>
            <v:shape id="_x0000_s1991" type="#_x0000_t120" style="position:absolute;left:6105;top:8882;width:143;height:143"/>
            <v:shape id="_x0000_s1992" type="#_x0000_t120" style="position:absolute;left:3855;top:9759;width:143;height:143"/>
            <v:shape id="_x0000_s1993" type="#_x0000_t120" style="position:absolute;left:3952;top:9759;width:143;height:143"/>
            <v:shape id="_x0000_s1994" type="#_x0000_t120" style="position:absolute;left:3998;top:9759;width:143;height:143"/>
            <v:shape id="_x0000_s1995" type="#_x0000_t120" style="position:absolute;left:4095;top:9759;width:143;height:143"/>
            <v:shape id="_x0000_s1996" type="#_x0000_t120" style="position:absolute;left:4192;top:9759;width:143;height:143"/>
            <v:shape id="_x0000_s1997" type="#_x0000_t120" style="position:absolute;left:4238;top:9759;width:143;height:143"/>
            <v:shape id="_x0000_s1998" type="#_x0000_t120" style="position:absolute;left:3712;top:9759;width:143;height:143"/>
            <v:shape id="_x0000_s1999" type="#_x0000_t120" style="position:absolute;left:4335;top:9759;width:143;height:143"/>
            <v:shape id="_x0000_s2000" type="#_x0000_t120" style="position:absolute;left:4432;top:9759;width:143;height:143"/>
            <v:shape id="_x0000_s2001" type="#_x0000_t120" style="position:absolute;left:4515;top:9759;width:143;height:143"/>
            <v:shape id="_x0000_s2002" type="#_x0000_t120" style="position:absolute;left:4658;top:9759;width:143;height:143"/>
            <v:shape id="_x0000_s2003" type="#_x0000_t120" style="position:absolute;left:4718;top:9759;width:143;height:143"/>
            <v:shape id="_x0000_s2004" type="#_x0000_t120" style="position:absolute;left:4801;top:9759;width:143;height:143"/>
            <v:shape id="_x0000_s2005" type="#_x0000_t120" style="position:absolute;left:4861;top:9759;width:143;height:143"/>
            <v:shape id="_x0000_s2006" type="#_x0000_t120" style="position:absolute;left:4944;top:9759;width:143;height:143"/>
            <v:shape id="_x0000_s2007" type="#_x0000_t120" style="position:absolute;left:5004;top:9759;width:143;height:143"/>
            <v:shape id="_x0000_s2008" type="#_x0000_t120" style="position:absolute;left:5087;top:9759;width:143;height:143"/>
            <v:shape id="_x0000_s2009" type="#_x0000_t120" style="position:absolute;left:5230;top:9759;width:143;height:143"/>
            <v:shape id="_x0000_s2010" type="#_x0000_t120" style="position:absolute;left:3758;top:10314;width:143;height:143"/>
            <v:shape id="_x0000_s2011" type="#_x0000_t120" style="position:absolute;left:3901;top:10314;width:143;height:143"/>
            <v:shape id="_x0000_s2012" type="#_x0000_t120" style="position:absolute;left:3998;top:10314;width:143;height:143"/>
            <v:shape id="_x0000_s2013" type="#_x0000_t120" style="position:absolute;left:4095;top:10314;width:143;height:143"/>
            <v:shape id="_x0000_s2014" type="#_x0000_t120" style="position:absolute;left:4238;top:10314;width:143;height:143"/>
            <v:shape id="_x0000_s2015" type="#_x0000_t120" style="position:absolute;left:4372;top:10314;width:143;height:143"/>
            <v:shape id="_x0000_s2016" type="#_x0000_t120" style="position:absolute;left:4478;top:10314;width:143;height:143"/>
            <v:shape id="_x0000_s2017" type="#_x0000_t120" style="position:absolute;left:4575;top:10314;width:143;height:143"/>
            <v:shape id="_x0000_s2018" type="#_x0000_t120" style="position:absolute;left:4672;top:10314;width:143;height:143"/>
            <v:shape id="_x0000_s2019" type="#_x0000_t120" style="position:absolute;left:4801;top:10314;width:143;height:143"/>
            <v:shape id="_x0000_s2020" type="#_x0000_t120" style="position:absolute;left:4912;top:10314;width:143;height:143"/>
            <v:shape id="_x0000_s2021" type="#_x0000_t120" style="position:absolute;left:5055;top:10314;width:143;height:143"/>
            <v:shape id="_x0000_s2022" type="#_x0000_t120" style="position:absolute;left:3712;top:9429;width:143;height:143"/>
            <v:shape id="_x0000_s2023" type="#_x0000_t120" style="position:absolute;left:3825;top:9429;width:143;height:143"/>
            <v:shape id="_x0000_s2024" type="#_x0000_t120" style="position:absolute;left:3901;top:9429;width:143;height:143"/>
            <v:shape id="_x0000_s2025" type="#_x0000_t120" style="position:absolute;left:3931;top:9429;width:143;height:143"/>
            <v:shape id="_x0000_s2026" type="#_x0000_t120" style="position:absolute;left:3998;top:9429;width:143;height:143"/>
            <v:shape id="_x0000_s2027" type="#_x0000_t120" style="position:absolute;left:4044;top:9429;width:143;height:143"/>
            <v:shape id="_x0000_s2028" type="#_x0000_t120" style="position:absolute;left:4141;top:9429;width:143;height:143"/>
            <v:shape id="_x0000_s2029" type="#_x0000_t120" style="position:absolute;left:4238;top:9429;width:143;height:143"/>
            <v:shape id="_x0000_s2030" type="#_x0000_t120" style="position:absolute;left:4289;top:9429;width:143;height:143"/>
            <v:shape id="_x0000_s2031" type="#_x0000_t120" style="position:absolute;left:4381;top:9429;width:143;height:143"/>
            <v:shape id="_x0000_s2032" type="#_x0000_t120" style="position:absolute;left:4470;top:9429;width:143;height:143"/>
            <v:shape id="_x0000_s2033" type="#_x0000_t120" style="position:absolute;left:4575;top:9429;width:143;height:143"/>
            <v:shape id="_x0000_s2034" type="#_x0000_t120" style="position:absolute;left:4672;top:9429;width:143;height:143"/>
            <v:shape id="_x0000_s2035" type="#_x0000_t120" style="position:absolute;left:4769;top:9429;width:143;height:143"/>
            <v:shape id="_x0000_s2036" type="#_x0000_t120" style="position:absolute;left:4861;top:9429;width:143;height:143"/>
            <v:shape id="_x0000_s2037" type="#_x0000_t120" style="position:absolute;left:4912;top:9429;width:143;height:143"/>
            <v:shape id="_x0000_s2038" type="#_x0000_t120" style="position:absolute;left:5004;top:9429;width:143;height:143"/>
            <v:shape id="_x0000_s2039" type="#_x0000_t120" style="position:absolute;left:5087;top:9429;width:143;height:143"/>
            <v:shape id="_x0000_s2040" type="#_x0000_t120" style="position:absolute;left:5147;top:9429;width:143;height:143"/>
            <v:shape id="_x0000_s2041" type="#_x0000_t120" style="position:absolute;left:5198;top:9429;width:143;height:143"/>
            <v:shape id="_x0000_s2042" type="#_x0000_t120" style="position:absolute;left:2512;top:9025;width:143;height:143"/>
            <v:shape id="_x0000_s2043" type="#_x0000_t120" style="position:absolute;left:3915;top:8649;width:143;height:143"/>
            <v:shape id="_x0000_s2044" type="#_x0000_t120" style="position:absolute;left:4095;top:8649;width:143;height:143"/>
            <v:shape id="_x0000_s2045" type="#_x0000_t120" style="position:absolute;left:4284;top:8649;width:143;height:143"/>
            <v:shape id="_x0000_s2046" type="#_x0000_t120" style="position:absolute;left:4432;top:8649;width:143;height:143"/>
            <v:shape id="_x0000_s2047" type="#_x0000_t120" style="position:absolute;left:4575;top:8649;width:143;height:143"/>
            <v:shape id="_x0000_s2048" type="#_x0000_t120" style="position:absolute;left:4718;top:8649;width:143;height:143"/>
            <v:shape id="_x0000_s2049" type="#_x0000_t120" style="position:absolute;left:5290;top:9429;width:143;height:143"/>
            <v:shape id="_x0000_s2050" type="#_x0000_t120" style="position:absolute;left:4289;top:7929;width:143;height:143"/>
            <v:shape id="_x0000_s2051" type="#_x0000_t120" style="position:absolute;left:8201;top:10382;width:143;height:143"/>
            <v:shape id="_x0000_s2052" type="#_x0000_t120" style="position:absolute;left:8930;top:10374;width:143;height:143"/>
            <v:shape id="_x0000_s2053" type="#_x0000_t120" style="position:absolute;left:8847;top:10374;width:143;height:143"/>
            <v:shape id="_x0000_s2054" type="#_x0000_t120" style="position:absolute;left:8712;top:10374;width:143;height:143"/>
            <v:shape id="_x0000_s2055" type="#_x0000_t120" style="position:absolute;left:8599;top:10374;width:143;height:143"/>
            <v:shape id="_x0000_s2056" type="#_x0000_t120" style="position:absolute;left:8494;top:10374;width:143;height:143"/>
            <v:shape id="_x0000_s2057" type="#_x0000_t120" style="position:absolute;left:8381;top:10382;width:143;height:143"/>
            <v:shape id="_x0000_s2058" type="#_x0000_t120" style="position:absolute;left:8306;top:10374;width:143;height:143"/>
            <v:shape id="_x0000_s2059" type="#_x0000_t120" style="position:absolute;left:8103;top:10389;width:143;height:143"/>
            <v:shape id="_x0000_s2060" type="#_x0000_t120" style="position:absolute;left:8005;top:10382;width:143;height:143"/>
            <v:shape id="_x0000_s2061" type="#_x0000_t120" style="position:absolute;left:7899;top:10389;width:143;height:143"/>
            <v:shape id="_x0000_s2062" type="#_x0000_t120" style="position:absolute;left:7794;top:10382;width:143;height:143"/>
            <v:shape id="_x0000_s2063" type="#_x0000_t120" style="position:absolute;left:7696;top:10374;width:143;height:143"/>
            <v:shape id="_x0000_s2064" type="#_x0000_t120" style="position:absolute;left:7568;top:10374;width:143;height:143"/>
            <v:shape id="_x0000_s2065" type="#_x0000_t120" style="position:absolute;left:7470;top:10374;width:143;height:143"/>
            <v:shape id="_x0000_s2066" type="#_x0000_t120" style="position:absolute;left:7372;top:10374;width:143;height:143"/>
            <v:shape id="_x0000_s2067" type="#_x0000_t120" style="position:absolute;left:8990;top:9759;width:143;height:143"/>
            <v:shape id="_x0000_s2068" type="#_x0000_t120" style="position:absolute;left:8855;top:9759;width:143;height:143"/>
            <v:shape id="_x0000_s2069" type="#_x0000_t120" style="position:absolute;left:8787;top:9759;width:143;height:143"/>
            <v:shape id="_x0000_s2070" type="#_x0000_t120" style="position:absolute;left:8704;top:9759;width:143;height:143"/>
            <v:shape id="_x0000_s2071" type="#_x0000_t120" style="position:absolute;left:8599;top:9759;width:143;height:143"/>
            <v:shape id="_x0000_s2072" type="#_x0000_t120" style="position:absolute;left:8494;top:9759;width:143;height:143"/>
            <v:shape id="_x0000_s2073" type="#_x0000_t120" style="position:absolute;left:8381;top:9759;width:143;height:143"/>
            <v:shape id="_x0000_s2074" type="#_x0000_t120" style="position:absolute;left:8306;top:9759;width:143;height:143"/>
            <v:shape id="_x0000_s2075" type="#_x0000_t120" style="position:absolute;left:8201;top:9759;width:143;height:143"/>
            <v:shape id="_x0000_s2076" type="#_x0000_t120" style="position:absolute;left:8148;top:9759;width:143;height:143"/>
            <v:shape id="_x0000_s2077" type="#_x0000_t120" style="position:absolute;left:8058;top:9759;width:143;height:143"/>
            <v:shape id="_x0000_s2078" type="#_x0000_t120" style="position:absolute;left:7975;top:9759;width:143;height:143"/>
            <v:shape id="_x0000_s2079" type="#_x0000_t120" style="position:absolute;left:7899;top:9759;width:143;height:143"/>
            <v:shape id="_x0000_s2080" type="#_x0000_t120" style="position:absolute;left:7794;top:9759;width:143;height:143"/>
            <v:shape id="_x0000_s2081" type="#_x0000_t120" style="position:absolute;left:7726;top:9759;width:143;height:143"/>
            <v:shape id="_x0000_s2082" type="#_x0000_t120" style="position:absolute;left:7613;top:9759;width:143;height:143"/>
            <v:shape id="_x0000_s2083" type="#_x0000_t120" style="position:absolute;left:7553;top:9759;width:143;height:143"/>
            <v:shape id="_x0000_s2084" type="#_x0000_t120" style="position:absolute;left:7470;top:9759;width:143;height:143"/>
            <v:shape id="_x0000_s2085" type="#_x0000_t120" style="position:absolute;left:7372;top:9759;width:143;height:143"/>
            <v:shape id="_x0000_s2086" type="#_x0000_t120" style="position:absolute;left:8742;top:9429;width:143;height:143"/>
            <v:shape id="_x0000_s2087" type="#_x0000_t120" style="position:absolute;left:8599;top:9429;width:143;height:143"/>
            <v:shape id="_x0000_s2088" type="#_x0000_t120" style="position:absolute;left:8494;top:9429;width:143;height:143"/>
            <v:shape id="_x0000_s2089" type="#_x0000_t120" style="position:absolute;left:8381;top:9429;width:143;height:143"/>
            <v:shape id="_x0000_s2090" type="#_x0000_t120" style="position:absolute;left:8291;top:9429;width:143;height:143"/>
            <v:shape id="_x0000_s2091" type="#_x0000_t120" style="position:absolute;left:8186;top:9429;width:143;height:143"/>
            <v:shape id="_x0000_s2092" type="#_x0000_t120" style="position:absolute;left:8088;top:9429;width:143;height:143"/>
            <v:shape id="_x0000_s2093" type="#_x0000_t120" style="position:absolute;left:7975;top:9429;width:143;height:143"/>
            <v:shape id="_x0000_s2094" type="#_x0000_t120" style="position:absolute;left:7899;top:9429;width:143;height:143"/>
            <v:shape id="_x0000_s2095" type="#_x0000_t120" style="position:absolute;left:7794;top:9429;width:143;height:143"/>
            <v:shape id="_x0000_s2096" type="#_x0000_t120" style="position:absolute;left:7696;top:9429;width:143;height:143"/>
            <v:shape id="_x0000_s2097" type="#_x0000_t120" style="position:absolute;left:7553;top:9429;width:143;height:143"/>
            <v:shape id="_x0000_s2098" type="#_x0000_t120" style="position:absolute;left:7425;top:9429;width:143;height:143"/>
            <v:shape id="_x0000_s2099" type="#_x0000_t120" style="position:absolute;left:7327;top:9429;width:143;height:143"/>
            <v:shape id="_x0000_s2100" type="#_x0000_t120" style="position:absolute;left:8163;top:8581;width:143;height:143"/>
            <v:shape id="_x0000_s2101" type="#_x0000_t120" style="position:absolute;left:7975;top:8581;width:143;height:143"/>
            <v:shape id="_x0000_s2102" type="#_x0000_t120" style="position:absolute;left:7794;top:8582;width:143;height:143"/>
            <v:shape id="_x0000_s2103" type="#_x0000_t120" style="position:absolute;left:7583;top:8582;width:143;height:143"/>
            <v:shape id="_x0000_s2104" type="#_x0000_t120" style="position:absolute;left:7372;top:8582;width:143;height:143"/>
            <v:shape id="_x0000_s2105" type="#_x0000_t120" style="position:absolute;left:7515;top:7928;width:143;height:143"/>
            <v:shape id="_x0000_s2106" type="#_x0000_t120" style="position:absolute;left:8960;top:7928;width:143;height:143"/>
            <v:shape id="_x0000_s2107" type="#_x0000_t120" style="position:absolute;left:8787;top:7928;width:143;height:143"/>
            <v:shape id="_x0000_s2108" type="#_x0000_t120" style="position:absolute;left:8584;top:7928;width:143;height:143"/>
            <v:shape id="_x0000_s2109" type="#_x0000_t120" style="position:absolute;left:8366;top:7928;width:143;height:143"/>
            <v:shape id="_x0000_s2110" type="#_x0000_t120" style="position:absolute;left:8163;top:7928;width:143;height:143"/>
            <v:shape id="_x0000_s2111" type="#_x0000_t120" style="position:absolute;left:7975;top:7929;width:143;height:143"/>
            <v:shape id="_x0000_s2112" type="#_x0000_t120" style="position:absolute;left:7794;top:7928;width:143;height:143"/>
            <v:shape id="_x0000_s2113" type="#_x0000_t120" style="position:absolute;left:7613;top:7929;width:143;height:143"/>
            <v:shape id="_x0000_s2114" type="#_x0000_t120" style="position:absolute;left:7410;top:7929;width:143;height:143"/>
            <v:shape id="_x0000_s2115" type="#_x0000_t202" style="position:absolute;left:1500;top:14492;width:9525;height:930" stroked="f">
              <v:textbox>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 xml:space="preserve">Рис. 3.11 Стан шляхів відтоку в </w:t>
                    </w:r>
                    <w:r>
                      <w:rPr>
                        <w:rFonts w:ascii="Times New Roman" w:hAnsi="Times New Roman"/>
                        <w:color w:val="000000"/>
                        <w:sz w:val="28"/>
                        <w:szCs w:val="28"/>
                        <w:lang w:val="uk-UA"/>
                      </w:rPr>
                      <w:t xml:space="preserve">залежності від типу ураження артерії хворих обох груп за </w:t>
                    </w:r>
                    <w:r>
                      <w:rPr>
                        <w:rFonts w:ascii="Times New Roman" w:hAnsi="Times New Roman"/>
                        <w:color w:val="000000"/>
                        <w:sz w:val="28"/>
                        <w:szCs w:val="28"/>
                      </w:rPr>
                      <w:t>R</w:t>
                    </w:r>
                    <w:r>
                      <w:rPr>
                        <w:rFonts w:ascii="Times New Roman" w:hAnsi="Times New Roman"/>
                        <w:color w:val="000000"/>
                        <w:sz w:val="28"/>
                        <w:szCs w:val="28"/>
                        <w:lang w:val="uk-UA"/>
                      </w:rPr>
                      <w:t>. </w:t>
                    </w:r>
                    <w:r>
                      <w:rPr>
                        <w:rFonts w:ascii="Times New Roman" w:hAnsi="Times New Roman"/>
                        <w:color w:val="000000"/>
                        <w:sz w:val="28"/>
                        <w:szCs w:val="28"/>
                      </w:rPr>
                      <w:t>Rutherford</w:t>
                    </w:r>
                    <w:r>
                      <w:rPr>
                        <w:rFonts w:ascii="Times New Roman" w:hAnsi="Times New Roman"/>
                        <w:color w:val="000000"/>
                        <w:sz w:val="28"/>
                        <w:szCs w:val="28"/>
                        <w:lang w:val="uk-UA"/>
                      </w:rPr>
                      <w:t>.</w:t>
                    </w:r>
                    <w:r>
                      <w:rPr>
                        <w:rFonts w:ascii="Times New Roman" w:hAnsi="Times New Roman"/>
                        <w:sz w:val="28"/>
                        <w:szCs w:val="28"/>
                        <w:lang w:val="uk-UA"/>
                      </w:rPr>
                      <w:t xml:space="preserve"> </w:t>
                    </w:r>
                  </w:p>
                </w:txbxContent>
              </v:textbox>
            </v:shape>
            <v:shape id="_x0000_s2116" type="#_x0000_t202" style="position:absolute;left:4855;top:7007;width:3762;height:675" filled="f" stroked="f">
              <v:textbox>
                <w:txbxContent>
                  <w:p w:rsidR="00DA0A21" w:rsidRDefault="00DA0A21" w:rsidP="00A01923">
                    <w:r w:rsidRPr="00487043">
                      <w:rPr>
                        <w:rFonts w:ascii="Calibri" w:eastAsia="Calibri" w:hAnsi="Calibri"/>
                        <w:sz w:val="20"/>
                        <w:szCs w:val="20"/>
                      </w:rPr>
                      <w:pict>
                        <v:shape id="Рисунок 12" o:spid="_x0000_i1052" type="#_x0000_t75" style="width:175.05pt;height:21.1pt;visibility:visible">
                          <v:imagedata r:id="rId35" o:title=""/>
                        </v:shape>
                      </w:pict>
                    </w:r>
                  </w:p>
                </w:txbxContent>
              </v:textbox>
            </v:shape>
            <v:shape id="_x0000_s2117" type="#_x0000_t202" style="position:absolute;left:2145;top:7112;width:4292;height:570" filled="f" stroked="f">
              <v:textbox>
                <w:txbxContent>
                  <w:p w:rsidR="00DA0A21" w:rsidRDefault="00DA0A21" w:rsidP="00A01923">
                    <w:r w:rsidRPr="00487043">
                      <w:rPr>
                        <w:rFonts w:ascii="Calibri" w:eastAsia="Calibri" w:hAnsi="Calibri"/>
                        <w:sz w:val="20"/>
                        <w:szCs w:val="20"/>
                      </w:rPr>
                      <w:pict>
                        <v:shape id="_x0000_i1054" type="#_x0000_t75" style="width:182.5pt;height:21.1pt;visibility:visible">
                          <v:imagedata r:id="rId35" o:title=""/>
                        </v:shape>
                      </w:pict>
                    </w:r>
                  </w:p>
                </w:txbxContent>
              </v:textbox>
            </v:shape>
            <v:shape id="_x0000_s2118" type="#_x0000_t202" style="position:absolute;left:3645;top:7341;width:1087;height:497" filled="f" stroked="f">
              <v:textbox>
                <w:txbxContent>
                  <w:p w:rsidR="00DA0A21" w:rsidRDefault="00DA0A21" w:rsidP="00A01923">
                    <w:pPr>
                      <w:rPr>
                        <w:rFonts w:ascii="Times New Roman" w:hAnsi="Times New Roman"/>
                        <w:sz w:val="28"/>
                        <w:szCs w:val="28"/>
                        <w:lang w:val="en-US"/>
                      </w:rPr>
                    </w:pPr>
                    <w:r>
                      <w:rPr>
                        <w:rFonts w:ascii="Times New Roman" w:hAnsi="Times New Roman"/>
                        <w:sz w:val="28"/>
                        <w:szCs w:val="28"/>
                        <w:lang w:val="en-US"/>
                      </w:rPr>
                      <w:t>p</w:t>
                    </w:r>
                    <w:r>
                      <w:rPr>
                        <w:rFonts w:ascii="Times New Roman" w:hAnsi="Times New Roman"/>
                        <w:sz w:val="28"/>
                        <w:szCs w:val="28"/>
                        <w:lang w:val="en-US"/>
                      </w:rPr>
                      <w:sym w:font="Symbol" w:char="003E"/>
                    </w:r>
                    <w:r>
                      <w:rPr>
                        <w:rFonts w:ascii="Times New Roman" w:hAnsi="Times New Roman"/>
                        <w:sz w:val="28"/>
                        <w:szCs w:val="28"/>
                        <w:lang w:val="en-US"/>
                      </w:rPr>
                      <w:t>0,05</w:t>
                    </w:r>
                  </w:p>
                </w:txbxContent>
              </v:textbox>
            </v:shape>
            <v:shape id="_x0000_s2119" type="#_x0000_t202" style="position:absolute;left:6248;top:7341;width:1087;height:497" filled="f" stroked="f">
              <v:textbox>
                <w:txbxContent>
                  <w:p w:rsidR="00DA0A21" w:rsidRDefault="00DA0A21" w:rsidP="00A01923">
                    <w:pPr>
                      <w:rPr>
                        <w:rFonts w:ascii="Times New Roman" w:hAnsi="Times New Roman"/>
                        <w:sz w:val="28"/>
                        <w:szCs w:val="28"/>
                        <w:lang w:val="en-US"/>
                      </w:rPr>
                    </w:pPr>
                    <w:r>
                      <w:rPr>
                        <w:rFonts w:ascii="Times New Roman" w:hAnsi="Times New Roman"/>
                        <w:sz w:val="28"/>
                        <w:szCs w:val="28"/>
                        <w:lang w:val="en-US"/>
                      </w:rPr>
                      <w:t>p</w:t>
                    </w:r>
                    <w:r>
                      <w:rPr>
                        <w:rFonts w:ascii="Times New Roman" w:hAnsi="Times New Roman"/>
                        <w:sz w:val="28"/>
                        <w:szCs w:val="28"/>
                        <w:lang w:val="en-US"/>
                      </w:rPr>
                      <w:sym w:font="Symbol" w:char="003E"/>
                    </w:r>
                    <w:r>
                      <w:rPr>
                        <w:rFonts w:ascii="Times New Roman" w:hAnsi="Times New Roman"/>
                        <w:sz w:val="28"/>
                        <w:szCs w:val="28"/>
                        <w:lang w:val="en-US"/>
                      </w:rPr>
                      <w:t>0,05</w:t>
                    </w:r>
                  </w:p>
                </w:txbxContent>
              </v:textbox>
            </v:shape>
          </v:group>
        </w:pict>
      </w:r>
    </w:p>
    <w:p w:rsidR="00A01923" w:rsidRDefault="00A01923" w:rsidP="00A01923">
      <w:pPr>
        <w:pStyle w:val="a5"/>
        <w:tabs>
          <w:tab w:val="left" w:pos="1080"/>
        </w:tabs>
        <w:spacing w:before="0" w:beforeAutospacing="0" w:after="0" w:afterAutospacing="0" w:line="360" w:lineRule="auto"/>
        <w:ind w:left="-284" w:firstLine="568"/>
        <w:jc w:val="both"/>
        <w:rPr>
          <w:sz w:val="28"/>
          <w:szCs w:val="28"/>
          <w:lang w:val="uk-UA"/>
        </w:rPr>
      </w:pPr>
      <w:r>
        <w:rPr>
          <w:sz w:val="28"/>
          <w:szCs w:val="28"/>
          <w:lang w:val="uk-UA"/>
        </w:rPr>
        <w:tab/>
      </w: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tabs>
          <w:tab w:val="left" w:pos="9360"/>
        </w:tabs>
        <w:spacing w:before="0" w:beforeAutospacing="0" w:after="0" w:afterAutospacing="0" w:line="360" w:lineRule="auto"/>
        <w:ind w:left="-284" w:firstLine="568"/>
        <w:jc w:val="both"/>
        <w:rPr>
          <w:sz w:val="28"/>
          <w:szCs w:val="28"/>
          <w:lang w:val="uk-UA"/>
        </w:rPr>
      </w:pPr>
    </w:p>
    <w:p w:rsidR="00A01923" w:rsidRDefault="00A01923" w:rsidP="00A01923">
      <w:pPr>
        <w:pStyle w:val="a5"/>
        <w:spacing w:before="0" w:beforeAutospacing="0" w:after="0" w:afterAutospacing="0" w:line="360" w:lineRule="auto"/>
        <w:ind w:firstLine="708"/>
        <w:jc w:val="both"/>
        <w:rPr>
          <w:color w:val="FF0000"/>
          <w:sz w:val="28"/>
          <w:szCs w:val="28"/>
          <w:lang w:val="uk-UA"/>
        </w:rPr>
      </w:pPr>
      <w:r>
        <w:rPr>
          <w:color w:val="FF0000"/>
          <w:sz w:val="28"/>
          <w:szCs w:val="28"/>
          <w:lang w:val="uk-UA"/>
        </w:rPr>
        <w:t>Підсумовуючи результати наших досліджень, ми запропонували алгоритм діагностики облітеруючих захворювань артерій нижніх кінцівок у хворих, який наведений на рис.3.12.</w:t>
      </w:r>
    </w:p>
    <w:p w:rsidR="00A01923" w:rsidRDefault="00A01923" w:rsidP="00A01923">
      <w:pPr>
        <w:pStyle w:val="a5"/>
        <w:tabs>
          <w:tab w:val="left" w:pos="9360"/>
        </w:tabs>
        <w:spacing w:before="0" w:beforeAutospacing="0" w:after="0" w:afterAutospacing="0" w:line="360" w:lineRule="auto"/>
        <w:jc w:val="both"/>
        <w:rPr>
          <w:color w:val="FF0000"/>
          <w:sz w:val="28"/>
          <w:szCs w:val="28"/>
          <w:lang w:val="uk-UA"/>
        </w:rPr>
      </w:pPr>
    </w:p>
    <w:p w:rsidR="00A01923" w:rsidRDefault="00A01923" w:rsidP="00A01923">
      <w:pPr>
        <w:pStyle w:val="a5"/>
        <w:tabs>
          <w:tab w:val="left" w:pos="9360"/>
        </w:tabs>
        <w:spacing w:before="0" w:beforeAutospacing="0" w:after="0" w:afterAutospacing="0" w:line="360" w:lineRule="auto"/>
        <w:jc w:val="both"/>
        <w:rPr>
          <w:color w:val="FF0000"/>
          <w:sz w:val="28"/>
          <w:szCs w:val="28"/>
          <w:lang w:val="uk-UA"/>
        </w:rPr>
      </w:pPr>
    </w:p>
    <w:p w:rsidR="00A01923" w:rsidRDefault="00A01923" w:rsidP="00A01923">
      <w:pPr>
        <w:pStyle w:val="a5"/>
        <w:tabs>
          <w:tab w:val="left" w:pos="9360"/>
        </w:tabs>
        <w:spacing w:before="0" w:beforeAutospacing="0" w:after="0" w:afterAutospacing="0" w:line="360" w:lineRule="auto"/>
        <w:ind w:left="-567" w:firstLine="567"/>
        <w:jc w:val="both"/>
        <w:rPr>
          <w:color w:val="000000"/>
          <w:sz w:val="28"/>
          <w:szCs w:val="28"/>
          <w:lang w:val="uk-UA"/>
        </w:rPr>
      </w:pPr>
      <w:r>
        <w:rPr>
          <w:color w:val="000000"/>
          <w:sz w:val="28"/>
          <w:szCs w:val="28"/>
          <w:lang w:val="uk-UA"/>
        </w:rPr>
        <w:t>Алгоритм діагностики типу та ступеню ураження судин у хворих на ХКІНК представлено на рис.3.12.</w:t>
      </w:r>
    </w:p>
    <w:p w:rsidR="00A01923" w:rsidRDefault="00487043" w:rsidP="00A01923">
      <w:pPr>
        <w:pStyle w:val="a5"/>
        <w:tabs>
          <w:tab w:val="left" w:pos="9360"/>
        </w:tabs>
        <w:spacing w:before="0" w:beforeAutospacing="0" w:after="0" w:afterAutospacing="0" w:line="360" w:lineRule="auto"/>
        <w:jc w:val="both"/>
        <w:rPr>
          <w:color w:val="FF0000"/>
          <w:sz w:val="28"/>
          <w:szCs w:val="28"/>
          <w:lang w:val="uk-UA"/>
        </w:rPr>
      </w:pPr>
      <w:r w:rsidRPr="00487043">
        <w:lastRenderedPageBreak/>
        <w:pict>
          <v:shape id="_x0000_s1911" type="#_x0000_t202" style="position:absolute;left:0;text-align:left;margin-left:2pt;margin-top:330.9pt;width:449.7pt;height:24pt;z-index:251644416;mso-width-relative:margin;mso-height-relative:margin" stroked="f">
            <v:textbox style="mso-next-textbox:#_x0000_s1911">
              <w:txbxContent>
                <w:p w:rsidR="00DA0A21" w:rsidRDefault="00DA0A21" w:rsidP="00A01923">
                  <w:pPr>
                    <w:jc w:val="center"/>
                    <w:rPr>
                      <w:rFonts w:ascii="Times New Roman" w:hAnsi="Times New Roman"/>
                      <w:sz w:val="28"/>
                      <w:szCs w:val="28"/>
                      <w:lang w:val="uk-UA"/>
                    </w:rPr>
                  </w:pPr>
                  <w:r>
                    <w:rPr>
                      <w:rFonts w:ascii="Times New Roman" w:hAnsi="Times New Roman"/>
                      <w:sz w:val="28"/>
                      <w:szCs w:val="28"/>
                      <w:lang w:val="uk-UA"/>
                    </w:rPr>
                    <w:t>Рис.3.12. Алгоритм діагностики у хворих на ХКІНК</w:t>
                  </w:r>
                </w:p>
              </w:txbxContent>
            </v:textbox>
          </v:shape>
        </w:pict>
      </w:r>
      <w:r w:rsidR="00A01923">
        <w:rPr>
          <w:noProof/>
          <w:color w:val="FF0000"/>
          <w:sz w:val="28"/>
          <w:szCs w:val="28"/>
        </w:rPr>
        <w:drawing>
          <wp:inline distT="0" distB="0" distL="0" distR="0">
            <wp:extent cx="5493476" cy="4154211"/>
            <wp:effectExtent l="57150" t="0" r="11974" b="36789"/>
            <wp:docPr id="39" name="Схема 50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A01923" w:rsidRDefault="00A01923" w:rsidP="00A01923">
      <w:pPr>
        <w:pStyle w:val="a5"/>
        <w:tabs>
          <w:tab w:val="left" w:pos="9360"/>
        </w:tabs>
        <w:spacing w:before="0" w:beforeAutospacing="0" w:after="0" w:afterAutospacing="0" w:line="360" w:lineRule="auto"/>
        <w:jc w:val="both"/>
        <w:rPr>
          <w:color w:val="FF0000"/>
          <w:sz w:val="28"/>
          <w:szCs w:val="28"/>
          <w:lang w:val="uk-UA"/>
        </w:rPr>
      </w:pPr>
    </w:p>
    <w:p w:rsidR="00A01923" w:rsidRDefault="00A01923" w:rsidP="00A01923">
      <w:pPr>
        <w:pStyle w:val="a5"/>
        <w:tabs>
          <w:tab w:val="left" w:pos="9360"/>
        </w:tabs>
        <w:spacing w:before="0" w:beforeAutospacing="0" w:after="0" w:afterAutospacing="0" w:line="360" w:lineRule="auto"/>
        <w:ind w:left="-567" w:firstLine="568"/>
        <w:jc w:val="both"/>
        <w:rPr>
          <w:color w:val="FF0000"/>
          <w:sz w:val="28"/>
          <w:szCs w:val="28"/>
          <w:lang w:val="uk-UA"/>
        </w:rPr>
      </w:pPr>
      <w:r>
        <w:rPr>
          <w:sz w:val="28"/>
          <w:szCs w:val="28"/>
          <w:lang w:val="uk-UA"/>
        </w:rPr>
        <w:t xml:space="preserve">Усі хворі при виписці отримували рекомендації у вигляді листівки, у якій було відмічено необхідність притримуватися дієти та контролювати рівень глікемії (для хворих з ЦД), розписані фізичні навантаження, які необхідно виконувати для закріплення ефекту лікування та стимуляції неоангіогенезу фізіологічним чином. </w:t>
      </w:r>
    </w:p>
    <w:p w:rsidR="00A01923" w:rsidRDefault="00A01923" w:rsidP="00A01923">
      <w:pPr>
        <w:spacing w:after="0" w:line="360" w:lineRule="auto"/>
        <w:ind w:left="-567" w:firstLine="567"/>
        <w:jc w:val="center"/>
        <w:rPr>
          <w:rFonts w:ascii="Times New Roman" w:hAnsi="Times New Roman"/>
          <w:b/>
          <w:color w:val="000000"/>
          <w:sz w:val="28"/>
          <w:szCs w:val="28"/>
          <w:lang w:val="uk-UA"/>
        </w:rPr>
      </w:pPr>
    </w:p>
    <w:p w:rsidR="00A01923" w:rsidRDefault="00A01923" w:rsidP="00A01923">
      <w:pPr>
        <w:spacing w:after="0" w:line="360" w:lineRule="auto"/>
        <w:ind w:left="-567" w:firstLine="567"/>
        <w:jc w:val="center"/>
        <w:rPr>
          <w:rFonts w:ascii="Times New Roman" w:hAnsi="Times New Roman"/>
          <w:b/>
          <w:color w:val="000000"/>
          <w:sz w:val="28"/>
          <w:szCs w:val="28"/>
          <w:lang w:val="uk-UA"/>
        </w:rPr>
      </w:pPr>
    </w:p>
    <w:p w:rsidR="00A01923" w:rsidRDefault="00A01923" w:rsidP="00A01923">
      <w:pPr>
        <w:spacing w:after="0" w:line="360" w:lineRule="auto"/>
        <w:ind w:left="-567" w:firstLine="567"/>
        <w:jc w:val="center"/>
        <w:rPr>
          <w:rFonts w:ascii="Times New Roman" w:hAnsi="Times New Roman"/>
          <w:b/>
          <w:color w:val="000000"/>
          <w:sz w:val="28"/>
          <w:szCs w:val="28"/>
          <w:lang w:val="uk-UA"/>
        </w:rPr>
      </w:pPr>
      <w:r>
        <w:rPr>
          <w:rFonts w:ascii="Times New Roman" w:hAnsi="Times New Roman"/>
          <w:b/>
          <w:color w:val="000000"/>
          <w:sz w:val="28"/>
          <w:szCs w:val="28"/>
          <w:lang w:val="uk-UA"/>
        </w:rPr>
        <w:t>3.2 Прогнозування ймовірності виконання ампутацій нижніх кінцівок при лікуванні хворих на хронічну критичну ішемію нижніх кінцівок</w:t>
      </w:r>
    </w:p>
    <w:p w:rsidR="00A01923" w:rsidRDefault="00A01923" w:rsidP="00A01923">
      <w:pPr>
        <w:spacing w:after="0" w:line="360" w:lineRule="auto"/>
        <w:ind w:left="-567" w:firstLine="567"/>
        <w:jc w:val="center"/>
        <w:rPr>
          <w:rFonts w:ascii="Times New Roman" w:hAnsi="Times New Roman"/>
          <w:b/>
          <w:color w:val="000000"/>
          <w:sz w:val="28"/>
          <w:szCs w:val="28"/>
          <w:lang w:val="uk-UA"/>
        </w:rPr>
      </w:pPr>
    </w:p>
    <w:p w:rsidR="00A01923" w:rsidRDefault="00A01923" w:rsidP="00A01923">
      <w:pPr>
        <w:spacing w:after="0" w:line="360" w:lineRule="auto"/>
        <w:ind w:left="-567" w:firstLine="567"/>
        <w:jc w:val="center"/>
        <w:rPr>
          <w:rFonts w:ascii="Times New Roman" w:hAnsi="Times New Roman"/>
          <w:b/>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У розглянутій вибірці хворих з ХКІНК (101 хворий обох груп) хворих було розподілено за ступенем ішемії – хворих з ІV ступенем ішемії було 63 (62,3%) з ІІІ  ступенем – 38 (37,7%) хворих.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У ряді випадків виникала необхідність проведення ампутацій на кінцівках, що </w:t>
      </w:r>
      <w:r w:rsidRPr="0051559B">
        <w:rPr>
          <w:rFonts w:ascii="Times New Roman" w:hAnsi="Times New Roman"/>
          <w:sz w:val="28"/>
          <w:szCs w:val="28"/>
          <w:lang w:val="uk-UA"/>
        </w:rPr>
        <w:t>робило доцільним виділення групи ризику для успішного лікування таких хворих. З рис. 3.13</w:t>
      </w:r>
      <w:r>
        <w:rPr>
          <w:rFonts w:ascii="Times New Roman" w:hAnsi="Times New Roman"/>
          <w:sz w:val="28"/>
          <w:szCs w:val="28"/>
          <w:lang w:val="uk-UA"/>
        </w:rPr>
        <w:t xml:space="preserve"> видно, що незалежно від методу лікування ймовірність проведення низької ампутації для хворих з ІV ступенем ішемії знаходиться на рівні 50%, тоді як для ІІІ ступеню ішемії вона вкрай мала (5,26%). Тому надалі будемо розглядати випадки тільки з ІV ступенем ішемії.</w:t>
      </w:r>
    </w:p>
    <w:p w:rsidR="00A01923" w:rsidRDefault="00487043" w:rsidP="00A01923">
      <w:pPr>
        <w:spacing w:after="0" w:line="360" w:lineRule="auto"/>
        <w:ind w:left="-567" w:firstLine="567"/>
        <w:jc w:val="center"/>
        <w:rPr>
          <w:rFonts w:ascii="Times New Roman" w:hAnsi="Times New Roman"/>
          <w:color w:val="31849B"/>
          <w:sz w:val="28"/>
          <w:szCs w:val="28"/>
          <w:lang w:val="uk-UA"/>
        </w:rPr>
      </w:pPr>
      <w:r w:rsidRPr="00487043">
        <w:rPr>
          <w:rFonts w:ascii="Calibri" w:hAnsi="Calibri"/>
        </w:rPr>
        <w:pict>
          <v:group id="_x0000_s2135" style="position:absolute;left:0;text-align:left;margin-left:-1.15pt;margin-top:24.15pt;width:458.55pt;height:272.4pt;z-index:251645440" coordorigin="1678,4515" coordsize="9171,5448">
            <v:shape id="_x0000_s2136" type="#_x0000_t202" style="position:absolute;left:1701;top:4515;width:7221;height:5213;mso-wrap-style:none" stroked="f">
              <v:textbox style="mso-next-textbox:#_x0000_s2136;mso-fit-shape-to-text:t">
                <w:txbxContent>
                  <w:p w:rsidR="00DA0A21" w:rsidRDefault="00DA0A21" w:rsidP="00A01923">
                    <w:pPr>
                      <w:spacing w:after="0" w:line="360" w:lineRule="auto"/>
                      <w:ind w:left="-567" w:firstLine="567"/>
                      <w:jc w:val="center"/>
                    </w:pPr>
                    <w:r w:rsidRPr="00454A41">
                      <w:rPr>
                        <w:rFonts w:ascii="Calibri" w:eastAsia="Times New Roman" w:hAnsi="Calibri" w:cs="Times New Roman"/>
                      </w:rPr>
                      <w:object w:dxaOrig="6912" w:dyaOrig="4896">
                        <v:shape id="_x0000_i1056" type="#_x0000_t75" style="width:346.35pt;height:247.05pt" o:ole="">
                          <v:imagedata r:id="rId41" o:title=""/>
                        </v:shape>
                        <o:OLEObject Type="Embed" ProgID="STATISTICA.Graph" ShapeID="_x0000_i1056" DrawAspect="Content" ObjectID="_1585401157" r:id="rId42">
                          <o:FieldCodes>\s</o:FieldCodes>
                        </o:OLEObject>
                      </w:object>
                    </w:r>
                  </w:p>
                </w:txbxContent>
              </v:textbox>
            </v:shape>
            <v:shape id="_x0000_s2137" type="#_x0000_t202" style="position:absolute;left:1678;top:9048;width:9171;height:915" stroked="f">
              <v:textbox style="mso-next-textbox:#_x0000_s2137">
                <w:txbxContent>
                  <w:p w:rsidR="00DA0A21" w:rsidRDefault="00DA0A21" w:rsidP="00A01923">
                    <w:pPr>
                      <w:spacing w:after="0" w:line="360" w:lineRule="auto"/>
                      <w:ind w:left="-567" w:firstLine="567"/>
                      <w:jc w:val="center"/>
                      <w:rPr>
                        <w:rFonts w:ascii="Times New Roman" w:hAnsi="Times New Roman"/>
                        <w:sz w:val="28"/>
                        <w:szCs w:val="28"/>
                        <w:lang w:val="uk-UA"/>
                      </w:rPr>
                    </w:pPr>
                    <w:r>
                      <w:rPr>
                        <w:rFonts w:ascii="Times New Roman" w:hAnsi="Times New Roman"/>
                        <w:sz w:val="28"/>
                        <w:szCs w:val="28"/>
                        <w:lang w:val="uk-UA"/>
                      </w:rPr>
                      <w:t>Рис. 3.13.Розподіл кількості хворих без / з низькою ампутацією для ІІІ та ІV ступеней ішемії незалежно від методу лікування</w:t>
                    </w:r>
                  </w:p>
                  <w:p w:rsidR="00DA0A21" w:rsidRDefault="00DA0A21" w:rsidP="00A01923">
                    <w:pPr>
                      <w:rPr>
                        <w:rFonts w:ascii="Calibri" w:hAnsi="Calibri"/>
                        <w:lang w:val="uk-UA"/>
                      </w:rPr>
                    </w:pPr>
                  </w:p>
                </w:txbxContent>
              </v:textbox>
            </v:shape>
            <v:shape id="_x0000_s2138" type="#_x0000_t202" style="position:absolute;left:3265;top:8628;width:1202;height:504" stroked="f">
              <v:textbox style="mso-next-textbox:#_x0000_s2138">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ступінь</w:t>
                    </w:r>
                  </w:p>
                </w:txbxContent>
              </v:textbox>
            </v:shape>
            <v:shape id="_x0000_s2139" type="#_x0000_t202" style="position:absolute;left:6210;top:8628;width:1234;height:504" stroked="f">
              <v:textbox style="mso-next-textbox:#_x0000_s2139">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ступінь</w:t>
                    </w:r>
                  </w:p>
                </w:txbxContent>
              </v:textbox>
            </v:shape>
          </v:group>
        </w:pict>
      </w:r>
    </w:p>
    <w:p w:rsidR="00A01923" w:rsidRDefault="00A01923" w:rsidP="00A01923">
      <w:pPr>
        <w:spacing w:after="0" w:line="360" w:lineRule="auto"/>
        <w:ind w:left="-567" w:firstLine="567"/>
        <w:jc w:val="center"/>
        <w:rPr>
          <w:rFonts w:ascii="Calibri" w:hAnsi="Calibri"/>
          <w:color w:val="31849B"/>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 xml:space="preserve">Стан хворих з ХКІНК при </w:t>
      </w:r>
      <w:r>
        <w:rPr>
          <w:rFonts w:ascii="Times New Roman" w:hAnsi="Times New Roman"/>
          <w:color w:val="000000"/>
          <w:sz w:val="28"/>
          <w:szCs w:val="28"/>
          <w:lang w:val="uk-UA"/>
        </w:rPr>
        <w:t>надходженні до стаціонару</w:t>
      </w:r>
      <w:r>
        <w:rPr>
          <w:rFonts w:ascii="Times New Roman" w:hAnsi="Times New Roman"/>
          <w:sz w:val="28"/>
          <w:szCs w:val="28"/>
          <w:lang w:val="uk-UA"/>
        </w:rPr>
        <w:t xml:space="preserve"> оцінювалося за допомогою 18 показників: 7 інтервальних (вік, t ° стопи, t ° гомілки, TсРО</w:t>
      </w:r>
      <w:r>
        <w:rPr>
          <w:rFonts w:ascii="Times New Roman" w:hAnsi="Times New Roman"/>
          <w:sz w:val="28"/>
          <w:szCs w:val="28"/>
          <w:vertAlign w:val="subscript"/>
          <w:lang w:val="uk-UA"/>
        </w:rPr>
        <w:t>2</w:t>
      </w:r>
      <w:r>
        <w:rPr>
          <w:rFonts w:ascii="Times New Roman" w:hAnsi="Times New Roman"/>
          <w:sz w:val="28"/>
          <w:szCs w:val="28"/>
          <w:lang w:val="uk-UA"/>
        </w:rPr>
        <w:t xml:space="preserve"> стопи, вміст у крові лейкоцитів, фібриногену, креатиніну), 6 порядкових (ступінь ураження стопи, малогомілкової </w:t>
      </w:r>
      <w:r>
        <w:rPr>
          <w:rFonts w:ascii="Times New Roman" w:hAnsi="Times New Roman"/>
          <w:color w:val="000000"/>
          <w:sz w:val="28"/>
          <w:szCs w:val="28"/>
          <w:lang w:val="uk-UA"/>
        </w:rPr>
        <w:t>артерії (МГА),  підколінної артерії (ПКА), тібіоперінеального стволу (ТПС) ,  передньої великогомілкової артерії (ПВГА) і задньої великогомілкової артерії (ЗВГА))</w:t>
      </w:r>
      <w:r>
        <w:rPr>
          <w:rFonts w:ascii="Times New Roman" w:hAnsi="Times New Roman"/>
          <w:sz w:val="28"/>
          <w:szCs w:val="28"/>
          <w:lang w:val="uk-UA"/>
        </w:rPr>
        <w:t xml:space="preserve"> і 5 номінальних (тип ураження судин, наявність гіперемії шкіри кінцівок, біль в спокої, наявність трофічних порушень та ЦД).</w:t>
      </w:r>
    </w:p>
    <w:p w:rsidR="009378D4" w:rsidRDefault="00A01923" w:rsidP="009378D4">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На попередньому етапі аналізу оцінювалася значущість вхідних показників для прогнозування групи ризику виконання ампутації для хворих з ІV ступенем ішемії. Гістограми 4-х номінальних показників наведені на рис. 3.14. </w:t>
      </w:r>
    </w:p>
    <w:p w:rsidR="00A01923" w:rsidRDefault="00487043" w:rsidP="00A01923">
      <w:pPr>
        <w:spacing w:after="0" w:line="360" w:lineRule="auto"/>
        <w:ind w:left="-567" w:firstLine="567"/>
        <w:jc w:val="both"/>
        <w:rPr>
          <w:rFonts w:ascii="Times New Roman" w:hAnsi="Times New Roman"/>
          <w:sz w:val="28"/>
          <w:szCs w:val="28"/>
        </w:rPr>
      </w:pPr>
      <w:r w:rsidRPr="00487043">
        <w:rPr>
          <w:rFonts w:ascii="Calibri" w:hAnsi="Calibri"/>
        </w:rPr>
        <w:lastRenderedPageBreak/>
        <w:pict>
          <v:group id="_x0000_s2140" style="position:absolute;left:0;text-align:left;margin-left:-29.65pt;margin-top:2.75pt;width:500.65pt;height:534.95pt;z-index:251646464" coordorigin="1108,2282" coordsize="10013,10699">
            <v:shape id="_x0000_s2141" type="#_x0000_t202" style="position:absolute;left:1612;top:11188;width:9355;height:1793;mso-wrap-style:none" stroked="f">
              <v:textbox style="mso-next-textbox:#_x0000_s2141;mso-fit-shape-to-text:t">
                <w:txbxContent>
                  <w:p w:rsidR="00DA0A21" w:rsidRDefault="00DA0A21" w:rsidP="00A01923">
                    <w:pPr>
                      <w:spacing w:line="360" w:lineRule="auto"/>
                      <w:jc w:val="center"/>
                      <w:rPr>
                        <w:rFonts w:ascii="Times New Roman" w:hAnsi="Times New Roman"/>
                        <w:sz w:val="28"/>
                        <w:szCs w:val="28"/>
                      </w:rPr>
                    </w:pPr>
                    <w:r>
                      <w:rPr>
                        <w:rFonts w:ascii="Times New Roman" w:hAnsi="Times New Roman"/>
                        <w:sz w:val="28"/>
                        <w:szCs w:val="28"/>
                      </w:rPr>
                      <w:t xml:space="preserve">Рис. </w:t>
                    </w:r>
                    <w:r>
                      <w:rPr>
                        <w:rFonts w:ascii="Times New Roman" w:hAnsi="Times New Roman"/>
                        <w:sz w:val="28"/>
                        <w:szCs w:val="28"/>
                        <w:lang w:val="uk-UA"/>
                      </w:rPr>
                      <w:t>3.14</w:t>
                    </w:r>
                    <w:r>
                      <w:rPr>
                        <w:rFonts w:ascii="Times New Roman" w:hAnsi="Times New Roman"/>
                        <w:sz w:val="28"/>
                        <w:szCs w:val="28"/>
                      </w:rPr>
                      <w:t xml:space="preserve"> Гістограми розподілів номінальних показників для груп з / без низькою ампутаці</w:t>
                    </w:r>
                    <w:r>
                      <w:rPr>
                        <w:rFonts w:ascii="Times New Roman" w:hAnsi="Times New Roman"/>
                        <w:sz w:val="28"/>
                        <w:szCs w:val="28"/>
                        <w:lang w:val="uk-UA"/>
                      </w:rPr>
                      <w:t>ї. а)- є ампутація, б) – немає ампутації. 1- немає ознаки, 2- є ознака, 3- сегментарне ураження, 4 – дифузне ураження</w:t>
                    </w:r>
                  </w:p>
                </w:txbxContent>
              </v:textbox>
            </v:shape>
            <v:shape id="_x0000_s2142" type="#_x0000_t202" style="position:absolute;left:1108;top:2282;width:10013;height:8906" stroked="f">
              <v:textbox style="mso-next-textbox:#_x0000_s2142">
                <w:txbxContent>
                  <w:p w:rsidR="00DA0A21" w:rsidRDefault="00DA0A21" w:rsidP="00A01923">
                    <w:pPr>
                      <w:rPr>
                        <w:lang w:val="uk-UA"/>
                      </w:rPr>
                    </w:pPr>
                    <w:r w:rsidRPr="00454A41">
                      <w:rPr>
                        <w:rFonts w:ascii="Calibri" w:eastAsia="Times New Roman" w:hAnsi="Calibri" w:cs="Times New Roman"/>
                      </w:rPr>
                      <w:object w:dxaOrig="4608" w:dyaOrig="4320">
                        <v:shape id="_x0000_i1058" type="#_x0000_t75" style="width:229.65pt;height:3in" o:ole="">
                          <v:imagedata r:id="rId43" o:title=""/>
                        </v:shape>
                        <o:OLEObject Type="Embed" ProgID="STATISTICA.Graph" ShapeID="_x0000_i1058" DrawAspect="Content" ObjectID="_1585401158" r:id="rId44">
                          <o:FieldCodes>\s</o:FieldCodes>
                        </o:OLEObject>
                      </w:object>
                    </w:r>
                    <w:r w:rsidRPr="00454A41">
                      <w:rPr>
                        <w:rFonts w:ascii="Calibri" w:eastAsia="Times New Roman" w:hAnsi="Calibri" w:cs="Times New Roman"/>
                      </w:rPr>
                      <w:object w:dxaOrig="4608" w:dyaOrig="4320">
                        <v:shape id="_x0000_i1060" type="#_x0000_t75" style="width:229.65pt;height:3in" o:ole="">
                          <v:imagedata r:id="rId45" o:title=""/>
                        </v:shape>
                        <o:OLEObject Type="Embed" ProgID="STATISTICA.Graph" ShapeID="_x0000_i1060" DrawAspect="Content" ObjectID="_1585401159" r:id="rId46">
                          <o:FieldCodes>\s</o:FieldCodes>
                        </o:OLEObject>
                      </w:object>
                    </w:r>
                  </w:p>
                  <w:p w:rsidR="00DA0A21" w:rsidRDefault="00DA0A21" w:rsidP="00A01923">
                    <w:r w:rsidRPr="00454A41">
                      <w:rPr>
                        <w:rFonts w:ascii="Calibri" w:eastAsia="Times New Roman" w:hAnsi="Calibri" w:cs="Times New Roman"/>
                      </w:rPr>
                      <w:object w:dxaOrig="4608" w:dyaOrig="4320">
                        <v:shape id="_x0000_i1062" type="#_x0000_t75" style="width:229.65pt;height:3in" o:ole="">
                          <v:imagedata r:id="rId47" o:title=""/>
                        </v:shape>
                        <o:OLEObject Type="Embed" ProgID="STATISTICA.Graph" ShapeID="_x0000_i1062" DrawAspect="Content" ObjectID="_1585401160" r:id="rId48">
                          <o:FieldCodes>\s</o:FieldCodes>
                        </o:OLEObject>
                      </w:object>
                    </w:r>
                    <w:r w:rsidRPr="00454A41">
                      <w:rPr>
                        <w:rFonts w:ascii="Calibri" w:eastAsia="Times New Roman" w:hAnsi="Calibri" w:cs="Times New Roman"/>
                      </w:rPr>
                      <w:object w:dxaOrig="4608" w:dyaOrig="4320">
                        <v:shape id="_x0000_i1064" type="#_x0000_t75" style="width:229.65pt;height:3in" o:ole="">
                          <v:imagedata r:id="rId49" o:title=""/>
                        </v:shape>
                        <o:OLEObject Type="Embed" ProgID="STATISTICA.Graph" ShapeID="_x0000_i1064" DrawAspect="Content" ObjectID="_1585401161" r:id="rId50">
                          <o:FieldCodes>\s</o:FieldCodes>
                        </o:OLEObject>
                      </w:object>
                    </w:r>
                  </w:p>
                </w:txbxContent>
              </v:textbox>
            </v:shape>
          </v:group>
        </w:pic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rPr>
      </w:pPr>
    </w:p>
    <w:p w:rsidR="00A01923" w:rsidRDefault="00A01923" w:rsidP="00A01923">
      <w:pPr>
        <w:spacing w:after="0" w:line="360" w:lineRule="auto"/>
        <w:ind w:left="-567" w:firstLine="567"/>
        <w:jc w:val="both"/>
        <w:rPr>
          <w:rFonts w:ascii="Times New Roman" w:hAnsi="Times New Roman"/>
          <w:sz w:val="28"/>
          <w:szCs w:val="28"/>
        </w:rPr>
      </w:pPr>
    </w:p>
    <w:p w:rsidR="00A01923" w:rsidRDefault="00A01923" w:rsidP="00A01923">
      <w:pPr>
        <w:spacing w:after="0" w:line="360" w:lineRule="auto"/>
        <w:ind w:left="-567" w:firstLine="567"/>
        <w:jc w:val="both"/>
        <w:rPr>
          <w:rFonts w:ascii="Times New Roman" w:hAnsi="Times New Roman"/>
          <w:sz w:val="28"/>
          <w:szCs w:val="28"/>
        </w:rPr>
      </w:pPr>
    </w:p>
    <w:p w:rsidR="00A01923" w:rsidRDefault="00A01923" w:rsidP="00A01923">
      <w:pPr>
        <w:spacing w:after="0" w:line="360" w:lineRule="auto"/>
        <w:ind w:left="-567" w:firstLine="567"/>
        <w:jc w:val="both"/>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center"/>
        <w:rPr>
          <w:rFonts w:ascii="Times New Roman" w:hAnsi="Times New Roman"/>
          <w:color w:val="31849B"/>
        </w:rPr>
      </w:pPr>
      <w:r>
        <w:rPr>
          <w:rFonts w:ascii="Times New Roman" w:hAnsi="Times New Roman"/>
          <w:color w:val="31849B"/>
          <w:sz w:val="28"/>
          <w:szCs w:val="28"/>
        </w:rPr>
        <w:t>.</w:t>
      </w:r>
      <w:r>
        <w:rPr>
          <w:rFonts w:ascii="Times New Roman" w:hAnsi="Times New Roman"/>
          <w:color w:val="31849B"/>
        </w:rPr>
        <w:t xml:space="preserve"> </w:t>
      </w:r>
    </w:p>
    <w:p w:rsidR="00A01923" w:rsidRDefault="00A01923" w:rsidP="00A01923">
      <w:pPr>
        <w:spacing w:after="0" w:line="360" w:lineRule="auto"/>
        <w:ind w:left="-567" w:firstLine="567"/>
        <w:jc w:val="center"/>
        <w:rPr>
          <w:rFonts w:ascii="Times New Roman" w:hAnsi="Times New Roman"/>
          <w:color w:val="31849B"/>
        </w:rPr>
      </w:pPr>
    </w:p>
    <w:p w:rsidR="00A01923" w:rsidRDefault="00A01923" w:rsidP="00A01923">
      <w:pPr>
        <w:spacing w:after="0" w:line="360" w:lineRule="auto"/>
        <w:ind w:left="-567" w:firstLine="567"/>
        <w:jc w:val="center"/>
        <w:rPr>
          <w:rFonts w:ascii="Times New Roman" w:hAnsi="Times New Roman"/>
          <w:color w:val="31849B"/>
        </w:rPr>
      </w:pPr>
    </w:p>
    <w:p w:rsidR="00A01923" w:rsidRDefault="00A01923" w:rsidP="00A01923">
      <w:pPr>
        <w:spacing w:after="0" w:line="360" w:lineRule="auto"/>
        <w:ind w:left="-567" w:firstLine="567"/>
        <w:jc w:val="center"/>
        <w:rPr>
          <w:rFonts w:ascii="Times New Roman" w:hAnsi="Times New Roman"/>
          <w:color w:val="31849B"/>
          <w:lang w:val="uk-UA"/>
        </w:rPr>
      </w:pPr>
    </w:p>
    <w:p w:rsidR="00A01923" w:rsidRDefault="00A01923" w:rsidP="00A01923">
      <w:pPr>
        <w:spacing w:after="0" w:line="360" w:lineRule="auto"/>
        <w:ind w:left="-567" w:firstLine="567"/>
        <w:jc w:val="center"/>
        <w:rPr>
          <w:rFonts w:ascii="Times New Roman" w:hAnsi="Times New Roman"/>
          <w:color w:val="31849B"/>
          <w:lang w:val="uk-UA"/>
        </w:rPr>
      </w:pPr>
    </w:p>
    <w:p w:rsidR="00A01923" w:rsidRDefault="00A01923" w:rsidP="00A01923">
      <w:pPr>
        <w:spacing w:after="0" w:line="360" w:lineRule="auto"/>
        <w:ind w:left="-567" w:firstLine="567"/>
        <w:jc w:val="center"/>
        <w:rPr>
          <w:rFonts w:ascii="Times New Roman" w:hAnsi="Times New Roman"/>
          <w:color w:val="31849B"/>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ind w:left="-567" w:firstLine="567"/>
        <w:jc w:val="center"/>
        <w:rPr>
          <w:rFonts w:ascii="Times New Roman" w:hAnsi="Times New Roman"/>
          <w:sz w:val="28"/>
          <w:szCs w:val="28"/>
          <w:lang w:val="uk-UA"/>
        </w:rPr>
      </w:pPr>
    </w:p>
    <w:p w:rsidR="00A01923" w:rsidRDefault="00A01923" w:rsidP="00A01923">
      <w:pPr>
        <w:spacing w:after="0" w:line="360" w:lineRule="auto"/>
        <w:jc w:val="both"/>
        <w:rPr>
          <w:rFonts w:ascii="Times New Roman" w:hAnsi="Times New Roman"/>
          <w:sz w:val="28"/>
          <w:szCs w:val="28"/>
          <w:lang w:val="uk-UA"/>
        </w:rPr>
      </w:pPr>
    </w:p>
    <w:p w:rsidR="00A01923" w:rsidRDefault="00A01923" w:rsidP="00A01923">
      <w:pPr>
        <w:spacing w:after="0" w:line="360" w:lineRule="auto"/>
        <w:jc w:val="both"/>
        <w:rPr>
          <w:rFonts w:ascii="Times New Roman" w:hAnsi="Times New Roman"/>
          <w:sz w:val="28"/>
          <w:szCs w:val="28"/>
          <w:lang w:val="uk-UA"/>
        </w:rPr>
      </w:pPr>
    </w:p>
    <w:p w:rsidR="009378D4" w:rsidRDefault="009378D4"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З рис.3.14 них видно, що жоден показник вірогідно (р</w:t>
      </w:r>
      <w:r>
        <w:rPr>
          <w:rFonts w:ascii="Times New Roman" w:hAnsi="Times New Roman"/>
          <w:sz w:val="28"/>
          <w:szCs w:val="28"/>
          <w:lang w:val="uk-UA"/>
        </w:rPr>
        <w:sym w:font="Symbol" w:char="003E"/>
      </w:r>
      <w:r>
        <w:rPr>
          <w:rFonts w:ascii="Times New Roman" w:hAnsi="Times New Roman"/>
          <w:sz w:val="28"/>
          <w:szCs w:val="28"/>
          <w:lang w:val="uk-UA"/>
        </w:rPr>
        <w:t xml:space="preserve">0,05) не відрізняється в групах без /з низькою ампутацією для хворих з ІV ступенем ішемії. </w:t>
      </w: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lang w:val="uk-UA"/>
        </w:rPr>
        <w:t xml:space="preserve">Такий висновок підтверджується біноміальним </w:t>
      </w:r>
      <w:r>
        <w:rPr>
          <w:rFonts w:ascii="Times New Roman" w:hAnsi="Times New Roman"/>
          <w:color w:val="000000"/>
          <w:sz w:val="28"/>
          <w:szCs w:val="28"/>
          <w:lang w:val="uk-UA"/>
        </w:rPr>
        <w:t>критерієм [36, 48].</w:t>
      </w:r>
      <w:r>
        <w:rPr>
          <w:rFonts w:ascii="Times New Roman" w:hAnsi="Times New Roman"/>
          <w:sz w:val="28"/>
          <w:szCs w:val="28"/>
          <w:lang w:val="uk-UA"/>
        </w:rPr>
        <w:t xml:space="preserve"> Так наприклад, кількість хворих без низької ампутації і без гіперемії шкіри на нижніх кінцівках (n</w:t>
      </w:r>
      <w:r>
        <w:rPr>
          <w:rFonts w:ascii="Times New Roman" w:hAnsi="Times New Roman"/>
          <w:sz w:val="28"/>
          <w:szCs w:val="28"/>
          <w:vertAlign w:val="subscript"/>
          <w:lang w:val="uk-UA"/>
        </w:rPr>
        <w:t>00</w:t>
      </w:r>
      <w:r>
        <w:rPr>
          <w:rFonts w:ascii="Times New Roman" w:hAnsi="Times New Roman"/>
          <w:sz w:val="28"/>
          <w:szCs w:val="28"/>
          <w:lang w:val="uk-UA"/>
        </w:rPr>
        <w:t xml:space="preserve"> = 23) значуще (р &lt;0,05) більше числа хворих з гіперемією (n</w:t>
      </w:r>
      <w:r>
        <w:rPr>
          <w:rFonts w:ascii="Times New Roman" w:hAnsi="Times New Roman"/>
          <w:sz w:val="28"/>
          <w:szCs w:val="28"/>
          <w:vertAlign w:val="subscript"/>
          <w:lang w:val="uk-UA"/>
        </w:rPr>
        <w:t>01</w:t>
      </w:r>
      <w:r>
        <w:rPr>
          <w:rFonts w:ascii="Times New Roman" w:hAnsi="Times New Roman"/>
          <w:sz w:val="28"/>
          <w:szCs w:val="28"/>
          <w:lang w:val="uk-UA"/>
        </w:rPr>
        <w:t xml:space="preserve"> = 10), оскільки спостережуване значення перевищує критичне (n</w:t>
      </w:r>
      <w:r>
        <w:rPr>
          <w:rFonts w:ascii="Times New Roman" w:hAnsi="Times New Roman"/>
          <w:sz w:val="28"/>
          <w:szCs w:val="28"/>
          <w:vertAlign w:val="subscript"/>
          <w:lang w:val="uk-UA"/>
        </w:rPr>
        <w:t>00</w:t>
      </w:r>
      <w:r>
        <w:rPr>
          <w:rFonts w:ascii="Times New Roman" w:hAnsi="Times New Roman"/>
          <w:sz w:val="28"/>
          <w:szCs w:val="28"/>
          <w:lang w:val="uk-UA"/>
        </w:rPr>
        <w:t xml:space="preserve"> = 23 &gt; n</w:t>
      </w:r>
      <w:r>
        <w:rPr>
          <w:rFonts w:ascii="Times New Roman" w:hAnsi="Times New Roman"/>
          <w:sz w:val="28"/>
          <w:szCs w:val="28"/>
          <w:vertAlign w:val="subscript"/>
          <w:lang w:val="uk-UA"/>
        </w:rPr>
        <w:t xml:space="preserve">крит </w:t>
      </w:r>
      <w:r>
        <w:rPr>
          <w:rFonts w:ascii="Times New Roman" w:hAnsi="Times New Roman"/>
          <w:sz w:val="28"/>
          <w:szCs w:val="28"/>
          <w:lang w:val="uk-UA"/>
        </w:rPr>
        <w:t xml:space="preserve">= 22). Для </w:t>
      </w:r>
      <w:r>
        <w:rPr>
          <w:rFonts w:ascii="Times New Roman" w:hAnsi="Times New Roman"/>
          <w:sz w:val="28"/>
          <w:szCs w:val="28"/>
          <w:lang w:val="uk-UA"/>
        </w:rPr>
        <w:lastRenderedPageBreak/>
        <w:t>хворих з наявністю низької ампутації маємо n</w:t>
      </w:r>
      <w:r>
        <w:rPr>
          <w:rFonts w:ascii="Times New Roman" w:hAnsi="Times New Roman"/>
          <w:sz w:val="28"/>
          <w:szCs w:val="28"/>
          <w:vertAlign w:val="subscript"/>
          <w:lang w:val="uk-UA"/>
        </w:rPr>
        <w:t>10</w:t>
      </w:r>
      <w:r>
        <w:rPr>
          <w:rFonts w:ascii="Times New Roman" w:hAnsi="Times New Roman"/>
          <w:sz w:val="28"/>
          <w:szCs w:val="28"/>
          <w:lang w:val="uk-UA"/>
        </w:rPr>
        <w:t xml:space="preserve"> = 23 і n</w:t>
      </w:r>
      <w:r>
        <w:rPr>
          <w:rFonts w:ascii="Times New Roman" w:hAnsi="Times New Roman"/>
          <w:sz w:val="28"/>
          <w:szCs w:val="28"/>
          <w:vertAlign w:val="subscript"/>
          <w:lang w:val="uk-UA"/>
        </w:rPr>
        <w:t>11</w:t>
      </w:r>
      <w:r>
        <w:rPr>
          <w:rFonts w:ascii="Times New Roman" w:hAnsi="Times New Roman"/>
          <w:sz w:val="28"/>
          <w:szCs w:val="28"/>
          <w:lang w:val="uk-UA"/>
        </w:rPr>
        <w:t xml:space="preserve"> = 7, що також значимо різняться </w:t>
      </w:r>
      <w:r>
        <w:rPr>
          <w:rFonts w:ascii="Times New Roman" w:hAnsi="Times New Roman"/>
          <w:color w:val="000000"/>
          <w:sz w:val="28"/>
          <w:szCs w:val="28"/>
          <w:lang w:val="uk-UA"/>
        </w:rPr>
        <w:t>(n</w:t>
      </w:r>
      <w:r>
        <w:rPr>
          <w:rFonts w:ascii="Times New Roman" w:hAnsi="Times New Roman"/>
          <w:color w:val="000000"/>
          <w:sz w:val="28"/>
          <w:szCs w:val="28"/>
          <w:vertAlign w:val="subscript"/>
          <w:lang w:val="uk-UA"/>
        </w:rPr>
        <w:t>крит</w:t>
      </w:r>
      <w:r>
        <w:rPr>
          <w:rFonts w:ascii="Times New Roman" w:hAnsi="Times New Roman"/>
          <w:color w:val="000000"/>
          <w:sz w:val="28"/>
          <w:szCs w:val="28"/>
          <w:lang w:val="uk-UA"/>
        </w:rPr>
        <w:t xml:space="preserve"> = 20). Тобто кількість хворих з / без гіперемії шкіри значуще не відрізняються для випадків з / без ампутації і цей показник не може бути корисним при прогнозуванні груп ризику.</w:t>
      </w: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Аналогічний висновок випливає і для показників «біль спокою» і «ЦД». З тією лише різницею, що кількість хворих з цими ознаками значимо (р </w:t>
      </w:r>
      <w:r>
        <w:rPr>
          <w:rFonts w:ascii="Times New Roman" w:hAnsi="Times New Roman"/>
          <w:color w:val="000000"/>
          <w:sz w:val="28"/>
          <w:szCs w:val="28"/>
          <w:lang w:val="uk-UA"/>
        </w:rPr>
        <w:sym w:font="Symbol" w:char="003E"/>
      </w:r>
      <w:r>
        <w:rPr>
          <w:rFonts w:ascii="Times New Roman" w:hAnsi="Times New Roman"/>
          <w:color w:val="000000"/>
          <w:sz w:val="28"/>
          <w:szCs w:val="28"/>
          <w:lang w:val="uk-UA"/>
        </w:rPr>
        <w:t xml:space="preserve"> 0,05) не відрізняються: «біль спокою» – n</w:t>
      </w:r>
      <w:r>
        <w:rPr>
          <w:rFonts w:ascii="Times New Roman" w:hAnsi="Times New Roman"/>
          <w:color w:val="000000"/>
          <w:sz w:val="28"/>
          <w:szCs w:val="28"/>
          <w:vertAlign w:val="subscript"/>
          <w:lang w:val="uk-UA"/>
        </w:rPr>
        <w:t xml:space="preserve">00 </w:t>
      </w:r>
      <w:r>
        <w:rPr>
          <w:rFonts w:ascii="Times New Roman" w:hAnsi="Times New Roman"/>
          <w:color w:val="000000"/>
          <w:sz w:val="28"/>
          <w:szCs w:val="28"/>
          <w:lang w:val="uk-UA"/>
        </w:rPr>
        <w:t>/n</w:t>
      </w:r>
      <w:r>
        <w:rPr>
          <w:rFonts w:ascii="Times New Roman" w:hAnsi="Times New Roman"/>
          <w:color w:val="000000"/>
          <w:sz w:val="28"/>
          <w:szCs w:val="28"/>
          <w:vertAlign w:val="subscript"/>
          <w:lang w:val="uk-UA"/>
        </w:rPr>
        <w:t>01</w:t>
      </w:r>
      <w:r>
        <w:rPr>
          <w:rFonts w:ascii="Times New Roman" w:hAnsi="Times New Roman"/>
          <w:color w:val="000000"/>
          <w:sz w:val="28"/>
          <w:szCs w:val="28"/>
          <w:lang w:val="uk-UA"/>
        </w:rPr>
        <w:t>=16/17 иn</w:t>
      </w:r>
      <w:r>
        <w:rPr>
          <w:rFonts w:ascii="Times New Roman" w:hAnsi="Times New Roman"/>
          <w:color w:val="000000"/>
          <w:sz w:val="28"/>
          <w:szCs w:val="28"/>
          <w:vertAlign w:val="subscript"/>
          <w:lang w:val="uk-UA"/>
        </w:rPr>
        <w:t xml:space="preserve">10 </w:t>
      </w:r>
      <w:r>
        <w:rPr>
          <w:rFonts w:ascii="Times New Roman" w:hAnsi="Times New Roman"/>
          <w:color w:val="000000"/>
          <w:sz w:val="28"/>
          <w:szCs w:val="28"/>
          <w:lang w:val="uk-UA"/>
        </w:rPr>
        <w:t>/n</w:t>
      </w:r>
      <w:r>
        <w:rPr>
          <w:rFonts w:ascii="Times New Roman" w:hAnsi="Times New Roman"/>
          <w:color w:val="000000"/>
          <w:sz w:val="28"/>
          <w:szCs w:val="28"/>
          <w:vertAlign w:val="subscript"/>
          <w:lang w:val="uk-UA"/>
        </w:rPr>
        <w:t>11</w:t>
      </w:r>
      <w:r>
        <w:rPr>
          <w:rFonts w:ascii="Times New Roman" w:hAnsi="Times New Roman"/>
          <w:color w:val="000000"/>
          <w:sz w:val="28"/>
          <w:szCs w:val="28"/>
          <w:lang w:val="uk-UA"/>
        </w:rPr>
        <w:t>=14/16; «ЦД» –n</w:t>
      </w:r>
      <w:r>
        <w:rPr>
          <w:rFonts w:ascii="Times New Roman" w:hAnsi="Times New Roman"/>
          <w:color w:val="000000"/>
          <w:sz w:val="28"/>
          <w:szCs w:val="28"/>
          <w:vertAlign w:val="subscript"/>
          <w:lang w:val="uk-UA"/>
        </w:rPr>
        <w:t xml:space="preserve">00 </w:t>
      </w:r>
      <w:r>
        <w:rPr>
          <w:rFonts w:ascii="Times New Roman" w:hAnsi="Times New Roman"/>
          <w:color w:val="000000"/>
          <w:sz w:val="28"/>
          <w:szCs w:val="28"/>
          <w:lang w:val="uk-UA"/>
        </w:rPr>
        <w:t>/n</w:t>
      </w:r>
      <w:r>
        <w:rPr>
          <w:rFonts w:ascii="Times New Roman" w:hAnsi="Times New Roman"/>
          <w:color w:val="000000"/>
          <w:sz w:val="28"/>
          <w:szCs w:val="28"/>
          <w:vertAlign w:val="subscript"/>
          <w:lang w:val="uk-UA"/>
        </w:rPr>
        <w:t>01</w:t>
      </w:r>
      <w:r>
        <w:rPr>
          <w:rFonts w:ascii="Times New Roman" w:hAnsi="Times New Roman"/>
          <w:color w:val="000000"/>
          <w:sz w:val="28"/>
          <w:szCs w:val="28"/>
          <w:lang w:val="uk-UA"/>
        </w:rPr>
        <w:t>=15/18 и n</w:t>
      </w:r>
      <w:r>
        <w:rPr>
          <w:rFonts w:ascii="Times New Roman" w:hAnsi="Times New Roman"/>
          <w:color w:val="000000"/>
          <w:sz w:val="28"/>
          <w:szCs w:val="28"/>
          <w:vertAlign w:val="subscript"/>
          <w:lang w:val="uk-UA"/>
        </w:rPr>
        <w:t xml:space="preserve">10 </w:t>
      </w:r>
      <w:r>
        <w:rPr>
          <w:rFonts w:ascii="Times New Roman" w:hAnsi="Times New Roman"/>
          <w:color w:val="000000"/>
          <w:sz w:val="28"/>
          <w:szCs w:val="28"/>
          <w:lang w:val="uk-UA"/>
        </w:rPr>
        <w:t>/n</w:t>
      </w:r>
      <w:r>
        <w:rPr>
          <w:rFonts w:ascii="Times New Roman" w:hAnsi="Times New Roman"/>
          <w:color w:val="000000"/>
          <w:sz w:val="28"/>
          <w:szCs w:val="28"/>
          <w:vertAlign w:val="subscript"/>
          <w:lang w:val="uk-UA"/>
        </w:rPr>
        <w:t>11</w:t>
      </w:r>
      <w:r>
        <w:rPr>
          <w:rFonts w:ascii="Times New Roman" w:hAnsi="Times New Roman"/>
          <w:color w:val="000000"/>
          <w:sz w:val="28"/>
          <w:szCs w:val="28"/>
          <w:lang w:val="uk-UA"/>
        </w:rPr>
        <w:t xml:space="preserve"> = 11/19.</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lang w:val="uk-UA"/>
        </w:rPr>
        <w:t xml:space="preserve">Аналіз порядкових показників за допомогою біноміального критерію дозволяє виключити з розгляду показник «ураження ТПС», так як його розподіл в групах з / без ампутації значимо (p </w:t>
      </w:r>
      <w:r>
        <w:rPr>
          <w:rFonts w:ascii="Times New Roman" w:hAnsi="Times New Roman"/>
          <w:color w:val="000000"/>
          <w:sz w:val="28"/>
          <w:szCs w:val="28"/>
          <w:lang w:val="uk-UA"/>
        </w:rPr>
        <w:sym w:font="Symbol" w:char="003E"/>
      </w:r>
      <w:r>
        <w:rPr>
          <w:rFonts w:ascii="Times New Roman" w:hAnsi="Times New Roman"/>
          <w:color w:val="000000"/>
          <w:sz w:val="28"/>
          <w:szCs w:val="28"/>
          <w:lang w:val="uk-UA"/>
        </w:rPr>
        <w:t xml:space="preserve"> 0,05) не відрізняється. Інші показники, які спочатку мали рівні ураження артерій у вигляді: немає ураження / сегментарне ураження / дифузне ураження, всюди має сенс перетворити в номінальні за правилом, оскільки вихідні рівні</w:t>
      </w:r>
      <w:r>
        <w:rPr>
          <w:rFonts w:ascii="Times New Roman" w:hAnsi="Times New Roman"/>
          <w:sz w:val="28"/>
          <w:szCs w:val="28"/>
          <w:lang w:val="uk-UA"/>
        </w:rPr>
        <w:t xml:space="preserve"> показників не дають значущих відмінностей в групах:</w:t>
      </w:r>
    </w:p>
    <w:p w:rsidR="00A01923" w:rsidRDefault="00A01923" w:rsidP="00A01923">
      <w:pPr>
        <w:tabs>
          <w:tab w:val="left" w:pos="3119"/>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 «ураження МГА» – немає / сегментарне / дифузне / цілком </w:t>
      </w:r>
      <w:r>
        <w:rPr>
          <w:rFonts w:ascii="Times New Roman" w:hAnsi="Times New Roman"/>
          <w:sz w:val="28"/>
          <w:szCs w:val="28"/>
          <w:lang w:val="uk-UA"/>
        </w:rPr>
        <w:sym w:font="Symbol" w:char="00AE"/>
      </w:r>
      <w:r>
        <w:rPr>
          <w:rFonts w:ascii="Times New Roman" w:hAnsi="Times New Roman"/>
          <w:sz w:val="28"/>
          <w:szCs w:val="28"/>
          <w:lang w:val="uk-UA"/>
        </w:rPr>
        <w:t xml:space="preserve"> немає / (сегментарне+дифузне+цілком)  =  немає / є;</w:t>
      </w:r>
    </w:p>
    <w:p w:rsidR="00A01923" w:rsidRDefault="00A01923" w:rsidP="00A01923">
      <w:pPr>
        <w:tabs>
          <w:tab w:val="left" w:pos="3119"/>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 «ураження ПКА» – немає / сегментарне / дифузне / цілком </w:t>
      </w:r>
      <w:r>
        <w:rPr>
          <w:rFonts w:ascii="Times New Roman" w:hAnsi="Times New Roman"/>
          <w:sz w:val="28"/>
          <w:szCs w:val="28"/>
          <w:lang w:val="uk-UA"/>
        </w:rPr>
        <w:sym w:font="Symbol" w:char="00AE"/>
      </w:r>
      <w:r>
        <w:rPr>
          <w:rFonts w:ascii="Times New Roman" w:hAnsi="Times New Roman"/>
          <w:sz w:val="28"/>
          <w:szCs w:val="28"/>
          <w:lang w:val="uk-UA"/>
        </w:rPr>
        <w:t xml:space="preserve"> немає / (сегментарне+дифузне+цілком)  = немає / є;</w:t>
      </w:r>
    </w:p>
    <w:p w:rsidR="00A01923" w:rsidRDefault="00A01923" w:rsidP="00A01923">
      <w:pPr>
        <w:tabs>
          <w:tab w:val="left" w:pos="3119"/>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 «ураження ЗВГА» – немає / сегментарне / дифузне / цілком  </w:t>
      </w:r>
      <w:r>
        <w:rPr>
          <w:rFonts w:ascii="Times New Roman" w:hAnsi="Times New Roman"/>
          <w:sz w:val="28"/>
          <w:szCs w:val="28"/>
          <w:lang w:val="uk-UA"/>
        </w:rPr>
        <w:sym w:font="Symbol" w:char="00AE"/>
      </w:r>
      <w:r>
        <w:rPr>
          <w:rFonts w:ascii="Times New Roman" w:hAnsi="Times New Roman"/>
          <w:sz w:val="28"/>
          <w:szCs w:val="28"/>
          <w:lang w:val="uk-UA"/>
        </w:rPr>
        <w:t xml:space="preserve">  немає / (сегментарне </w:t>
      </w:r>
      <w:r>
        <w:rPr>
          <w:rFonts w:ascii="Times New Roman" w:hAnsi="Times New Roman"/>
          <w:sz w:val="28"/>
          <w:szCs w:val="28"/>
          <w:lang w:val="uk-UA"/>
        </w:rPr>
        <w:sym w:font="Symbol" w:char="002B"/>
      </w:r>
      <w:r>
        <w:rPr>
          <w:rFonts w:ascii="Times New Roman" w:hAnsi="Times New Roman"/>
          <w:sz w:val="28"/>
          <w:szCs w:val="28"/>
          <w:lang w:val="uk-UA"/>
        </w:rPr>
        <w:t xml:space="preserve"> дифузне + цілком)  = немає / є;</w:t>
      </w:r>
    </w:p>
    <w:p w:rsidR="00A01923" w:rsidRDefault="00A01923" w:rsidP="00A01923">
      <w:pPr>
        <w:tabs>
          <w:tab w:val="left" w:pos="3119"/>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 - «ураження ПВГА» – немає / (сегментарне / дифузне / цілком </w:t>
      </w:r>
      <w:r>
        <w:rPr>
          <w:rFonts w:ascii="Times New Roman" w:hAnsi="Times New Roman"/>
          <w:sz w:val="28"/>
          <w:szCs w:val="28"/>
          <w:lang w:val="uk-UA"/>
        </w:rPr>
        <w:sym w:font="Symbol" w:char="00AE"/>
      </w:r>
      <w:r>
        <w:rPr>
          <w:rFonts w:ascii="Times New Roman" w:hAnsi="Times New Roman"/>
          <w:sz w:val="28"/>
          <w:szCs w:val="28"/>
          <w:lang w:val="uk-UA"/>
        </w:rPr>
        <w:t xml:space="preserve"> немає / (сегментарне  </w:t>
      </w:r>
      <w:r>
        <w:rPr>
          <w:rFonts w:ascii="Times New Roman" w:hAnsi="Times New Roman"/>
          <w:sz w:val="28"/>
          <w:szCs w:val="28"/>
          <w:lang w:val="uk-UA"/>
        </w:rPr>
        <w:sym w:font="Symbol" w:char="002B"/>
      </w:r>
      <w:r>
        <w:rPr>
          <w:rFonts w:ascii="Times New Roman" w:hAnsi="Times New Roman"/>
          <w:sz w:val="28"/>
          <w:szCs w:val="28"/>
          <w:lang w:val="uk-UA"/>
        </w:rPr>
        <w:t xml:space="preserve"> дифузне  + цілком)  =  немає / є;</w:t>
      </w:r>
    </w:p>
    <w:p w:rsidR="00A01923" w:rsidRDefault="00A01923" w:rsidP="00A01923">
      <w:pPr>
        <w:tabs>
          <w:tab w:val="left" w:pos="3119"/>
        </w:tabs>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lang w:val="uk-UA"/>
        </w:rPr>
        <w:t xml:space="preserve">- «ураження ступні» – немає / (сегментарне/диффузне) </w:t>
      </w:r>
      <w:r>
        <w:rPr>
          <w:rFonts w:ascii="Times New Roman" w:hAnsi="Times New Roman"/>
          <w:sz w:val="28"/>
          <w:szCs w:val="28"/>
          <w:lang w:val="uk-UA"/>
        </w:rPr>
        <w:sym w:font="Symbol" w:char="00AE"/>
      </w:r>
      <w:r>
        <w:rPr>
          <w:rFonts w:ascii="Times New Roman" w:hAnsi="Times New Roman"/>
          <w:sz w:val="28"/>
          <w:szCs w:val="28"/>
          <w:lang w:val="uk-UA"/>
        </w:rPr>
        <w:t xml:space="preserve"> немає / (</w:t>
      </w:r>
      <w:r>
        <w:rPr>
          <w:rFonts w:ascii="Times New Roman" w:hAnsi="Times New Roman"/>
          <w:color w:val="000000"/>
          <w:sz w:val="28"/>
          <w:szCs w:val="28"/>
          <w:lang w:val="uk-UA"/>
        </w:rPr>
        <w:t>сегментарне + дифузне)  =  немає / є.</w:t>
      </w:r>
    </w:p>
    <w:p w:rsidR="00A01923" w:rsidRDefault="00A01923" w:rsidP="00A01923">
      <w:pPr>
        <w:tabs>
          <w:tab w:val="left" w:pos="3119"/>
        </w:tabs>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lang w:val="uk-UA"/>
        </w:rPr>
        <w:t>Проілюструємо перетворення показників з порядкових в номінальні на прикладі «ураження</w:t>
      </w:r>
      <w:r>
        <w:rPr>
          <w:rFonts w:ascii="Times New Roman" w:hAnsi="Times New Roman"/>
          <w:color w:val="FF0000"/>
          <w:sz w:val="28"/>
          <w:szCs w:val="28"/>
          <w:lang w:val="uk-UA"/>
        </w:rPr>
        <w:t xml:space="preserve"> </w:t>
      </w:r>
      <w:r>
        <w:rPr>
          <w:rFonts w:ascii="Times New Roman" w:hAnsi="Times New Roman"/>
          <w:sz w:val="28"/>
          <w:szCs w:val="28"/>
          <w:lang w:val="uk-UA"/>
        </w:rPr>
        <w:t>ПВГА» (рис. 3.15).</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rPr>
      </w:pPr>
    </w:p>
    <w:p w:rsidR="00A01923" w:rsidRDefault="00487043" w:rsidP="00A01923">
      <w:pPr>
        <w:tabs>
          <w:tab w:val="left" w:pos="3119"/>
        </w:tabs>
        <w:spacing w:after="0" w:line="360" w:lineRule="auto"/>
        <w:ind w:left="-567" w:firstLine="567"/>
        <w:jc w:val="both"/>
        <w:rPr>
          <w:rFonts w:ascii="Times New Roman" w:hAnsi="Times New Roman"/>
          <w:sz w:val="28"/>
          <w:szCs w:val="28"/>
        </w:rPr>
      </w:pPr>
      <w:r w:rsidRPr="00487043">
        <w:rPr>
          <w:rFonts w:ascii="Calibri" w:hAnsi="Calibri"/>
        </w:rPr>
        <w:lastRenderedPageBreak/>
        <w:pict>
          <v:group id="_x0000_s2143" style="position:absolute;left:0;text-align:left;margin-left:-7.05pt;margin-top:-3.55pt;width:467.75pt;height:384.15pt;z-index:251647488" coordorigin="1560,1134" coordsize="9355,7854">
            <v:shape id="_x0000_s2144" type="#_x0000_t202" style="position:absolute;left:1701;top:1134;width:8232;height:6172;mso-wrap-style:none" stroked="f">
              <v:textbox style="mso-next-textbox:#_x0000_s2144;mso-fit-shape-to-text:t">
                <w:txbxContent>
                  <w:p w:rsidR="00DA0A21" w:rsidRDefault="00DA0A21" w:rsidP="00A01923">
                    <w:pPr>
                      <w:spacing w:after="0" w:line="360" w:lineRule="auto"/>
                      <w:jc w:val="both"/>
                    </w:pPr>
                    <w:r w:rsidRPr="00454A41">
                      <w:rPr>
                        <w:rFonts w:ascii="Calibri" w:eastAsia="Times New Roman" w:hAnsi="Calibri" w:cs="Times New Roman"/>
                      </w:rPr>
                      <w:object w:dxaOrig="7920" w:dyaOrig="5760">
                        <v:shape id="_x0000_i1066" type="#_x0000_t75" style="width:397.25pt;height:4in" o:ole="">
                          <v:imagedata r:id="rId51" o:title=""/>
                        </v:shape>
                        <o:OLEObject Type="Embed" ProgID="STATISTICA.Graph" ShapeID="_x0000_i1066" DrawAspect="Content" ObjectID="_1585401162" r:id="rId52">
                          <o:FieldCodes>\s</o:FieldCodes>
                        </o:OLEObject>
                      </w:object>
                    </w:r>
                  </w:p>
                </w:txbxContent>
              </v:textbox>
            </v:shape>
            <v:shape id="_x0000_s2145" type="#_x0000_t202" style="position:absolute;left:1560;top:6912;width:9355;height:2076;mso-wrap-style:none" stroked="f">
              <v:textbox style="mso-next-textbox:#_x0000_s2145">
                <w:txbxContent>
                  <w:p w:rsidR="00DA0A21" w:rsidRDefault="00DA0A21" w:rsidP="00A01923">
                    <w:pPr>
                      <w:spacing w:after="0" w:line="360" w:lineRule="auto"/>
                      <w:jc w:val="center"/>
                      <w:rPr>
                        <w:rFonts w:ascii="Times New Roman" w:hAnsi="Times New Roman"/>
                        <w:sz w:val="28"/>
                        <w:szCs w:val="28"/>
                        <w:lang w:val="uk-UA"/>
                      </w:rPr>
                    </w:pPr>
                    <w:r>
                      <w:rPr>
                        <w:rFonts w:ascii="Times New Roman" w:hAnsi="Times New Roman"/>
                        <w:sz w:val="28"/>
                        <w:szCs w:val="28"/>
                      </w:rPr>
                      <w:t>Рис. 3</w:t>
                    </w:r>
                    <w:r>
                      <w:rPr>
                        <w:rFonts w:ascii="Times New Roman" w:hAnsi="Times New Roman"/>
                        <w:sz w:val="28"/>
                        <w:szCs w:val="28"/>
                        <w:lang w:val="uk-UA"/>
                      </w:rPr>
                      <w:t>.15</w:t>
                    </w:r>
                    <w:r>
                      <w:rPr>
                        <w:rFonts w:ascii="Times New Roman" w:hAnsi="Times New Roman"/>
                        <w:sz w:val="28"/>
                        <w:szCs w:val="28"/>
                      </w:rPr>
                      <w:t>. Г</w:t>
                    </w:r>
                    <w:r>
                      <w:rPr>
                        <w:rFonts w:ascii="Times New Roman" w:hAnsi="Times New Roman"/>
                        <w:sz w:val="28"/>
                        <w:szCs w:val="28"/>
                        <w:lang w:val="uk-UA"/>
                      </w:rPr>
                      <w:t>і</w:t>
                    </w:r>
                    <w:r>
                      <w:rPr>
                        <w:rFonts w:ascii="Times New Roman" w:hAnsi="Times New Roman"/>
                        <w:sz w:val="28"/>
                        <w:szCs w:val="28"/>
                      </w:rPr>
                      <w:t>стограм</w:t>
                    </w:r>
                    <w:r>
                      <w:rPr>
                        <w:rFonts w:ascii="Times New Roman" w:hAnsi="Times New Roman"/>
                        <w:sz w:val="28"/>
                        <w:szCs w:val="28"/>
                        <w:lang w:val="uk-UA"/>
                      </w:rPr>
                      <w:t>и розподілів показнику</w:t>
                    </w:r>
                    <w:r>
                      <w:rPr>
                        <w:rFonts w:ascii="Times New Roman" w:hAnsi="Times New Roman"/>
                        <w:sz w:val="28"/>
                        <w:szCs w:val="28"/>
                      </w:rPr>
                      <w:t xml:space="preserve"> «</w:t>
                    </w:r>
                    <w:r>
                      <w:rPr>
                        <w:rFonts w:ascii="Times New Roman" w:hAnsi="Times New Roman"/>
                        <w:sz w:val="28"/>
                        <w:szCs w:val="28"/>
                        <w:lang w:val="uk-UA"/>
                      </w:rPr>
                      <w:t xml:space="preserve">ураження </w:t>
                    </w:r>
                    <w:r>
                      <w:rPr>
                        <w:rFonts w:ascii="Times New Roman" w:hAnsi="Times New Roman"/>
                        <w:sz w:val="28"/>
                        <w:szCs w:val="28"/>
                      </w:rPr>
                      <w:t>П</w:t>
                    </w:r>
                    <w:r>
                      <w:rPr>
                        <w:rFonts w:ascii="Times New Roman" w:hAnsi="Times New Roman"/>
                        <w:sz w:val="28"/>
                        <w:szCs w:val="28"/>
                        <w:lang w:val="uk-UA"/>
                      </w:rPr>
                      <w:t>ВГ</w:t>
                    </w:r>
                    <w:r>
                      <w:rPr>
                        <w:rFonts w:ascii="Times New Roman" w:hAnsi="Times New Roman"/>
                        <w:sz w:val="28"/>
                        <w:szCs w:val="28"/>
                      </w:rPr>
                      <w:t xml:space="preserve">А» для груп </w:t>
                    </w:r>
                    <w:r>
                      <w:rPr>
                        <w:rFonts w:ascii="Times New Roman" w:hAnsi="Times New Roman"/>
                        <w:sz w:val="28"/>
                        <w:szCs w:val="28"/>
                        <w:lang w:val="uk-UA"/>
                      </w:rPr>
                      <w:t>з/</w:t>
                    </w:r>
                    <w:r>
                      <w:rPr>
                        <w:rFonts w:ascii="Times New Roman" w:hAnsi="Times New Roman"/>
                        <w:sz w:val="28"/>
                        <w:szCs w:val="28"/>
                      </w:rPr>
                      <w:t>без низ</w:t>
                    </w:r>
                    <w:r>
                      <w:rPr>
                        <w:rFonts w:ascii="Times New Roman" w:hAnsi="Times New Roman"/>
                        <w:sz w:val="28"/>
                        <w:szCs w:val="28"/>
                        <w:lang w:val="uk-UA"/>
                      </w:rPr>
                      <w:t>ькою</w:t>
                    </w:r>
                    <w:r>
                      <w:rPr>
                        <w:rFonts w:ascii="Times New Roman" w:hAnsi="Times New Roman"/>
                        <w:sz w:val="28"/>
                        <w:szCs w:val="28"/>
                      </w:rPr>
                      <w:t xml:space="preserve"> ампутац</w:t>
                    </w:r>
                    <w:r>
                      <w:rPr>
                        <w:rFonts w:ascii="Times New Roman" w:hAnsi="Times New Roman"/>
                        <w:sz w:val="28"/>
                        <w:szCs w:val="28"/>
                        <w:lang w:val="uk-UA"/>
                      </w:rPr>
                      <w:t xml:space="preserve">ією: а) немає ампутації; б) є ампутація; 1 – не уражена; 2 –сегментарне ураження ; 3 –дифузне ураження ;  4 – цілком уражена. </w:t>
                    </w:r>
                  </w:p>
                </w:txbxContent>
              </v:textbox>
            </v:shape>
          </v:group>
        </w:pict>
      </w:r>
    </w:p>
    <w:p w:rsidR="00A01923" w:rsidRDefault="00A01923" w:rsidP="00A01923">
      <w:pPr>
        <w:spacing w:after="0" w:line="360" w:lineRule="auto"/>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center"/>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31849B"/>
          <w:sz w:val="28"/>
          <w:szCs w:val="28"/>
          <w:lang w:val="uk-UA"/>
        </w:rPr>
      </w:pPr>
    </w:p>
    <w:p w:rsidR="00A01923" w:rsidRDefault="00A01923" w:rsidP="00A01923">
      <w:pPr>
        <w:spacing w:after="0" w:line="360" w:lineRule="auto"/>
        <w:ind w:left="-567" w:firstLine="567"/>
        <w:jc w:val="both"/>
        <w:rPr>
          <w:rFonts w:ascii="Times New Roman" w:hAnsi="Times New Roman"/>
          <w:color w:val="FF0000"/>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Кількість спостережень в групі з ампутацією по кожному рівню немає /сегментарне /дифузне /цілком, рівні 2 / 7/14/7 = 30, значуще не відрізняється. Тоді як перетворені рівні (немає + сегментарне) / (дифузне + цілком) = (2 + 7) / (14 + 7) = 9/21 відповідають значущій (p &lt;0,05) відмінності (критичне ставлення для 30 спостережень становить 10/20). При цьому в групі без ампутацій значущі відмінності з новими рівнями не спостерігаються: (немає + сегментарне) / (дифузне + цілком) = (5 + 9) / (12 + 7) = 14/19. Тобто, показник «ураження ПВГА» можна використовувати для прогнозування групи ризику.</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для прогнозування групи ризику можна використовувати 5 номінальних і 6 інтервальних показників. До числа багатовимірних статистичних методів класифікації, які можуть одночасно використовувати номінальні і інтервальні показники, можна віднести узагальнений дискримінантний аналіз, логіт-регресію, дерева класифікації, нейронні мережі та ін. У нашому випадку </w:t>
      </w:r>
      <w:r>
        <w:rPr>
          <w:rFonts w:ascii="Times New Roman" w:hAnsi="Times New Roman"/>
          <w:sz w:val="28"/>
          <w:szCs w:val="28"/>
          <w:lang w:val="uk-UA"/>
        </w:rPr>
        <w:lastRenderedPageBreak/>
        <w:t xml:space="preserve">найбільша точність </w:t>
      </w:r>
      <w:r>
        <w:rPr>
          <w:rFonts w:ascii="Times New Roman" w:hAnsi="Times New Roman"/>
          <w:color w:val="000000"/>
          <w:sz w:val="28"/>
          <w:szCs w:val="28"/>
          <w:lang w:val="uk-UA"/>
        </w:rPr>
        <w:t xml:space="preserve">прогнозу для групи ризику була отримана при використанні дерев класифікації </w:t>
      </w:r>
      <w:r>
        <w:rPr>
          <w:rFonts w:ascii="Times New Roman" w:eastAsia="Calibri" w:hAnsi="Times New Roman"/>
          <w:color w:val="000000"/>
          <w:sz w:val="28"/>
          <w:szCs w:val="28"/>
          <w:lang w:val="uk-UA" w:eastAsia="en-US"/>
        </w:rPr>
        <w:t xml:space="preserve">(або дерева рішень) </w:t>
      </w:r>
      <w:r>
        <w:rPr>
          <w:rFonts w:ascii="Times New Roman" w:hAnsi="Times New Roman"/>
          <w:color w:val="000000"/>
          <w:sz w:val="28"/>
          <w:szCs w:val="28"/>
          <w:lang w:val="uk-UA"/>
        </w:rPr>
        <w:t>[3].</w:t>
      </w:r>
    </w:p>
    <w:p w:rsidR="00A01923" w:rsidRDefault="00A01923" w:rsidP="00A01923">
      <w:pPr>
        <w:pStyle w:val="af0"/>
        <w:spacing w:line="360" w:lineRule="auto"/>
        <w:ind w:left="-567" w:firstLine="567"/>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До переваг методу дерев класифікації можна віднести високу точність класифікації, наочність графічного представлення результатів і простоту їх інтерпретації, відсутність вимог на використання в якості вхідних показників, виміряних в будь-якій шкалі і при будь-якому законі розподілення та інші.</w:t>
      </w:r>
    </w:p>
    <w:p w:rsidR="00A01923" w:rsidRDefault="00A01923" w:rsidP="00A01923">
      <w:pPr>
        <w:pStyle w:val="af0"/>
        <w:spacing w:line="360" w:lineRule="auto"/>
        <w:ind w:left="-567" w:firstLine="567"/>
        <w:jc w:val="both"/>
        <w:rPr>
          <w:rFonts w:ascii="Times New Roman" w:eastAsia="Calibri" w:hAnsi="Times New Roman"/>
          <w:color w:val="31849B"/>
          <w:sz w:val="28"/>
          <w:szCs w:val="28"/>
          <w:lang w:val="uk-UA" w:eastAsia="en-US"/>
        </w:rPr>
      </w:pPr>
      <w:r>
        <w:rPr>
          <w:rFonts w:ascii="Times New Roman" w:eastAsia="Calibri" w:hAnsi="Times New Roman"/>
          <w:sz w:val="28"/>
          <w:szCs w:val="28"/>
          <w:lang w:val="uk-UA" w:eastAsia="en-US"/>
        </w:rPr>
        <w:t xml:space="preserve">Дерева класифікації побудовані у вигляді ієрархічної послідовної структури, яка складається з вузлів прийняття рішень, де в кожному вузлі в ході процесу розгалуження алгоритм знаходить такий критерій, який би розбивав безліч об'єктів, що розглядаються, на дві частини відповідно найкращим результатам класифікації. Ліва частина відповідає групі об'єктів, для яких критерій розгалуження виконується, в правій частині знаходяться об'єкти, що не відповідають обраному критерію. У даній роботі використовувався метод повного перебору дерев за алгоритмом СART, а зупинка розгалуження при обраній частці некласифікованих об'єктів менше 5% проводилася за допомогою прямої зупинки за методом FACT </w:t>
      </w:r>
      <w:r>
        <w:rPr>
          <w:rFonts w:ascii="Times New Roman" w:hAnsi="Times New Roman"/>
          <w:color w:val="000000"/>
          <w:sz w:val="28"/>
          <w:szCs w:val="28"/>
          <w:lang w:val="uk-UA"/>
        </w:rPr>
        <w:t>[3]</w:t>
      </w:r>
      <w:r>
        <w:rPr>
          <w:rFonts w:ascii="Times New Roman" w:eastAsia="Calibri" w:hAnsi="Times New Roman"/>
          <w:sz w:val="28"/>
          <w:szCs w:val="28"/>
          <w:lang w:val="uk-UA" w:eastAsia="en-US"/>
        </w:rPr>
        <w:t>.</w:t>
      </w:r>
    </w:p>
    <w:p w:rsidR="00A01923" w:rsidRDefault="00A01923" w:rsidP="00A01923">
      <w:pPr>
        <w:pStyle w:val="af0"/>
        <w:spacing w:line="360" w:lineRule="auto"/>
        <w:ind w:left="-567" w:firstLine="567"/>
        <w:jc w:val="both"/>
        <w:rPr>
          <w:rFonts w:ascii="Times New Roman" w:hAnsi="Times New Roman"/>
          <w:spacing w:val="6"/>
          <w:sz w:val="28"/>
          <w:szCs w:val="28"/>
          <w:lang w:val="uk-UA"/>
        </w:rPr>
      </w:pPr>
      <w:r>
        <w:rPr>
          <w:rFonts w:ascii="Times New Roman" w:eastAsia="Calibri" w:hAnsi="Times New Roman"/>
          <w:sz w:val="28"/>
          <w:szCs w:val="28"/>
          <w:lang w:val="uk-UA" w:eastAsia="en-US"/>
        </w:rPr>
        <w:t>На рис. 3.16 показано дерево класифікації з 13 розгалуженнями та 14 термінальними вузлами. Число над вузлом розгалуження (прямокутником) показує кількість хворих, які в нього входять для аналізу; а гістограми всередині вузла розгалуження - якісні співвідношення між хворими без / з ампутацією, що приходять в вузол</w:t>
      </w:r>
      <w:r>
        <w:rPr>
          <w:rFonts w:ascii="Times New Roman" w:hAnsi="Times New Roman"/>
          <w:spacing w:val="6"/>
          <w:sz w:val="28"/>
          <w:szCs w:val="28"/>
          <w:lang w:val="uk-UA"/>
        </w:rPr>
        <w: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Як випливає з отриманої структури дерева класифікації, для хворих в групі ризику (тобто, велику ймовірність проведення низької ампутації) найбільш характерними є низька температура стопи (менше 30°С) і гомілки (менше 35,8°С) та ураження ЗВГА.</w:t>
      </w: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lang w:val="uk-UA"/>
        </w:rPr>
        <w:t xml:space="preserve">Апріорні ймовірності приналежності хворих до груп без / з ампутацією оцінювалися за навчальною вибіркою (63 хворих), а ціна помилки класифікації (в силу зразкової рівності групп) </w:t>
      </w:r>
      <w:r>
        <w:rPr>
          <w:rFonts w:ascii="Times New Roman" w:hAnsi="Times New Roman"/>
          <w:color w:val="000000"/>
          <w:sz w:val="28"/>
          <w:szCs w:val="28"/>
          <w:lang w:val="uk-UA"/>
        </w:rPr>
        <w:t xml:space="preserve">встановлювалася однаковою для груп. Отримана точність класифікації склала 100%. Реальна точність класифікації буде нижче, адже отримана точність заснована на навчальній вибірці. Якість класифікації </w:t>
      </w:r>
      <w:r>
        <w:rPr>
          <w:rFonts w:ascii="Times New Roman" w:hAnsi="Times New Roman"/>
          <w:color w:val="000000"/>
          <w:sz w:val="28"/>
          <w:szCs w:val="28"/>
          <w:lang w:val="uk-UA"/>
        </w:rPr>
        <w:lastRenderedPageBreak/>
        <w:t>оцінювалося за допомогою крос-перевірки (ціна глобальної крос-перевірки дорівнювала 0,111 при стандартному відхиленні ціни – 0,396). При цьому точність класифікації при крос-перевірці склала 91% для групи без ампутацій і 83% – з ампутацією, що є дуже хорошими показниками якості моделі.</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pStyle w:val="af0"/>
        <w:spacing w:line="360" w:lineRule="auto"/>
        <w:ind w:left="-567" w:firstLine="567"/>
        <w:jc w:val="both"/>
        <w:rPr>
          <w:color w:val="31849B"/>
          <w:lang w:val="uk-UA"/>
        </w:rPr>
      </w:pPr>
    </w:p>
    <w:p w:rsidR="00A01923" w:rsidRDefault="00487043" w:rsidP="00A01923">
      <w:pPr>
        <w:pStyle w:val="af0"/>
        <w:spacing w:line="360" w:lineRule="auto"/>
        <w:ind w:left="-567" w:firstLine="567"/>
        <w:jc w:val="both"/>
        <w:rPr>
          <w:color w:val="31849B"/>
          <w:lang w:val="uk-UA"/>
        </w:rPr>
      </w:pPr>
      <w:r w:rsidRPr="00487043">
        <w:pict>
          <v:shape id="_x0000_s1906" type="#_x0000_t202" style="position:absolute;left:0;text-align:left;margin-left:-32.15pt;margin-top:-15.55pt;width:512.8pt;height:386.45pt;z-index:251648512" stroked="f">
            <v:textbox>
              <w:txbxContent>
                <w:p w:rsidR="00DA0A21" w:rsidRDefault="00DA0A21" w:rsidP="00A01923">
                  <w:r w:rsidRPr="00454A41">
                    <w:rPr>
                      <w:rFonts w:ascii="Calibri" w:eastAsia="Times New Roman" w:hAnsi="Calibri" w:cs="Times New Roman"/>
                      <w:color w:val="31849B"/>
                    </w:rPr>
                    <w:object w:dxaOrig="9195" w:dyaOrig="6892">
                      <v:shape id="_x0000_i1068" type="#_x0000_t75" style="width:497.8pt;height:373.65pt" o:ole="">
                        <v:imagedata r:id="rId53" o:title=""/>
                      </v:shape>
                      <o:OLEObject Type="Embed" ProgID="STATISTICA.Graph" ShapeID="_x0000_i1068" DrawAspect="Content" ObjectID="_1585401163" r:id="rId54">
                        <o:FieldCodes>\s</o:FieldCodes>
                      </o:OLEObject>
                    </w:object>
                  </w:r>
                </w:p>
              </w:txbxContent>
            </v:textbox>
          </v:shape>
        </w:pict>
      </w: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A01923" w:rsidP="00A01923">
      <w:pPr>
        <w:pStyle w:val="af0"/>
        <w:spacing w:line="360" w:lineRule="auto"/>
        <w:ind w:left="-567" w:firstLine="567"/>
        <w:jc w:val="both"/>
        <w:rPr>
          <w:color w:val="31849B"/>
          <w:lang w:val="uk-UA"/>
        </w:rPr>
      </w:pPr>
    </w:p>
    <w:p w:rsidR="00A01923" w:rsidRDefault="00487043" w:rsidP="00A01923">
      <w:pPr>
        <w:pStyle w:val="af0"/>
        <w:spacing w:line="360" w:lineRule="auto"/>
        <w:ind w:left="-567" w:firstLine="567"/>
        <w:jc w:val="both"/>
        <w:rPr>
          <w:color w:val="31849B"/>
          <w:lang w:val="uk-UA"/>
        </w:rPr>
      </w:pPr>
      <w:r w:rsidRPr="00487043">
        <w:pict>
          <v:shape id="_x0000_s1905" type="#_x0000_t202" style="position:absolute;left:0;text-align:left;margin-left:0;margin-top:31.05pt;width:560.95pt;height:51.4pt;z-index:251649536;mso-wrap-style:none" stroked="f">
            <v:textbox>
              <w:txbxContent>
                <w:p w:rsidR="00DA0A21" w:rsidRDefault="00DA0A21" w:rsidP="00A01923">
                  <w:pPr>
                    <w:spacing w:line="360" w:lineRule="auto"/>
                    <w:ind w:left="-567" w:firstLine="567"/>
                    <w:jc w:val="center"/>
                    <w:rPr>
                      <w:rFonts w:ascii="Times New Roman" w:hAnsi="Times New Roman"/>
                      <w:sz w:val="28"/>
                      <w:szCs w:val="28"/>
                      <w:lang w:val="uk-UA"/>
                    </w:rPr>
                  </w:pPr>
                  <w:r>
                    <w:rPr>
                      <w:rFonts w:ascii="Times New Roman" w:hAnsi="Times New Roman"/>
                      <w:sz w:val="28"/>
                      <w:szCs w:val="28"/>
                    </w:rPr>
                    <w:t xml:space="preserve">Рис. </w:t>
                  </w:r>
                  <w:r>
                    <w:rPr>
                      <w:rFonts w:ascii="Times New Roman" w:hAnsi="Times New Roman"/>
                      <w:sz w:val="28"/>
                      <w:szCs w:val="28"/>
                      <w:lang w:val="uk-UA"/>
                    </w:rPr>
                    <w:t>3.16</w:t>
                  </w:r>
                  <w:r>
                    <w:rPr>
                      <w:rFonts w:ascii="Times New Roman" w:hAnsi="Times New Roman"/>
                      <w:sz w:val="28"/>
                      <w:szCs w:val="28"/>
                    </w:rPr>
                    <w:t xml:space="preserve"> Дерево класиф</w:t>
                  </w:r>
                  <w:r>
                    <w:rPr>
                      <w:rFonts w:ascii="Times New Roman" w:hAnsi="Times New Roman"/>
                      <w:sz w:val="28"/>
                      <w:szCs w:val="28"/>
                      <w:lang w:val="uk-UA"/>
                    </w:rPr>
                    <w:t>і</w:t>
                  </w:r>
                  <w:r>
                    <w:rPr>
                      <w:rFonts w:ascii="Times New Roman" w:hAnsi="Times New Roman"/>
                      <w:sz w:val="28"/>
                      <w:szCs w:val="28"/>
                    </w:rPr>
                    <w:t>кац</w:t>
                  </w:r>
                  <w:r>
                    <w:rPr>
                      <w:rFonts w:ascii="Times New Roman" w:hAnsi="Times New Roman"/>
                      <w:sz w:val="28"/>
                      <w:szCs w:val="28"/>
                      <w:lang w:val="uk-UA"/>
                    </w:rPr>
                    <w:t>ії</w:t>
                  </w:r>
                  <w:r>
                    <w:rPr>
                      <w:rFonts w:ascii="Times New Roman" w:hAnsi="Times New Roman"/>
                      <w:sz w:val="28"/>
                      <w:szCs w:val="28"/>
                    </w:rPr>
                    <w:t xml:space="preserve">. </w:t>
                  </w:r>
                  <w:r>
                    <w:rPr>
                      <w:rFonts w:ascii="Times New Roman" w:hAnsi="Times New Roman"/>
                      <w:sz w:val="28"/>
                      <w:szCs w:val="28"/>
                      <w:lang w:val="uk-UA"/>
                    </w:rPr>
                    <w:t>Кількість розгалужень</w:t>
                  </w:r>
                  <w:r>
                    <w:rPr>
                      <w:rFonts w:ascii="Times New Roman" w:hAnsi="Times New Roman"/>
                      <w:sz w:val="28"/>
                      <w:szCs w:val="28"/>
                    </w:rPr>
                    <w:t xml:space="preserve"> – 13, </w:t>
                  </w:r>
                  <w:r>
                    <w:rPr>
                      <w:rFonts w:ascii="Times New Roman" w:hAnsi="Times New Roman"/>
                      <w:sz w:val="28"/>
                      <w:szCs w:val="28"/>
                      <w:lang w:val="uk-UA"/>
                    </w:rPr>
                    <w:t>кількість термінальних вершин</w:t>
                  </w:r>
                  <w:r>
                    <w:rPr>
                      <w:rFonts w:ascii="Times New Roman" w:hAnsi="Times New Roman"/>
                      <w:sz w:val="28"/>
                      <w:szCs w:val="28"/>
                    </w:rPr>
                    <w:t xml:space="preserve"> – 14</w:t>
                  </w:r>
                </w:p>
              </w:txbxContent>
            </v:textbox>
            <w10:wrap type="square"/>
          </v:shape>
        </w:pict>
      </w:r>
    </w:p>
    <w:p w:rsidR="00A01923" w:rsidRDefault="00A01923" w:rsidP="00A01923">
      <w:pPr>
        <w:pStyle w:val="af0"/>
        <w:spacing w:line="360" w:lineRule="auto"/>
        <w:ind w:left="-567" w:firstLine="567"/>
        <w:jc w:val="both"/>
        <w:rPr>
          <w:color w:val="000000"/>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lang w:val="uk-UA"/>
        </w:rPr>
        <w:t>Метод дерев класифікації дозволив нам визначити найбільш інформативні показники для прогнозування хворих з групи ризику, на підставі отриманої моделі з великою точністю класифікувати будь-якого хворого щодо можливого проведення низької ампутації. Однак, він не дозволяє оцінити ймовірність такої операції при різних значеннях</w:t>
      </w:r>
      <w:r>
        <w:rPr>
          <w:rFonts w:ascii="Times New Roman" w:hAnsi="Times New Roman"/>
          <w:sz w:val="28"/>
          <w:szCs w:val="28"/>
          <w:lang w:val="uk-UA"/>
        </w:rPr>
        <w:t xml:space="preserve"> вхідних показників.</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Таке завдання може бути вирішено на підставі результатів, отриманих за допомогою методу аналізу відповідностей. Оскільки аналіз відповідностей працює тільки з номінальними змінними, перетворимо наші 6 інтервальних показників в номінальні. Для цього за допомогою критерію </w:t>
      </w:r>
      <w:r>
        <w:rPr>
          <w:rFonts w:ascii="Times New Roman" w:hAnsi="Times New Roman"/>
          <w:color w:val="000000"/>
          <w:sz w:val="28"/>
          <w:szCs w:val="28"/>
          <w:lang w:val="uk-UA"/>
        </w:rPr>
        <w:t>χ2 [36]</w:t>
      </w:r>
      <w:r>
        <w:rPr>
          <w:rFonts w:ascii="Times New Roman" w:hAnsi="Times New Roman"/>
          <w:sz w:val="28"/>
          <w:szCs w:val="28"/>
          <w:lang w:val="uk-UA"/>
        </w:rPr>
        <w:t xml:space="preserve"> знайдемо порогові значення інтервальних показників, які поділяють хворих на групи, де кількість хворих без низької ампутації зі значенням показника, менше порогового, було вірогідно (p &lt;0,05) відмінне від числа хворих з ампутацією і значеннями показника, вище порогового. У таблиці 3.10 наведено нові рівні використовуваних в аналізі відповідностей показників.</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lang w:val="uk-UA"/>
        </w:rPr>
        <w:t>Таблица 3.10</w:t>
      </w:r>
    </w:p>
    <w:p w:rsidR="00A01923" w:rsidRDefault="00A01923" w:rsidP="00A01923">
      <w:pPr>
        <w:spacing w:after="0" w:line="360" w:lineRule="auto"/>
        <w:ind w:left="-567" w:firstLine="567"/>
        <w:jc w:val="center"/>
        <w:rPr>
          <w:rFonts w:ascii="Times New Roman" w:hAnsi="Times New Roman"/>
          <w:b/>
          <w:color w:val="000000"/>
          <w:sz w:val="28"/>
          <w:szCs w:val="28"/>
          <w:lang w:val="uk-UA"/>
        </w:rPr>
      </w:pPr>
      <w:r>
        <w:rPr>
          <w:rFonts w:ascii="Times New Roman" w:hAnsi="Times New Roman"/>
          <w:b/>
          <w:color w:val="000000"/>
          <w:sz w:val="28"/>
          <w:szCs w:val="28"/>
          <w:lang w:val="uk-UA"/>
        </w:rPr>
        <w:t>Рівні показників, які використовуються у дослідженні</w:t>
      </w: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410"/>
        <w:gridCol w:w="2693"/>
        <w:gridCol w:w="2694"/>
        <w:gridCol w:w="2126"/>
      </w:tblGrid>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Показник</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Старі рівні</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Перехід на нові рівні</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Нові рівні</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Ураження МГА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диффузне/цілком</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дифузне+цілком)</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немає/є</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Ураження ПКА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диффузне/цілком</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дифузне+цілком)</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немає/є</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Ураження ЗВГА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немає/сегментарне/диффузне/цілком</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дифузне+цілком</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немає/є</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Ураження ПВГА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диффузне/цілком</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дифузне+цілком</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немає/є</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Ураження судин ступні</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диффузне</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немає/сегментарне+ дифузне</w:t>
            </w:r>
          </w:p>
        </w:tc>
        <w:tc>
          <w:tcPr>
            <w:tcW w:w="212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немає/є</w:t>
            </w:r>
          </w:p>
        </w:tc>
      </w:tr>
      <w:tr w:rsidR="00A01923" w:rsidTr="00A01923">
        <w:trPr>
          <w:trHeight w:val="353"/>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Вік (років)</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42÷80</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порогу немає</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w:t>
            </w:r>
          </w:p>
        </w:tc>
      </w:tr>
      <w:tr w:rsidR="00A01923" w:rsidTr="00A01923">
        <w:trPr>
          <w:trHeight w:val="431"/>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t</w:t>
            </w:r>
            <w:r>
              <w:rPr>
                <w:rFonts w:cs="Calibri"/>
                <w:sz w:val="28"/>
                <w:szCs w:val="28"/>
                <w:lang w:val="uk-UA"/>
              </w:rPr>
              <w:t>°</w:t>
            </w:r>
            <w:r>
              <w:rPr>
                <w:rFonts w:ascii="Times New Roman" w:hAnsi="Times New Roman"/>
                <w:sz w:val="28"/>
                <w:szCs w:val="28"/>
                <w:lang w:val="uk-UA"/>
              </w:rPr>
              <w:t xml:space="preserve"> ступні (</w:t>
            </w:r>
            <w:r>
              <w:rPr>
                <w:rFonts w:cs="Calibri"/>
                <w:sz w:val="28"/>
                <w:szCs w:val="28"/>
                <w:lang w:val="uk-UA"/>
              </w:rPr>
              <w:t>°</w:t>
            </w:r>
            <w:r>
              <w:rPr>
                <w:rFonts w:ascii="Times New Roman" w:hAnsi="Times New Roman"/>
                <w:sz w:val="28"/>
                <w:szCs w:val="28"/>
                <w:lang w:val="uk-UA"/>
              </w:rPr>
              <w:t>С)</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26,5÷36</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поріг – 30</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&lt;=30 та &gt;30</w:t>
            </w:r>
          </w:p>
        </w:tc>
      </w:tr>
      <w:tr w:rsidR="00A01923" w:rsidTr="00A01923">
        <w:trPr>
          <w:trHeight w:val="467"/>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t</w:t>
            </w:r>
            <w:r>
              <w:rPr>
                <w:rFonts w:cs="Calibri"/>
                <w:sz w:val="28"/>
                <w:szCs w:val="28"/>
                <w:lang w:val="uk-UA"/>
              </w:rPr>
              <w:t xml:space="preserve">° </w:t>
            </w:r>
            <w:r>
              <w:rPr>
                <w:rFonts w:ascii="Times New Roman" w:hAnsi="Times New Roman"/>
                <w:sz w:val="28"/>
                <w:szCs w:val="28"/>
                <w:lang w:val="uk-UA"/>
              </w:rPr>
              <w:t>гомілки (</w:t>
            </w:r>
            <w:r>
              <w:rPr>
                <w:rFonts w:cs="Calibri"/>
                <w:sz w:val="28"/>
                <w:szCs w:val="28"/>
                <w:lang w:val="uk-UA"/>
              </w:rPr>
              <w:t>°</w:t>
            </w:r>
            <w:r>
              <w:rPr>
                <w:rFonts w:ascii="Times New Roman" w:hAnsi="Times New Roman"/>
                <w:sz w:val="28"/>
                <w:szCs w:val="28"/>
                <w:lang w:val="uk-UA"/>
              </w:rPr>
              <w:t>С)</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34,1÷36</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поріг – 35,8</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&lt;=35,8 та &gt;35,8</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Лейкоцити (10</w:t>
            </w:r>
            <w:r>
              <w:rPr>
                <w:rFonts w:ascii="Times New Roman" w:hAnsi="Times New Roman"/>
                <w:sz w:val="28"/>
                <w:szCs w:val="28"/>
                <w:vertAlign w:val="superscript"/>
                <w:lang w:val="uk-UA"/>
              </w:rPr>
              <w:t>9</w:t>
            </w:r>
            <w:r>
              <w:rPr>
                <w:rFonts w:ascii="Times New Roman" w:hAnsi="Times New Roman"/>
                <w:sz w:val="28"/>
                <w:szCs w:val="28"/>
                <w:lang w:val="uk-UA"/>
              </w:rPr>
              <w:t>/л)</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4,2÷16,3</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поріг – 6,5</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&lt;=6,5 та &gt;6,5</w:t>
            </w:r>
          </w:p>
        </w:tc>
      </w:tr>
      <w:tr w:rsidR="00A01923" w:rsidTr="00A01923">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Фібриноген (г/л)</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2,5÷7,2</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поріг – 5,0</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&lt;=5 та &gt;5</w:t>
            </w:r>
          </w:p>
        </w:tc>
      </w:tr>
      <w:tr w:rsidR="00A01923" w:rsidTr="00A01923">
        <w:trPr>
          <w:trHeight w:val="815"/>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3"/>
              <w:jc w:val="center"/>
              <w:rPr>
                <w:rFonts w:ascii="Times New Roman" w:eastAsia="Times New Roman" w:hAnsi="Times New Roman"/>
                <w:sz w:val="28"/>
                <w:szCs w:val="28"/>
                <w:lang w:val="uk-UA"/>
              </w:rPr>
            </w:pPr>
            <w:r>
              <w:rPr>
                <w:rFonts w:ascii="Times New Roman" w:hAnsi="Times New Roman"/>
                <w:sz w:val="28"/>
                <w:szCs w:val="28"/>
                <w:lang w:val="uk-UA"/>
              </w:rPr>
              <w:t>Креатинін (моль\л)</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0,06÷0,18</w:t>
            </w:r>
          </w:p>
        </w:tc>
        <w:tc>
          <w:tcPr>
            <w:tcW w:w="269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поріг – 0,13</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&lt;=0,13 та &gt;0,013</w:t>
            </w:r>
          </w:p>
        </w:tc>
      </w:tr>
    </w:tbl>
    <w:p w:rsidR="00A01923" w:rsidRDefault="00A01923" w:rsidP="009378D4">
      <w:pPr>
        <w:widowControl w:val="0"/>
        <w:autoSpaceDE w:val="0"/>
        <w:autoSpaceDN w:val="0"/>
        <w:adjustRightInd w:val="0"/>
        <w:spacing w:after="0" w:line="360" w:lineRule="auto"/>
        <w:jc w:val="both"/>
        <w:rPr>
          <w:rFonts w:ascii="Times New Roman" w:eastAsia="Times New Roman" w:hAnsi="Times New Roman"/>
          <w:sz w:val="28"/>
          <w:szCs w:val="28"/>
          <w:lang w:val="uk-UA"/>
        </w:rPr>
      </w:pPr>
    </w:p>
    <w:p w:rsidR="00A01923" w:rsidRDefault="00A01923" w:rsidP="00A01923">
      <w:pPr>
        <w:widowControl w:val="0"/>
        <w:autoSpaceDE w:val="0"/>
        <w:autoSpaceDN w:val="0"/>
        <w:adjustRightInd w:val="0"/>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Аналіз </w:t>
      </w:r>
      <w:r>
        <w:rPr>
          <w:rFonts w:ascii="Times New Roman" w:hAnsi="Times New Roman"/>
          <w:color w:val="000000"/>
          <w:sz w:val="28"/>
          <w:szCs w:val="28"/>
          <w:lang w:val="uk-UA"/>
        </w:rPr>
        <w:t>відповідностей (інакше кореспондентський аналіз) призначений для аналізу двовхідних і багатовхідних таблиць спряженості [77].</w:t>
      </w:r>
      <w:r>
        <w:rPr>
          <w:rFonts w:ascii="Times New Roman" w:hAnsi="Times New Roman"/>
          <w:sz w:val="28"/>
          <w:szCs w:val="28"/>
          <w:lang w:val="uk-UA"/>
        </w:rPr>
        <w:t xml:space="preserve"> Він дозволяє досліджувати структуру взаємозв'язків між розглянутими показниками. Аналіз відповідностей дозволяє уявити таблиці частот графічно в просторі більш низької розмірності зі збереженням рівня взаємозв'язку між показниками.</w:t>
      </w:r>
    </w:p>
    <w:p w:rsidR="00A01923" w:rsidRDefault="00A01923" w:rsidP="00A01923">
      <w:pPr>
        <w:widowControl w:val="0"/>
        <w:autoSpaceDE w:val="0"/>
        <w:autoSpaceDN w:val="0"/>
        <w:adjustRightInd w:val="0"/>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В якості вхідних даних використовувалася матриця Берта розмірністю 12х12, отримана при кросстабуляціі вхідних показників. Розмірність кінцевого уявлення вибиралася, виходячи з показника кумулятивної інерції, і дорівнювала п'яти </w:t>
      </w:r>
      <w:r>
        <w:rPr>
          <w:rFonts w:ascii="Times New Roman" w:hAnsi="Times New Roman"/>
          <w:color w:val="000000"/>
          <w:sz w:val="28"/>
          <w:szCs w:val="28"/>
          <w:lang w:val="uk-UA"/>
        </w:rPr>
        <w:t>вимірів при</w:t>
      </w:r>
      <w:r>
        <w:rPr>
          <w:rFonts w:ascii="Times New Roman" w:hAnsi="Times New Roman"/>
          <w:sz w:val="28"/>
          <w:szCs w:val="28"/>
          <w:lang w:val="uk-UA"/>
        </w:rPr>
        <w:t xml:space="preserve"> рівні кумулятивної інерції 95,7% (табл. 3.11). </w:t>
      </w:r>
    </w:p>
    <w:p w:rsidR="00A01923" w:rsidRDefault="00A01923" w:rsidP="00A01923">
      <w:pPr>
        <w:autoSpaceDE w:val="0"/>
        <w:autoSpaceDN w:val="0"/>
        <w:adjustRightInd w:val="0"/>
        <w:spacing w:after="0" w:line="240" w:lineRule="auto"/>
        <w:ind w:left="-567" w:firstLine="567"/>
        <w:jc w:val="right"/>
        <w:rPr>
          <w:rFonts w:ascii="Times New Roman" w:hAnsi="Times New Roman"/>
          <w:iCs/>
          <w:sz w:val="28"/>
          <w:szCs w:val="28"/>
          <w:shd w:val="clear" w:color="auto" w:fill="FFFFFF"/>
          <w:lang w:val="uk-UA"/>
        </w:rPr>
      </w:pPr>
    </w:p>
    <w:p w:rsidR="00A01923" w:rsidRDefault="00A01923" w:rsidP="00A01923">
      <w:pPr>
        <w:autoSpaceDE w:val="0"/>
        <w:autoSpaceDN w:val="0"/>
        <w:adjustRightInd w:val="0"/>
        <w:spacing w:after="0" w:line="240" w:lineRule="auto"/>
        <w:ind w:left="-567" w:firstLine="567"/>
        <w:jc w:val="right"/>
        <w:rPr>
          <w:rFonts w:ascii="Times New Roman" w:hAnsi="Times New Roman"/>
          <w:i/>
          <w:sz w:val="28"/>
          <w:szCs w:val="28"/>
          <w:lang w:val="uk-UA"/>
        </w:rPr>
      </w:pPr>
      <w:r>
        <w:rPr>
          <w:rFonts w:ascii="Times New Roman" w:hAnsi="Times New Roman"/>
          <w:i/>
          <w:sz w:val="28"/>
          <w:szCs w:val="28"/>
          <w:lang w:val="uk-UA"/>
        </w:rPr>
        <w:t>Таблиця 3.11</w:t>
      </w:r>
    </w:p>
    <w:p w:rsidR="00A01923" w:rsidRDefault="00A01923" w:rsidP="00A01923">
      <w:pPr>
        <w:autoSpaceDE w:val="0"/>
        <w:autoSpaceDN w:val="0"/>
        <w:adjustRightInd w:val="0"/>
        <w:spacing w:after="0" w:line="240" w:lineRule="auto"/>
        <w:ind w:left="-567" w:firstLine="567"/>
        <w:jc w:val="center"/>
        <w:rPr>
          <w:rFonts w:ascii="Times New Roman" w:hAnsi="Times New Roman"/>
          <w:b/>
          <w:sz w:val="28"/>
          <w:szCs w:val="28"/>
          <w:lang w:val="uk-UA"/>
        </w:rPr>
      </w:pPr>
      <w:r>
        <w:rPr>
          <w:rFonts w:ascii="Times New Roman" w:hAnsi="Times New Roman"/>
          <w:b/>
          <w:sz w:val="28"/>
          <w:szCs w:val="28"/>
          <w:lang w:val="uk-UA"/>
        </w:rPr>
        <w:t xml:space="preserve">Власні значення та інерція для всіх вимірювань  </w:t>
      </w:r>
    </w:p>
    <w:p w:rsidR="00A01923" w:rsidRDefault="00A01923" w:rsidP="00A01923">
      <w:pPr>
        <w:autoSpaceDE w:val="0"/>
        <w:autoSpaceDN w:val="0"/>
        <w:adjustRightInd w:val="0"/>
        <w:spacing w:after="0" w:line="240" w:lineRule="auto"/>
        <w:ind w:left="-567" w:firstLine="567"/>
        <w:jc w:val="center"/>
        <w:rPr>
          <w:rFonts w:ascii="Arial CYR" w:hAnsi="Arial CYR" w:cs="Arial CYR"/>
          <w:sz w:val="20"/>
          <w:szCs w:val="20"/>
          <w:lang w:val="uk-UA"/>
        </w:rPr>
      </w:pPr>
    </w:p>
    <w:p w:rsidR="00A01923" w:rsidRDefault="00A01923" w:rsidP="00A01923">
      <w:pPr>
        <w:widowControl w:val="0"/>
        <w:autoSpaceDE w:val="0"/>
        <w:autoSpaceDN w:val="0"/>
        <w:adjustRightInd w:val="0"/>
        <w:spacing w:after="0" w:line="360" w:lineRule="auto"/>
        <w:ind w:left="-567"/>
        <w:jc w:val="right"/>
        <w:rPr>
          <w:rFonts w:ascii="Times New Roman" w:hAnsi="Times New Roman" w:cs="Times New Roman"/>
          <w:color w:val="31849B"/>
          <w:sz w:val="28"/>
          <w:szCs w:val="28"/>
          <w:lang w:val="uk-UA"/>
        </w:rPr>
      </w:pPr>
      <w:r>
        <w:rPr>
          <w:noProof/>
          <w:color w:val="31849B"/>
        </w:rPr>
        <w:drawing>
          <wp:inline distT="0" distB="0" distL="0" distR="0">
            <wp:extent cx="6305550" cy="2719705"/>
            <wp:effectExtent l="19050" t="0" r="0" b="0"/>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5" cstate="print"/>
                    <a:srcRect/>
                    <a:stretch>
                      <a:fillRect/>
                    </a:stretch>
                  </pic:blipFill>
                  <pic:spPr bwMode="auto">
                    <a:xfrm>
                      <a:off x="0" y="0"/>
                      <a:ext cx="6305550" cy="2719705"/>
                    </a:xfrm>
                    <a:prstGeom prst="rect">
                      <a:avLst/>
                    </a:prstGeom>
                    <a:noFill/>
                    <a:ln w="9525">
                      <a:noFill/>
                      <a:miter lim="800000"/>
                      <a:headEnd/>
                      <a:tailEnd/>
                    </a:ln>
                  </pic:spPr>
                </pic:pic>
              </a:graphicData>
            </a:graphic>
          </wp:inline>
        </w:drawing>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lang w:val="uk-UA"/>
        </w:rPr>
        <w:t xml:space="preserve">Кумулятивна інерція </w:t>
      </w:r>
      <w:r>
        <w:rPr>
          <w:rFonts w:ascii="Times New Roman" w:hAnsi="Times New Roman"/>
          <w:color w:val="000000"/>
          <w:sz w:val="28"/>
          <w:szCs w:val="28"/>
          <w:lang w:val="uk-UA"/>
        </w:rPr>
        <w:t xml:space="preserve">показує, який відсоток взаємозв'язків збережений при зменшенні розмірності.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szCs w:val="28"/>
          <w:lang w:val="uk-UA"/>
        </w:rPr>
        <w:t>Двовимірна проекція отриманого</w:t>
      </w:r>
      <w:r>
        <w:rPr>
          <w:rFonts w:ascii="Times New Roman" w:hAnsi="Times New Roman"/>
          <w:sz w:val="28"/>
          <w:szCs w:val="28"/>
          <w:lang w:val="uk-UA"/>
        </w:rPr>
        <w:t xml:space="preserve"> графічного представлення взаємозв'язків між досліджуваними показниками наведена на рис. 3.17. </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487043" w:rsidP="00A01923">
      <w:pPr>
        <w:spacing w:after="0" w:line="360" w:lineRule="auto"/>
        <w:ind w:left="-567" w:firstLine="567"/>
        <w:jc w:val="both"/>
        <w:rPr>
          <w:rFonts w:ascii="Times New Roman" w:hAnsi="Times New Roman"/>
          <w:sz w:val="28"/>
          <w:szCs w:val="28"/>
          <w:lang w:val="uk-UA"/>
        </w:rPr>
      </w:pPr>
      <w:r w:rsidRPr="00487043">
        <w:rPr>
          <w:rFonts w:ascii="Calibri" w:hAnsi="Calibri"/>
        </w:rPr>
        <w:lastRenderedPageBreak/>
        <w:pict>
          <v:shape id="_x0000_s1907" type="#_x0000_t202" style="position:absolute;left:0;text-align:left;margin-left:-.4pt;margin-top:382.25pt;width:560.95pt;height:51.55pt;z-index:251650560;mso-wrap-style:none" stroked="f">
            <v:textbox>
              <w:txbxContent>
                <w:p w:rsidR="00DA0A21" w:rsidRDefault="00DA0A21" w:rsidP="00A01923">
                  <w:pPr>
                    <w:spacing w:line="360" w:lineRule="auto"/>
                    <w:ind w:left="-567" w:firstLine="567"/>
                    <w:jc w:val="center"/>
                    <w:rPr>
                      <w:rFonts w:ascii="Times New Roman" w:hAnsi="Times New Roman"/>
                      <w:sz w:val="28"/>
                      <w:szCs w:val="28"/>
                      <w:lang w:val="uk-UA"/>
                    </w:rPr>
                  </w:pPr>
                  <w:r>
                    <w:rPr>
                      <w:rFonts w:ascii="Times New Roman" w:hAnsi="Times New Roman"/>
                      <w:sz w:val="28"/>
                      <w:szCs w:val="28"/>
                      <w:lang w:val="uk-UA"/>
                    </w:rPr>
                    <w:t>Рис. 3.17 Карта-проекція взаємозв'язків між вхідними показниками та наявністю ампутацій</w:t>
                  </w:r>
                </w:p>
              </w:txbxContent>
            </v:textbox>
            <w10:wrap type="square"/>
          </v:shape>
        </w:pict>
      </w:r>
      <w:r w:rsidR="00A01923" w:rsidRPr="00454A41">
        <w:rPr>
          <w:rFonts w:ascii="Calibri" w:eastAsia="Times New Roman" w:hAnsi="Calibri" w:cs="Times New Roman"/>
          <w:color w:val="31849B"/>
          <w:lang w:val="uk-UA"/>
        </w:rPr>
        <w:object w:dxaOrig="9626" w:dyaOrig="7215">
          <v:shape id="_x0000_i1069" type="#_x0000_t75" style="width:482.9pt;height:5in" o:ole="">
            <v:imagedata r:id="rId56" o:title=""/>
          </v:shape>
          <o:OLEObject Type="Embed" ProgID="STATISTICA.Graph" ShapeID="_x0000_i1069" DrawAspect="Content" ObjectID="_1585401154" r:id="rId57">
            <o:FieldCodes>\s</o:FieldCodes>
          </o:OLEObject>
        </w:object>
      </w:r>
    </w:p>
    <w:p w:rsidR="00A01923" w:rsidRDefault="00A01923" w:rsidP="00A01923">
      <w:pPr>
        <w:spacing w:after="0" w:line="360" w:lineRule="auto"/>
        <w:ind w:left="-567" w:firstLine="567"/>
        <w:jc w:val="both"/>
        <w:rPr>
          <w:rFonts w:ascii="Calibri" w:hAnsi="Calibri"/>
          <w:sz w:val="28"/>
          <w:szCs w:val="28"/>
          <w:lang w:val="uk-UA"/>
        </w:rPr>
      </w:pPr>
      <w:r>
        <w:rPr>
          <w:rFonts w:ascii="Times New Roman" w:hAnsi="Times New Roman"/>
          <w:sz w:val="28"/>
          <w:szCs w:val="28"/>
          <w:lang w:val="uk-UA"/>
        </w:rPr>
        <w:t xml:space="preserve">З табл. 3.17 видно, що до точки, що відображає групу пацієнтів з ампутацією, ближче розташовані точки, відповідні хворим з температурою ступні менше 30°С, температурою гомілки менше 35,8°С, наявністю ураження ступні і креатиніном більш 0,13. Таким чином, симптоми більш тісно пов’язані з низькою ампутацією, що є зрозумілим, оскільки ці показники характеризують стан перфузії тканин та рівень розпаду тканин.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Для обчислення відстаней між точками, що представляють досліджувані показники, використовувалися їх координати в 5-вимірному просторі (таблиця 3.12). </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lastRenderedPageBreak/>
        <w:t xml:space="preserve">Таблица 3.12 </w:t>
      </w:r>
    </w:p>
    <w:p w:rsidR="00A01923" w:rsidRDefault="00A01923" w:rsidP="00A01923">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Координати стовбців</w:t>
      </w: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gridCol w:w="1276"/>
        <w:gridCol w:w="1418"/>
        <w:gridCol w:w="1275"/>
        <w:gridCol w:w="1276"/>
        <w:gridCol w:w="1276"/>
      </w:tblGrid>
      <w:tr w:rsidR="00A01923" w:rsidTr="00A01923">
        <w:tc>
          <w:tcPr>
            <w:tcW w:w="3402" w:type="dxa"/>
            <w:tcBorders>
              <w:top w:val="single" w:sz="4" w:space="0" w:color="000000"/>
              <w:left w:val="single" w:sz="4" w:space="0" w:color="000000"/>
              <w:bottom w:val="single" w:sz="4" w:space="0" w:color="000000"/>
              <w:right w:val="single" w:sz="4" w:space="0" w:color="000000"/>
            </w:tcBorders>
            <w:vAlign w:val="bottom"/>
            <w:hideMark/>
          </w:tcPr>
          <w:p w:rsidR="00A01923" w:rsidRDefault="00A01923">
            <w:pPr>
              <w:spacing w:after="0" w:line="360" w:lineRule="auto"/>
              <w:ind w:firstLine="567"/>
              <w:rPr>
                <w:rFonts w:ascii="Times New Roman" w:eastAsia="Times New Roman" w:hAnsi="Times New Roman"/>
                <w:sz w:val="28"/>
                <w:szCs w:val="28"/>
                <w:lang w:val="uk-UA"/>
              </w:rPr>
            </w:pPr>
            <w:r>
              <w:rPr>
                <w:rFonts w:ascii="Times New Roman" w:hAnsi="Times New Roman"/>
                <w:sz w:val="28"/>
                <w:szCs w:val="28"/>
                <w:lang w:val="uk-UA"/>
              </w:rPr>
              <w:t>Показниик</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uk-UA"/>
              </w:rPr>
            </w:pPr>
            <w:r>
              <w:rPr>
                <w:rFonts w:ascii="Times New Roman" w:hAnsi="Times New Roman"/>
                <w:color w:val="000000"/>
                <w:sz w:val="28"/>
                <w:szCs w:val="28"/>
                <w:lang w:val="uk-UA"/>
              </w:rPr>
              <w:t xml:space="preserve">вимір.1 </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вимір. 2</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вимір. 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вимір. 4</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вимір. 5</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Ураження ЗВГА: є</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-0,656</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firstLine="34"/>
              <w:jc w:val="center"/>
              <w:rPr>
                <w:rFonts w:ascii="Times New Roman" w:eastAsia="Times New Roman" w:hAnsi="Times New Roman"/>
                <w:sz w:val="28"/>
                <w:szCs w:val="28"/>
                <w:lang w:val="uk-UA"/>
              </w:rPr>
            </w:pPr>
            <w:r>
              <w:rPr>
                <w:rFonts w:ascii="Times New Roman" w:hAnsi="Times New Roman"/>
                <w:sz w:val="28"/>
                <w:szCs w:val="28"/>
                <w:lang w:val="uk-UA"/>
              </w:rPr>
              <w:t>-1,090</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0,239</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-0,622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-0,278</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ЗВГА: немає</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0,305</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0,507</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-0,111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0,289</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0,129</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немає</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-0,250</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0,157</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0,461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-0,066</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0,093</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є</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0,800</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-0,504</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-1,474</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0,210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-0,298</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cтупні: &gt;30°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-0,882</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0,129</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-0,004</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0,331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-0,529</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cтупні: </w:t>
            </w:r>
            <w:r>
              <w:rPr>
                <w:rFonts w:ascii="Times New Roman" w:hAnsi="Times New Roman"/>
                <w:sz w:val="28"/>
                <w:szCs w:val="28"/>
                <w:lang w:val="uk-UA"/>
              </w:rPr>
              <w:sym w:font="Symbol" w:char="00A3"/>
            </w:r>
            <w:r>
              <w:rPr>
                <w:rFonts w:ascii="Times New Roman" w:hAnsi="Times New Roman"/>
                <w:sz w:val="28"/>
                <w:szCs w:val="28"/>
                <w:lang w:val="uk-UA"/>
              </w:rPr>
              <w:t xml:space="preserve"> 30°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0,705</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-0,103</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0,003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-0,265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0,423</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гомілки: &gt;35,8°</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-0,850</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-0,506</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-0,130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0,528</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0,574</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гомілки: </w:t>
            </w:r>
            <w:r>
              <w:rPr>
                <w:rFonts w:ascii="Times New Roman" w:hAnsi="Times New Roman"/>
                <w:sz w:val="28"/>
                <w:szCs w:val="28"/>
                <w:lang w:val="uk-UA"/>
              </w:rPr>
              <w:sym w:font="Symbol" w:char="00A3"/>
            </w:r>
            <w:r>
              <w:rPr>
                <w:rFonts w:ascii="Times New Roman" w:hAnsi="Times New Roman"/>
                <w:sz w:val="28"/>
                <w:szCs w:val="28"/>
                <w:lang w:val="uk-UA"/>
              </w:rPr>
              <w:t xml:space="preserve"> 35,8°</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0,523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0,312</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0,080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-0,325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-0,353</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креатинін: </w:t>
            </w:r>
            <w:r>
              <w:rPr>
                <w:rFonts w:ascii="Times New Roman" w:hAnsi="Times New Roman"/>
                <w:sz w:val="28"/>
                <w:szCs w:val="28"/>
                <w:lang w:val="uk-UA"/>
              </w:rPr>
              <w:sym w:font="Symbol" w:char="00A3"/>
            </w:r>
            <w:r>
              <w:rPr>
                <w:rFonts w:ascii="Times New Roman" w:hAnsi="Times New Roman"/>
                <w:sz w:val="28"/>
                <w:szCs w:val="28"/>
                <w:lang w:val="uk-UA"/>
              </w:rPr>
              <w:t xml:space="preserve"> 0,13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-0,869</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0,431</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-0,553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-0,880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0,256</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креатинін: &gt; 0,13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0,404</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-0,200</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0,257</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0,409</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-0,119</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Немає ампутації</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-0,825</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0,227</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-0,161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0,097</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-0,023</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Є ампутація</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0,908</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-0,250</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0,177</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-0,107</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0,025</w:t>
            </w:r>
          </w:p>
        </w:tc>
      </w:tr>
    </w:tbl>
    <w:p w:rsidR="00A01923" w:rsidRDefault="00A01923" w:rsidP="00A01923">
      <w:pPr>
        <w:spacing w:line="360" w:lineRule="auto"/>
        <w:ind w:left="-567" w:firstLine="567"/>
        <w:jc w:val="both"/>
        <w:rPr>
          <w:rFonts w:ascii="Times New Roman" w:eastAsia="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Відстані між точками, що ми шукали, обчислювалися в Евклідовій метриці і наведені в таблиці 3.13. </w:t>
      </w: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t>Таблиця 3.13</w:t>
      </w:r>
    </w:p>
    <w:p w:rsidR="00A01923" w:rsidRDefault="00A01923" w:rsidP="00A01923">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Відстані між точками (Евклидова метрика)</w:t>
      </w:r>
    </w:p>
    <w:tbl>
      <w:tblPr>
        <w:tblW w:w="991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1"/>
        <w:gridCol w:w="3544"/>
        <w:gridCol w:w="2260"/>
      </w:tblGrid>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firstLine="567"/>
              <w:rPr>
                <w:rFonts w:ascii="Times New Roman" w:eastAsia="Times New Roman" w:hAnsi="Times New Roman"/>
                <w:sz w:val="28"/>
                <w:szCs w:val="28"/>
                <w:lang w:val="uk-UA"/>
              </w:rPr>
            </w:pPr>
            <w:r>
              <w:rPr>
                <w:rFonts w:ascii="Times New Roman" w:hAnsi="Times New Roman"/>
                <w:sz w:val="28"/>
                <w:szCs w:val="28"/>
                <w:lang w:val="uk-UA"/>
              </w:rPr>
              <w:t>Показник</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firstLine="567"/>
              <w:jc w:val="center"/>
              <w:rPr>
                <w:rFonts w:ascii="Times New Roman" w:eastAsia="Times New Roman" w:hAnsi="Times New Roman"/>
                <w:sz w:val="28"/>
                <w:szCs w:val="28"/>
                <w:lang w:val="uk-UA"/>
              </w:rPr>
            </w:pPr>
            <w:r>
              <w:rPr>
                <w:rFonts w:ascii="Times New Roman" w:hAnsi="Times New Roman"/>
                <w:sz w:val="28"/>
                <w:szCs w:val="28"/>
                <w:lang w:val="uk-UA"/>
              </w:rPr>
              <w:t>Немає ампутації</w:t>
            </w:r>
          </w:p>
        </w:tc>
        <w:tc>
          <w:tcPr>
            <w:tcW w:w="2260"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firstLine="567"/>
              <w:jc w:val="center"/>
              <w:rPr>
                <w:rFonts w:ascii="Times New Roman" w:eastAsia="Times New Roman" w:hAnsi="Times New Roman"/>
                <w:sz w:val="28"/>
                <w:szCs w:val="28"/>
                <w:lang w:val="uk-UA"/>
              </w:rPr>
            </w:pPr>
            <w:r>
              <w:rPr>
                <w:rFonts w:ascii="Times New Roman" w:hAnsi="Times New Roman"/>
                <w:sz w:val="28"/>
                <w:szCs w:val="28"/>
                <w:lang w:val="uk-UA"/>
              </w:rPr>
              <w:t>Є ампутація</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firstLine="567"/>
              <w:rPr>
                <w:rFonts w:ascii="Times New Roman" w:eastAsia="Times New Roman" w:hAnsi="Times New Roman"/>
                <w:sz w:val="28"/>
                <w:szCs w:val="28"/>
                <w:lang w:val="uk-UA"/>
              </w:rPr>
            </w:pPr>
            <w:r>
              <w:rPr>
                <w:rFonts w:ascii="Times New Roman" w:hAnsi="Times New Roman"/>
                <w:sz w:val="28"/>
                <w:szCs w:val="28"/>
                <w:lang w:val="uk-UA"/>
              </w:rPr>
              <w:t>Ураження ЗВГА: є</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jc w:val="center"/>
              <w:rPr>
                <w:rFonts w:ascii="Times New Roman" w:eastAsia="Times New Roman" w:hAnsi="Times New Roman"/>
                <w:sz w:val="28"/>
                <w:szCs w:val="28"/>
                <w:lang w:val="uk-UA"/>
              </w:rPr>
            </w:pPr>
            <w:r>
              <w:rPr>
                <w:rFonts w:ascii="Times New Roman" w:hAnsi="Times New Roman"/>
                <w:sz w:val="28"/>
                <w:szCs w:val="28"/>
                <w:lang w:val="uk-UA"/>
              </w:rPr>
              <w:t>1,583</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firstLine="34"/>
              <w:jc w:val="center"/>
              <w:rPr>
                <w:rFonts w:ascii="Times New Roman" w:eastAsia="Times New Roman" w:hAnsi="Times New Roman"/>
                <w:sz w:val="28"/>
                <w:szCs w:val="28"/>
                <w:lang w:val="uk-UA"/>
              </w:rPr>
            </w:pPr>
            <w:r>
              <w:rPr>
                <w:rFonts w:ascii="Times New Roman" w:hAnsi="Times New Roman"/>
                <w:sz w:val="28"/>
                <w:szCs w:val="28"/>
                <w:lang w:val="uk-UA"/>
              </w:rPr>
              <w:t>1,874</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ЗВГА: немає</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1,191</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1,089</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немає</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0,873</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1,262</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є</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2,233</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1,734</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cтупні: &gt;30°</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0,590</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1,969</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cтупні: </w:t>
            </w:r>
            <w:r>
              <w:rPr>
                <w:rFonts w:ascii="Times New Roman" w:hAnsi="Times New Roman"/>
                <w:sz w:val="28"/>
                <w:szCs w:val="28"/>
                <w:lang w:val="uk-UA"/>
              </w:rPr>
              <w:sym w:font="Symbol" w:char="00A3"/>
            </w:r>
            <w:r>
              <w:rPr>
                <w:rFonts w:ascii="Times New Roman" w:hAnsi="Times New Roman"/>
                <w:sz w:val="28"/>
                <w:szCs w:val="28"/>
                <w:lang w:val="uk-UA"/>
              </w:rPr>
              <w:t xml:space="preserve"> 30°</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1,676</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0,526</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гомілки: &gt;35,8°</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1,040</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1,988</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гомілки: </w:t>
            </w:r>
            <w:r>
              <w:rPr>
                <w:rFonts w:ascii="Times New Roman" w:hAnsi="Times New Roman"/>
                <w:sz w:val="28"/>
                <w:szCs w:val="28"/>
                <w:lang w:val="uk-UA"/>
              </w:rPr>
              <w:sym w:font="Symbol" w:char="00A3"/>
            </w:r>
            <w:r>
              <w:rPr>
                <w:rFonts w:ascii="Times New Roman" w:hAnsi="Times New Roman"/>
                <w:sz w:val="28"/>
                <w:szCs w:val="28"/>
                <w:lang w:val="uk-UA"/>
              </w:rPr>
              <w:t xml:space="preserve"> 35,8°</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1,473</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0,814</w:t>
            </w:r>
          </w:p>
        </w:tc>
      </w:tr>
      <w:tr w:rsidR="00A01923" w:rsidTr="00A01923">
        <w:trPr>
          <w:trHeight w:val="375"/>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Креатинін: </w:t>
            </w:r>
            <w:r>
              <w:rPr>
                <w:rFonts w:ascii="Times New Roman" w:hAnsi="Times New Roman"/>
                <w:sz w:val="28"/>
                <w:szCs w:val="28"/>
                <w:lang w:val="uk-UA"/>
              </w:rPr>
              <w:sym w:font="Symbol" w:char="00A3"/>
            </w:r>
            <w:r>
              <w:rPr>
                <w:rFonts w:ascii="Times New Roman" w:hAnsi="Times New Roman"/>
                <w:sz w:val="28"/>
                <w:szCs w:val="28"/>
                <w:lang w:val="uk-UA"/>
              </w:rPr>
              <w:t xml:space="preserve"> 0,13</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1,108</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2,192</w:t>
            </w:r>
          </w:p>
        </w:tc>
      </w:tr>
      <w:tr w:rsidR="00A01923" w:rsidTr="00A01923">
        <w:trPr>
          <w:trHeight w:val="397"/>
        </w:trPr>
        <w:tc>
          <w:tcPr>
            <w:tcW w:w="4111"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Креатинін: &gt; 0,13</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1,406</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0,741</w:t>
            </w:r>
          </w:p>
        </w:tc>
      </w:tr>
    </w:tbl>
    <w:p w:rsidR="00A01923" w:rsidRPr="00744C97" w:rsidRDefault="00A01923" w:rsidP="00744C97">
      <w:pPr>
        <w:spacing w:after="0" w:line="360" w:lineRule="auto"/>
        <w:ind w:left="-567" w:firstLine="567"/>
        <w:jc w:val="both"/>
        <w:rPr>
          <w:rFonts w:ascii="Times New Roman" w:eastAsia="Times New Roman" w:hAnsi="Times New Roman"/>
          <w:sz w:val="28"/>
          <w:szCs w:val="28"/>
          <w:lang w:val="uk-UA"/>
        </w:rPr>
      </w:pPr>
      <w:r>
        <w:rPr>
          <w:rFonts w:ascii="Times New Roman" w:hAnsi="Times New Roman"/>
          <w:color w:val="000000"/>
          <w:sz w:val="28"/>
          <w:szCs w:val="28"/>
          <w:lang w:val="uk-UA"/>
        </w:rPr>
        <w:lastRenderedPageBreak/>
        <w:t>Отримані відстані між точками можна використовувати в якості запобіжного зв'язку між ними (показниками, які вони представляють). Тому, чим ближче розташовані точки, тим більше ймовірна спільна подія, яка визначається ними</w:t>
      </w:r>
      <w:r>
        <w:rPr>
          <w:rFonts w:ascii="Times New Roman" w:hAnsi="Times New Roman"/>
          <w:sz w:val="28"/>
          <w:szCs w:val="28"/>
          <w:lang w:val="uk-UA"/>
        </w:rPr>
        <w:t>. А значить, ймовірності спільної події будуть обернено пропорційні відстаням між точками.</w:t>
      </w:r>
      <w:r w:rsidR="00744C97">
        <w:rPr>
          <w:rFonts w:ascii="Times New Roman" w:eastAsia="Times New Roman" w:hAnsi="Times New Roman"/>
          <w:sz w:val="28"/>
          <w:szCs w:val="28"/>
          <w:lang w:val="uk-UA"/>
        </w:rPr>
        <w:t xml:space="preserve"> </w:t>
      </w:r>
      <w:r>
        <w:rPr>
          <w:rFonts w:ascii="Times New Roman" w:hAnsi="Times New Roman"/>
          <w:sz w:val="28"/>
          <w:szCs w:val="28"/>
          <w:lang w:val="uk-UA"/>
        </w:rPr>
        <w:t>Для коректного використання таких ймовірностей, вони повинні бути пронормовані з розрахунку, що сума ймовірностей всіх можливих подій дорівнює 1. А значення нормованих ймовірностей наведені в таблиці 3.14.</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lang w:val="uk-UA"/>
        </w:rPr>
        <w:t>Таблиця 3.14</w:t>
      </w:r>
    </w:p>
    <w:p w:rsidR="00A01923" w:rsidRDefault="00A01923" w:rsidP="00A01923">
      <w:pPr>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t>Нормовані ймовірності спільних подій.</w:t>
      </w:r>
    </w:p>
    <w:tbl>
      <w:tblPr>
        <w:tblW w:w="9977" w:type="dxa"/>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2"/>
        <w:gridCol w:w="2823"/>
        <w:gridCol w:w="2622"/>
      </w:tblGrid>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Значення показника</w:t>
            </w:r>
          </w:p>
        </w:tc>
        <w:tc>
          <w:tcPr>
            <w:tcW w:w="2823"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Немає ампутації</w:t>
            </w:r>
          </w:p>
        </w:tc>
        <w:tc>
          <w:tcPr>
            <w:tcW w:w="262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Є ампутація</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ЗВГА: є</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0,0358</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0,0373</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ЗВГА: немає</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0,0408</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0,0683</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немає</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0,0820</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0,0539</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Ураження ступні: є</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0,0267</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0,2400</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cтупні: &gt; 30°</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0,4193</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0,0361</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cтупні: </w:t>
            </w:r>
            <w:r>
              <w:rPr>
                <w:rFonts w:ascii="Times New Roman" w:hAnsi="Times New Roman"/>
                <w:sz w:val="28"/>
                <w:szCs w:val="28"/>
                <w:lang w:val="uk-UA"/>
              </w:rPr>
              <w:sym w:font="Symbol" w:char="00A3"/>
            </w:r>
            <w:r>
              <w:rPr>
                <w:rFonts w:ascii="Times New Roman" w:hAnsi="Times New Roman"/>
                <w:sz w:val="28"/>
                <w:szCs w:val="28"/>
                <w:lang w:val="uk-UA"/>
              </w:rPr>
              <w:t xml:space="preserve"> 30°</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0,0304</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0,2646</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t° гомілки: &gt; 35,8°</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0,0647</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0,0372</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t° гомілки: </w:t>
            </w:r>
            <w:r>
              <w:rPr>
                <w:rFonts w:ascii="Times New Roman" w:hAnsi="Times New Roman"/>
                <w:sz w:val="28"/>
                <w:szCs w:val="28"/>
                <w:lang w:val="uk-UA"/>
              </w:rPr>
              <w:sym w:font="Symbol" w:char="00A3"/>
            </w:r>
            <w:r>
              <w:rPr>
                <w:rFonts w:ascii="Times New Roman" w:hAnsi="Times New Roman"/>
                <w:sz w:val="28"/>
                <w:szCs w:val="28"/>
                <w:lang w:val="uk-UA"/>
              </w:rPr>
              <w:t xml:space="preserve"> 35,8°</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0,0352</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0,0971</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 xml:space="preserve">Креатинін: </w:t>
            </w:r>
            <w:r>
              <w:rPr>
                <w:rFonts w:ascii="Times New Roman" w:hAnsi="Times New Roman"/>
                <w:sz w:val="28"/>
                <w:szCs w:val="28"/>
                <w:lang w:val="uk-UA"/>
              </w:rPr>
              <w:sym w:font="Symbol" w:char="00A3"/>
            </w:r>
            <w:r>
              <w:rPr>
                <w:rFonts w:ascii="Times New Roman" w:hAnsi="Times New Roman"/>
                <w:sz w:val="28"/>
                <w:szCs w:val="28"/>
                <w:lang w:val="uk-UA"/>
              </w:rPr>
              <w:t xml:space="preserve"> 0,13</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0,2286</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0,0348</w:t>
            </w:r>
          </w:p>
        </w:tc>
      </w:tr>
      <w:tr w:rsidR="00A01923" w:rsidTr="00A01923">
        <w:trPr>
          <w:trHeight w:val="520"/>
        </w:trPr>
        <w:tc>
          <w:tcPr>
            <w:tcW w:w="4532" w:type="dxa"/>
            <w:tcBorders>
              <w:top w:val="single" w:sz="4" w:space="0" w:color="auto"/>
              <w:left w:val="single" w:sz="4" w:space="0" w:color="auto"/>
              <w:bottom w:val="single" w:sz="4" w:space="0" w:color="auto"/>
              <w:right w:val="single" w:sz="4" w:space="0" w:color="auto"/>
            </w:tcBorders>
            <w:noWrap/>
            <w:vAlign w:val="center"/>
            <w:hideMark/>
          </w:tcPr>
          <w:p w:rsidR="00A01923" w:rsidRDefault="00A01923">
            <w:pPr>
              <w:spacing w:after="0" w:line="240" w:lineRule="auto"/>
              <w:ind w:left="-567" w:firstLine="567"/>
              <w:rPr>
                <w:rFonts w:ascii="Times New Roman" w:eastAsia="Times New Roman" w:hAnsi="Times New Roman"/>
                <w:sz w:val="28"/>
                <w:szCs w:val="28"/>
                <w:lang w:val="uk-UA"/>
              </w:rPr>
            </w:pPr>
            <w:r>
              <w:rPr>
                <w:rFonts w:ascii="Times New Roman" w:hAnsi="Times New Roman"/>
                <w:sz w:val="28"/>
                <w:szCs w:val="28"/>
                <w:lang w:val="uk-UA"/>
              </w:rPr>
              <w:t>Креатинін: &gt; 0,13</w:t>
            </w:r>
          </w:p>
        </w:tc>
        <w:tc>
          <w:tcPr>
            <w:tcW w:w="2823"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0,0365</w:t>
            </w:r>
          </w:p>
        </w:tc>
        <w:tc>
          <w:tcPr>
            <w:tcW w:w="2622" w:type="dxa"/>
            <w:tcBorders>
              <w:top w:val="single" w:sz="4" w:space="0" w:color="auto"/>
              <w:left w:val="single" w:sz="4" w:space="0" w:color="auto"/>
              <w:bottom w:val="single" w:sz="4" w:space="0" w:color="auto"/>
              <w:right w:val="single" w:sz="4" w:space="0" w:color="auto"/>
            </w:tcBorders>
            <w:noWrap/>
            <w:vAlign w:val="bottom"/>
            <w:hideMark/>
          </w:tcPr>
          <w:p w:rsidR="00A01923" w:rsidRDefault="00A01923">
            <w:pPr>
              <w:spacing w:after="0" w:line="240" w:lineRule="auto"/>
              <w:ind w:left="-567" w:firstLine="567"/>
              <w:jc w:val="center"/>
              <w:rPr>
                <w:rFonts w:ascii="Times New Roman" w:eastAsia="Times New Roman" w:hAnsi="Times New Roman"/>
                <w:sz w:val="28"/>
                <w:szCs w:val="28"/>
                <w:lang w:val="uk-UA"/>
              </w:rPr>
            </w:pPr>
            <w:r>
              <w:rPr>
                <w:rFonts w:ascii="Times New Roman" w:hAnsi="Times New Roman"/>
                <w:sz w:val="28"/>
                <w:szCs w:val="28"/>
                <w:lang w:val="uk-UA"/>
              </w:rPr>
              <w:t>0,1307</w:t>
            </w:r>
          </w:p>
        </w:tc>
      </w:tr>
    </w:tbl>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Таким </w:t>
      </w:r>
      <w:r>
        <w:rPr>
          <w:rFonts w:ascii="Times New Roman" w:hAnsi="Times New Roman"/>
          <w:color w:val="000000"/>
          <w:sz w:val="28"/>
          <w:szCs w:val="28"/>
          <w:lang w:val="uk-UA"/>
        </w:rPr>
        <w:t>чином, можливість проведення (або непроведення) може бути оцінена по їх ймовірності. Наприклад, розглянемо хворих з такими значеннями показників, які наведені у таблиці 3.15:</w:t>
      </w:r>
      <w:r>
        <w:rPr>
          <w:rFonts w:ascii="Times New Roman" w:hAnsi="Times New Roman"/>
          <w:sz w:val="28"/>
          <w:szCs w:val="28"/>
          <w:lang w:val="uk-UA"/>
        </w:rPr>
        <w:t xml:space="preserve"> </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lang w:val="uk-UA"/>
        </w:rPr>
        <w:t>Таблиця 3.15</w:t>
      </w:r>
    </w:p>
    <w:p w:rsidR="00A01923" w:rsidRDefault="00A01923" w:rsidP="00A01923">
      <w:pPr>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t>Приклади хворих</w:t>
      </w:r>
    </w:p>
    <w:tbl>
      <w:tblPr>
        <w:tblW w:w="10102"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7"/>
        <w:gridCol w:w="1008"/>
        <w:gridCol w:w="2565"/>
        <w:gridCol w:w="1326"/>
        <w:gridCol w:w="1485"/>
        <w:gridCol w:w="1495"/>
        <w:gridCol w:w="1706"/>
      </w:tblGrid>
      <w:tr w:rsidR="00A01923" w:rsidTr="00A01923">
        <w:trPr>
          <w:trHeight w:val="424"/>
        </w:trPr>
        <w:tc>
          <w:tcPr>
            <w:tcW w:w="5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01923" w:rsidRDefault="00A01923">
            <w:pPr>
              <w:tabs>
                <w:tab w:val="left" w:pos="48"/>
              </w:tabs>
              <w:spacing w:after="0" w:line="240" w:lineRule="auto"/>
              <w:ind w:left="-525" w:firstLine="525"/>
              <w:jc w:val="center"/>
              <w:rPr>
                <w:rFonts w:ascii="Times New Roman" w:eastAsia="Times New Roman" w:hAnsi="Times New Roman"/>
                <w:sz w:val="28"/>
                <w:szCs w:val="28"/>
                <w:lang w:val="uk-UA"/>
              </w:rPr>
            </w:pPr>
            <w:r>
              <w:rPr>
                <w:rFonts w:ascii="Times New Roman" w:hAnsi="Times New Roman"/>
                <w:sz w:val="28"/>
                <w:szCs w:val="28"/>
                <w:lang w:val="uk-UA"/>
              </w:rPr>
              <w:t>№</w:t>
            </w:r>
          </w:p>
        </w:tc>
        <w:tc>
          <w:tcPr>
            <w:tcW w:w="100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48"/>
              <w:jc w:val="center"/>
              <w:rPr>
                <w:rFonts w:ascii="Times New Roman" w:eastAsia="Times New Roman" w:hAnsi="Times New Roman"/>
                <w:sz w:val="28"/>
                <w:szCs w:val="28"/>
                <w:lang w:val="uk-UA"/>
              </w:rPr>
            </w:pPr>
            <w:r>
              <w:rPr>
                <w:rFonts w:ascii="Times New Roman" w:hAnsi="Times New Roman"/>
                <w:sz w:val="28"/>
                <w:szCs w:val="28"/>
                <w:lang w:val="uk-UA"/>
              </w:rPr>
              <w:t>ЗВГА</w:t>
            </w:r>
          </w:p>
        </w:tc>
        <w:tc>
          <w:tcPr>
            <w:tcW w:w="25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0"/>
              <w:jc w:val="center"/>
              <w:rPr>
                <w:rFonts w:ascii="Times New Roman" w:eastAsia="Times New Roman" w:hAnsi="Times New Roman"/>
                <w:sz w:val="28"/>
                <w:szCs w:val="28"/>
                <w:lang w:val="uk-UA"/>
              </w:rPr>
            </w:pPr>
            <w:r>
              <w:rPr>
                <w:rFonts w:ascii="Times New Roman" w:hAnsi="Times New Roman"/>
                <w:sz w:val="28"/>
                <w:szCs w:val="28"/>
                <w:lang w:val="uk-UA"/>
              </w:rPr>
              <w:t>Ураження ступні</w:t>
            </w:r>
          </w:p>
        </w:tc>
        <w:tc>
          <w:tcPr>
            <w:tcW w:w="132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7"/>
              <w:jc w:val="center"/>
              <w:rPr>
                <w:rFonts w:ascii="Times New Roman" w:eastAsia="Times New Roman" w:hAnsi="Times New Roman"/>
                <w:sz w:val="28"/>
                <w:szCs w:val="28"/>
                <w:lang w:val="uk-UA"/>
              </w:rPr>
            </w:pPr>
            <w:r>
              <w:rPr>
                <w:rFonts w:ascii="Times New Roman" w:hAnsi="Times New Roman"/>
                <w:sz w:val="28"/>
                <w:szCs w:val="28"/>
                <w:lang w:val="uk-UA"/>
              </w:rPr>
              <w:t>t° cтупні</w:t>
            </w:r>
          </w:p>
        </w:tc>
        <w:tc>
          <w:tcPr>
            <w:tcW w:w="148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22" w:firstLine="9"/>
              <w:jc w:val="center"/>
              <w:rPr>
                <w:rFonts w:ascii="Times New Roman" w:eastAsia="Times New Roman" w:hAnsi="Times New Roman"/>
                <w:sz w:val="28"/>
                <w:szCs w:val="28"/>
                <w:lang w:val="uk-UA"/>
              </w:rPr>
            </w:pPr>
            <w:r>
              <w:rPr>
                <w:rFonts w:ascii="Times New Roman" w:hAnsi="Times New Roman"/>
                <w:sz w:val="28"/>
                <w:szCs w:val="28"/>
                <w:lang w:val="uk-UA"/>
              </w:rPr>
              <w:t>t° гомілки</w:t>
            </w:r>
          </w:p>
        </w:tc>
        <w:tc>
          <w:tcPr>
            <w:tcW w:w="14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35"/>
              <w:jc w:val="center"/>
              <w:rPr>
                <w:rFonts w:ascii="Times New Roman" w:eastAsia="Times New Roman" w:hAnsi="Times New Roman"/>
                <w:sz w:val="28"/>
                <w:szCs w:val="28"/>
                <w:lang w:val="uk-UA"/>
              </w:rPr>
            </w:pPr>
            <w:r>
              <w:rPr>
                <w:rFonts w:ascii="Times New Roman" w:hAnsi="Times New Roman"/>
                <w:sz w:val="28"/>
                <w:szCs w:val="28"/>
                <w:lang w:val="uk-UA"/>
              </w:rPr>
              <w:t>Креатинін</w:t>
            </w:r>
          </w:p>
        </w:tc>
        <w:tc>
          <w:tcPr>
            <w:tcW w:w="170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Низька ампутація</w:t>
            </w:r>
          </w:p>
        </w:tc>
      </w:tr>
      <w:tr w:rsidR="00A01923" w:rsidTr="00A01923">
        <w:trPr>
          <w:trHeight w:val="424"/>
        </w:trPr>
        <w:tc>
          <w:tcPr>
            <w:tcW w:w="517" w:type="dxa"/>
            <w:tcBorders>
              <w:top w:val="single" w:sz="4" w:space="0" w:color="auto"/>
              <w:left w:val="single" w:sz="4" w:space="0" w:color="auto"/>
              <w:bottom w:val="single" w:sz="4" w:space="0" w:color="auto"/>
              <w:right w:val="single" w:sz="4" w:space="0" w:color="auto"/>
            </w:tcBorders>
            <w:shd w:val="clear" w:color="auto" w:fill="FFFFFF"/>
            <w:hideMark/>
          </w:tcPr>
          <w:p w:rsidR="00A01923" w:rsidRDefault="00A01923">
            <w:pPr>
              <w:tabs>
                <w:tab w:val="left" w:pos="48"/>
              </w:tabs>
              <w:spacing w:after="0" w:line="240" w:lineRule="auto"/>
              <w:ind w:left="-525" w:firstLine="525"/>
              <w:jc w:val="center"/>
              <w:rPr>
                <w:rFonts w:ascii="Times New Roman" w:eastAsia="Times New Roman" w:hAnsi="Times New Roman"/>
                <w:sz w:val="28"/>
                <w:szCs w:val="28"/>
                <w:lang w:val="uk-UA"/>
              </w:rPr>
            </w:pPr>
            <w:r>
              <w:rPr>
                <w:rFonts w:ascii="Times New Roman" w:hAnsi="Times New Roman"/>
                <w:sz w:val="28"/>
                <w:szCs w:val="28"/>
                <w:lang w:val="uk-UA"/>
              </w:rPr>
              <w:t>1</w:t>
            </w:r>
          </w:p>
        </w:tc>
        <w:tc>
          <w:tcPr>
            <w:tcW w:w="100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48"/>
              <w:jc w:val="center"/>
              <w:rPr>
                <w:rFonts w:ascii="Times New Roman" w:eastAsia="Times New Roman" w:hAnsi="Times New Roman"/>
                <w:sz w:val="28"/>
                <w:szCs w:val="28"/>
                <w:lang w:val="uk-UA"/>
              </w:rPr>
            </w:pPr>
            <w:r>
              <w:rPr>
                <w:rFonts w:ascii="Times New Roman" w:hAnsi="Times New Roman"/>
                <w:sz w:val="28"/>
                <w:szCs w:val="28"/>
                <w:lang w:val="uk-UA"/>
              </w:rPr>
              <w:t>немає</w:t>
            </w:r>
          </w:p>
        </w:tc>
        <w:tc>
          <w:tcPr>
            <w:tcW w:w="25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0"/>
              <w:jc w:val="center"/>
              <w:rPr>
                <w:rFonts w:ascii="Times New Roman" w:eastAsia="Times New Roman" w:hAnsi="Times New Roman"/>
                <w:sz w:val="28"/>
                <w:szCs w:val="28"/>
                <w:lang w:val="uk-UA"/>
              </w:rPr>
            </w:pPr>
            <w:r>
              <w:rPr>
                <w:rFonts w:ascii="Times New Roman" w:hAnsi="Times New Roman"/>
                <w:sz w:val="28"/>
                <w:szCs w:val="28"/>
                <w:lang w:val="uk-UA"/>
              </w:rPr>
              <w:t>немає</w:t>
            </w:r>
          </w:p>
        </w:tc>
        <w:tc>
          <w:tcPr>
            <w:tcW w:w="132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7"/>
              <w:jc w:val="center"/>
              <w:rPr>
                <w:rFonts w:ascii="Times New Roman" w:eastAsia="Times New Roman" w:hAnsi="Times New Roman"/>
                <w:sz w:val="28"/>
                <w:szCs w:val="28"/>
                <w:lang w:val="uk-UA"/>
              </w:rPr>
            </w:pPr>
            <w:r>
              <w:rPr>
                <w:rFonts w:ascii="Times New Roman" w:hAnsi="Times New Roman"/>
                <w:sz w:val="28"/>
                <w:szCs w:val="28"/>
                <w:lang w:val="uk-UA"/>
              </w:rPr>
              <w:t>&gt; 30°</w:t>
            </w:r>
          </w:p>
        </w:tc>
        <w:tc>
          <w:tcPr>
            <w:tcW w:w="148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22" w:firstLine="9"/>
              <w:jc w:val="center"/>
              <w:rPr>
                <w:rFonts w:ascii="Times New Roman" w:eastAsia="Times New Roman" w:hAnsi="Times New Roman"/>
                <w:sz w:val="28"/>
                <w:szCs w:val="28"/>
                <w:lang w:val="uk-UA"/>
              </w:rPr>
            </w:pPr>
            <w:r>
              <w:rPr>
                <w:rFonts w:ascii="Times New Roman" w:hAnsi="Times New Roman"/>
                <w:sz w:val="28"/>
                <w:szCs w:val="28"/>
                <w:lang w:val="uk-UA"/>
              </w:rPr>
              <w:sym w:font="Symbol" w:char="003E"/>
            </w:r>
            <w:r>
              <w:rPr>
                <w:rFonts w:ascii="Times New Roman" w:hAnsi="Times New Roman"/>
                <w:sz w:val="28"/>
                <w:szCs w:val="28"/>
                <w:lang w:val="uk-UA"/>
              </w:rPr>
              <w:t xml:space="preserve"> 35,8°</w:t>
            </w:r>
          </w:p>
        </w:tc>
        <w:tc>
          <w:tcPr>
            <w:tcW w:w="14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35"/>
              <w:jc w:val="center"/>
              <w:rPr>
                <w:rFonts w:ascii="Times New Roman" w:eastAsia="Times New Roman" w:hAnsi="Times New Roman"/>
                <w:sz w:val="28"/>
                <w:szCs w:val="28"/>
                <w:lang w:val="uk-UA"/>
              </w:rPr>
            </w:pPr>
            <w:r>
              <w:rPr>
                <w:rFonts w:ascii="Times New Roman" w:hAnsi="Times New Roman"/>
                <w:sz w:val="28"/>
                <w:szCs w:val="28"/>
                <w:lang w:val="uk-UA"/>
              </w:rPr>
              <w:sym w:font="Symbol" w:char="00A3"/>
            </w:r>
            <w:r>
              <w:rPr>
                <w:rFonts w:ascii="Times New Roman" w:hAnsi="Times New Roman"/>
                <w:sz w:val="28"/>
                <w:szCs w:val="28"/>
                <w:lang w:val="uk-UA"/>
              </w:rPr>
              <w:t xml:space="preserve"> 0,13</w:t>
            </w:r>
          </w:p>
        </w:tc>
        <w:tc>
          <w:tcPr>
            <w:tcW w:w="170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немає</w:t>
            </w:r>
          </w:p>
        </w:tc>
      </w:tr>
      <w:tr w:rsidR="00A01923" w:rsidTr="00A01923">
        <w:trPr>
          <w:trHeight w:val="424"/>
        </w:trPr>
        <w:tc>
          <w:tcPr>
            <w:tcW w:w="517" w:type="dxa"/>
            <w:tcBorders>
              <w:top w:val="single" w:sz="4" w:space="0" w:color="auto"/>
              <w:left w:val="single" w:sz="4" w:space="0" w:color="auto"/>
              <w:bottom w:val="single" w:sz="4" w:space="0" w:color="auto"/>
              <w:right w:val="single" w:sz="4" w:space="0" w:color="auto"/>
            </w:tcBorders>
            <w:shd w:val="clear" w:color="auto" w:fill="FFFFFF"/>
            <w:hideMark/>
          </w:tcPr>
          <w:p w:rsidR="00A01923" w:rsidRDefault="00A01923">
            <w:pPr>
              <w:tabs>
                <w:tab w:val="left" w:pos="48"/>
              </w:tabs>
              <w:spacing w:after="0" w:line="240" w:lineRule="auto"/>
              <w:ind w:left="-525" w:firstLine="525"/>
              <w:jc w:val="center"/>
              <w:rPr>
                <w:rFonts w:ascii="Times New Roman" w:eastAsia="Times New Roman" w:hAnsi="Times New Roman"/>
                <w:sz w:val="28"/>
                <w:szCs w:val="28"/>
                <w:lang w:val="uk-UA"/>
              </w:rPr>
            </w:pPr>
            <w:r>
              <w:rPr>
                <w:rFonts w:ascii="Times New Roman" w:hAnsi="Times New Roman"/>
                <w:sz w:val="28"/>
                <w:szCs w:val="28"/>
                <w:lang w:val="uk-UA"/>
              </w:rPr>
              <w:t>2</w:t>
            </w:r>
          </w:p>
        </w:tc>
        <w:tc>
          <w:tcPr>
            <w:tcW w:w="100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48"/>
              <w:jc w:val="center"/>
              <w:rPr>
                <w:rFonts w:ascii="Times New Roman" w:eastAsia="Times New Roman" w:hAnsi="Times New Roman"/>
                <w:sz w:val="28"/>
                <w:szCs w:val="28"/>
                <w:lang w:val="uk-UA"/>
              </w:rPr>
            </w:pPr>
            <w:r>
              <w:rPr>
                <w:rFonts w:ascii="Times New Roman" w:hAnsi="Times New Roman"/>
                <w:sz w:val="28"/>
                <w:szCs w:val="28"/>
                <w:lang w:val="uk-UA"/>
              </w:rPr>
              <w:t>немає</w:t>
            </w:r>
          </w:p>
        </w:tc>
        <w:tc>
          <w:tcPr>
            <w:tcW w:w="25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0"/>
              <w:jc w:val="center"/>
              <w:rPr>
                <w:rFonts w:ascii="Times New Roman" w:eastAsia="Times New Roman" w:hAnsi="Times New Roman"/>
                <w:sz w:val="28"/>
                <w:szCs w:val="28"/>
                <w:lang w:val="uk-UA"/>
              </w:rPr>
            </w:pPr>
            <w:r>
              <w:rPr>
                <w:rFonts w:ascii="Times New Roman" w:hAnsi="Times New Roman"/>
                <w:sz w:val="28"/>
                <w:szCs w:val="28"/>
                <w:lang w:val="uk-UA"/>
              </w:rPr>
              <w:t>немає</w:t>
            </w:r>
          </w:p>
        </w:tc>
        <w:tc>
          <w:tcPr>
            <w:tcW w:w="132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67"/>
              <w:jc w:val="center"/>
              <w:rPr>
                <w:rFonts w:ascii="Times New Roman" w:eastAsia="Times New Roman" w:hAnsi="Times New Roman"/>
                <w:sz w:val="28"/>
                <w:szCs w:val="28"/>
                <w:lang w:val="uk-UA"/>
              </w:rPr>
            </w:pPr>
            <w:r>
              <w:rPr>
                <w:rFonts w:ascii="Times New Roman" w:hAnsi="Times New Roman"/>
                <w:sz w:val="28"/>
                <w:szCs w:val="28"/>
                <w:lang w:val="uk-UA"/>
              </w:rPr>
              <w:sym w:font="Symbol" w:char="00A3"/>
            </w:r>
            <w:r>
              <w:rPr>
                <w:rFonts w:ascii="Times New Roman" w:hAnsi="Times New Roman"/>
                <w:sz w:val="28"/>
                <w:szCs w:val="28"/>
                <w:lang w:val="uk-UA"/>
              </w:rPr>
              <w:t xml:space="preserve"> 30°</w:t>
            </w:r>
          </w:p>
        </w:tc>
        <w:tc>
          <w:tcPr>
            <w:tcW w:w="148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22" w:firstLine="9"/>
              <w:jc w:val="center"/>
              <w:rPr>
                <w:rFonts w:ascii="Times New Roman" w:eastAsia="Times New Roman" w:hAnsi="Times New Roman"/>
                <w:sz w:val="28"/>
                <w:szCs w:val="28"/>
                <w:lang w:val="uk-UA"/>
              </w:rPr>
            </w:pPr>
            <w:r>
              <w:rPr>
                <w:rFonts w:ascii="Times New Roman" w:hAnsi="Times New Roman"/>
                <w:sz w:val="28"/>
                <w:szCs w:val="28"/>
                <w:lang w:val="uk-UA"/>
              </w:rPr>
              <w:sym w:font="Symbol" w:char="00A3"/>
            </w:r>
            <w:r>
              <w:rPr>
                <w:rFonts w:ascii="Times New Roman" w:hAnsi="Times New Roman"/>
                <w:sz w:val="28"/>
                <w:szCs w:val="28"/>
                <w:lang w:val="uk-UA"/>
              </w:rPr>
              <w:t xml:space="preserve"> 35,8°</w:t>
            </w:r>
          </w:p>
        </w:tc>
        <w:tc>
          <w:tcPr>
            <w:tcW w:w="14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35"/>
              <w:jc w:val="center"/>
              <w:rPr>
                <w:rFonts w:ascii="Times New Roman" w:eastAsia="Times New Roman" w:hAnsi="Times New Roman"/>
                <w:sz w:val="28"/>
                <w:szCs w:val="28"/>
                <w:lang w:val="uk-UA"/>
              </w:rPr>
            </w:pPr>
            <w:r>
              <w:rPr>
                <w:rFonts w:ascii="Times New Roman" w:hAnsi="Times New Roman"/>
                <w:sz w:val="28"/>
                <w:szCs w:val="28"/>
                <w:lang w:val="uk-UA"/>
              </w:rPr>
              <w:t>&gt; 0,13</w:t>
            </w:r>
          </w:p>
        </w:tc>
        <w:tc>
          <w:tcPr>
            <w:tcW w:w="170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A01923" w:rsidRDefault="00A01923">
            <w:pPr>
              <w:tabs>
                <w:tab w:val="left" w:pos="48"/>
              </w:tabs>
              <w:spacing w:after="0" w:line="240" w:lineRule="auto"/>
              <w:ind w:left="-108"/>
              <w:jc w:val="center"/>
              <w:rPr>
                <w:rFonts w:ascii="Times New Roman" w:eastAsia="Times New Roman" w:hAnsi="Times New Roman"/>
                <w:sz w:val="28"/>
                <w:szCs w:val="28"/>
                <w:lang w:val="uk-UA"/>
              </w:rPr>
            </w:pPr>
            <w:r>
              <w:rPr>
                <w:rFonts w:ascii="Times New Roman" w:hAnsi="Times New Roman"/>
                <w:sz w:val="28"/>
                <w:szCs w:val="28"/>
                <w:lang w:val="uk-UA"/>
              </w:rPr>
              <w:t>є</w:t>
            </w:r>
          </w:p>
        </w:tc>
      </w:tr>
    </w:tbl>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i/>
          <w:sz w:val="28"/>
          <w:szCs w:val="28"/>
          <w:lang w:val="uk-UA"/>
        </w:rPr>
        <w:lastRenderedPageBreak/>
        <w:t>Приклад 1.</w:t>
      </w:r>
      <w:r>
        <w:rPr>
          <w:rFonts w:ascii="Times New Roman" w:hAnsi="Times New Roman"/>
          <w:sz w:val="28"/>
          <w:szCs w:val="28"/>
          <w:lang w:val="uk-UA"/>
        </w:rPr>
        <w:t xml:space="preserve"> Розрахуємо ймовірності Р для випадків без / з низькою ампутацією: </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Р (немає) = 0,0408 (ЗВГА : немає) + 0,0820 (ураження ступні : немає) + 0,4193 </w:t>
      </w:r>
      <w:r>
        <w:rPr>
          <w:rFonts w:ascii="Times New Roman" w:hAnsi="Times New Roman"/>
          <w:sz w:val="28"/>
          <w:szCs w:val="28"/>
          <w:lang w:val="uk-UA"/>
        </w:rPr>
        <w:sym w:font="Symbol" w:char="002B"/>
      </w:r>
      <w:r>
        <w:rPr>
          <w:rFonts w:ascii="Times New Roman" w:hAnsi="Times New Roman"/>
          <w:sz w:val="28"/>
          <w:szCs w:val="28"/>
          <w:lang w:val="uk-UA"/>
        </w:rPr>
        <w:t xml:space="preserve"> (t° cтупні: &gt;30°) + 0,0352  (t° гомілки: &lt;35,8°) + 0,2286 (креатинін: </w:t>
      </w:r>
      <w:r>
        <w:rPr>
          <w:rFonts w:ascii="Times New Roman" w:hAnsi="Times New Roman"/>
          <w:sz w:val="28"/>
          <w:szCs w:val="28"/>
          <w:lang w:val="uk-UA"/>
        </w:rPr>
        <w:sym w:font="Symbol" w:char="00A3"/>
      </w:r>
      <w:r>
        <w:rPr>
          <w:rFonts w:ascii="Times New Roman" w:hAnsi="Times New Roman"/>
          <w:sz w:val="28"/>
          <w:szCs w:val="28"/>
          <w:lang w:val="uk-UA"/>
        </w:rPr>
        <w:t xml:space="preserve"> 0,13) = 0,81</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Р (є) = 0,0683 (ЗВГА : немає) + 0,0539 (ураження ступні :  немає) +0,0361 (t° cтупні: &gt;30°) + 0,0971 (t° гомілки: &lt;35,8°) +0,0348 (креатинін: </w:t>
      </w:r>
      <w:r>
        <w:rPr>
          <w:rFonts w:ascii="Times New Roman" w:hAnsi="Times New Roman"/>
          <w:sz w:val="28"/>
          <w:szCs w:val="28"/>
          <w:lang w:val="uk-UA"/>
        </w:rPr>
        <w:sym w:font="Symbol" w:char="00A3"/>
      </w:r>
      <w:r>
        <w:rPr>
          <w:rFonts w:ascii="Times New Roman" w:hAnsi="Times New Roman"/>
          <w:sz w:val="28"/>
          <w:szCs w:val="28"/>
          <w:lang w:val="uk-UA"/>
        </w:rPr>
        <w:t xml:space="preserve"> 0,13) = 0,28</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Видно, що ймовірність проведення ампутації істотно нижче (0,28 &lt; 0,81).</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i/>
          <w:sz w:val="28"/>
          <w:szCs w:val="28"/>
          <w:lang w:val="uk-UA"/>
        </w:rPr>
        <w:t>Приклад 2</w:t>
      </w:r>
      <w:r>
        <w:rPr>
          <w:rFonts w:ascii="Times New Roman" w:hAnsi="Times New Roman"/>
          <w:sz w:val="28"/>
          <w:szCs w:val="28"/>
          <w:lang w:val="uk-UA"/>
        </w:rPr>
        <w:t>:</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Р (немає) = 0,0408 (ЗВГА : немає)  + 0,0820 (ураження ступні : немає) + 0,0304 (t° cтупні: </w:t>
      </w:r>
      <w:r>
        <w:rPr>
          <w:rFonts w:ascii="Times New Roman" w:hAnsi="Times New Roman"/>
          <w:sz w:val="28"/>
          <w:szCs w:val="28"/>
          <w:lang w:val="uk-UA"/>
        </w:rPr>
        <w:sym w:font="Symbol" w:char="00A3"/>
      </w:r>
      <w:r>
        <w:rPr>
          <w:rFonts w:ascii="Times New Roman" w:hAnsi="Times New Roman"/>
          <w:sz w:val="28"/>
          <w:szCs w:val="28"/>
          <w:lang w:val="uk-UA"/>
        </w:rPr>
        <w:t xml:space="preserve"> 30°) + 0,0352 (t° гомілки:  &lt;35,8°) +0,0365 (креатинін: &gt; 0,13) = 0,22</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Р (є) = 0,0683 (ЗВГА: немає) +0,0539 (ураження ступні : немає) +0,2646 (t° cтупні: </w:t>
      </w:r>
      <w:r>
        <w:rPr>
          <w:rFonts w:ascii="Times New Roman" w:hAnsi="Times New Roman"/>
          <w:sz w:val="28"/>
          <w:szCs w:val="28"/>
          <w:lang w:val="uk-UA"/>
        </w:rPr>
        <w:sym w:font="Symbol" w:char="00A3"/>
      </w:r>
      <w:r>
        <w:rPr>
          <w:rFonts w:ascii="Times New Roman" w:hAnsi="Times New Roman"/>
          <w:sz w:val="28"/>
          <w:szCs w:val="28"/>
          <w:lang w:val="uk-UA"/>
        </w:rPr>
        <w:t xml:space="preserve"> 30°) + 0,0971 (t° гомілки: &lt; 35,8°) +0,1307 (креатинін: &gt; 0,13) = 0,615</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Ймовірність проведення ампутації істотно вище (0,22&lt;0,615).</w:t>
      </w:r>
    </w:p>
    <w:p w:rsidR="00A01923" w:rsidRDefault="00A01923" w:rsidP="00A01923">
      <w:pPr>
        <w:spacing w:after="0" w:line="360" w:lineRule="auto"/>
        <w:ind w:left="-567" w:firstLine="567"/>
        <w:jc w:val="both"/>
        <w:rPr>
          <w:rFonts w:ascii="Times New Roman" w:hAnsi="Times New Roman"/>
          <w:color w:val="000000"/>
          <w:sz w:val="28"/>
          <w:szCs w:val="28"/>
          <w:lang w:val="uk-UA"/>
        </w:rPr>
      </w:pPr>
      <w:bookmarkStart w:id="5" w:name="_GoBack"/>
      <w:bookmarkEnd w:id="5"/>
      <w:r>
        <w:rPr>
          <w:rFonts w:ascii="Times New Roman" w:hAnsi="Times New Roman"/>
          <w:color w:val="000000"/>
          <w:sz w:val="28"/>
          <w:szCs w:val="28"/>
          <w:lang w:val="uk-UA"/>
        </w:rPr>
        <w:t>Таким чином, алгоритм діагностики, що ми використовували, дає можливість повноцінно діагностувати тип та ступінь ураження судинного русла для правильного вибору методики лікування, а розроблені моделі прогнозування ймовірності ампутацій при лікуванні хронічної критичної ішемії нижніх кінцівок показали високу точність класифікації (91% для групи без ампутацій і 83% - з ампутацією) і дозволили оцінити ймовірності проведення ампутацій.</w:t>
      </w: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lang w:val="uk-UA"/>
        </w:rPr>
        <w:t>Таким чином, ХКІНК є актуальною проблемою сучасної хірургії у зв’язку з несприятливим перебігом та прогресуванням захворювання, що пов’язано з</w:t>
      </w:r>
      <w:r>
        <w:rPr>
          <w:rFonts w:ascii="Times New Roman" w:hAnsi="Times New Roman"/>
          <w:color w:val="000000"/>
          <w:sz w:val="28"/>
          <w:szCs w:val="28"/>
          <w:lang w:val="uk-UA"/>
        </w:rPr>
        <w:t xml:space="preserve"> ураженням дистального судинного русла. Для правильного вибору методу лікування, діагностичний алгоритм для хворих з ХКІНК має обов’язково включати методи візуалізації судинного русла, а також ступінь пошкодження тканин. Вірно обрана тактика лікування та вчасно виконані втручання допомагають врятувати кінцівку, або ж дісталізувати рівень ампутації, та повернути хворого до повноцінного життя. </w:t>
      </w:r>
    </w:p>
    <w:p w:rsidR="00A01923" w:rsidRDefault="00A01923" w:rsidP="00A01923">
      <w:pPr>
        <w:widowControl w:val="0"/>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Розроблена система прогнозу дозволяє виділити групу ризику хворих на </w:t>
      </w:r>
      <w:r>
        <w:rPr>
          <w:rFonts w:ascii="Times New Roman" w:hAnsi="Times New Roman"/>
          <w:color w:val="000000"/>
          <w:sz w:val="28"/>
          <w:szCs w:val="28"/>
          <w:lang w:val="uk-UA"/>
        </w:rPr>
        <w:lastRenderedPageBreak/>
        <w:t>виконання ампутації кінцівок, а найбільш прогностично значущими критеріями є низька температура стопи (</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 xml:space="preserve">30 </w:t>
      </w:r>
      <w:r>
        <w:rPr>
          <w:rFonts w:ascii="Times New Roman" w:hAnsi="Times New Roman"/>
          <w:color w:val="000000"/>
          <w:sz w:val="28"/>
          <w:szCs w:val="28"/>
          <w:vertAlign w:val="superscript"/>
          <w:lang w:val="uk-UA"/>
        </w:rPr>
        <w:t>о</w:t>
      </w:r>
      <w:r>
        <w:rPr>
          <w:rFonts w:ascii="Times New Roman" w:hAnsi="Times New Roman"/>
          <w:color w:val="000000"/>
          <w:sz w:val="28"/>
          <w:szCs w:val="28"/>
          <w:lang w:val="uk-UA"/>
        </w:rPr>
        <w:t>С) та гомілки (</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 xml:space="preserve">35,8 </w:t>
      </w:r>
      <w:r>
        <w:rPr>
          <w:rFonts w:ascii="Times New Roman" w:hAnsi="Times New Roman"/>
          <w:color w:val="000000"/>
          <w:sz w:val="28"/>
          <w:szCs w:val="28"/>
          <w:vertAlign w:val="superscript"/>
          <w:lang w:val="uk-UA"/>
        </w:rPr>
        <w:t>о</w:t>
      </w:r>
      <w:r>
        <w:rPr>
          <w:rFonts w:ascii="Times New Roman" w:hAnsi="Times New Roman"/>
          <w:color w:val="000000"/>
          <w:sz w:val="28"/>
          <w:szCs w:val="28"/>
          <w:lang w:val="uk-UA"/>
        </w:rPr>
        <w:t>С), ураження ЗВГА без збереження прохідності ПВГА, та відсутність виходу хоча б однієї з гомілкових артерій на артеріальну дугу стопи. Невірогідними факторами ризику виконання ампутації із використанням біномінального критерію їх оцінки є гіперемія шкіри нижніх кінцівок, біль спокою, ураження ТПС та наявність ЦД (р</w:t>
      </w:r>
      <w:r>
        <w:rPr>
          <w:rFonts w:ascii="Times New Roman" w:hAnsi="Times New Roman"/>
          <w:color w:val="000000"/>
          <w:sz w:val="28"/>
          <w:szCs w:val="28"/>
          <w:lang w:val="uk-UA"/>
        </w:rPr>
        <w:sym w:font="Symbol" w:char="003E"/>
      </w:r>
      <w:r>
        <w:rPr>
          <w:rFonts w:ascii="Times New Roman" w:hAnsi="Times New Roman"/>
          <w:color w:val="000000"/>
          <w:sz w:val="28"/>
          <w:szCs w:val="28"/>
          <w:lang w:val="uk-UA"/>
        </w:rPr>
        <w:t>0,05). Точність класифікації при крос-перевірці склала 91% для хворих без</w:t>
      </w:r>
    </w:p>
    <w:p w:rsidR="00A01923" w:rsidRDefault="00A01923" w:rsidP="00A01923">
      <w:pPr>
        <w:widowControl w:val="0"/>
        <w:spacing w:after="0" w:line="360" w:lineRule="auto"/>
        <w:ind w:left="-567" w:firstLine="567"/>
        <w:jc w:val="both"/>
        <w:rPr>
          <w:rFonts w:ascii="Times New Roman" w:hAnsi="Times New Roman"/>
          <w:color w:val="000000"/>
          <w:sz w:val="28"/>
          <w:szCs w:val="28"/>
          <w:lang w:val="uk-UA"/>
        </w:rPr>
      </w:pPr>
    </w:p>
    <w:p w:rsidR="00A01923" w:rsidRDefault="00A01923" w:rsidP="00A01923">
      <w:pPr>
        <w:widowControl w:val="0"/>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Матеріали цього розділу опубліковані у вигляді статті:</w:t>
      </w:r>
    </w:p>
    <w:p w:rsidR="00A01923" w:rsidRDefault="00A01923" w:rsidP="00B43186">
      <w:pPr>
        <w:pStyle w:val="ad"/>
        <w:numPr>
          <w:ilvl w:val="0"/>
          <w:numId w:val="5"/>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Гоні С.-К.Т. Результати лікування хворих на хронічну критичну ішемію нижніх кінцівок / І.А. Криворучко, С.-К.Т. Гоні, І.М. Лодяна // Науковий вісник Ужгородського університету, серія «Медицина». – 2014. – №1 (49). – С.115-117. </w:t>
      </w:r>
      <w:r>
        <w:rPr>
          <w:rFonts w:ascii="Times New Roman" w:hAnsi="Times New Roman"/>
          <w:sz w:val="28"/>
          <w:szCs w:val="28"/>
        </w:rPr>
        <w:t>(дисертантом проведено обробку матеріалів</w:t>
      </w:r>
      <w:r>
        <w:rPr>
          <w:rFonts w:ascii="Times New Roman" w:hAnsi="Times New Roman"/>
          <w:sz w:val="28"/>
          <w:szCs w:val="28"/>
          <w:lang w:val="uk-UA"/>
        </w:rPr>
        <w:t xml:space="preserve"> статті та підготовку статті до друку</w:t>
      </w:r>
      <w:r>
        <w:rPr>
          <w:rFonts w:ascii="Times New Roman" w:hAnsi="Times New Roman"/>
          <w:sz w:val="28"/>
          <w:szCs w:val="28"/>
        </w:rPr>
        <w:t>)</w:t>
      </w:r>
    </w:p>
    <w:p w:rsidR="00A01923" w:rsidRDefault="00A01923" w:rsidP="00A01923">
      <w:pPr>
        <w:pStyle w:val="ad"/>
        <w:spacing w:after="0" w:line="360" w:lineRule="auto"/>
        <w:ind w:left="0"/>
        <w:jc w:val="both"/>
        <w:rPr>
          <w:rFonts w:ascii="Times New Roman" w:hAnsi="Times New Roman"/>
          <w:sz w:val="28"/>
          <w:szCs w:val="28"/>
          <w:lang w:val="uk-UA"/>
        </w:rPr>
      </w:pPr>
    </w:p>
    <w:p w:rsidR="00A01923" w:rsidRDefault="00A01923" w:rsidP="00A01923">
      <w:pPr>
        <w:spacing w:after="0" w:line="360" w:lineRule="auto"/>
        <w:jc w:val="center"/>
        <w:rPr>
          <w:rFonts w:ascii="Times New Roman" w:hAnsi="Times New Roman"/>
          <w:b/>
          <w:sz w:val="28"/>
          <w:szCs w:val="28"/>
          <w:lang w:val="uk-UA"/>
        </w:rPr>
      </w:pPr>
      <w:r>
        <w:rPr>
          <w:rFonts w:ascii="Times New Roman" w:hAnsi="Times New Roman"/>
          <w:sz w:val="28"/>
          <w:szCs w:val="28"/>
          <w:lang w:val="uk-UA"/>
        </w:rPr>
        <w:br w:type="page"/>
      </w:r>
      <w:r>
        <w:rPr>
          <w:rFonts w:ascii="Times New Roman" w:hAnsi="Times New Roman"/>
          <w:b/>
          <w:sz w:val="28"/>
          <w:szCs w:val="28"/>
        </w:rPr>
        <w:lastRenderedPageBreak/>
        <w:t>РОЗДІЛ 4</w:t>
      </w:r>
    </w:p>
    <w:p w:rsidR="00A01923" w:rsidRDefault="00A01923" w:rsidP="00A01923">
      <w:pPr>
        <w:spacing w:after="0" w:line="360" w:lineRule="auto"/>
        <w:jc w:val="center"/>
        <w:rPr>
          <w:rFonts w:ascii="Times New Roman" w:hAnsi="Times New Roman"/>
          <w:b/>
          <w:sz w:val="28"/>
          <w:szCs w:val="28"/>
          <w:lang w:val="uk-UA"/>
        </w:rPr>
      </w:pPr>
      <w:r>
        <w:rPr>
          <w:rFonts w:ascii="Times New Roman" w:hAnsi="Times New Roman"/>
          <w:b/>
          <w:sz w:val="28"/>
          <w:szCs w:val="28"/>
        </w:rPr>
        <w:t xml:space="preserve">ОСОБЛИВОСТІ ПОРУШЕНЬ ПОКАЗНИКІВ ГОМЕОСТАЗУ ТА </w:t>
      </w:r>
      <w:r>
        <w:rPr>
          <w:rFonts w:ascii="Times New Roman" w:hAnsi="Times New Roman"/>
          <w:b/>
          <w:sz w:val="28"/>
          <w:szCs w:val="28"/>
          <w:lang w:val="uk-UA"/>
        </w:rPr>
        <w:t>КРОВООБІГУ</w:t>
      </w:r>
      <w:r>
        <w:rPr>
          <w:rFonts w:ascii="Times New Roman" w:hAnsi="Times New Roman"/>
          <w:b/>
          <w:sz w:val="28"/>
          <w:szCs w:val="28"/>
        </w:rPr>
        <w:t xml:space="preserve"> К</w:t>
      </w:r>
      <w:r>
        <w:rPr>
          <w:rFonts w:ascii="Times New Roman" w:hAnsi="Times New Roman"/>
          <w:b/>
          <w:sz w:val="28"/>
          <w:szCs w:val="28"/>
          <w:lang w:val="uk-UA"/>
        </w:rPr>
        <w:t>І</w:t>
      </w:r>
      <w:r>
        <w:rPr>
          <w:rFonts w:ascii="Times New Roman" w:hAnsi="Times New Roman"/>
          <w:b/>
          <w:sz w:val="28"/>
          <w:szCs w:val="28"/>
        </w:rPr>
        <w:t>НЦІВОК У ХВОРИХ НА ХРОНІЧНУ КРИТИЧНУ ІШЕМІЮ НИЖНІХ КІНЦІВОК</w:t>
      </w:r>
    </w:p>
    <w:p w:rsidR="00A01923" w:rsidRDefault="00A01923" w:rsidP="00A01923">
      <w:pPr>
        <w:shd w:val="clear" w:color="auto" w:fill="FFFFFF"/>
        <w:spacing w:after="0" w:line="360" w:lineRule="auto"/>
        <w:ind w:firstLine="708"/>
        <w:jc w:val="both"/>
        <w:rPr>
          <w:rFonts w:ascii="Times New Roman" w:hAnsi="Times New Roman"/>
          <w:b/>
          <w:color w:val="000000"/>
          <w:sz w:val="28"/>
          <w:szCs w:val="28"/>
          <w:lang w:val="uk-UA"/>
        </w:rPr>
      </w:pPr>
      <w:r>
        <w:rPr>
          <w:rFonts w:ascii="Times New Roman" w:hAnsi="Times New Roman"/>
          <w:b/>
          <w:sz w:val="28"/>
          <w:szCs w:val="28"/>
        </w:rPr>
        <w:t>4</w:t>
      </w:r>
      <w:r>
        <w:rPr>
          <w:rFonts w:ascii="Times New Roman" w:hAnsi="Times New Roman"/>
          <w:b/>
          <w:color w:val="000000"/>
          <w:sz w:val="28"/>
          <w:szCs w:val="28"/>
        </w:rPr>
        <w:t>.1 Характеристика показників вазомоторної, проліферативної, прозапальної і гемостатичної функціі ендотелію</w:t>
      </w:r>
    </w:p>
    <w:p w:rsidR="00A01923" w:rsidRDefault="00A01923" w:rsidP="00A01923">
      <w:pPr>
        <w:shd w:val="clear" w:color="auto" w:fill="FFFFFF"/>
        <w:spacing w:after="0" w:line="360" w:lineRule="auto"/>
        <w:jc w:val="both"/>
        <w:rPr>
          <w:rFonts w:ascii="Times New Roman" w:hAnsi="Times New Roman"/>
          <w:b/>
          <w:color w:val="000000"/>
          <w:sz w:val="28"/>
          <w:szCs w:val="28"/>
          <w:lang w:val="uk-UA"/>
        </w:rPr>
      </w:pPr>
    </w:p>
    <w:p w:rsidR="00A01923" w:rsidRDefault="00A01923" w:rsidP="00A01923">
      <w:pPr>
        <w:shd w:val="clear" w:color="auto" w:fill="FFFFFF"/>
        <w:spacing w:after="0" w:line="360" w:lineRule="auto"/>
        <w:jc w:val="both"/>
        <w:rPr>
          <w:rFonts w:ascii="Times New Roman" w:hAnsi="Times New Roman"/>
          <w:b/>
          <w:color w:val="000000"/>
          <w:sz w:val="28"/>
          <w:szCs w:val="28"/>
          <w:lang w:val="uk-UA"/>
        </w:rPr>
      </w:pPr>
    </w:p>
    <w:p w:rsidR="00A01923" w:rsidRDefault="00A01923" w:rsidP="00A01923">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З метою вирішення поставлених у дослідженні задач, нами було вивчено динамику змін показників у хворих основної групи, які характеризують різні функції ендотелію, що отримували плазмотерапію багатою тромбоцитами плазмою на етапі лікування, а також</w:t>
      </w:r>
      <w:r>
        <w:rPr>
          <w:rFonts w:ascii="Times New Roman" w:hAnsi="Times New Roman"/>
          <w:sz w:val="28"/>
          <w:szCs w:val="28"/>
          <w:lang w:val="uk-UA"/>
        </w:rPr>
        <w:t xml:space="preserve"> через 6 та 12 міс. спостереження. </w:t>
      </w:r>
    </w:p>
    <w:p w:rsidR="00A01923" w:rsidRDefault="00A01923" w:rsidP="00A01923">
      <w:pPr>
        <w:spacing w:after="0" w:line="360" w:lineRule="auto"/>
        <w:ind w:firstLine="709"/>
        <w:jc w:val="both"/>
        <w:rPr>
          <w:rFonts w:ascii="Times New Roman" w:hAnsi="Times New Roman"/>
          <w:sz w:val="28"/>
          <w:szCs w:val="28"/>
        </w:rPr>
      </w:pPr>
      <w:r>
        <w:rPr>
          <w:rFonts w:ascii="Times New Roman" w:hAnsi="Times New Roman"/>
          <w:sz w:val="28"/>
          <w:szCs w:val="28"/>
        </w:rPr>
        <w:t>Показники середнього значення рівня ендотеліну-1, який характеризує вазомоторну функцію ендотелію, у основній групі розподілились наступним чином (табл.</w:t>
      </w:r>
      <w:r>
        <w:rPr>
          <w:rFonts w:ascii="Times New Roman" w:hAnsi="Times New Roman"/>
          <w:sz w:val="28"/>
          <w:szCs w:val="28"/>
          <w:lang w:val="uk-UA"/>
        </w:rPr>
        <w:t xml:space="preserve"> </w:t>
      </w:r>
      <w:r>
        <w:rPr>
          <w:rFonts w:ascii="Times New Roman" w:hAnsi="Times New Roman"/>
          <w:sz w:val="28"/>
          <w:szCs w:val="28"/>
        </w:rPr>
        <w:t>4.1).</w:t>
      </w: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rPr>
        <w:t>Таблиця 4.1</w:t>
      </w:r>
    </w:p>
    <w:p w:rsidR="00A01923" w:rsidRDefault="00A01923" w:rsidP="00A01923">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Динамика змін с</w:t>
      </w:r>
      <w:r>
        <w:rPr>
          <w:rFonts w:ascii="Times New Roman" w:hAnsi="Times New Roman"/>
          <w:b/>
          <w:sz w:val="28"/>
          <w:szCs w:val="28"/>
        </w:rPr>
        <w:t>ередні</w:t>
      </w:r>
      <w:r>
        <w:rPr>
          <w:rFonts w:ascii="Times New Roman" w:hAnsi="Times New Roman"/>
          <w:b/>
          <w:sz w:val="28"/>
          <w:szCs w:val="28"/>
          <w:lang w:val="uk-UA"/>
        </w:rPr>
        <w:t>х</w:t>
      </w:r>
      <w:r>
        <w:rPr>
          <w:rFonts w:ascii="Times New Roman" w:hAnsi="Times New Roman"/>
          <w:b/>
          <w:sz w:val="28"/>
          <w:szCs w:val="28"/>
        </w:rPr>
        <w:t xml:space="preserve"> значен</w:t>
      </w:r>
      <w:r>
        <w:rPr>
          <w:rFonts w:ascii="Times New Roman" w:hAnsi="Times New Roman"/>
          <w:b/>
          <w:sz w:val="28"/>
          <w:szCs w:val="28"/>
          <w:lang w:val="uk-UA"/>
        </w:rPr>
        <w:t>ь</w:t>
      </w:r>
      <w:r>
        <w:rPr>
          <w:rFonts w:ascii="Times New Roman" w:hAnsi="Times New Roman"/>
          <w:b/>
          <w:sz w:val="28"/>
          <w:szCs w:val="28"/>
        </w:rPr>
        <w:t xml:space="preserve"> рівн</w:t>
      </w:r>
      <w:r>
        <w:rPr>
          <w:rFonts w:ascii="Times New Roman" w:hAnsi="Times New Roman"/>
          <w:b/>
          <w:sz w:val="28"/>
          <w:szCs w:val="28"/>
          <w:lang w:val="uk-UA"/>
        </w:rPr>
        <w:t>я</w:t>
      </w:r>
      <w:r>
        <w:rPr>
          <w:rFonts w:ascii="Times New Roman" w:hAnsi="Times New Roman"/>
          <w:b/>
          <w:sz w:val="28"/>
          <w:szCs w:val="28"/>
        </w:rPr>
        <w:t xml:space="preserve"> ЕТ</w:t>
      </w:r>
      <w:r>
        <w:rPr>
          <w:rFonts w:ascii="Times New Roman" w:hAnsi="Times New Roman"/>
          <w:b/>
          <w:sz w:val="28"/>
          <w:szCs w:val="28"/>
          <w:lang w:val="uk-UA"/>
        </w:rPr>
        <w:t>-</w:t>
      </w:r>
      <w:r>
        <w:rPr>
          <w:rFonts w:ascii="Times New Roman" w:hAnsi="Times New Roman"/>
          <w:b/>
          <w:sz w:val="28"/>
          <w:szCs w:val="28"/>
        </w:rPr>
        <w:t>1 у основній групі</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2410"/>
        <w:gridCol w:w="2268"/>
        <w:gridCol w:w="2059"/>
      </w:tblGrid>
      <w:tr w:rsidR="00A01923" w:rsidTr="00A01923">
        <w:trPr>
          <w:trHeight w:val="1238"/>
        </w:trPr>
        <w:tc>
          <w:tcPr>
            <w:tcW w:w="2836" w:type="dxa"/>
            <w:tcBorders>
              <w:top w:val="single" w:sz="4" w:space="0" w:color="000000"/>
              <w:left w:val="single" w:sz="4" w:space="0" w:color="000000"/>
              <w:bottom w:val="single" w:sz="4" w:space="0" w:color="000000"/>
              <w:right w:val="single" w:sz="4" w:space="0" w:color="000000"/>
            </w:tcBorders>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 xml:space="preserve">     Час визначення</w:t>
            </w:r>
          </w:p>
          <w:p w:rsidR="00A01923" w:rsidRDefault="00A01923">
            <w:pPr>
              <w:spacing w:after="0" w:line="360" w:lineRule="auto"/>
              <w:rPr>
                <w:rFonts w:ascii="Times New Roman" w:hAnsi="Times New Roman"/>
                <w:sz w:val="28"/>
                <w:szCs w:val="28"/>
                <w:lang w:val="uk-UA"/>
              </w:rPr>
            </w:pPr>
          </w:p>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lang w:val="uk-UA"/>
              </w:rPr>
              <w:t>Підг</w:t>
            </w:r>
            <w:r>
              <w:rPr>
                <w:rFonts w:ascii="Times New Roman" w:hAnsi="Times New Roman"/>
                <w:sz w:val="28"/>
                <w:szCs w:val="28"/>
              </w:rPr>
              <w:t>рупи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Вихідні дані</w:t>
            </w:r>
          </w:p>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За 6 місяців</w:t>
            </w:r>
          </w:p>
          <w:p w:rsidR="00A01923" w:rsidRDefault="00A01923">
            <w:pPr>
              <w:spacing w:after="0" w:line="360" w:lineRule="auto"/>
              <w:jc w:val="center"/>
              <w:rPr>
                <w:rFonts w:ascii="Times New Roman" w:eastAsia="Times New Roman" w:hAnsi="Times New Roman"/>
                <w:color w:val="FF0000"/>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За 12 місяців</w:t>
            </w:r>
          </w:p>
          <w:p w:rsidR="00A01923" w:rsidRDefault="00A01923">
            <w:pPr>
              <w:spacing w:after="0" w:line="360" w:lineRule="auto"/>
              <w:jc w:val="center"/>
              <w:rPr>
                <w:rFonts w:ascii="Times New Roman" w:eastAsia="Times New Roman" w:hAnsi="Times New Roman"/>
                <w:color w:val="FF0000"/>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r>
      <w:tr w:rsidR="00A01923" w:rsidTr="00A01923">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Загальногруповий показник</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7,74±0,95 *</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6,53 ±0,79*</w:t>
            </w:r>
            <w:r>
              <w:rPr>
                <w:rFonts w:ascii="Times New Roman" w:hAnsi="Times New Roman"/>
                <w:sz w:val="28"/>
                <w:szCs w:val="28"/>
                <w:lang w:val="en-US"/>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6,39±1,03*</w:t>
            </w:r>
            <w:r>
              <w:rPr>
                <w:rFonts w:ascii="Times New Roman" w:hAnsi="Times New Roman"/>
                <w:sz w:val="28"/>
                <w:szCs w:val="28"/>
                <w:lang w:val="en-US"/>
              </w:rPr>
              <w:t>#</w:t>
            </w:r>
          </w:p>
        </w:tc>
      </w:tr>
      <w:tr w:rsidR="00A01923" w:rsidTr="00A01923">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ІІІ ст. ішемії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7,62± 0,94*</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6,47 ±0,88*</w:t>
            </w:r>
            <w:r>
              <w:rPr>
                <w:rFonts w:ascii="Times New Roman" w:hAnsi="Times New Roman"/>
                <w:sz w:val="28"/>
                <w:szCs w:val="28"/>
                <w:lang w:val="en-US"/>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6,19±0,99*</w:t>
            </w:r>
            <w:r>
              <w:rPr>
                <w:rFonts w:ascii="Times New Roman" w:hAnsi="Times New Roman"/>
                <w:sz w:val="28"/>
                <w:szCs w:val="28"/>
                <w:lang w:val="en-US"/>
              </w:rPr>
              <w:t>#</w:t>
            </w:r>
          </w:p>
        </w:tc>
      </w:tr>
      <w:tr w:rsidR="00A01923" w:rsidTr="00A01923">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w:t>
            </w:r>
            <w:r>
              <w:rPr>
                <w:rFonts w:ascii="Times New Roman" w:hAnsi="Times New Roman"/>
                <w:sz w:val="28"/>
                <w:szCs w:val="28"/>
                <w:lang w:val="en-US"/>
              </w:rPr>
              <w:t>IV</w:t>
            </w:r>
            <w:r>
              <w:rPr>
                <w:rFonts w:ascii="Times New Roman" w:hAnsi="Times New Roman"/>
                <w:sz w:val="28"/>
                <w:szCs w:val="28"/>
              </w:rPr>
              <w:t xml:space="preserve"> ст. ішемії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7,81± 0,97*</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6,59± 0,75*</w:t>
            </w:r>
            <w:r>
              <w:rPr>
                <w:rFonts w:ascii="Times New Roman" w:hAnsi="Times New Roman"/>
                <w:sz w:val="28"/>
                <w:szCs w:val="28"/>
                <w:lang w:val="en-US"/>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6,48±1,08*</w:t>
            </w:r>
            <w:r>
              <w:rPr>
                <w:rFonts w:ascii="Times New Roman" w:hAnsi="Times New Roman"/>
                <w:sz w:val="28"/>
                <w:szCs w:val="28"/>
                <w:lang w:val="en-US"/>
              </w:rPr>
              <w:t>#</w:t>
            </w:r>
          </w:p>
        </w:tc>
      </w:tr>
      <w:tr w:rsidR="00A01923" w:rsidTr="00A01923">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lang w:val="en-US"/>
              </w:rPr>
            </w:pPr>
            <w:r>
              <w:rPr>
                <w:rFonts w:ascii="Times New Roman" w:hAnsi="Times New Roman"/>
                <w:sz w:val="28"/>
                <w:szCs w:val="28"/>
              </w:rPr>
              <w:t xml:space="preserve">Хворі з ЦД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8,27± 0,81*</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6,84±  0,69*</w:t>
            </w:r>
            <w:r>
              <w:rPr>
                <w:rFonts w:ascii="Times New Roman" w:hAnsi="Times New Roman"/>
                <w:sz w:val="28"/>
                <w:szCs w:val="28"/>
                <w:lang w:val="en-US"/>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6,69± 0,97*</w:t>
            </w:r>
            <w:r>
              <w:rPr>
                <w:rFonts w:ascii="Times New Roman" w:hAnsi="Times New Roman"/>
                <w:sz w:val="28"/>
                <w:szCs w:val="28"/>
                <w:lang w:val="en-US"/>
              </w:rPr>
              <w:t>#</w:t>
            </w:r>
          </w:p>
        </w:tc>
      </w:tr>
      <w:tr w:rsidR="00A01923" w:rsidTr="00A01923">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lang w:val="en-US"/>
              </w:rPr>
            </w:pPr>
            <w:r>
              <w:rPr>
                <w:rFonts w:ascii="Times New Roman" w:hAnsi="Times New Roman"/>
                <w:sz w:val="28"/>
                <w:szCs w:val="28"/>
              </w:rPr>
              <w:t xml:space="preserve">Хворі без ЦД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7,37± 0,88*</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6,29 ± 0,8*</w:t>
            </w:r>
            <w:r>
              <w:rPr>
                <w:rFonts w:ascii="Times New Roman" w:hAnsi="Times New Roman"/>
                <w:sz w:val="28"/>
                <w:szCs w:val="28"/>
                <w:lang w:val="en-US"/>
              </w:rPr>
              <w:t>#</w:t>
            </w:r>
          </w:p>
        </w:tc>
        <w:tc>
          <w:tcPr>
            <w:tcW w:w="20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6,12 ± 1,13*</w:t>
            </w:r>
            <w:r>
              <w:rPr>
                <w:rFonts w:ascii="Times New Roman" w:hAnsi="Times New Roman"/>
                <w:sz w:val="28"/>
                <w:szCs w:val="28"/>
                <w:lang w:val="en-US"/>
              </w:rPr>
              <w:t>#</w:t>
            </w:r>
          </w:p>
        </w:tc>
      </w:tr>
      <w:tr w:rsidR="00A01923" w:rsidTr="00A01923">
        <w:trPr>
          <w:trHeight w:val="8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rPr>
              <w:t>пг/мл</w:t>
            </w:r>
          </w:p>
        </w:tc>
        <w:tc>
          <w:tcPr>
            <w:tcW w:w="6737" w:type="dxa"/>
            <w:gridSpan w:val="3"/>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3,96± 0,0</w:t>
            </w:r>
            <w:r>
              <w:rPr>
                <w:rFonts w:ascii="Times New Roman" w:hAnsi="Times New Roman"/>
                <w:sz w:val="28"/>
                <w:szCs w:val="28"/>
                <w:lang w:val="uk-UA"/>
              </w:rPr>
              <w:t>3</w:t>
            </w:r>
          </w:p>
        </w:tc>
      </w:tr>
    </w:tbl>
    <w:p w:rsidR="00A01923" w:rsidRDefault="00A01923" w:rsidP="00A01923">
      <w:pPr>
        <w:pStyle w:val="ac"/>
        <w:rPr>
          <w:sz w:val="28"/>
          <w:szCs w:val="28"/>
          <w:lang w:val="uk-UA"/>
        </w:rPr>
      </w:pPr>
      <w:r>
        <w:rPr>
          <w:sz w:val="28"/>
          <w:szCs w:val="28"/>
          <w:lang w:val="uk-UA"/>
        </w:rPr>
        <w:t>Примітка:* - достовірна різниця з контролем</w:t>
      </w:r>
    </w:p>
    <w:p w:rsidR="00A01923" w:rsidRDefault="00A01923" w:rsidP="00A01923">
      <w:pPr>
        <w:pStyle w:val="ac"/>
        <w:rPr>
          <w:sz w:val="28"/>
          <w:szCs w:val="28"/>
          <w:lang w:val="uk-UA"/>
        </w:rPr>
      </w:pPr>
      <w:r>
        <w:rPr>
          <w:sz w:val="28"/>
          <w:szCs w:val="28"/>
        </w:rPr>
        <w:t xml:space="preserve">                 </w:t>
      </w:r>
      <w:r>
        <w:rPr>
          <w:sz w:val="28"/>
          <w:szCs w:val="28"/>
          <w:lang w:val="uk-UA"/>
        </w:rPr>
        <w:t>#</w:t>
      </w:r>
      <w:r>
        <w:rPr>
          <w:sz w:val="28"/>
          <w:szCs w:val="28"/>
          <w:lang w:val="en-US"/>
        </w:rPr>
        <w:t xml:space="preserve"> -</w:t>
      </w:r>
      <w:r>
        <w:rPr>
          <w:sz w:val="28"/>
          <w:szCs w:val="28"/>
          <w:lang w:val="uk-UA"/>
        </w:rPr>
        <w:t xml:space="preserve"> достовірна різниця з вихідними даними</w:t>
      </w:r>
    </w:p>
    <w:p w:rsidR="00A01923" w:rsidRDefault="00A01923" w:rsidP="00A01923">
      <w:pPr>
        <w:pStyle w:val="ac"/>
        <w:spacing w:line="360" w:lineRule="auto"/>
        <w:ind w:firstLine="709"/>
        <w:jc w:val="both"/>
        <w:rPr>
          <w:sz w:val="28"/>
          <w:szCs w:val="28"/>
          <w:lang w:val="uk-UA"/>
        </w:rPr>
      </w:pPr>
      <w:r>
        <w:rPr>
          <w:color w:val="000000"/>
          <w:sz w:val="28"/>
          <w:szCs w:val="28"/>
          <w:lang w:val="uk-UA"/>
        </w:rPr>
        <w:lastRenderedPageBreak/>
        <w:t xml:space="preserve">Як видно з таблиці 4.1, вихідні рівні ЕТ-1 у хворих основної групи, відрізнялися від контрольного рівню та були вищими на 94,8% у хворих з </w:t>
      </w:r>
      <w:r>
        <w:rPr>
          <w:color w:val="000000"/>
          <w:sz w:val="28"/>
          <w:szCs w:val="28"/>
          <w:lang w:val="en-US"/>
        </w:rPr>
        <w:t>III</w:t>
      </w:r>
      <w:r>
        <w:rPr>
          <w:color w:val="000000"/>
          <w:sz w:val="28"/>
          <w:szCs w:val="28"/>
          <w:lang w:val="uk-UA"/>
        </w:rPr>
        <w:t xml:space="preserve"> ступенем ішемії, на 100% у хворих з </w:t>
      </w:r>
      <w:r>
        <w:rPr>
          <w:color w:val="000000"/>
          <w:sz w:val="28"/>
          <w:szCs w:val="28"/>
          <w:lang w:val="en-US"/>
        </w:rPr>
        <w:t>IV</w:t>
      </w:r>
      <w:r>
        <w:rPr>
          <w:color w:val="000000"/>
          <w:sz w:val="28"/>
          <w:szCs w:val="28"/>
          <w:lang w:val="uk-UA"/>
        </w:rPr>
        <w:t xml:space="preserve"> ступенем ішемії, на 112% у хворих з ЦД та на 89,7% у хворих без ЦД. Середні показники ЕТ-1 у плазмі хворих з ІІІ (95% ДІ від</w:t>
      </w:r>
      <w:r>
        <w:rPr>
          <w:sz w:val="28"/>
          <w:szCs w:val="28"/>
          <w:lang w:val="uk-UA"/>
        </w:rPr>
        <w:t xml:space="preserve">  0,671 до 1,878, р</w:t>
      </w:r>
      <w:r>
        <w:rPr>
          <w:sz w:val="28"/>
          <w:szCs w:val="28"/>
          <w:lang w:val="uk-UA"/>
        </w:rPr>
        <w:sym w:font="Symbol" w:char="003D"/>
      </w:r>
      <w:r>
        <w:rPr>
          <w:sz w:val="28"/>
          <w:szCs w:val="28"/>
          <w:lang w:val="uk-UA"/>
        </w:rPr>
        <w:t xml:space="preserve">0,000)  та </w:t>
      </w:r>
      <w:r>
        <w:rPr>
          <w:sz w:val="28"/>
          <w:szCs w:val="28"/>
          <w:lang w:val="en-US"/>
        </w:rPr>
        <w:t>IV</w:t>
      </w:r>
      <w:r>
        <w:rPr>
          <w:sz w:val="28"/>
          <w:szCs w:val="28"/>
          <w:lang w:val="uk-UA"/>
        </w:rPr>
        <w:t xml:space="preserve"> </w:t>
      </w:r>
      <w:r>
        <w:rPr>
          <w:color w:val="000000"/>
          <w:sz w:val="28"/>
          <w:szCs w:val="28"/>
          <w:lang w:val="uk-UA"/>
        </w:rPr>
        <w:t>ступенем</w:t>
      </w:r>
      <w:r>
        <w:rPr>
          <w:sz w:val="28"/>
          <w:szCs w:val="28"/>
          <w:lang w:val="uk-UA"/>
        </w:rPr>
        <w:t xml:space="preserve"> ішемії (95% ДІ від 0,562 до 1,629, р</w:t>
      </w:r>
      <w:r>
        <w:rPr>
          <w:sz w:val="28"/>
          <w:szCs w:val="28"/>
          <w:lang w:val="uk-UA"/>
        </w:rPr>
        <w:sym w:font="Symbol" w:char="003D"/>
      </w:r>
      <w:r>
        <w:rPr>
          <w:sz w:val="28"/>
          <w:szCs w:val="28"/>
          <w:lang w:val="uk-UA"/>
        </w:rPr>
        <w:t>0,000)  через 6 міс. та через 12 міс. (відповідно 95% ДІ від 0,5693 до 2,167, р</w:t>
      </w:r>
      <w:r>
        <w:rPr>
          <w:sz w:val="28"/>
          <w:szCs w:val="28"/>
          <w:lang w:val="uk-UA"/>
        </w:rPr>
        <w:sym w:font="Symbol" w:char="003D"/>
      </w:r>
      <w:r>
        <w:rPr>
          <w:sz w:val="28"/>
          <w:szCs w:val="28"/>
          <w:lang w:val="uk-UA"/>
        </w:rPr>
        <w:t>0,000 та від  0,5458 до 2.114, р</w:t>
      </w:r>
      <w:r>
        <w:rPr>
          <w:sz w:val="28"/>
          <w:szCs w:val="28"/>
          <w:lang w:val="uk-UA"/>
        </w:rPr>
        <w:sym w:font="Symbol" w:char="003D"/>
      </w:r>
      <w:r>
        <w:rPr>
          <w:sz w:val="28"/>
          <w:szCs w:val="28"/>
          <w:lang w:val="uk-UA"/>
        </w:rPr>
        <w:t>0,002) у порівнянні із вихідними даними були вірогідними. У хворих з супутнім ЦД та без ЦД дані через 6 міс. (відповідно 95% ДІ від  0,5409 до 2.451, р</w:t>
      </w:r>
      <w:r>
        <w:rPr>
          <w:sz w:val="28"/>
          <w:szCs w:val="28"/>
          <w:lang w:val="uk-UA"/>
        </w:rPr>
        <w:sym w:font="Symbol" w:char="003D"/>
      </w:r>
      <w:r>
        <w:rPr>
          <w:sz w:val="28"/>
          <w:szCs w:val="28"/>
          <w:lang w:val="uk-UA"/>
        </w:rPr>
        <w:t xml:space="preserve">0,011 та </w:t>
      </w:r>
      <w:r>
        <w:rPr>
          <w:sz w:val="28"/>
          <w:szCs w:val="28"/>
          <w:lang w:val="uk-UA"/>
        </w:rPr>
        <w:sym w:font="Symbol" w:char="002D"/>
      </w:r>
      <w:r>
        <w:rPr>
          <w:sz w:val="28"/>
          <w:szCs w:val="28"/>
          <w:lang w:val="uk-UA"/>
        </w:rPr>
        <w:t xml:space="preserve"> 0,006685 до 2,167, р</w:t>
      </w:r>
      <w:r>
        <w:rPr>
          <w:sz w:val="28"/>
          <w:szCs w:val="28"/>
          <w:lang w:val="uk-UA"/>
        </w:rPr>
        <w:sym w:font="Symbol" w:char="003D"/>
      </w:r>
      <w:r>
        <w:rPr>
          <w:sz w:val="28"/>
          <w:szCs w:val="28"/>
          <w:lang w:val="uk-UA"/>
        </w:rPr>
        <w:t>0,051) та 12 міс. (відповідно 95% ДІ від 0,3439 до 2,4816, р</w:t>
      </w:r>
      <w:r>
        <w:rPr>
          <w:sz w:val="28"/>
          <w:szCs w:val="28"/>
          <w:lang w:val="uk-UA"/>
        </w:rPr>
        <w:sym w:font="Symbol" w:char="003D"/>
      </w:r>
      <w:r>
        <w:rPr>
          <w:sz w:val="28"/>
          <w:szCs w:val="28"/>
          <w:lang w:val="uk-UA"/>
        </w:rPr>
        <w:t>0,018 та 0,07053 до 2.429, р</w:t>
      </w:r>
      <w:r>
        <w:rPr>
          <w:sz w:val="28"/>
          <w:szCs w:val="28"/>
          <w:lang w:val="uk-UA"/>
        </w:rPr>
        <w:sym w:font="Symbol" w:char="003D"/>
      </w:r>
      <w:r>
        <w:rPr>
          <w:sz w:val="28"/>
          <w:szCs w:val="28"/>
          <w:lang w:val="uk-UA"/>
        </w:rPr>
        <w:t xml:space="preserve">0,040) були також вірогідними по відношенню до вихідних даних. Також, на вихідному рівні при визначенні фактору, що впливає на рівень ЕТ-1 плазми крові, можна відмітити на 12% вищі рівні ЕТ-1 у крові хворих з ЦД, у порівнянні з хворими без ЦД. На рівень ЕТ-1 у плазмі крові не впливав ступінь ішемії кінцівок через 6 міс. (95% ДІ від </w:t>
      </w:r>
      <w:r>
        <w:rPr>
          <w:sz w:val="28"/>
          <w:szCs w:val="28"/>
          <w:lang w:val="uk-UA"/>
        </w:rPr>
        <w:sym w:font="Symbol" w:char="002D"/>
      </w:r>
      <w:r>
        <w:rPr>
          <w:sz w:val="28"/>
          <w:szCs w:val="28"/>
          <w:lang w:val="uk-UA"/>
        </w:rPr>
        <w:t xml:space="preserve"> 0,7452 до 0,5012, р</w:t>
      </w:r>
      <w:r>
        <w:rPr>
          <w:sz w:val="28"/>
          <w:szCs w:val="28"/>
          <w:lang w:val="uk-UA"/>
        </w:rPr>
        <w:sym w:font="Symbol" w:char="003D"/>
      </w:r>
      <w:r>
        <w:rPr>
          <w:sz w:val="28"/>
          <w:szCs w:val="28"/>
          <w:lang w:val="uk-UA"/>
        </w:rPr>
        <w:t xml:space="preserve">0,697) та через 12 міс. (95% ДІ від </w:t>
      </w:r>
      <w:r>
        <w:rPr>
          <w:sz w:val="28"/>
          <w:szCs w:val="28"/>
          <w:lang w:val="uk-UA"/>
        </w:rPr>
        <w:sym w:font="Symbol" w:char="002D"/>
      </w:r>
      <w:r>
        <w:rPr>
          <w:sz w:val="28"/>
          <w:szCs w:val="28"/>
          <w:lang w:val="uk-UA"/>
        </w:rPr>
        <w:t xml:space="preserve"> 1,079 до 0,4985, р</w:t>
      </w:r>
      <w:r>
        <w:rPr>
          <w:sz w:val="28"/>
          <w:szCs w:val="28"/>
          <w:lang w:val="uk-UA"/>
        </w:rPr>
        <w:sym w:font="Symbol" w:char="003D"/>
      </w:r>
      <w:r>
        <w:rPr>
          <w:sz w:val="28"/>
          <w:szCs w:val="28"/>
          <w:lang w:val="uk-UA"/>
        </w:rPr>
        <w:t>0,457) спостереження. Це вказує на суттєвий вплив ЦД на рівень цього показника, а отже, й на вазомоторну функцію ендотелію.</w:t>
      </w:r>
    </w:p>
    <w:p w:rsidR="00A01923" w:rsidRDefault="00A01923" w:rsidP="00A01923">
      <w:pPr>
        <w:pStyle w:val="ac"/>
        <w:spacing w:line="360" w:lineRule="auto"/>
        <w:ind w:firstLine="709"/>
        <w:jc w:val="both"/>
        <w:rPr>
          <w:sz w:val="28"/>
          <w:szCs w:val="28"/>
          <w:lang w:val="uk-UA"/>
        </w:rPr>
      </w:pPr>
      <w:r>
        <w:rPr>
          <w:sz w:val="28"/>
          <w:szCs w:val="28"/>
          <w:lang w:val="uk-UA"/>
        </w:rPr>
        <w:t xml:space="preserve">Дослідження динаміки зміни значення рівню ЕТ-1 у плазмі хворих на ХКІНК показали, що у хворих з </w:t>
      </w:r>
      <w:r>
        <w:rPr>
          <w:sz w:val="28"/>
          <w:szCs w:val="28"/>
          <w:lang w:val="en-US"/>
        </w:rPr>
        <w:t>III</w:t>
      </w:r>
      <w:r>
        <w:rPr>
          <w:sz w:val="28"/>
          <w:szCs w:val="28"/>
          <w:lang w:val="uk-UA"/>
        </w:rPr>
        <w:t xml:space="preserve"> ступенем ішемії у строк 6 міс. на 14,4% , а у 12 міс. на 15,7% нижчим був рівень ЕТ-1 у порівнянні з вихідним рівнем. У хворих з </w:t>
      </w:r>
      <w:r>
        <w:rPr>
          <w:sz w:val="28"/>
          <w:szCs w:val="28"/>
          <w:lang w:val="en-US"/>
        </w:rPr>
        <w:t>IV</w:t>
      </w:r>
      <w:r>
        <w:rPr>
          <w:sz w:val="28"/>
          <w:szCs w:val="28"/>
          <w:lang w:val="uk-UA"/>
        </w:rPr>
        <w:t xml:space="preserve"> ступенем ішемії через 6 та 12 міс. відмічалося зниження </w:t>
      </w:r>
      <w:r>
        <w:rPr>
          <w:color w:val="000000"/>
          <w:sz w:val="28"/>
          <w:szCs w:val="28"/>
          <w:lang w:val="uk-UA"/>
        </w:rPr>
        <w:t>рівню ЕТ-1 на 15,3% та на 16,6% відповідно у порівнянні з вихідним рівнем. Тоді як, у хворих з ЦД ця різниця склала 18% та 19,2% відповідно на 6 та 12 міс., а</w:t>
      </w:r>
      <w:r>
        <w:rPr>
          <w:sz w:val="28"/>
          <w:szCs w:val="28"/>
          <w:lang w:val="uk-UA"/>
        </w:rPr>
        <w:t xml:space="preserve"> у хворих без ЦД – 14,8% та 17,5% (р</w:t>
      </w:r>
      <w:r>
        <w:rPr>
          <w:sz w:val="28"/>
          <w:szCs w:val="28"/>
          <w:lang w:val="uk-UA"/>
        </w:rPr>
        <w:sym w:font="Symbol" w:char="003C"/>
      </w:r>
      <w:r>
        <w:rPr>
          <w:sz w:val="28"/>
          <w:szCs w:val="28"/>
          <w:lang w:val="uk-UA"/>
        </w:rPr>
        <w:t>0,05). Ці дані вказують на найбільш суттєве зниження рівню ЕТ-1 у плазмі крові хворих з  ХКІНК у поєднанні з ЦД.</w:t>
      </w:r>
    </w:p>
    <w:p w:rsidR="00A01923" w:rsidRDefault="00A01923" w:rsidP="00A01923">
      <w:pPr>
        <w:pStyle w:val="ac"/>
        <w:spacing w:line="360" w:lineRule="auto"/>
        <w:ind w:firstLine="709"/>
        <w:jc w:val="both"/>
        <w:rPr>
          <w:sz w:val="28"/>
          <w:szCs w:val="28"/>
          <w:lang w:val="uk-UA"/>
        </w:rPr>
      </w:pPr>
      <w:r>
        <w:rPr>
          <w:sz w:val="28"/>
          <w:szCs w:val="28"/>
          <w:lang w:val="uk-UA"/>
        </w:rPr>
        <w:t xml:space="preserve">Динаміку зміни показника ЕТ-1 у крові пацієнтів основної групи представлено на рис. 4.1. У всіх підгрупах спостерігалось зниження </w:t>
      </w:r>
      <w:r>
        <w:rPr>
          <w:sz w:val="28"/>
          <w:szCs w:val="28"/>
          <w:lang w:val="uk-UA"/>
        </w:rPr>
        <w:lastRenderedPageBreak/>
        <w:t>середнього рівня ЕТ-1 протягом року спостереження, що свідчить про покращення вазомоторної функціїї ендотелію під впливом лікування, проте рівень показника, що вивчався, залишався підвищеним у порівнянні з контролем на 61,3% (р</w:t>
      </w:r>
      <w:r>
        <w:rPr>
          <w:sz w:val="28"/>
          <w:szCs w:val="28"/>
        </w:rPr>
        <w:sym w:font="Symbol" w:char="003C"/>
      </w:r>
      <w:r>
        <w:rPr>
          <w:sz w:val="28"/>
          <w:szCs w:val="28"/>
          <w:lang w:val="uk-UA"/>
        </w:rPr>
        <w:t>0,001), що свідчить про прогресування основного захворювання.</w:t>
      </w:r>
    </w:p>
    <w:p w:rsidR="00A01923" w:rsidRDefault="00487043" w:rsidP="00A01923">
      <w:pPr>
        <w:pStyle w:val="ac"/>
        <w:spacing w:line="360" w:lineRule="auto"/>
        <w:ind w:left="-567" w:firstLine="567"/>
        <w:jc w:val="both"/>
        <w:rPr>
          <w:sz w:val="28"/>
          <w:szCs w:val="28"/>
          <w:lang w:val="uk-UA"/>
        </w:rPr>
      </w:pPr>
      <w:r w:rsidRPr="00487043">
        <w:pict>
          <v:shape id="_x0000_s2147" type="#_x0000_t202" style="position:absolute;left:0;text-align:left;margin-left:-26.05pt;margin-top:308.65pt;width:476.25pt;height:22.95pt;z-index:251651584;mso-height-percent:200;mso-height-percent:200;mso-width-relative:margin;mso-height-relative:margin" stroked="f">
            <v:textbox style="mso-fit-shape-to-text:t">
              <w:txbxContent>
                <w:p w:rsidR="00DA0A21" w:rsidRDefault="00DA0A21" w:rsidP="00A01923">
                  <w:pPr>
                    <w:pStyle w:val="ac"/>
                    <w:jc w:val="center"/>
                    <w:rPr>
                      <w:sz w:val="28"/>
                      <w:szCs w:val="28"/>
                      <w:lang w:val="uk-UA"/>
                    </w:rPr>
                  </w:pPr>
                  <w:r>
                    <w:rPr>
                      <w:sz w:val="28"/>
                      <w:szCs w:val="28"/>
                      <w:lang w:val="uk-UA"/>
                    </w:rPr>
                    <w:t>Рис. 4.1 Динаміка показників ЕТ-1 у підгрупах основної групи</w:t>
                  </w:r>
                </w:p>
              </w:txbxContent>
            </v:textbox>
          </v:shape>
        </w:pict>
      </w:r>
      <w:r w:rsidRPr="00487043">
        <w:pict>
          <v:shape id="_x0000_s2148" type="#_x0000_t202" style="position:absolute;left:0;text-align:left;margin-left:-26.05pt;margin-top:6.45pt;width:460.65pt;height:300.45pt;z-index:251652608;mso-wrap-style:none" stroked="f">
            <v:textbox style="mso-fit-shape-to-text:t">
              <w:txbxContent>
                <w:p w:rsidR="00DA0A21" w:rsidRDefault="00DA0A21" w:rsidP="00A01923">
                  <w:r>
                    <w:rPr>
                      <w:rFonts w:ascii="Calibri" w:eastAsia="Times New Roman" w:hAnsi="Calibri" w:cs="Times New Roman"/>
                      <w:noProof/>
                    </w:rPr>
                    <w:drawing>
                      <wp:inline distT="0" distB="0" distL="0" distR="0">
                        <wp:extent cx="5664835" cy="3574415"/>
                        <wp:effectExtent l="0" t="0" r="0" b="0"/>
                        <wp:docPr id="68" name="Объект 6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txbxContent>
            </v:textbox>
          </v:shape>
        </w:pict>
      </w: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Показники середнього значення васкулоендотеліального фактору росту </w:t>
      </w:r>
      <w:r>
        <w:rPr>
          <w:rFonts w:ascii="Times New Roman" w:hAnsi="Times New Roman"/>
          <w:sz w:val="28"/>
          <w:szCs w:val="28"/>
          <w:lang w:val="en-US"/>
        </w:rPr>
        <w:t>VEGF</w:t>
      </w:r>
      <w:r>
        <w:rPr>
          <w:rFonts w:ascii="Times New Roman" w:hAnsi="Times New Roman"/>
          <w:sz w:val="28"/>
          <w:szCs w:val="28"/>
        </w:rPr>
        <w:t xml:space="preserve"> у основній групі </w:t>
      </w:r>
      <w:r>
        <w:rPr>
          <w:rFonts w:ascii="Times New Roman" w:hAnsi="Times New Roman"/>
          <w:sz w:val="28"/>
          <w:szCs w:val="28"/>
          <w:lang w:val="uk-UA"/>
        </w:rPr>
        <w:t xml:space="preserve">наведені у таблиці </w:t>
      </w:r>
      <w:r>
        <w:rPr>
          <w:rFonts w:ascii="Times New Roman" w:hAnsi="Times New Roman"/>
          <w:sz w:val="28"/>
          <w:szCs w:val="28"/>
        </w:rPr>
        <w:t>4.2</w:t>
      </w:r>
      <w:r>
        <w:rPr>
          <w:rFonts w:ascii="Times New Roman" w:hAnsi="Times New Roman"/>
          <w:sz w:val="28"/>
          <w:szCs w:val="28"/>
          <w:lang w:val="uk-UA"/>
        </w:rPr>
        <w:t xml:space="preserve">. При визначенні достовірності різниці рівню </w:t>
      </w:r>
      <w:r>
        <w:rPr>
          <w:rFonts w:ascii="Times New Roman" w:hAnsi="Times New Roman"/>
          <w:sz w:val="28"/>
          <w:szCs w:val="28"/>
          <w:lang w:val="en-US"/>
        </w:rPr>
        <w:t>VEGF</w:t>
      </w:r>
      <w:r>
        <w:rPr>
          <w:rFonts w:ascii="Times New Roman" w:hAnsi="Times New Roman"/>
          <w:sz w:val="28"/>
          <w:szCs w:val="28"/>
          <w:lang w:val="uk-UA"/>
        </w:rPr>
        <w:t xml:space="preserve"> у плазмі крові у підгрупах, виявилося, що в усіх підгрупах є достовірна різниця з показником контролю, незалежно від часу отримання плазми крові для дослідження (р</w:t>
      </w:r>
      <w:r>
        <w:rPr>
          <w:rFonts w:ascii="Times New Roman" w:hAnsi="Times New Roman"/>
          <w:sz w:val="28"/>
          <w:szCs w:val="28"/>
          <w:lang w:val="uk-UA"/>
        </w:rPr>
        <w:sym w:font="Symbol" w:char="003C"/>
      </w:r>
      <w:r>
        <w:rPr>
          <w:rFonts w:ascii="Times New Roman" w:hAnsi="Times New Roman"/>
          <w:sz w:val="28"/>
          <w:szCs w:val="28"/>
          <w:lang w:val="uk-UA"/>
        </w:rPr>
        <w:t>0,05).</w:t>
      </w:r>
    </w:p>
    <w:p w:rsidR="00A01923" w:rsidRDefault="00A01923" w:rsidP="00A019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Середні показники </w:t>
      </w:r>
      <w:r>
        <w:rPr>
          <w:rFonts w:ascii="Times New Roman" w:hAnsi="Times New Roman"/>
          <w:sz w:val="28"/>
          <w:szCs w:val="28"/>
          <w:lang w:val="en-US"/>
        </w:rPr>
        <w:t>VEGF</w:t>
      </w:r>
      <w:r>
        <w:rPr>
          <w:rFonts w:ascii="Times New Roman" w:hAnsi="Times New Roman"/>
          <w:sz w:val="28"/>
          <w:szCs w:val="28"/>
          <w:lang w:val="uk-UA"/>
        </w:rPr>
        <w:t xml:space="preserve"> у плазмі хворих з ІІІ ступенем ішемії (95% ДІ від  </w:t>
      </w:r>
      <w:r>
        <w:rPr>
          <w:rFonts w:ascii="Times New Roman" w:hAnsi="Times New Roman"/>
          <w:sz w:val="28"/>
          <w:szCs w:val="28"/>
          <w:lang w:val="uk-UA"/>
        </w:rPr>
        <w:sym w:font="Symbol" w:char="002D"/>
      </w:r>
      <w:r>
        <w:rPr>
          <w:rFonts w:ascii="Times New Roman" w:hAnsi="Times New Roman"/>
          <w:sz w:val="28"/>
          <w:szCs w:val="28"/>
          <w:lang w:val="uk-UA"/>
        </w:rPr>
        <w:t xml:space="preserve"> 86.99 до 45.79, р</w:t>
      </w:r>
      <w:r>
        <w:rPr>
          <w:rFonts w:ascii="Times New Roman" w:hAnsi="Times New Roman"/>
          <w:sz w:val="28"/>
          <w:szCs w:val="28"/>
          <w:lang w:val="uk-UA"/>
        </w:rPr>
        <w:sym w:font="Symbol" w:char="003D"/>
      </w:r>
      <w:r>
        <w:rPr>
          <w:rFonts w:ascii="Times New Roman" w:hAnsi="Times New Roman"/>
          <w:sz w:val="28"/>
          <w:szCs w:val="28"/>
          <w:lang w:val="uk-UA"/>
        </w:rPr>
        <w:t xml:space="preserve">0,52) через  6 міс. та через 12 міс. (95% ДІ від  </w:t>
      </w:r>
      <w:r>
        <w:rPr>
          <w:rFonts w:ascii="Times New Roman" w:hAnsi="Times New Roman"/>
          <w:sz w:val="28"/>
          <w:szCs w:val="28"/>
          <w:lang w:val="uk-UA"/>
        </w:rPr>
        <w:sym w:font="Symbol" w:char="002D"/>
      </w:r>
      <w:r>
        <w:rPr>
          <w:rFonts w:ascii="Times New Roman" w:hAnsi="Times New Roman"/>
          <w:sz w:val="28"/>
          <w:szCs w:val="28"/>
          <w:lang w:val="uk-UA"/>
        </w:rPr>
        <w:t xml:space="preserve"> 41.01 до 87.01, р</w:t>
      </w:r>
      <w:r>
        <w:rPr>
          <w:rFonts w:ascii="Times New Roman" w:hAnsi="Times New Roman"/>
          <w:sz w:val="28"/>
          <w:szCs w:val="28"/>
          <w:lang w:val="uk-UA"/>
        </w:rPr>
        <w:sym w:font="Symbol" w:char="003D"/>
      </w:r>
      <w:r>
        <w:rPr>
          <w:rFonts w:ascii="Times New Roman" w:hAnsi="Times New Roman"/>
          <w:sz w:val="28"/>
          <w:szCs w:val="28"/>
          <w:lang w:val="uk-UA"/>
        </w:rPr>
        <w:t xml:space="preserve">0,536) були невірогідними, а у хворих з </w:t>
      </w:r>
      <w:r>
        <w:rPr>
          <w:rFonts w:ascii="Times New Roman" w:hAnsi="Times New Roman"/>
          <w:sz w:val="28"/>
          <w:szCs w:val="28"/>
          <w:lang w:val="en-US"/>
        </w:rPr>
        <w:t>IV</w:t>
      </w:r>
      <w:r>
        <w:rPr>
          <w:rFonts w:ascii="Times New Roman" w:hAnsi="Times New Roman"/>
          <w:sz w:val="28"/>
          <w:szCs w:val="28"/>
          <w:lang w:val="uk-UA"/>
        </w:rPr>
        <w:t xml:space="preserve"> ступенем ішемії в ці </w:t>
      </w:r>
      <w:r>
        <w:rPr>
          <w:rFonts w:ascii="Times New Roman" w:hAnsi="Times New Roman"/>
          <w:sz w:val="28"/>
          <w:szCs w:val="28"/>
          <w:lang w:val="uk-UA"/>
        </w:rPr>
        <w:lastRenderedPageBreak/>
        <w:t xml:space="preserve">строки дослідження – вірогідними (відповідно, 95% ДІ від  </w:t>
      </w:r>
      <w:r>
        <w:rPr>
          <w:rFonts w:ascii="Times New Roman" w:hAnsi="Times New Roman"/>
          <w:sz w:val="28"/>
          <w:szCs w:val="28"/>
          <w:lang w:val="uk-UA"/>
        </w:rPr>
        <w:sym w:font="Symbol" w:char="002D"/>
      </w:r>
      <w:r>
        <w:rPr>
          <w:rFonts w:ascii="Times New Roman" w:hAnsi="Times New Roman"/>
          <w:sz w:val="28"/>
          <w:szCs w:val="28"/>
          <w:lang w:val="uk-UA"/>
        </w:rPr>
        <w:t xml:space="preserve"> 109.6 до </w:t>
      </w:r>
      <w:r>
        <w:rPr>
          <w:rFonts w:ascii="Times New Roman" w:hAnsi="Times New Roman"/>
          <w:sz w:val="28"/>
          <w:szCs w:val="28"/>
          <w:lang w:val="uk-UA"/>
        </w:rPr>
        <w:sym w:font="Symbol" w:char="002D"/>
      </w:r>
      <w:r>
        <w:rPr>
          <w:rFonts w:ascii="Times New Roman" w:hAnsi="Times New Roman"/>
          <w:sz w:val="28"/>
          <w:szCs w:val="28"/>
          <w:lang w:val="uk-UA"/>
        </w:rPr>
        <w:t xml:space="preserve"> 27.77, р</w:t>
      </w:r>
      <w:r>
        <w:rPr>
          <w:rFonts w:ascii="Times New Roman" w:hAnsi="Times New Roman"/>
          <w:sz w:val="28"/>
          <w:szCs w:val="28"/>
          <w:lang w:val="uk-UA"/>
        </w:rPr>
        <w:sym w:font="Symbol" w:char="003D"/>
      </w:r>
      <w:r>
        <w:rPr>
          <w:rFonts w:ascii="Times New Roman" w:hAnsi="Times New Roman"/>
          <w:sz w:val="28"/>
          <w:szCs w:val="28"/>
          <w:lang w:val="uk-UA"/>
        </w:rPr>
        <w:t xml:space="preserve">0,002 та від </w:t>
      </w:r>
      <w:r>
        <w:rPr>
          <w:rFonts w:ascii="Times New Roman" w:hAnsi="Times New Roman"/>
          <w:sz w:val="28"/>
          <w:szCs w:val="28"/>
          <w:lang w:val="uk-UA"/>
        </w:rPr>
        <w:sym w:font="Symbol" w:char="002D"/>
      </w:r>
      <w:r>
        <w:rPr>
          <w:rFonts w:ascii="Times New Roman" w:hAnsi="Times New Roman"/>
          <w:sz w:val="28"/>
          <w:szCs w:val="28"/>
          <w:lang w:val="uk-UA"/>
        </w:rPr>
        <w:t xml:space="preserve"> 157 до </w:t>
      </w:r>
      <w:r>
        <w:rPr>
          <w:rFonts w:ascii="Times New Roman" w:hAnsi="Times New Roman"/>
          <w:sz w:val="28"/>
          <w:szCs w:val="28"/>
          <w:lang w:val="uk-UA"/>
        </w:rPr>
        <w:sym w:font="Symbol" w:char="002D"/>
      </w:r>
      <w:r>
        <w:rPr>
          <w:rFonts w:ascii="Times New Roman" w:hAnsi="Times New Roman"/>
          <w:sz w:val="28"/>
          <w:szCs w:val="28"/>
          <w:lang w:val="uk-UA"/>
        </w:rPr>
        <w:t xml:space="preserve"> 84.64, р</w:t>
      </w:r>
      <w:r>
        <w:rPr>
          <w:rFonts w:ascii="Times New Roman" w:hAnsi="Times New Roman"/>
          <w:sz w:val="28"/>
          <w:szCs w:val="28"/>
          <w:lang w:val="uk-UA"/>
        </w:rPr>
        <w:sym w:font="Symbol" w:char="003D"/>
      </w:r>
      <w:r>
        <w:rPr>
          <w:rFonts w:ascii="Times New Roman" w:hAnsi="Times New Roman"/>
          <w:sz w:val="28"/>
          <w:szCs w:val="28"/>
          <w:lang w:val="uk-UA"/>
        </w:rPr>
        <w:t xml:space="preserve">0,000) у порівнянні із вихідними даними. </w:t>
      </w:r>
    </w:p>
    <w:p w:rsidR="00A01923" w:rsidRDefault="00A01923" w:rsidP="00A01923">
      <w:pPr>
        <w:spacing w:after="0" w:line="360" w:lineRule="auto"/>
        <w:ind w:firstLine="567"/>
        <w:jc w:val="right"/>
        <w:rPr>
          <w:rFonts w:ascii="Times New Roman" w:hAnsi="Times New Roman"/>
          <w:i/>
          <w:sz w:val="28"/>
          <w:szCs w:val="28"/>
        </w:rPr>
      </w:pPr>
      <w:r>
        <w:rPr>
          <w:rFonts w:ascii="Times New Roman" w:hAnsi="Times New Roman"/>
          <w:i/>
          <w:sz w:val="28"/>
          <w:szCs w:val="28"/>
        </w:rPr>
        <w:t>Таблиця 4.2</w:t>
      </w:r>
    </w:p>
    <w:p w:rsidR="00A01923" w:rsidRDefault="00A01923" w:rsidP="00A01923">
      <w:pPr>
        <w:spacing w:after="0" w:line="360" w:lineRule="auto"/>
        <w:ind w:firstLine="142"/>
        <w:jc w:val="center"/>
        <w:rPr>
          <w:rFonts w:ascii="Times New Roman" w:hAnsi="Times New Roman"/>
          <w:b/>
          <w:sz w:val="28"/>
          <w:szCs w:val="28"/>
        </w:rPr>
      </w:pPr>
      <w:r>
        <w:rPr>
          <w:rFonts w:ascii="Times New Roman" w:hAnsi="Times New Roman"/>
          <w:b/>
          <w:sz w:val="28"/>
          <w:szCs w:val="28"/>
        </w:rPr>
        <w:t xml:space="preserve">Середні значення рівню </w:t>
      </w:r>
      <w:r>
        <w:rPr>
          <w:rFonts w:ascii="Times New Roman" w:hAnsi="Times New Roman"/>
          <w:b/>
          <w:sz w:val="28"/>
          <w:szCs w:val="28"/>
          <w:lang w:val="en-US"/>
        </w:rPr>
        <w:t>VEGF</w:t>
      </w:r>
      <w:r>
        <w:rPr>
          <w:rFonts w:ascii="Times New Roman" w:hAnsi="Times New Roman"/>
          <w:b/>
          <w:sz w:val="28"/>
          <w:szCs w:val="28"/>
        </w:rPr>
        <w:t xml:space="preserve"> у </w:t>
      </w:r>
      <w:r>
        <w:rPr>
          <w:rFonts w:ascii="Times New Roman" w:hAnsi="Times New Roman"/>
          <w:b/>
          <w:sz w:val="28"/>
          <w:szCs w:val="28"/>
          <w:lang w:val="uk-UA"/>
        </w:rPr>
        <w:t>досліджуваних хворих</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2551"/>
        <w:gridCol w:w="2268"/>
        <w:gridCol w:w="1985"/>
      </w:tblGrid>
      <w:tr w:rsidR="00A01923" w:rsidTr="00A01923">
        <w:trPr>
          <w:trHeight w:val="1154"/>
        </w:trPr>
        <w:tc>
          <w:tcPr>
            <w:tcW w:w="2836" w:type="dxa"/>
            <w:tcBorders>
              <w:top w:val="single" w:sz="4" w:space="0" w:color="000000"/>
              <w:left w:val="single" w:sz="4" w:space="0" w:color="000000"/>
              <w:bottom w:val="single" w:sz="4" w:space="0" w:color="000000"/>
              <w:right w:val="single" w:sz="4" w:space="0" w:color="000000"/>
            </w:tcBorders>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 xml:space="preserve">     Час визначення</w:t>
            </w:r>
          </w:p>
          <w:p w:rsidR="00A01923" w:rsidRDefault="00A01923">
            <w:pPr>
              <w:spacing w:after="0" w:line="360" w:lineRule="auto"/>
              <w:rPr>
                <w:rFonts w:ascii="Times New Roman" w:hAnsi="Times New Roman"/>
                <w:sz w:val="28"/>
                <w:szCs w:val="28"/>
              </w:rPr>
            </w:pPr>
          </w:p>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Підгрупи</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Вихідні дані</w:t>
            </w:r>
          </w:p>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За 6 місяців</w:t>
            </w:r>
          </w:p>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rPr>
              <w:t>За 12 місяців</w:t>
            </w:r>
          </w:p>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r>
      <w:tr w:rsidR="00A01923" w:rsidTr="00A01923">
        <w:trPr>
          <w:trHeight w:val="1009"/>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Загальногруповий показник</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290,2±64,55*</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337,6±56,02*</w:t>
            </w:r>
            <w:r>
              <w:rPr>
                <w:sz w:val="28"/>
                <w:szCs w:val="28"/>
                <w:lang w:val="uk-UA"/>
              </w:rPr>
              <w:t>#</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295,7±47,47*</w:t>
            </w:r>
          </w:p>
        </w:tc>
      </w:tr>
      <w:tr w:rsidR="00A01923" w:rsidTr="00A01923">
        <w:trPr>
          <w:trHeight w:val="4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ІІІ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350,7± 72,76*</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371,3±59,43*</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330,7±60,81*</w:t>
            </w:r>
          </w:p>
        </w:tc>
      </w:tr>
      <w:tr w:rsidR="00A01923" w:rsidTr="00A01923">
        <w:trPr>
          <w:trHeight w:val="43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w:t>
            </w:r>
            <w:r>
              <w:rPr>
                <w:rFonts w:ascii="Times New Roman" w:hAnsi="Times New Roman"/>
                <w:sz w:val="28"/>
                <w:szCs w:val="28"/>
                <w:lang w:val="en-US"/>
              </w:rPr>
              <w:t>IV</w:t>
            </w:r>
            <w:r>
              <w:rPr>
                <w:rFonts w:ascii="Times New Roman" w:hAnsi="Times New Roman"/>
                <w:sz w:val="28"/>
                <w:szCs w:val="28"/>
              </w:rPr>
              <w:t xml:space="preserve">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258,4 ±27,13*</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327,1±45,35*</w:t>
            </w:r>
            <w:r>
              <w:rPr>
                <w:sz w:val="28"/>
                <w:szCs w:val="28"/>
                <w:lang w:val="uk-UA"/>
              </w:rPr>
              <w:t>#</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279,2±18,92*</w:t>
            </w:r>
            <w:r>
              <w:rPr>
                <w:sz w:val="28"/>
                <w:szCs w:val="28"/>
                <w:lang w:val="uk-UA"/>
              </w:rPr>
              <w:t>#</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266,8±31,95*</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335,8±50,69*</w:t>
            </w:r>
            <w:r>
              <w:rPr>
                <w:sz w:val="28"/>
                <w:szCs w:val="28"/>
                <w:lang w:val="uk-UA"/>
              </w:rPr>
              <w:t>#</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298,6±20,48*</w:t>
            </w:r>
            <w:r>
              <w:rPr>
                <w:sz w:val="28"/>
                <w:szCs w:val="28"/>
                <w:lang w:val="uk-UA"/>
              </w:rPr>
              <w:t>#</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без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306,8 ±76</w:t>
            </w:r>
            <w:r>
              <w:rPr>
                <w:rFonts w:ascii="Times New Roman" w:hAnsi="Times New Roman"/>
                <w:sz w:val="28"/>
                <w:szCs w:val="28"/>
                <w:lang w:val="uk-UA"/>
              </w:rPr>
              <w:t>,</w:t>
            </w:r>
            <w:r>
              <w:rPr>
                <w:rFonts w:ascii="Times New Roman" w:hAnsi="Times New Roman"/>
                <w:sz w:val="28"/>
                <w:szCs w:val="28"/>
              </w:rPr>
              <w:t>74*</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345,3± 61,52*</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301,2±51,32*</w:t>
            </w:r>
          </w:p>
        </w:tc>
      </w:tr>
      <w:tr w:rsidR="00A01923" w:rsidTr="00A01923">
        <w:trPr>
          <w:trHeight w:val="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rPr>
              <w:t>пг/мл</w:t>
            </w:r>
          </w:p>
        </w:tc>
        <w:tc>
          <w:tcPr>
            <w:tcW w:w="6804" w:type="dxa"/>
            <w:gridSpan w:val="3"/>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59±12,58</w:t>
            </w:r>
          </w:p>
        </w:tc>
      </w:tr>
    </w:tbl>
    <w:p w:rsidR="00A01923" w:rsidRDefault="00A01923" w:rsidP="00A01923">
      <w:pPr>
        <w:pStyle w:val="ac"/>
        <w:rPr>
          <w:sz w:val="28"/>
          <w:szCs w:val="28"/>
          <w:lang w:val="uk-UA"/>
        </w:rPr>
      </w:pPr>
      <w:r>
        <w:rPr>
          <w:sz w:val="28"/>
          <w:szCs w:val="28"/>
          <w:lang w:val="uk-UA"/>
        </w:rPr>
        <w:t>Примітка:* - достовірна різниця з контролем</w:t>
      </w:r>
    </w:p>
    <w:p w:rsidR="00A01923" w:rsidRDefault="00A01923" w:rsidP="00A01923">
      <w:pPr>
        <w:pStyle w:val="ac"/>
        <w:rPr>
          <w:sz w:val="28"/>
          <w:szCs w:val="28"/>
          <w:lang w:val="uk-UA"/>
        </w:rPr>
      </w:pPr>
      <w:r>
        <w:rPr>
          <w:sz w:val="28"/>
          <w:szCs w:val="28"/>
        </w:rPr>
        <w:t xml:space="preserve">                 </w:t>
      </w:r>
      <w:r>
        <w:rPr>
          <w:sz w:val="28"/>
          <w:szCs w:val="28"/>
          <w:lang w:val="uk-UA"/>
        </w:rPr>
        <w:t>#</w:t>
      </w:r>
      <w:r>
        <w:rPr>
          <w:sz w:val="28"/>
          <w:szCs w:val="28"/>
          <w:lang w:val="en-US"/>
        </w:rPr>
        <w:t xml:space="preserve"> -</w:t>
      </w:r>
      <w:r>
        <w:rPr>
          <w:sz w:val="28"/>
          <w:szCs w:val="28"/>
          <w:lang w:val="uk-UA"/>
        </w:rPr>
        <w:t xml:space="preserve"> достовірна різниця з вихідними даними</w:t>
      </w:r>
    </w:p>
    <w:p w:rsidR="00A01923" w:rsidRDefault="00A01923" w:rsidP="00A01923">
      <w:pPr>
        <w:pStyle w:val="ac"/>
        <w:spacing w:line="360" w:lineRule="auto"/>
        <w:ind w:left="-567" w:firstLine="567"/>
        <w:jc w:val="both"/>
        <w:rPr>
          <w:sz w:val="28"/>
          <w:szCs w:val="28"/>
          <w:lang w:val="uk-UA"/>
        </w:rPr>
      </w:pPr>
    </w:p>
    <w:p w:rsidR="00A01923" w:rsidRDefault="00A01923" w:rsidP="00A01923">
      <w:pPr>
        <w:spacing w:after="0" w:line="360" w:lineRule="auto"/>
        <w:ind w:firstLine="709"/>
        <w:jc w:val="both"/>
        <w:rPr>
          <w:color w:val="000000"/>
          <w:sz w:val="28"/>
          <w:szCs w:val="28"/>
          <w:lang w:val="uk-UA"/>
        </w:rPr>
      </w:pPr>
      <w:r>
        <w:rPr>
          <w:rFonts w:ascii="Times New Roman" w:hAnsi="Times New Roman"/>
          <w:sz w:val="28"/>
          <w:szCs w:val="28"/>
          <w:lang w:val="uk-UA"/>
        </w:rPr>
        <w:t xml:space="preserve">Через 6 міс у хворих з супутнім ЦД (95% ДІ від  </w:t>
      </w:r>
      <w:r>
        <w:rPr>
          <w:rFonts w:ascii="Times New Roman" w:hAnsi="Times New Roman"/>
          <w:sz w:val="28"/>
          <w:szCs w:val="28"/>
          <w:lang w:val="uk-UA"/>
        </w:rPr>
        <w:sym w:font="Symbol" w:char="002D"/>
      </w:r>
      <w:r>
        <w:rPr>
          <w:rFonts w:ascii="Times New Roman" w:hAnsi="Times New Roman"/>
          <w:sz w:val="28"/>
          <w:szCs w:val="28"/>
          <w:lang w:val="uk-UA"/>
        </w:rPr>
        <w:t xml:space="preserve">104,9 до </w:t>
      </w:r>
      <w:r>
        <w:rPr>
          <w:rFonts w:ascii="Times New Roman" w:hAnsi="Times New Roman"/>
          <w:sz w:val="28"/>
          <w:szCs w:val="28"/>
          <w:lang w:val="uk-UA"/>
        </w:rPr>
        <w:sym w:font="Symbol" w:char="002D"/>
      </w:r>
      <w:r>
        <w:rPr>
          <w:rFonts w:ascii="Times New Roman" w:hAnsi="Times New Roman"/>
          <w:sz w:val="28"/>
          <w:szCs w:val="28"/>
          <w:lang w:val="uk-UA"/>
        </w:rPr>
        <w:t>33,13, р</w:t>
      </w:r>
      <w:r>
        <w:rPr>
          <w:rFonts w:ascii="Times New Roman" w:hAnsi="Times New Roman"/>
          <w:sz w:val="28"/>
          <w:szCs w:val="28"/>
          <w:lang w:val="uk-UA"/>
        </w:rPr>
        <w:sym w:font="Symbol" w:char="003D"/>
      </w:r>
      <w:r>
        <w:rPr>
          <w:rFonts w:ascii="Times New Roman" w:hAnsi="Times New Roman"/>
          <w:sz w:val="28"/>
          <w:szCs w:val="28"/>
          <w:lang w:val="uk-UA"/>
        </w:rPr>
        <w:t xml:space="preserve">0,000) середній рівень </w:t>
      </w:r>
      <w:r>
        <w:rPr>
          <w:rFonts w:ascii="Times New Roman" w:hAnsi="Times New Roman"/>
          <w:sz w:val="28"/>
          <w:szCs w:val="28"/>
          <w:lang w:val="en-US"/>
        </w:rPr>
        <w:t>VEGF</w:t>
      </w:r>
      <w:r>
        <w:rPr>
          <w:rFonts w:ascii="Times New Roman" w:hAnsi="Times New Roman"/>
          <w:sz w:val="28"/>
          <w:szCs w:val="28"/>
          <w:lang w:val="uk-UA"/>
        </w:rPr>
        <w:t xml:space="preserve"> у </w:t>
      </w:r>
      <w:r>
        <w:rPr>
          <w:rFonts w:ascii="Times New Roman" w:hAnsi="Times New Roman"/>
          <w:color w:val="000000"/>
          <w:sz w:val="28"/>
          <w:szCs w:val="28"/>
          <w:lang w:val="uk-UA"/>
        </w:rPr>
        <w:t xml:space="preserve">порівнянні із вихідними даними був вірогідно на 25,8%, а у хворих без ЦД (95% ДІ від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88,72 до 11,72,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0,128) – невірогідно на 12,5% вищим. Через 12 міс. відповідно, у хворих з ЦД середній рівень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у порівнянні із вихідними даними був вірогідно на 11,9% вищим (95% ДІ від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 xml:space="preserve">54,52 до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9,08,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0,008), а хворих без ЦД – невірогідно на 1,8% нижчим по відношенню до вихідних даних (95% ДІ від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 xml:space="preserve"> 41,53 до </w:t>
      </w:r>
      <w:r>
        <w:rPr>
          <w:rFonts w:ascii="Times New Roman" w:hAnsi="Times New Roman"/>
          <w:color w:val="000000"/>
          <w:sz w:val="28"/>
          <w:szCs w:val="28"/>
          <w:lang w:val="uk-UA"/>
        </w:rPr>
        <w:sym w:font="Symbol" w:char="002D"/>
      </w:r>
      <w:r>
        <w:rPr>
          <w:rFonts w:ascii="Times New Roman" w:hAnsi="Times New Roman"/>
          <w:color w:val="000000"/>
          <w:sz w:val="28"/>
          <w:szCs w:val="28"/>
          <w:lang w:val="uk-UA"/>
        </w:rPr>
        <w:t xml:space="preserve"> 52,73,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0,810). На рівень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у плазмі крові впливав ступінь ішемії кінцівок: рівень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був на 13,5% вищим у хворих з ІІІ ступенем ішемії через 6 міс. (95% ДІ від 4,137 до 84,26,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0,032) та на 18,4% через 12 міс. (95% ДІ від 20,54 до 82,46,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0,002) спостереження у порівнянні з цим показником у хворих з </w:t>
      </w:r>
      <w:r>
        <w:rPr>
          <w:rFonts w:ascii="Times New Roman" w:hAnsi="Times New Roman"/>
          <w:color w:val="000000"/>
          <w:sz w:val="28"/>
          <w:szCs w:val="28"/>
          <w:lang w:val="en-US"/>
        </w:rPr>
        <w:t>IV</w:t>
      </w:r>
      <w:r w:rsidRPr="00A01923">
        <w:rPr>
          <w:rFonts w:ascii="Times New Roman" w:hAnsi="Times New Roman"/>
          <w:color w:val="000000"/>
          <w:sz w:val="28"/>
          <w:szCs w:val="28"/>
        </w:rPr>
        <w:t xml:space="preserve"> </w:t>
      </w:r>
      <w:r>
        <w:rPr>
          <w:rFonts w:ascii="Times New Roman" w:hAnsi="Times New Roman"/>
          <w:color w:val="000000"/>
          <w:sz w:val="28"/>
          <w:szCs w:val="28"/>
        </w:rPr>
        <w:t>ступенем ішемії</w:t>
      </w:r>
      <w:r>
        <w:rPr>
          <w:rFonts w:ascii="Times New Roman" w:hAnsi="Times New Roman"/>
          <w:color w:val="000000"/>
          <w:sz w:val="28"/>
          <w:szCs w:val="28"/>
          <w:lang w:val="uk-UA"/>
        </w:rPr>
        <w:t xml:space="preserve">. Слід відмітити, що при </w:t>
      </w:r>
      <w:r>
        <w:rPr>
          <w:rFonts w:ascii="Times New Roman" w:hAnsi="Times New Roman"/>
          <w:color w:val="000000"/>
          <w:sz w:val="28"/>
          <w:szCs w:val="28"/>
          <w:lang w:val="uk-UA"/>
        </w:rPr>
        <w:lastRenderedPageBreak/>
        <w:t xml:space="preserve">порівнянні показників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у плазмі хворих вихідні рівні були вищими за контрольні показники на 494,4% у хворих з ІІІ ступенем ішемії, на 337,9% у хворих з </w:t>
      </w:r>
      <w:r>
        <w:rPr>
          <w:rFonts w:ascii="Times New Roman" w:hAnsi="Times New Roman"/>
          <w:color w:val="000000"/>
          <w:sz w:val="28"/>
          <w:szCs w:val="28"/>
          <w:lang w:val="en-US"/>
        </w:rPr>
        <w:t>IV</w:t>
      </w:r>
      <w:r>
        <w:rPr>
          <w:rFonts w:ascii="Times New Roman" w:hAnsi="Times New Roman"/>
          <w:color w:val="000000"/>
          <w:sz w:val="28"/>
          <w:szCs w:val="28"/>
          <w:lang w:val="uk-UA"/>
        </w:rPr>
        <w:t xml:space="preserve"> ступенем ішемії, на 352,2% у хворих з ЦД, та на 420% у хворих без ЦД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 xml:space="preserve">0,001). Аналізуючи вихідні данні рівню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необхідно зазначити, що у пацієнтів з ІІІ ступенем ішемії відзначався найвищий рівень цього показнику та на 156% був вищим, ніж у хворих з </w:t>
      </w:r>
      <w:r>
        <w:rPr>
          <w:rFonts w:ascii="Times New Roman" w:hAnsi="Times New Roman"/>
          <w:color w:val="000000"/>
          <w:sz w:val="28"/>
          <w:szCs w:val="28"/>
          <w:lang w:val="en-US"/>
        </w:rPr>
        <w:t>IV</w:t>
      </w:r>
      <w:r>
        <w:rPr>
          <w:rFonts w:ascii="Times New Roman" w:hAnsi="Times New Roman"/>
          <w:color w:val="000000"/>
          <w:sz w:val="28"/>
          <w:szCs w:val="28"/>
          <w:lang w:val="uk-UA"/>
        </w:rPr>
        <w:t xml:space="preserve"> ступенем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0,001); також максимальний рівень VEGF спостерігається при II</w:t>
      </w:r>
      <w:r>
        <w:rPr>
          <w:rFonts w:ascii="Times New Roman" w:hAnsi="Times New Roman"/>
          <w:color w:val="000000"/>
          <w:sz w:val="28"/>
          <w:szCs w:val="28"/>
          <w:lang w:val="en-US"/>
        </w:rPr>
        <w:t>I</w:t>
      </w:r>
      <w:r>
        <w:rPr>
          <w:rFonts w:ascii="Times New Roman" w:hAnsi="Times New Roman"/>
          <w:color w:val="000000"/>
          <w:sz w:val="28"/>
          <w:szCs w:val="28"/>
          <w:lang w:val="uk-UA"/>
        </w:rPr>
        <w:t xml:space="preserve"> ступені ї ішемії через 6 міс. від початку лікування, що свідчить про більшу проліферативну активність ендотелію у цих хворих. Також була різниця й в залежності від наявності супутнього ЦД: на 67,8% був вищим показник у хворих без ЦД при вихідному дослідженні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0,05).</w:t>
      </w:r>
    </w:p>
    <w:p w:rsidR="00A01923" w:rsidRDefault="00487043" w:rsidP="00A01923">
      <w:pPr>
        <w:pStyle w:val="ac"/>
        <w:spacing w:line="360" w:lineRule="auto"/>
        <w:ind w:firstLine="709"/>
        <w:jc w:val="both"/>
        <w:rPr>
          <w:sz w:val="28"/>
          <w:szCs w:val="28"/>
          <w:lang w:val="uk-UA"/>
        </w:rPr>
      </w:pPr>
      <w:r w:rsidRPr="00487043">
        <w:pict>
          <v:group id="_x0000_s2149" style="position:absolute;left:0;text-align:left;margin-left:-15.45pt;margin-top:47.1pt;width:491.3pt;height:342pt;z-index:251653632" coordorigin="1392,8400" coordsize="9826,6840">
            <v:shape id="_x0000_s2150" type="#_x0000_t202" style="position:absolute;left:1497;top:14610;width:9338;height:630;mso-width-relative:margin;mso-height-relative:margin" strokecolor="white">
              <v:textbox style="mso-next-textbox:#_x0000_s2150">
                <w:txbxContent>
                  <w:p w:rsidR="00DA0A21" w:rsidRDefault="00DA0A21" w:rsidP="00A01923">
                    <w:pPr>
                      <w:pStyle w:val="ac"/>
                      <w:jc w:val="center"/>
                      <w:rPr>
                        <w:sz w:val="28"/>
                        <w:szCs w:val="28"/>
                        <w:lang w:val="uk-UA"/>
                      </w:rPr>
                    </w:pPr>
                    <w:r>
                      <w:rPr>
                        <w:sz w:val="28"/>
                        <w:szCs w:val="28"/>
                        <w:lang w:val="uk-UA"/>
                      </w:rPr>
                      <w:t xml:space="preserve">Рис. 4.2 Динаміка показників </w:t>
                    </w:r>
                    <w:r>
                      <w:rPr>
                        <w:sz w:val="28"/>
                        <w:szCs w:val="28"/>
                        <w:lang w:val="en-US"/>
                      </w:rPr>
                      <w:t>VEGF</w:t>
                    </w:r>
                    <w:r>
                      <w:rPr>
                        <w:sz w:val="28"/>
                        <w:szCs w:val="28"/>
                        <w:lang w:val="uk-UA"/>
                      </w:rPr>
                      <w:t xml:space="preserve"> у підгрупах основної групи</w:t>
                    </w:r>
                  </w:p>
                </w:txbxContent>
              </v:textbox>
            </v:shape>
            <v:shape id="_x0000_s2151" type="#_x0000_t202" style="position:absolute;left:1392;top:8400;width:9826;height:5986" stroked="f">
              <v:textbox style="mso-next-textbox:#_x0000_s2151">
                <w:txbxContent>
                  <w:p w:rsidR="00DA0A21" w:rsidRDefault="00DA0A21" w:rsidP="00A01923">
                    <w:pPr>
                      <w:rPr>
                        <w:lang w:val="uk-UA"/>
                      </w:rPr>
                    </w:pPr>
                  </w:p>
                  <w:p w:rsidR="00DA0A21" w:rsidRDefault="00DA0A21" w:rsidP="00A01923">
                    <w:r w:rsidRPr="00454A41">
                      <w:rPr>
                        <w:rFonts w:ascii="Calibri" w:eastAsia="Times New Roman" w:hAnsi="Calibri" w:cs="Times New Roman"/>
                      </w:rPr>
                      <w:object w:dxaOrig="8955" w:dyaOrig="5130">
                        <v:shape id="_x0000_i1071" type="#_x0000_t75" style="width:448.15pt;height:256.95pt" o:ole="">
                          <v:imagedata r:id="rId59" o:title="" croptop="-1947f" cropbottom="-1770f" cropleft="-754f" cropright="-1173f"/>
                          <o:lock v:ext="edit" aspectratio="f"/>
                        </v:shape>
                        <o:OLEObject Type="Embed" ProgID="Excel.Sheet.8" ShapeID="_x0000_i1071" DrawAspect="Content" ObjectID="_1585401164" r:id="rId60">
                          <o:FieldCodes>\s</o:FieldCodes>
                        </o:OLEObject>
                      </w:object>
                    </w:r>
                  </w:p>
                </w:txbxContent>
              </v:textbox>
            </v:shape>
          </v:group>
        </w:pict>
      </w:r>
      <w:r w:rsidR="00A01923">
        <w:rPr>
          <w:sz w:val="28"/>
          <w:szCs w:val="28"/>
          <w:lang w:val="uk-UA"/>
        </w:rPr>
        <w:t xml:space="preserve">Динаміку зміни показника </w:t>
      </w:r>
      <w:r w:rsidR="00A01923">
        <w:rPr>
          <w:sz w:val="28"/>
          <w:szCs w:val="28"/>
          <w:lang w:val="en-US"/>
        </w:rPr>
        <w:t>VEGF</w:t>
      </w:r>
      <w:r w:rsidR="00A01923">
        <w:rPr>
          <w:sz w:val="28"/>
          <w:szCs w:val="28"/>
          <w:lang w:val="uk-UA"/>
        </w:rPr>
        <w:t xml:space="preserve"> у крові пацієнтів основної групи представлено на рис. 4.2. </w:t>
      </w:r>
    </w:p>
    <w:p w:rsidR="00A01923" w:rsidRDefault="00A01923" w:rsidP="00A01923">
      <w:pPr>
        <w:pStyle w:val="ac"/>
        <w:spacing w:line="360" w:lineRule="auto"/>
        <w:ind w:firstLine="709"/>
        <w:jc w:val="both"/>
        <w:rPr>
          <w:sz w:val="28"/>
          <w:szCs w:val="28"/>
          <w:lang w:val="uk-UA"/>
        </w:rPr>
      </w:pPr>
    </w:p>
    <w:p w:rsidR="00A01923" w:rsidRDefault="00A01923" w:rsidP="00A01923">
      <w:pPr>
        <w:pStyle w:val="ac"/>
        <w:spacing w:line="360" w:lineRule="auto"/>
        <w:ind w:firstLine="709"/>
        <w:jc w:val="both"/>
        <w:rPr>
          <w:sz w:val="28"/>
          <w:szCs w:val="28"/>
          <w:lang w:val="uk-UA"/>
        </w:rPr>
      </w:pPr>
    </w:p>
    <w:p w:rsidR="00A01923" w:rsidRDefault="00A01923" w:rsidP="00A01923">
      <w:pPr>
        <w:pStyle w:val="ac"/>
        <w:spacing w:line="360" w:lineRule="auto"/>
        <w:ind w:firstLine="709"/>
        <w:jc w:val="both"/>
        <w:rPr>
          <w:sz w:val="28"/>
          <w:szCs w:val="28"/>
          <w:lang w:val="uk-UA"/>
        </w:rPr>
      </w:pPr>
    </w:p>
    <w:p w:rsidR="00A01923" w:rsidRDefault="00A01923" w:rsidP="00A01923">
      <w:pPr>
        <w:pStyle w:val="ac"/>
        <w:spacing w:line="360" w:lineRule="auto"/>
        <w:ind w:firstLine="709"/>
        <w:jc w:val="both"/>
        <w:rPr>
          <w:sz w:val="28"/>
          <w:szCs w:val="28"/>
          <w:lang w:val="uk-UA"/>
        </w:rPr>
      </w:pPr>
    </w:p>
    <w:p w:rsidR="00A01923" w:rsidRDefault="00A01923" w:rsidP="00A01923">
      <w:pPr>
        <w:pStyle w:val="ac"/>
        <w:spacing w:line="360" w:lineRule="auto"/>
        <w:ind w:firstLine="709"/>
        <w:jc w:val="both"/>
        <w:rPr>
          <w:color w:val="FF0000"/>
          <w:sz w:val="28"/>
          <w:szCs w:val="28"/>
          <w:lang w:val="uk-UA"/>
        </w:rPr>
      </w:pPr>
    </w:p>
    <w:p w:rsidR="00A01923" w:rsidRDefault="00A01923" w:rsidP="00A01923">
      <w:pPr>
        <w:pStyle w:val="ac"/>
        <w:spacing w:line="360" w:lineRule="auto"/>
        <w:ind w:left="-567" w:firstLine="567"/>
        <w:jc w:val="both"/>
        <w:rPr>
          <w:color w:val="FF0000"/>
          <w:sz w:val="28"/>
          <w:szCs w:val="28"/>
          <w:lang w:val="uk-UA"/>
        </w:rPr>
      </w:pPr>
    </w:p>
    <w:p w:rsidR="00A01923" w:rsidRDefault="00A01923" w:rsidP="00A01923">
      <w:pPr>
        <w:pStyle w:val="ac"/>
        <w:spacing w:line="360" w:lineRule="auto"/>
        <w:ind w:left="-567" w:firstLine="567"/>
        <w:jc w:val="both"/>
        <w:rPr>
          <w:color w:val="FF0000"/>
          <w:sz w:val="28"/>
          <w:szCs w:val="28"/>
          <w:lang w:val="uk-UA"/>
        </w:rPr>
      </w:pPr>
    </w:p>
    <w:p w:rsidR="00A01923" w:rsidRDefault="00A01923" w:rsidP="00A01923">
      <w:pPr>
        <w:pStyle w:val="ac"/>
        <w:spacing w:line="360" w:lineRule="auto"/>
        <w:ind w:left="-567" w:firstLine="567"/>
        <w:jc w:val="both"/>
        <w:rPr>
          <w:color w:val="FF0000"/>
          <w:sz w:val="28"/>
          <w:szCs w:val="28"/>
          <w:lang w:val="uk-UA"/>
        </w:rPr>
      </w:pPr>
    </w:p>
    <w:p w:rsidR="00A01923" w:rsidRDefault="00A01923" w:rsidP="00A01923">
      <w:pPr>
        <w:pStyle w:val="ac"/>
        <w:spacing w:line="360" w:lineRule="auto"/>
        <w:ind w:left="-567" w:firstLine="567"/>
        <w:jc w:val="both"/>
        <w:rPr>
          <w:color w:val="FF0000"/>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pStyle w:val="ac"/>
        <w:spacing w:line="360" w:lineRule="auto"/>
        <w:ind w:left="-567" w:firstLine="567"/>
        <w:jc w:val="both"/>
        <w:rPr>
          <w:sz w:val="28"/>
          <w:szCs w:val="28"/>
          <w:lang w:val="uk-UA"/>
        </w:rPr>
      </w:pPr>
    </w:p>
    <w:p w:rsidR="00A01923" w:rsidRDefault="00A01923" w:rsidP="00A01923">
      <w:p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Як свідчать наведені дані, у всіх хворих відмічається підвищення середнього рівня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протягом перших 6 міс., що свідчить про активізацію процесів </w:t>
      </w:r>
      <w:r>
        <w:rPr>
          <w:rFonts w:ascii="Times New Roman" w:hAnsi="Times New Roman"/>
          <w:color w:val="000000"/>
          <w:sz w:val="28"/>
          <w:szCs w:val="28"/>
          <w:lang w:val="uk-UA"/>
        </w:rPr>
        <w:lastRenderedPageBreak/>
        <w:t xml:space="preserve">ангіогенезу у цих хворих на тлі лікування при порушенні у них проліферативної функції едотелію. Подальше зниження рівню показника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протягом наступних 6 міс. ( від 6 до 12 </w:t>
      </w:r>
      <w:r w:rsidR="009378D4">
        <w:rPr>
          <w:rFonts w:ascii="Times New Roman" w:hAnsi="Times New Roman"/>
          <w:color w:val="000000"/>
          <w:sz w:val="28"/>
          <w:szCs w:val="28"/>
          <w:lang w:val="uk-UA"/>
        </w:rPr>
        <w:t>місяців</w:t>
      </w:r>
      <w:r>
        <w:rPr>
          <w:rFonts w:ascii="Times New Roman" w:hAnsi="Times New Roman"/>
          <w:color w:val="000000"/>
          <w:sz w:val="28"/>
          <w:szCs w:val="28"/>
          <w:lang w:val="uk-UA"/>
        </w:rPr>
        <w:t xml:space="preserve"> спостереження) говорить про зниження інтенсивності ангіогенезу, хоча показники все ще залишаються достовірно підвищеними у порівнянні з контролем (р</w:t>
      </w:r>
      <w:r>
        <w:rPr>
          <w:rFonts w:ascii="Times New Roman" w:hAnsi="Times New Roman"/>
          <w:color w:val="000000"/>
          <w:sz w:val="28"/>
          <w:szCs w:val="28"/>
        </w:rPr>
        <w:sym w:font="Symbol" w:char="003C"/>
      </w:r>
      <w:r>
        <w:rPr>
          <w:rFonts w:ascii="Times New Roman" w:hAnsi="Times New Roman"/>
          <w:color w:val="000000"/>
          <w:sz w:val="28"/>
          <w:szCs w:val="28"/>
          <w:lang w:val="uk-UA"/>
        </w:rPr>
        <w:t xml:space="preserve">0,05). </w:t>
      </w:r>
      <w:r>
        <w:rPr>
          <w:rFonts w:ascii="Times New Roman" w:hAnsi="Times New Roman"/>
          <w:color w:val="000000"/>
          <w:sz w:val="28"/>
          <w:szCs w:val="28"/>
        </w:rPr>
        <w:t xml:space="preserve">Високий рівень </w:t>
      </w:r>
      <w:r>
        <w:rPr>
          <w:rFonts w:ascii="Times New Roman" w:hAnsi="Times New Roman"/>
          <w:color w:val="000000"/>
          <w:sz w:val="28"/>
          <w:szCs w:val="28"/>
          <w:lang w:val="en-US"/>
        </w:rPr>
        <w:t>VEGF</w:t>
      </w:r>
      <w:r>
        <w:rPr>
          <w:rFonts w:ascii="Times New Roman" w:hAnsi="Times New Roman"/>
          <w:color w:val="000000"/>
          <w:sz w:val="28"/>
          <w:szCs w:val="28"/>
        </w:rPr>
        <w:t xml:space="preserve"> у хворих даної групи свідчить про прогресування хвороби незалежно від групи хворих.</w:t>
      </w:r>
    </w:p>
    <w:p w:rsidR="00A01923" w:rsidRDefault="00A01923" w:rsidP="0036340F">
      <w:pPr>
        <w:spacing w:after="0" w:line="360" w:lineRule="auto"/>
        <w:ind w:left="-567" w:firstLine="709"/>
        <w:jc w:val="both"/>
        <w:rPr>
          <w:rFonts w:ascii="Times New Roman" w:hAnsi="Times New Roman"/>
          <w:sz w:val="28"/>
          <w:szCs w:val="28"/>
          <w:lang w:val="uk-UA"/>
        </w:rPr>
      </w:pPr>
      <w:r>
        <w:rPr>
          <w:rFonts w:ascii="Times New Roman" w:hAnsi="Times New Roman"/>
          <w:sz w:val="28"/>
          <w:szCs w:val="28"/>
        </w:rPr>
        <w:t>Показники середнього значення СРБ у основній групі розподілились наступним чином (табл.</w:t>
      </w:r>
      <w:r>
        <w:rPr>
          <w:rFonts w:ascii="Times New Roman" w:hAnsi="Times New Roman"/>
          <w:sz w:val="28"/>
          <w:szCs w:val="28"/>
          <w:lang w:val="uk-UA"/>
        </w:rPr>
        <w:t xml:space="preserve"> 4.3).</w:t>
      </w: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t>Таблиця 4.3</w:t>
      </w:r>
    </w:p>
    <w:p w:rsidR="00A01923" w:rsidRDefault="00A01923" w:rsidP="00A01923">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Динаміка показників рівню СРБ у підгрупах</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2551"/>
        <w:gridCol w:w="2268"/>
        <w:gridCol w:w="1917"/>
      </w:tblGrid>
      <w:tr w:rsidR="00A01923" w:rsidTr="00A01923">
        <w:trPr>
          <w:trHeight w:val="1289"/>
        </w:trPr>
        <w:tc>
          <w:tcPr>
            <w:tcW w:w="2836" w:type="dxa"/>
            <w:tcBorders>
              <w:top w:val="single" w:sz="4" w:space="0" w:color="000000"/>
              <w:left w:val="single" w:sz="4" w:space="0" w:color="000000"/>
              <w:bottom w:val="single" w:sz="4" w:space="0" w:color="000000"/>
              <w:right w:val="single" w:sz="4" w:space="0" w:color="000000"/>
            </w:tcBorders>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     Час визначення</w:t>
            </w:r>
          </w:p>
          <w:p w:rsidR="00A01923" w:rsidRDefault="00A01923">
            <w:pPr>
              <w:spacing w:after="0" w:line="360" w:lineRule="auto"/>
              <w:rPr>
                <w:rFonts w:ascii="Times New Roman" w:hAnsi="Times New Roman"/>
                <w:sz w:val="28"/>
                <w:szCs w:val="28"/>
                <w:lang w:val="uk-UA"/>
              </w:rPr>
            </w:pPr>
          </w:p>
          <w:p w:rsidR="00A01923" w:rsidRDefault="00A01923">
            <w:pPr>
              <w:spacing w:after="0" w:line="360" w:lineRule="auto"/>
              <w:rPr>
                <w:rFonts w:ascii="Times New Roman" w:eastAsia="Times New Roman" w:hAnsi="Times New Roman"/>
                <w:sz w:val="28"/>
                <w:szCs w:val="28"/>
                <w:lang w:val="uk-UA"/>
              </w:rPr>
            </w:pPr>
            <w:r>
              <w:rPr>
                <w:rFonts w:ascii="Times New Roman" w:hAnsi="Times New Roman"/>
                <w:sz w:val="28"/>
                <w:szCs w:val="28"/>
                <w:lang w:val="uk-UA"/>
              </w:rPr>
              <w:t>Підгрупи</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 xml:space="preserve">Вихідні дані </w:t>
            </w:r>
          </w:p>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(м</w:t>
            </w:r>
            <w:r>
              <w:rPr>
                <w:rFonts w:ascii="Times New Roman" w:hAnsi="Times New Roman"/>
                <w:sz w:val="28"/>
                <w:szCs w:val="28"/>
              </w:rPr>
              <w:t>г/л</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За 6 місяців</w:t>
            </w:r>
          </w:p>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(м</w:t>
            </w:r>
            <w:r>
              <w:rPr>
                <w:rFonts w:ascii="Times New Roman" w:hAnsi="Times New Roman"/>
                <w:sz w:val="28"/>
                <w:szCs w:val="28"/>
              </w:rPr>
              <w:t>г/л</w:t>
            </w:r>
            <w:r>
              <w:rPr>
                <w:rFonts w:ascii="Times New Roman" w:hAnsi="Times New Roman"/>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 xml:space="preserve">За 12 </w:t>
            </w:r>
            <w:r>
              <w:rPr>
                <w:rFonts w:ascii="Times New Roman" w:hAnsi="Times New Roman"/>
                <w:sz w:val="28"/>
                <w:szCs w:val="28"/>
              </w:rPr>
              <w:t>місяців</w:t>
            </w:r>
          </w:p>
          <w:p w:rsidR="00A01923" w:rsidRDefault="00A01923">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(м</w:t>
            </w:r>
            <w:r>
              <w:rPr>
                <w:rFonts w:ascii="Times New Roman" w:hAnsi="Times New Roman"/>
                <w:sz w:val="28"/>
                <w:szCs w:val="28"/>
              </w:rPr>
              <w:t>г/л</w:t>
            </w:r>
            <w:r>
              <w:rPr>
                <w:rFonts w:ascii="Times New Roman" w:hAnsi="Times New Roman"/>
                <w:sz w:val="28"/>
                <w:szCs w:val="28"/>
                <w:lang w:val="uk-UA"/>
              </w:rPr>
              <w:t>)</w:t>
            </w:r>
          </w:p>
        </w:tc>
      </w:tr>
      <w:tr w:rsidR="00A01923" w:rsidTr="00A01923">
        <w:trPr>
          <w:trHeight w:val="1009"/>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Загальногруповий показник</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8,4 ±1,89</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7</w:t>
            </w:r>
            <w:r>
              <w:rPr>
                <w:rFonts w:ascii="Times New Roman" w:hAnsi="Times New Roman"/>
                <w:sz w:val="28"/>
                <w:szCs w:val="28"/>
              </w:rPr>
              <w:t>± 2,17</w:t>
            </w:r>
            <w:r>
              <w:rPr>
                <w:rFonts w:ascii="Times New Roman" w:hAnsi="Times New Roman"/>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9</w:t>
            </w:r>
            <w:r>
              <w:rPr>
                <w:rFonts w:ascii="Times New Roman" w:hAnsi="Times New Roman"/>
                <w:sz w:val="28"/>
                <w:szCs w:val="28"/>
              </w:rPr>
              <w:t>± 2,47</w:t>
            </w:r>
            <w:r>
              <w:rPr>
                <w:rFonts w:ascii="Times New Roman" w:hAnsi="Times New Roman"/>
                <w:sz w:val="28"/>
                <w:szCs w:val="28"/>
                <w:lang w:val="uk-UA"/>
              </w:rPr>
              <w:t>*</w:t>
            </w:r>
          </w:p>
        </w:tc>
      </w:tr>
      <w:tr w:rsidR="00A01923" w:rsidTr="00A01923">
        <w:trPr>
          <w:trHeight w:val="4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ІІІ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8,</w:t>
            </w:r>
            <w:r>
              <w:rPr>
                <w:rFonts w:ascii="Times New Roman" w:hAnsi="Times New Roman"/>
                <w:sz w:val="28"/>
                <w:szCs w:val="28"/>
                <w:lang w:val="uk-UA"/>
              </w:rPr>
              <w:t>7</w:t>
            </w:r>
            <w:r>
              <w:rPr>
                <w:rFonts w:ascii="Times New Roman" w:hAnsi="Times New Roman"/>
                <w:sz w:val="28"/>
                <w:szCs w:val="28"/>
              </w:rPr>
              <w:t xml:space="preserve"> ±2,21</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6,1 ± 2,4</w:t>
            </w:r>
            <w:r>
              <w:rPr>
                <w:rFonts w:ascii="Times New Roman" w:hAnsi="Times New Roman"/>
                <w:sz w:val="28"/>
                <w:szCs w:val="28"/>
                <w:lang w:val="uk-UA"/>
              </w:rPr>
              <w:t>2*</w:t>
            </w:r>
            <w:r>
              <w:rPr>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9</w:t>
            </w:r>
            <w:r>
              <w:rPr>
                <w:rFonts w:ascii="Times New Roman" w:hAnsi="Times New Roman"/>
                <w:sz w:val="28"/>
                <w:szCs w:val="28"/>
              </w:rPr>
              <w:t>± 2,28</w:t>
            </w:r>
            <w:r>
              <w:rPr>
                <w:rFonts w:ascii="Times New Roman" w:hAnsi="Times New Roman"/>
                <w:sz w:val="28"/>
                <w:szCs w:val="28"/>
                <w:lang w:val="uk-UA"/>
              </w:rPr>
              <w:t>*</w:t>
            </w:r>
            <w:r>
              <w:rPr>
                <w:sz w:val="28"/>
                <w:szCs w:val="28"/>
                <w:lang w:val="uk-UA"/>
              </w:rPr>
              <w:t>#</w:t>
            </w:r>
          </w:p>
        </w:tc>
      </w:tr>
      <w:tr w:rsidR="00A01923" w:rsidTr="00A01923">
        <w:trPr>
          <w:trHeight w:val="436"/>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w:t>
            </w:r>
            <w:r>
              <w:rPr>
                <w:rFonts w:ascii="Times New Roman" w:hAnsi="Times New Roman"/>
                <w:sz w:val="28"/>
                <w:szCs w:val="28"/>
                <w:lang w:val="en-US"/>
              </w:rPr>
              <w:t>IV</w:t>
            </w:r>
            <w:r>
              <w:rPr>
                <w:rFonts w:ascii="Times New Roman" w:hAnsi="Times New Roman"/>
                <w:sz w:val="28"/>
                <w:szCs w:val="28"/>
              </w:rPr>
              <w:t xml:space="preserve">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8,3 ±1,7</w:t>
            </w:r>
            <w:r>
              <w:rPr>
                <w:rFonts w:ascii="Times New Roman" w:hAnsi="Times New Roman"/>
                <w:sz w:val="28"/>
                <w:szCs w:val="28"/>
                <w:lang w:val="uk-UA"/>
              </w:rPr>
              <w:t>9*</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5,5±  2,0</w:t>
            </w:r>
            <w:r>
              <w:rPr>
                <w:rFonts w:ascii="Times New Roman" w:hAnsi="Times New Roman"/>
                <w:sz w:val="28"/>
                <w:szCs w:val="28"/>
                <w:lang w:val="uk-UA"/>
              </w:rPr>
              <w:t>9*</w:t>
            </w:r>
            <w:r>
              <w:rPr>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8</w:t>
            </w:r>
            <w:r>
              <w:rPr>
                <w:rFonts w:ascii="Times New Roman" w:hAnsi="Times New Roman"/>
                <w:sz w:val="28"/>
                <w:szCs w:val="28"/>
              </w:rPr>
              <w:t>± 2,55</w:t>
            </w:r>
            <w:r>
              <w:rPr>
                <w:rFonts w:ascii="Times New Roman" w:hAnsi="Times New Roman"/>
                <w:sz w:val="28"/>
                <w:szCs w:val="28"/>
                <w:lang w:val="uk-UA"/>
              </w:rPr>
              <w:t>*</w:t>
            </w:r>
            <w:r>
              <w:rPr>
                <w:sz w:val="28"/>
                <w:szCs w:val="28"/>
                <w:lang w:val="uk-UA"/>
              </w:rPr>
              <w:t>#</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8,</w:t>
            </w:r>
            <w:r>
              <w:rPr>
                <w:rFonts w:ascii="Times New Roman" w:hAnsi="Times New Roman"/>
                <w:sz w:val="28"/>
                <w:szCs w:val="28"/>
                <w:lang w:val="uk-UA"/>
              </w:rPr>
              <w:t>2</w:t>
            </w:r>
            <w:r>
              <w:rPr>
                <w:rFonts w:ascii="Times New Roman" w:hAnsi="Times New Roman"/>
                <w:sz w:val="28"/>
                <w:szCs w:val="28"/>
              </w:rPr>
              <w:t xml:space="preserve"> ±1,58</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6,1±  2,45</w:t>
            </w:r>
            <w:r>
              <w:rPr>
                <w:rFonts w:ascii="Times New Roman" w:hAnsi="Times New Roman"/>
                <w:sz w:val="28"/>
                <w:szCs w:val="28"/>
                <w:lang w:val="uk-UA"/>
              </w:rPr>
              <w:t>*</w:t>
            </w:r>
            <w:r>
              <w:rPr>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4,8 ± 1,68</w:t>
            </w:r>
            <w:r>
              <w:rPr>
                <w:rFonts w:ascii="Times New Roman" w:hAnsi="Times New Roman"/>
                <w:sz w:val="28"/>
                <w:szCs w:val="28"/>
                <w:lang w:val="uk-UA"/>
              </w:rPr>
              <w:t>*</w:t>
            </w:r>
            <w:r>
              <w:rPr>
                <w:sz w:val="28"/>
                <w:szCs w:val="28"/>
                <w:lang w:val="uk-UA"/>
              </w:rPr>
              <w:t>#</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без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8,6± 2,11</w:t>
            </w:r>
            <w:r>
              <w:rPr>
                <w:rFonts w:ascii="Times New Roman" w:hAnsi="Times New Roman"/>
                <w:sz w:val="28"/>
                <w:szCs w:val="28"/>
                <w:lang w:val="uk-UA"/>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6,1± 2,21</w:t>
            </w:r>
            <w:r>
              <w:rPr>
                <w:rFonts w:ascii="Times New Roman" w:hAnsi="Times New Roman"/>
                <w:sz w:val="28"/>
                <w:szCs w:val="28"/>
                <w:lang w:val="uk-UA"/>
              </w:rPr>
              <w:t>*</w:t>
            </w:r>
            <w:r>
              <w:rPr>
                <w:sz w:val="28"/>
                <w:szCs w:val="28"/>
                <w:lang w:val="uk-UA"/>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6,6 ± 2,7</w:t>
            </w:r>
            <w:r>
              <w:rPr>
                <w:rFonts w:ascii="Times New Roman" w:hAnsi="Times New Roman"/>
                <w:sz w:val="28"/>
                <w:szCs w:val="28"/>
                <w:lang w:val="uk-UA"/>
              </w:rPr>
              <w:t>3*</w:t>
            </w:r>
            <w:r>
              <w:rPr>
                <w:sz w:val="28"/>
                <w:szCs w:val="28"/>
                <w:lang w:val="uk-UA"/>
              </w:rPr>
              <w:t>#</w:t>
            </w:r>
          </w:p>
        </w:tc>
      </w:tr>
      <w:tr w:rsidR="00A01923" w:rsidTr="00A01923">
        <w:trPr>
          <w:trHeight w:val="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lang w:val="uk-UA"/>
              </w:rPr>
              <w:t>м</w:t>
            </w:r>
            <w:r>
              <w:rPr>
                <w:rFonts w:ascii="Times New Roman" w:hAnsi="Times New Roman"/>
                <w:sz w:val="28"/>
                <w:szCs w:val="28"/>
              </w:rPr>
              <w:t>г/л</w:t>
            </w:r>
          </w:p>
        </w:tc>
        <w:tc>
          <w:tcPr>
            <w:tcW w:w="6736" w:type="dxa"/>
            <w:gridSpan w:val="3"/>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3,8 ±0,9</w:t>
            </w:r>
            <w:r>
              <w:rPr>
                <w:rFonts w:ascii="Times New Roman" w:hAnsi="Times New Roman"/>
                <w:sz w:val="28"/>
                <w:szCs w:val="28"/>
                <w:lang w:val="uk-UA"/>
              </w:rPr>
              <w:t>5</w:t>
            </w:r>
          </w:p>
        </w:tc>
      </w:tr>
    </w:tbl>
    <w:p w:rsidR="00A01923" w:rsidRDefault="00A01923" w:rsidP="00A01923">
      <w:pPr>
        <w:pStyle w:val="ac"/>
        <w:rPr>
          <w:sz w:val="28"/>
          <w:szCs w:val="28"/>
          <w:lang w:val="uk-UA"/>
        </w:rPr>
      </w:pPr>
      <w:r>
        <w:rPr>
          <w:sz w:val="28"/>
          <w:szCs w:val="28"/>
          <w:lang w:val="uk-UA"/>
        </w:rPr>
        <w:t>Примітка:* − достовірна різниця з контролем</w:t>
      </w:r>
    </w:p>
    <w:p w:rsidR="00A01923" w:rsidRDefault="00A01923" w:rsidP="00A01923">
      <w:pPr>
        <w:pStyle w:val="ac"/>
        <w:rPr>
          <w:sz w:val="28"/>
          <w:szCs w:val="28"/>
        </w:rPr>
      </w:pPr>
      <w:r>
        <w:rPr>
          <w:sz w:val="28"/>
          <w:szCs w:val="28"/>
        </w:rPr>
        <w:t xml:space="preserve">                 </w:t>
      </w:r>
      <w:r>
        <w:rPr>
          <w:sz w:val="28"/>
          <w:szCs w:val="28"/>
          <w:lang w:val="uk-UA"/>
        </w:rPr>
        <w:t>#</w:t>
      </w:r>
      <w:r>
        <w:rPr>
          <w:sz w:val="28"/>
          <w:szCs w:val="28"/>
        </w:rPr>
        <w:t xml:space="preserve"> −</w:t>
      </w:r>
      <w:r>
        <w:rPr>
          <w:sz w:val="28"/>
          <w:szCs w:val="28"/>
          <w:lang w:val="uk-UA"/>
        </w:rPr>
        <w:t xml:space="preserve"> достовірна різниця з вихідними даними</w:t>
      </w:r>
    </w:p>
    <w:p w:rsidR="00A01923" w:rsidRDefault="00A01923" w:rsidP="00A01923">
      <w:pPr>
        <w:pStyle w:val="ac"/>
        <w:spacing w:line="360" w:lineRule="auto"/>
        <w:ind w:left="-567" w:firstLine="567"/>
        <w:jc w:val="both"/>
        <w:rPr>
          <w:sz w:val="28"/>
          <w:szCs w:val="28"/>
          <w:lang w:val="uk-UA"/>
        </w:rPr>
      </w:pPr>
    </w:p>
    <w:p w:rsidR="00A01923" w:rsidRDefault="00A01923" w:rsidP="0036340F">
      <w:pPr>
        <w:pStyle w:val="ac"/>
        <w:spacing w:line="360" w:lineRule="auto"/>
        <w:ind w:left="-709" w:firstLine="709"/>
        <w:jc w:val="both"/>
        <w:rPr>
          <w:color w:val="000000"/>
          <w:sz w:val="28"/>
          <w:szCs w:val="28"/>
          <w:lang w:val="uk-UA"/>
        </w:rPr>
      </w:pPr>
      <w:r>
        <w:rPr>
          <w:sz w:val="28"/>
          <w:szCs w:val="28"/>
          <w:lang w:val="uk-UA"/>
        </w:rPr>
        <w:t xml:space="preserve">При визначенні критерію Ст’юдента - вірогідності різниці - у підгрупах виявилося, що в усіх підгрупах </w:t>
      </w:r>
      <w:r>
        <w:rPr>
          <w:color w:val="000000"/>
          <w:sz w:val="28"/>
          <w:szCs w:val="28"/>
          <w:lang w:val="uk-UA"/>
        </w:rPr>
        <w:t>спостерігається вірогідна різниця з показником контролю, незалежно від часу отримання плазми крові (р=0.000).</w:t>
      </w:r>
    </w:p>
    <w:p w:rsidR="00A01923" w:rsidRDefault="00A01923" w:rsidP="0036340F">
      <w:pPr>
        <w:pStyle w:val="ac"/>
        <w:spacing w:line="360" w:lineRule="auto"/>
        <w:ind w:left="-709" w:firstLine="709"/>
        <w:jc w:val="both"/>
        <w:rPr>
          <w:color w:val="000000"/>
          <w:sz w:val="28"/>
          <w:szCs w:val="28"/>
          <w:lang w:val="uk-UA"/>
        </w:rPr>
      </w:pPr>
      <w:r>
        <w:rPr>
          <w:color w:val="000000"/>
          <w:sz w:val="28"/>
          <w:szCs w:val="28"/>
          <w:lang w:val="uk-UA"/>
        </w:rPr>
        <w:t>При порівнянні показників СРБ у підгрупах у строк через 6 місяців</w:t>
      </w:r>
      <w:r>
        <w:rPr>
          <w:sz w:val="28"/>
          <w:szCs w:val="28"/>
          <w:lang w:val="uk-UA"/>
        </w:rPr>
        <w:t xml:space="preserve"> з вихідними даними було виявлено вірогідну різницю у підгрупах з ІІІ та І</w:t>
      </w:r>
      <w:r>
        <w:rPr>
          <w:sz w:val="28"/>
          <w:szCs w:val="28"/>
          <w:lang w:val="en-US"/>
        </w:rPr>
        <w:t>V</w:t>
      </w:r>
      <w:r>
        <w:rPr>
          <w:sz w:val="28"/>
          <w:szCs w:val="28"/>
          <w:lang w:val="uk-UA"/>
        </w:rPr>
        <w:t xml:space="preserve"> </w:t>
      </w:r>
      <w:r>
        <w:rPr>
          <w:color w:val="000000"/>
          <w:sz w:val="28"/>
          <w:szCs w:val="28"/>
          <w:lang w:val="uk-UA"/>
        </w:rPr>
        <w:t>ступенями</w:t>
      </w:r>
      <w:r>
        <w:rPr>
          <w:sz w:val="28"/>
          <w:szCs w:val="28"/>
          <w:lang w:val="uk-UA"/>
        </w:rPr>
        <w:t xml:space="preserve"> ішемії, відповідно, на 42,6% (95% ДІ від 1,358 до 3,842, р</w:t>
      </w:r>
      <w:r>
        <w:rPr>
          <w:sz w:val="28"/>
          <w:szCs w:val="28"/>
          <w:lang w:val="uk-UA"/>
        </w:rPr>
        <w:sym w:font="Symbol" w:char="003D"/>
      </w:r>
      <w:r>
        <w:rPr>
          <w:sz w:val="28"/>
          <w:szCs w:val="28"/>
          <w:lang w:val="uk-UA"/>
        </w:rPr>
        <w:t>0,000) та 50,9% (95% ДІ від 1,757до 3,843, р</w:t>
      </w:r>
      <w:r>
        <w:rPr>
          <w:sz w:val="28"/>
          <w:szCs w:val="28"/>
          <w:lang w:val="uk-UA"/>
        </w:rPr>
        <w:sym w:font="Symbol" w:char="003D"/>
      </w:r>
      <w:r>
        <w:rPr>
          <w:sz w:val="28"/>
          <w:szCs w:val="28"/>
          <w:lang w:val="uk-UA"/>
        </w:rPr>
        <w:t xml:space="preserve">0,000), а також у підгупах з ЦД та без ЦД, </w:t>
      </w:r>
      <w:r>
        <w:rPr>
          <w:sz w:val="28"/>
          <w:szCs w:val="28"/>
          <w:lang w:val="uk-UA"/>
        </w:rPr>
        <w:lastRenderedPageBreak/>
        <w:t>відповідно, на 34,4 % (95% ДІ від 0,9954 3,205, р</w:t>
      </w:r>
      <w:r>
        <w:rPr>
          <w:sz w:val="28"/>
          <w:szCs w:val="28"/>
          <w:lang w:val="uk-UA"/>
        </w:rPr>
        <w:sym w:font="Symbol" w:char="003D"/>
      </w:r>
      <w:r>
        <w:rPr>
          <w:sz w:val="28"/>
          <w:szCs w:val="28"/>
          <w:lang w:val="uk-UA"/>
        </w:rPr>
        <w:t>0,000) та 40,9% (95% ДІ від 0,9423 до 3,258, р</w:t>
      </w:r>
      <w:r>
        <w:rPr>
          <w:sz w:val="28"/>
          <w:szCs w:val="28"/>
          <w:lang w:val="uk-UA"/>
        </w:rPr>
        <w:sym w:font="Symbol" w:char="003D"/>
      </w:r>
      <w:r>
        <w:rPr>
          <w:sz w:val="28"/>
          <w:szCs w:val="28"/>
          <w:lang w:val="uk-UA"/>
        </w:rPr>
        <w:t xml:space="preserve">0,000). У строк через 12 місяців у порівнянні з вихідними рівнями у всіх підгрупах також визначалася вірогідна різниця – у хворих з ІІІ </w:t>
      </w:r>
      <w:r>
        <w:rPr>
          <w:color w:val="000000"/>
          <w:sz w:val="28"/>
          <w:szCs w:val="28"/>
          <w:lang w:val="uk-UA"/>
        </w:rPr>
        <w:t>ступенем</w:t>
      </w:r>
      <w:r>
        <w:rPr>
          <w:sz w:val="28"/>
          <w:szCs w:val="28"/>
          <w:lang w:val="uk-UA"/>
        </w:rPr>
        <w:t xml:space="preserve"> ішемії на 47,5% (95% ДІ від 1,597 до 4,003, р</w:t>
      </w:r>
      <w:r>
        <w:rPr>
          <w:sz w:val="28"/>
          <w:szCs w:val="28"/>
          <w:lang w:val="uk-UA"/>
        </w:rPr>
        <w:sym w:font="Symbol" w:char="003D"/>
      </w:r>
      <w:r>
        <w:rPr>
          <w:sz w:val="28"/>
          <w:szCs w:val="28"/>
          <w:lang w:val="uk-UA"/>
        </w:rPr>
        <w:t>0,000), з І</w:t>
      </w:r>
      <w:r>
        <w:rPr>
          <w:sz w:val="28"/>
          <w:szCs w:val="28"/>
          <w:lang w:val="en-US"/>
        </w:rPr>
        <w:t>V</w:t>
      </w:r>
      <w:r>
        <w:rPr>
          <w:sz w:val="28"/>
          <w:szCs w:val="28"/>
          <w:lang w:val="uk-UA"/>
        </w:rPr>
        <w:t xml:space="preserve"> </w:t>
      </w:r>
      <w:r>
        <w:rPr>
          <w:color w:val="000000"/>
          <w:sz w:val="28"/>
          <w:szCs w:val="28"/>
          <w:lang w:val="uk-UA"/>
        </w:rPr>
        <w:t>ступенем</w:t>
      </w:r>
      <w:r>
        <w:rPr>
          <w:sz w:val="28"/>
          <w:szCs w:val="28"/>
          <w:lang w:val="uk-UA"/>
        </w:rPr>
        <w:t xml:space="preserve"> ішемії на 43,1% (95% ДІ від 1,32 до 3,68, р</w:t>
      </w:r>
      <w:r>
        <w:rPr>
          <w:sz w:val="28"/>
          <w:szCs w:val="28"/>
          <w:lang w:val="uk-UA"/>
        </w:rPr>
        <w:sym w:font="Symbol" w:char="003D"/>
      </w:r>
      <w:r>
        <w:rPr>
          <w:sz w:val="28"/>
          <w:szCs w:val="28"/>
          <w:lang w:val="uk-UA"/>
        </w:rPr>
        <w:t>0,000), а у підгупах з ЦД та без ЦД, відповідно, на 70,8% (95% ДІ від 2,526 до 4,274, р</w:t>
      </w:r>
      <w:r>
        <w:rPr>
          <w:sz w:val="28"/>
          <w:szCs w:val="28"/>
          <w:lang w:val="uk-UA"/>
        </w:rPr>
        <w:sym w:font="Symbol" w:char="003D"/>
      </w:r>
      <w:r>
        <w:rPr>
          <w:sz w:val="28"/>
          <w:szCs w:val="28"/>
          <w:lang w:val="uk-UA"/>
        </w:rPr>
        <w:t>0,000) та 30,3% (95% ДІ від 0,2927 до 2,907, р</w:t>
      </w:r>
      <w:r>
        <w:rPr>
          <w:sz w:val="28"/>
          <w:szCs w:val="28"/>
          <w:lang w:val="uk-UA"/>
        </w:rPr>
        <w:sym w:font="Symbol" w:char="003D"/>
      </w:r>
      <w:r>
        <w:rPr>
          <w:sz w:val="28"/>
          <w:szCs w:val="28"/>
          <w:lang w:val="uk-UA"/>
        </w:rPr>
        <w:t xml:space="preserve">0,017). Вірогідною була різниця середніх показників СРБ у підгрупі хворих з ЦД: у строк 6 місяців рівень СРБ був на 27,08% вищим за рівень у 12 місяців (95% </w:t>
      </w:r>
      <w:r>
        <w:rPr>
          <w:color w:val="000000"/>
          <w:sz w:val="28"/>
          <w:szCs w:val="28"/>
          <w:lang w:val="uk-UA"/>
        </w:rPr>
        <w:t>ДІ від 0,1745 до 2,426, р</w:t>
      </w:r>
      <w:r>
        <w:rPr>
          <w:color w:val="000000"/>
          <w:sz w:val="28"/>
          <w:szCs w:val="28"/>
          <w:lang w:val="uk-UA"/>
        </w:rPr>
        <w:sym w:font="Symbol" w:char="003D"/>
      </w:r>
      <w:r>
        <w:rPr>
          <w:color w:val="000000"/>
          <w:sz w:val="28"/>
          <w:szCs w:val="28"/>
          <w:lang w:val="uk-UA"/>
        </w:rPr>
        <w:t xml:space="preserve">0,024). </w:t>
      </w:r>
    </w:p>
    <w:p w:rsidR="00A01923" w:rsidRDefault="00A01923" w:rsidP="0036340F">
      <w:pPr>
        <w:pStyle w:val="ac"/>
        <w:spacing w:line="360" w:lineRule="auto"/>
        <w:ind w:left="-709" w:firstLine="709"/>
        <w:jc w:val="both"/>
        <w:rPr>
          <w:color w:val="000000"/>
          <w:sz w:val="28"/>
          <w:szCs w:val="28"/>
          <w:lang w:val="uk-UA"/>
        </w:rPr>
      </w:pPr>
      <w:r>
        <w:rPr>
          <w:color w:val="000000"/>
          <w:sz w:val="28"/>
          <w:szCs w:val="28"/>
          <w:lang w:val="uk-UA"/>
        </w:rPr>
        <w:t>При порівнянні підгруп між собою, виявилася вірогідною різниця середнього рівню СРБ у хворих з ЦД та без ЦД у строк через 12 місяців після лікування: у хворих без ЦД цей показник був на 37,5 % вищим, ніж у хворих з ЦД (95% ДІ від −3,015 до −0,5855, р</w:t>
      </w:r>
      <w:r>
        <w:rPr>
          <w:color w:val="000000"/>
          <w:sz w:val="28"/>
          <w:szCs w:val="28"/>
          <w:lang w:val="uk-UA"/>
        </w:rPr>
        <w:sym w:font="Symbol" w:char="003D"/>
      </w:r>
      <w:r>
        <w:rPr>
          <w:color w:val="000000"/>
          <w:sz w:val="28"/>
          <w:szCs w:val="28"/>
          <w:lang w:val="uk-UA"/>
        </w:rPr>
        <w:t xml:space="preserve">0,004). </w:t>
      </w:r>
    </w:p>
    <w:p w:rsidR="00A01923" w:rsidRDefault="00487043" w:rsidP="0036340F">
      <w:pPr>
        <w:pStyle w:val="ac"/>
        <w:spacing w:line="360" w:lineRule="auto"/>
        <w:ind w:left="-709" w:firstLine="709"/>
        <w:jc w:val="both"/>
        <w:rPr>
          <w:sz w:val="28"/>
          <w:szCs w:val="28"/>
          <w:lang w:val="uk-UA"/>
        </w:rPr>
      </w:pPr>
      <w:r w:rsidRPr="00487043">
        <w:pict>
          <v:shape id="_x0000_s2152" type="#_x0000_t202" style="position:absolute;left:0;text-align:left;margin-left:-29.75pt;margin-top:51.8pt;width:484.15pt;height:250.7pt;z-index:251654656" stroked="f">
            <v:textbox style="mso-next-textbox:#_x0000_s2152">
              <w:txbxContent>
                <w:p w:rsidR="00DA0A21" w:rsidRDefault="00DA0A21" w:rsidP="00A01923">
                  <w:pPr>
                    <w:spacing w:after="0" w:line="360" w:lineRule="auto"/>
                    <w:rPr>
                      <w:noProof/>
                      <w:color w:val="FF0000"/>
                      <w:sz w:val="28"/>
                      <w:szCs w:val="28"/>
                      <w:lang w:val="uk-UA" w:eastAsia="en-US"/>
                    </w:rPr>
                  </w:pPr>
                  <w:r>
                    <w:rPr>
                      <w:rFonts w:ascii="Calibri" w:eastAsia="Times New Roman" w:hAnsi="Calibri" w:cs="Times New Roman"/>
                      <w:noProof/>
                    </w:rPr>
                    <w:drawing>
                      <wp:inline distT="0" distB="0" distL="0" distR="0">
                        <wp:extent cx="6120881" cy="3265714"/>
                        <wp:effectExtent l="0" t="0" r="0" b="0"/>
                        <wp:docPr id="70" name="Объект 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txbxContent>
            </v:textbox>
            <w10:wrap type="square"/>
          </v:shape>
        </w:pict>
      </w:r>
      <w:r w:rsidR="00A01923">
        <w:rPr>
          <w:color w:val="000000"/>
          <w:sz w:val="28"/>
          <w:szCs w:val="28"/>
          <w:lang w:val="uk-UA"/>
        </w:rPr>
        <w:t>Динаміку зміни показника СРБ у крові пацієнтів</w:t>
      </w:r>
      <w:r w:rsidR="00A01923">
        <w:rPr>
          <w:sz w:val="28"/>
          <w:szCs w:val="28"/>
          <w:lang w:val="uk-UA"/>
        </w:rPr>
        <w:t xml:space="preserve"> основної групи представлено на рис. 4.3.</w:t>
      </w:r>
    </w:p>
    <w:p w:rsidR="00A01923" w:rsidRDefault="00487043" w:rsidP="00A01923">
      <w:pPr>
        <w:pStyle w:val="ac"/>
        <w:spacing w:line="360" w:lineRule="auto"/>
        <w:ind w:left="-567" w:firstLine="567"/>
        <w:jc w:val="both"/>
        <w:rPr>
          <w:sz w:val="28"/>
          <w:szCs w:val="28"/>
          <w:lang w:val="uk-UA"/>
        </w:rPr>
      </w:pPr>
      <w:r w:rsidRPr="00487043">
        <w:pict>
          <v:shape id="_x0000_s2158" type="#_x0000_t202" style="position:absolute;left:0;text-align:left;margin-left:-18.05pt;margin-top:240.45pt;width:483.85pt;height:22.95pt;z-index:251655680;mso-height-percent:200;mso-height-percent:200;mso-width-relative:margin;mso-height-relative:margin" stroked="f">
            <v:textbox style="mso-next-textbox:#_x0000_s2158;mso-fit-shape-to-text:t">
              <w:txbxContent>
                <w:p w:rsidR="00DA0A21" w:rsidRDefault="00DA0A21" w:rsidP="00A01923">
                  <w:pPr>
                    <w:pStyle w:val="ac"/>
                    <w:jc w:val="center"/>
                    <w:rPr>
                      <w:sz w:val="28"/>
                      <w:szCs w:val="28"/>
                      <w:lang w:val="uk-UA"/>
                    </w:rPr>
                  </w:pPr>
                  <w:r>
                    <w:rPr>
                      <w:sz w:val="28"/>
                      <w:szCs w:val="28"/>
                      <w:lang w:val="uk-UA"/>
                    </w:rPr>
                    <w:t xml:space="preserve">Рис. </w:t>
                  </w:r>
                  <w:r>
                    <w:rPr>
                      <w:sz w:val="28"/>
                      <w:szCs w:val="28"/>
                    </w:rPr>
                    <w:t>4</w:t>
                  </w:r>
                  <w:r>
                    <w:rPr>
                      <w:sz w:val="28"/>
                      <w:szCs w:val="28"/>
                      <w:lang w:val="uk-UA"/>
                    </w:rPr>
                    <w:t>.3 Динаміка показників СРБ у підгрупах основної групи</w:t>
                  </w:r>
                </w:p>
              </w:txbxContent>
            </v:textbox>
          </v:shape>
        </w:pict>
      </w:r>
    </w:p>
    <w:p w:rsidR="00A01923" w:rsidRDefault="00A01923" w:rsidP="0036340F">
      <w:pPr>
        <w:pStyle w:val="ac"/>
        <w:spacing w:line="360" w:lineRule="auto"/>
        <w:ind w:left="-709" w:firstLine="709"/>
        <w:jc w:val="both"/>
        <w:rPr>
          <w:color w:val="000000"/>
          <w:sz w:val="28"/>
          <w:szCs w:val="28"/>
          <w:lang w:val="uk-UA"/>
        </w:rPr>
      </w:pPr>
      <w:r>
        <w:rPr>
          <w:color w:val="000000"/>
          <w:sz w:val="28"/>
          <w:szCs w:val="28"/>
          <w:lang w:val="uk-UA"/>
        </w:rPr>
        <w:t>З рисунку</w:t>
      </w:r>
      <w:r>
        <w:rPr>
          <w:sz w:val="28"/>
          <w:szCs w:val="28"/>
          <w:lang w:val="uk-UA"/>
        </w:rPr>
        <w:t xml:space="preserve"> видно, що </w:t>
      </w:r>
      <w:r>
        <w:rPr>
          <w:color w:val="000000"/>
          <w:sz w:val="28"/>
          <w:szCs w:val="28"/>
          <w:lang w:val="uk-UA"/>
        </w:rPr>
        <w:t xml:space="preserve">у всіх підгрупах відмічається зниження рівню показника СРБ протягом року спостереження в середньому на 47,4% у строк 6 місяців у порівнянні з вихідними даними </w:t>
      </w:r>
      <w:r>
        <w:rPr>
          <w:sz w:val="28"/>
          <w:szCs w:val="28"/>
          <w:lang w:val="uk-UA"/>
        </w:rPr>
        <w:t>(95% ДІ від 1,61 до 3,79, р</w:t>
      </w:r>
      <w:r>
        <w:rPr>
          <w:sz w:val="28"/>
          <w:szCs w:val="28"/>
          <w:lang w:val="uk-UA"/>
        </w:rPr>
        <w:sym w:font="Symbol" w:char="003D"/>
      </w:r>
      <w:r>
        <w:rPr>
          <w:sz w:val="28"/>
          <w:szCs w:val="28"/>
          <w:lang w:val="uk-UA"/>
        </w:rPr>
        <w:t xml:space="preserve">0,000) </w:t>
      </w:r>
      <w:r>
        <w:rPr>
          <w:color w:val="000000"/>
          <w:sz w:val="28"/>
          <w:szCs w:val="28"/>
          <w:lang w:val="uk-UA"/>
        </w:rPr>
        <w:t xml:space="preserve">та на 42,4% у </w:t>
      </w:r>
      <w:r>
        <w:rPr>
          <w:color w:val="000000"/>
          <w:sz w:val="28"/>
          <w:szCs w:val="28"/>
          <w:lang w:val="uk-UA"/>
        </w:rPr>
        <w:lastRenderedPageBreak/>
        <w:t xml:space="preserve">строк 12 місяців у порівнянні з вихідними даними </w:t>
      </w:r>
      <w:r>
        <w:rPr>
          <w:sz w:val="28"/>
          <w:szCs w:val="28"/>
          <w:lang w:val="uk-UA"/>
        </w:rPr>
        <w:t>(95% ДІ від 1,322 до 3,678, р</w:t>
      </w:r>
      <w:r>
        <w:rPr>
          <w:sz w:val="28"/>
          <w:szCs w:val="28"/>
          <w:lang w:val="uk-UA"/>
        </w:rPr>
        <w:sym w:font="Symbol" w:char="003D"/>
      </w:r>
      <w:r>
        <w:rPr>
          <w:sz w:val="28"/>
          <w:szCs w:val="28"/>
          <w:lang w:val="uk-UA"/>
        </w:rPr>
        <w:t>0,000)</w:t>
      </w:r>
      <w:r>
        <w:rPr>
          <w:color w:val="000000"/>
          <w:sz w:val="28"/>
          <w:szCs w:val="28"/>
          <w:lang w:val="uk-UA"/>
        </w:rPr>
        <w:t>, що свідчить про зниження рівню інтенсивності запальних процесів під впливом лікування, але не їх невілювання, що також є ознакою прогресування первинного захворювання.</w:t>
      </w:r>
    </w:p>
    <w:p w:rsidR="00A01923" w:rsidRDefault="00A01923" w:rsidP="0036340F">
      <w:pPr>
        <w:spacing w:after="0" w:line="360" w:lineRule="auto"/>
        <w:ind w:left="-709" w:firstLine="709"/>
        <w:jc w:val="both"/>
        <w:rPr>
          <w:rFonts w:ascii="Times New Roman" w:hAnsi="Times New Roman"/>
          <w:color w:val="000000"/>
          <w:sz w:val="28"/>
          <w:szCs w:val="28"/>
        </w:rPr>
      </w:pPr>
      <w:r>
        <w:rPr>
          <w:rFonts w:ascii="Times New Roman" w:hAnsi="Times New Roman"/>
          <w:color w:val="000000"/>
          <w:sz w:val="28"/>
          <w:szCs w:val="28"/>
        </w:rPr>
        <w:t xml:space="preserve">Ще одним показником, за допомогою якого ми визначали динаміку лікування хворих на ХКІНК, був рівень фібриногену крові, </w:t>
      </w:r>
      <w:r>
        <w:rPr>
          <w:rFonts w:ascii="Times New Roman" w:hAnsi="Times New Roman"/>
          <w:color w:val="000000"/>
          <w:sz w:val="28"/>
          <w:szCs w:val="28"/>
          <w:lang w:val="uk-UA"/>
        </w:rPr>
        <w:t>який</w:t>
      </w:r>
      <w:r>
        <w:rPr>
          <w:rFonts w:ascii="Times New Roman" w:hAnsi="Times New Roman"/>
          <w:color w:val="000000"/>
          <w:sz w:val="28"/>
          <w:szCs w:val="28"/>
        </w:rPr>
        <w:t xml:space="preserve"> є непрямим показником дисфункції ендотелію та порушення гомеостазу. Показники середнього значення концентрації фібриногену у основній групі розподілились наступним чином (табл</w:t>
      </w:r>
      <w:r>
        <w:rPr>
          <w:rFonts w:ascii="Times New Roman" w:hAnsi="Times New Roman"/>
          <w:color w:val="000000"/>
          <w:sz w:val="28"/>
          <w:szCs w:val="28"/>
          <w:lang w:val="uk-UA"/>
        </w:rPr>
        <w:t>.</w:t>
      </w:r>
      <w:r>
        <w:rPr>
          <w:rFonts w:ascii="Times New Roman" w:hAnsi="Times New Roman"/>
          <w:color w:val="000000"/>
          <w:sz w:val="28"/>
          <w:szCs w:val="28"/>
        </w:rPr>
        <w:t xml:space="preserve"> 4.</w:t>
      </w:r>
      <w:r>
        <w:rPr>
          <w:rFonts w:ascii="Times New Roman" w:hAnsi="Times New Roman"/>
          <w:color w:val="000000"/>
          <w:sz w:val="28"/>
          <w:szCs w:val="28"/>
          <w:lang w:val="uk-UA"/>
        </w:rPr>
        <w:t>4</w:t>
      </w:r>
      <w:r>
        <w:rPr>
          <w:rFonts w:ascii="Times New Roman" w:hAnsi="Times New Roman"/>
          <w:color w:val="000000"/>
          <w:sz w:val="28"/>
          <w:szCs w:val="28"/>
        </w:rPr>
        <w:t>)</w:t>
      </w:r>
    </w:p>
    <w:p w:rsidR="00A01923" w:rsidRDefault="00A01923" w:rsidP="00A01923">
      <w:pPr>
        <w:spacing w:after="0" w:line="360" w:lineRule="auto"/>
        <w:ind w:firstLine="567"/>
        <w:jc w:val="right"/>
        <w:rPr>
          <w:rFonts w:ascii="Times New Roman" w:hAnsi="Times New Roman"/>
          <w:i/>
          <w:color w:val="000000"/>
          <w:sz w:val="28"/>
          <w:szCs w:val="28"/>
          <w:lang w:val="uk-UA"/>
        </w:rPr>
      </w:pPr>
      <w:r>
        <w:rPr>
          <w:rFonts w:ascii="Times New Roman" w:hAnsi="Times New Roman"/>
          <w:i/>
          <w:color w:val="000000"/>
          <w:sz w:val="28"/>
          <w:szCs w:val="28"/>
        </w:rPr>
        <w:t>Таблиця 4.</w:t>
      </w:r>
      <w:r>
        <w:rPr>
          <w:rFonts w:ascii="Times New Roman" w:hAnsi="Times New Roman"/>
          <w:i/>
          <w:color w:val="000000"/>
          <w:sz w:val="28"/>
          <w:szCs w:val="28"/>
          <w:lang w:val="uk-UA"/>
        </w:rPr>
        <w:t>4</w:t>
      </w:r>
    </w:p>
    <w:p w:rsidR="00A01923" w:rsidRDefault="00A01923" w:rsidP="00A01923">
      <w:pPr>
        <w:spacing w:after="0" w:line="360" w:lineRule="auto"/>
        <w:ind w:firstLine="567"/>
        <w:rPr>
          <w:rFonts w:ascii="Times New Roman" w:hAnsi="Times New Roman"/>
          <w:b/>
          <w:color w:val="000000"/>
          <w:sz w:val="28"/>
          <w:szCs w:val="28"/>
          <w:lang w:val="uk-UA"/>
        </w:rPr>
      </w:pPr>
      <w:r>
        <w:rPr>
          <w:rFonts w:ascii="Times New Roman" w:hAnsi="Times New Roman"/>
          <w:b/>
          <w:sz w:val="28"/>
          <w:szCs w:val="28"/>
          <w:lang w:val="uk-UA"/>
        </w:rPr>
        <w:t xml:space="preserve">Динаміка показників </w:t>
      </w:r>
      <w:r>
        <w:rPr>
          <w:rFonts w:ascii="Times New Roman" w:hAnsi="Times New Roman"/>
          <w:b/>
          <w:color w:val="000000"/>
          <w:sz w:val="28"/>
          <w:szCs w:val="28"/>
        </w:rPr>
        <w:t>рівню концентрації фібриногену у підгрупах</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2551"/>
        <w:gridCol w:w="2268"/>
        <w:gridCol w:w="1917"/>
      </w:tblGrid>
      <w:tr w:rsidR="00744C97" w:rsidTr="00744C97">
        <w:trPr>
          <w:trHeight w:val="463"/>
        </w:trPr>
        <w:tc>
          <w:tcPr>
            <w:tcW w:w="2836" w:type="dxa"/>
            <w:tcBorders>
              <w:top w:val="single" w:sz="4" w:space="0" w:color="000000"/>
              <w:left w:val="single" w:sz="4" w:space="0" w:color="000000"/>
              <w:bottom w:val="single" w:sz="4" w:space="0" w:color="000000"/>
              <w:right w:val="single" w:sz="4" w:space="0" w:color="000000"/>
            </w:tcBorders>
          </w:tcPr>
          <w:p w:rsidR="00744C97" w:rsidRDefault="00744C97" w:rsidP="00744C97">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Час визначення</w:t>
            </w:r>
          </w:p>
        </w:tc>
        <w:tc>
          <w:tcPr>
            <w:tcW w:w="2551" w:type="dxa"/>
            <w:vMerge w:val="restart"/>
            <w:tcBorders>
              <w:top w:val="single" w:sz="4" w:space="0" w:color="000000"/>
              <w:left w:val="single" w:sz="4" w:space="0" w:color="000000"/>
              <w:right w:val="single" w:sz="4" w:space="0" w:color="000000"/>
            </w:tcBorders>
            <w:vAlign w:val="center"/>
            <w:hideMark/>
          </w:tcPr>
          <w:p w:rsidR="00744C97" w:rsidRDefault="00744C97">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Вихідні дані</w:t>
            </w:r>
          </w:p>
          <w:p w:rsidR="00744C97" w:rsidRDefault="00744C97">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г/л</w:t>
            </w:r>
            <w:r>
              <w:rPr>
                <w:rFonts w:ascii="Times New Roman" w:hAnsi="Times New Roman"/>
                <w:sz w:val="28"/>
                <w:szCs w:val="28"/>
                <w:lang w:val="uk-UA"/>
              </w:rPr>
              <w:t>)</w:t>
            </w:r>
          </w:p>
        </w:tc>
        <w:tc>
          <w:tcPr>
            <w:tcW w:w="2268" w:type="dxa"/>
            <w:vMerge w:val="restart"/>
            <w:tcBorders>
              <w:top w:val="single" w:sz="4" w:space="0" w:color="000000"/>
              <w:left w:val="single" w:sz="4" w:space="0" w:color="000000"/>
              <w:right w:val="single" w:sz="4" w:space="0" w:color="000000"/>
            </w:tcBorders>
            <w:vAlign w:val="center"/>
            <w:hideMark/>
          </w:tcPr>
          <w:p w:rsidR="00744C97" w:rsidRDefault="00744C97">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За 6 місяців</w:t>
            </w:r>
          </w:p>
          <w:p w:rsidR="00744C97" w:rsidRDefault="00744C97">
            <w:pPr>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г/л</w:t>
            </w:r>
            <w:r>
              <w:rPr>
                <w:rFonts w:ascii="Times New Roman" w:hAnsi="Times New Roman"/>
                <w:sz w:val="28"/>
                <w:szCs w:val="28"/>
                <w:lang w:val="uk-UA"/>
              </w:rPr>
              <w:t>)</w:t>
            </w:r>
          </w:p>
        </w:tc>
        <w:tc>
          <w:tcPr>
            <w:tcW w:w="1917" w:type="dxa"/>
            <w:vMerge w:val="restart"/>
            <w:tcBorders>
              <w:top w:val="single" w:sz="4" w:space="0" w:color="000000"/>
              <w:left w:val="single" w:sz="4" w:space="0" w:color="000000"/>
              <w:right w:val="single" w:sz="4" w:space="0" w:color="000000"/>
            </w:tcBorders>
            <w:vAlign w:val="center"/>
            <w:hideMark/>
          </w:tcPr>
          <w:p w:rsidR="00744C97" w:rsidRDefault="00744C97">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 xml:space="preserve">За 12 </w:t>
            </w:r>
            <w:r>
              <w:rPr>
                <w:rFonts w:ascii="Times New Roman" w:hAnsi="Times New Roman"/>
                <w:sz w:val="28"/>
                <w:szCs w:val="28"/>
              </w:rPr>
              <w:t>місяців</w:t>
            </w:r>
          </w:p>
          <w:p w:rsidR="00744C97" w:rsidRDefault="00744C97">
            <w:pPr>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rPr>
              <w:t>г/л</w:t>
            </w:r>
            <w:r>
              <w:rPr>
                <w:rFonts w:ascii="Times New Roman" w:hAnsi="Times New Roman"/>
                <w:sz w:val="28"/>
                <w:szCs w:val="28"/>
                <w:lang w:val="uk-UA"/>
              </w:rPr>
              <w:t>)</w:t>
            </w:r>
          </w:p>
        </w:tc>
      </w:tr>
      <w:tr w:rsidR="00744C97" w:rsidTr="00744C97">
        <w:trPr>
          <w:trHeight w:val="427"/>
        </w:trPr>
        <w:tc>
          <w:tcPr>
            <w:tcW w:w="2836" w:type="dxa"/>
            <w:tcBorders>
              <w:top w:val="single" w:sz="4" w:space="0" w:color="000000"/>
              <w:left w:val="single" w:sz="4" w:space="0" w:color="000000"/>
              <w:bottom w:val="single" w:sz="4" w:space="0" w:color="000000"/>
              <w:right w:val="single" w:sz="4" w:space="0" w:color="000000"/>
            </w:tcBorders>
          </w:tcPr>
          <w:p w:rsidR="00744C97" w:rsidRDefault="00744C97">
            <w:pPr>
              <w:spacing w:after="0" w:line="360" w:lineRule="auto"/>
              <w:jc w:val="center"/>
              <w:rPr>
                <w:rFonts w:ascii="Times New Roman" w:hAnsi="Times New Roman"/>
                <w:sz w:val="28"/>
                <w:szCs w:val="28"/>
                <w:lang w:val="uk-UA"/>
              </w:rPr>
            </w:pPr>
            <w:r>
              <w:rPr>
                <w:rFonts w:ascii="Times New Roman" w:hAnsi="Times New Roman"/>
                <w:sz w:val="28"/>
                <w:szCs w:val="28"/>
                <w:lang w:val="uk-UA"/>
              </w:rPr>
              <w:t>Підгрупи</w:t>
            </w:r>
          </w:p>
        </w:tc>
        <w:tc>
          <w:tcPr>
            <w:tcW w:w="2551" w:type="dxa"/>
            <w:vMerge/>
            <w:tcBorders>
              <w:left w:val="single" w:sz="4" w:space="0" w:color="000000"/>
              <w:bottom w:val="single" w:sz="4" w:space="0" w:color="000000"/>
              <w:right w:val="single" w:sz="4" w:space="0" w:color="000000"/>
            </w:tcBorders>
            <w:vAlign w:val="center"/>
            <w:hideMark/>
          </w:tcPr>
          <w:p w:rsidR="00744C97" w:rsidRDefault="00744C97">
            <w:pPr>
              <w:spacing w:after="0" w:line="360" w:lineRule="auto"/>
              <w:jc w:val="center"/>
              <w:rPr>
                <w:rFonts w:ascii="Times New Roman" w:hAnsi="Times New Roman"/>
                <w:sz w:val="28"/>
                <w:szCs w:val="28"/>
                <w:lang w:val="uk-UA"/>
              </w:rPr>
            </w:pPr>
          </w:p>
        </w:tc>
        <w:tc>
          <w:tcPr>
            <w:tcW w:w="2268" w:type="dxa"/>
            <w:vMerge/>
            <w:tcBorders>
              <w:left w:val="single" w:sz="4" w:space="0" w:color="000000"/>
              <w:bottom w:val="single" w:sz="4" w:space="0" w:color="000000"/>
              <w:right w:val="single" w:sz="4" w:space="0" w:color="000000"/>
            </w:tcBorders>
            <w:vAlign w:val="center"/>
            <w:hideMark/>
          </w:tcPr>
          <w:p w:rsidR="00744C97" w:rsidRDefault="00744C97">
            <w:pPr>
              <w:spacing w:after="0" w:line="360" w:lineRule="auto"/>
              <w:jc w:val="center"/>
              <w:rPr>
                <w:rFonts w:ascii="Times New Roman" w:hAnsi="Times New Roman"/>
                <w:sz w:val="28"/>
                <w:szCs w:val="28"/>
                <w:lang w:val="uk-UA"/>
              </w:rPr>
            </w:pPr>
          </w:p>
        </w:tc>
        <w:tc>
          <w:tcPr>
            <w:tcW w:w="1917" w:type="dxa"/>
            <w:vMerge/>
            <w:tcBorders>
              <w:left w:val="single" w:sz="4" w:space="0" w:color="000000"/>
              <w:bottom w:val="single" w:sz="4" w:space="0" w:color="000000"/>
              <w:right w:val="single" w:sz="4" w:space="0" w:color="000000"/>
            </w:tcBorders>
            <w:vAlign w:val="center"/>
            <w:hideMark/>
          </w:tcPr>
          <w:p w:rsidR="00744C97" w:rsidRDefault="00744C97">
            <w:pPr>
              <w:spacing w:after="0" w:line="360" w:lineRule="auto"/>
              <w:jc w:val="center"/>
              <w:rPr>
                <w:rFonts w:ascii="Times New Roman" w:hAnsi="Times New Roman"/>
                <w:sz w:val="28"/>
                <w:szCs w:val="28"/>
                <w:lang w:val="uk-UA"/>
              </w:rPr>
            </w:pPr>
          </w:p>
        </w:tc>
      </w:tr>
      <w:tr w:rsidR="00A01923" w:rsidTr="00744C97">
        <w:trPr>
          <w:trHeight w:val="747"/>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Загальногруповий показник</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9</w:t>
            </w:r>
            <w:r>
              <w:rPr>
                <w:rFonts w:ascii="Times New Roman" w:hAnsi="Times New Roman"/>
                <w:sz w:val="28"/>
                <w:szCs w:val="28"/>
              </w:rPr>
              <w:t>± 1,34*</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2</w:t>
            </w:r>
            <w:r>
              <w:rPr>
                <w:rFonts w:ascii="Times New Roman" w:hAnsi="Times New Roman"/>
                <w:sz w:val="28"/>
                <w:szCs w:val="28"/>
              </w:rPr>
              <w:t>± 1,03*</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5</w:t>
            </w:r>
            <w:r>
              <w:rPr>
                <w:rFonts w:ascii="Times New Roman" w:hAnsi="Times New Roman"/>
                <w:sz w:val="28"/>
                <w:szCs w:val="28"/>
              </w:rPr>
              <w:t>± 1,2</w:t>
            </w:r>
            <w:r>
              <w:rPr>
                <w:rFonts w:ascii="Times New Roman" w:hAnsi="Times New Roman"/>
                <w:sz w:val="28"/>
                <w:szCs w:val="28"/>
                <w:lang w:val="uk-UA"/>
              </w:rPr>
              <w:t>4</w:t>
            </w:r>
            <w:r>
              <w:rPr>
                <w:rFonts w:ascii="Times New Roman" w:hAnsi="Times New Roman"/>
                <w:sz w:val="28"/>
                <w:szCs w:val="28"/>
              </w:rPr>
              <w:t>*</w:t>
            </w:r>
          </w:p>
        </w:tc>
      </w:tr>
      <w:tr w:rsidR="00A01923" w:rsidTr="00A01923">
        <w:trPr>
          <w:trHeight w:val="4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ІІІ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5,</w:t>
            </w:r>
            <w:r>
              <w:rPr>
                <w:rFonts w:ascii="Times New Roman" w:hAnsi="Times New Roman"/>
                <w:sz w:val="28"/>
                <w:szCs w:val="28"/>
                <w:lang w:val="uk-UA"/>
              </w:rPr>
              <w:t>4</w:t>
            </w:r>
            <w:r>
              <w:rPr>
                <w:rFonts w:ascii="Times New Roman" w:hAnsi="Times New Roman"/>
                <w:sz w:val="28"/>
                <w:szCs w:val="28"/>
              </w:rPr>
              <w:t>± 1,5</w:t>
            </w:r>
            <w:r>
              <w:rPr>
                <w:rFonts w:ascii="Times New Roman" w:hAnsi="Times New Roman"/>
                <w:sz w:val="28"/>
                <w:szCs w:val="28"/>
                <w:lang w:val="uk-UA"/>
              </w:rPr>
              <w:t>9</w:t>
            </w:r>
            <w:r>
              <w:rPr>
                <w:rFonts w:ascii="Times New Roman" w:hAnsi="Times New Roman"/>
                <w:sz w:val="28"/>
                <w:szCs w:val="28"/>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 xml:space="preserve">4,4± </w:t>
            </w:r>
            <w:r>
              <w:rPr>
                <w:rFonts w:ascii="Times New Roman" w:hAnsi="Times New Roman"/>
                <w:sz w:val="28"/>
                <w:szCs w:val="28"/>
                <w:lang w:val="uk-UA"/>
              </w:rPr>
              <w:t>0,56</w:t>
            </w:r>
            <w:r>
              <w:rPr>
                <w:rFonts w:ascii="Times New Roman" w:hAnsi="Times New Roman"/>
                <w:sz w:val="28"/>
                <w:szCs w:val="28"/>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5</w:t>
            </w:r>
            <w:r>
              <w:rPr>
                <w:rFonts w:ascii="Times New Roman" w:hAnsi="Times New Roman"/>
                <w:sz w:val="28"/>
                <w:szCs w:val="28"/>
              </w:rPr>
              <w:t>± 1,29*</w:t>
            </w:r>
          </w:p>
        </w:tc>
      </w:tr>
      <w:tr w:rsidR="00A01923" w:rsidTr="00A01923">
        <w:trPr>
          <w:trHeight w:val="436"/>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w:t>
            </w:r>
            <w:r>
              <w:rPr>
                <w:rFonts w:ascii="Times New Roman" w:hAnsi="Times New Roman"/>
                <w:sz w:val="28"/>
                <w:szCs w:val="28"/>
                <w:lang w:val="en-US"/>
              </w:rPr>
              <w:t>IV</w:t>
            </w:r>
            <w:r>
              <w:rPr>
                <w:rFonts w:ascii="Times New Roman" w:hAnsi="Times New Roman"/>
                <w:sz w:val="28"/>
                <w:szCs w:val="28"/>
              </w:rPr>
              <w:t xml:space="preserve"> ст. ішемії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6</w:t>
            </w:r>
            <w:r>
              <w:rPr>
                <w:rFonts w:ascii="Times New Roman" w:hAnsi="Times New Roman"/>
                <w:sz w:val="28"/>
                <w:szCs w:val="28"/>
              </w:rPr>
              <w:t>± 1,15*</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4,0± 0,7</w:t>
            </w:r>
            <w:r>
              <w:rPr>
                <w:rFonts w:ascii="Times New Roman" w:hAnsi="Times New Roman"/>
                <w:sz w:val="28"/>
                <w:szCs w:val="28"/>
                <w:lang w:val="uk-UA"/>
              </w:rPr>
              <w:t>7</w:t>
            </w:r>
            <w:r>
              <w:rPr>
                <w:rFonts w:ascii="Times New Roman" w:hAnsi="Times New Roman"/>
                <w:sz w:val="28"/>
                <w:szCs w:val="28"/>
              </w:rPr>
              <w:t>*</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4,4± 1,24*</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4,6± 0,9</w:t>
            </w:r>
            <w:r>
              <w:rPr>
                <w:rFonts w:ascii="Times New Roman" w:hAnsi="Times New Roman"/>
                <w:sz w:val="28"/>
                <w:szCs w:val="28"/>
                <w:lang w:val="uk-UA"/>
              </w:rPr>
              <w:t>3</w:t>
            </w:r>
            <w:r>
              <w:rPr>
                <w:rFonts w:ascii="Times New Roman" w:hAnsi="Times New Roman"/>
                <w:sz w:val="28"/>
                <w:szCs w:val="28"/>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 ± 0,89*</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4,0± 0,76*</w:t>
            </w:r>
          </w:p>
        </w:tc>
      </w:tr>
      <w:tr w:rsidR="00A01923" w:rsidTr="00A01923">
        <w:trPr>
          <w:trHeight w:val="505"/>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 xml:space="preserve">Хворі без ЦД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5,0± 1,5</w:t>
            </w:r>
            <w:r>
              <w:rPr>
                <w:rFonts w:ascii="Times New Roman" w:hAnsi="Times New Roman"/>
                <w:sz w:val="28"/>
                <w:szCs w:val="28"/>
                <w:lang w:val="uk-UA"/>
              </w:rPr>
              <w:t>8</w:t>
            </w:r>
            <w:r>
              <w:rPr>
                <w:rFonts w:ascii="Times New Roman" w:hAnsi="Times New Roman"/>
                <w:sz w:val="28"/>
                <w:szCs w:val="28"/>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3</w:t>
            </w:r>
            <w:r>
              <w:rPr>
                <w:rFonts w:ascii="Times New Roman" w:hAnsi="Times New Roman"/>
                <w:sz w:val="28"/>
                <w:szCs w:val="28"/>
              </w:rPr>
              <w:t>± 1,13*</w:t>
            </w:r>
          </w:p>
        </w:tc>
        <w:tc>
          <w:tcPr>
            <w:tcW w:w="1917"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sz w:val="28"/>
                <w:szCs w:val="28"/>
              </w:rPr>
            </w:pPr>
            <w:r>
              <w:rPr>
                <w:rFonts w:ascii="Times New Roman" w:hAnsi="Times New Roman"/>
                <w:sz w:val="28"/>
                <w:szCs w:val="28"/>
              </w:rPr>
              <w:t>4,</w:t>
            </w:r>
            <w:r>
              <w:rPr>
                <w:rFonts w:ascii="Times New Roman" w:hAnsi="Times New Roman"/>
                <w:sz w:val="28"/>
                <w:szCs w:val="28"/>
                <w:lang w:val="uk-UA"/>
              </w:rPr>
              <w:t>8</w:t>
            </w:r>
            <w:r>
              <w:rPr>
                <w:rFonts w:ascii="Times New Roman" w:hAnsi="Times New Roman"/>
                <w:sz w:val="28"/>
                <w:szCs w:val="28"/>
              </w:rPr>
              <w:t>± 1,43*</w:t>
            </w:r>
          </w:p>
        </w:tc>
      </w:tr>
      <w:tr w:rsidR="00A01923" w:rsidTr="00A01923">
        <w:trPr>
          <w:trHeight w:val="91"/>
        </w:trPr>
        <w:tc>
          <w:tcPr>
            <w:tcW w:w="2836"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rPr>
                <w:rFonts w:ascii="Times New Roman" w:eastAsia="Times New Roman" w:hAnsi="Times New Roman"/>
                <w:sz w:val="28"/>
                <w:szCs w:val="28"/>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rPr>
              <w:t>г/л</w:t>
            </w:r>
          </w:p>
        </w:tc>
        <w:tc>
          <w:tcPr>
            <w:tcW w:w="6736" w:type="dxa"/>
            <w:gridSpan w:val="3"/>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sz w:val="28"/>
                <w:szCs w:val="28"/>
                <w:lang w:val="uk-UA"/>
              </w:rPr>
            </w:pPr>
            <w:r>
              <w:rPr>
                <w:rFonts w:ascii="Times New Roman" w:hAnsi="Times New Roman"/>
                <w:sz w:val="28"/>
                <w:szCs w:val="28"/>
              </w:rPr>
              <w:t>2,8± 0,3</w:t>
            </w:r>
            <w:r>
              <w:rPr>
                <w:rFonts w:ascii="Times New Roman" w:hAnsi="Times New Roman"/>
                <w:sz w:val="28"/>
                <w:szCs w:val="28"/>
                <w:lang w:val="uk-UA"/>
              </w:rPr>
              <w:t>8</w:t>
            </w:r>
          </w:p>
        </w:tc>
      </w:tr>
    </w:tbl>
    <w:p w:rsidR="00A01923" w:rsidRDefault="00A01923" w:rsidP="00A01923">
      <w:pPr>
        <w:pStyle w:val="ac"/>
        <w:rPr>
          <w:sz w:val="28"/>
          <w:szCs w:val="28"/>
          <w:lang w:val="uk-UA"/>
        </w:rPr>
      </w:pPr>
      <w:r>
        <w:rPr>
          <w:sz w:val="28"/>
          <w:szCs w:val="28"/>
          <w:lang w:val="uk-UA"/>
        </w:rPr>
        <w:t xml:space="preserve">Примітка:* </w:t>
      </w:r>
      <w:r>
        <w:rPr>
          <w:sz w:val="28"/>
          <w:szCs w:val="28"/>
        </w:rPr>
        <w:t>−</w:t>
      </w:r>
      <w:r>
        <w:rPr>
          <w:sz w:val="28"/>
          <w:szCs w:val="28"/>
          <w:lang w:val="uk-UA"/>
        </w:rPr>
        <w:t xml:space="preserve"> достовірна різниця з контролем</w:t>
      </w:r>
    </w:p>
    <w:p w:rsidR="00A01923" w:rsidRDefault="00A01923" w:rsidP="00A01923">
      <w:pPr>
        <w:pStyle w:val="ac"/>
        <w:rPr>
          <w:sz w:val="28"/>
          <w:szCs w:val="28"/>
        </w:rPr>
      </w:pPr>
      <w:r>
        <w:rPr>
          <w:sz w:val="28"/>
          <w:szCs w:val="28"/>
        </w:rPr>
        <w:t xml:space="preserve">                 </w:t>
      </w:r>
      <w:r>
        <w:rPr>
          <w:sz w:val="28"/>
          <w:szCs w:val="28"/>
          <w:lang w:val="uk-UA"/>
        </w:rPr>
        <w:t>#</w:t>
      </w:r>
      <w:r>
        <w:rPr>
          <w:sz w:val="28"/>
          <w:szCs w:val="28"/>
        </w:rPr>
        <w:t xml:space="preserve"> −</w:t>
      </w:r>
      <w:r>
        <w:rPr>
          <w:sz w:val="28"/>
          <w:szCs w:val="28"/>
          <w:lang w:val="uk-UA"/>
        </w:rPr>
        <w:t xml:space="preserve"> достовірна різниця з вихідними даними</w:t>
      </w:r>
    </w:p>
    <w:p w:rsidR="00A01923" w:rsidRDefault="00A01923" w:rsidP="00A01923">
      <w:pPr>
        <w:pStyle w:val="ac"/>
        <w:rPr>
          <w:color w:val="000000"/>
          <w:sz w:val="28"/>
          <w:szCs w:val="28"/>
          <w:lang w:val="uk-UA"/>
        </w:rPr>
      </w:pPr>
    </w:p>
    <w:p w:rsidR="00A01923" w:rsidRDefault="00A01923" w:rsidP="0036340F">
      <w:pPr>
        <w:pStyle w:val="ac"/>
        <w:spacing w:line="360" w:lineRule="auto"/>
        <w:ind w:left="-709" w:firstLine="709"/>
        <w:jc w:val="both"/>
        <w:rPr>
          <w:color w:val="000000"/>
          <w:sz w:val="28"/>
          <w:szCs w:val="28"/>
          <w:lang w:val="uk-UA"/>
        </w:rPr>
      </w:pPr>
      <w:r>
        <w:rPr>
          <w:color w:val="000000"/>
          <w:sz w:val="28"/>
          <w:szCs w:val="28"/>
          <w:lang w:val="uk-UA"/>
        </w:rPr>
        <w:t>При визначенні достовірності різниці показників фібриногену у підгрупах, виявилося, що в усіх підгрупах є достовірна різниця з показником контролю, незалежно від часу отримання плазми крові (р</w:t>
      </w:r>
      <w:r>
        <w:rPr>
          <w:color w:val="000000"/>
          <w:sz w:val="28"/>
          <w:szCs w:val="28"/>
          <w:lang w:val="uk-UA"/>
        </w:rPr>
        <w:sym w:font="Symbol" w:char="003C"/>
      </w:r>
      <w:r>
        <w:rPr>
          <w:color w:val="000000"/>
          <w:sz w:val="28"/>
          <w:szCs w:val="28"/>
          <w:lang w:val="uk-UA"/>
        </w:rPr>
        <w:t xml:space="preserve">0.05). </w:t>
      </w:r>
    </w:p>
    <w:p w:rsidR="00A01923" w:rsidRDefault="00A01923" w:rsidP="0036340F">
      <w:pPr>
        <w:pStyle w:val="ac"/>
        <w:spacing w:line="360" w:lineRule="auto"/>
        <w:ind w:left="-709" w:firstLine="709"/>
        <w:jc w:val="both"/>
        <w:rPr>
          <w:sz w:val="28"/>
          <w:szCs w:val="28"/>
          <w:lang w:val="uk-UA"/>
        </w:rPr>
      </w:pPr>
      <w:r>
        <w:rPr>
          <w:sz w:val="28"/>
          <w:szCs w:val="28"/>
          <w:lang w:val="uk-UA"/>
        </w:rPr>
        <w:t xml:space="preserve">При підрахуванні критерію Ст’юдента при порівнянні підгруп між собою та в динаміці виявилося, що єдиною вірогідною різницею є різниця між показниками підгруп з ІІІ та </w:t>
      </w:r>
      <w:r>
        <w:rPr>
          <w:sz w:val="28"/>
          <w:szCs w:val="28"/>
          <w:lang w:val="en-US"/>
        </w:rPr>
        <w:t>IV</w:t>
      </w:r>
      <w:r>
        <w:rPr>
          <w:sz w:val="28"/>
          <w:szCs w:val="28"/>
          <w:lang w:val="uk-UA"/>
        </w:rPr>
        <w:t xml:space="preserve"> ступенями ішемії на етапі перевірки у 6 міс: середній рівень </w:t>
      </w:r>
      <w:r>
        <w:rPr>
          <w:sz w:val="28"/>
          <w:szCs w:val="28"/>
          <w:lang w:val="uk-UA"/>
        </w:rPr>
        <w:lastRenderedPageBreak/>
        <w:t xml:space="preserve">фібриногену у хворих з ІІІ </w:t>
      </w:r>
      <w:r>
        <w:rPr>
          <w:color w:val="000000"/>
          <w:sz w:val="28"/>
          <w:szCs w:val="28"/>
          <w:lang w:val="uk-UA"/>
        </w:rPr>
        <w:t>ступенем</w:t>
      </w:r>
      <w:r>
        <w:rPr>
          <w:sz w:val="28"/>
          <w:szCs w:val="28"/>
          <w:lang w:val="uk-UA"/>
        </w:rPr>
        <w:t xml:space="preserve"> ішемії був на 10% вищим, ніж у хворих з </w:t>
      </w:r>
      <w:r>
        <w:rPr>
          <w:sz w:val="28"/>
          <w:szCs w:val="28"/>
          <w:lang w:val="en-US"/>
        </w:rPr>
        <w:t>IV</w:t>
      </w:r>
      <w:r>
        <w:rPr>
          <w:sz w:val="28"/>
          <w:szCs w:val="28"/>
          <w:lang w:val="uk-UA"/>
        </w:rPr>
        <w:t xml:space="preserve"> </w:t>
      </w:r>
      <w:r>
        <w:rPr>
          <w:color w:val="000000"/>
          <w:sz w:val="28"/>
          <w:szCs w:val="28"/>
          <w:lang w:val="uk-UA"/>
        </w:rPr>
        <w:t>ступенем</w:t>
      </w:r>
      <w:r>
        <w:rPr>
          <w:sz w:val="28"/>
          <w:szCs w:val="28"/>
          <w:lang w:val="uk-UA"/>
        </w:rPr>
        <w:t xml:space="preserve"> ішемії (95% ДІ від 0,03926 до 0,7607, р</w:t>
      </w:r>
      <w:r>
        <w:rPr>
          <w:sz w:val="28"/>
          <w:szCs w:val="28"/>
          <w:lang w:val="uk-UA"/>
        </w:rPr>
        <w:sym w:font="Symbol" w:char="003D"/>
      </w:r>
      <w:r>
        <w:rPr>
          <w:sz w:val="28"/>
          <w:szCs w:val="28"/>
          <w:lang w:val="uk-UA"/>
        </w:rPr>
        <w:t>0,030).</w:t>
      </w:r>
    </w:p>
    <w:p w:rsidR="00A01923" w:rsidRDefault="00487043" w:rsidP="0036340F">
      <w:pPr>
        <w:pStyle w:val="ac"/>
        <w:spacing w:line="360" w:lineRule="auto"/>
        <w:ind w:left="-709" w:firstLine="709"/>
        <w:jc w:val="both"/>
        <w:rPr>
          <w:color w:val="000000"/>
          <w:sz w:val="28"/>
          <w:szCs w:val="28"/>
          <w:lang w:val="uk-UA"/>
        </w:rPr>
      </w:pPr>
      <w:r w:rsidRPr="00487043">
        <w:pict>
          <v:shape id="_x0000_s2153" type="#_x0000_t202" style="position:absolute;left:0;text-align:left;margin-left:-24.6pt;margin-top:44.85pt;width:460.65pt;height:289.2pt;z-index:251656704;mso-wrap-style:none" stroked="f">
            <v:textbox style="mso-fit-shape-to-text:t">
              <w:txbxContent>
                <w:p w:rsidR="00DA0A21" w:rsidRDefault="00DA0A21" w:rsidP="00A01923">
                  <w:r>
                    <w:rPr>
                      <w:rFonts w:ascii="Calibri" w:eastAsia="Times New Roman" w:hAnsi="Calibri" w:cs="Times New Roman"/>
                      <w:noProof/>
                    </w:rPr>
                    <w:drawing>
                      <wp:inline distT="0" distB="0" distL="0" distR="0">
                        <wp:extent cx="5673013" cy="2911151"/>
                        <wp:effectExtent l="0" t="0" r="0" b="0"/>
                        <wp:docPr id="71" name="Объект 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txbxContent>
            </v:textbox>
          </v:shape>
        </w:pict>
      </w:r>
      <w:r w:rsidR="00A01923">
        <w:rPr>
          <w:sz w:val="28"/>
          <w:szCs w:val="28"/>
          <w:lang w:val="uk-UA"/>
        </w:rPr>
        <w:t xml:space="preserve">Динаміку зміни показника </w:t>
      </w:r>
      <w:r w:rsidR="00A01923">
        <w:rPr>
          <w:color w:val="000000"/>
          <w:sz w:val="28"/>
          <w:szCs w:val="28"/>
          <w:lang w:val="uk-UA"/>
        </w:rPr>
        <w:t xml:space="preserve">фібриногену у крові пацієнтів основної групи представлено на графіку (рис. </w:t>
      </w:r>
      <w:r w:rsidR="00A01923">
        <w:rPr>
          <w:color w:val="000000"/>
          <w:sz w:val="28"/>
          <w:szCs w:val="28"/>
        </w:rPr>
        <w:t>4</w:t>
      </w:r>
      <w:r w:rsidR="00A01923">
        <w:rPr>
          <w:color w:val="000000"/>
          <w:sz w:val="28"/>
          <w:szCs w:val="28"/>
          <w:lang w:val="uk-UA"/>
        </w:rPr>
        <w:t>.4).</w:t>
      </w: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A01923" w:rsidP="00A01923">
      <w:pPr>
        <w:pStyle w:val="ac"/>
        <w:spacing w:line="360" w:lineRule="auto"/>
        <w:ind w:left="-567" w:firstLine="567"/>
        <w:jc w:val="both"/>
        <w:rPr>
          <w:color w:val="000000"/>
          <w:sz w:val="28"/>
          <w:szCs w:val="28"/>
          <w:lang w:val="uk-UA"/>
        </w:rPr>
      </w:pPr>
    </w:p>
    <w:p w:rsidR="00A01923" w:rsidRDefault="00487043" w:rsidP="00A01923">
      <w:pPr>
        <w:pStyle w:val="ac"/>
        <w:spacing w:line="360" w:lineRule="auto"/>
        <w:ind w:left="-567" w:firstLine="567"/>
        <w:jc w:val="both"/>
        <w:rPr>
          <w:color w:val="000000"/>
          <w:sz w:val="28"/>
          <w:szCs w:val="28"/>
          <w:lang w:val="uk-UA"/>
        </w:rPr>
      </w:pPr>
      <w:r w:rsidRPr="00487043">
        <w:pict>
          <v:shape id="_x0000_s2146" type="#_x0000_t202" style="position:absolute;left:0;text-align:left;margin-left:-39.25pt;margin-top:4.35pt;width:498.9pt;height:23.3pt;z-index:251657728;mso-height-percent:200;mso-height-percent:200;mso-width-relative:margin;mso-height-relative:margin" stroked="f">
            <v:textbox style="mso-next-textbox:#_x0000_s2146;mso-fit-shape-to-text:t">
              <w:txbxContent>
                <w:p w:rsidR="00DA0A21" w:rsidRDefault="00DA0A21" w:rsidP="00A01923">
                  <w:pPr>
                    <w:pStyle w:val="ac"/>
                    <w:jc w:val="center"/>
                    <w:rPr>
                      <w:sz w:val="28"/>
                      <w:szCs w:val="28"/>
                      <w:lang w:val="uk-UA"/>
                    </w:rPr>
                  </w:pPr>
                  <w:r>
                    <w:rPr>
                      <w:sz w:val="28"/>
                      <w:szCs w:val="28"/>
                      <w:lang w:val="uk-UA"/>
                    </w:rPr>
                    <w:t>Рис</w:t>
                  </w:r>
                  <w:r>
                    <w:rPr>
                      <w:sz w:val="28"/>
                      <w:szCs w:val="28"/>
                    </w:rPr>
                    <w:t>.</w:t>
                  </w:r>
                  <w:r>
                    <w:rPr>
                      <w:sz w:val="28"/>
                      <w:szCs w:val="28"/>
                      <w:lang w:val="uk-UA"/>
                    </w:rPr>
                    <w:t xml:space="preserve"> </w:t>
                  </w:r>
                  <w:r>
                    <w:rPr>
                      <w:sz w:val="28"/>
                      <w:szCs w:val="28"/>
                    </w:rPr>
                    <w:t>4.</w:t>
                  </w:r>
                  <w:r>
                    <w:rPr>
                      <w:sz w:val="28"/>
                      <w:szCs w:val="28"/>
                      <w:lang w:val="uk-UA"/>
                    </w:rPr>
                    <w:t>4 Динаміка показників фібриногену у підгрупах основної групи</w:t>
                  </w:r>
                </w:p>
              </w:txbxContent>
            </v:textbox>
          </v:shape>
        </w:pict>
      </w:r>
    </w:p>
    <w:p w:rsidR="00A01923" w:rsidRDefault="00A01923" w:rsidP="00A01923">
      <w:pPr>
        <w:pStyle w:val="ac"/>
        <w:spacing w:line="360" w:lineRule="auto"/>
        <w:ind w:left="-567" w:firstLine="567"/>
        <w:jc w:val="both"/>
        <w:rPr>
          <w:color w:val="000000"/>
          <w:sz w:val="28"/>
          <w:szCs w:val="28"/>
          <w:lang w:val="uk-UA"/>
        </w:rPr>
      </w:pPr>
    </w:p>
    <w:p w:rsidR="00A01923" w:rsidRDefault="00A01923" w:rsidP="0036340F">
      <w:pPr>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всіх підгрупах ми бачимо тенденцію до зниження середнього рівня показника фібриногену на 16,6% протягом 6 місяців зі стабілізацією або незначним збільшенням фібриногену в наступні 6 місяців. </w:t>
      </w:r>
    </w:p>
    <w:p w:rsidR="00A01923" w:rsidRDefault="00A01923" w:rsidP="0036340F">
      <w:pPr>
        <w:shd w:val="clear" w:color="auto" w:fill="FFFFFF"/>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Таким чином, незалежно від ступеню ішемії та від часу визначення показників дисфункції ендотелію, у хворих на ХКІНК визначалися вірогідні зміни рівнів ЕТ-1, VEGF та СРБ, що говорить про суттєві порушення функцій ендотелію у даній групі хвори. </w:t>
      </w:r>
    </w:p>
    <w:p w:rsidR="00A01923" w:rsidRDefault="00A01923" w:rsidP="0036340F">
      <w:pPr>
        <w:shd w:val="clear" w:color="auto" w:fill="FFFFFF"/>
        <w:spacing w:after="0" w:line="360" w:lineRule="auto"/>
        <w:ind w:left="-709" w:firstLine="709"/>
        <w:jc w:val="both"/>
        <w:rPr>
          <w:rFonts w:ascii="Times New Roman" w:hAnsi="Times New Roman"/>
          <w:color w:val="000000"/>
          <w:sz w:val="28"/>
          <w:szCs w:val="28"/>
          <w:lang w:val="uk-UA"/>
        </w:rPr>
      </w:pPr>
    </w:p>
    <w:p w:rsidR="00A01923" w:rsidRDefault="00A01923" w:rsidP="0036340F">
      <w:pPr>
        <w:shd w:val="clear" w:color="auto" w:fill="FFFFFF"/>
        <w:spacing w:after="0" w:line="360" w:lineRule="auto"/>
        <w:ind w:left="-709" w:firstLine="709"/>
        <w:jc w:val="both"/>
        <w:rPr>
          <w:rFonts w:ascii="Times New Roman" w:hAnsi="Times New Roman"/>
          <w:color w:val="FF0000"/>
          <w:sz w:val="28"/>
          <w:szCs w:val="28"/>
          <w:lang w:val="uk-UA"/>
        </w:rPr>
      </w:pPr>
    </w:p>
    <w:p w:rsidR="00A01923" w:rsidRDefault="00A01923" w:rsidP="0036340F">
      <w:pPr>
        <w:shd w:val="clear" w:color="auto" w:fill="FFFFFF"/>
        <w:spacing w:after="0" w:line="360" w:lineRule="auto"/>
        <w:ind w:left="-709" w:firstLine="709"/>
        <w:jc w:val="both"/>
        <w:rPr>
          <w:rFonts w:ascii="Times New Roman" w:hAnsi="Times New Roman"/>
          <w:b/>
          <w:sz w:val="28"/>
          <w:szCs w:val="28"/>
        </w:rPr>
      </w:pPr>
      <w:r>
        <w:rPr>
          <w:rFonts w:ascii="Times New Roman" w:hAnsi="Times New Roman"/>
          <w:b/>
          <w:sz w:val="28"/>
          <w:szCs w:val="28"/>
        </w:rPr>
        <w:t>4.</w:t>
      </w:r>
      <w:r>
        <w:rPr>
          <w:rFonts w:ascii="Times New Roman" w:hAnsi="Times New Roman"/>
          <w:b/>
          <w:sz w:val="28"/>
          <w:szCs w:val="28"/>
          <w:lang w:val="uk-UA"/>
        </w:rPr>
        <w:t>2</w:t>
      </w:r>
      <w:r>
        <w:rPr>
          <w:rFonts w:ascii="Times New Roman" w:hAnsi="Times New Roman"/>
          <w:b/>
          <w:sz w:val="28"/>
          <w:szCs w:val="28"/>
        </w:rPr>
        <w:t xml:space="preserve"> Динаміка зміни температурного режиму кінцівок у досліджуваних хворих та </w:t>
      </w:r>
      <w:r>
        <w:rPr>
          <w:rFonts w:ascii="Times New Roman" w:hAnsi="Times New Roman"/>
          <w:b/>
          <w:sz w:val="28"/>
          <w:szCs w:val="28"/>
          <w:lang w:val="uk-UA"/>
        </w:rPr>
        <w:t>ї</w:t>
      </w:r>
      <w:r>
        <w:rPr>
          <w:rFonts w:ascii="Times New Roman" w:hAnsi="Times New Roman"/>
          <w:b/>
          <w:sz w:val="28"/>
          <w:szCs w:val="28"/>
        </w:rPr>
        <w:t>х порівняння</w:t>
      </w:r>
    </w:p>
    <w:p w:rsidR="00A01923" w:rsidRDefault="00A01923" w:rsidP="0036340F">
      <w:pPr>
        <w:shd w:val="clear" w:color="auto" w:fill="FFFFFF"/>
        <w:spacing w:after="0" w:line="360" w:lineRule="auto"/>
        <w:ind w:left="-709" w:firstLine="709"/>
        <w:jc w:val="both"/>
        <w:rPr>
          <w:rFonts w:ascii="Times New Roman" w:hAnsi="Times New Roman"/>
          <w:b/>
          <w:sz w:val="28"/>
          <w:szCs w:val="28"/>
          <w:lang w:val="uk-UA"/>
        </w:rPr>
      </w:pPr>
    </w:p>
    <w:p w:rsidR="00A01923" w:rsidRDefault="00A01923" w:rsidP="0036340F">
      <w:pPr>
        <w:shd w:val="clear" w:color="auto" w:fill="FFFFFF"/>
        <w:spacing w:after="0" w:line="360" w:lineRule="auto"/>
        <w:ind w:left="-709" w:firstLine="709"/>
        <w:jc w:val="both"/>
        <w:rPr>
          <w:rFonts w:ascii="Times New Roman" w:hAnsi="Times New Roman"/>
          <w:b/>
          <w:sz w:val="28"/>
          <w:szCs w:val="28"/>
          <w:lang w:val="uk-UA"/>
        </w:rPr>
      </w:pPr>
    </w:p>
    <w:p w:rsidR="00A01923" w:rsidRDefault="00A01923" w:rsidP="0036340F">
      <w:pPr>
        <w:shd w:val="clear" w:color="auto" w:fill="FFFFFF"/>
        <w:spacing w:after="0" w:line="360" w:lineRule="auto"/>
        <w:ind w:left="-709" w:firstLine="709"/>
        <w:jc w:val="both"/>
        <w:rPr>
          <w:rFonts w:ascii="Times New Roman" w:hAnsi="Times New Roman"/>
          <w:color w:val="000000"/>
          <w:sz w:val="28"/>
          <w:szCs w:val="28"/>
        </w:rPr>
      </w:pPr>
      <w:r>
        <w:rPr>
          <w:rFonts w:ascii="Times New Roman" w:hAnsi="Times New Roman"/>
          <w:sz w:val="28"/>
          <w:szCs w:val="28"/>
        </w:rPr>
        <w:t xml:space="preserve">Хворим основної групи для контролю ефективності лікування та прогнозування перебігу захворювання проводили вимірювання температури </w:t>
      </w:r>
      <w:r>
        <w:rPr>
          <w:rFonts w:ascii="Times New Roman" w:hAnsi="Times New Roman"/>
          <w:color w:val="000000"/>
          <w:sz w:val="28"/>
          <w:szCs w:val="28"/>
        </w:rPr>
        <w:t xml:space="preserve">обох </w:t>
      </w:r>
      <w:r>
        <w:rPr>
          <w:rFonts w:ascii="Times New Roman" w:hAnsi="Times New Roman"/>
          <w:color w:val="000000"/>
          <w:sz w:val="28"/>
          <w:szCs w:val="28"/>
        </w:rPr>
        <w:lastRenderedPageBreak/>
        <w:t xml:space="preserve">кінцівок. </w:t>
      </w:r>
      <w:r>
        <w:rPr>
          <w:rFonts w:ascii="Times New Roman" w:hAnsi="Times New Roman"/>
          <w:color w:val="000000"/>
          <w:sz w:val="28"/>
          <w:szCs w:val="28"/>
          <w:lang w:val="uk-UA"/>
        </w:rPr>
        <w:t xml:space="preserve">Середні значення </w:t>
      </w:r>
      <w:r>
        <w:rPr>
          <w:rFonts w:ascii="Times New Roman" w:hAnsi="Times New Roman"/>
          <w:color w:val="000000"/>
          <w:sz w:val="28"/>
          <w:szCs w:val="28"/>
        </w:rPr>
        <w:t>вимірювання температурного режиму кінцівок</w:t>
      </w:r>
      <w:r>
        <w:rPr>
          <w:rFonts w:ascii="Times New Roman" w:hAnsi="Times New Roman"/>
          <w:color w:val="000000"/>
          <w:sz w:val="28"/>
          <w:szCs w:val="28"/>
          <w:lang w:val="uk-UA"/>
        </w:rPr>
        <w:t xml:space="preserve"> хворих основної групи </w:t>
      </w:r>
      <w:r>
        <w:rPr>
          <w:rFonts w:ascii="Times New Roman" w:hAnsi="Times New Roman"/>
          <w:color w:val="000000"/>
          <w:sz w:val="28"/>
          <w:szCs w:val="28"/>
        </w:rPr>
        <w:t>представлені у таблиці 4.</w:t>
      </w:r>
      <w:r>
        <w:rPr>
          <w:rFonts w:ascii="Times New Roman" w:hAnsi="Times New Roman"/>
          <w:color w:val="000000"/>
          <w:sz w:val="28"/>
          <w:szCs w:val="28"/>
          <w:lang w:val="uk-UA"/>
        </w:rPr>
        <w:t>5</w:t>
      </w:r>
      <w:r>
        <w:rPr>
          <w:rFonts w:ascii="Times New Roman" w:hAnsi="Times New Roman"/>
          <w:color w:val="000000"/>
          <w:sz w:val="28"/>
          <w:szCs w:val="28"/>
        </w:rPr>
        <w:t>.</w:t>
      </w:r>
    </w:p>
    <w:p w:rsidR="00A01923" w:rsidRDefault="00A01923" w:rsidP="00A01923">
      <w:pPr>
        <w:shd w:val="clear" w:color="auto" w:fill="FFFFFF"/>
        <w:spacing w:after="0" w:line="360" w:lineRule="auto"/>
        <w:ind w:firstLine="568"/>
        <w:jc w:val="right"/>
        <w:rPr>
          <w:rFonts w:ascii="Times New Roman" w:hAnsi="Times New Roman"/>
          <w:i/>
          <w:color w:val="000000"/>
          <w:sz w:val="28"/>
          <w:szCs w:val="28"/>
          <w:lang w:val="uk-UA"/>
        </w:rPr>
      </w:pPr>
      <w:r>
        <w:rPr>
          <w:rFonts w:ascii="Times New Roman" w:hAnsi="Times New Roman"/>
          <w:i/>
          <w:color w:val="000000"/>
          <w:sz w:val="28"/>
          <w:szCs w:val="28"/>
        </w:rPr>
        <w:t>Таблиця 4.</w:t>
      </w:r>
      <w:r>
        <w:rPr>
          <w:rFonts w:ascii="Times New Roman" w:hAnsi="Times New Roman"/>
          <w:i/>
          <w:color w:val="000000"/>
          <w:sz w:val="28"/>
          <w:szCs w:val="28"/>
          <w:lang w:val="uk-UA"/>
        </w:rPr>
        <w:t>5</w:t>
      </w:r>
    </w:p>
    <w:p w:rsidR="00A01923" w:rsidRDefault="00A01923" w:rsidP="00A01923">
      <w:pPr>
        <w:shd w:val="clear" w:color="auto" w:fill="FFFFFF"/>
        <w:spacing w:after="0" w:line="360" w:lineRule="auto"/>
        <w:ind w:firstLine="568"/>
        <w:jc w:val="center"/>
        <w:rPr>
          <w:rFonts w:ascii="Times New Roman" w:hAnsi="Times New Roman"/>
          <w:b/>
          <w:sz w:val="28"/>
          <w:szCs w:val="28"/>
          <w:lang w:val="uk-UA"/>
        </w:rPr>
      </w:pPr>
      <w:r>
        <w:rPr>
          <w:rFonts w:ascii="Times New Roman" w:hAnsi="Times New Roman"/>
          <w:b/>
          <w:color w:val="000000"/>
          <w:sz w:val="28"/>
          <w:szCs w:val="28"/>
        </w:rPr>
        <w:t xml:space="preserve">Дані </w:t>
      </w:r>
      <w:r>
        <w:rPr>
          <w:rFonts w:ascii="Times New Roman" w:hAnsi="Times New Roman"/>
          <w:b/>
          <w:color w:val="000000"/>
          <w:sz w:val="28"/>
          <w:szCs w:val="28"/>
          <w:lang w:val="uk-UA"/>
        </w:rPr>
        <w:t xml:space="preserve">середнього </w:t>
      </w:r>
      <w:r>
        <w:rPr>
          <w:rFonts w:ascii="Times New Roman" w:hAnsi="Times New Roman"/>
          <w:b/>
          <w:color w:val="000000"/>
          <w:sz w:val="28"/>
          <w:szCs w:val="28"/>
        </w:rPr>
        <w:t>температурного режиму гомілок хвор</w:t>
      </w:r>
      <w:r>
        <w:rPr>
          <w:rFonts w:ascii="Times New Roman" w:hAnsi="Times New Roman"/>
          <w:b/>
          <w:color w:val="000000"/>
          <w:sz w:val="28"/>
          <w:szCs w:val="28"/>
          <w:lang w:val="uk-UA"/>
        </w:rPr>
        <w:t>их</w:t>
      </w:r>
      <w:r>
        <w:rPr>
          <w:rFonts w:ascii="Times New Roman" w:hAnsi="Times New Roman"/>
          <w:b/>
          <w:color w:val="000000"/>
          <w:sz w:val="28"/>
          <w:szCs w:val="28"/>
        </w:rPr>
        <w:t xml:space="preserve"> на ХКІНК</w:t>
      </w:r>
      <w:r>
        <w:rPr>
          <w:rFonts w:ascii="Times New Roman" w:hAnsi="Times New Roman"/>
          <w:b/>
          <w:sz w:val="28"/>
          <w:szCs w:val="28"/>
        </w:rPr>
        <w:t xml:space="preserve"> </w:t>
      </w:r>
      <w:r>
        <w:rPr>
          <w:rFonts w:ascii="Times New Roman" w:hAnsi="Times New Roman"/>
          <w:b/>
          <w:sz w:val="28"/>
          <w:szCs w:val="28"/>
          <w:lang w:val="uk-UA"/>
        </w:rPr>
        <w:t>основної групи</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3"/>
        <w:gridCol w:w="1985"/>
        <w:gridCol w:w="1559"/>
        <w:gridCol w:w="1418"/>
        <w:gridCol w:w="1417"/>
        <w:gridCol w:w="1383"/>
      </w:tblGrid>
      <w:tr w:rsidR="00A01923" w:rsidRPr="0036340F" w:rsidTr="00A01923">
        <w:trPr>
          <w:trHeight w:val="1452"/>
        </w:trPr>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Місце вимірювання</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Час вимірювання температури</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rPr>
              <w:t>До лікування (вихідні дані)</w:t>
            </w:r>
          </w:p>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lang w:val="uk-UA"/>
              </w:rPr>
              <w:t>(градуси)</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rPr>
              <w:t>Після лікування</w:t>
            </w:r>
          </w:p>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lang w:val="uk-UA"/>
              </w:rPr>
              <w:t>(градуси)</w:t>
            </w:r>
          </w:p>
        </w:tc>
        <w:tc>
          <w:tcPr>
            <w:tcW w:w="1417"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rPr>
              <w:t xml:space="preserve">6 </w:t>
            </w:r>
          </w:p>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lang w:val="uk-UA"/>
              </w:rPr>
              <w:t>м</w:t>
            </w:r>
            <w:r w:rsidRPr="0036340F">
              <w:rPr>
                <w:rFonts w:ascii="Times New Roman" w:hAnsi="Times New Roman" w:cs="Times New Roman"/>
                <w:sz w:val="28"/>
                <w:szCs w:val="28"/>
              </w:rPr>
              <w:t>ісяців</w:t>
            </w:r>
            <w:r w:rsidRPr="0036340F">
              <w:rPr>
                <w:rFonts w:ascii="Times New Roman" w:hAnsi="Times New Roman" w:cs="Times New Roman"/>
                <w:sz w:val="28"/>
                <w:szCs w:val="28"/>
                <w:lang w:val="uk-UA"/>
              </w:rPr>
              <w:t xml:space="preserve"> (градуси)</w:t>
            </w:r>
          </w:p>
        </w:tc>
        <w:tc>
          <w:tcPr>
            <w:tcW w:w="138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rPr>
              <w:t>12 місяців</w:t>
            </w:r>
          </w:p>
          <w:p w:rsidR="00A01923" w:rsidRPr="0036340F" w:rsidRDefault="00A01923" w:rsidP="0036340F">
            <w:pPr>
              <w:spacing w:after="0"/>
              <w:jc w:val="center"/>
              <w:rPr>
                <w:rFonts w:ascii="Times New Roman" w:eastAsia="Times New Roman" w:hAnsi="Times New Roman" w:cs="Times New Roman"/>
                <w:sz w:val="28"/>
                <w:szCs w:val="28"/>
                <w:lang w:val="uk-UA"/>
              </w:rPr>
            </w:pPr>
            <w:r w:rsidRPr="0036340F">
              <w:rPr>
                <w:rFonts w:ascii="Times New Roman" w:hAnsi="Times New Roman" w:cs="Times New Roman"/>
                <w:sz w:val="28"/>
                <w:szCs w:val="28"/>
                <w:lang w:val="uk-UA"/>
              </w:rPr>
              <w:t>(градуси)</w:t>
            </w:r>
          </w:p>
        </w:tc>
      </w:tr>
      <w:tr w:rsidR="00A01923" w:rsidRPr="0036340F" w:rsidTr="00A01923">
        <w:trPr>
          <w:trHeight w:val="439"/>
        </w:trPr>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Режим вимірювання</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lang w:val="uk-UA"/>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lang w:val="uk-UA"/>
              </w:rPr>
            </w:pP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lang w:val="uk-UA"/>
              </w:rPr>
            </w:pPr>
          </w:p>
        </w:tc>
        <w:tc>
          <w:tcPr>
            <w:tcW w:w="138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lang w:val="uk-UA"/>
              </w:rPr>
            </w:pPr>
          </w:p>
        </w:tc>
      </w:tr>
      <w:tr w:rsidR="00A01923" w:rsidRPr="0036340F" w:rsidTr="00A01923">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lang w:val="en-US"/>
              </w:rPr>
            </w:pPr>
            <w:r w:rsidRPr="0036340F">
              <w:rPr>
                <w:rFonts w:ascii="Times New Roman" w:hAnsi="Times New Roman" w:cs="Times New Roman"/>
                <w:sz w:val="28"/>
                <w:szCs w:val="28"/>
              </w:rPr>
              <w:t>Гомілка контрольна</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поверхні</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31,5 ±1,3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32,79 ±1,2*</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32,6 ±0,9*</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32,5 ±0,7*</w:t>
            </w:r>
          </w:p>
        </w:tc>
      </w:tr>
      <w:tr w:rsidR="00A01923" w:rsidRPr="0036340F" w:rsidTr="00A01923">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lang w:val="en-US"/>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тіла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34,4 ±0,9</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35,79 ±0,8*</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35,3 ±0,7*</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35,0 ±0,4*</w:t>
            </w:r>
          </w:p>
        </w:tc>
      </w:tr>
      <w:tr w:rsidR="00A01923" w:rsidRPr="0036340F" w:rsidTr="00A01923">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Гомілка хвора</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поверхні</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31,9 ±1,7*</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33,88 ±1,9*#</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32,9 ±0,6*</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33,2 ±0,7*#</w:t>
            </w:r>
          </w:p>
        </w:tc>
      </w:tr>
      <w:tr w:rsidR="00A01923" w:rsidRPr="0036340F" w:rsidTr="00A01923">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тіла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33,3 ±1,5*#</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35,6 ±1,4*</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35,4 ±1,1*</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35,7 ±0,8*#</w:t>
            </w:r>
          </w:p>
        </w:tc>
      </w:tr>
      <w:tr w:rsidR="00A01923" w:rsidRPr="0036340F" w:rsidTr="00A01923">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Ступня контрольна</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поверхні</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29,4±1,2</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30,8 ±1,5*</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29,9 ±2,3</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30,4 ±1,8*</w:t>
            </w:r>
          </w:p>
        </w:tc>
      </w:tr>
      <w:tr w:rsidR="00A01923" w:rsidRPr="0036340F" w:rsidTr="00A01923">
        <w:trPr>
          <w:trHeight w:val="517"/>
        </w:trPr>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тіла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33,7 ±1,6</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34,7 ±1,9*</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34,1 ±1,0</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34,4 ±1,3</w:t>
            </w:r>
          </w:p>
        </w:tc>
      </w:tr>
      <w:tr w:rsidR="00A01923" w:rsidRPr="0036340F" w:rsidTr="00A01923">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Ступня хвора</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поверхні</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28,2 ±1,6#</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31,4 ±1,9*</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30,6 ±1,7*</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tabs>
                <w:tab w:val="left" w:pos="1148"/>
              </w:tabs>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30,8 ±1,8*</w:t>
            </w:r>
          </w:p>
        </w:tc>
      </w:tr>
      <w:tr w:rsidR="00A01923" w:rsidRPr="0036340F" w:rsidTr="00A01923">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rPr>
                <w:rFonts w:ascii="Times New Roman" w:eastAsia="Times New Roman" w:hAnsi="Times New Roman" w:cs="Times New Roman"/>
                <w:sz w:val="28"/>
                <w:szCs w:val="28"/>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Температура тіла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32,4 ±1,8#</w:t>
            </w:r>
          </w:p>
        </w:tc>
        <w:tc>
          <w:tcPr>
            <w:tcW w:w="1418"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34,82 ±2,9*</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34,2 ±1,2*</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Pr="0036340F" w:rsidRDefault="00A01923" w:rsidP="0036340F">
            <w:pPr>
              <w:spacing w:after="0"/>
              <w:jc w:val="center"/>
              <w:rPr>
                <w:rFonts w:ascii="Times New Roman" w:eastAsia="Times New Roman" w:hAnsi="Times New Roman" w:cs="Times New Roman"/>
                <w:sz w:val="28"/>
                <w:szCs w:val="28"/>
              </w:rPr>
            </w:pPr>
            <w:r w:rsidRPr="0036340F">
              <w:rPr>
                <w:rFonts w:ascii="Times New Roman" w:hAnsi="Times New Roman" w:cs="Times New Roman"/>
                <w:sz w:val="28"/>
                <w:szCs w:val="28"/>
              </w:rPr>
              <w:t>34,4 ±1,4*</w:t>
            </w:r>
          </w:p>
        </w:tc>
      </w:tr>
    </w:tbl>
    <w:p w:rsidR="00A01923" w:rsidRDefault="00A01923" w:rsidP="00A01923">
      <w:pPr>
        <w:pStyle w:val="ac"/>
        <w:rPr>
          <w:sz w:val="28"/>
          <w:szCs w:val="28"/>
          <w:lang w:val="uk-UA"/>
        </w:rPr>
      </w:pPr>
      <w:r>
        <w:rPr>
          <w:sz w:val="28"/>
          <w:szCs w:val="28"/>
          <w:lang w:val="uk-UA"/>
        </w:rPr>
        <w:t xml:space="preserve">Примітка:* - достовірна різниця з вихідними даними </w:t>
      </w: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r>
        <w:rPr>
          <w:sz w:val="28"/>
          <w:szCs w:val="28"/>
        </w:rPr>
        <w:t xml:space="preserve">                 </w:t>
      </w:r>
      <w:r>
        <w:rPr>
          <w:sz w:val="28"/>
          <w:szCs w:val="28"/>
          <w:lang w:val="uk-UA"/>
        </w:rPr>
        <w:t>#</w:t>
      </w:r>
      <w:r>
        <w:rPr>
          <w:sz w:val="28"/>
          <w:szCs w:val="28"/>
        </w:rPr>
        <w:t xml:space="preserve"> -</w:t>
      </w:r>
      <w:r>
        <w:rPr>
          <w:sz w:val="28"/>
          <w:szCs w:val="28"/>
          <w:lang w:val="uk-UA"/>
        </w:rPr>
        <w:t xml:space="preserve"> </w:t>
      </w:r>
      <w:r>
        <w:rPr>
          <w:rFonts w:ascii="Times New Roman" w:hAnsi="Times New Roman"/>
          <w:sz w:val="28"/>
          <w:szCs w:val="28"/>
          <w:lang w:val="uk-UA"/>
        </w:rPr>
        <w:t>достовірна різниця з контрольною кінцівкою</w:t>
      </w:r>
    </w:p>
    <w:p w:rsidR="00A01923" w:rsidRDefault="00A01923" w:rsidP="0036340F">
      <w:pPr>
        <w:shd w:val="clear" w:color="auto" w:fill="FFFFFF"/>
        <w:spacing w:after="0" w:line="360" w:lineRule="auto"/>
        <w:ind w:left="-709" w:firstLine="709"/>
        <w:jc w:val="both"/>
        <w:rPr>
          <w:rFonts w:ascii="Times New Roman" w:hAnsi="Times New Roman"/>
          <w:sz w:val="28"/>
          <w:szCs w:val="28"/>
          <w:lang w:val="uk-UA"/>
        </w:rPr>
      </w:pPr>
      <w:r>
        <w:rPr>
          <w:rFonts w:ascii="Times New Roman" w:hAnsi="Times New Roman"/>
          <w:color w:val="000000"/>
          <w:sz w:val="28"/>
          <w:szCs w:val="28"/>
        </w:rPr>
        <w:t>Для обчислення результатів було прийнят</w:t>
      </w:r>
      <w:r>
        <w:rPr>
          <w:rFonts w:ascii="Times New Roman" w:hAnsi="Times New Roman"/>
          <w:color w:val="000000"/>
          <w:sz w:val="28"/>
          <w:szCs w:val="28"/>
          <w:lang w:val="uk-UA"/>
        </w:rPr>
        <w:t>е</w:t>
      </w:r>
      <w:r>
        <w:rPr>
          <w:rFonts w:ascii="Times New Roman" w:hAnsi="Times New Roman"/>
          <w:color w:val="000000"/>
          <w:sz w:val="28"/>
          <w:szCs w:val="28"/>
        </w:rPr>
        <w:t xml:space="preserve"> рішення підрахувати середнє значення температури гомілки та стопи для кожного режиму для обох кінцівок. Вирішено, проводити порівняння між обома нижніми кінцівками хвор</w:t>
      </w:r>
      <w:r>
        <w:rPr>
          <w:rFonts w:ascii="Times New Roman" w:hAnsi="Times New Roman"/>
          <w:color w:val="000000"/>
          <w:sz w:val="28"/>
          <w:szCs w:val="28"/>
          <w:lang w:val="uk-UA"/>
        </w:rPr>
        <w:t>их</w:t>
      </w:r>
      <w:r>
        <w:rPr>
          <w:rFonts w:ascii="Times New Roman" w:hAnsi="Times New Roman"/>
          <w:color w:val="000000"/>
          <w:sz w:val="28"/>
          <w:szCs w:val="28"/>
        </w:rPr>
        <w:t xml:space="preserve"> у кожний строк</w:t>
      </w:r>
      <w:r>
        <w:rPr>
          <w:rFonts w:ascii="Times New Roman" w:hAnsi="Times New Roman"/>
          <w:color w:val="000000"/>
          <w:sz w:val="28"/>
          <w:szCs w:val="28"/>
          <w:lang w:val="uk-UA"/>
        </w:rPr>
        <w:t xml:space="preserve"> </w:t>
      </w:r>
      <w:r>
        <w:rPr>
          <w:rFonts w:ascii="Times New Roman" w:hAnsi="Times New Roman"/>
          <w:color w:val="000000"/>
          <w:sz w:val="28"/>
          <w:szCs w:val="28"/>
        </w:rPr>
        <w:t>окре</w:t>
      </w:r>
      <w:r>
        <w:rPr>
          <w:rFonts w:ascii="Times New Roman" w:hAnsi="Times New Roman"/>
          <w:color w:val="000000"/>
          <w:sz w:val="28"/>
          <w:szCs w:val="28"/>
          <w:lang w:val="uk-UA"/>
        </w:rPr>
        <w:t>мо</w:t>
      </w:r>
      <w:r>
        <w:rPr>
          <w:rFonts w:ascii="Times New Roman" w:hAnsi="Times New Roman"/>
          <w:color w:val="000000"/>
          <w:sz w:val="28"/>
          <w:szCs w:val="28"/>
        </w:rPr>
        <w:t xml:space="preserve">. </w:t>
      </w:r>
      <w:r>
        <w:rPr>
          <w:rFonts w:ascii="Times New Roman" w:hAnsi="Times New Roman"/>
          <w:sz w:val="28"/>
          <w:szCs w:val="28"/>
          <w:lang w:val="uk-UA"/>
        </w:rPr>
        <w:t xml:space="preserve">При дослідженні вірогідності різниць температури кінцівок протягом спостереження було показано, що температура контрольної гомілки у режимі температури поверхні у строк 12 міс. вірогідно вище температури до </w:t>
      </w:r>
      <w:r>
        <w:rPr>
          <w:rFonts w:ascii="Times New Roman" w:hAnsi="Times New Roman"/>
          <w:sz w:val="28"/>
          <w:szCs w:val="28"/>
          <w:lang w:val="uk-UA"/>
        </w:rPr>
        <w:lastRenderedPageBreak/>
        <w:t>лікування на 3,17% (95% ДІ від −1,549 до −0,4508,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3,49% (95% ДІ від −1,988 до −0,8118, р</w:t>
      </w:r>
      <w:r>
        <w:rPr>
          <w:rFonts w:ascii="Times New Roman" w:hAnsi="Times New Roman"/>
          <w:sz w:val="28"/>
          <w:szCs w:val="28"/>
          <w:lang w:val="uk-UA"/>
        </w:rPr>
        <w:sym w:font="Symbol" w:char="003D"/>
      </w:r>
      <w:r>
        <w:rPr>
          <w:rFonts w:ascii="Times New Roman" w:hAnsi="Times New Roman"/>
          <w:sz w:val="28"/>
          <w:szCs w:val="28"/>
          <w:lang w:val="uk-UA"/>
        </w:rPr>
        <w:t>0,000), а після лікування на 4,09% (95% ДІ від −1,948 до −0,6319, р</w:t>
      </w:r>
      <w:r>
        <w:rPr>
          <w:rFonts w:ascii="Times New Roman" w:hAnsi="Times New Roman"/>
          <w:sz w:val="28"/>
          <w:szCs w:val="28"/>
          <w:lang w:val="uk-UA"/>
        </w:rPr>
        <w:sym w:font="Symbol" w:char="003D"/>
      </w:r>
      <w:r>
        <w:rPr>
          <w:rFonts w:ascii="Times New Roman" w:hAnsi="Times New Roman"/>
          <w:sz w:val="28"/>
          <w:szCs w:val="28"/>
          <w:lang w:val="uk-UA"/>
        </w:rPr>
        <w:t>0,000). Температура контрольної гомілки у режимі температури тіла у строк після лікування вірогідно вище температури до лікування на 4,04% (95% ДІ від −1,838 до −0,9421,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2,6% (95% ДІ від −1,324 до −0,4759, р</w:t>
      </w:r>
      <w:r>
        <w:rPr>
          <w:rFonts w:ascii="Times New Roman" w:hAnsi="Times New Roman"/>
          <w:sz w:val="28"/>
          <w:szCs w:val="28"/>
          <w:lang w:val="uk-UA"/>
        </w:rPr>
        <w:sym w:font="Symbol" w:char="003D"/>
      </w:r>
      <w:r>
        <w:rPr>
          <w:rFonts w:ascii="Times New Roman" w:hAnsi="Times New Roman"/>
          <w:sz w:val="28"/>
          <w:szCs w:val="28"/>
          <w:lang w:val="uk-UA"/>
        </w:rPr>
        <w:t>0,000), а у строк 12 міс. на 1,7% (95% ДІ від 0,2336 до −0,9664, р</w:t>
      </w:r>
      <w:r>
        <w:rPr>
          <w:rFonts w:ascii="Times New Roman" w:hAnsi="Times New Roman"/>
          <w:sz w:val="28"/>
          <w:szCs w:val="28"/>
          <w:lang w:val="uk-UA"/>
        </w:rPr>
        <w:sym w:font="Symbol" w:char="003D"/>
      </w:r>
      <w:r>
        <w:rPr>
          <w:rFonts w:ascii="Times New Roman" w:hAnsi="Times New Roman"/>
          <w:sz w:val="28"/>
          <w:szCs w:val="28"/>
          <w:lang w:val="uk-UA"/>
        </w:rPr>
        <w:t>0,002).</w:t>
      </w:r>
    </w:p>
    <w:p w:rsidR="00A01923" w:rsidRDefault="00A01923" w:rsidP="0036340F">
      <w:pPr>
        <w:shd w:val="clear" w:color="auto" w:fill="FFFFFF"/>
        <w:spacing w:after="0" w:line="360" w:lineRule="auto"/>
        <w:ind w:left="-709" w:firstLine="709"/>
        <w:jc w:val="both"/>
        <w:rPr>
          <w:rFonts w:ascii="Times New Roman" w:hAnsi="Times New Roman"/>
          <w:sz w:val="28"/>
          <w:szCs w:val="28"/>
          <w:lang w:val="uk-UA"/>
        </w:rPr>
      </w:pPr>
      <w:r>
        <w:rPr>
          <w:rFonts w:ascii="Times New Roman" w:hAnsi="Times New Roman"/>
          <w:sz w:val="28"/>
          <w:szCs w:val="28"/>
          <w:lang w:val="uk-UA"/>
        </w:rPr>
        <w:t>Тим часом, температура хворої гомілки у режимі температури поверхні у строк після лікування вірогідно вище температури до лікування на 6,2% (95% ДІ від −2,928 до −1,032,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3,13% (95% ДІ від −1,671 до −0,3294, р</w:t>
      </w:r>
      <w:r>
        <w:rPr>
          <w:rFonts w:ascii="Times New Roman" w:hAnsi="Times New Roman"/>
          <w:sz w:val="28"/>
          <w:szCs w:val="28"/>
          <w:lang w:val="uk-UA"/>
        </w:rPr>
        <w:sym w:font="Symbol" w:char="003D"/>
      </w:r>
      <w:r>
        <w:rPr>
          <w:rFonts w:ascii="Times New Roman" w:hAnsi="Times New Roman"/>
          <w:sz w:val="28"/>
          <w:szCs w:val="28"/>
          <w:lang w:val="uk-UA"/>
        </w:rPr>
        <w:t>0,004), а у строк 12 міс. на 4,0% (95% ДІ від −1,984 до −0,6161, р</w:t>
      </w:r>
      <w:r>
        <w:rPr>
          <w:rFonts w:ascii="Times New Roman" w:hAnsi="Times New Roman"/>
          <w:sz w:val="28"/>
          <w:szCs w:val="28"/>
          <w:lang w:val="uk-UA"/>
        </w:rPr>
        <w:sym w:font="Symbol" w:char="003D"/>
      </w:r>
      <w:r>
        <w:rPr>
          <w:rFonts w:ascii="Times New Roman" w:hAnsi="Times New Roman"/>
          <w:sz w:val="28"/>
          <w:szCs w:val="28"/>
          <w:lang w:val="uk-UA"/>
        </w:rPr>
        <w:t>0,005). Температурний режим хворої гомілки у режимі температури тіла у строк після лікування виявився вірогідно вище температури до лікування на 6,9% (95% ДІ від −3,063 до −1,537,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6,3% (95% ДІ від −2,792 до −1,408, р</w:t>
      </w:r>
      <w:r>
        <w:rPr>
          <w:rFonts w:ascii="Times New Roman" w:hAnsi="Times New Roman"/>
          <w:sz w:val="28"/>
          <w:szCs w:val="28"/>
          <w:lang w:val="uk-UA"/>
        </w:rPr>
        <w:sym w:font="Symbol" w:char="003D"/>
      </w:r>
      <w:r>
        <w:rPr>
          <w:rFonts w:ascii="Times New Roman" w:hAnsi="Times New Roman"/>
          <w:sz w:val="28"/>
          <w:szCs w:val="28"/>
          <w:lang w:val="uk-UA"/>
        </w:rPr>
        <w:t>0,000), а у строк 12 міс. на 7,2% (95% ДІ від −3,032 до −1,768, р</w:t>
      </w:r>
      <w:r>
        <w:rPr>
          <w:rFonts w:ascii="Times New Roman" w:hAnsi="Times New Roman"/>
          <w:sz w:val="28"/>
          <w:szCs w:val="28"/>
          <w:lang w:val="uk-UA"/>
        </w:rPr>
        <w:sym w:font="Symbol" w:char="003D"/>
      </w:r>
      <w:r>
        <w:rPr>
          <w:rFonts w:ascii="Times New Roman" w:hAnsi="Times New Roman"/>
          <w:sz w:val="28"/>
          <w:szCs w:val="28"/>
          <w:lang w:val="uk-UA"/>
        </w:rPr>
        <w:t>0,000).</w:t>
      </w:r>
    </w:p>
    <w:p w:rsidR="00A01923" w:rsidRDefault="00A01923" w:rsidP="0036340F">
      <w:pPr>
        <w:shd w:val="clear" w:color="auto" w:fill="FFFFFF"/>
        <w:spacing w:after="0" w:line="360" w:lineRule="auto"/>
        <w:ind w:left="-709" w:firstLine="709"/>
        <w:jc w:val="both"/>
        <w:rPr>
          <w:rFonts w:ascii="Times New Roman" w:hAnsi="Times New Roman"/>
          <w:sz w:val="28"/>
          <w:szCs w:val="28"/>
          <w:lang w:val="uk-UA"/>
        </w:rPr>
      </w:pPr>
      <w:r>
        <w:rPr>
          <w:rFonts w:ascii="Times New Roman" w:hAnsi="Times New Roman"/>
          <w:color w:val="000000"/>
          <w:sz w:val="28"/>
          <w:szCs w:val="28"/>
          <w:lang w:val="uk-UA"/>
        </w:rPr>
        <w:t>При визначенні вірогідності різниць температури ступнів було показано, що температура контрольної ступні у режимі температури поверхні після лікування вірогідно вище температури до лікування на 4,7% (95% ДІ від −2,115 до −0,6854,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0,000), а через 12 міс. на 3,4% (95% ДІ від −1,805 до −0,1953,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0,016), а температура контрольної ступні у режимі температури тіла вірогідно вище температури до лікування лише у строк</w:t>
      </w:r>
      <w:r>
        <w:rPr>
          <w:rFonts w:ascii="Times New Roman" w:hAnsi="Times New Roman"/>
          <w:sz w:val="28"/>
          <w:szCs w:val="28"/>
          <w:lang w:val="uk-UA"/>
        </w:rPr>
        <w:t xml:space="preserve"> після лікування на 2,9% (95% ДІ від −1,924 до −0,07599, р</w:t>
      </w:r>
      <w:r>
        <w:rPr>
          <w:rFonts w:ascii="Times New Roman" w:hAnsi="Times New Roman"/>
          <w:sz w:val="28"/>
          <w:szCs w:val="28"/>
          <w:lang w:val="uk-UA"/>
        </w:rPr>
        <w:sym w:font="Symbol" w:char="003D"/>
      </w:r>
      <w:r>
        <w:rPr>
          <w:rFonts w:ascii="Times New Roman" w:hAnsi="Times New Roman"/>
          <w:sz w:val="28"/>
          <w:szCs w:val="28"/>
          <w:lang w:val="uk-UA"/>
        </w:rPr>
        <w:t>0,034). Температура хворої ступні у режимі температури поверхні виявилася у строк після лікування вірогідно вище температури до лікування на 11,3% (95% ДІ від −4,124 до −2,276,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8,5% (95% ДІ від −3,268 до −1,532, р</w:t>
      </w:r>
      <w:r>
        <w:rPr>
          <w:rFonts w:ascii="Times New Roman" w:hAnsi="Times New Roman"/>
          <w:sz w:val="28"/>
          <w:szCs w:val="28"/>
          <w:lang w:val="uk-UA"/>
        </w:rPr>
        <w:sym w:font="Symbol" w:char="003D"/>
      </w:r>
      <w:r>
        <w:rPr>
          <w:rFonts w:ascii="Times New Roman" w:hAnsi="Times New Roman"/>
          <w:sz w:val="28"/>
          <w:szCs w:val="28"/>
          <w:lang w:val="uk-UA"/>
        </w:rPr>
        <w:t>0,000), а у строк 12 міс. на 9,2% (95% ДІ від −3,496 до −1,704, р</w:t>
      </w:r>
      <w:r>
        <w:rPr>
          <w:rFonts w:ascii="Times New Roman" w:hAnsi="Times New Roman"/>
          <w:sz w:val="28"/>
          <w:szCs w:val="28"/>
          <w:lang w:val="uk-UA"/>
        </w:rPr>
        <w:sym w:font="Symbol" w:char="003D"/>
      </w:r>
      <w:r>
        <w:rPr>
          <w:rFonts w:ascii="Times New Roman" w:hAnsi="Times New Roman"/>
          <w:sz w:val="28"/>
          <w:szCs w:val="28"/>
          <w:lang w:val="uk-UA"/>
        </w:rPr>
        <w:t>0,000). Також, визначено, що температура хворої ступні у режимі температури тіла у строк після лікування вірогідно вище температури до лікування на 7,4% (95% ДІ від −3,69 до −1,15, р</w:t>
      </w:r>
      <w:r>
        <w:rPr>
          <w:rFonts w:ascii="Times New Roman" w:hAnsi="Times New Roman"/>
          <w:sz w:val="28"/>
          <w:szCs w:val="28"/>
          <w:lang w:val="uk-UA"/>
        </w:rPr>
        <w:sym w:font="Symbol" w:char="003D"/>
      </w:r>
      <w:r>
        <w:rPr>
          <w:rFonts w:ascii="Times New Roman" w:hAnsi="Times New Roman"/>
          <w:sz w:val="28"/>
          <w:szCs w:val="28"/>
          <w:lang w:val="uk-UA"/>
        </w:rPr>
        <w:t>0,000), у строк 6 міс. на 5,55% (95% ДІ від −2,605 до −0,9953, р</w:t>
      </w:r>
      <w:r>
        <w:rPr>
          <w:rFonts w:ascii="Times New Roman" w:hAnsi="Times New Roman"/>
          <w:sz w:val="28"/>
          <w:szCs w:val="28"/>
          <w:lang w:val="uk-UA"/>
        </w:rPr>
        <w:sym w:font="Symbol" w:char="003D"/>
      </w:r>
      <w:r>
        <w:rPr>
          <w:rFonts w:ascii="Times New Roman" w:hAnsi="Times New Roman"/>
          <w:sz w:val="28"/>
          <w:szCs w:val="28"/>
          <w:lang w:val="uk-UA"/>
        </w:rPr>
        <w:t>0,000), а у строк 12 міс. на 6,2% (95% ДІ від −2,848 до −1,152, р</w:t>
      </w:r>
      <w:r>
        <w:rPr>
          <w:rFonts w:ascii="Times New Roman" w:hAnsi="Times New Roman"/>
          <w:sz w:val="28"/>
          <w:szCs w:val="28"/>
          <w:lang w:val="uk-UA"/>
        </w:rPr>
        <w:sym w:font="Symbol" w:char="003D"/>
      </w:r>
      <w:r>
        <w:rPr>
          <w:rFonts w:ascii="Times New Roman" w:hAnsi="Times New Roman"/>
          <w:sz w:val="28"/>
          <w:szCs w:val="28"/>
          <w:lang w:val="uk-UA"/>
        </w:rPr>
        <w:t>0,000).</w:t>
      </w:r>
    </w:p>
    <w:p w:rsidR="00A01923" w:rsidRDefault="00A01923" w:rsidP="0036340F">
      <w:pPr>
        <w:shd w:val="clear" w:color="auto" w:fill="FFFFFF"/>
        <w:spacing w:after="0" w:line="360" w:lineRule="auto"/>
        <w:ind w:left="-709" w:firstLine="709"/>
        <w:jc w:val="both"/>
        <w:rPr>
          <w:rFonts w:ascii="Times New Roman" w:hAnsi="Times New Roman"/>
          <w:sz w:val="28"/>
          <w:szCs w:val="28"/>
          <w:lang w:val="uk-UA"/>
        </w:rPr>
      </w:pPr>
      <w:r>
        <w:rPr>
          <w:rFonts w:ascii="Times New Roman" w:hAnsi="Times New Roman"/>
          <w:sz w:val="28"/>
          <w:szCs w:val="28"/>
          <w:lang w:val="uk-UA"/>
        </w:rPr>
        <w:lastRenderedPageBreak/>
        <w:t>Важливим було порівняння різниці температурного режиму саме між контрольною та хворою кінцівками. Ці порівняння показали вірогідну різницю температури гомілок у режимі вимірювання температури поверхні: після лікування хвора кінцівка була, в середньому, на 1,09</w:t>
      </w:r>
      <w:r>
        <w:rPr>
          <w:rFonts w:ascii="Times New Roman" w:hAnsi="Times New Roman"/>
          <w:sz w:val="28"/>
          <w:szCs w:val="28"/>
          <w:vertAlign w:val="superscript"/>
          <w:lang w:val="uk-UA"/>
        </w:rPr>
        <w:t>о</w:t>
      </w:r>
      <w:r>
        <w:rPr>
          <w:rFonts w:ascii="Times New Roman" w:hAnsi="Times New Roman"/>
          <w:sz w:val="28"/>
          <w:szCs w:val="28"/>
          <w:lang w:val="uk-UA"/>
        </w:rPr>
        <w:t>С (3,3%) тепліша контрольної (95% ДІ від ─1,926 до─0,254, р=0,012), а у строк через 12 міс. – на 0,7</w:t>
      </w:r>
      <w:r>
        <w:rPr>
          <w:rFonts w:ascii="Times New Roman" w:hAnsi="Times New Roman"/>
          <w:sz w:val="28"/>
          <w:szCs w:val="28"/>
          <w:vertAlign w:val="superscript"/>
          <w:lang w:val="uk-UA"/>
        </w:rPr>
        <w:t xml:space="preserve"> о</w:t>
      </w:r>
      <w:r>
        <w:rPr>
          <w:rFonts w:ascii="Times New Roman" w:hAnsi="Times New Roman"/>
          <w:sz w:val="28"/>
          <w:szCs w:val="28"/>
          <w:lang w:val="uk-UA"/>
        </w:rPr>
        <w:t>С (2,1%) (95% ДІ від ─1,068 до ─0,3317, р=0,000), а в режимі вимірювання температури тіла – на початку лікування (вихідний рівень) хвора гомілка була, в середньому, на 1,1</w:t>
      </w:r>
      <w:r>
        <w:rPr>
          <w:rFonts w:ascii="Times New Roman" w:hAnsi="Times New Roman"/>
          <w:sz w:val="28"/>
          <w:szCs w:val="28"/>
          <w:vertAlign w:val="superscript"/>
          <w:lang w:val="uk-UA"/>
        </w:rPr>
        <w:t>о</w:t>
      </w:r>
      <w:r>
        <w:rPr>
          <w:rFonts w:ascii="Times New Roman" w:hAnsi="Times New Roman"/>
          <w:sz w:val="28"/>
          <w:szCs w:val="28"/>
          <w:lang w:val="uk-UA"/>
        </w:rPr>
        <w:t>С (2,9%) холоднішою контрольної (95% ДІ від 0,4493 до 1,751, р=0,001), а через 12 міс. – на 0,7</w:t>
      </w:r>
      <w:r>
        <w:rPr>
          <w:rFonts w:ascii="Times New Roman" w:hAnsi="Times New Roman"/>
          <w:sz w:val="28"/>
          <w:szCs w:val="28"/>
          <w:vertAlign w:val="superscript"/>
          <w:lang w:val="uk-UA"/>
        </w:rPr>
        <w:t xml:space="preserve"> о</w:t>
      </w:r>
      <w:r>
        <w:rPr>
          <w:rFonts w:ascii="Times New Roman" w:hAnsi="Times New Roman"/>
          <w:sz w:val="28"/>
          <w:szCs w:val="28"/>
          <w:lang w:val="uk-UA"/>
        </w:rPr>
        <w:t>С (2%) (95% ДІ від -1,033 до-0,3673, р=0,000). Температура хворої ступні у режимі температури поверхні на вихідному рівні була, в середньому, на 1,2</w:t>
      </w:r>
      <w:r>
        <w:rPr>
          <w:rFonts w:ascii="Times New Roman" w:hAnsi="Times New Roman"/>
          <w:sz w:val="28"/>
          <w:szCs w:val="28"/>
          <w:vertAlign w:val="superscript"/>
          <w:lang w:val="uk-UA"/>
        </w:rPr>
        <w:t>о</w:t>
      </w:r>
      <w:r>
        <w:rPr>
          <w:rFonts w:ascii="Times New Roman" w:hAnsi="Times New Roman"/>
          <w:sz w:val="28"/>
          <w:szCs w:val="28"/>
          <w:lang w:val="uk-UA"/>
        </w:rPr>
        <w:t xml:space="preserve">С (4,2%) холоднішою контрольної (95% ДІ від 0,456 до 1,944, р=0,002), а в режимі температури тіла – на 1,3 (4%) холоднішою контрольної (95% ДІ від 0,4041 до 2,196, р=0,005). Подальші порівняння показали невірогідну різницю між хворою та контрольною кінцівками, що говорить про зрівняння температур обох кінцівок. </w:t>
      </w:r>
    </w:p>
    <w:p w:rsidR="00A01923" w:rsidRDefault="00A01923" w:rsidP="0036340F">
      <w:pPr>
        <w:shd w:val="clear" w:color="auto" w:fill="FFFFFF"/>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rPr>
        <w:t xml:space="preserve">Динаміка зміни </w:t>
      </w:r>
      <w:r>
        <w:rPr>
          <w:rFonts w:ascii="Times New Roman" w:hAnsi="Times New Roman"/>
          <w:color w:val="000000"/>
          <w:sz w:val="28"/>
          <w:szCs w:val="28"/>
          <w:lang w:val="uk-UA"/>
        </w:rPr>
        <w:t xml:space="preserve">середніх значень </w:t>
      </w:r>
      <w:r>
        <w:rPr>
          <w:rFonts w:ascii="Times New Roman" w:hAnsi="Times New Roman"/>
          <w:color w:val="000000"/>
          <w:sz w:val="28"/>
          <w:szCs w:val="28"/>
        </w:rPr>
        <w:t>температурного режиму гомілок та супн</w:t>
      </w:r>
      <w:r>
        <w:rPr>
          <w:rFonts w:ascii="Times New Roman" w:hAnsi="Times New Roman"/>
          <w:color w:val="000000"/>
          <w:sz w:val="28"/>
          <w:szCs w:val="28"/>
          <w:lang w:val="uk-UA"/>
        </w:rPr>
        <w:t>ів пацієнтів основної групи</w:t>
      </w:r>
      <w:r>
        <w:rPr>
          <w:rFonts w:ascii="Times New Roman" w:hAnsi="Times New Roman"/>
          <w:color w:val="000000"/>
          <w:sz w:val="28"/>
          <w:szCs w:val="28"/>
        </w:rPr>
        <w:t xml:space="preserve"> представлен</w:t>
      </w:r>
      <w:r>
        <w:rPr>
          <w:rFonts w:ascii="Times New Roman" w:hAnsi="Times New Roman"/>
          <w:color w:val="000000"/>
          <w:sz w:val="28"/>
          <w:szCs w:val="28"/>
          <w:lang w:val="uk-UA"/>
        </w:rPr>
        <w:t>а</w:t>
      </w:r>
      <w:r>
        <w:rPr>
          <w:rFonts w:ascii="Times New Roman" w:hAnsi="Times New Roman"/>
          <w:color w:val="000000"/>
          <w:sz w:val="28"/>
          <w:szCs w:val="28"/>
        </w:rPr>
        <w:t xml:space="preserve"> на графіку</w:t>
      </w:r>
      <w:r w:rsidR="0036340F">
        <w:rPr>
          <w:rFonts w:ascii="Times New Roman" w:hAnsi="Times New Roman"/>
          <w:color w:val="000000"/>
          <w:sz w:val="28"/>
          <w:szCs w:val="28"/>
        </w:rPr>
        <w:t>(рис. 4</w:t>
      </w:r>
      <w:r w:rsidR="0036340F">
        <w:rPr>
          <w:rFonts w:ascii="Times New Roman" w:hAnsi="Times New Roman"/>
          <w:color w:val="000000"/>
          <w:sz w:val="28"/>
          <w:szCs w:val="28"/>
          <w:lang w:val="uk-UA"/>
        </w:rPr>
        <w:t>.5</w:t>
      </w:r>
      <w:r w:rsidR="0036340F">
        <w:rPr>
          <w:rFonts w:ascii="Times New Roman" w:hAnsi="Times New Roman"/>
          <w:color w:val="000000"/>
          <w:sz w:val="28"/>
          <w:szCs w:val="28"/>
        </w:rPr>
        <w:t>).</w:t>
      </w:r>
      <w:r>
        <w:rPr>
          <w:rFonts w:ascii="Times New Roman" w:hAnsi="Times New Roman"/>
          <w:color w:val="000000"/>
          <w:sz w:val="28"/>
          <w:szCs w:val="28"/>
        </w:rPr>
        <w:t xml:space="preserve"> </w:t>
      </w:r>
    </w:p>
    <w:p w:rsidR="00A01923" w:rsidRDefault="00487043" w:rsidP="00A01923">
      <w:pPr>
        <w:shd w:val="clear" w:color="auto" w:fill="FFFFFF"/>
        <w:spacing w:after="0" w:line="360" w:lineRule="auto"/>
        <w:ind w:left="-284" w:firstLine="568"/>
        <w:jc w:val="both"/>
        <w:rPr>
          <w:rFonts w:ascii="Times New Roman" w:hAnsi="Times New Roman"/>
          <w:sz w:val="28"/>
          <w:szCs w:val="28"/>
          <w:lang w:val="uk-UA"/>
        </w:rPr>
      </w:pPr>
      <w:r w:rsidRPr="00487043">
        <w:rPr>
          <w:rFonts w:ascii="Calibri" w:hAnsi="Calibri"/>
        </w:rPr>
        <w:pict>
          <v:shape id="_x0000_s2154" type="#_x0000_t202" style="position:absolute;left:0;text-align:left;margin-left:-15.45pt;margin-top:4.85pt;width:483.6pt;height:256.8pt;z-index:251658752" stroked="f">
            <v:textbox>
              <w:txbxContent>
                <w:p w:rsidR="00DA0A21" w:rsidRDefault="00DA0A21" w:rsidP="00A01923">
                  <w:r>
                    <w:rPr>
                      <w:rFonts w:ascii="Calibri" w:eastAsia="Times New Roman" w:hAnsi="Calibri" w:cs="Times New Roman"/>
                      <w:noProof/>
                    </w:rPr>
                    <w:drawing>
                      <wp:inline distT="0" distB="0" distL="0" distR="0">
                        <wp:extent cx="6182139" cy="3160643"/>
                        <wp:effectExtent l="0" t="0" r="0" b="0"/>
                        <wp:docPr id="72"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txbxContent>
            </v:textbox>
          </v:shape>
        </w:pict>
      </w:r>
      <w:r w:rsidRPr="00487043">
        <w:rPr>
          <w:rFonts w:ascii="Calibri" w:hAnsi="Calibri"/>
        </w:rPr>
        <w:pict>
          <v:shape id="_x0000_s2155" type="#_x0000_t202" style="position:absolute;left:0;text-align:left;margin-left:-3.3pt;margin-top:267.5pt;width:463.2pt;height:25.2pt;z-index:251659776" stroked="f">
            <v:textbox>
              <w:txbxContent>
                <w:p w:rsidR="00DA0A21" w:rsidRDefault="00DA0A21" w:rsidP="00A01923">
                  <w:pPr>
                    <w:shd w:val="clear" w:color="auto" w:fill="FFFFFF"/>
                    <w:spacing w:after="0" w:line="360" w:lineRule="auto"/>
                    <w:jc w:val="center"/>
                    <w:rPr>
                      <w:rFonts w:ascii="Times New Roman" w:hAnsi="Times New Roman"/>
                      <w:sz w:val="28"/>
                      <w:szCs w:val="28"/>
                      <w:lang w:val="uk-UA"/>
                    </w:rPr>
                  </w:pPr>
                  <w:r>
                    <w:rPr>
                      <w:rFonts w:ascii="Times New Roman" w:hAnsi="Times New Roman"/>
                      <w:sz w:val="28"/>
                      <w:szCs w:val="28"/>
                    </w:rPr>
                    <w:t>Рис. 4.</w:t>
                  </w:r>
                  <w:r>
                    <w:rPr>
                      <w:rFonts w:ascii="Times New Roman" w:hAnsi="Times New Roman"/>
                      <w:sz w:val="28"/>
                      <w:szCs w:val="28"/>
                      <w:lang w:val="uk-UA"/>
                    </w:rPr>
                    <w:t>5</w:t>
                  </w:r>
                  <w:r>
                    <w:rPr>
                      <w:rFonts w:ascii="Times New Roman" w:hAnsi="Times New Roman"/>
                      <w:sz w:val="28"/>
                      <w:szCs w:val="28"/>
                    </w:rPr>
                    <w:t xml:space="preserve"> Динаміка зміни температурного режиму нижніх кінцівок хвор</w:t>
                  </w:r>
                  <w:r>
                    <w:rPr>
                      <w:rFonts w:ascii="Times New Roman" w:hAnsi="Times New Roman"/>
                      <w:sz w:val="28"/>
                      <w:szCs w:val="28"/>
                      <w:lang w:val="uk-UA"/>
                    </w:rPr>
                    <w:t>их</w:t>
                  </w:r>
                </w:p>
                <w:p w:rsidR="00DA0A21" w:rsidRDefault="00DA0A21" w:rsidP="00A01923">
                  <w:pPr>
                    <w:rPr>
                      <w:rFonts w:ascii="Calibri" w:hAnsi="Calibri"/>
                      <w:lang w:val="uk-UA"/>
                    </w:rPr>
                  </w:pPr>
                </w:p>
              </w:txbxContent>
            </v:textbox>
          </v:shape>
        </w:pict>
      </w: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36340F">
      <w:pPr>
        <w:shd w:val="clear" w:color="auto" w:fill="FFFFFF"/>
        <w:spacing w:after="0" w:line="360" w:lineRule="auto"/>
        <w:jc w:val="both"/>
        <w:rPr>
          <w:rFonts w:ascii="Times New Roman" w:hAnsi="Times New Roman"/>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36340F" w:rsidRDefault="0036340F" w:rsidP="00A01923">
      <w:pPr>
        <w:shd w:val="clear" w:color="auto" w:fill="FFFFFF"/>
        <w:spacing w:after="0" w:line="360" w:lineRule="auto"/>
        <w:ind w:left="-284" w:firstLine="568"/>
        <w:jc w:val="both"/>
        <w:rPr>
          <w:rFonts w:ascii="Times New Roman" w:hAnsi="Times New Roman"/>
          <w:color w:val="000000"/>
          <w:sz w:val="28"/>
          <w:szCs w:val="28"/>
          <w:lang w:val="uk-UA"/>
        </w:rPr>
      </w:pPr>
    </w:p>
    <w:p w:rsidR="00A01923" w:rsidRDefault="0036340F" w:rsidP="0036340F">
      <w:pPr>
        <w:shd w:val="clear" w:color="auto" w:fill="FFFFFF"/>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М</w:t>
      </w:r>
      <w:r>
        <w:rPr>
          <w:rFonts w:ascii="Times New Roman" w:hAnsi="Times New Roman"/>
          <w:color w:val="000000"/>
          <w:sz w:val="28"/>
          <w:szCs w:val="28"/>
        </w:rPr>
        <w:t>и бачимо тенденцію до підвищення температури кінцівки у відповідь н</w:t>
      </w:r>
      <w:r>
        <w:rPr>
          <w:rFonts w:ascii="Times New Roman" w:hAnsi="Times New Roman"/>
          <w:color w:val="000000"/>
          <w:sz w:val="28"/>
          <w:szCs w:val="28"/>
          <w:lang w:val="uk-UA"/>
        </w:rPr>
        <w:t>а лікування</w:t>
      </w:r>
      <w:r>
        <w:rPr>
          <w:rFonts w:ascii="Times New Roman" w:hAnsi="Times New Roman"/>
          <w:color w:val="000000"/>
          <w:sz w:val="28"/>
          <w:szCs w:val="28"/>
        </w:rPr>
        <w:t>, подальше зниження температури у строк 6 місяців та деяке підвищення протягом наступних 6 місяців</w:t>
      </w:r>
    </w:p>
    <w:p w:rsidR="00A01923" w:rsidRDefault="00A01923" w:rsidP="0036340F">
      <w:pPr>
        <w:shd w:val="clear" w:color="auto" w:fill="FFFFFF"/>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t>Отже, досліджена динаміка зміни рівню температурного режиму хворої та контрольної кінцівок показала, що безпосередній ефект від лікування хворих на ХКІНК після виписки зі стаціонару має тенденцію до зниження протягом перших 6 місяців в середньому у всій вибірці хворих. Це говорить про зменшення ефекту від лікування. Надалі є тенденція до покращення стану кровообігу у хворій кінцівці, що ми пов’язуємо з розвитком колатералей у тих хворих, яким не було проведено високі ампутації.</w:t>
      </w:r>
    </w:p>
    <w:p w:rsidR="00A01923" w:rsidRDefault="00A01923" w:rsidP="0036340F">
      <w:pPr>
        <w:widowControl w:val="0"/>
        <w:tabs>
          <w:tab w:val="left" w:pos="142"/>
        </w:tabs>
        <w:spacing w:after="0" w:line="360" w:lineRule="auto"/>
        <w:ind w:left="-709" w:firstLine="851"/>
        <w:jc w:val="both"/>
        <w:rPr>
          <w:rFonts w:ascii="Times New Roman" w:hAnsi="Times New Roman"/>
          <w:sz w:val="28"/>
          <w:szCs w:val="28"/>
          <w:lang w:val="uk-UA"/>
        </w:rPr>
      </w:pPr>
    </w:p>
    <w:p w:rsidR="00A01923" w:rsidRDefault="00A01923" w:rsidP="0036340F">
      <w:pPr>
        <w:widowControl w:val="0"/>
        <w:spacing w:after="0" w:line="360" w:lineRule="auto"/>
        <w:ind w:left="-709" w:firstLine="851"/>
        <w:jc w:val="both"/>
        <w:rPr>
          <w:rFonts w:ascii="Times New Roman" w:hAnsi="Times New Roman"/>
          <w:sz w:val="28"/>
          <w:szCs w:val="28"/>
          <w:lang w:val="uk-UA"/>
        </w:rPr>
      </w:pPr>
    </w:p>
    <w:p w:rsidR="00A01923" w:rsidRDefault="00A01923" w:rsidP="0036340F">
      <w:pPr>
        <w:widowControl w:val="0"/>
        <w:spacing w:after="0" w:line="360" w:lineRule="auto"/>
        <w:ind w:left="-709" w:firstLine="851"/>
        <w:jc w:val="both"/>
        <w:rPr>
          <w:rFonts w:ascii="Times New Roman" w:hAnsi="Times New Roman"/>
          <w:b/>
          <w:sz w:val="28"/>
          <w:szCs w:val="28"/>
          <w:lang w:val="uk-UA"/>
        </w:rPr>
      </w:pPr>
      <w:r>
        <w:rPr>
          <w:rFonts w:ascii="Times New Roman" w:hAnsi="Times New Roman"/>
          <w:b/>
          <w:color w:val="000000"/>
          <w:sz w:val="28"/>
          <w:szCs w:val="28"/>
          <w:lang w:val="uk-UA"/>
        </w:rPr>
        <w:t>4.3 Динаміка зміни транскутанного напруження</w:t>
      </w:r>
      <w:r>
        <w:rPr>
          <w:rFonts w:ascii="Times New Roman" w:hAnsi="Times New Roman"/>
          <w:b/>
          <w:sz w:val="28"/>
          <w:szCs w:val="28"/>
          <w:lang w:val="uk-UA"/>
        </w:rPr>
        <w:t xml:space="preserve"> кисню кінцівок досліджуваних хворих та їх порівняння</w:t>
      </w:r>
    </w:p>
    <w:p w:rsidR="00A01923" w:rsidRDefault="00A01923" w:rsidP="0036340F">
      <w:pPr>
        <w:shd w:val="clear" w:color="auto" w:fill="FFFFFF"/>
        <w:spacing w:after="0" w:line="360" w:lineRule="auto"/>
        <w:ind w:left="-709" w:firstLine="851"/>
        <w:jc w:val="both"/>
        <w:rPr>
          <w:rFonts w:ascii="Times New Roman" w:hAnsi="Times New Roman"/>
          <w:sz w:val="28"/>
          <w:szCs w:val="28"/>
          <w:lang w:val="uk-UA"/>
        </w:rPr>
      </w:pPr>
    </w:p>
    <w:p w:rsidR="00A01923" w:rsidRDefault="00A01923" w:rsidP="0036340F">
      <w:pPr>
        <w:shd w:val="clear" w:color="auto" w:fill="FFFFFF"/>
        <w:spacing w:after="0" w:line="360" w:lineRule="auto"/>
        <w:ind w:left="-709" w:firstLine="851"/>
        <w:jc w:val="both"/>
        <w:rPr>
          <w:rFonts w:ascii="Times New Roman" w:hAnsi="Times New Roman"/>
          <w:sz w:val="28"/>
          <w:szCs w:val="28"/>
          <w:lang w:val="uk-UA"/>
        </w:rPr>
      </w:pPr>
    </w:p>
    <w:p w:rsidR="004C4BD2" w:rsidRDefault="00A01923" w:rsidP="004C4BD2">
      <w:pPr>
        <w:shd w:val="clear" w:color="auto" w:fill="FFFFFF"/>
        <w:spacing w:after="0" w:line="360" w:lineRule="auto"/>
        <w:ind w:left="-851" w:firstLine="851"/>
        <w:jc w:val="both"/>
        <w:rPr>
          <w:rFonts w:ascii="Times New Roman" w:hAnsi="Times New Roman"/>
          <w:color w:val="000000"/>
          <w:sz w:val="28"/>
          <w:szCs w:val="28"/>
          <w:lang w:val="uk-UA"/>
        </w:rPr>
      </w:pPr>
      <w:r>
        <w:rPr>
          <w:rFonts w:ascii="Times New Roman" w:hAnsi="Times New Roman"/>
          <w:sz w:val="28"/>
          <w:szCs w:val="28"/>
          <w:lang w:val="uk-UA"/>
        </w:rPr>
        <w:t>Хворим основної групи для контролю ефективності лікування та прогнозування перебігу захворювання проводили визначення транскутанного напруження кисню у тканинах тильної поверхні ступні за допомогою одноканального порціометру «RADIOMETR TCM 4</w:t>
      </w:r>
      <w:r>
        <w:rPr>
          <w:rFonts w:ascii="Times New Roman" w:hAnsi="Times New Roman"/>
          <w:color w:val="000000"/>
          <w:sz w:val="28"/>
          <w:szCs w:val="28"/>
          <w:lang w:val="uk-UA"/>
        </w:rPr>
        <w:t xml:space="preserve">» (Данія). </w:t>
      </w:r>
      <w:r>
        <w:rPr>
          <w:rFonts w:ascii="Times New Roman" w:hAnsi="Times New Roman"/>
          <w:color w:val="000000"/>
          <w:sz w:val="28"/>
          <w:szCs w:val="28"/>
        </w:rPr>
        <w:t xml:space="preserve">Для обчислення результатів було прийнято рішення підрахувати середнє значення </w:t>
      </w:r>
      <w:r>
        <w:rPr>
          <w:rFonts w:ascii="Times New Roman" w:hAnsi="Times New Roman"/>
          <w:color w:val="000000"/>
          <w:sz w:val="28"/>
          <w:szCs w:val="28"/>
          <w:lang w:val="uk-UA"/>
        </w:rPr>
        <w:t xml:space="preserve">транскутанного напруження кисню на </w:t>
      </w:r>
      <w:r>
        <w:rPr>
          <w:rFonts w:ascii="Times New Roman" w:hAnsi="Times New Roman"/>
          <w:color w:val="000000"/>
          <w:sz w:val="28"/>
          <w:szCs w:val="28"/>
        </w:rPr>
        <w:t>ст</w:t>
      </w:r>
      <w:r>
        <w:rPr>
          <w:rFonts w:ascii="Times New Roman" w:hAnsi="Times New Roman"/>
          <w:color w:val="000000"/>
          <w:sz w:val="28"/>
          <w:szCs w:val="28"/>
          <w:lang w:val="uk-UA"/>
        </w:rPr>
        <w:t>упні для кожної підгрупи хворих в залежності від проведеного лікування</w:t>
      </w:r>
      <w:r>
        <w:rPr>
          <w:rFonts w:ascii="Times New Roman" w:hAnsi="Times New Roman"/>
          <w:color w:val="000000"/>
          <w:sz w:val="28"/>
          <w:szCs w:val="28"/>
        </w:rPr>
        <w:t xml:space="preserve">. </w:t>
      </w:r>
      <w:r>
        <w:rPr>
          <w:rFonts w:ascii="Times New Roman" w:hAnsi="Times New Roman"/>
          <w:color w:val="000000"/>
          <w:sz w:val="28"/>
          <w:szCs w:val="28"/>
          <w:lang w:val="uk-UA"/>
        </w:rPr>
        <w:t>Середні значення визначення напруження кисню тканин</w:t>
      </w:r>
      <w:r>
        <w:rPr>
          <w:rFonts w:ascii="Times New Roman" w:hAnsi="Times New Roman"/>
          <w:color w:val="000000"/>
          <w:sz w:val="28"/>
          <w:szCs w:val="28"/>
        </w:rPr>
        <w:t xml:space="preserve"> кінцівок</w:t>
      </w:r>
      <w:r>
        <w:rPr>
          <w:rFonts w:ascii="Times New Roman" w:hAnsi="Times New Roman"/>
          <w:color w:val="000000"/>
          <w:sz w:val="28"/>
          <w:szCs w:val="28"/>
          <w:lang w:val="uk-UA"/>
        </w:rPr>
        <w:t xml:space="preserve"> хворих основної групи наведені</w:t>
      </w:r>
      <w:r>
        <w:rPr>
          <w:rFonts w:ascii="Times New Roman" w:hAnsi="Times New Roman"/>
          <w:color w:val="000000"/>
          <w:sz w:val="28"/>
          <w:szCs w:val="28"/>
        </w:rPr>
        <w:t xml:space="preserve"> у таблиці 4.</w:t>
      </w:r>
      <w:r>
        <w:rPr>
          <w:rFonts w:ascii="Times New Roman" w:hAnsi="Times New Roman"/>
          <w:color w:val="000000"/>
          <w:sz w:val="28"/>
          <w:szCs w:val="28"/>
          <w:lang w:val="uk-UA"/>
        </w:rPr>
        <w:t>7</w:t>
      </w:r>
      <w:r>
        <w:rPr>
          <w:rFonts w:ascii="Times New Roman" w:hAnsi="Times New Roman"/>
          <w:color w:val="000000"/>
          <w:sz w:val="28"/>
          <w:szCs w:val="28"/>
        </w:rPr>
        <w:t>.</w:t>
      </w:r>
      <w:r>
        <w:rPr>
          <w:rFonts w:ascii="Times New Roman" w:hAnsi="Times New Roman"/>
          <w:color w:val="000000"/>
          <w:sz w:val="28"/>
          <w:szCs w:val="28"/>
          <w:lang w:val="uk-UA"/>
        </w:rPr>
        <w:t xml:space="preserve"> Контрольні значення показнику були визначені у 5 умовно здорових людей старших 60 років.</w:t>
      </w:r>
      <w:r w:rsidR="004C4BD2">
        <w:rPr>
          <w:rFonts w:ascii="Times New Roman" w:hAnsi="Times New Roman"/>
          <w:color w:val="000000"/>
          <w:sz w:val="28"/>
          <w:szCs w:val="28"/>
          <w:lang w:val="uk-UA"/>
        </w:rPr>
        <w:t xml:space="preserve"> Як видно з таблиці 4.7, у всіх хворих було значно знижене напруження кисню на вихідному рівні, що вказує на субкомпенсований кровообіг у всіх обстежених хворих. При дослідженні вірогідності різниць показників напруження кисню кінцівок протягом спостереження було визначено, що у хворих, що лікувалися за допомогою ЧБА, після лікування напруження кисню було на 152% вірогідно вище вихідного рівня </w:t>
      </w:r>
      <w:r w:rsidR="004C4BD2">
        <w:rPr>
          <w:rFonts w:ascii="Times New Roman" w:hAnsi="Times New Roman"/>
          <w:color w:val="000000"/>
          <w:sz w:val="28"/>
          <w:szCs w:val="28"/>
          <w:lang w:val="uk-UA"/>
        </w:rPr>
        <w:lastRenderedPageBreak/>
        <w:t>(95% ДІ</w:t>
      </w:r>
      <w:r w:rsidR="004C4BD2">
        <w:rPr>
          <w:rFonts w:ascii="Times New Roman" w:hAnsi="Times New Roman"/>
          <w:sz w:val="28"/>
          <w:szCs w:val="28"/>
          <w:lang w:val="uk-UA"/>
        </w:rPr>
        <w:t xml:space="preserve"> від −48,32 до −27,18, р</w:t>
      </w:r>
      <w:r w:rsidR="004C4BD2">
        <w:rPr>
          <w:rFonts w:ascii="Times New Roman" w:hAnsi="Times New Roman"/>
          <w:sz w:val="28"/>
          <w:szCs w:val="28"/>
          <w:lang w:val="uk-UA"/>
        </w:rPr>
        <w:sym w:font="Symbol" w:char="003D"/>
      </w:r>
      <w:r w:rsidR="004C4BD2">
        <w:rPr>
          <w:rFonts w:ascii="Times New Roman" w:hAnsi="Times New Roman"/>
          <w:sz w:val="28"/>
          <w:szCs w:val="28"/>
          <w:lang w:val="uk-UA"/>
        </w:rPr>
        <w:t xml:space="preserve">0,000), у </w:t>
      </w:r>
      <w:r w:rsidR="004C4BD2">
        <w:rPr>
          <w:rFonts w:ascii="Times New Roman" w:hAnsi="Times New Roman"/>
          <w:color w:val="000000"/>
          <w:sz w:val="28"/>
          <w:szCs w:val="28"/>
          <w:lang w:val="uk-UA"/>
        </w:rPr>
        <w:t>строк 6 міс. – на 129,3% (95% ДІ від −42,13 до −21,87, р</w:t>
      </w:r>
      <w:r w:rsidR="004C4BD2">
        <w:rPr>
          <w:rFonts w:ascii="Times New Roman" w:hAnsi="Times New Roman"/>
          <w:color w:val="000000"/>
          <w:sz w:val="28"/>
          <w:szCs w:val="28"/>
          <w:lang w:val="uk-UA"/>
        </w:rPr>
        <w:sym w:font="Symbol" w:char="003D"/>
      </w:r>
      <w:r w:rsidR="004C4BD2">
        <w:rPr>
          <w:rFonts w:ascii="Times New Roman" w:hAnsi="Times New Roman"/>
          <w:color w:val="000000"/>
          <w:sz w:val="28"/>
          <w:szCs w:val="28"/>
          <w:lang w:val="uk-UA"/>
        </w:rPr>
        <w:t>0,000), а у 12 міс. – на 130,3% (95% ДІ від −44, 98 до −19,52, р</w:t>
      </w:r>
      <w:r w:rsidR="004C4BD2">
        <w:rPr>
          <w:rFonts w:ascii="Times New Roman" w:hAnsi="Times New Roman"/>
          <w:color w:val="000000"/>
          <w:sz w:val="28"/>
          <w:szCs w:val="28"/>
          <w:lang w:val="uk-UA"/>
        </w:rPr>
        <w:sym w:font="Symbol" w:char="003D"/>
      </w:r>
      <w:r w:rsidR="004C4BD2">
        <w:rPr>
          <w:rFonts w:ascii="Times New Roman" w:hAnsi="Times New Roman"/>
          <w:color w:val="000000"/>
          <w:sz w:val="28"/>
          <w:szCs w:val="28"/>
          <w:lang w:val="uk-UA"/>
        </w:rPr>
        <w:t xml:space="preserve">0,000). </w:t>
      </w:r>
    </w:p>
    <w:p w:rsidR="00A01923" w:rsidRDefault="00A01923" w:rsidP="0036340F">
      <w:pPr>
        <w:shd w:val="clear" w:color="auto" w:fill="FFFFFF"/>
        <w:spacing w:after="0" w:line="360" w:lineRule="auto"/>
        <w:ind w:left="-709" w:firstLine="851"/>
        <w:jc w:val="both"/>
        <w:rPr>
          <w:rFonts w:ascii="Times New Roman" w:hAnsi="Times New Roman"/>
          <w:color w:val="000000"/>
          <w:sz w:val="28"/>
          <w:szCs w:val="28"/>
          <w:lang w:val="uk-UA"/>
        </w:rPr>
      </w:pPr>
    </w:p>
    <w:p w:rsidR="00A01923" w:rsidRDefault="00A01923" w:rsidP="00A01923">
      <w:pPr>
        <w:shd w:val="clear" w:color="auto" w:fill="FFFFFF"/>
        <w:spacing w:after="0" w:line="360" w:lineRule="auto"/>
        <w:ind w:firstLine="568"/>
        <w:jc w:val="right"/>
        <w:rPr>
          <w:rFonts w:ascii="Times New Roman" w:hAnsi="Times New Roman"/>
          <w:i/>
          <w:color w:val="000000"/>
          <w:sz w:val="28"/>
          <w:szCs w:val="28"/>
          <w:lang w:val="uk-UA"/>
        </w:rPr>
      </w:pPr>
      <w:r>
        <w:rPr>
          <w:rFonts w:ascii="Times New Roman" w:hAnsi="Times New Roman"/>
          <w:i/>
          <w:color w:val="000000"/>
          <w:sz w:val="28"/>
          <w:szCs w:val="28"/>
        </w:rPr>
        <w:t>Таблиця 4.</w:t>
      </w:r>
      <w:r>
        <w:rPr>
          <w:rFonts w:ascii="Times New Roman" w:hAnsi="Times New Roman"/>
          <w:i/>
          <w:color w:val="000000"/>
          <w:sz w:val="28"/>
          <w:szCs w:val="28"/>
          <w:lang w:val="uk-UA"/>
        </w:rPr>
        <w:t>7</w:t>
      </w:r>
    </w:p>
    <w:p w:rsidR="00A01923" w:rsidRDefault="00A01923" w:rsidP="00A01923">
      <w:pPr>
        <w:shd w:val="clear" w:color="auto" w:fill="FFFFFF"/>
        <w:spacing w:after="0" w:line="360" w:lineRule="auto"/>
        <w:ind w:firstLine="568"/>
        <w:jc w:val="center"/>
        <w:rPr>
          <w:rFonts w:ascii="Times New Roman" w:hAnsi="Times New Roman"/>
          <w:b/>
          <w:color w:val="000000"/>
          <w:sz w:val="28"/>
          <w:szCs w:val="28"/>
          <w:lang w:val="uk-UA"/>
        </w:rPr>
      </w:pPr>
      <w:r>
        <w:rPr>
          <w:rFonts w:ascii="Times New Roman" w:hAnsi="Times New Roman"/>
          <w:b/>
          <w:color w:val="000000"/>
          <w:sz w:val="28"/>
          <w:szCs w:val="28"/>
        </w:rPr>
        <w:t>Середні результати визначення транскутанної оксіметрії ступні х</w:t>
      </w:r>
      <w:r>
        <w:rPr>
          <w:rFonts w:ascii="Times New Roman" w:hAnsi="Times New Roman"/>
          <w:b/>
          <w:color w:val="000000"/>
          <w:sz w:val="28"/>
          <w:szCs w:val="28"/>
          <w:lang w:val="uk-UA"/>
        </w:rPr>
        <w:t>в</w:t>
      </w:r>
      <w:r>
        <w:rPr>
          <w:rFonts w:ascii="Times New Roman" w:hAnsi="Times New Roman"/>
          <w:b/>
          <w:color w:val="000000"/>
          <w:sz w:val="28"/>
          <w:szCs w:val="28"/>
        </w:rPr>
        <w:t xml:space="preserve">орих </w:t>
      </w:r>
      <w:r>
        <w:rPr>
          <w:rFonts w:ascii="Times New Roman" w:hAnsi="Times New Roman"/>
          <w:b/>
          <w:color w:val="000000"/>
          <w:sz w:val="28"/>
          <w:szCs w:val="28"/>
          <w:lang w:val="uk-UA"/>
        </w:rPr>
        <w:t xml:space="preserve">основної групи </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7"/>
        <w:gridCol w:w="1560"/>
        <w:gridCol w:w="1559"/>
        <w:gridCol w:w="1701"/>
        <w:gridCol w:w="1559"/>
      </w:tblGrid>
      <w:tr w:rsidR="00A01923" w:rsidTr="00A01923">
        <w:trPr>
          <w:trHeight w:val="513"/>
        </w:trPr>
        <w:tc>
          <w:tcPr>
            <w:tcW w:w="2977"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Підгрупа хворих</w:t>
            </w:r>
          </w:p>
        </w:tc>
        <w:tc>
          <w:tcPr>
            <w:tcW w:w="1560"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До лікування</w:t>
            </w:r>
            <w:r>
              <w:rPr>
                <w:rFonts w:ascii="Times New Roman" w:hAnsi="Times New Roman"/>
                <w:color w:val="000000"/>
                <w:sz w:val="28"/>
                <w:szCs w:val="28"/>
                <w:lang w:val="uk-UA"/>
              </w:rPr>
              <w:t xml:space="preserve"> (мм рт.ст.)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uk-UA"/>
              </w:rPr>
            </w:pPr>
            <w:r>
              <w:rPr>
                <w:rFonts w:ascii="Times New Roman" w:hAnsi="Times New Roman"/>
                <w:color w:val="000000"/>
                <w:sz w:val="28"/>
                <w:szCs w:val="28"/>
              </w:rPr>
              <w:t>Після лікування</w:t>
            </w:r>
            <w:r>
              <w:rPr>
                <w:rFonts w:ascii="Times New Roman" w:hAnsi="Times New Roman"/>
                <w:color w:val="000000"/>
                <w:sz w:val="28"/>
                <w:szCs w:val="28"/>
                <w:lang w:val="uk-UA"/>
              </w:rPr>
              <w:t xml:space="preserve"> (мм рт.ст.)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uk-UA"/>
              </w:rPr>
            </w:pPr>
            <w:r>
              <w:rPr>
                <w:rFonts w:ascii="Times New Roman" w:hAnsi="Times New Roman"/>
                <w:color w:val="000000"/>
                <w:sz w:val="28"/>
                <w:szCs w:val="28"/>
              </w:rPr>
              <w:t>6 місяців</w:t>
            </w:r>
            <w:r>
              <w:rPr>
                <w:rFonts w:ascii="Times New Roman" w:hAnsi="Times New Roman"/>
                <w:color w:val="000000"/>
                <w:sz w:val="28"/>
                <w:szCs w:val="28"/>
                <w:lang w:val="uk-UA"/>
              </w:rPr>
              <w:t xml:space="preserve"> (мм рт.ст.)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uk-UA"/>
              </w:rPr>
            </w:pPr>
            <w:r>
              <w:rPr>
                <w:rFonts w:ascii="Times New Roman" w:hAnsi="Times New Roman"/>
                <w:color w:val="000000"/>
                <w:sz w:val="28"/>
                <w:szCs w:val="28"/>
              </w:rPr>
              <w:t>12 місяців</w:t>
            </w:r>
            <w:r>
              <w:rPr>
                <w:rFonts w:ascii="Times New Roman" w:hAnsi="Times New Roman"/>
                <w:color w:val="000000"/>
                <w:sz w:val="28"/>
                <w:szCs w:val="28"/>
                <w:lang w:val="uk-UA"/>
              </w:rPr>
              <w:t xml:space="preserve"> (мм рт.ст.)</w:t>
            </w:r>
          </w:p>
        </w:tc>
      </w:tr>
      <w:tr w:rsidR="00A01923" w:rsidTr="00A01923">
        <w:trPr>
          <w:trHeight w:val="513"/>
        </w:trPr>
        <w:tc>
          <w:tcPr>
            <w:tcW w:w="2977"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rPr>
            </w:pP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lang w:val="uk-UA"/>
              </w:rPr>
            </w:pPr>
          </w:p>
        </w:tc>
        <w:tc>
          <w:tcPr>
            <w:tcW w:w="1701"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lang w:val="uk-UA"/>
              </w:rPr>
            </w:pP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lang w:val="uk-UA"/>
              </w:rPr>
            </w:pPr>
          </w:p>
        </w:tc>
      </w:tr>
      <w:tr w:rsidR="00A01923" w:rsidTr="00A01923">
        <w:trPr>
          <w:trHeight w:val="15"/>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rPr>
            </w:pPr>
            <w:r>
              <w:rPr>
                <w:rFonts w:ascii="Times New Roman" w:hAnsi="Times New Roman"/>
                <w:color w:val="000000"/>
                <w:sz w:val="28"/>
                <w:szCs w:val="28"/>
              </w:rPr>
              <w:t>Хворі з ЧБА</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24,75 ±3,5*</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62,5±7,9#</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56,75±7,5*#</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57±9,8*#</w:t>
            </w:r>
          </w:p>
        </w:tc>
      </w:tr>
      <w:tr w:rsidR="00A01923" w:rsidTr="00A01923">
        <w:trPr>
          <w:trHeight w:val="15"/>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rPr>
            </w:pPr>
            <w:r>
              <w:rPr>
                <w:rFonts w:ascii="Times New Roman" w:hAnsi="Times New Roman"/>
                <w:color w:val="000000"/>
                <w:sz w:val="28"/>
                <w:szCs w:val="28"/>
              </w:rPr>
              <w:t>Хворі з СГШ</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24±2,8*</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42,5±0,7*#</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38±2,8*#</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41±2,8*#</w:t>
            </w:r>
          </w:p>
        </w:tc>
      </w:tr>
      <w:tr w:rsidR="00A01923" w:rsidTr="00A01923">
        <w:trPr>
          <w:trHeight w:val="15"/>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rPr>
            </w:pPr>
            <w:r>
              <w:rPr>
                <w:rFonts w:ascii="Times New Roman" w:hAnsi="Times New Roman"/>
                <w:color w:val="000000"/>
                <w:sz w:val="28"/>
                <w:szCs w:val="28"/>
              </w:rPr>
              <w:t>Хворі з симпатектомією</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en-US"/>
              </w:rPr>
            </w:pPr>
            <w:r>
              <w:rPr>
                <w:rFonts w:ascii="Times New Roman" w:hAnsi="Times New Roman"/>
                <w:color w:val="000000"/>
                <w:sz w:val="28"/>
                <w:szCs w:val="28"/>
                <w:lang w:val="en-US"/>
              </w:rPr>
              <w:t>26</w:t>
            </w:r>
            <w:r>
              <w:rPr>
                <w:rFonts w:ascii="Times New Roman" w:hAnsi="Times New Roman"/>
                <w:color w:val="000000"/>
                <w:sz w:val="28"/>
                <w:szCs w:val="28"/>
              </w:rPr>
              <w:t>±2,8*</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en-US"/>
              </w:rPr>
            </w:pPr>
            <w:r>
              <w:rPr>
                <w:rFonts w:ascii="Times New Roman" w:hAnsi="Times New Roman"/>
                <w:color w:val="000000"/>
                <w:sz w:val="28"/>
                <w:szCs w:val="28"/>
                <w:lang w:val="en-US"/>
              </w:rPr>
              <w:t>48</w:t>
            </w:r>
            <w:r>
              <w:rPr>
                <w:rFonts w:ascii="Times New Roman" w:hAnsi="Times New Roman"/>
                <w:color w:val="000000"/>
                <w:sz w:val="28"/>
                <w:szCs w:val="28"/>
              </w:rPr>
              <w:t>±5,6*#</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38,5±0,7*#</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1148"/>
              </w:tabs>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37±2,8*#</w:t>
            </w:r>
          </w:p>
        </w:tc>
      </w:tr>
      <w:tr w:rsidR="00A01923" w:rsidTr="004C4BD2">
        <w:trPr>
          <w:trHeight w:val="1244"/>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lang w:val="en-US"/>
              </w:rPr>
            </w:pPr>
            <w:r>
              <w:rPr>
                <w:rFonts w:ascii="Times New Roman" w:hAnsi="Times New Roman"/>
                <w:color w:val="000000"/>
                <w:sz w:val="28"/>
                <w:szCs w:val="28"/>
              </w:rPr>
              <w:t>Хворі з консервативною терапією</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27 ±4,3*</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41±2,6*#</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40,33±3,8*#</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37±4,3*#</w:t>
            </w:r>
          </w:p>
        </w:tc>
      </w:tr>
      <w:tr w:rsidR="00A01923" w:rsidTr="00A01923">
        <w:trPr>
          <w:trHeight w:val="15"/>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rPr>
            </w:pPr>
            <w:r>
              <w:rPr>
                <w:rFonts w:ascii="Times New Roman" w:hAnsi="Times New Roman"/>
                <w:color w:val="000000"/>
                <w:sz w:val="28"/>
                <w:szCs w:val="28"/>
              </w:rPr>
              <w:t>Загальногруповий показник</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25,45 ±3,2*</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50,36± 11,06*#</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45,55±10*#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45±11,3*#</w:t>
            </w:r>
          </w:p>
        </w:tc>
      </w:tr>
      <w:tr w:rsidR="00A01923" w:rsidTr="00A01923">
        <w:trPr>
          <w:trHeight w:val="15"/>
        </w:trPr>
        <w:tc>
          <w:tcPr>
            <w:tcW w:w="2977" w:type="dxa"/>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both"/>
              <w:rPr>
                <w:rFonts w:ascii="Times New Roman" w:eastAsia="Times New Roman" w:hAnsi="Times New Roman"/>
                <w:color w:val="000000"/>
                <w:sz w:val="28"/>
                <w:szCs w:val="28"/>
                <w:lang w:val="uk-UA"/>
              </w:rPr>
            </w:pPr>
            <w:r>
              <w:rPr>
                <w:rFonts w:ascii="Times New Roman" w:hAnsi="Times New Roman"/>
                <w:color w:val="000000"/>
                <w:sz w:val="28"/>
                <w:szCs w:val="28"/>
              </w:rPr>
              <w:t>Контроль</w:t>
            </w:r>
            <w:r>
              <w:rPr>
                <w:rFonts w:ascii="Times New Roman" w:hAnsi="Times New Roman"/>
                <w:color w:val="000000"/>
                <w:sz w:val="28"/>
                <w:szCs w:val="28"/>
                <w:lang w:val="uk-UA"/>
              </w:rPr>
              <w:t xml:space="preserve"> (мм рт.ст.)</w:t>
            </w:r>
          </w:p>
        </w:tc>
        <w:tc>
          <w:tcPr>
            <w:tcW w:w="6379" w:type="dxa"/>
            <w:gridSpan w:val="4"/>
            <w:tcBorders>
              <w:top w:val="single" w:sz="4" w:space="0" w:color="000000"/>
              <w:left w:val="single" w:sz="4" w:space="0" w:color="000000"/>
              <w:bottom w:val="single" w:sz="4" w:space="0" w:color="000000"/>
              <w:right w:val="single" w:sz="4" w:space="0" w:color="000000"/>
            </w:tcBorders>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72,5±7,5</w:t>
            </w:r>
          </w:p>
        </w:tc>
      </w:tr>
    </w:tbl>
    <w:p w:rsidR="00A01923" w:rsidRDefault="00A01923" w:rsidP="00A01923">
      <w:pPr>
        <w:pStyle w:val="ac"/>
        <w:rPr>
          <w:color w:val="000000"/>
          <w:sz w:val="28"/>
          <w:szCs w:val="28"/>
          <w:lang w:val="uk-UA"/>
        </w:rPr>
      </w:pPr>
      <w:r>
        <w:rPr>
          <w:color w:val="000000"/>
          <w:sz w:val="28"/>
          <w:szCs w:val="28"/>
          <w:lang w:val="uk-UA"/>
        </w:rPr>
        <w:t>Примітка:* - достовірна різниця з контролем</w:t>
      </w:r>
    </w:p>
    <w:p w:rsidR="00A01923" w:rsidRDefault="00A01923" w:rsidP="00A01923">
      <w:pPr>
        <w:pStyle w:val="ac"/>
        <w:rPr>
          <w:color w:val="000000"/>
          <w:sz w:val="28"/>
          <w:szCs w:val="28"/>
        </w:rPr>
      </w:pPr>
      <w:r>
        <w:rPr>
          <w:color w:val="000000"/>
          <w:sz w:val="28"/>
          <w:szCs w:val="28"/>
        </w:rPr>
        <w:t xml:space="preserve">                 </w:t>
      </w:r>
      <w:r>
        <w:rPr>
          <w:color w:val="000000"/>
          <w:sz w:val="28"/>
          <w:szCs w:val="28"/>
          <w:lang w:val="uk-UA"/>
        </w:rPr>
        <w:t>#</w:t>
      </w:r>
      <w:r>
        <w:rPr>
          <w:color w:val="000000"/>
          <w:sz w:val="28"/>
          <w:szCs w:val="28"/>
        </w:rPr>
        <w:t xml:space="preserve"> -</w:t>
      </w:r>
      <w:r>
        <w:rPr>
          <w:color w:val="000000"/>
          <w:sz w:val="28"/>
          <w:szCs w:val="28"/>
          <w:lang w:val="uk-UA"/>
        </w:rPr>
        <w:t xml:space="preserve"> достовірна різниця з вихідними даними</w:t>
      </w:r>
    </w:p>
    <w:p w:rsidR="00A01923" w:rsidRDefault="00A01923" w:rsidP="00A01923">
      <w:pPr>
        <w:shd w:val="clear" w:color="auto" w:fill="FFFFFF"/>
        <w:spacing w:after="0" w:line="360" w:lineRule="auto"/>
        <w:ind w:left="-284" w:firstLine="568"/>
        <w:jc w:val="both"/>
        <w:rPr>
          <w:rFonts w:ascii="Times New Roman" w:hAnsi="Times New Roman"/>
          <w:color w:val="000000"/>
          <w:sz w:val="28"/>
          <w:szCs w:val="28"/>
          <w:lang w:val="uk-UA"/>
        </w:rPr>
      </w:pPr>
    </w:p>
    <w:p w:rsidR="00A01923" w:rsidRDefault="00A01923" w:rsidP="0036340F">
      <w:pPr>
        <w:shd w:val="clear" w:color="auto" w:fill="FFFFFF"/>
        <w:spacing w:after="0" w:line="360" w:lineRule="auto"/>
        <w:ind w:left="-851" w:firstLine="851"/>
        <w:jc w:val="both"/>
        <w:rPr>
          <w:rFonts w:ascii="Times New Roman" w:hAnsi="Times New Roman"/>
          <w:sz w:val="28"/>
          <w:szCs w:val="28"/>
          <w:lang w:val="uk-UA"/>
        </w:rPr>
      </w:pPr>
      <w:r>
        <w:rPr>
          <w:rFonts w:ascii="Times New Roman" w:hAnsi="Times New Roman"/>
          <w:color w:val="000000"/>
          <w:sz w:val="28"/>
          <w:szCs w:val="28"/>
          <w:lang w:val="uk-UA"/>
        </w:rPr>
        <w:t>Вірогідно відрізнялись показники</w:t>
      </w:r>
      <w:r>
        <w:rPr>
          <w:rFonts w:ascii="Times New Roman" w:hAnsi="Times New Roman"/>
          <w:sz w:val="28"/>
          <w:szCs w:val="28"/>
          <w:lang w:val="uk-UA"/>
        </w:rPr>
        <w:t xml:space="preserve"> напруження кисню кінцівок протягом спостереження у хворих</w:t>
      </w:r>
      <w:r>
        <w:rPr>
          <w:rFonts w:ascii="Times New Roman" w:hAnsi="Times New Roman"/>
          <w:color w:val="000000"/>
          <w:sz w:val="28"/>
          <w:szCs w:val="28"/>
          <w:lang w:val="uk-UA"/>
        </w:rPr>
        <w:t>, яким було виконано СГШ: після лікування напруження кисню було на 77,1% вірогідно вище вихідного рівню (95% ДІ від −27,28 до −9,719,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0,012), у строк 6 міс. – на 58,3% (95% ДІ від −26,05 до −1,953,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0,038), а у строк 12 міс. – на 70,8% (95% ДІ від −29,13 до −4,867,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0,026). У хворих, яким було виконана поперекову симпатектомію, вірогідно відрізнялися рівні напруження кисню від вихідного рівню та були на 84,6% вищими після лікування (95% ДІ від −-</w:t>
      </w:r>
      <w:r>
        <w:rPr>
          <w:rFonts w:ascii="Times New Roman" w:hAnsi="Times New Roman"/>
          <w:color w:val="000000"/>
          <w:sz w:val="28"/>
          <w:szCs w:val="28"/>
          <w:lang w:val="uk-UA"/>
        </w:rPr>
        <w:lastRenderedPageBreak/>
        <w:t>35,61 до −8,394,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0,020), на 48% у строк 6 міс. (95% ДІ від −18,95 до −6,053,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0,014), та на 42,3% у строк 12 міс. (95% ДІ від −21,52 до −0,4816,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0,046).</w:t>
      </w:r>
    </w:p>
    <w:p w:rsidR="00A01923" w:rsidRDefault="00A01923" w:rsidP="0036340F">
      <w:pPr>
        <w:shd w:val="clear" w:color="auto" w:fill="FFFFFF"/>
        <w:spacing w:after="0" w:line="360" w:lineRule="auto"/>
        <w:ind w:left="-851" w:firstLine="851"/>
        <w:jc w:val="both"/>
        <w:rPr>
          <w:rFonts w:ascii="Times New Roman" w:hAnsi="Times New Roman"/>
          <w:color w:val="000000"/>
          <w:sz w:val="28"/>
          <w:szCs w:val="28"/>
          <w:lang w:val="uk-UA"/>
        </w:rPr>
      </w:pPr>
      <w:r>
        <w:rPr>
          <w:rFonts w:ascii="Times New Roman" w:hAnsi="Times New Roman"/>
          <w:sz w:val="28"/>
          <w:szCs w:val="28"/>
          <w:lang w:val="uk-UA"/>
        </w:rPr>
        <w:t>При дослідженні вірогідності різниць показників напруження кисню у тканинах ступні протягом спостереження було взначено, що у хворих, що лікувалися консервативно напруження кисню було на 51,8% вірогідно вище вихідного рівню (95% ДІ від −22,05 до −5,945, р</w:t>
      </w:r>
      <w:r>
        <w:rPr>
          <w:rFonts w:ascii="Times New Roman" w:hAnsi="Times New Roman"/>
          <w:sz w:val="28"/>
          <w:szCs w:val="28"/>
          <w:lang w:val="uk-UA"/>
        </w:rPr>
        <w:sym w:font="Symbol" w:char="003D"/>
      </w:r>
      <w:r>
        <w:rPr>
          <w:rFonts w:ascii="Times New Roman" w:hAnsi="Times New Roman"/>
          <w:sz w:val="28"/>
          <w:szCs w:val="28"/>
          <w:lang w:val="uk-UA"/>
        </w:rPr>
        <w:t>0,008), у строк 6 міс. на 49,3% (95% ДІ від −22,51 до −4,153, р</w:t>
      </w:r>
      <w:r>
        <w:rPr>
          <w:rFonts w:ascii="Times New Roman" w:hAnsi="Times New Roman"/>
          <w:sz w:val="28"/>
          <w:szCs w:val="28"/>
          <w:lang w:val="uk-UA"/>
        </w:rPr>
        <w:sym w:font="Symbol" w:char="003D"/>
      </w:r>
      <w:r>
        <w:rPr>
          <w:rFonts w:ascii="Times New Roman" w:hAnsi="Times New Roman"/>
          <w:sz w:val="28"/>
          <w:szCs w:val="28"/>
          <w:lang w:val="uk-UA"/>
        </w:rPr>
        <w:t>0,016), а у 12 міс. на 37% (95% ДІ від −19,86 до −0,1387, р</w:t>
      </w:r>
      <w:r>
        <w:rPr>
          <w:rFonts w:ascii="Times New Roman" w:hAnsi="Times New Roman"/>
          <w:sz w:val="28"/>
          <w:szCs w:val="28"/>
          <w:lang w:val="uk-UA"/>
        </w:rPr>
        <w:sym w:font="Symbol" w:char="003D"/>
      </w:r>
      <w:r>
        <w:rPr>
          <w:rFonts w:ascii="Times New Roman" w:hAnsi="Times New Roman"/>
          <w:sz w:val="28"/>
          <w:szCs w:val="28"/>
          <w:lang w:val="uk-UA"/>
        </w:rPr>
        <w:t>0,048). Слід відзначити, що у хворих, що були проліковані за допомогою ЧБА, після лікування рівень напруження кисню у тканинах стопи невірогідно відрізнявся від</w:t>
      </w:r>
      <w:r>
        <w:rPr>
          <w:rFonts w:ascii="Times New Roman" w:hAnsi="Times New Roman"/>
          <w:color w:val="000000"/>
          <w:sz w:val="28"/>
          <w:szCs w:val="28"/>
          <w:lang w:val="uk-UA"/>
        </w:rPr>
        <w:t xml:space="preserve"> контролю (95% ДІ від −21,23 до 1,234,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0,074)</w:t>
      </w:r>
    </w:p>
    <w:p w:rsidR="00A01923" w:rsidRDefault="00A01923" w:rsidP="0036340F">
      <w:pPr>
        <w:shd w:val="clear" w:color="auto" w:fill="FFFFFF"/>
        <w:spacing w:after="0" w:line="360" w:lineRule="auto"/>
        <w:ind w:left="-851" w:firstLine="851"/>
        <w:jc w:val="both"/>
        <w:rPr>
          <w:rFonts w:ascii="Times New Roman" w:hAnsi="Times New Roman"/>
          <w:color w:val="000000"/>
          <w:sz w:val="28"/>
          <w:szCs w:val="28"/>
          <w:lang w:val="uk-UA"/>
        </w:rPr>
      </w:pPr>
      <w:r>
        <w:rPr>
          <w:rFonts w:ascii="Times New Roman" w:hAnsi="Times New Roman"/>
          <w:color w:val="000000"/>
          <w:sz w:val="28"/>
          <w:szCs w:val="28"/>
          <w:lang w:val="uk-UA"/>
        </w:rPr>
        <w:t>Динаміка зміни середніх значень транскутанного напруження кисню тканин ступнів хворих основної групи представлено на графіку (рис. 4.7).</w:t>
      </w:r>
    </w:p>
    <w:p w:rsidR="00A01923" w:rsidRDefault="00487043" w:rsidP="0036340F">
      <w:pPr>
        <w:shd w:val="clear" w:color="auto" w:fill="FFFFFF"/>
        <w:spacing w:after="0" w:line="360" w:lineRule="auto"/>
        <w:ind w:left="-851" w:firstLine="851"/>
        <w:jc w:val="both"/>
        <w:rPr>
          <w:rFonts w:ascii="Times New Roman" w:hAnsi="Times New Roman"/>
          <w:sz w:val="28"/>
          <w:szCs w:val="28"/>
          <w:lang w:val="uk-UA"/>
        </w:rPr>
      </w:pPr>
      <w:r w:rsidRPr="00487043">
        <w:rPr>
          <w:rFonts w:ascii="Calibri" w:hAnsi="Calibri"/>
        </w:rPr>
        <w:pict>
          <v:shape id="_x0000_s2156" type="#_x0000_t202" style="position:absolute;left:0;text-align:left;margin-left:-13.05pt;margin-top:6.3pt;width:477.6pt;height:250.8pt;z-index:251660800" stroked="f">
            <v:textbox>
              <w:txbxContent>
                <w:p w:rsidR="00DA0A21" w:rsidRDefault="00DA0A21" w:rsidP="00A01923">
                  <w:r>
                    <w:rPr>
                      <w:rFonts w:ascii="Calibri" w:eastAsia="Times New Roman" w:hAnsi="Calibri" w:cs="Times New Roman"/>
                      <w:noProof/>
                    </w:rPr>
                    <w:drawing>
                      <wp:inline distT="0" distB="0" distL="0" distR="0">
                        <wp:extent cx="5866130" cy="3182620"/>
                        <wp:effectExtent l="0" t="0" r="0" b="0"/>
                        <wp:docPr id="73" name="Объект 7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txbxContent>
            </v:textbox>
          </v:shape>
        </w:pict>
      </w:r>
    </w:p>
    <w:p w:rsidR="00A01923" w:rsidRDefault="00A01923" w:rsidP="0036340F">
      <w:pPr>
        <w:shd w:val="clear" w:color="auto" w:fill="FFFFFF"/>
        <w:spacing w:after="0" w:line="360" w:lineRule="auto"/>
        <w:ind w:left="-851" w:firstLine="851"/>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A01923" w:rsidP="00A01923">
      <w:pPr>
        <w:shd w:val="clear" w:color="auto" w:fill="FFFFFF"/>
        <w:spacing w:after="0" w:line="360" w:lineRule="auto"/>
        <w:ind w:left="-284" w:firstLine="568"/>
        <w:jc w:val="both"/>
        <w:rPr>
          <w:rFonts w:ascii="Times New Roman" w:hAnsi="Times New Roman"/>
          <w:sz w:val="28"/>
          <w:szCs w:val="28"/>
          <w:lang w:val="uk-UA"/>
        </w:rPr>
      </w:pPr>
    </w:p>
    <w:p w:rsidR="00A01923" w:rsidRDefault="00487043" w:rsidP="00A01923">
      <w:pPr>
        <w:shd w:val="clear" w:color="auto" w:fill="FFFFFF"/>
        <w:spacing w:after="0" w:line="360" w:lineRule="auto"/>
        <w:ind w:left="-284" w:firstLine="568"/>
        <w:jc w:val="both"/>
        <w:rPr>
          <w:rFonts w:ascii="Times New Roman" w:hAnsi="Times New Roman"/>
          <w:sz w:val="28"/>
          <w:szCs w:val="28"/>
          <w:lang w:val="uk-UA"/>
        </w:rPr>
      </w:pPr>
      <w:r w:rsidRPr="00487043">
        <w:rPr>
          <w:rFonts w:ascii="Calibri" w:hAnsi="Calibri"/>
        </w:rPr>
        <w:pict>
          <v:shape id="_x0000_s2157" type="#_x0000_t202" style="position:absolute;left:0;text-align:left;margin-left:-22.65pt;margin-top:39.75pt;width:520.65pt;height:48.85pt;z-index:251661824;mso-wrap-style:none" stroked="f">
            <v:textbox>
              <w:txbxContent>
                <w:p w:rsidR="00DA0A21" w:rsidRDefault="00DA0A21" w:rsidP="00A0192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Рис. 4.</w:t>
                  </w:r>
                  <w:r>
                    <w:rPr>
                      <w:rFonts w:ascii="Times New Roman" w:hAnsi="Times New Roman"/>
                      <w:sz w:val="28"/>
                      <w:szCs w:val="28"/>
                      <w:lang w:val="uk-UA"/>
                    </w:rPr>
                    <w:t>7</w:t>
                  </w:r>
                  <w:r>
                    <w:rPr>
                      <w:rFonts w:ascii="Times New Roman" w:hAnsi="Times New Roman"/>
                      <w:sz w:val="28"/>
                      <w:szCs w:val="28"/>
                    </w:rPr>
                    <w:t xml:space="preserve"> Динаміка зміни </w:t>
                  </w:r>
                  <w:r>
                    <w:rPr>
                      <w:rFonts w:ascii="Times New Roman" w:hAnsi="Times New Roman"/>
                      <w:sz w:val="28"/>
                      <w:szCs w:val="28"/>
                      <w:lang w:val="uk-UA"/>
                    </w:rPr>
                    <w:t>транскутанного напруження кисню</w:t>
                  </w:r>
                  <w:r>
                    <w:rPr>
                      <w:rFonts w:ascii="Times New Roman" w:hAnsi="Times New Roman"/>
                      <w:sz w:val="28"/>
                      <w:szCs w:val="28"/>
                    </w:rPr>
                    <w:t xml:space="preserve"> нижніх кінцівок хвор</w:t>
                  </w:r>
                  <w:r>
                    <w:rPr>
                      <w:rFonts w:ascii="Times New Roman" w:hAnsi="Times New Roman"/>
                      <w:sz w:val="28"/>
                      <w:szCs w:val="28"/>
                      <w:lang w:val="uk-UA"/>
                    </w:rPr>
                    <w:t>их</w:t>
                  </w:r>
                </w:p>
              </w:txbxContent>
            </v:textbox>
            <w10:wrap type="square"/>
          </v:shape>
        </w:pict>
      </w:r>
    </w:p>
    <w:p w:rsidR="004C4BD2" w:rsidRDefault="004C4BD2" w:rsidP="004C4BD2">
      <w:pPr>
        <w:shd w:val="clear" w:color="auto" w:fill="FFFFFF"/>
        <w:spacing w:after="0" w:line="360" w:lineRule="auto"/>
        <w:ind w:left="-851" w:firstLine="851"/>
        <w:jc w:val="both"/>
        <w:rPr>
          <w:rFonts w:ascii="Times New Roman" w:hAnsi="Times New Roman"/>
          <w:color w:val="FF0000"/>
          <w:sz w:val="28"/>
          <w:szCs w:val="28"/>
          <w:lang w:val="uk-UA"/>
        </w:rPr>
      </w:pPr>
      <w:r>
        <w:rPr>
          <w:rFonts w:ascii="Times New Roman" w:hAnsi="Times New Roman"/>
          <w:color w:val="000000"/>
          <w:sz w:val="28"/>
          <w:szCs w:val="28"/>
          <w:lang w:val="uk-UA"/>
        </w:rPr>
        <w:t xml:space="preserve">Показане підвищення досліджуваного показника у відповідь на лікування та, незалежно від проведеного лікування, рівень показника відповідав компенсованому кровообігу (вище 40 мм.рт.ст.) – від 41 мм.рт.ст. (хворі, що лікувалися консервативно) до 62,5 мм.рт.ст. (хворі з ЧБА). Загальногруповий показник після лікування склав 50,36 мм рт.ст., що на 97,8% вище вихідного показнику (95% ДІ від </w:t>
      </w:r>
      <w:r>
        <w:rPr>
          <w:rFonts w:ascii="Times New Roman" w:hAnsi="Times New Roman"/>
          <w:color w:val="000000"/>
          <w:sz w:val="28"/>
          <w:szCs w:val="28"/>
          <w:lang w:val="uk-UA"/>
        </w:rPr>
        <w:lastRenderedPageBreak/>
        <w:t>−32,15 до −17,67,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0,000). Надалі відзначається зниження показнику у строк ДО 6 місяців, та становить, у середньому, 45,55 мм рт.ст., що на 78,9% вище вихідного рівнЯ (95% ДІ від −26,72 до −13,48,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 xml:space="preserve">0,000), що відповідає компенсованому кровообігу, проте хворі, яким було виконано СГШ та симпатектомію, мали, у середньому, відповідно, 38 мм рт.ст. та 38,5 мм рт.ст., що відповідає субкомпенсованому кровообігу. </w:t>
      </w:r>
    </w:p>
    <w:p w:rsidR="00A01923" w:rsidRPr="004C4BD2" w:rsidRDefault="004C4BD2" w:rsidP="004C4BD2">
      <w:pPr>
        <w:shd w:val="clear" w:color="auto" w:fill="FFFFFF"/>
        <w:spacing w:after="0" w:line="360" w:lineRule="auto"/>
        <w:ind w:left="-851" w:firstLine="851"/>
        <w:jc w:val="both"/>
        <w:rPr>
          <w:rFonts w:ascii="Times New Roman" w:hAnsi="Times New Roman"/>
          <w:sz w:val="28"/>
          <w:szCs w:val="28"/>
          <w:lang w:val="uk-UA"/>
        </w:rPr>
      </w:pPr>
      <w:r w:rsidRPr="004C4BD2">
        <w:rPr>
          <w:rFonts w:ascii="Times New Roman" w:hAnsi="Times New Roman"/>
          <w:sz w:val="28"/>
          <w:szCs w:val="28"/>
          <w:lang w:val="uk-UA"/>
        </w:rPr>
        <w:t>У</w:t>
      </w:r>
      <w:r w:rsidR="00A01923" w:rsidRPr="004C4BD2">
        <w:rPr>
          <w:rFonts w:ascii="Times New Roman" w:hAnsi="Times New Roman"/>
          <w:sz w:val="28"/>
          <w:szCs w:val="28"/>
          <w:lang w:val="uk-UA"/>
        </w:rPr>
        <w:t xml:space="preserve"> строк 12 міс. загальногруповий показник транскутанного напруження кисню склав 45 мм рт.ст., що на 76,8% вище вихідного рівню (95% ДІ від −26,92 до −12,18, р</w:t>
      </w:r>
      <w:r w:rsidR="00A01923" w:rsidRPr="004C4BD2">
        <w:rPr>
          <w:rFonts w:ascii="Times New Roman" w:hAnsi="Times New Roman"/>
          <w:sz w:val="28"/>
          <w:szCs w:val="28"/>
          <w:lang w:val="uk-UA"/>
        </w:rPr>
        <w:sym w:font="Symbol" w:char="003D"/>
      </w:r>
      <w:r w:rsidR="00A01923" w:rsidRPr="004C4BD2">
        <w:rPr>
          <w:rFonts w:ascii="Times New Roman" w:hAnsi="Times New Roman"/>
          <w:sz w:val="28"/>
          <w:szCs w:val="28"/>
          <w:lang w:val="uk-UA"/>
        </w:rPr>
        <w:t xml:space="preserve">0,000), проте у хворих, що лікувалися консервативно, та яким була виконана симпатектомія мали середній рівень напруження кисню у тканинах ступні 37 мм рт.ст, що також є показником субкомпенсації кровообігу. </w:t>
      </w:r>
    </w:p>
    <w:p w:rsidR="00A01923" w:rsidRDefault="00A01923" w:rsidP="004C4BD2">
      <w:pPr>
        <w:shd w:val="clear" w:color="auto" w:fill="FFFFFF"/>
        <w:spacing w:after="0" w:line="360" w:lineRule="auto"/>
        <w:ind w:left="-851" w:firstLine="851"/>
        <w:jc w:val="both"/>
        <w:rPr>
          <w:rFonts w:ascii="Times New Roman" w:hAnsi="Times New Roman"/>
          <w:color w:val="FF0000"/>
          <w:sz w:val="28"/>
          <w:szCs w:val="28"/>
          <w:lang w:val="uk-UA"/>
        </w:rPr>
      </w:pPr>
      <w:r w:rsidRPr="004C4BD2">
        <w:rPr>
          <w:rFonts w:ascii="Times New Roman" w:hAnsi="Times New Roman"/>
          <w:sz w:val="28"/>
          <w:szCs w:val="28"/>
          <w:lang w:val="uk-UA"/>
        </w:rPr>
        <w:t xml:space="preserve">Водночас, у хворих з ЧБА рівень транскутанного напруження кисню у строки спостереження мав найвищий рівень та був на 52,4% вище цього показника у хворих з консервативною терапією </w:t>
      </w:r>
      <w:r>
        <w:rPr>
          <w:rFonts w:ascii="Times New Roman" w:hAnsi="Times New Roman"/>
          <w:sz w:val="28"/>
          <w:szCs w:val="28"/>
          <w:lang w:val="uk-UA"/>
        </w:rPr>
        <w:t>після лікування (95% ДІ від 9,06 до 33,94, р</w:t>
      </w:r>
      <w:r>
        <w:rPr>
          <w:rFonts w:ascii="Times New Roman" w:hAnsi="Times New Roman"/>
          <w:sz w:val="28"/>
          <w:szCs w:val="28"/>
          <w:lang w:val="uk-UA"/>
        </w:rPr>
        <w:sym w:font="Symbol" w:char="003D"/>
      </w:r>
      <w:r>
        <w:rPr>
          <w:rFonts w:ascii="Times New Roman" w:hAnsi="Times New Roman"/>
          <w:sz w:val="28"/>
          <w:szCs w:val="28"/>
          <w:lang w:val="uk-UA"/>
        </w:rPr>
        <w:t>0,007), на 40,7% вище у строк 6 місяців (95% ДІ від 4,077 до 28,76, р</w:t>
      </w:r>
      <w:r>
        <w:rPr>
          <w:rFonts w:ascii="Times New Roman" w:hAnsi="Times New Roman"/>
          <w:sz w:val="28"/>
          <w:szCs w:val="28"/>
          <w:lang w:val="uk-UA"/>
        </w:rPr>
        <w:sym w:font="Symbol" w:char="003D"/>
      </w:r>
      <w:r>
        <w:rPr>
          <w:rFonts w:ascii="Times New Roman" w:hAnsi="Times New Roman"/>
          <w:sz w:val="28"/>
          <w:szCs w:val="28"/>
          <w:lang w:val="uk-UA"/>
        </w:rPr>
        <w:t>0,019), на 54% у строк 12 місяців (95% ДІ від 4,169 до 35,83, р</w:t>
      </w:r>
      <w:r>
        <w:rPr>
          <w:rFonts w:ascii="Times New Roman" w:hAnsi="Times New Roman"/>
          <w:sz w:val="28"/>
          <w:szCs w:val="28"/>
          <w:lang w:val="uk-UA"/>
        </w:rPr>
        <w:sym w:font="Symbol" w:char="003D"/>
      </w:r>
      <w:r>
        <w:rPr>
          <w:rFonts w:ascii="Times New Roman" w:hAnsi="Times New Roman"/>
          <w:sz w:val="28"/>
          <w:szCs w:val="28"/>
          <w:lang w:val="uk-UA"/>
        </w:rPr>
        <w:t>0,023).</w:t>
      </w:r>
      <w:r>
        <w:rPr>
          <w:rFonts w:ascii="Times New Roman" w:hAnsi="Times New Roman"/>
          <w:sz w:val="28"/>
          <w:szCs w:val="28"/>
        </w:rPr>
        <w:t xml:space="preserve"> Таку динаміку </w:t>
      </w:r>
      <w:r>
        <w:rPr>
          <w:rFonts w:ascii="Times New Roman" w:hAnsi="Times New Roman"/>
          <w:sz w:val="28"/>
          <w:szCs w:val="28"/>
          <w:lang w:val="uk-UA"/>
        </w:rPr>
        <w:t xml:space="preserve">в хворих </w:t>
      </w:r>
      <w:r>
        <w:rPr>
          <w:rFonts w:ascii="Times New Roman" w:hAnsi="Times New Roman"/>
          <w:sz w:val="28"/>
          <w:szCs w:val="28"/>
        </w:rPr>
        <w:t xml:space="preserve">можна пояснити поступовим зниженням ефекту від </w:t>
      </w:r>
      <w:r>
        <w:rPr>
          <w:rFonts w:ascii="Times New Roman" w:hAnsi="Times New Roman"/>
          <w:sz w:val="28"/>
          <w:szCs w:val="28"/>
          <w:lang w:val="uk-UA"/>
        </w:rPr>
        <w:t>проведеного лікування</w:t>
      </w:r>
      <w:r>
        <w:rPr>
          <w:rFonts w:ascii="Times New Roman" w:hAnsi="Times New Roman"/>
          <w:sz w:val="28"/>
          <w:szCs w:val="28"/>
        </w:rPr>
        <w:t xml:space="preserve"> протягом року спостереження та поступовим розвитком колатерального кровообігу.</w:t>
      </w:r>
    </w:p>
    <w:p w:rsidR="00A01923" w:rsidRDefault="00A01923" w:rsidP="004C4BD2">
      <w:pPr>
        <w:shd w:val="clear" w:color="auto" w:fill="FFFFFF"/>
        <w:spacing w:after="0" w:line="360" w:lineRule="auto"/>
        <w:ind w:left="-851" w:firstLine="851"/>
        <w:jc w:val="both"/>
        <w:rPr>
          <w:rFonts w:ascii="Times New Roman" w:hAnsi="Times New Roman"/>
          <w:sz w:val="28"/>
          <w:szCs w:val="28"/>
          <w:lang w:val="uk-UA"/>
        </w:rPr>
      </w:pPr>
      <w:r>
        <w:rPr>
          <w:rFonts w:ascii="Times New Roman" w:hAnsi="Times New Roman"/>
          <w:sz w:val="28"/>
          <w:szCs w:val="28"/>
          <w:lang w:val="uk-UA"/>
        </w:rPr>
        <w:t xml:space="preserve">Нами проведене вивчення загальногрупової лінійної регресії та кореляції між показниками транскутанної оксиметрії ступні хворих на ХКІНК та рівнями ЕТ-1, </w:t>
      </w:r>
      <w:r>
        <w:rPr>
          <w:rFonts w:ascii="Times New Roman" w:hAnsi="Times New Roman"/>
          <w:sz w:val="28"/>
          <w:szCs w:val="28"/>
          <w:lang w:val="en-US"/>
        </w:rPr>
        <w:t>VEGF</w:t>
      </w:r>
      <w:r>
        <w:rPr>
          <w:rFonts w:ascii="Times New Roman" w:hAnsi="Times New Roman"/>
          <w:sz w:val="28"/>
          <w:szCs w:val="28"/>
          <w:lang w:val="uk-UA"/>
        </w:rPr>
        <w:t>, СРБ та фібриногену крові у різні строки спостереження (табл. 4.8).</w:t>
      </w:r>
      <w:r w:rsidR="004C4BD2">
        <w:rPr>
          <w:rFonts w:ascii="Times New Roman" w:hAnsi="Times New Roman"/>
          <w:sz w:val="28"/>
          <w:szCs w:val="28"/>
          <w:lang w:val="uk-UA"/>
        </w:rPr>
        <w:t xml:space="preserve"> </w:t>
      </w:r>
    </w:p>
    <w:p w:rsidR="004C4BD2" w:rsidRDefault="004C4BD2" w:rsidP="004C4BD2">
      <w:pPr>
        <w:shd w:val="clear" w:color="auto" w:fill="FFFFFF"/>
        <w:spacing w:after="0" w:line="360" w:lineRule="auto"/>
        <w:ind w:left="-851" w:firstLine="851"/>
        <w:jc w:val="both"/>
        <w:rPr>
          <w:rFonts w:ascii="Times New Roman" w:hAnsi="Times New Roman"/>
          <w:sz w:val="28"/>
          <w:szCs w:val="28"/>
          <w:lang w:val="uk-UA"/>
        </w:rPr>
      </w:pPr>
      <w:r>
        <w:rPr>
          <w:rFonts w:ascii="Times New Roman" w:hAnsi="Times New Roman"/>
          <w:color w:val="000000"/>
          <w:sz w:val="28"/>
          <w:szCs w:val="28"/>
          <w:lang w:val="uk-UA"/>
        </w:rPr>
        <w:t xml:space="preserve">Як свідчать дані, що наведені в таблиці 4.8, у хворих на </w:t>
      </w:r>
      <w:r>
        <w:rPr>
          <w:rFonts w:ascii="Times New Roman" w:hAnsi="Times New Roman"/>
          <w:sz w:val="28"/>
          <w:szCs w:val="28"/>
          <w:lang w:val="uk-UA"/>
        </w:rPr>
        <w:t xml:space="preserve">ХКІНК спостерігається зворотна лінійна залежність між рівнем ЕТ-1 та </w:t>
      </w:r>
      <w:r>
        <w:rPr>
          <w:rFonts w:ascii="Times New Roman" w:hAnsi="Times New Roman"/>
          <w:sz w:val="28"/>
          <w:szCs w:val="28"/>
          <w:lang w:val="en-US"/>
        </w:rPr>
        <w:t>T</w:t>
      </w:r>
      <w:r>
        <w:rPr>
          <w:rFonts w:ascii="Times New Roman" w:hAnsi="Times New Roman"/>
          <w:sz w:val="28"/>
          <w:szCs w:val="28"/>
          <w:lang w:val="uk-UA"/>
        </w:rPr>
        <w:t>сРО</w:t>
      </w:r>
      <w:r>
        <w:rPr>
          <w:rFonts w:ascii="Times New Roman" w:hAnsi="Times New Roman"/>
          <w:sz w:val="28"/>
          <w:szCs w:val="28"/>
          <w:vertAlign w:val="subscript"/>
          <w:lang w:val="uk-UA"/>
        </w:rPr>
        <w:t>2</w:t>
      </w:r>
      <w:r>
        <w:rPr>
          <w:rFonts w:ascii="Times New Roman" w:hAnsi="Times New Roman"/>
          <w:sz w:val="28"/>
          <w:szCs w:val="28"/>
          <w:lang w:val="uk-UA"/>
        </w:rPr>
        <w:t xml:space="preserve"> у всі строки дослідження і пряма – між рівнем VEGF до початку лікування та через 12 міс. після нього.</w:t>
      </w:r>
      <w:r w:rsidRPr="004C4BD2">
        <w:rPr>
          <w:rFonts w:ascii="Times New Roman" w:hAnsi="Times New Roman"/>
          <w:sz w:val="28"/>
          <w:szCs w:val="28"/>
          <w:lang w:val="uk-UA"/>
        </w:rPr>
        <w:t xml:space="preserve"> </w:t>
      </w:r>
      <w:r>
        <w:rPr>
          <w:rFonts w:ascii="Times New Roman" w:hAnsi="Times New Roman"/>
          <w:sz w:val="28"/>
          <w:szCs w:val="28"/>
          <w:lang w:val="uk-UA"/>
        </w:rPr>
        <w:t xml:space="preserve">Це, на наш погляд, свідчить про те, що у цієї категорії хворих оцінка вазомоторної (за рівнем ЕТ-1) та проліферативної (за рівнем  VEGF) функції ендотелію має як діагностичне, так і прогностичне значення: чим вище рівень ЕТ-1, тим більше виражений периферійний спазм судин та нижче оксигенація тканин; чим вище рівень VEGF, тим активніше йдуть процеси проліферації </w:t>
      </w:r>
      <w:r>
        <w:rPr>
          <w:rFonts w:ascii="Times New Roman" w:hAnsi="Times New Roman"/>
          <w:color w:val="000000"/>
          <w:sz w:val="28"/>
          <w:szCs w:val="28"/>
          <w:lang w:val="uk-UA"/>
        </w:rPr>
        <w:t xml:space="preserve">ендотелію і </w:t>
      </w:r>
      <w:r>
        <w:rPr>
          <w:rFonts w:ascii="Times New Roman" w:hAnsi="Times New Roman"/>
          <w:color w:val="000000"/>
          <w:sz w:val="28"/>
          <w:szCs w:val="28"/>
          <w:lang w:val="uk-UA"/>
        </w:rPr>
        <w:lastRenderedPageBreak/>
        <w:t>васкулогенезу та вище оксигенація тканин при використанні у хворих на ХКІНК стимуляції неоангіогенезу у комплексному лікуванні.</w:t>
      </w:r>
    </w:p>
    <w:p w:rsidR="00A01923" w:rsidRDefault="00A01923" w:rsidP="00A01923">
      <w:pPr>
        <w:shd w:val="clear" w:color="auto" w:fill="FFFFFF"/>
        <w:spacing w:after="0" w:line="360" w:lineRule="auto"/>
        <w:ind w:left="-284" w:firstLine="568"/>
        <w:jc w:val="right"/>
        <w:rPr>
          <w:rFonts w:ascii="Times New Roman" w:hAnsi="Times New Roman"/>
          <w:i/>
          <w:sz w:val="28"/>
          <w:szCs w:val="28"/>
          <w:lang w:val="uk-UA"/>
        </w:rPr>
      </w:pPr>
      <w:r>
        <w:rPr>
          <w:rFonts w:ascii="Times New Roman" w:hAnsi="Times New Roman"/>
          <w:i/>
          <w:sz w:val="28"/>
          <w:szCs w:val="28"/>
          <w:lang w:val="uk-UA"/>
        </w:rPr>
        <w:t>Таблиця 4.8</w:t>
      </w:r>
    </w:p>
    <w:p w:rsidR="00A01923" w:rsidRDefault="00A01923" w:rsidP="00A01923">
      <w:pPr>
        <w:shd w:val="clear" w:color="auto" w:fill="FFFFFF"/>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Загальногрупова лінійна регресія та кореляція між показниками транскутанної оксиметрії ступні хворих на ХКІНК та рівнями ЕТ-1, </w:t>
      </w:r>
      <w:r>
        <w:rPr>
          <w:rFonts w:ascii="Times New Roman" w:hAnsi="Times New Roman"/>
          <w:b/>
          <w:sz w:val="28"/>
          <w:szCs w:val="28"/>
          <w:lang w:val="en-US"/>
        </w:rPr>
        <w:t>VEGF</w:t>
      </w:r>
      <w:r>
        <w:rPr>
          <w:rFonts w:ascii="Times New Roman" w:hAnsi="Times New Roman"/>
          <w:b/>
          <w:sz w:val="28"/>
          <w:szCs w:val="28"/>
          <w:lang w:val="uk-UA"/>
        </w:rPr>
        <w:t>, СРБ та фібриногену крові</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84"/>
        <w:gridCol w:w="2393"/>
        <w:gridCol w:w="2393"/>
        <w:gridCol w:w="2393"/>
      </w:tblGrid>
      <w:tr w:rsidR="00A01923" w:rsidTr="00A01923">
        <w:trPr>
          <w:jc w:val="center"/>
        </w:trPr>
        <w:tc>
          <w:tcPr>
            <w:tcW w:w="2284"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 xml:space="preserve">Показники </w:t>
            </w:r>
          </w:p>
        </w:tc>
        <w:tc>
          <w:tcPr>
            <w:tcW w:w="7179" w:type="dxa"/>
            <w:gridSpan w:val="3"/>
            <w:tcBorders>
              <w:top w:val="single" w:sz="4" w:space="0" w:color="000000"/>
              <w:left w:val="single" w:sz="4" w:space="0" w:color="000000"/>
              <w:bottom w:val="single" w:sz="4" w:space="0" w:color="000000"/>
              <w:right w:val="single" w:sz="4" w:space="0" w:color="000000"/>
            </w:tcBorders>
            <w:vAlign w:val="center"/>
            <w:hideMark/>
          </w:tcPr>
          <w:p w:rsidR="004C4BD2" w:rsidRDefault="00A01923" w:rsidP="004C4BD2">
            <w:pPr>
              <w:shd w:val="clear" w:color="auto" w:fill="FFFFFF"/>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T</w:t>
            </w:r>
            <w:r>
              <w:rPr>
                <w:rFonts w:ascii="Times New Roman" w:hAnsi="Times New Roman"/>
                <w:color w:val="000000"/>
                <w:sz w:val="28"/>
                <w:szCs w:val="28"/>
              </w:rPr>
              <w:t>сРО</w:t>
            </w:r>
            <w:r>
              <w:rPr>
                <w:rFonts w:ascii="Times New Roman" w:hAnsi="Times New Roman"/>
                <w:color w:val="000000"/>
                <w:sz w:val="28"/>
                <w:szCs w:val="28"/>
                <w:vertAlign w:val="subscript"/>
              </w:rPr>
              <w:t>2</w:t>
            </w:r>
            <w:r w:rsidR="004C4BD2">
              <w:rPr>
                <w:rFonts w:ascii="Times New Roman" w:hAnsi="Times New Roman"/>
                <w:sz w:val="28"/>
                <w:szCs w:val="28"/>
                <w:lang w:val="uk-UA"/>
              </w:rPr>
              <w:t xml:space="preserve"> </w:t>
            </w:r>
          </w:p>
          <w:p w:rsidR="00A01923" w:rsidRDefault="00A01923">
            <w:pPr>
              <w:spacing w:after="0" w:line="360" w:lineRule="auto"/>
              <w:jc w:val="center"/>
              <w:rPr>
                <w:rFonts w:ascii="Times New Roman" w:eastAsia="Times New Roman" w:hAnsi="Times New Roman"/>
                <w:color w:val="000000"/>
                <w:sz w:val="28"/>
                <w:szCs w:val="28"/>
                <w:vertAlign w:val="subscript"/>
              </w:rPr>
            </w:pPr>
          </w:p>
        </w:tc>
      </w:tr>
      <w:tr w:rsidR="00A01923" w:rsidTr="00A01923">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color w:val="000000"/>
                <w:sz w:val="28"/>
                <w:szCs w:val="28"/>
              </w:rPr>
            </w:pP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Вихідні дані</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Через 6 міс.</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Через 12 міс.</w:t>
            </w:r>
          </w:p>
        </w:tc>
      </w:tr>
      <w:tr w:rsidR="00A01923" w:rsidTr="00A01923">
        <w:trPr>
          <w:jc w:val="center"/>
        </w:trPr>
        <w:tc>
          <w:tcPr>
            <w:tcW w:w="228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ЕТ-1</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b/>
                <w:color w:val="000000"/>
                <w:sz w:val="28"/>
                <w:szCs w:val="28"/>
                <w:lang w:val="en-US"/>
              </w:rPr>
            </w:pPr>
            <w:r>
              <w:rPr>
                <w:rFonts w:ascii="Times New Roman" w:hAnsi="Times New Roman"/>
                <w:b/>
                <w:color w:val="000000"/>
                <w:sz w:val="28"/>
                <w:szCs w:val="28"/>
                <w:lang w:val="en-US"/>
              </w:rPr>
              <w:t>r</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 xml:space="preserve"> </w:t>
            </w:r>
            <w:r>
              <w:rPr>
                <w:rFonts w:ascii="Times New Roman" w:hAnsi="Times New Roman"/>
                <w:b/>
                <w:color w:val="000000"/>
                <w:sz w:val="28"/>
                <w:szCs w:val="28"/>
                <w:lang w:val="en-US"/>
              </w:rPr>
              <w:sym w:font="Symbol" w:char="002D"/>
            </w:r>
            <w:r>
              <w:rPr>
                <w:rFonts w:ascii="Times New Roman" w:hAnsi="Times New Roman"/>
                <w:b/>
                <w:color w:val="000000"/>
                <w:sz w:val="28"/>
                <w:szCs w:val="28"/>
                <w:lang w:val="en-US"/>
              </w:rPr>
              <w:t>0,69, p</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0,037</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b/>
                <w:color w:val="000000"/>
                <w:sz w:val="28"/>
                <w:szCs w:val="28"/>
              </w:rPr>
            </w:pPr>
            <w:r>
              <w:rPr>
                <w:rFonts w:ascii="Times New Roman" w:hAnsi="Times New Roman"/>
                <w:b/>
                <w:color w:val="000000"/>
                <w:sz w:val="28"/>
                <w:szCs w:val="28"/>
                <w:lang w:val="en-US"/>
              </w:rPr>
              <w:t>r</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 xml:space="preserve"> </w:t>
            </w:r>
            <w:r>
              <w:rPr>
                <w:rFonts w:ascii="Times New Roman" w:hAnsi="Times New Roman"/>
                <w:b/>
                <w:color w:val="000000"/>
                <w:sz w:val="28"/>
                <w:szCs w:val="28"/>
                <w:lang w:val="en-US"/>
              </w:rPr>
              <w:sym w:font="Symbol" w:char="002D"/>
            </w:r>
            <w:r>
              <w:rPr>
                <w:rFonts w:ascii="Times New Roman" w:hAnsi="Times New Roman"/>
                <w:b/>
                <w:color w:val="000000"/>
                <w:sz w:val="28"/>
                <w:szCs w:val="28"/>
                <w:lang w:val="en-US"/>
              </w:rPr>
              <w:t>0,71, p</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0,03</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b/>
                <w:color w:val="000000"/>
                <w:sz w:val="28"/>
                <w:szCs w:val="28"/>
              </w:rPr>
            </w:pPr>
            <w:r>
              <w:rPr>
                <w:rFonts w:ascii="Times New Roman" w:hAnsi="Times New Roman"/>
                <w:b/>
                <w:color w:val="000000"/>
                <w:sz w:val="28"/>
                <w:szCs w:val="28"/>
                <w:lang w:val="en-US"/>
              </w:rPr>
              <w:t>r</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 xml:space="preserve"> </w:t>
            </w:r>
            <w:r>
              <w:rPr>
                <w:rFonts w:ascii="Times New Roman" w:hAnsi="Times New Roman"/>
                <w:b/>
                <w:color w:val="000000"/>
                <w:sz w:val="28"/>
                <w:szCs w:val="28"/>
                <w:lang w:val="en-US"/>
              </w:rPr>
              <w:sym w:font="Symbol" w:char="002D"/>
            </w:r>
            <w:r>
              <w:rPr>
                <w:rFonts w:ascii="Times New Roman" w:hAnsi="Times New Roman"/>
                <w:b/>
                <w:color w:val="000000"/>
                <w:sz w:val="28"/>
                <w:szCs w:val="28"/>
                <w:lang w:val="en-US"/>
              </w:rPr>
              <w:t>0,75, p</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0,01</w:t>
            </w:r>
          </w:p>
        </w:tc>
      </w:tr>
      <w:tr w:rsidR="00A01923" w:rsidTr="00A01923">
        <w:trPr>
          <w:jc w:val="center"/>
        </w:trPr>
        <w:tc>
          <w:tcPr>
            <w:tcW w:w="228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lang w:val="en-US"/>
              </w:rPr>
            </w:pPr>
            <w:r>
              <w:rPr>
                <w:rFonts w:ascii="Times New Roman" w:hAnsi="Times New Roman"/>
                <w:color w:val="000000"/>
                <w:sz w:val="28"/>
                <w:szCs w:val="28"/>
                <w:lang w:val="en-US"/>
              </w:rPr>
              <w:t>VEGF</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b/>
                <w:color w:val="000000"/>
                <w:sz w:val="28"/>
                <w:szCs w:val="28"/>
              </w:rPr>
            </w:pPr>
            <w:r>
              <w:rPr>
                <w:rFonts w:ascii="Times New Roman" w:hAnsi="Times New Roman"/>
                <w:b/>
                <w:color w:val="000000"/>
                <w:sz w:val="28"/>
                <w:szCs w:val="28"/>
                <w:lang w:val="en-US"/>
              </w:rPr>
              <w:t>r</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 xml:space="preserve"> 0,78, p</w:t>
            </w:r>
            <w:r>
              <w:rPr>
                <w:rFonts w:ascii="Times New Roman" w:hAnsi="Times New Roman"/>
                <w:b/>
                <w:color w:val="000000"/>
                <w:sz w:val="28"/>
                <w:szCs w:val="28"/>
                <w:lang w:val="en-US"/>
              </w:rPr>
              <w:sym w:font="Symbol" w:char="003D"/>
            </w:r>
            <w:r>
              <w:rPr>
                <w:rFonts w:ascii="Times New Roman" w:hAnsi="Times New Roman"/>
                <w:b/>
                <w:color w:val="000000"/>
                <w:sz w:val="28"/>
                <w:szCs w:val="28"/>
                <w:lang w:val="en-US"/>
              </w:rPr>
              <w:t>0,01</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0,11,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0,7</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b/>
                <w:color w:val="000000"/>
                <w:sz w:val="28"/>
                <w:szCs w:val="28"/>
                <w:lang w:val="en-US"/>
              </w:rPr>
            </w:pPr>
            <w:r>
              <w:rPr>
                <w:rFonts w:ascii="Times New Roman" w:hAnsi="Times New Roman"/>
                <w:b/>
                <w:color w:val="000000"/>
                <w:sz w:val="28"/>
                <w:szCs w:val="28"/>
                <w:lang w:val="en-US"/>
              </w:rPr>
              <w:t>r</w:t>
            </w:r>
            <w:r>
              <w:rPr>
                <w:rFonts w:ascii="Times New Roman" w:hAnsi="Times New Roman"/>
                <w:b/>
                <w:color w:val="000000"/>
                <w:sz w:val="28"/>
                <w:szCs w:val="28"/>
                <w:lang w:val="en-US"/>
              </w:rPr>
              <w:sym w:font="Symbol" w:char="003D"/>
            </w:r>
            <w:r>
              <w:rPr>
                <w:rFonts w:ascii="Times New Roman" w:hAnsi="Times New Roman"/>
                <w:b/>
                <w:color w:val="000000"/>
                <w:sz w:val="28"/>
                <w:szCs w:val="28"/>
              </w:rPr>
              <w:t xml:space="preserve"> 0</w:t>
            </w:r>
            <w:r>
              <w:rPr>
                <w:rFonts w:ascii="Times New Roman" w:hAnsi="Times New Roman"/>
                <w:b/>
                <w:color w:val="000000"/>
                <w:sz w:val="28"/>
                <w:szCs w:val="28"/>
                <w:lang w:val="en-US"/>
              </w:rPr>
              <w:t>,80</w:t>
            </w:r>
            <w:r>
              <w:rPr>
                <w:rFonts w:ascii="Times New Roman" w:hAnsi="Times New Roman"/>
                <w:b/>
                <w:color w:val="000000"/>
                <w:sz w:val="28"/>
                <w:szCs w:val="28"/>
              </w:rPr>
              <w:t xml:space="preserve">, </w:t>
            </w:r>
            <w:r>
              <w:rPr>
                <w:rFonts w:ascii="Times New Roman" w:hAnsi="Times New Roman"/>
                <w:b/>
                <w:color w:val="000000"/>
                <w:sz w:val="28"/>
                <w:szCs w:val="28"/>
                <w:lang w:val="en-US"/>
              </w:rPr>
              <w:t>p</w:t>
            </w:r>
            <w:r>
              <w:rPr>
                <w:rFonts w:ascii="Times New Roman" w:hAnsi="Times New Roman"/>
                <w:b/>
                <w:color w:val="000000"/>
                <w:sz w:val="28"/>
                <w:szCs w:val="28"/>
                <w:lang w:val="en-US"/>
              </w:rPr>
              <w:sym w:font="Symbol" w:char="003D"/>
            </w:r>
            <w:r>
              <w:rPr>
                <w:rFonts w:ascii="Times New Roman" w:hAnsi="Times New Roman"/>
                <w:b/>
                <w:color w:val="000000"/>
                <w:sz w:val="28"/>
                <w:szCs w:val="28"/>
              </w:rPr>
              <w:t>0,0</w:t>
            </w:r>
            <w:r>
              <w:rPr>
                <w:rFonts w:ascii="Times New Roman" w:hAnsi="Times New Roman"/>
                <w:b/>
                <w:color w:val="000000"/>
                <w:sz w:val="28"/>
                <w:szCs w:val="28"/>
                <w:lang w:val="en-US"/>
              </w:rPr>
              <w:t>08</w:t>
            </w:r>
          </w:p>
        </w:tc>
      </w:tr>
      <w:tr w:rsidR="00A01923" w:rsidTr="00A01923">
        <w:trPr>
          <w:jc w:val="center"/>
        </w:trPr>
        <w:tc>
          <w:tcPr>
            <w:tcW w:w="228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СРБ</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rPr>
              <w:t>0,40</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27</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rPr>
              <w:t>0,20</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59</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lang w:val="en-US"/>
              </w:rPr>
              <w:sym w:font="Symbol" w:char="002D"/>
            </w:r>
            <w:r>
              <w:rPr>
                <w:rFonts w:ascii="Times New Roman" w:hAnsi="Times New Roman"/>
                <w:color w:val="000000"/>
                <w:sz w:val="28"/>
                <w:szCs w:val="28"/>
                <w:lang w:val="en-US"/>
              </w:rPr>
              <w:t>0,</w:t>
            </w:r>
            <w:r>
              <w:rPr>
                <w:rFonts w:ascii="Times New Roman" w:hAnsi="Times New Roman"/>
                <w:color w:val="000000"/>
                <w:sz w:val="28"/>
                <w:szCs w:val="28"/>
              </w:rPr>
              <w:t>18</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62</w:t>
            </w:r>
          </w:p>
        </w:tc>
      </w:tr>
      <w:tr w:rsidR="00A01923" w:rsidTr="00A01923">
        <w:trPr>
          <w:jc w:val="center"/>
        </w:trPr>
        <w:tc>
          <w:tcPr>
            <w:tcW w:w="228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rPr>
              <w:t>Фібриноген</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rPr>
              <w:t>0,11</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77</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lang w:val="en-US"/>
              </w:rPr>
              <w:sym w:font="Symbol" w:char="002D"/>
            </w:r>
            <w:r>
              <w:rPr>
                <w:rFonts w:ascii="Times New Roman" w:hAnsi="Times New Roman"/>
                <w:color w:val="000000"/>
                <w:sz w:val="28"/>
                <w:szCs w:val="28"/>
                <w:lang w:val="en-US"/>
              </w:rPr>
              <w:t>0,</w:t>
            </w:r>
            <w:r>
              <w:rPr>
                <w:rFonts w:ascii="Times New Roman" w:hAnsi="Times New Roman"/>
                <w:color w:val="000000"/>
                <w:sz w:val="28"/>
                <w:szCs w:val="28"/>
              </w:rPr>
              <w:t>15</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69</w:t>
            </w:r>
          </w:p>
        </w:tc>
        <w:tc>
          <w:tcPr>
            <w:tcW w:w="239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360" w:lineRule="auto"/>
              <w:jc w:val="center"/>
              <w:rPr>
                <w:rFonts w:ascii="Times New Roman" w:eastAsia="Times New Roman" w:hAnsi="Times New Roman"/>
                <w:color w:val="000000"/>
                <w:sz w:val="28"/>
                <w:szCs w:val="28"/>
              </w:rPr>
            </w:pPr>
            <w:r>
              <w:rPr>
                <w:rFonts w:ascii="Times New Roman" w:hAnsi="Times New Roman"/>
                <w:color w:val="000000"/>
                <w:sz w:val="28"/>
                <w:szCs w:val="28"/>
                <w:lang w:val="en-US"/>
              </w:rPr>
              <w:t>r</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 xml:space="preserve"> </w:t>
            </w:r>
            <w:r>
              <w:rPr>
                <w:rFonts w:ascii="Times New Roman" w:hAnsi="Times New Roman"/>
                <w:color w:val="000000"/>
                <w:sz w:val="28"/>
                <w:szCs w:val="28"/>
                <w:lang w:val="en-US"/>
              </w:rPr>
              <w:sym w:font="Symbol" w:char="002D"/>
            </w:r>
            <w:r>
              <w:rPr>
                <w:rFonts w:ascii="Times New Roman" w:hAnsi="Times New Roman"/>
                <w:color w:val="000000"/>
                <w:sz w:val="28"/>
                <w:szCs w:val="28"/>
                <w:lang w:val="en-US"/>
              </w:rPr>
              <w:t>0,</w:t>
            </w:r>
            <w:r>
              <w:rPr>
                <w:rFonts w:ascii="Times New Roman" w:hAnsi="Times New Roman"/>
                <w:color w:val="000000"/>
                <w:sz w:val="28"/>
                <w:szCs w:val="28"/>
              </w:rPr>
              <w:t>12</w:t>
            </w:r>
            <w:r>
              <w:rPr>
                <w:rFonts w:ascii="Times New Roman" w:hAnsi="Times New Roman"/>
                <w:color w:val="000000"/>
                <w:sz w:val="28"/>
                <w:szCs w:val="28"/>
                <w:lang w:val="en-US"/>
              </w:rPr>
              <w:t>, p</w:t>
            </w:r>
            <w:r>
              <w:rPr>
                <w:rFonts w:ascii="Times New Roman" w:hAnsi="Times New Roman"/>
                <w:color w:val="000000"/>
                <w:sz w:val="28"/>
                <w:szCs w:val="28"/>
                <w:lang w:val="en-US"/>
              </w:rPr>
              <w:sym w:font="Symbol" w:char="003D"/>
            </w:r>
            <w:r>
              <w:rPr>
                <w:rFonts w:ascii="Times New Roman" w:hAnsi="Times New Roman"/>
                <w:color w:val="000000"/>
                <w:sz w:val="28"/>
                <w:szCs w:val="28"/>
                <w:lang w:val="en-US"/>
              </w:rPr>
              <w:t>0,</w:t>
            </w:r>
            <w:r>
              <w:rPr>
                <w:rFonts w:ascii="Times New Roman" w:hAnsi="Times New Roman"/>
                <w:color w:val="000000"/>
                <w:sz w:val="28"/>
                <w:szCs w:val="28"/>
              </w:rPr>
              <w:t>75</w:t>
            </w:r>
          </w:p>
        </w:tc>
      </w:tr>
    </w:tbl>
    <w:p w:rsidR="00A01923" w:rsidRDefault="00A01923" w:rsidP="00A01923">
      <w:pPr>
        <w:shd w:val="clear" w:color="auto" w:fill="FFFFFF"/>
        <w:spacing w:after="0" w:line="360" w:lineRule="auto"/>
        <w:ind w:left="-284" w:firstLine="568"/>
        <w:jc w:val="both"/>
        <w:rPr>
          <w:rFonts w:ascii="Times New Roman" w:eastAsia="Times New Roman" w:hAnsi="Times New Roman"/>
          <w:color w:val="000000"/>
          <w:sz w:val="28"/>
          <w:szCs w:val="28"/>
          <w:lang w:val="uk-UA"/>
        </w:rPr>
      </w:pPr>
    </w:p>
    <w:p w:rsidR="00A01923" w:rsidRDefault="00A01923" w:rsidP="004C4BD2">
      <w:pPr>
        <w:widowControl w:val="0"/>
        <w:spacing w:after="0" w:line="360" w:lineRule="auto"/>
        <w:ind w:left="-709"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Таким чином, у всіх досліджуваних хворих, незалежно від методу лікування, спостерігалось зниження середнього рівня ЕТ-1 протягом року спостереження, що свідчить про покращення вазомоторної функціїї ендотелію під впливом лікування, проте рівень показника, що вивчався, залишався вірогідно підвищеним у порівнянні з контролем на 61,3%, що свідчить про прогресування основного захворювання. Показник проліферативної функції ендотелію – </w:t>
      </w:r>
      <w:r>
        <w:rPr>
          <w:rFonts w:ascii="Times New Roman" w:hAnsi="Times New Roman"/>
          <w:color w:val="000000"/>
          <w:sz w:val="28"/>
          <w:szCs w:val="28"/>
          <w:lang w:val="en-US"/>
        </w:rPr>
        <w:t>VEGF</w:t>
      </w:r>
      <w:r>
        <w:rPr>
          <w:rFonts w:ascii="Times New Roman" w:hAnsi="Times New Roman"/>
          <w:color w:val="000000"/>
          <w:sz w:val="28"/>
          <w:szCs w:val="28"/>
          <w:lang w:val="uk-UA"/>
        </w:rPr>
        <w:t xml:space="preserve"> - на вихідному рівні у хворих з ІІІ ступенем ішемії на 156 %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 xml:space="preserve">0,001) був вірогідно вищим, ніж у хворих з </w:t>
      </w:r>
      <w:r>
        <w:rPr>
          <w:rFonts w:ascii="Times New Roman" w:hAnsi="Times New Roman"/>
          <w:color w:val="000000"/>
          <w:sz w:val="28"/>
          <w:szCs w:val="28"/>
          <w:lang w:val="en-US"/>
        </w:rPr>
        <w:t>IV</w:t>
      </w:r>
      <w:r>
        <w:rPr>
          <w:rFonts w:ascii="Times New Roman" w:hAnsi="Times New Roman"/>
          <w:color w:val="000000"/>
          <w:sz w:val="28"/>
          <w:szCs w:val="28"/>
          <w:lang w:val="uk-UA"/>
        </w:rPr>
        <w:t xml:space="preserve"> ступенем, що свідчить про більшу проліферативну активність ендотелію у цих хворих. Також спостерігалася різниця й в залежності від наявності супутнього ЦД: на 67,8 % вірогідно був вищим показник у хворих без ЦД при вихідному дослідженні (р</w:t>
      </w:r>
      <w:r>
        <w:rPr>
          <w:rFonts w:ascii="Times New Roman" w:hAnsi="Times New Roman"/>
          <w:color w:val="000000"/>
          <w:sz w:val="28"/>
          <w:szCs w:val="28"/>
          <w:lang w:val="uk-UA"/>
        </w:rPr>
        <w:sym w:font="Symbol" w:char="003C"/>
      </w:r>
      <w:r>
        <w:rPr>
          <w:rFonts w:ascii="Times New Roman" w:hAnsi="Times New Roman"/>
          <w:color w:val="000000"/>
          <w:sz w:val="28"/>
          <w:szCs w:val="28"/>
          <w:lang w:val="uk-UA"/>
        </w:rPr>
        <w:t xml:space="preserve">0,05). </w:t>
      </w:r>
      <w:r>
        <w:rPr>
          <w:rFonts w:ascii="Times New Roman" w:hAnsi="Times New Roman"/>
          <w:color w:val="000000"/>
          <w:sz w:val="28"/>
          <w:szCs w:val="28"/>
        </w:rPr>
        <w:t xml:space="preserve">Високий рівень </w:t>
      </w:r>
      <w:r>
        <w:rPr>
          <w:rFonts w:ascii="Times New Roman" w:hAnsi="Times New Roman"/>
          <w:color w:val="000000"/>
          <w:sz w:val="28"/>
          <w:szCs w:val="28"/>
          <w:lang w:val="en-US"/>
        </w:rPr>
        <w:t>VEGF</w:t>
      </w:r>
      <w:r>
        <w:rPr>
          <w:rFonts w:ascii="Times New Roman" w:hAnsi="Times New Roman"/>
          <w:color w:val="000000"/>
          <w:sz w:val="28"/>
          <w:szCs w:val="28"/>
        </w:rPr>
        <w:t xml:space="preserve"> у хворих даної групи свідчить про </w:t>
      </w:r>
      <w:r>
        <w:rPr>
          <w:rFonts w:ascii="Times New Roman" w:hAnsi="Times New Roman"/>
          <w:color w:val="000000"/>
          <w:sz w:val="28"/>
          <w:szCs w:val="28"/>
          <w:lang w:val="uk-UA"/>
        </w:rPr>
        <w:t>активність проліферативних процесів та неоангіогенезу</w:t>
      </w:r>
      <w:r>
        <w:rPr>
          <w:rFonts w:ascii="Times New Roman" w:hAnsi="Times New Roman"/>
          <w:color w:val="000000"/>
          <w:sz w:val="28"/>
          <w:szCs w:val="28"/>
        </w:rPr>
        <w:t>.</w:t>
      </w:r>
    </w:p>
    <w:p w:rsidR="00A01923" w:rsidRDefault="00A01923" w:rsidP="004C4BD2">
      <w:pPr>
        <w:pStyle w:val="ac"/>
        <w:spacing w:line="360" w:lineRule="auto"/>
        <w:ind w:left="-709" w:firstLine="709"/>
        <w:jc w:val="both"/>
        <w:rPr>
          <w:color w:val="000000"/>
          <w:sz w:val="28"/>
          <w:szCs w:val="28"/>
          <w:lang w:val="uk-UA"/>
        </w:rPr>
      </w:pPr>
      <w:r>
        <w:rPr>
          <w:color w:val="000000"/>
          <w:sz w:val="28"/>
          <w:szCs w:val="28"/>
          <w:lang w:val="uk-UA"/>
        </w:rPr>
        <w:t xml:space="preserve">У всіх підгрупах досліджуваних хворих відмічається зниження рівня показника СРБ протягом року спостереження, що свідчить про зниження рівня </w:t>
      </w:r>
      <w:r>
        <w:rPr>
          <w:color w:val="000000"/>
          <w:sz w:val="28"/>
          <w:szCs w:val="28"/>
          <w:lang w:val="uk-UA"/>
        </w:rPr>
        <w:lastRenderedPageBreak/>
        <w:t>інтенсивності запальних процесів під впливом лікування, але не їх невілювання, що також є ознакою прогресування первинного захворювання.</w:t>
      </w:r>
    </w:p>
    <w:p w:rsidR="00A01923" w:rsidRDefault="00A01923" w:rsidP="004C4BD2">
      <w:pPr>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Динаміка температурного режиму кінцівок хворих основної группи показала, що температура хворої ступні на вихідному рівні була в середньому на 1,2 </w:t>
      </w:r>
      <w:r>
        <w:rPr>
          <w:rFonts w:ascii="Times New Roman" w:hAnsi="Times New Roman"/>
          <w:color w:val="000000"/>
          <w:sz w:val="28"/>
          <w:szCs w:val="28"/>
          <w:vertAlign w:val="superscript"/>
          <w:lang w:val="uk-UA"/>
        </w:rPr>
        <w:t>о</w:t>
      </w:r>
      <w:r>
        <w:rPr>
          <w:rFonts w:ascii="Times New Roman" w:hAnsi="Times New Roman"/>
          <w:color w:val="000000"/>
          <w:sz w:val="28"/>
          <w:szCs w:val="28"/>
          <w:lang w:val="uk-UA"/>
        </w:rPr>
        <w:t>С (4,2%) холоднішою контрольної (р=0,002), проте у пізніші строки різниця температур між обома кінцівками була невірогідна, що свідчить про зрівняння температури обох кінцівок.</w:t>
      </w:r>
    </w:p>
    <w:p w:rsidR="00A01923" w:rsidRDefault="00A01923" w:rsidP="004C4BD2">
      <w:pPr>
        <w:spacing w:after="0" w:line="360" w:lineRule="auto"/>
        <w:ind w:left="-709" w:firstLine="709"/>
        <w:jc w:val="both"/>
        <w:rPr>
          <w:rFonts w:ascii="Times New Roman" w:hAnsi="Times New Roman"/>
          <w:color w:val="FF0000"/>
          <w:sz w:val="28"/>
          <w:szCs w:val="28"/>
          <w:lang w:val="uk-UA"/>
        </w:rPr>
      </w:pPr>
      <w:r>
        <w:rPr>
          <w:rFonts w:ascii="Times New Roman" w:hAnsi="Times New Roman"/>
          <w:color w:val="000000"/>
          <w:sz w:val="28"/>
          <w:szCs w:val="28"/>
          <w:lang w:val="uk-UA"/>
        </w:rPr>
        <w:t>При визначенні черезшкірного напруження кисню на хворій ступні досліджуваних хворих, показане підвищення досліджуваного показника у відповідь на лікування та незалежно від проведеного лікування рівень показника відповідав компенсованому кровообігу (вище 40 мм.рт.ст.), проте хворі, що лікувалися консервативно та яким було виконано симпатектомію мали показники, що відповідають субкомпенсації кровообігу. У хворих з ЧБА рівень транскутанного напруження кисню у строки спостереження був найвищим.</w:t>
      </w:r>
    </w:p>
    <w:p w:rsidR="00A01923" w:rsidRDefault="00A01923" w:rsidP="004C4BD2">
      <w:pPr>
        <w:shd w:val="clear" w:color="auto" w:fill="FFFFFF"/>
        <w:spacing w:after="0" w:line="360" w:lineRule="auto"/>
        <w:ind w:left="-709"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хворих на ХКІНК спостерігається зворотна лінійна залежність між рівнем ЕТ-1 та </w:t>
      </w:r>
      <w:r>
        <w:rPr>
          <w:rFonts w:ascii="Times New Roman" w:hAnsi="Times New Roman"/>
          <w:color w:val="000000"/>
          <w:sz w:val="28"/>
          <w:szCs w:val="28"/>
          <w:lang w:val="en-US"/>
        </w:rPr>
        <w:t>T</w:t>
      </w:r>
      <w:r>
        <w:rPr>
          <w:rFonts w:ascii="Times New Roman" w:hAnsi="Times New Roman"/>
          <w:color w:val="000000"/>
          <w:sz w:val="28"/>
          <w:szCs w:val="28"/>
          <w:lang w:val="uk-UA"/>
        </w:rPr>
        <w:t>сРО</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у всі строки дослідження і пряма – між рівнем VEGF до початку лікування та через 12 міс. Це, на наш погляд, свідчить про те, що у цієї категорії хворих оцінка вазомоторної (за рівнем ЕТ-1) та проліферативної (за рівнем  VEGF) функціі ендотелію має як діагностичне, так і прогностичне значення: чим вище рівень ЕТ-1, тим більше виражений периферійний спазм судин та нижче оксигенація тканин; чим вище рівень VEGF, тим активніше йдуть процеси проліферації ендотелію і васкулогенезу, та вище оксигенація тканин при використанні у хворих на ХКІНК стимуляції неоангіогенезу у комплексному лікуванні. </w:t>
      </w:r>
    </w:p>
    <w:p w:rsidR="00A01923" w:rsidRDefault="00A01923" w:rsidP="004C4BD2">
      <w:pPr>
        <w:widowControl w:val="0"/>
        <w:spacing w:after="0" w:line="360" w:lineRule="auto"/>
        <w:ind w:left="-709" w:firstLine="1275"/>
        <w:jc w:val="both"/>
        <w:rPr>
          <w:rFonts w:ascii="Times New Roman" w:hAnsi="Times New Roman"/>
          <w:color w:val="000000"/>
          <w:sz w:val="28"/>
          <w:szCs w:val="28"/>
        </w:rPr>
      </w:pPr>
      <w:r>
        <w:rPr>
          <w:rFonts w:ascii="Times New Roman" w:hAnsi="Times New Roman"/>
          <w:color w:val="000000"/>
          <w:sz w:val="28"/>
          <w:szCs w:val="28"/>
        </w:rPr>
        <w:t>Матеріали цього розділу опубліковані у вигляді статей</w:t>
      </w:r>
      <w:r w:rsidR="004C4BD2">
        <w:rPr>
          <w:rFonts w:ascii="Times New Roman" w:hAnsi="Times New Roman"/>
          <w:color w:val="000000"/>
          <w:sz w:val="28"/>
          <w:szCs w:val="28"/>
          <w:lang w:val="uk-UA"/>
        </w:rPr>
        <w:t xml:space="preserve"> </w:t>
      </w:r>
      <w:r w:rsidR="004C4BD2" w:rsidRPr="004C4BD2">
        <w:rPr>
          <w:rFonts w:ascii="Times New Roman" w:hAnsi="Times New Roman"/>
          <w:color w:val="000000"/>
          <w:sz w:val="28"/>
          <w:szCs w:val="28"/>
        </w:rPr>
        <w:t>[</w:t>
      </w:r>
      <w:r w:rsidR="004C4BD2">
        <w:rPr>
          <w:rFonts w:ascii="Times New Roman" w:hAnsi="Times New Roman"/>
          <w:color w:val="000000"/>
          <w:sz w:val="28"/>
          <w:szCs w:val="28"/>
        </w:rPr>
        <w:t>15,</w:t>
      </w:r>
      <w:r w:rsidR="004C4BD2">
        <w:rPr>
          <w:rFonts w:ascii="Times New Roman" w:hAnsi="Times New Roman"/>
          <w:color w:val="000000"/>
          <w:sz w:val="28"/>
          <w:szCs w:val="28"/>
          <w:lang w:val="uk-UA"/>
        </w:rPr>
        <w:t>18, 23</w:t>
      </w:r>
      <w:r w:rsidR="004C4BD2" w:rsidRPr="004C4BD2">
        <w:rPr>
          <w:rFonts w:ascii="Times New Roman" w:hAnsi="Times New Roman"/>
          <w:color w:val="000000"/>
          <w:sz w:val="28"/>
          <w:szCs w:val="28"/>
        </w:rPr>
        <w:t>]</w:t>
      </w:r>
      <w:r>
        <w:rPr>
          <w:rFonts w:ascii="Times New Roman" w:hAnsi="Times New Roman"/>
          <w:color w:val="000000"/>
          <w:sz w:val="28"/>
          <w:szCs w:val="28"/>
        </w:rPr>
        <w:t>:</w:t>
      </w:r>
    </w:p>
    <w:p w:rsidR="00A01923" w:rsidRDefault="00A01923" w:rsidP="004C4BD2">
      <w:pPr>
        <w:spacing w:after="0" w:line="360" w:lineRule="auto"/>
        <w:ind w:left="-709"/>
        <w:jc w:val="center"/>
        <w:rPr>
          <w:rFonts w:ascii="Times New Roman" w:hAnsi="Times New Roman"/>
          <w:b/>
          <w:sz w:val="28"/>
          <w:szCs w:val="28"/>
        </w:rPr>
      </w:pPr>
      <w:r>
        <w:rPr>
          <w:rFonts w:ascii="Times New Roman" w:hAnsi="Times New Roman"/>
          <w:sz w:val="28"/>
          <w:szCs w:val="28"/>
        </w:rPr>
        <w:br w:type="page"/>
      </w:r>
      <w:r>
        <w:rPr>
          <w:rFonts w:ascii="Times New Roman" w:hAnsi="Times New Roman"/>
          <w:b/>
          <w:sz w:val="28"/>
          <w:szCs w:val="28"/>
        </w:rPr>
        <w:lastRenderedPageBreak/>
        <w:t>РОЗДІЛ 5</w:t>
      </w:r>
    </w:p>
    <w:p w:rsidR="00A01923" w:rsidRDefault="00A01923" w:rsidP="00A01923">
      <w:pPr>
        <w:tabs>
          <w:tab w:val="left" w:pos="180"/>
          <w:tab w:val="left" w:pos="360"/>
          <w:tab w:val="left" w:pos="540"/>
          <w:tab w:val="left" w:pos="720"/>
          <w:tab w:val="left" w:pos="6840"/>
        </w:tabs>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rPr>
        <w:t xml:space="preserve">ОСОБЛИВОСТІ ХІРУРГІЧНОГО ЛІКУВАННЯ ХВОРИХ НА </w:t>
      </w:r>
      <w:r>
        <w:rPr>
          <w:rFonts w:ascii="Times New Roman" w:hAnsi="Times New Roman"/>
          <w:b/>
          <w:sz w:val="28"/>
          <w:szCs w:val="28"/>
          <w:lang w:val="uk-UA"/>
        </w:rPr>
        <w:t>ХРОНІЧНУ КРИТИЧНУ ІШЕМІЮ НИЖНІХ КІНЦІВОК</w:t>
      </w:r>
    </w:p>
    <w:p w:rsidR="00A01923" w:rsidRDefault="00A01923" w:rsidP="00A01923">
      <w:pPr>
        <w:tabs>
          <w:tab w:val="left" w:pos="5950"/>
        </w:tabs>
        <w:spacing w:after="0" w:line="360" w:lineRule="auto"/>
        <w:ind w:left="-567" w:right="141" w:firstLine="567"/>
        <w:jc w:val="both"/>
        <w:rPr>
          <w:rFonts w:ascii="Times New Roman" w:hAnsi="Times New Roman"/>
          <w:b/>
          <w:sz w:val="28"/>
          <w:szCs w:val="28"/>
          <w:lang w:val="uk-UA"/>
        </w:rPr>
      </w:pPr>
      <w:r>
        <w:rPr>
          <w:rFonts w:ascii="Times New Roman" w:hAnsi="Times New Roman"/>
          <w:b/>
          <w:sz w:val="28"/>
          <w:szCs w:val="28"/>
        </w:rPr>
        <w:t>5.1 Особливості вибору способу хірургічного втручання</w:t>
      </w:r>
      <w:r w:rsidR="007B6252">
        <w:rPr>
          <w:rFonts w:ascii="Times New Roman" w:hAnsi="Times New Roman"/>
          <w:b/>
          <w:sz w:val="28"/>
          <w:szCs w:val="28"/>
          <w:lang w:val="uk-UA"/>
        </w:rPr>
        <w:t xml:space="preserve"> </w:t>
      </w:r>
      <w:r>
        <w:rPr>
          <w:rFonts w:ascii="Times New Roman" w:hAnsi="Times New Roman"/>
          <w:b/>
          <w:sz w:val="28"/>
          <w:szCs w:val="28"/>
        </w:rPr>
        <w:t xml:space="preserve">у хворих на </w:t>
      </w:r>
      <w:r>
        <w:rPr>
          <w:rFonts w:ascii="Times New Roman" w:hAnsi="Times New Roman"/>
          <w:b/>
          <w:sz w:val="28"/>
          <w:szCs w:val="28"/>
          <w:lang w:val="uk-UA"/>
        </w:rPr>
        <w:t>хронічну критичну ішемію нижніх кінцівок</w:t>
      </w:r>
    </w:p>
    <w:p w:rsidR="00A01923" w:rsidRDefault="00A01923" w:rsidP="00A01923">
      <w:pPr>
        <w:tabs>
          <w:tab w:val="left" w:pos="5950"/>
        </w:tabs>
        <w:spacing w:after="0" w:line="360" w:lineRule="auto"/>
        <w:ind w:left="-567" w:right="141" w:firstLine="567"/>
        <w:jc w:val="center"/>
        <w:rPr>
          <w:rFonts w:ascii="Times New Roman" w:hAnsi="Times New Roman"/>
          <w:b/>
          <w:sz w:val="28"/>
          <w:szCs w:val="28"/>
          <w:lang w:val="uk-UA"/>
        </w:rPr>
      </w:pPr>
    </w:p>
    <w:p w:rsidR="00A01923" w:rsidRDefault="00A01923" w:rsidP="00A01923">
      <w:pPr>
        <w:tabs>
          <w:tab w:val="left" w:pos="5950"/>
        </w:tabs>
        <w:spacing w:after="0" w:line="360" w:lineRule="auto"/>
        <w:ind w:left="-567" w:right="141" w:firstLine="567"/>
        <w:jc w:val="center"/>
        <w:rPr>
          <w:rFonts w:ascii="Times New Roman" w:hAnsi="Times New Roman"/>
          <w:b/>
          <w:sz w:val="28"/>
          <w:szCs w:val="28"/>
          <w:lang w:val="uk-UA"/>
        </w:rPr>
      </w:pP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szCs w:val="28"/>
        </w:rPr>
      </w:pPr>
      <w:r>
        <w:rPr>
          <w:rFonts w:ascii="Times New Roman" w:hAnsi="Times New Roman"/>
          <w:color w:val="000000"/>
          <w:sz w:val="28"/>
          <w:szCs w:val="28"/>
        </w:rPr>
        <w:t>Після проведеного обстеження хворих була виконана стратифікація хворих в залежності</w:t>
      </w:r>
      <w:r>
        <w:rPr>
          <w:rFonts w:ascii="Times New Roman" w:hAnsi="Times New Roman"/>
          <w:sz w:val="28"/>
          <w:szCs w:val="28"/>
        </w:rPr>
        <w:t xml:space="preserve"> від планованої тактики лікування. За рекомендаціями </w:t>
      </w:r>
      <w:r>
        <w:rPr>
          <w:rFonts w:ascii="Times New Roman" w:hAnsi="Times New Roman"/>
          <w:sz w:val="28"/>
          <w:szCs w:val="28"/>
          <w:lang w:val="en-US"/>
        </w:rPr>
        <w:t>TASC</w:t>
      </w:r>
      <w:r w:rsidRPr="00A01923">
        <w:rPr>
          <w:rFonts w:ascii="Times New Roman" w:hAnsi="Times New Roman"/>
          <w:sz w:val="28"/>
          <w:szCs w:val="28"/>
        </w:rPr>
        <w:t xml:space="preserve"> </w:t>
      </w:r>
      <w:r>
        <w:rPr>
          <w:rFonts w:ascii="Times New Roman" w:hAnsi="Times New Roman"/>
          <w:sz w:val="28"/>
          <w:szCs w:val="28"/>
        </w:rPr>
        <w:t>ІІ</w:t>
      </w:r>
      <w:r>
        <w:rPr>
          <w:rFonts w:ascii="Times New Roman" w:hAnsi="Times New Roman"/>
          <w:sz w:val="28"/>
          <w:szCs w:val="28"/>
          <w:lang w:val="uk-UA"/>
        </w:rPr>
        <w:t xml:space="preserve"> (2007)</w:t>
      </w:r>
      <w:r>
        <w:rPr>
          <w:rFonts w:ascii="Times New Roman" w:hAnsi="Times New Roman"/>
          <w:sz w:val="28"/>
          <w:szCs w:val="28"/>
        </w:rPr>
        <w:t xml:space="preserve">, переважним методом лікування для типів А та В ураження </w:t>
      </w:r>
      <w:r>
        <w:rPr>
          <w:rFonts w:ascii="Times New Roman" w:hAnsi="Times New Roman"/>
          <w:sz w:val="28"/>
          <w:szCs w:val="28"/>
          <w:lang w:val="uk-UA"/>
        </w:rPr>
        <w:t>артерій</w:t>
      </w:r>
      <w:r>
        <w:rPr>
          <w:rFonts w:ascii="Times New Roman" w:hAnsi="Times New Roman"/>
          <w:sz w:val="28"/>
          <w:szCs w:val="28"/>
        </w:rPr>
        <w:t xml:space="preserve"> досліджуваного сегменту єдиний стеноз ≤ 10 см, єдина оклюзія ≤ 10 см, множинні ураження (стенози або оклюзії), кожне ≤ 5 см, одиничні стенози або оклюзії ≤15 см, що не залучають підколінну артерію нижче колінного суглобу, одиничні або множинні ураження при відсутності прохідних гомілкових артерій для поліпшення притоку до дистального шунту, важко кальциновані оклюзії ≤ 5 см, одиничні стенози підколінної артерії) є ендоваскулярне втручання, а для С та D (множинні стенози або оклюзії в цілому &gt; 15 см без або з кальцификацією, рестеноз або реокклюзія після двох ендоваскулярних втручань, хронічні тотальні оклюзії ЗСА або ПСА &gt; 20 см, з залученням підколінної артерії, хронічні тотальні оклюзії підколінної артерії і її тріфуркаціі) – відкрите хірургічне втручання.</w:t>
      </w: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За </w:t>
      </w:r>
      <w:r>
        <w:rPr>
          <w:rFonts w:ascii="Times New Roman" w:hAnsi="Times New Roman"/>
          <w:sz w:val="28"/>
          <w:szCs w:val="28"/>
          <w:lang w:val="uk-UA"/>
        </w:rPr>
        <w:t>рекомендаціями</w:t>
      </w:r>
      <w:r>
        <w:rPr>
          <w:rFonts w:ascii="Times New Roman" w:hAnsi="Times New Roman"/>
          <w:sz w:val="28"/>
          <w:szCs w:val="28"/>
        </w:rPr>
        <w:t xml:space="preserve"> TASC II (2007) основними завданнями при лікуванні пацієнтів з КІНК є зменшення ішемічного болю, загоєння виразок, попередження втрати кінцівки, поліпшення якості життя і збільшення її тривалості. Тим же документом було виділено основні напрямки консервативного лікування хворих з захворюванням периферійних артерій та КІНК та рекомендації щодо їх використання.</w:t>
      </w:r>
    </w:p>
    <w:p w:rsidR="00A01923" w:rsidRDefault="00A01923" w:rsidP="00A01923">
      <w:pPr>
        <w:pStyle w:val="ac"/>
        <w:tabs>
          <w:tab w:val="left" w:pos="142"/>
        </w:tabs>
        <w:spacing w:line="360" w:lineRule="auto"/>
        <w:ind w:left="-567" w:firstLine="567"/>
        <w:jc w:val="both"/>
        <w:rPr>
          <w:sz w:val="28"/>
          <w:szCs w:val="28"/>
          <w:lang w:val="uk-UA"/>
        </w:rPr>
      </w:pPr>
      <w:r>
        <w:rPr>
          <w:sz w:val="28"/>
          <w:szCs w:val="28"/>
          <w:lang w:val="uk-UA"/>
        </w:rPr>
        <w:t xml:space="preserve">У нашому дослідженні приймали участь хворі з ураженням артерій від підколінної артеріі та дистальніше (типи В, С та </w:t>
      </w:r>
      <w:r>
        <w:rPr>
          <w:sz w:val="28"/>
          <w:szCs w:val="28"/>
          <w:lang w:val="en-US"/>
        </w:rPr>
        <w:t>D</w:t>
      </w:r>
      <w:r>
        <w:rPr>
          <w:sz w:val="28"/>
          <w:szCs w:val="28"/>
        </w:rPr>
        <w:t>)</w:t>
      </w:r>
      <w:r>
        <w:rPr>
          <w:sz w:val="28"/>
          <w:szCs w:val="28"/>
          <w:lang w:val="uk-UA"/>
        </w:rPr>
        <w:t xml:space="preserve">. </w:t>
      </w:r>
      <w:r>
        <w:rPr>
          <w:sz w:val="28"/>
          <w:szCs w:val="28"/>
        </w:rPr>
        <w:t>Цей рівень ураження й визначає важкість стану цієї групи хворих.</w:t>
      </w:r>
      <w:r>
        <w:rPr>
          <w:sz w:val="28"/>
          <w:szCs w:val="28"/>
          <w:lang w:val="uk-UA"/>
        </w:rPr>
        <w:t xml:space="preserve"> При відсутності адекватних шляхів відтоку та умов для виконання прямої реваскуляризації (множинні ураження  </w:t>
      </w:r>
      <w:r>
        <w:rPr>
          <w:sz w:val="28"/>
          <w:szCs w:val="28"/>
          <w:lang w:val="uk-UA"/>
        </w:rPr>
        <w:lastRenderedPageBreak/>
        <w:t xml:space="preserve">артерій гомілки, ураження артерій ступні) хворим виконували непрямі реваскуляризуючі втручання та/або консервативну терапію. </w:t>
      </w:r>
    </w:p>
    <w:p w:rsidR="00A01923" w:rsidRDefault="00A01923" w:rsidP="00A01923">
      <w:pPr>
        <w:pStyle w:val="ac"/>
        <w:tabs>
          <w:tab w:val="left" w:pos="0"/>
        </w:tabs>
        <w:spacing w:line="360" w:lineRule="auto"/>
        <w:ind w:left="-567" w:firstLine="567"/>
        <w:jc w:val="both"/>
        <w:rPr>
          <w:sz w:val="28"/>
          <w:szCs w:val="28"/>
          <w:lang w:val="uk-UA"/>
        </w:rPr>
      </w:pPr>
      <w:r>
        <w:rPr>
          <w:sz w:val="28"/>
          <w:szCs w:val="28"/>
          <w:lang w:val="uk-UA"/>
        </w:rPr>
        <w:t>Усім хворим було проведене оперативне втручання або консервативне лікування за показаннями. 55 хворим, що склали основну групу</w:t>
      </w:r>
      <w:r>
        <w:rPr>
          <w:color w:val="000000"/>
          <w:sz w:val="28"/>
          <w:szCs w:val="28"/>
          <w:lang w:val="uk-UA"/>
        </w:rPr>
        <w:t>, додатково виконана стимуляція неоангіогенезу (плазмотерапії) за допомогою багатої тромбоцитами аутоплазми (БаТП). Методика плазмотерапії полягала</w:t>
      </w:r>
      <w:r>
        <w:rPr>
          <w:sz w:val="28"/>
          <w:szCs w:val="28"/>
          <w:lang w:val="uk-UA"/>
        </w:rPr>
        <w:t xml:space="preserve"> у одноразовій ін’єкції у 5 точок у латеральну та медіальну голівки литкового м’язу БаТП, отриманої за допомогою м’якого центрифугування цільної крові безпосередньо перед введенням. Структура оперативних втручань, виконаних у хворих досліджуваної групи в залежності від ступеню ішемії представлена у таблиці 5.1</w:t>
      </w:r>
      <w:r>
        <w:rPr>
          <w:sz w:val="28"/>
          <w:szCs w:val="28"/>
        </w:rPr>
        <w:t>.</w:t>
      </w:r>
    </w:p>
    <w:p w:rsidR="00A01923" w:rsidRDefault="00A01923" w:rsidP="00A01923">
      <w:pPr>
        <w:pStyle w:val="ac"/>
        <w:spacing w:line="360" w:lineRule="auto"/>
        <w:ind w:firstLine="567"/>
        <w:jc w:val="right"/>
        <w:rPr>
          <w:i/>
          <w:sz w:val="28"/>
          <w:szCs w:val="28"/>
          <w:lang w:val="uk-UA"/>
        </w:rPr>
      </w:pPr>
      <w:r>
        <w:rPr>
          <w:i/>
          <w:sz w:val="28"/>
          <w:szCs w:val="28"/>
          <w:lang w:val="uk-UA"/>
        </w:rPr>
        <w:t>Таблиця 5.1</w:t>
      </w:r>
    </w:p>
    <w:p w:rsidR="00A01923" w:rsidRDefault="00A01923" w:rsidP="00A01923">
      <w:pPr>
        <w:pStyle w:val="ac"/>
        <w:spacing w:line="360" w:lineRule="auto"/>
        <w:ind w:firstLine="567"/>
        <w:jc w:val="center"/>
        <w:rPr>
          <w:b/>
          <w:sz w:val="28"/>
          <w:szCs w:val="28"/>
          <w:lang w:val="uk-UA"/>
        </w:rPr>
      </w:pPr>
      <w:r>
        <w:rPr>
          <w:b/>
          <w:sz w:val="28"/>
          <w:szCs w:val="28"/>
          <w:lang w:val="uk-UA"/>
        </w:rPr>
        <w:t>Структура оперативних втручань, виконаних у досліджуваних хворих в залежності від ступеню ішемії</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61"/>
        <w:gridCol w:w="1701"/>
        <w:gridCol w:w="1559"/>
        <w:gridCol w:w="1559"/>
        <w:gridCol w:w="1383"/>
      </w:tblGrid>
      <w:tr w:rsidR="00A01923" w:rsidTr="00A01923">
        <w:trPr>
          <w:trHeight w:val="386"/>
        </w:trPr>
        <w:tc>
          <w:tcPr>
            <w:tcW w:w="3261"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Втручання</w:t>
            </w:r>
          </w:p>
        </w:tc>
        <w:tc>
          <w:tcPr>
            <w:tcW w:w="6202"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uk-UA"/>
              </w:rPr>
              <w:t>Кількість оперативних втручань</w:t>
            </w:r>
          </w:p>
        </w:tc>
      </w:tr>
      <w:tr w:rsidR="00A01923" w:rsidTr="00A01923">
        <w:trPr>
          <w:trHeight w:val="38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3260"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uk-UA"/>
              </w:rPr>
              <w:t>ІІІ ступінь ішемії</w:t>
            </w:r>
          </w:p>
        </w:tc>
        <w:tc>
          <w:tcPr>
            <w:tcW w:w="2942" w:type="dxa"/>
            <w:gridSpan w:val="2"/>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en-US"/>
              </w:rPr>
              <w:t>IV</w:t>
            </w:r>
            <w:r>
              <w:rPr>
                <w:sz w:val="28"/>
                <w:szCs w:val="28"/>
                <w:lang w:val="uk-UA"/>
              </w:rPr>
              <w:t xml:space="preserve"> ступінь ішемії</w:t>
            </w:r>
          </w:p>
        </w:tc>
      </w:tr>
      <w:tr w:rsidR="00A01923" w:rsidTr="00A01923">
        <w:trPr>
          <w:trHeight w:val="38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lang w:val="uk-UA"/>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uk-UA"/>
              </w:rPr>
              <w:t>абс.</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абс.</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en-US"/>
              </w:rPr>
            </w:pPr>
            <w:r>
              <w:rPr>
                <w:sz w:val="28"/>
                <w:szCs w:val="28"/>
                <w:lang w:val="uk-UA"/>
              </w:rPr>
              <w:t>%</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ЧБА</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3</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2,8</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23</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21,9</w:t>
            </w:r>
          </w:p>
        </w:tc>
      </w:tr>
      <w:tr w:rsidR="00A01923" w:rsidTr="00A01923">
        <w:trPr>
          <w:trHeight w:val="386"/>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ЧБА +стентування</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6</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5,65</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ЧБА +СГШ</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1</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0,95</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1,9</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СГШ</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1,9</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5</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4,7</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Тромбектомія</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1</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0,95</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1</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0,95</w:t>
            </w:r>
          </w:p>
        </w:tc>
      </w:tr>
      <w:tr w:rsidR="00A01923" w:rsidTr="00A01923">
        <w:trPr>
          <w:trHeight w:val="77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Поперекова</w:t>
            </w:r>
            <w:r>
              <w:rPr>
                <w:sz w:val="28"/>
                <w:szCs w:val="28"/>
                <w:lang w:val="en-US"/>
              </w:rPr>
              <w:t xml:space="preserve"> </w:t>
            </w:r>
            <w:r>
              <w:rPr>
                <w:sz w:val="28"/>
                <w:szCs w:val="28"/>
                <w:lang w:val="uk-UA"/>
              </w:rPr>
              <w:t xml:space="preserve">симпатектомія: </w:t>
            </w:r>
          </w:p>
          <w:p w:rsidR="00A01923" w:rsidRDefault="00A01923">
            <w:pPr>
              <w:pStyle w:val="ac"/>
              <w:spacing w:line="276" w:lineRule="auto"/>
              <w:ind w:firstLine="34"/>
              <w:rPr>
                <w:sz w:val="28"/>
                <w:szCs w:val="28"/>
                <w:lang w:val="uk-UA"/>
              </w:rPr>
            </w:pPr>
            <w:r>
              <w:rPr>
                <w:sz w:val="28"/>
                <w:szCs w:val="28"/>
                <w:lang w:val="uk-UA"/>
              </w:rPr>
              <w:t>-хімічна</w:t>
            </w:r>
          </w:p>
          <w:p w:rsidR="00A01923" w:rsidRDefault="00A01923">
            <w:pPr>
              <w:pStyle w:val="ac"/>
              <w:spacing w:line="276" w:lineRule="auto"/>
              <w:ind w:firstLine="34"/>
              <w:rPr>
                <w:color w:val="FF0000"/>
                <w:sz w:val="28"/>
                <w:szCs w:val="28"/>
                <w:lang w:val="uk-UA"/>
              </w:rPr>
            </w:pPr>
            <w:r>
              <w:rPr>
                <w:sz w:val="28"/>
                <w:szCs w:val="28"/>
                <w:lang w:val="uk-UA"/>
              </w:rPr>
              <w:t>-відкрита</w:t>
            </w:r>
          </w:p>
        </w:tc>
        <w:tc>
          <w:tcPr>
            <w:tcW w:w="1701" w:type="dxa"/>
            <w:tcBorders>
              <w:top w:val="single" w:sz="4" w:space="0" w:color="000000"/>
              <w:left w:val="single" w:sz="4" w:space="0" w:color="000000"/>
              <w:bottom w:val="single" w:sz="4" w:space="0" w:color="000000"/>
              <w:right w:val="single" w:sz="4" w:space="0" w:color="000000"/>
            </w:tcBorders>
            <w:vAlign w:val="center"/>
          </w:tcPr>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en-US"/>
              </w:rPr>
            </w:pPr>
            <w:r>
              <w:rPr>
                <w:sz w:val="28"/>
                <w:szCs w:val="28"/>
                <w:lang w:val="en-US"/>
              </w:rPr>
              <w:t>2</w:t>
            </w:r>
          </w:p>
          <w:p w:rsidR="00A01923" w:rsidRDefault="00A01923">
            <w:pPr>
              <w:pStyle w:val="ac"/>
              <w:spacing w:line="276" w:lineRule="auto"/>
              <w:jc w:val="center"/>
              <w:rPr>
                <w:sz w:val="28"/>
                <w:szCs w:val="28"/>
                <w:lang w:val="en-US"/>
              </w:rPr>
            </w:pPr>
            <w:r>
              <w:rPr>
                <w:sz w:val="28"/>
                <w:szCs w:val="28"/>
                <w:lang w:val="en-US"/>
              </w:rPr>
              <w:t>2</w:t>
            </w:r>
          </w:p>
        </w:tc>
        <w:tc>
          <w:tcPr>
            <w:tcW w:w="1559" w:type="dxa"/>
            <w:tcBorders>
              <w:top w:val="single" w:sz="4" w:space="0" w:color="000000"/>
              <w:left w:val="single" w:sz="4" w:space="0" w:color="000000"/>
              <w:bottom w:val="single" w:sz="4" w:space="0" w:color="000000"/>
              <w:right w:val="single" w:sz="4" w:space="0" w:color="000000"/>
            </w:tcBorders>
            <w:vAlign w:val="center"/>
          </w:tcPr>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en-US"/>
              </w:rPr>
            </w:pPr>
            <w:r>
              <w:rPr>
                <w:sz w:val="28"/>
                <w:szCs w:val="28"/>
              </w:rPr>
              <w:t>1</w:t>
            </w:r>
            <w:r>
              <w:rPr>
                <w:sz w:val="28"/>
                <w:szCs w:val="28"/>
                <w:lang w:val="en-US"/>
              </w:rPr>
              <w:t>,9</w:t>
            </w:r>
          </w:p>
          <w:p w:rsidR="00A01923" w:rsidRDefault="00A01923">
            <w:pPr>
              <w:pStyle w:val="ac"/>
              <w:spacing w:line="276" w:lineRule="auto"/>
              <w:jc w:val="center"/>
              <w:rPr>
                <w:sz w:val="28"/>
                <w:szCs w:val="28"/>
                <w:lang w:val="en-US"/>
              </w:rPr>
            </w:pPr>
            <w:r>
              <w:rPr>
                <w:sz w:val="28"/>
                <w:szCs w:val="28"/>
                <w:lang w:val="en-US"/>
              </w:rPr>
              <w:t>1,9</w:t>
            </w:r>
          </w:p>
        </w:tc>
        <w:tc>
          <w:tcPr>
            <w:tcW w:w="1559" w:type="dxa"/>
            <w:tcBorders>
              <w:top w:val="single" w:sz="4" w:space="0" w:color="000000"/>
              <w:left w:val="single" w:sz="4" w:space="0" w:color="000000"/>
              <w:bottom w:val="single" w:sz="4" w:space="0" w:color="000000"/>
              <w:right w:val="single" w:sz="4" w:space="0" w:color="000000"/>
            </w:tcBorders>
            <w:vAlign w:val="center"/>
          </w:tcPr>
          <w:p w:rsidR="00A01923" w:rsidRDefault="00A01923">
            <w:pPr>
              <w:pStyle w:val="ac"/>
              <w:spacing w:line="276" w:lineRule="auto"/>
              <w:ind w:left="-567" w:firstLine="567"/>
              <w:jc w:val="center"/>
              <w:rPr>
                <w:sz w:val="28"/>
                <w:szCs w:val="28"/>
                <w:lang w:val="uk-UA"/>
              </w:rPr>
            </w:pPr>
          </w:p>
          <w:p w:rsidR="00A01923" w:rsidRDefault="00A01923">
            <w:pPr>
              <w:pStyle w:val="ac"/>
              <w:spacing w:line="276" w:lineRule="auto"/>
              <w:ind w:left="-567" w:firstLine="567"/>
              <w:jc w:val="center"/>
              <w:rPr>
                <w:sz w:val="28"/>
                <w:szCs w:val="28"/>
                <w:lang w:val="uk-UA"/>
              </w:rPr>
            </w:pPr>
          </w:p>
          <w:p w:rsidR="00A01923" w:rsidRDefault="00A01923">
            <w:pPr>
              <w:pStyle w:val="ac"/>
              <w:spacing w:line="276" w:lineRule="auto"/>
              <w:ind w:left="-567" w:firstLine="567"/>
              <w:jc w:val="center"/>
              <w:rPr>
                <w:sz w:val="28"/>
                <w:szCs w:val="28"/>
              </w:rPr>
            </w:pPr>
            <w:r>
              <w:rPr>
                <w:sz w:val="28"/>
                <w:szCs w:val="28"/>
              </w:rPr>
              <w:t>3</w:t>
            </w:r>
          </w:p>
          <w:p w:rsidR="00A01923" w:rsidRDefault="00A01923">
            <w:pPr>
              <w:pStyle w:val="ac"/>
              <w:spacing w:line="276" w:lineRule="auto"/>
              <w:ind w:left="-567" w:firstLine="567"/>
              <w:jc w:val="center"/>
              <w:rPr>
                <w:sz w:val="28"/>
                <w:szCs w:val="28"/>
              </w:rPr>
            </w:pPr>
            <w:r>
              <w:rPr>
                <w:sz w:val="28"/>
                <w:szCs w:val="28"/>
              </w:rPr>
              <w:t>4</w:t>
            </w:r>
          </w:p>
        </w:tc>
        <w:tc>
          <w:tcPr>
            <w:tcW w:w="1383" w:type="dxa"/>
            <w:tcBorders>
              <w:top w:val="single" w:sz="4" w:space="0" w:color="000000"/>
              <w:left w:val="single" w:sz="4" w:space="0" w:color="000000"/>
              <w:bottom w:val="single" w:sz="4" w:space="0" w:color="000000"/>
              <w:right w:val="single" w:sz="4" w:space="0" w:color="000000"/>
            </w:tcBorders>
            <w:vAlign w:val="center"/>
          </w:tcPr>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uk-UA"/>
              </w:rPr>
            </w:pPr>
          </w:p>
          <w:p w:rsidR="00A01923" w:rsidRDefault="00A01923">
            <w:pPr>
              <w:pStyle w:val="ac"/>
              <w:spacing w:line="276" w:lineRule="auto"/>
              <w:jc w:val="center"/>
              <w:rPr>
                <w:sz w:val="28"/>
                <w:szCs w:val="28"/>
                <w:lang w:val="en-US"/>
              </w:rPr>
            </w:pPr>
            <w:r>
              <w:rPr>
                <w:sz w:val="28"/>
                <w:szCs w:val="28"/>
                <w:lang w:val="en-US"/>
              </w:rPr>
              <w:t>2,8</w:t>
            </w:r>
          </w:p>
          <w:p w:rsidR="00A01923" w:rsidRDefault="00A01923">
            <w:pPr>
              <w:pStyle w:val="ac"/>
              <w:spacing w:line="276" w:lineRule="auto"/>
              <w:jc w:val="center"/>
              <w:rPr>
                <w:sz w:val="28"/>
                <w:szCs w:val="28"/>
                <w:lang w:val="en-US"/>
              </w:rPr>
            </w:pPr>
            <w:r>
              <w:rPr>
                <w:sz w:val="28"/>
                <w:szCs w:val="28"/>
                <w:lang w:val="en-US"/>
              </w:rPr>
              <w:t>3,8</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Відкрита ангіопластика</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1</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0,95</w:t>
            </w:r>
          </w:p>
        </w:tc>
      </w:tr>
      <w:tr w:rsidR="00A01923" w:rsidTr="00A01923">
        <w:trPr>
          <w:trHeight w:val="364"/>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Ампутація на рівні гомілки, стегна</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1,9</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4</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3,8</w:t>
            </w:r>
          </w:p>
        </w:tc>
      </w:tr>
      <w:tr w:rsidR="00A01923" w:rsidTr="00A01923">
        <w:trPr>
          <w:trHeight w:val="826"/>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Некректомія, ампутація пальців</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0</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47</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44,7</w:t>
            </w:r>
          </w:p>
        </w:tc>
      </w:tr>
      <w:tr w:rsidR="00A01923" w:rsidTr="00A01923">
        <w:trPr>
          <w:trHeight w:val="286"/>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276" w:lineRule="auto"/>
              <w:ind w:firstLine="34"/>
              <w:rPr>
                <w:sz w:val="28"/>
                <w:szCs w:val="28"/>
                <w:lang w:val="uk-UA"/>
              </w:rPr>
            </w:pPr>
            <w:r>
              <w:rPr>
                <w:sz w:val="28"/>
                <w:szCs w:val="28"/>
                <w:lang w:val="uk-UA"/>
              </w:rPr>
              <w:t>Консервативна терапія</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23</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21,85</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ind w:left="-567" w:firstLine="567"/>
              <w:jc w:val="center"/>
              <w:rPr>
                <w:sz w:val="28"/>
                <w:szCs w:val="28"/>
                <w:lang w:val="uk-UA"/>
              </w:rPr>
            </w:pPr>
            <w:r>
              <w:rPr>
                <w:sz w:val="28"/>
                <w:szCs w:val="28"/>
                <w:lang w:val="uk-UA"/>
              </w:rPr>
              <w:t>26</w:t>
            </w:r>
          </w:p>
        </w:tc>
        <w:tc>
          <w:tcPr>
            <w:tcW w:w="13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pStyle w:val="ac"/>
              <w:spacing w:line="276" w:lineRule="auto"/>
              <w:jc w:val="center"/>
              <w:rPr>
                <w:sz w:val="28"/>
                <w:szCs w:val="28"/>
                <w:lang w:val="uk-UA"/>
              </w:rPr>
            </w:pPr>
            <w:r>
              <w:rPr>
                <w:sz w:val="28"/>
                <w:szCs w:val="28"/>
                <w:lang w:val="uk-UA"/>
              </w:rPr>
              <w:t>24,7</w:t>
            </w:r>
          </w:p>
        </w:tc>
      </w:tr>
    </w:tbl>
    <w:p w:rsidR="00A01923" w:rsidRDefault="00A01923" w:rsidP="00A01923">
      <w:pPr>
        <w:pStyle w:val="ac"/>
        <w:spacing w:line="360" w:lineRule="auto"/>
        <w:ind w:left="-567" w:firstLine="567"/>
        <w:jc w:val="right"/>
        <w:rPr>
          <w:sz w:val="28"/>
          <w:szCs w:val="28"/>
          <w:lang w:val="uk-UA"/>
        </w:rPr>
      </w:pPr>
      <w:r>
        <w:rPr>
          <w:sz w:val="28"/>
          <w:szCs w:val="28"/>
          <w:shd w:val="clear" w:color="auto" w:fill="FFFFFF"/>
          <w:lang w:val="uk-UA"/>
        </w:rPr>
        <w:sym w:font="Symbol" w:char="0063"/>
      </w:r>
      <w:r>
        <w:rPr>
          <w:sz w:val="28"/>
          <w:szCs w:val="28"/>
          <w:shd w:val="clear" w:color="auto" w:fill="FFFFFF"/>
          <w:lang w:val="uk-UA"/>
        </w:rPr>
        <w:t>2=36,819, р=0,000</w:t>
      </w:r>
    </w:p>
    <w:p w:rsidR="00A01923" w:rsidRDefault="00A01923" w:rsidP="00A01923">
      <w:pPr>
        <w:pStyle w:val="ac"/>
        <w:tabs>
          <w:tab w:val="left" w:pos="142"/>
        </w:tabs>
        <w:spacing w:line="360" w:lineRule="auto"/>
        <w:ind w:left="-567" w:firstLine="567"/>
        <w:jc w:val="both"/>
        <w:rPr>
          <w:color w:val="000000"/>
          <w:sz w:val="28"/>
          <w:szCs w:val="28"/>
          <w:lang w:val="uk-UA"/>
        </w:rPr>
      </w:pPr>
      <w:r>
        <w:rPr>
          <w:sz w:val="28"/>
          <w:szCs w:val="28"/>
          <w:lang w:val="uk-UA"/>
        </w:rPr>
        <w:lastRenderedPageBreak/>
        <w:t xml:space="preserve">Велике значення для лікування даної категорії хворих має використання мініінвазивних методик прямої або непрямої реваскуляризації. Саме цей підхід дає можливість </w:t>
      </w:r>
      <w:r>
        <w:rPr>
          <w:color w:val="000000"/>
          <w:sz w:val="28"/>
          <w:szCs w:val="28"/>
          <w:lang w:val="uk-UA"/>
        </w:rPr>
        <w:t>хворим раніше переходити до активного життя, виписки, фізичного навантаження. Отже, мініінвазивним втручанням надавався пріоритет. Структура мініінвазивних втручань, які виконані у 37 з 105 хворих, представлена у таблиці 5.2.</w:t>
      </w:r>
    </w:p>
    <w:p w:rsidR="00A01923" w:rsidRDefault="00A01923" w:rsidP="00A01923">
      <w:pPr>
        <w:pStyle w:val="ac"/>
        <w:tabs>
          <w:tab w:val="left" w:pos="142"/>
        </w:tabs>
        <w:spacing w:line="360" w:lineRule="auto"/>
        <w:ind w:firstLine="567"/>
        <w:jc w:val="right"/>
        <w:rPr>
          <w:sz w:val="28"/>
          <w:szCs w:val="28"/>
          <w:lang w:val="uk-UA"/>
        </w:rPr>
      </w:pPr>
      <w:r>
        <w:rPr>
          <w:sz w:val="28"/>
          <w:szCs w:val="28"/>
          <w:lang w:val="uk-UA"/>
        </w:rPr>
        <w:t>Таблиця 5.2</w:t>
      </w:r>
    </w:p>
    <w:p w:rsidR="00A01923" w:rsidRDefault="00A01923" w:rsidP="00A01923">
      <w:pPr>
        <w:pStyle w:val="ac"/>
        <w:spacing w:line="360" w:lineRule="auto"/>
        <w:jc w:val="center"/>
        <w:rPr>
          <w:sz w:val="28"/>
          <w:szCs w:val="28"/>
        </w:rPr>
      </w:pPr>
      <w:r>
        <w:rPr>
          <w:sz w:val="28"/>
          <w:szCs w:val="28"/>
          <w:lang w:val="uk-UA"/>
        </w:rPr>
        <w:t>Структура прямих та непрямих реваскуляризацій, виконаних у досліджуваних хворих з використанням мініінвазивних методик</w:t>
      </w: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8"/>
        <w:gridCol w:w="3119"/>
        <w:gridCol w:w="1984"/>
      </w:tblGrid>
      <w:tr w:rsidR="00A01923" w:rsidTr="00A01923">
        <w:trPr>
          <w:trHeight w:val="386"/>
        </w:trPr>
        <w:tc>
          <w:tcPr>
            <w:tcW w:w="467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jc w:val="both"/>
              <w:rPr>
                <w:sz w:val="28"/>
                <w:szCs w:val="28"/>
                <w:lang w:val="uk-UA"/>
              </w:rPr>
            </w:pPr>
            <w:r>
              <w:rPr>
                <w:sz w:val="28"/>
                <w:szCs w:val="28"/>
                <w:lang w:val="uk-UA"/>
              </w:rPr>
              <w:t>Втручання</w:t>
            </w:r>
          </w:p>
        </w:tc>
        <w:tc>
          <w:tcPr>
            <w:tcW w:w="3119"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sz w:val="28"/>
                <w:szCs w:val="28"/>
                <w:lang w:val="en-US"/>
              </w:rPr>
            </w:pPr>
            <w:r>
              <w:rPr>
                <w:sz w:val="28"/>
                <w:szCs w:val="28"/>
                <w:lang w:val="uk-UA"/>
              </w:rPr>
              <w:t xml:space="preserve">Абсолютна кількість </w:t>
            </w:r>
          </w:p>
        </w:tc>
        <w:tc>
          <w:tcPr>
            <w:tcW w:w="198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sz w:val="28"/>
                <w:szCs w:val="28"/>
              </w:rPr>
            </w:pPr>
            <w:r>
              <w:rPr>
                <w:sz w:val="28"/>
                <w:szCs w:val="28"/>
                <w:lang w:val="uk-UA"/>
              </w:rPr>
              <w:t>%</w:t>
            </w:r>
            <w:r>
              <w:rPr>
                <w:sz w:val="28"/>
                <w:szCs w:val="28"/>
              </w:rPr>
              <w:t xml:space="preserve"> </w:t>
            </w:r>
          </w:p>
        </w:tc>
      </w:tr>
      <w:tr w:rsidR="00A01923" w:rsidTr="00A01923">
        <w:trPr>
          <w:trHeight w:val="364"/>
        </w:trPr>
        <w:tc>
          <w:tcPr>
            <w:tcW w:w="467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jc w:val="both"/>
              <w:rPr>
                <w:sz w:val="28"/>
                <w:szCs w:val="28"/>
                <w:lang w:val="uk-UA"/>
              </w:rPr>
            </w:pPr>
            <w:r>
              <w:rPr>
                <w:sz w:val="28"/>
                <w:szCs w:val="28"/>
                <w:lang w:val="uk-UA"/>
              </w:rPr>
              <w:t>ЧБА</w:t>
            </w:r>
          </w:p>
        </w:tc>
        <w:tc>
          <w:tcPr>
            <w:tcW w:w="3119"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sz w:val="28"/>
                <w:szCs w:val="28"/>
                <w:lang w:val="uk-UA"/>
              </w:rPr>
            </w:pPr>
            <w:r>
              <w:rPr>
                <w:sz w:val="28"/>
                <w:szCs w:val="28"/>
                <w:lang w:val="uk-UA"/>
              </w:rPr>
              <w:t>26</w:t>
            </w:r>
          </w:p>
        </w:tc>
        <w:tc>
          <w:tcPr>
            <w:tcW w:w="198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sz w:val="28"/>
                <w:szCs w:val="28"/>
                <w:lang w:val="uk-UA"/>
              </w:rPr>
            </w:pPr>
            <w:r>
              <w:rPr>
                <w:sz w:val="28"/>
                <w:szCs w:val="28"/>
                <w:lang w:val="uk-UA"/>
              </w:rPr>
              <w:t>24,76</w:t>
            </w:r>
          </w:p>
        </w:tc>
      </w:tr>
      <w:tr w:rsidR="00A01923" w:rsidTr="00A01923">
        <w:trPr>
          <w:trHeight w:val="386"/>
        </w:trPr>
        <w:tc>
          <w:tcPr>
            <w:tcW w:w="467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jc w:val="both"/>
              <w:rPr>
                <w:color w:val="000000"/>
                <w:sz w:val="28"/>
                <w:szCs w:val="28"/>
                <w:lang w:val="uk-UA"/>
              </w:rPr>
            </w:pPr>
            <w:r>
              <w:rPr>
                <w:color w:val="000000"/>
                <w:sz w:val="28"/>
                <w:szCs w:val="28"/>
                <w:lang w:val="uk-UA"/>
              </w:rPr>
              <w:t>ЧБА +стентування</w:t>
            </w:r>
          </w:p>
        </w:tc>
        <w:tc>
          <w:tcPr>
            <w:tcW w:w="3119"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6</w:t>
            </w:r>
          </w:p>
        </w:tc>
        <w:tc>
          <w:tcPr>
            <w:tcW w:w="198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5,65</w:t>
            </w:r>
          </w:p>
        </w:tc>
      </w:tr>
      <w:tr w:rsidR="00A01923" w:rsidTr="00A01923">
        <w:trPr>
          <w:trHeight w:val="92"/>
        </w:trPr>
        <w:tc>
          <w:tcPr>
            <w:tcW w:w="467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rPr>
                <w:color w:val="000000"/>
                <w:sz w:val="28"/>
                <w:szCs w:val="28"/>
                <w:lang w:val="uk-UA"/>
              </w:rPr>
            </w:pPr>
            <w:r>
              <w:rPr>
                <w:color w:val="000000"/>
                <w:sz w:val="28"/>
                <w:szCs w:val="28"/>
                <w:lang w:val="uk-UA"/>
              </w:rPr>
              <w:t xml:space="preserve">Поперекова хімічна симпатектомія </w:t>
            </w:r>
          </w:p>
        </w:tc>
        <w:tc>
          <w:tcPr>
            <w:tcW w:w="3119"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5</w:t>
            </w:r>
          </w:p>
        </w:tc>
        <w:tc>
          <w:tcPr>
            <w:tcW w:w="198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4,7</w:t>
            </w:r>
          </w:p>
        </w:tc>
      </w:tr>
      <w:tr w:rsidR="00A01923" w:rsidTr="00A01923">
        <w:trPr>
          <w:trHeight w:val="461"/>
        </w:trPr>
        <w:tc>
          <w:tcPr>
            <w:tcW w:w="4678"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jc w:val="both"/>
              <w:rPr>
                <w:color w:val="000000"/>
                <w:sz w:val="28"/>
                <w:szCs w:val="28"/>
                <w:lang w:val="uk-UA"/>
              </w:rPr>
            </w:pPr>
            <w:r>
              <w:rPr>
                <w:color w:val="000000"/>
                <w:sz w:val="28"/>
                <w:szCs w:val="28"/>
                <w:lang w:val="uk-UA"/>
              </w:rPr>
              <w:t>Разом</w:t>
            </w:r>
          </w:p>
        </w:tc>
        <w:tc>
          <w:tcPr>
            <w:tcW w:w="3119"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37</w:t>
            </w:r>
          </w:p>
        </w:tc>
        <w:tc>
          <w:tcPr>
            <w:tcW w:w="1984"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firstLine="45"/>
              <w:jc w:val="center"/>
              <w:rPr>
                <w:color w:val="000000"/>
                <w:sz w:val="28"/>
                <w:szCs w:val="28"/>
                <w:lang w:val="uk-UA"/>
              </w:rPr>
            </w:pPr>
            <w:r>
              <w:rPr>
                <w:color w:val="000000"/>
                <w:sz w:val="28"/>
                <w:szCs w:val="28"/>
                <w:lang w:val="uk-UA"/>
              </w:rPr>
              <w:t>35,2</w:t>
            </w:r>
          </w:p>
        </w:tc>
      </w:tr>
    </w:tbl>
    <w:p w:rsidR="00A01923" w:rsidRDefault="00A01923" w:rsidP="00A01923">
      <w:pPr>
        <w:spacing w:after="0" w:line="360" w:lineRule="auto"/>
        <w:ind w:left="-567" w:right="142" w:firstLine="567"/>
        <w:jc w:val="both"/>
        <w:rPr>
          <w:rFonts w:ascii="Times New Roman" w:eastAsia="Times New Roman" w:hAnsi="Times New Roman"/>
          <w:color w:val="000000"/>
          <w:sz w:val="28"/>
          <w:szCs w:val="28"/>
          <w:lang w:val="uk-UA"/>
        </w:rPr>
      </w:pPr>
    </w:p>
    <w:p w:rsidR="00A01923" w:rsidRDefault="00A01923" w:rsidP="00A01923">
      <w:pPr>
        <w:spacing w:after="0" w:line="360" w:lineRule="auto"/>
        <w:ind w:left="-567" w:right="142" w:firstLine="567"/>
        <w:jc w:val="both"/>
        <w:rPr>
          <w:rFonts w:ascii="Times New Roman" w:hAnsi="Times New Roman"/>
          <w:color w:val="FF0000"/>
          <w:sz w:val="28"/>
          <w:szCs w:val="28"/>
          <w:lang w:val="uk-UA"/>
        </w:rPr>
      </w:pPr>
      <w:r>
        <w:rPr>
          <w:rFonts w:ascii="Times New Roman" w:hAnsi="Times New Roman"/>
          <w:color w:val="000000"/>
          <w:sz w:val="28"/>
          <w:szCs w:val="28"/>
          <w:lang w:val="uk-UA"/>
        </w:rPr>
        <w:t>Високий темп розвитку ендоваскулярної хірургії та інтервенційної радіології призвів до того, що черезшкірна балонна ангіопластика артерій гомілки останні роки усе частіше застосовується</w:t>
      </w:r>
      <w:r>
        <w:rPr>
          <w:rFonts w:ascii="Times New Roman" w:hAnsi="Times New Roman"/>
          <w:sz w:val="28"/>
          <w:szCs w:val="28"/>
          <w:lang w:val="uk-UA"/>
        </w:rPr>
        <w:t xml:space="preserve"> в якості методу прямої реваскуляризації у хворих з ХКІНК, у тому числі й у хворих на ЦД. 36 хворим, що приймали участь у дослідженні у 33,3 % випадків було виконано реваскуляризацію за допомогою ендоваскулярних втручань (ЧБА, ЧБА та СГШ, ЧБА зі стентуванням). З них 31 хворий (86%) мав IV ступінь ішемії, та 24 хворих (66,6%) мали супутній ЦД. 10 хворим (27,7%) було виконано низьку ампутацію безпосередньо після лікування, та 1 хворому (2,7%) – через 1 рік, та 1 хворому (2,7%) було виконано високу ампутацію протягом року спостереження. 23 (21,9%) хворим, яким було виконано ЧБА, була виконана стимуляція неоангіогенезу за допомогою БаТП.</w:t>
      </w:r>
    </w:p>
    <w:p w:rsidR="00A01923" w:rsidRDefault="00A01923" w:rsidP="00A01923">
      <w:pPr>
        <w:spacing w:after="0" w:line="360" w:lineRule="auto"/>
        <w:ind w:left="-567" w:right="142" w:firstLine="567"/>
        <w:jc w:val="both"/>
        <w:rPr>
          <w:rFonts w:ascii="Times New Roman" w:hAnsi="Times New Roman"/>
          <w:i/>
          <w:sz w:val="28"/>
          <w:szCs w:val="28"/>
          <w:lang w:val="uk-UA"/>
        </w:rPr>
      </w:pPr>
      <w:r>
        <w:rPr>
          <w:rFonts w:ascii="Times New Roman" w:hAnsi="Times New Roman"/>
          <w:i/>
          <w:sz w:val="28"/>
          <w:szCs w:val="28"/>
          <w:lang w:val="uk-UA"/>
        </w:rPr>
        <w:t>Ефективність способу ілюструє такий приклад.</w:t>
      </w:r>
    </w:p>
    <w:p w:rsidR="00A01923" w:rsidRDefault="00A01923" w:rsidP="00A01923">
      <w:pPr>
        <w:spacing w:after="0" w:line="360" w:lineRule="auto"/>
        <w:ind w:left="-567" w:right="142" w:firstLine="567"/>
        <w:jc w:val="both"/>
        <w:rPr>
          <w:rFonts w:ascii="Times New Roman" w:hAnsi="Times New Roman"/>
          <w:color w:val="00B0F0"/>
          <w:sz w:val="28"/>
          <w:szCs w:val="28"/>
          <w:lang w:val="uk-UA"/>
        </w:rPr>
      </w:pPr>
      <w:r>
        <w:rPr>
          <w:rFonts w:ascii="Times New Roman" w:hAnsi="Times New Roman"/>
          <w:sz w:val="28"/>
          <w:szCs w:val="28"/>
          <w:lang w:val="uk-UA"/>
        </w:rPr>
        <w:t>Хворий Р., 52 років, був прийнятий до хірургічного стаціонару зі скаргами на</w:t>
      </w:r>
      <w:r>
        <w:rPr>
          <w:rFonts w:ascii="Times New Roman" w:hAnsi="Times New Roman"/>
          <w:color w:val="00B0F0"/>
          <w:sz w:val="28"/>
          <w:szCs w:val="28"/>
          <w:lang w:val="uk-UA"/>
        </w:rPr>
        <w:t xml:space="preserve"> </w:t>
      </w:r>
      <w:r>
        <w:rPr>
          <w:rFonts w:ascii="Times New Roman" w:hAnsi="Times New Roman"/>
          <w:sz w:val="28"/>
          <w:szCs w:val="28"/>
          <w:lang w:val="uk-UA"/>
        </w:rPr>
        <w:t xml:space="preserve">появу некрозу дистальних фаланг 2 та 3 пальців правої нижньої кінцівки, </w:t>
      </w:r>
      <w:r>
        <w:rPr>
          <w:rFonts w:ascii="Times New Roman" w:hAnsi="Times New Roman"/>
          <w:sz w:val="28"/>
          <w:szCs w:val="28"/>
          <w:lang w:val="uk-UA"/>
        </w:rPr>
        <w:lastRenderedPageBreak/>
        <w:t>похолодання правої стопи, терпкість пальців правої стопи.</w:t>
      </w:r>
      <w:r>
        <w:rPr>
          <w:rFonts w:ascii="Times New Roman" w:hAnsi="Times New Roman"/>
          <w:color w:val="00B0F0"/>
          <w:sz w:val="28"/>
          <w:szCs w:val="28"/>
          <w:lang w:val="uk-UA"/>
        </w:rPr>
        <w:t xml:space="preserve"> </w:t>
      </w:r>
      <w:r>
        <w:rPr>
          <w:rFonts w:ascii="Times New Roman" w:hAnsi="Times New Roman"/>
          <w:sz w:val="28"/>
          <w:szCs w:val="28"/>
          <w:lang w:val="uk-UA"/>
        </w:rPr>
        <w:t>Хворіє більше одного місяця. Страждає ЦД середньої тяжкості протягом кількох років. При обстеженні: дистальний рівень пульсації праворуч – на підколінній артерії, температура гомілки – 34,8°C, температура на 1 пальці ступні – 31°C, КПІ= 0,6, напруження кисню у тканинах ступні – 26 мм рт.ст., ДБХ – 120 м, рівень болю – 4 бали, ПФ – 36%, ФФ – 42% (знижений рівень якості життя). Встановлений діагноз:</w:t>
      </w:r>
      <w:r>
        <w:rPr>
          <w:rFonts w:ascii="Times New Roman" w:hAnsi="Times New Roman"/>
          <w:color w:val="00B0F0"/>
          <w:sz w:val="28"/>
          <w:szCs w:val="28"/>
          <w:lang w:val="uk-UA"/>
        </w:rPr>
        <w:t xml:space="preserve"> </w:t>
      </w:r>
      <w:r>
        <w:rPr>
          <w:rFonts w:ascii="Times New Roman" w:hAnsi="Times New Roman"/>
          <w:sz w:val="28"/>
          <w:szCs w:val="28"/>
          <w:lang w:val="uk-UA"/>
        </w:rPr>
        <w:t xml:space="preserve">Облітеруючий атеросклероз артерій нижніх кінцівок, хронічна ішемія правої нижньої кінцівки </w:t>
      </w:r>
      <w:r>
        <w:rPr>
          <w:rFonts w:ascii="Times New Roman" w:hAnsi="Times New Roman"/>
          <w:sz w:val="28"/>
          <w:szCs w:val="28"/>
          <w:lang w:val="en-US"/>
        </w:rPr>
        <w:t>IV</w:t>
      </w:r>
      <w:r>
        <w:rPr>
          <w:rFonts w:ascii="Times New Roman" w:hAnsi="Times New Roman"/>
          <w:sz w:val="28"/>
          <w:szCs w:val="28"/>
          <w:lang w:val="uk-UA"/>
        </w:rPr>
        <w:t xml:space="preserve"> ступеню. Суха гангрена ІІ та ІІІ пальців правої ступні. Цукровий діабет ІІ тип, середньої тяжкості. При ангіографічному дослідженні: стеноз ПКА у нижній третині – 50%, оклюзія правої ПВГА впродовж всієї артерії, оклюзія МГА у верхній третині, Оклюзія ЗВГА у нижній третині.</w:t>
      </w:r>
    </w:p>
    <w:p w:rsidR="00A01923" w:rsidRDefault="00A01923" w:rsidP="00A01923">
      <w:pPr>
        <w:spacing w:after="0" w:line="360" w:lineRule="auto"/>
        <w:ind w:left="-567" w:right="142" w:firstLine="567"/>
        <w:jc w:val="both"/>
        <w:rPr>
          <w:rFonts w:ascii="Times New Roman" w:hAnsi="Times New Roman"/>
          <w:color w:val="FF0000"/>
          <w:sz w:val="28"/>
          <w:szCs w:val="28"/>
          <w:lang w:val="uk-UA"/>
        </w:rPr>
      </w:pPr>
      <w:r>
        <w:rPr>
          <w:rFonts w:ascii="Times New Roman" w:hAnsi="Times New Roman"/>
          <w:sz w:val="28"/>
          <w:szCs w:val="28"/>
          <w:lang w:val="uk-UA"/>
        </w:rPr>
        <w:t>Хворий був оперований. Виконана черезшкірна транслюмінальна балонна ангіопластика ЗВГА та МГА. Післяопераційний період пройшов без ускладнень. На 7 добу після операції виконана стимуляція ангіогенезу за допомогою багатої тромбоцитами аутоплазми на правій гомілці за описаною вище методикою. Виписаний в задовільному стані на третю добу після плазмотерапії. При виписці температура гомілки – 35,7°C, температура на 1 пальці ступні – 32,3°C, КПІ= 1,0, напруження кисню у тканинах ступні – 74 мм рт.ст., ДБХ – 400 м, рівень болю – 0 балів, ПФ –68%, ФФ – 76%. Через 1 місяць виконана ампутація дистальних фаланг ІІ та ІІІ пальців правої ступні, рани зажили протягом 4 тижнів. Оглянутий за 6 та 12 місяців після операції.</w:t>
      </w:r>
      <w:r>
        <w:rPr>
          <w:rFonts w:ascii="Times New Roman" w:hAnsi="Times New Roman"/>
          <w:color w:val="00B0F0"/>
          <w:sz w:val="28"/>
          <w:szCs w:val="28"/>
          <w:lang w:val="uk-UA"/>
        </w:rPr>
        <w:t xml:space="preserve"> </w:t>
      </w:r>
      <w:r>
        <w:rPr>
          <w:rFonts w:ascii="Times New Roman" w:hAnsi="Times New Roman"/>
          <w:sz w:val="28"/>
          <w:szCs w:val="28"/>
          <w:lang w:val="uk-UA"/>
        </w:rPr>
        <w:t xml:space="preserve">За 6 міс. стан хворого задовільний, скарг немає, займається ходьбою на тренажері з 3 місяців після первинної госпіталізації, проходить до 3 км за годину, температура гомілки – 35,5°C, температура на 1 пальці ступні – 31,8°C, КПІ= 1,0, напруження кисню у тканинах ступні – 68 мм рт.ст., рівень болю – 0 балів, ПФ –64 %,  ФФ – 67%. За 12 міс. стан хворого задовільний, скарг з боку оперованої кінцівки немає, проходить до 4 км за годину, температура гомілки – 36,1°C, температура на 1 пальці ступні – 32,6°C, напруження кисню у тканинах ступні – 71 мм рт.ст., рівень болю – 0 балів, рівень якості життя – підвищений (ПФ –74%, ФФ – 78%).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shd w:val="clear" w:color="auto" w:fill="FFFFFF"/>
          <w:lang w:val="uk-UA"/>
        </w:rPr>
        <w:lastRenderedPageBreak/>
        <w:t xml:space="preserve">Поперекова симпатектомія широко використовується при лікуванні хворих з облітеруючими захворюваннями </w:t>
      </w:r>
      <w:r>
        <w:rPr>
          <w:rFonts w:ascii="Times New Roman" w:hAnsi="Times New Roman"/>
          <w:sz w:val="28"/>
          <w:szCs w:val="28"/>
          <w:lang w:val="uk-UA"/>
        </w:rPr>
        <w:t xml:space="preserve">артерій нижніх кінцівок на початкових стадіях, так як в більшості випадків супровождується добрими результатами </w:t>
      </w:r>
      <w:r>
        <w:rPr>
          <w:rFonts w:ascii="Times New Roman" w:hAnsi="Times New Roman"/>
          <w:sz w:val="28"/>
          <w:szCs w:val="28"/>
          <w:shd w:val="clear" w:color="auto" w:fill="FFFFFF"/>
          <w:lang w:val="uk-UA"/>
        </w:rPr>
        <w:t xml:space="preserve">Мала інвазивність і травматичність хімічної поперекової симпатектомії значно розширює групу хворих з важкою супутньою патологією, яким може бути виконана ця операція, яка покращує колатеральний та периферичний кровообіг, зменшує рівень хронічнї ішемії нижніх кінцівок. Хімічна поперекова симпатектомія не поступається за своєю ефективністю поперековій симпатектомії, виконаній хірургічним шляхом. </w:t>
      </w:r>
      <w:r>
        <w:rPr>
          <w:rFonts w:ascii="Times New Roman" w:hAnsi="Times New Roman"/>
          <w:sz w:val="28"/>
          <w:szCs w:val="28"/>
          <w:lang w:val="uk-UA"/>
        </w:rPr>
        <w:t xml:space="preserve">Хімічна поперекова симпатектомія була виконана 4 хворим основної групи (3,8%), з яких у 3 (60%) – спостерігався </w:t>
      </w:r>
      <w:r>
        <w:rPr>
          <w:rFonts w:ascii="Times New Roman" w:hAnsi="Times New Roman"/>
          <w:sz w:val="28"/>
          <w:szCs w:val="28"/>
          <w:lang w:val="en-US"/>
        </w:rPr>
        <w:t>IV</w:t>
      </w:r>
      <w:r>
        <w:rPr>
          <w:rFonts w:ascii="Times New Roman" w:hAnsi="Times New Roman"/>
          <w:sz w:val="28"/>
          <w:szCs w:val="28"/>
          <w:lang w:val="uk-UA"/>
        </w:rPr>
        <w:t xml:space="preserve"> ступінь ішемії, а у 2 (40%) – ІІІ ступінь ішемії. 2 (40%) паієнтам були виконані малі ампутації у ранньому післяопераційному періоді. Відкрита поперекова симпатектомія була виконана 8 хворим групи порівняння, з яких у 5 (62,5%) – був </w:t>
      </w:r>
      <w:r>
        <w:rPr>
          <w:rFonts w:ascii="Times New Roman" w:hAnsi="Times New Roman"/>
          <w:sz w:val="28"/>
          <w:szCs w:val="28"/>
          <w:lang w:val="en-US"/>
        </w:rPr>
        <w:t>IV</w:t>
      </w:r>
      <w:r>
        <w:rPr>
          <w:rFonts w:ascii="Times New Roman" w:hAnsi="Times New Roman"/>
          <w:sz w:val="28"/>
          <w:szCs w:val="28"/>
          <w:lang w:val="uk-UA"/>
        </w:rPr>
        <w:t xml:space="preserve"> ступінь ішемії, а у 3 (37,5%) – ІІІ ступінь. 5 (62,5%) особам виконані малі ампутації у ранньому післяопераційному періоді.</w:t>
      </w:r>
    </w:p>
    <w:p w:rsidR="00A01923" w:rsidRDefault="00A01923" w:rsidP="00A01923">
      <w:pPr>
        <w:spacing w:after="0" w:line="360" w:lineRule="auto"/>
        <w:ind w:left="-567" w:right="142" w:firstLine="567"/>
        <w:jc w:val="both"/>
        <w:rPr>
          <w:rFonts w:ascii="Times New Roman" w:hAnsi="Times New Roman"/>
          <w:i/>
          <w:sz w:val="28"/>
          <w:szCs w:val="28"/>
          <w:lang w:val="uk-UA"/>
        </w:rPr>
      </w:pPr>
      <w:r>
        <w:rPr>
          <w:rFonts w:ascii="Times New Roman" w:hAnsi="Times New Roman"/>
          <w:i/>
          <w:sz w:val="28"/>
          <w:szCs w:val="28"/>
          <w:lang w:val="uk-UA"/>
        </w:rPr>
        <w:t>Ефективність способу ілюструє такий приклад.</w:t>
      </w:r>
    </w:p>
    <w:p w:rsidR="00A01923" w:rsidRDefault="00A01923" w:rsidP="00A01923">
      <w:pPr>
        <w:spacing w:after="0" w:line="360" w:lineRule="auto"/>
        <w:ind w:left="-567" w:right="142" w:firstLine="567"/>
        <w:jc w:val="both"/>
        <w:rPr>
          <w:rFonts w:ascii="Times New Roman" w:hAnsi="Times New Roman"/>
          <w:color w:val="FF0000"/>
          <w:sz w:val="28"/>
          <w:szCs w:val="28"/>
          <w:lang w:val="uk-UA"/>
        </w:rPr>
      </w:pPr>
      <w:r>
        <w:rPr>
          <w:rFonts w:ascii="Times New Roman" w:hAnsi="Times New Roman"/>
          <w:sz w:val="28"/>
          <w:szCs w:val="28"/>
          <w:lang w:val="uk-UA"/>
        </w:rPr>
        <w:t>Хвора К., 67 років, була прийнята до хірургічного стаціонару зі скаргами на біль та похолодання правої ступні, терпкість пальців правої ступні, некроз тканин І та ІІ пальців правої ступні. Хворіє протягом кількох місяців. Страждає ЦД ІІ типу протягом багатьох років. При обстеженні: дистальний рівень пульсації праворуч визначається на загальній стегновій артерії, температура гомілки – 33,7°C, температура на 1 пальці ступні не визначається (некроз), на тилі ступні– 29,2°C, напруження кисню у тканинах ступні – 24 мм рт.ст., ДБХ – 0 м, рівень болю – 8 балів, ПФ – 27%, ФФ – 34% (знижений рівень якості життя). При допплерографічному дослідженні: оклюзія правої ПСА у нижній третині, ПКА – оклюзія, розвинені колатералі, ПВГА, ЗВГА – дифузне ураження, дифузне ураження судин ступні.</w:t>
      </w:r>
      <w:r>
        <w:rPr>
          <w:rFonts w:ascii="Times New Roman" w:hAnsi="Times New Roman"/>
          <w:color w:val="FF0000"/>
          <w:sz w:val="28"/>
          <w:szCs w:val="28"/>
          <w:lang w:val="uk-UA"/>
        </w:rPr>
        <w:t xml:space="preserve"> </w:t>
      </w:r>
      <w:r>
        <w:rPr>
          <w:rFonts w:ascii="Times New Roman" w:hAnsi="Times New Roman"/>
          <w:sz w:val="28"/>
          <w:szCs w:val="28"/>
          <w:lang w:val="uk-UA"/>
        </w:rPr>
        <w:t xml:space="preserve">Встановлений діагноз: облітеруючий атеросклероз артерій нижніх кінцівок, діабетична ангіопатія нижніх кінцівок, хронічна ішемія правої нижньої кінцівки </w:t>
      </w:r>
      <w:r>
        <w:rPr>
          <w:rFonts w:ascii="Times New Roman" w:hAnsi="Times New Roman"/>
          <w:sz w:val="28"/>
          <w:szCs w:val="28"/>
          <w:lang w:val="en-US"/>
        </w:rPr>
        <w:t>IV</w:t>
      </w:r>
      <w:r>
        <w:rPr>
          <w:rFonts w:ascii="Times New Roman" w:hAnsi="Times New Roman"/>
          <w:sz w:val="28"/>
          <w:szCs w:val="28"/>
          <w:lang w:val="uk-UA"/>
        </w:rPr>
        <w:t xml:space="preserve"> ступеню. Некроз І-ІІ пальців правої ступні. ЦД ІІ тип.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lastRenderedPageBreak/>
        <w:t>Хвора була оперована. Виконана хімічна поперекова симпатектомія праворуч під КТ - навігацією. На 2 добу було виконана ампутація І-ІІ пальців правої ступні. На 4 добу після симпатектомії виконано стимуляцію ангіогенезу за допомогою багатої тромбоцитами аутоплазми на правій гомілці.</w:t>
      </w:r>
      <w:r>
        <w:rPr>
          <w:rFonts w:ascii="Times New Roman" w:hAnsi="Times New Roman"/>
          <w:color w:val="FF0000"/>
          <w:sz w:val="28"/>
          <w:szCs w:val="28"/>
          <w:lang w:val="uk-UA"/>
        </w:rPr>
        <w:t xml:space="preserve"> </w:t>
      </w:r>
      <w:r>
        <w:rPr>
          <w:rFonts w:ascii="Times New Roman" w:hAnsi="Times New Roman"/>
          <w:sz w:val="28"/>
          <w:szCs w:val="28"/>
          <w:lang w:val="uk-UA"/>
        </w:rPr>
        <w:t>Хвора отримувала комплексну медикаментозну терапію. Виписана в задовільному стані, при виписці температура гомілки – 34,5°C, температура на тилі ступні – 30,4°C, напруження кисню у тканинах ступні – 44 мм рт.ст., ДБХ – 40м, рівень болю – 4 бали, ПФ – 42%, ФФ – 44%.</w:t>
      </w:r>
      <w:r>
        <w:rPr>
          <w:rFonts w:ascii="Times New Roman" w:hAnsi="Times New Roman"/>
          <w:color w:val="FF0000"/>
          <w:sz w:val="28"/>
          <w:szCs w:val="28"/>
          <w:lang w:val="uk-UA"/>
        </w:rPr>
        <w:t xml:space="preserve"> </w:t>
      </w:r>
      <w:r>
        <w:rPr>
          <w:rFonts w:ascii="Times New Roman" w:hAnsi="Times New Roman"/>
          <w:sz w:val="28"/>
          <w:szCs w:val="28"/>
          <w:lang w:val="uk-UA"/>
        </w:rPr>
        <w:t xml:space="preserve">При виписці дані рекомендації щодо фізичних навантажень, медикаментозного лікування. Оглянута </w:t>
      </w:r>
      <w:r w:rsidR="00986357">
        <w:rPr>
          <w:rFonts w:ascii="Times New Roman" w:hAnsi="Times New Roman"/>
          <w:sz w:val="28"/>
          <w:szCs w:val="28"/>
          <w:lang w:val="uk-UA"/>
        </w:rPr>
        <w:t>через</w:t>
      </w:r>
      <w:r>
        <w:rPr>
          <w:rFonts w:ascii="Times New Roman" w:hAnsi="Times New Roman"/>
          <w:sz w:val="28"/>
          <w:szCs w:val="28"/>
          <w:lang w:val="uk-UA"/>
        </w:rPr>
        <w:t xml:space="preserve"> 6 та 12 місяців після лікування. ЧЕРЕЗ 6 міс. стан хворї задовільний, рани загоїлись протягом 2 місяців, скарги на помірний біль у правій гомілці при ході біля 100 м, займається ходьбою, проходить до 1 км за прогулянку, температура гомілки – 34,1°C, температура на тилі ступні – 30,8°C, напруження кисню у тканинах ступні – 39 мм рт.ст.,</w:t>
      </w:r>
      <w:r>
        <w:rPr>
          <w:rFonts w:ascii="Times New Roman" w:hAnsi="Times New Roman"/>
          <w:color w:val="FF0000"/>
          <w:sz w:val="28"/>
          <w:szCs w:val="28"/>
          <w:lang w:val="uk-UA"/>
        </w:rPr>
        <w:t xml:space="preserve"> </w:t>
      </w:r>
      <w:r>
        <w:rPr>
          <w:rFonts w:ascii="Times New Roman" w:hAnsi="Times New Roman"/>
          <w:sz w:val="28"/>
          <w:szCs w:val="28"/>
          <w:lang w:val="uk-UA"/>
        </w:rPr>
        <w:t xml:space="preserve">рівень болю – 2 бали, ПФ –52 %, ФФ – 54%. </w:t>
      </w:r>
      <w:r w:rsidR="00986357">
        <w:rPr>
          <w:rFonts w:ascii="Times New Roman" w:hAnsi="Times New Roman"/>
          <w:sz w:val="28"/>
          <w:szCs w:val="28"/>
          <w:lang w:val="uk-UA"/>
        </w:rPr>
        <w:t>через</w:t>
      </w:r>
      <w:r>
        <w:rPr>
          <w:rFonts w:ascii="Times New Roman" w:hAnsi="Times New Roman"/>
          <w:sz w:val="28"/>
          <w:szCs w:val="28"/>
          <w:lang w:val="uk-UA"/>
        </w:rPr>
        <w:t xml:space="preserve"> 12 міс. стан хворої задовільний, скарги на біль у правій гомілці при ходьбі близько 300 м, проходить повільно біля 1 км під час прогулянки, температура гомілки – 34,6°C, температура на тилі ступні – 30,6°C, напруження кисню у тканинах ступні – 35 мм рт.ст., рівень болю – 1 бал, рівень якості життя – середній (ПФ –54%, ФФ – 52%).</w:t>
      </w:r>
    </w:p>
    <w:p w:rsidR="00A01923" w:rsidRDefault="00A01923" w:rsidP="00A01923">
      <w:pPr>
        <w:autoSpaceDE w:val="0"/>
        <w:autoSpaceDN w:val="0"/>
        <w:adjustRightInd w:val="0"/>
        <w:spacing w:after="0" w:line="360" w:lineRule="auto"/>
        <w:ind w:left="-567" w:right="142" w:firstLine="567"/>
        <w:jc w:val="both"/>
        <w:rPr>
          <w:rFonts w:ascii="Times New Roman" w:hAnsi="Times New Roman"/>
          <w:sz w:val="28"/>
          <w:szCs w:val="28"/>
          <w:lang w:val="uk-UA"/>
        </w:rPr>
      </w:pPr>
      <w:r>
        <w:rPr>
          <w:rFonts w:ascii="Times New Roman" w:hAnsi="Times New Roman"/>
          <w:sz w:val="28"/>
          <w:szCs w:val="28"/>
        </w:rPr>
        <w:t xml:space="preserve">Структура відкритих втручань, виконаних у </w:t>
      </w:r>
      <w:r>
        <w:rPr>
          <w:rFonts w:ascii="Times New Roman" w:hAnsi="Times New Roman"/>
          <w:sz w:val="28"/>
          <w:szCs w:val="28"/>
          <w:lang w:val="uk-UA"/>
        </w:rPr>
        <w:t xml:space="preserve">19 з 105 </w:t>
      </w:r>
      <w:r>
        <w:rPr>
          <w:rFonts w:ascii="Times New Roman" w:hAnsi="Times New Roman"/>
          <w:sz w:val="28"/>
          <w:szCs w:val="28"/>
        </w:rPr>
        <w:t>хворих</w:t>
      </w:r>
      <w:r>
        <w:rPr>
          <w:rFonts w:ascii="Times New Roman" w:hAnsi="Times New Roman"/>
          <w:sz w:val="28"/>
          <w:szCs w:val="28"/>
          <w:lang w:val="uk-UA"/>
        </w:rPr>
        <w:t>, які</w:t>
      </w:r>
      <w:r>
        <w:rPr>
          <w:rFonts w:ascii="Times New Roman" w:hAnsi="Times New Roman"/>
          <w:sz w:val="28"/>
          <w:szCs w:val="28"/>
        </w:rPr>
        <w:t xml:space="preserve"> досліджува</w:t>
      </w:r>
      <w:r>
        <w:rPr>
          <w:rFonts w:ascii="Times New Roman" w:hAnsi="Times New Roman"/>
          <w:sz w:val="28"/>
          <w:szCs w:val="28"/>
          <w:lang w:val="uk-UA"/>
        </w:rPr>
        <w:t>лись</w:t>
      </w:r>
      <w:r>
        <w:rPr>
          <w:rFonts w:ascii="Times New Roman" w:hAnsi="Times New Roman"/>
          <w:sz w:val="28"/>
          <w:szCs w:val="28"/>
        </w:rPr>
        <w:t>, представлен</w:t>
      </w:r>
      <w:r>
        <w:rPr>
          <w:rFonts w:ascii="Times New Roman" w:hAnsi="Times New Roman"/>
          <w:sz w:val="28"/>
          <w:szCs w:val="28"/>
          <w:lang w:val="uk-UA"/>
        </w:rPr>
        <w:t>о</w:t>
      </w:r>
      <w:r>
        <w:rPr>
          <w:rFonts w:ascii="Times New Roman" w:hAnsi="Times New Roman"/>
          <w:sz w:val="28"/>
          <w:szCs w:val="28"/>
        </w:rPr>
        <w:t xml:space="preserve"> у таблиці 5.</w:t>
      </w:r>
      <w:r>
        <w:rPr>
          <w:rFonts w:ascii="Times New Roman" w:hAnsi="Times New Roman"/>
          <w:sz w:val="28"/>
          <w:szCs w:val="28"/>
          <w:lang w:val="uk-UA"/>
        </w:rPr>
        <w:t>3</w:t>
      </w:r>
      <w:r>
        <w:rPr>
          <w:rFonts w:ascii="Times New Roman" w:hAnsi="Times New Roman"/>
          <w:sz w:val="28"/>
          <w:szCs w:val="28"/>
        </w:rPr>
        <w:t>.</w:t>
      </w:r>
    </w:p>
    <w:p w:rsidR="00A01923" w:rsidRDefault="00A01923" w:rsidP="00A01923">
      <w:pPr>
        <w:autoSpaceDE w:val="0"/>
        <w:autoSpaceDN w:val="0"/>
        <w:adjustRightInd w:val="0"/>
        <w:spacing w:after="0" w:line="360" w:lineRule="auto"/>
        <w:ind w:left="-567" w:right="142" w:firstLine="567"/>
        <w:jc w:val="both"/>
        <w:rPr>
          <w:rFonts w:ascii="Times New Roman" w:hAnsi="Times New Roman"/>
          <w:sz w:val="28"/>
          <w:szCs w:val="28"/>
          <w:lang w:val="uk-UA"/>
        </w:rPr>
      </w:pPr>
      <w:r>
        <w:rPr>
          <w:rFonts w:ascii="Times New Roman" w:hAnsi="Times New Roman"/>
          <w:sz w:val="28"/>
          <w:szCs w:val="28"/>
          <w:lang w:val="uk-UA"/>
        </w:rPr>
        <w:t xml:space="preserve">Враховуючи, здебільшого, багаторівневе ураження артерій нижніх кінцівок, наразі, дуже перспективною є методика гібридних втручань – поєднання відкритого шунтування у стегновому сегменті з черезшкірною ангіопластикою з/або без стентування у гомілковому сегменті. </w:t>
      </w:r>
      <w:r>
        <w:rPr>
          <w:rFonts w:ascii="Times New Roman" w:hAnsi="Times New Roman"/>
          <w:sz w:val="28"/>
          <w:szCs w:val="28"/>
        </w:rPr>
        <w:t>Дані втручання виконуються послідовно</w:t>
      </w:r>
      <w:r>
        <w:rPr>
          <w:rFonts w:ascii="Times New Roman" w:hAnsi="Times New Roman"/>
          <w:sz w:val="28"/>
          <w:szCs w:val="28"/>
          <w:lang w:val="uk-UA"/>
        </w:rPr>
        <w:t>,</w:t>
      </w:r>
      <w:r>
        <w:rPr>
          <w:rFonts w:ascii="Times New Roman" w:hAnsi="Times New Roman"/>
          <w:sz w:val="28"/>
          <w:szCs w:val="28"/>
        </w:rPr>
        <w:t xml:space="preserve"> одночасно або з невеликим проміжком часу (у межах доби).</w:t>
      </w:r>
    </w:p>
    <w:p w:rsidR="00A01923" w:rsidRDefault="00A01923" w:rsidP="00A01923">
      <w:pPr>
        <w:tabs>
          <w:tab w:val="left" w:pos="5950"/>
        </w:tabs>
        <w:spacing w:after="0" w:line="360" w:lineRule="auto"/>
        <w:ind w:left="-567" w:right="141" w:firstLine="567"/>
        <w:jc w:val="both"/>
        <w:rPr>
          <w:rFonts w:ascii="Times New Roman" w:hAnsi="Times New Roman"/>
          <w:sz w:val="28"/>
          <w:szCs w:val="28"/>
        </w:rPr>
      </w:pPr>
      <w:r>
        <w:rPr>
          <w:rFonts w:ascii="Times New Roman" w:hAnsi="Times New Roman"/>
          <w:sz w:val="28"/>
          <w:szCs w:val="28"/>
        </w:rPr>
        <w:t>Хворим, що приймали участь у дослідженні</w:t>
      </w:r>
      <w:r>
        <w:rPr>
          <w:rFonts w:ascii="Times New Roman" w:hAnsi="Times New Roman"/>
          <w:sz w:val="28"/>
          <w:szCs w:val="28"/>
          <w:lang w:val="uk-UA"/>
        </w:rPr>
        <w:t>,</w:t>
      </w:r>
      <w:r>
        <w:rPr>
          <w:rFonts w:ascii="Times New Roman" w:hAnsi="Times New Roman"/>
          <w:sz w:val="28"/>
          <w:szCs w:val="28"/>
        </w:rPr>
        <w:t xml:space="preserve"> бул</w:t>
      </w:r>
      <w:r>
        <w:rPr>
          <w:rFonts w:ascii="Times New Roman" w:hAnsi="Times New Roman"/>
          <w:sz w:val="28"/>
          <w:szCs w:val="28"/>
          <w:lang w:val="uk-UA"/>
        </w:rPr>
        <w:t>и</w:t>
      </w:r>
      <w:r>
        <w:rPr>
          <w:rFonts w:ascii="Times New Roman" w:hAnsi="Times New Roman"/>
          <w:sz w:val="28"/>
          <w:szCs w:val="28"/>
        </w:rPr>
        <w:t xml:space="preserve"> виконан</w:t>
      </w:r>
      <w:r>
        <w:rPr>
          <w:rFonts w:ascii="Times New Roman" w:hAnsi="Times New Roman"/>
          <w:sz w:val="28"/>
          <w:szCs w:val="28"/>
          <w:lang w:val="uk-UA"/>
        </w:rPr>
        <w:t>і</w:t>
      </w:r>
      <w:r>
        <w:rPr>
          <w:rFonts w:ascii="Times New Roman" w:hAnsi="Times New Roman"/>
          <w:sz w:val="28"/>
          <w:szCs w:val="28"/>
        </w:rPr>
        <w:t xml:space="preserve"> гібридні втручання у 3 випадках (2,85%).  При цьому у 1 (33,3%) хворого бу</w:t>
      </w:r>
      <w:r>
        <w:rPr>
          <w:rFonts w:ascii="Times New Roman" w:hAnsi="Times New Roman"/>
          <w:sz w:val="28"/>
          <w:szCs w:val="28"/>
          <w:lang w:val="uk-UA"/>
        </w:rPr>
        <w:t>в</w:t>
      </w:r>
      <w:r>
        <w:rPr>
          <w:rFonts w:ascii="Times New Roman" w:hAnsi="Times New Roman"/>
          <w:sz w:val="28"/>
          <w:szCs w:val="28"/>
        </w:rPr>
        <w:t xml:space="preserve"> ІІІ </w:t>
      </w:r>
      <w:r>
        <w:rPr>
          <w:rFonts w:ascii="Times New Roman" w:hAnsi="Times New Roman"/>
          <w:sz w:val="28"/>
          <w:szCs w:val="28"/>
          <w:lang w:val="uk-UA"/>
        </w:rPr>
        <w:t>ступінь</w:t>
      </w:r>
      <w:r>
        <w:rPr>
          <w:rFonts w:ascii="Times New Roman" w:hAnsi="Times New Roman"/>
          <w:sz w:val="28"/>
          <w:szCs w:val="28"/>
        </w:rPr>
        <w:t xml:space="preserve"> ішемії, а у 2 (66,7%) – </w:t>
      </w:r>
      <w:r>
        <w:rPr>
          <w:rFonts w:ascii="Times New Roman" w:hAnsi="Times New Roman"/>
          <w:sz w:val="28"/>
          <w:szCs w:val="28"/>
          <w:lang w:val="en-US"/>
        </w:rPr>
        <w:t>IV</w:t>
      </w:r>
      <w:r>
        <w:rPr>
          <w:rFonts w:ascii="Times New Roman" w:hAnsi="Times New Roman"/>
          <w:sz w:val="28"/>
          <w:szCs w:val="28"/>
        </w:rPr>
        <w:t xml:space="preserve">, 1 (33,3%) </w:t>
      </w:r>
      <w:r>
        <w:rPr>
          <w:rFonts w:ascii="Times New Roman" w:hAnsi="Times New Roman"/>
          <w:sz w:val="28"/>
          <w:szCs w:val="28"/>
          <w:lang w:val="uk-UA"/>
        </w:rPr>
        <w:t>пацієнту</w:t>
      </w:r>
      <w:r>
        <w:rPr>
          <w:rFonts w:ascii="Times New Roman" w:hAnsi="Times New Roman"/>
          <w:sz w:val="28"/>
          <w:szCs w:val="28"/>
        </w:rPr>
        <w:t xml:space="preserve"> бул</w:t>
      </w:r>
      <w:r>
        <w:rPr>
          <w:rFonts w:ascii="Times New Roman" w:hAnsi="Times New Roman"/>
          <w:sz w:val="28"/>
          <w:szCs w:val="28"/>
          <w:lang w:val="uk-UA"/>
        </w:rPr>
        <w:t>и</w:t>
      </w:r>
      <w:r>
        <w:rPr>
          <w:rFonts w:ascii="Times New Roman" w:hAnsi="Times New Roman"/>
          <w:sz w:val="28"/>
          <w:szCs w:val="28"/>
        </w:rPr>
        <w:t xml:space="preserve"> виконан</w:t>
      </w:r>
      <w:r>
        <w:rPr>
          <w:rFonts w:ascii="Times New Roman" w:hAnsi="Times New Roman"/>
          <w:sz w:val="28"/>
          <w:szCs w:val="28"/>
          <w:lang w:val="uk-UA"/>
        </w:rPr>
        <w:t>и</w:t>
      </w:r>
      <w:r>
        <w:rPr>
          <w:rFonts w:ascii="Times New Roman" w:hAnsi="Times New Roman"/>
          <w:sz w:val="28"/>
          <w:szCs w:val="28"/>
        </w:rPr>
        <w:t xml:space="preserve"> у післяопераційному періоді послідовн</w:t>
      </w:r>
      <w:r>
        <w:rPr>
          <w:rFonts w:ascii="Times New Roman" w:hAnsi="Times New Roman"/>
          <w:sz w:val="28"/>
          <w:szCs w:val="28"/>
          <w:lang w:val="uk-UA"/>
        </w:rPr>
        <w:t>і</w:t>
      </w:r>
      <w:r>
        <w:rPr>
          <w:rFonts w:ascii="Times New Roman" w:hAnsi="Times New Roman"/>
          <w:sz w:val="28"/>
          <w:szCs w:val="28"/>
        </w:rPr>
        <w:t xml:space="preserve"> некректомі</w:t>
      </w:r>
      <w:r>
        <w:rPr>
          <w:rFonts w:ascii="Times New Roman" w:hAnsi="Times New Roman"/>
          <w:sz w:val="28"/>
          <w:szCs w:val="28"/>
          <w:lang w:val="uk-UA"/>
        </w:rPr>
        <w:t>я</w:t>
      </w:r>
      <w:r>
        <w:rPr>
          <w:rFonts w:ascii="Times New Roman" w:hAnsi="Times New Roman"/>
          <w:sz w:val="28"/>
          <w:szCs w:val="28"/>
        </w:rPr>
        <w:t xml:space="preserve"> та ампутаці</w:t>
      </w:r>
      <w:r>
        <w:rPr>
          <w:rFonts w:ascii="Times New Roman" w:hAnsi="Times New Roman"/>
          <w:sz w:val="28"/>
          <w:szCs w:val="28"/>
          <w:lang w:val="uk-UA"/>
        </w:rPr>
        <w:t>я</w:t>
      </w:r>
      <w:r>
        <w:rPr>
          <w:rFonts w:ascii="Times New Roman" w:hAnsi="Times New Roman"/>
          <w:sz w:val="28"/>
          <w:szCs w:val="28"/>
        </w:rPr>
        <w:t xml:space="preserve"> ступні за Шопаром. </w:t>
      </w:r>
    </w:p>
    <w:p w:rsidR="00A01923" w:rsidRDefault="00A01923" w:rsidP="00A01923">
      <w:pPr>
        <w:autoSpaceDE w:val="0"/>
        <w:autoSpaceDN w:val="0"/>
        <w:adjustRightInd w:val="0"/>
        <w:spacing w:after="0" w:line="360" w:lineRule="auto"/>
        <w:ind w:left="-567" w:right="142" w:firstLine="567"/>
        <w:jc w:val="right"/>
        <w:rPr>
          <w:rFonts w:ascii="Times New Roman" w:hAnsi="Times New Roman"/>
          <w:i/>
          <w:sz w:val="28"/>
          <w:szCs w:val="28"/>
          <w:lang w:val="uk-UA"/>
        </w:rPr>
      </w:pPr>
      <w:r>
        <w:rPr>
          <w:rFonts w:ascii="Times New Roman" w:hAnsi="Times New Roman"/>
          <w:i/>
          <w:sz w:val="28"/>
          <w:szCs w:val="28"/>
        </w:rPr>
        <w:lastRenderedPageBreak/>
        <w:t>Таблиця 5.</w:t>
      </w:r>
      <w:r>
        <w:rPr>
          <w:rFonts w:ascii="Times New Roman" w:hAnsi="Times New Roman"/>
          <w:i/>
          <w:sz w:val="28"/>
          <w:szCs w:val="28"/>
          <w:lang w:val="uk-UA"/>
        </w:rPr>
        <w:t>3</w:t>
      </w:r>
    </w:p>
    <w:p w:rsidR="00A01923" w:rsidRDefault="00A01923" w:rsidP="00A01923">
      <w:pPr>
        <w:autoSpaceDE w:val="0"/>
        <w:autoSpaceDN w:val="0"/>
        <w:adjustRightInd w:val="0"/>
        <w:spacing w:after="0" w:line="360" w:lineRule="auto"/>
        <w:ind w:left="-567" w:right="142" w:firstLine="567"/>
        <w:jc w:val="center"/>
        <w:rPr>
          <w:rFonts w:ascii="Times New Roman" w:hAnsi="Times New Roman"/>
          <w:sz w:val="28"/>
          <w:szCs w:val="28"/>
          <w:lang w:val="uk-UA"/>
        </w:rPr>
      </w:pPr>
      <w:r>
        <w:rPr>
          <w:rFonts w:ascii="Times New Roman" w:hAnsi="Times New Roman"/>
          <w:b/>
          <w:sz w:val="28"/>
          <w:szCs w:val="28"/>
        </w:rPr>
        <w:t>Структура виконаних відкритих</w:t>
      </w:r>
      <w:r>
        <w:rPr>
          <w:b/>
        </w:rPr>
        <w:t xml:space="preserve"> </w:t>
      </w:r>
      <w:r>
        <w:rPr>
          <w:rFonts w:ascii="Times New Roman" w:hAnsi="Times New Roman"/>
          <w:b/>
          <w:sz w:val="28"/>
          <w:szCs w:val="28"/>
        </w:rPr>
        <w:t>прямих та непрямих реваскуляризацій</w:t>
      </w:r>
      <w:r>
        <w:rPr>
          <w:rFonts w:ascii="Times New Roman" w:hAnsi="Times New Roman"/>
          <w:sz w:val="28"/>
          <w:szCs w:val="28"/>
          <w:lang w:val="uk-UA"/>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gridCol w:w="3261"/>
        <w:gridCol w:w="2517"/>
      </w:tblGrid>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Втручання</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right="-50"/>
              <w:jc w:val="center"/>
              <w:rPr>
                <w:sz w:val="28"/>
                <w:szCs w:val="28"/>
              </w:rPr>
            </w:pPr>
            <w:r>
              <w:rPr>
                <w:sz w:val="28"/>
                <w:szCs w:val="28"/>
              </w:rPr>
              <w:t>Абсолютна кількість</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pStyle w:val="ac"/>
              <w:spacing w:line="360" w:lineRule="auto"/>
              <w:ind w:right="-50"/>
              <w:jc w:val="center"/>
              <w:rPr>
                <w:sz w:val="28"/>
                <w:szCs w:val="28"/>
              </w:rPr>
            </w:pPr>
            <w:r>
              <w:rPr>
                <w:sz w:val="28"/>
                <w:szCs w:val="28"/>
              </w:rPr>
              <w:t>%</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rPr>
                <w:rFonts w:ascii="Times New Roman" w:eastAsia="Times New Roman" w:hAnsi="Times New Roman"/>
                <w:sz w:val="28"/>
                <w:szCs w:val="28"/>
              </w:rPr>
            </w:pPr>
            <w:r>
              <w:rPr>
                <w:rFonts w:ascii="Times New Roman" w:hAnsi="Times New Roman"/>
                <w:sz w:val="28"/>
                <w:szCs w:val="28"/>
              </w:rPr>
              <w:t>Відкрита поперекова симпатектомія</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8</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7,6</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rPr>
                <w:rFonts w:ascii="Times New Roman" w:eastAsia="Times New Roman" w:hAnsi="Times New Roman"/>
                <w:sz w:val="28"/>
                <w:szCs w:val="28"/>
              </w:rPr>
            </w:pPr>
            <w:r>
              <w:rPr>
                <w:rFonts w:ascii="Times New Roman" w:hAnsi="Times New Roman"/>
                <w:sz w:val="28"/>
                <w:szCs w:val="28"/>
              </w:rPr>
              <w:t>Стегново- гомілкове шунтування (СГШ)</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5</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3,8</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rPr>
                <w:rFonts w:ascii="Times New Roman" w:eastAsia="Times New Roman" w:hAnsi="Times New Roman"/>
                <w:sz w:val="28"/>
                <w:szCs w:val="28"/>
              </w:rPr>
            </w:pPr>
            <w:r>
              <w:rPr>
                <w:rFonts w:ascii="Times New Roman" w:hAnsi="Times New Roman"/>
                <w:sz w:val="28"/>
                <w:szCs w:val="28"/>
              </w:rPr>
              <w:t>Відкрита ангіопластика</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3</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2,8</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rPr>
                <w:rFonts w:ascii="Times New Roman" w:eastAsia="Times New Roman" w:hAnsi="Times New Roman"/>
                <w:sz w:val="28"/>
                <w:szCs w:val="28"/>
              </w:rPr>
            </w:pPr>
            <w:r>
              <w:rPr>
                <w:rFonts w:ascii="Times New Roman" w:hAnsi="Times New Roman"/>
                <w:sz w:val="28"/>
                <w:szCs w:val="28"/>
              </w:rPr>
              <w:t>Гібридне втручання (ЧБА + СГШ)</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3</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2,8</w:t>
            </w:r>
          </w:p>
        </w:tc>
      </w:tr>
      <w:tr w:rsidR="00A01923" w:rsidTr="00A01923">
        <w:tc>
          <w:tcPr>
            <w:tcW w:w="340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rPr>
                <w:rFonts w:ascii="Times New Roman" w:eastAsia="Times New Roman" w:hAnsi="Times New Roman"/>
                <w:sz w:val="28"/>
                <w:szCs w:val="28"/>
              </w:rPr>
            </w:pPr>
            <w:r>
              <w:rPr>
                <w:rFonts w:ascii="Times New Roman" w:hAnsi="Times New Roman"/>
                <w:sz w:val="28"/>
                <w:szCs w:val="28"/>
              </w:rPr>
              <w:t>Разом</w:t>
            </w:r>
          </w:p>
        </w:tc>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19</w:t>
            </w:r>
          </w:p>
        </w:tc>
        <w:tc>
          <w:tcPr>
            <w:tcW w:w="251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50"/>
              <w:jc w:val="center"/>
              <w:rPr>
                <w:rFonts w:ascii="Times New Roman" w:eastAsia="Times New Roman" w:hAnsi="Times New Roman"/>
                <w:sz w:val="28"/>
                <w:szCs w:val="28"/>
              </w:rPr>
            </w:pPr>
            <w:r>
              <w:rPr>
                <w:rFonts w:ascii="Times New Roman" w:hAnsi="Times New Roman"/>
                <w:sz w:val="28"/>
                <w:szCs w:val="28"/>
              </w:rPr>
              <w:t>17,14</w:t>
            </w:r>
          </w:p>
        </w:tc>
      </w:tr>
    </w:tbl>
    <w:p w:rsidR="00A01923" w:rsidRDefault="00A01923" w:rsidP="00A01923">
      <w:pPr>
        <w:tabs>
          <w:tab w:val="left" w:pos="5950"/>
        </w:tabs>
        <w:spacing w:after="0" w:line="360" w:lineRule="auto"/>
        <w:ind w:left="-567" w:right="141" w:firstLine="567"/>
        <w:jc w:val="both"/>
        <w:rPr>
          <w:rFonts w:ascii="Times New Roman" w:eastAsia="Times New Roman" w:hAnsi="Times New Roman"/>
          <w:sz w:val="28"/>
          <w:szCs w:val="28"/>
          <w:lang w:val="en-US"/>
        </w:rPr>
      </w:pPr>
    </w:p>
    <w:p w:rsidR="00A01923" w:rsidRDefault="00A01923" w:rsidP="00A01923">
      <w:pPr>
        <w:tabs>
          <w:tab w:val="left" w:pos="5950"/>
        </w:tabs>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Стегново-гомілкове шунтування (СГШ) у хворих з дистальною формою ураження є рідкісним видом втручання, оскільки, найчастіше, умов для такого втручання немає, у зв’язку з ураженням дистальних відділів артерій гомілки та артерій ступні, з неспроможністю шляхів відтоку та великою частотою післяопераційних тромбозів. Серед хворих, що прийняли участь у дослідженні, 5 (4,76%) хворим було виконано шунтуючі операції, серед яких було 2 (40%) – з ІІІ та 3 (60%) – з </w:t>
      </w:r>
      <w:r>
        <w:rPr>
          <w:rFonts w:ascii="Times New Roman" w:hAnsi="Times New Roman"/>
          <w:sz w:val="28"/>
          <w:szCs w:val="28"/>
          <w:lang w:val="en-US"/>
        </w:rPr>
        <w:t>IV</w:t>
      </w:r>
      <w:r>
        <w:rPr>
          <w:rFonts w:ascii="Times New Roman" w:hAnsi="Times New Roman"/>
          <w:sz w:val="28"/>
          <w:szCs w:val="28"/>
          <w:lang w:val="uk-UA"/>
        </w:rPr>
        <w:t xml:space="preserve"> ступенями ішемії. У цій групі було 2 (40%) хворих з післятромботичною оклюзією на тлі облітеруючого атеросклерозу, решта 3 (60%) – хворі з облітеруючим атеросклерозом. </w:t>
      </w:r>
      <w:r>
        <w:rPr>
          <w:rFonts w:ascii="Times New Roman" w:hAnsi="Times New Roman"/>
          <w:sz w:val="28"/>
          <w:szCs w:val="28"/>
        </w:rPr>
        <w:t>Жодному хворому не бул</w:t>
      </w:r>
      <w:r>
        <w:rPr>
          <w:rFonts w:ascii="Times New Roman" w:hAnsi="Times New Roman"/>
          <w:sz w:val="28"/>
          <w:szCs w:val="28"/>
          <w:lang w:val="uk-UA"/>
        </w:rPr>
        <w:t>а</w:t>
      </w:r>
      <w:r>
        <w:rPr>
          <w:rFonts w:ascii="Times New Roman" w:hAnsi="Times New Roman"/>
          <w:sz w:val="28"/>
          <w:szCs w:val="28"/>
        </w:rPr>
        <w:t xml:space="preserve"> виконан</w:t>
      </w:r>
      <w:r>
        <w:rPr>
          <w:rFonts w:ascii="Times New Roman" w:hAnsi="Times New Roman"/>
          <w:sz w:val="28"/>
          <w:szCs w:val="28"/>
          <w:lang w:val="uk-UA"/>
        </w:rPr>
        <w:t>а</w:t>
      </w:r>
      <w:r>
        <w:rPr>
          <w:rFonts w:ascii="Times New Roman" w:hAnsi="Times New Roman"/>
          <w:sz w:val="28"/>
          <w:szCs w:val="28"/>
        </w:rPr>
        <w:t xml:space="preserve"> ампутаці</w:t>
      </w:r>
      <w:r>
        <w:rPr>
          <w:rFonts w:ascii="Times New Roman" w:hAnsi="Times New Roman"/>
          <w:sz w:val="28"/>
          <w:szCs w:val="28"/>
          <w:lang w:val="uk-UA"/>
        </w:rPr>
        <w:t>я</w:t>
      </w:r>
      <w:r>
        <w:rPr>
          <w:rFonts w:ascii="Times New Roman" w:hAnsi="Times New Roman"/>
          <w:sz w:val="28"/>
          <w:szCs w:val="28"/>
        </w:rPr>
        <w:t xml:space="preserve"> </w:t>
      </w:r>
      <w:r w:rsidR="004A1376">
        <w:rPr>
          <w:rFonts w:ascii="Times New Roman" w:hAnsi="Times New Roman"/>
          <w:sz w:val="28"/>
          <w:szCs w:val="28"/>
          <w:lang w:val="uk-UA"/>
        </w:rPr>
        <w:t>протягом нагляду</w:t>
      </w:r>
      <w:r>
        <w:rPr>
          <w:rFonts w:ascii="Times New Roman" w:hAnsi="Times New Roman"/>
          <w:sz w:val="28"/>
          <w:szCs w:val="28"/>
        </w:rPr>
        <w:t>.</w:t>
      </w:r>
    </w:p>
    <w:p w:rsidR="00A01923" w:rsidRDefault="00A01923" w:rsidP="00A01923">
      <w:pPr>
        <w:spacing w:after="0" w:line="360" w:lineRule="auto"/>
        <w:ind w:left="-567" w:firstLine="567"/>
        <w:jc w:val="both"/>
        <w:rPr>
          <w:rFonts w:ascii="Times New Roman" w:hAnsi="Times New Roman"/>
          <w:i/>
          <w:sz w:val="28"/>
          <w:szCs w:val="28"/>
          <w:lang w:val="uk-UA"/>
        </w:rPr>
      </w:pPr>
      <w:r>
        <w:rPr>
          <w:rFonts w:ascii="Times New Roman" w:hAnsi="Times New Roman"/>
          <w:i/>
          <w:sz w:val="28"/>
          <w:szCs w:val="28"/>
          <w:lang w:val="uk-UA"/>
        </w:rPr>
        <w:t>Ефективність способу ілюструє такий приклад.</w:t>
      </w: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Хвора М., 58 років, була прийнята до хірургічного стаціонару зі скаргами на появу рани, що довго не загоюється на лівій ступні, біль, похолодання, терпкість пальців лівої стопи. Хворіє близько 3 місяців. Страждає на ЦД середньої тяжкості протягом десяти років.</w:t>
      </w:r>
      <w:r>
        <w:rPr>
          <w:rFonts w:ascii="Times New Roman" w:hAnsi="Times New Roman"/>
          <w:color w:val="FF0000"/>
          <w:sz w:val="28"/>
          <w:szCs w:val="28"/>
          <w:lang w:val="uk-UA"/>
        </w:rPr>
        <w:t xml:space="preserve"> </w:t>
      </w:r>
      <w:r>
        <w:rPr>
          <w:rFonts w:ascii="Times New Roman" w:hAnsi="Times New Roman"/>
          <w:sz w:val="28"/>
          <w:szCs w:val="28"/>
          <w:lang w:val="uk-UA"/>
        </w:rPr>
        <w:t xml:space="preserve">При обстеженні: дистальний рівень пульсації ліворуч – на загальній стегновій артерії, температура гомілки – 35,8°C, температура на 1 пальці ступні – 27,0°C, напруження кисню у тканинах ступні – 26 мм рт.ст., ДБХ – </w:t>
      </w:r>
      <w:r>
        <w:rPr>
          <w:rFonts w:ascii="Times New Roman" w:hAnsi="Times New Roman"/>
          <w:sz w:val="28"/>
          <w:szCs w:val="28"/>
          <w:lang w:val="uk-UA"/>
        </w:rPr>
        <w:lastRenderedPageBreak/>
        <w:t xml:space="preserve">30 м, рівень болю - 7 балів, ПФ – 38%, ФФ – 46% (знижений рівень якості життя). При ангіографічному дослідженні: оклюзія ПСА у нижній третині, оклюзія ПКА, ЗВГА, колатерально заповнюються ПВГА та МГА. Встановлений діагноз: облітеруючий атеросклероз артерій нижніх кінцівок, діабетична макроангіопатія, хронічна ішемія лівої нижньої кінцівки </w:t>
      </w:r>
      <w:r>
        <w:rPr>
          <w:rFonts w:ascii="Times New Roman" w:hAnsi="Times New Roman"/>
          <w:sz w:val="28"/>
          <w:szCs w:val="28"/>
          <w:lang w:val="en-US"/>
        </w:rPr>
        <w:t>IV</w:t>
      </w:r>
      <w:r>
        <w:rPr>
          <w:rFonts w:ascii="Times New Roman" w:hAnsi="Times New Roman"/>
          <w:sz w:val="28"/>
          <w:szCs w:val="28"/>
          <w:lang w:val="uk-UA"/>
        </w:rPr>
        <w:t xml:space="preserve"> ступеню. Трофічна виразка лівої ступні. Цукровий діабет ІІ тип, середньої тяжкості.</w:t>
      </w:r>
      <w:r>
        <w:rPr>
          <w:rFonts w:ascii="Times New Roman" w:hAnsi="Times New Roman"/>
          <w:color w:val="FF0000"/>
          <w:sz w:val="28"/>
          <w:szCs w:val="28"/>
          <w:lang w:val="uk-UA"/>
        </w:rPr>
        <w:t xml:space="preserve">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Хвора була прооперована, виконане: стегново-гомілкове шунтування аутовеною ліворуч.</w:t>
      </w:r>
      <w:r>
        <w:rPr>
          <w:rFonts w:ascii="Times New Roman" w:hAnsi="Times New Roman"/>
          <w:color w:val="FF0000"/>
          <w:sz w:val="28"/>
          <w:szCs w:val="28"/>
          <w:lang w:val="uk-UA"/>
        </w:rPr>
        <w:t xml:space="preserve"> </w:t>
      </w:r>
      <w:r>
        <w:rPr>
          <w:rFonts w:ascii="Times New Roman" w:hAnsi="Times New Roman"/>
          <w:sz w:val="28"/>
          <w:szCs w:val="28"/>
          <w:lang w:val="uk-UA"/>
        </w:rPr>
        <w:t>Післяопераційний період пройшов без ускладнень. За 1 добу до СГШ виконана стимуляція ангіогенезу за допомогою БаТП на лівій гомілці. Виписана в задовільному стані на 13 добу після операції. При виписці температура гомілки – 36,1°C, температура на 1 пальці ступні – 36,3°C, КПІ= 1,0, напруження кисню у тканинах ступні – 42 мм рт.ст., ДБХ – 50 м, рівень болю – 4 бали, ПФ –58%, ФФ – 62%. Через 2 місяці рана загоїлася. Оглянута через 6 та 12 місяців після операції.</w:t>
      </w:r>
      <w:r>
        <w:rPr>
          <w:rFonts w:ascii="Times New Roman" w:hAnsi="Times New Roman"/>
          <w:color w:val="FF0000"/>
          <w:sz w:val="28"/>
          <w:szCs w:val="28"/>
          <w:lang w:val="uk-UA"/>
        </w:rPr>
        <w:t xml:space="preserve"> </w:t>
      </w:r>
      <w:r>
        <w:rPr>
          <w:rFonts w:ascii="Times New Roman" w:hAnsi="Times New Roman"/>
          <w:sz w:val="28"/>
          <w:szCs w:val="28"/>
          <w:lang w:val="uk-UA"/>
        </w:rPr>
        <w:t>За 6 міс. стан хворої задовільний, скарги на біль у лівій кінцівці при ході більше 400 м,</w:t>
      </w:r>
      <w:r>
        <w:rPr>
          <w:rFonts w:ascii="Times New Roman" w:hAnsi="Times New Roman"/>
          <w:color w:val="FF0000"/>
          <w:sz w:val="28"/>
          <w:szCs w:val="28"/>
          <w:lang w:val="uk-UA"/>
        </w:rPr>
        <w:t xml:space="preserve"> </w:t>
      </w:r>
      <w:r>
        <w:rPr>
          <w:rFonts w:ascii="Times New Roman" w:hAnsi="Times New Roman"/>
          <w:sz w:val="28"/>
          <w:szCs w:val="28"/>
          <w:lang w:val="uk-UA"/>
        </w:rPr>
        <w:t>температура гомілки – 35,4°C, температура на 1 пальці ступні – 32,9°C, ДБХ – 400 м, напруження кисню у тканинах ступні – 40 мм рт.ст., рівень болю – 0 балів, ПФ –62 %, ФФ – 64%. За 12 міс. стан хворої задовільний, скарг з боку оперованої кінцівки немає, ДБХ – 400 м, температура гомілки – 35,2°C, температура на 1 пальці ступні – 33,6°C, напруження кисню у тканинах ступні – 43 мм рт.ст., рівень болю – 0 балів, рівень якості життя – підвищений (ПФ –66%, ФФ –71%).</w:t>
      </w:r>
    </w:p>
    <w:p w:rsidR="00A01923" w:rsidRDefault="00A01923" w:rsidP="00A01923">
      <w:pPr>
        <w:tabs>
          <w:tab w:val="left" w:pos="5950"/>
        </w:tabs>
        <w:spacing w:after="0" w:line="360" w:lineRule="auto"/>
        <w:ind w:left="-567" w:right="141" w:firstLine="567"/>
        <w:jc w:val="both"/>
        <w:rPr>
          <w:rFonts w:ascii="Times New Roman" w:hAnsi="Times New Roman"/>
          <w:sz w:val="28"/>
          <w:szCs w:val="28"/>
        </w:rPr>
      </w:pPr>
      <w:r>
        <w:rPr>
          <w:rFonts w:ascii="Times New Roman" w:hAnsi="Times New Roman"/>
          <w:sz w:val="28"/>
          <w:szCs w:val="28"/>
        </w:rPr>
        <w:t>Відкрита ангіопластика виконан</w:t>
      </w:r>
      <w:r>
        <w:rPr>
          <w:rFonts w:ascii="Times New Roman" w:hAnsi="Times New Roman"/>
          <w:sz w:val="28"/>
          <w:szCs w:val="28"/>
          <w:lang w:val="uk-UA"/>
        </w:rPr>
        <w:t xml:space="preserve">а </w:t>
      </w:r>
      <w:r>
        <w:rPr>
          <w:rFonts w:ascii="Times New Roman" w:hAnsi="Times New Roman"/>
          <w:sz w:val="28"/>
          <w:szCs w:val="28"/>
        </w:rPr>
        <w:t xml:space="preserve">у 3 хворих, у 2 з яких етіологічним чинником ХКІНК була післятромботична оклюзія, та </w:t>
      </w:r>
      <w:r w:rsidRPr="00986357">
        <w:rPr>
          <w:rFonts w:ascii="Times New Roman" w:hAnsi="Times New Roman"/>
          <w:sz w:val="28"/>
          <w:szCs w:val="28"/>
        </w:rPr>
        <w:t xml:space="preserve">у 1 </w:t>
      </w:r>
      <w:r w:rsidRPr="00986357">
        <w:rPr>
          <w:rFonts w:ascii="Times New Roman" w:hAnsi="Times New Roman"/>
          <w:sz w:val="28"/>
          <w:szCs w:val="28"/>
          <w:lang w:val="uk-UA"/>
        </w:rPr>
        <w:t xml:space="preserve">– </w:t>
      </w:r>
      <w:r w:rsidRPr="00986357">
        <w:rPr>
          <w:rFonts w:ascii="Times New Roman" w:hAnsi="Times New Roman"/>
          <w:sz w:val="28"/>
          <w:szCs w:val="28"/>
        </w:rPr>
        <w:t>облітеруючий</w:t>
      </w:r>
      <w:r>
        <w:rPr>
          <w:rFonts w:ascii="Times New Roman" w:hAnsi="Times New Roman"/>
          <w:sz w:val="28"/>
          <w:szCs w:val="28"/>
        </w:rPr>
        <w:t xml:space="preserve"> атеросклероз. У 2 (66,6%) хворих цієї групи у післяопераційному періоді, у зв’язку з прогресуванням ішемії, бул</w:t>
      </w:r>
      <w:r>
        <w:rPr>
          <w:rFonts w:ascii="Times New Roman" w:hAnsi="Times New Roman"/>
          <w:sz w:val="28"/>
          <w:szCs w:val="28"/>
          <w:lang w:val="uk-UA"/>
        </w:rPr>
        <w:t>а</w:t>
      </w:r>
      <w:r>
        <w:rPr>
          <w:rFonts w:ascii="Times New Roman" w:hAnsi="Times New Roman"/>
          <w:sz w:val="28"/>
          <w:szCs w:val="28"/>
        </w:rPr>
        <w:t xml:space="preserve"> виконан</w:t>
      </w:r>
      <w:r>
        <w:rPr>
          <w:rFonts w:ascii="Times New Roman" w:hAnsi="Times New Roman"/>
          <w:sz w:val="28"/>
          <w:szCs w:val="28"/>
          <w:lang w:val="uk-UA"/>
        </w:rPr>
        <w:t xml:space="preserve">а </w:t>
      </w:r>
      <w:r>
        <w:rPr>
          <w:rFonts w:ascii="Times New Roman" w:hAnsi="Times New Roman"/>
          <w:sz w:val="28"/>
          <w:szCs w:val="28"/>
        </w:rPr>
        <w:t>висок</w:t>
      </w:r>
      <w:r>
        <w:rPr>
          <w:rFonts w:ascii="Times New Roman" w:hAnsi="Times New Roman"/>
          <w:sz w:val="28"/>
          <w:szCs w:val="28"/>
          <w:lang w:val="uk-UA"/>
        </w:rPr>
        <w:t>а</w:t>
      </w:r>
      <w:r>
        <w:rPr>
          <w:rFonts w:ascii="Times New Roman" w:hAnsi="Times New Roman"/>
          <w:sz w:val="28"/>
          <w:szCs w:val="28"/>
        </w:rPr>
        <w:t xml:space="preserve"> ампутаці</w:t>
      </w:r>
      <w:r>
        <w:rPr>
          <w:rFonts w:ascii="Times New Roman" w:hAnsi="Times New Roman"/>
          <w:sz w:val="28"/>
          <w:szCs w:val="28"/>
          <w:lang w:val="uk-UA"/>
        </w:rPr>
        <w:t>я на рівні гомілки та стегна</w:t>
      </w:r>
      <w:r>
        <w:rPr>
          <w:rFonts w:ascii="Times New Roman" w:hAnsi="Times New Roman"/>
          <w:sz w:val="28"/>
          <w:szCs w:val="28"/>
        </w:rPr>
        <w:t>, у 1 (33,3%) – низьк</w:t>
      </w:r>
      <w:r>
        <w:rPr>
          <w:rFonts w:ascii="Times New Roman" w:hAnsi="Times New Roman"/>
          <w:sz w:val="28"/>
          <w:szCs w:val="28"/>
          <w:lang w:val="uk-UA"/>
        </w:rPr>
        <w:t>а ампутаціа на рівні ступні</w:t>
      </w:r>
      <w:r>
        <w:rPr>
          <w:rFonts w:ascii="Times New Roman" w:hAnsi="Times New Roman"/>
          <w:sz w:val="28"/>
          <w:szCs w:val="28"/>
        </w:rPr>
        <w:t xml:space="preserve">.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rPr>
        <w:t>Хворим, яким неможливо було виконати ту чи іншу реваскуляризацію</w:t>
      </w:r>
      <w:r>
        <w:rPr>
          <w:rFonts w:ascii="Times New Roman" w:hAnsi="Times New Roman"/>
          <w:sz w:val="28"/>
          <w:szCs w:val="28"/>
          <w:lang w:val="uk-UA"/>
        </w:rPr>
        <w:t xml:space="preserve"> у </w:t>
      </w:r>
      <w:r>
        <w:rPr>
          <w:rFonts w:ascii="Times New Roman" w:hAnsi="Times New Roman"/>
          <w:sz w:val="28"/>
          <w:szCs w:val="28"/>
        </w:rPr>
        <w:t>зв’язку</w:t>
      </w:r>
      <w:r>
        <w:rPr>
          <w:rFonts w:ascii="Times New Roman" w:hAnsi="Times New Roman"/>
          <w:sz w:val="28"/>
          <w:szCs w:val="28"/>
          <w:lang w:val="uk-UA"/>
        </w:rPr>
        <w:t xml:space="preserve"> з відсутністю умов для прямої реваскуляризації та негативну пробу з новокаїном (для виконання симпатектомії)</w:t>
      </w:r>
      <w:r>
        <w:rPr>
          <w:rFonts w:ascii="Times New Roman" w:hAnsi="Times New Roman"/>
          <w:sz w:val="28"/>
          <w:szCs w:val="28"/>
        </w:rPr>
        <w:t xml:space="preserve">, було проведено консервативне </w:t>
      </w:r>
      <w:r>
        <w:rPr>
          <w:rFonts w:ascii="Times New Roman" w:hAnsi="Times New Roman"/>
          <w:sz w:val="28"/>
          <w:szCs w:val="28"/>
        </w:rPr>
        <w:lastRenderedPageBreak/>
        <w:t>лікування – 50 (47,6%)</w:t>
      </w:r>
      <w:r>
        <w:rPr>
          <w:rFonts w:ascii="Times New Roman" w:hAnsi="Times New Roman"/>
          <w:color w:val="FF0000"/>
          <w:sz w:val="28"/>
          <w:szCs w:val="28"/>
          <w:lang w:val="uk-UA"/>
        </w:rPr>
        <w:t xml:space="preserve">, </w:t>
      </w:r>
      <w:r>
        <w:rPr>
          <w:rFonts w:ascii="Times New Roman" w:hAnsi="Times New Roman"/>
          <w:sz w:val="28"/>
          <w:szCs w:val="28"/>
          <w:lang w:val="uk-UA"/>
        </w:rPr>
        <w:t>з них 24 (22,8%) хворим основої  групи було виконано стимуляцію неоангіогенезу за допомогою БаТП.</w:t>
      </w:r>
    </w:p>
    <w:p w:rsidR="00A01923" w:rsidRDefault="00A01923" w:rsidP="00A01923">
      <w:pPr>
        <w:spacing w:after="0" w:line="360" w:lineRule="auto"/>
        <w:ind w:left="-567" w:right="142" w:firstLine="567"/>
        <w:jc w:val="both"/>
        <w:rPr>
          <w:rFonts w:ascii="Times New Roman" w:hAnsi="Times New Roman"/>
          <w:i/>
          <w:sz w:val="28"/>
          <w:szCs w:val="28"/>
          <w:lang w:val="uk-UA"/>
        </w:rPr>
      </w:pPr>
      <w:r>
        <w:rPr>
          <w:rFonts w:ascii="Times New Roman" w:hAnsi="Times New Roman"/>
          <w:i/>
          <w:sz w:val="28"/>
          <w:szCs w:val="28"/>
          <w:lang w:val="uk-UA"/>
        </w:rPr>
        <w:t>Ефективність способу ілюструє такий приклад.</w:t>
      </w:r>
    </w:p>
    <w:p w:rsidR="00A01923" w:rsidRDefault="00A01923" w:rsidP="00A01923">
      <w:pPr>
        <w:spacing w:after="0" w:line="360" w:lineRule="auto"/>
        <w:ind w:left="-567" w:right="142" w:firstLine="567"/>
        <w:jc w:val="both"/>
        <w:rPr>
          <w:rFonts w:ascii="Times New Roman" w:hAnsi="Times New Roman"/>
          <w:sz w:val="28"/>
          <w:szCs w:val="28"/>
          <w:lang w:val="uk-UA"/>
        </w:rPr>
      </w:pPr>
      <w:r>
        <w:rPr>
          <w:rFonts w:ascii="Times New Roman" w:hAnsi="Times New Roman"/>
          <w:sz w:val="28"/>
          <w:szCs w:val="28"/>
          <w:lang w:val="uk-UA"/>
        </w:rPr>
        <w:t>Хвора К., 64 років, надійшла до хірургічного відділення зі скаргами на біль у правій нижній кінцівці при ході біля 40 м, періодичний біль у спокої, похолодання та терпкість пальців правої стопи. Хворіє протягом 1 місяця. При обстеженні: дистальний рівень пульсації праворуч – на загальній стегновій артерії, температура гомілки – 34,3°C, температура на 1 пальці ступні – 30,4°C, напруження кисню у тканинах ступні – 32 мм рт.ст., ДБХ – 30 м, рівень болю – 4 бали</w:t>
      </w:r>
      <w:r>
        <w:rPr>
          <w:rFonts w:ascii="Times New Roman" w:hAnsi="Times New Roman"/>
          <w:color w:val="FF0000"/>
          <w:sz w:val="28"/>
          <w:szCs w:val="28"/>
          <w:lang w:val="uk-UA"/>
        </w:rPr>
        <w:t xml:space="preserve">, </w:t>
      </w:r>
      <w:r>
        <w:rPr>
          <w:rFonts w:ascii="Times New Roman" w:hAnsi="Times New Roman"/>
          <w:sz w:val="28"/>
          <w:szCs w:val="28"/>
          <w:lang w:val="uk-UA"/>
        </w:rPr>
        <w:t xml:space="preserve">ПФ – 38%, ФФ – 46% (знижений рівень якості життя). При ангіографічному дослідженні: оклюзія правої ПСА у нижній третині, ПКА, ПВГА, ЗВГА, колатерально заповнюється МГА у верхній, середній та нижній третині та плантарна дуга. ВстановленИЙо діагноз: облітеруючий атеросклероз артерій нижніх кінцівок, післятромботична оклюзія артерій правої гомілки, хронічна ішемія правої нижньої кінцівки </w:t>
      </w:r>
      <w:r>
        <w:rPr>
          <w:rFonts w:ascii="Times New Roman" w:hAnsi="Times New Roman"/>
          <w:sz w:val="28"/>
          <w:szCs w:val="28"/>
          <w:lang w:val="en-US"/>
        </w:rPr>
        <w:t>I</w:t>
      </w:r>
      <w:r>
        <w:rPr>
          <w:rFonts w:ascii="Times New Roman" w:hAnsi="Times New Roman"/>
          <w:sz w:val="28"/>
          <w:szCs w:val="28"/>
          <w:lang w:val="uk-UA"/>
        </w:rPr>
        <w:t xml:space="preserve">ІІ ступеню.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 xml:space="preserve">Хвора була оперована на 2 добу. Виконана ревізія правої ПКА, ПСА, артерій гомілки – умов для реваскуляризації немає. На 3 добу після оперативного втручання виконано стимуляцію неоангіогенезу за допомогою багатої тромбоцитами аутоплазми на правій гомілці. Хвора отримувала комплексну медикаментозну терапію. Виписана в задовільному стані на 15 добу, при виписці температура гомілки – 34,7°C, температура на 1 пальці ступні – 31,3°C, напруження кисню у тканинах ступні – 42 мм рт.ст., ДБХ – 70м, рівень болю – 3 бали, ПФ – 48%, ФФ – 46%. При виписці дані рекомендації щодо фізичних навантажень, медикаментозного лікування. Оглянута через 6 та 12 місяців після лікування. За 6 міс. стан хворї задовільний, скарги на помірний біль у правій гомілці при ході біля 500 м, займається ходьбою, проходить до 2 км за прогулянку, температура гомілки – 34,5°C, температура на 1 пальці ступні – 31,8°C, напруження кисню у тканинах ступні – 43 мм рт.ст., рівень болю – 1 бал, ПФ – 52 %,  ФФ – 53%. За 12 міс. стан хворої задовільний, скарг з боку пролікованої кінцівки немає, проходить повільно до 800 м без болю, температура </w:t>
      </w:r>
      <w:r>
        <w:rPr>
          <w:rFonts w:ascii="Times New Roman" w:hAnsi="Times New Roman"/>
          <w:sz w:val="28"/>
          <w:szCs w:val="28"/>
          <w:lang w:val="uk-UA"/>
        </w:rPr>
        <w:lastRenderedPageBreak/>
        <w:t>гомілки – 35,6°C, температура на 1 пальці ступні – 33,8°C, напруження кисню у тканинах ступні – 42 мм рт.ст., рівень болю – 1 бал, рівень якості життя – підвищений (ПФ – 61%, ФФ – 64%).</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Форми виразково-некротичних уражень у аналізованих хворих представлено у таблиці 5.4.</w:t>
      </w:r>
    </w:p>
    <w:p w:rsidR="00A01923" w:rsidRDefault="00A01923" w:rsidP="00A01923">
      <w:pPr>
        <w:tabs>
          <w:tab w:val="left" w:pos="5950"/>
        </w:tabs>
        <w:spacing w:after="0" w:line="360" w:lineRule="auto"/>
        <w:ind w:left="-567" w:right="141" w:firstLine="567"/>
        <w:jc w:val="right"/>
        <w:rPr>
          <w:rFonts w:ascii="Times New Roman" w:hAnsi="Times New Roman"/>
          <w:i/>
          <w:sz w:val="28"/>
          <w:szCs w:val="28"/>
          <w:lang w:val="uk-UA"/>
        </w:rPr>
      </w:pPr>
      <w:r>
        <w:rPr>
          <w:rFonts w:ascii="Times New Roman" w:hAnsi="Times New Roman"/>
          <w:i/>
          <w:sz w:val="28"/>
          <w:szCs w:val="28"/>
          <w:lang w:val="uk-UA"/>
        </w:rPr>
        <w:t>Таблиця 5.4</w:t>
      </w:r>
    </w:p>
    <w:p w:rsidR="00A01923" w:rsidRDefault="00A01923" w:rsidP="00A01923">
      <w:pPr>
        <w:tabs>
          <w:tab w:val="left" w:pos="5950"/>
        </w:tabs>
        <w:spacing w:after="0" w:line="360" w:lineRule="auto"/>
        <w:ind w:left="-567" w:right="141" w:firstLine="567"/>
        <w:jc w:val="center"/>
        <w:rPr>
          <w:rFonts w:ascii="Times New Roman" w:hAnsi="Times New Roman"/>
          <w:b/>
          <w:sz w:val="28"/>
          <w:szCs w:val="28"/>
          <w:lang w:val="uk-UA"/>
        </w:rPr>
      </w:pPr>
      <w:r>
        <w:rPr>
          <w:rFonts w:ascii="Times New Roman" w:hAnsi="Times New Roman"/>
          <w:b/>
          <w:sz w:val="28"/>
          <w:szCs w:val="28"/>
          <w:lang w:val="uk-UA"/>
        </w:rPr>
        <w:t>Форми виразково-некротичних уражень у аналізованих хворих</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61"/>
        <w:gridCol w:w="709"/>
        <w:gridCol w:w="709"/>
        <w:gridCol w:w="992"/>
        <w:gridCol w:w="992"/>
        <w:gridCol w:w="709"/>
        <w:gridCol w:w="567"/>
        <w:gridCol w:w="927"/>
        <w:gridCol w:w="1023"/>
      </w:tblGrid>
      <w:tr w:rsidR="00A01923" w:rsidTr="00A01923">
        <w:trPr>
          <w:trHeight w:val="802"/>
        </w:trPr>
        <w:tc>
          <w:tcPr>
            <w:tcW w:w="3261" w:type="dxa"/>
            <w:vMerge w:val="restart"/>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Характер змін</w:t>
            </w:r>
          </w:p>
        </w:tc>
        <w:tc>
          <w:tcPr>
            <w:tcW w:w="3402" w:type="dxa"/>
            <w:gridSpan w:val="4"/>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Основна група</w:t>
            </w:r>
          </w:p>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lang w:val="en-US"/>
              </w:rPr>
              <w:t>55)</w:t>
            </w:r>
          </w:p>
        </w:tc>
        <w:tc>
          <w:tcPr>
            <w:tcW w:w="3226" w:type="dxa"/>
            <w:gridSpan w:val="4"/>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Група порівняння</w:t>
            </w:r>
          </w:p>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sym w:font="Symbol" w:char="003D"/>
            </w:r>
            <w:r>
              <w:rPr>
                <w:rFonts w:ascii="Times New Roman" w:hAnsi="Times New Roman"/>
                <w:sz w:val="28"/>
                <w:szCs w:val="28"/>
              </w:rPr>
              <w:t>50)</w:t>
            </w:r>
          </w:p>
        </w:tc>
      </w:tr>
      <w:tr w:rsidR="00A01923" w:rsidTr="00A01923">
        <w:trPr>
          <w:cantSplit/>
          <w:trHeight w:val="2778"/>
        </w:trPr>
        <w:tc>
          <w:tcPr>
            <w:tcW w:w="3261"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rPr>
            </w:pP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lang w:val="en-US"/>
              </w:rPr>
            </w:pPr>
            <w:r>
              <w:rPr>
                <w:rFonts w:ascii="Times New Roman" w:hAnsi="Times New Roman"/>
                <w:sz w:val="28"/>
                <w:szCs w:val="28"/>
              </w:rPr>
              <w:t xml:space="preserve">ЧБА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lang w:val="en-US"/>
              </w:rPr>
            </w:pPr>
            <w:r>
              <w:rPr>
                <w:rFonts w:ascii="Times New Roman" w:hAnsi="Times New Roman"/>
                <w:sz w:val="28"/>
                <w:szCs w:val="28"/>
              </w:rPr>
              <w:t>Відкрите втручання</w:t>
            </w:r>
            <w:r>
              <w:rPr>
                <w:rFonts w:ascii="Times New Roman" w:hAnsi="Times New Roman"/>
                <w:sz w:val="28"/>
                <w:szCs w:val="28"/>
                <w:lang w:val="en-US"/>
              </w:rPr>
              <w:t xml:space="preserve"> </w:t>
            </w:r>
          </w:p>
        </w:tc>
        <w:tc>
          <w:tcPr>
            <w:tcW w:w="992"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lang w:val="en-US"/>
              </w:rPr>
            </w:pPr>
            <w:r>
              <w:rPr>
                <w:rFonts w:ascii="Times New Roman" w:hAnsi="Times New Roman"/>
                <w:sz w:val="28"/>
                <w:szCs w:val="28"/>
              </w:rPr>
              <w:t>Консервативна терапія</w:t>
            </w:r>
            <w:r>
              <w:rPr>
                <w:rFonts w:ascii="Times New Roman" w:hAnsi="Times New Roman"/>
                <w:sz w:val="28"/>
                <w:szCs w:val="28"/>
                <w:lang w:val="en-US"/>
              </w:rPr>
              <w:t xml:space="preserve"> </w:t>
            </w:r>
          </w:p>
        </w:tc>
        <w:tc>
          <w:tcPr>
            <w:tcW w:w="992"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lang w:val="en-US"/>
              </w:rPr>
            </w:pPr>
            <w:r>
              <w:rPr>
                <w:rFonts w:ascii="Times New Roman" w:hAnsi="Times New Roman"/>
                <w:sz w:val="28"/>
                <w:szCs w:val="28"/>
              </w:rPr>
              <w:t>Хімічна поперекова  </w:t>
            </w:r>
            <w:r>
              <w:rPr>
                <w:rFonts w:ascii="Times New Roman" w:hAnsi="Times New Roman"/>
                <w:sz w:val="28"/>
                <w:szCs w:val="28"/>
                <w:lang w:val="en-US"/>
              </w:rPr>
              <w:t xml:space="preserve">   </w:t>
            </w:r>
            <w:r>
              <w:rPr>
                <w:rFonts w:ascii="Times New Roman" w:hAnsi="Times New Roman"/>
                <w:sz w:val="28"/>
                <w:szCs w:val="28"/>
              </w:rPr>
              <w:t>симпатектомія</w:t>
            </w:r>
            <w:r>
              <w:rPr>
                <w:rFonts w:ascii="Times New Roman" w:hAnsi="Times New Roman"/>
                <w:sz w:val="28"/>
                <w:szCs w:val="28"/>
                <w:lang w:val="en-US"/>
              </w:rPr>
              <w:t xml:space="preserve">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lang w:val="en-US"/>
              </w:rPr>
            </w:pPr>
            <w:r>
              <w:rPr>
                <w:rFonts w:ascii="Times New Roman" w:hAnsi="Times New Roman"/>
                <w:sz w:val="28"/>
                <w:szCs w:val="28"/>
              </w:rPr>
              <w:t>ЧБА</w:t>
            </w:r>
          </w:p>
        </w:tc>
        <w:tc>
          <w:tcPr>
            <w:tcW w:w="567"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rPr>
            </w:pPr>
            <w:r>
              <w:rPr>
                <w:rFonts w:ascii="Times New Roman" w:hAnsi="Times New Roman"/>
                <w:sz w:val="28"/>
                <w:szCs w:val="28"/>
              </w:rPr>
              <w:t>Відкрите втручання</w:t>
            </w:r>
          </w:p>
        </w:tc>
        <w:tc>
          <w:tcPr>
            <w:tcW w:w="927"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rPr>
            </w:pPr>
            <w:r>
              <w:rPr>
                <w:rFonts w:ascii="Times New Roman" w:hAnsi="Times New Roman"/>
                <w:sz w:val="28"/>
                <w:szCs w:val="28"/>
              </w:rPr>
              <w:t>Консервативна терапія</w:t>
            </w:r>
          </w:p>
        </w:tc>
        <w:tc>
          <w:tcPr>
            <w:tcW w:w="1023" w:type="dxa"/>
            <w:tcBorders>
              <w:top w:val="single" w:sz="4" w:space="0" w:color="000000"/>
              <w:left w:val="single" w:sz="4" w:space="0" w:color="000000"/>
              <w:bottom w:val="single" w:sz="4" w:space="0" w:color="000000"/>
              <w:right w:val="single" w:sz="4" w:space="0" w:color="000000"/>
            </w:tcBorders>
            <w:textDirection w:val="btLr"/>
            <w:hideMark/>
          </w:tcPr>
          <w:p w:rsidR="00A01923" w:rsidRDefault="00A01923">
            <w:pPr>
              <w:tabs>
                <w:tab w:val="left" w:pos="5950"/>
              </w:tabs>
              <w:spacing w:after="0"/>
              <w:ind w:left="113" w:right="141"/>
              <w:jc w:val="center"/>
              <w:rPr>
                <w:rFonts w:ascii="Times New Roman" w:eastAsia="Times New Roman" w:hAnsi="Times New Roman"/>
                <w:sz w:val="28"/>
                <w:szCs w:val="28"/>
              </w:rPr>
            </w:pPr>
            <w:r>
              <w:rPr>
                <w:rFonts w:ascii="Times New Roman" w:hAnsi="Times New Roman"/>
                <w:sz w:val="28"/>
                <w:szCs w:val="28"/>
              </w:rPr>
              <w:t>Відкрита поперекова симпатектомія</w:t>
            </w:r>
          </w:p>
        </w:tc>
      </w:tr>
      <w:tr w:rsidR="00A01923" w:rsidTr="00A01923">
        <w:trPr>
          <w:cantSplit/>
          <w:trHeight w:val="417"/>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 xml:space="preserve">Кількість хворих, </w:t>
            </w:r>
            <w:r>
              <w:rPr>
                <w:rFonts w:ascii="Times New Roman" w:hAnsi="Times New Roman"/>
                <w:sz w:val="28"/>
                <w:szCs w:val="28"/>
                <w:lang w:val="en-US"/>
              </w:rPr>
              <w:t>n</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23</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4</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24</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4</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11</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lang w:val="en-US"/>
              </w:rPr>
              <w:t>6</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en-US"/>
              </w:rPr>
              <w:t>26</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en-US"/>
              </w:rPr>
              <w:t>7</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Трофічна виразка</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uk-UA"/>
              </w:rPr>
              <w:t>3</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uk-UA"/>
              </w:rPr>
              <w:t>2</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uk-UA"/>
              </w:rPr>
              <w:t>5</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t>3</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3</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Виразково-некротична рана з поширенням процесу на глибокі анатомічні структури</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uk-UA"/>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uk-UA"/>
              </w:rPr>
            </w:pPr>
            <w:r>
              <w:rPr>
                <w:rFonts w:ascii="Times New Roman" w:hAnsi="Times New Roman"/>
                <w:sz w:val="28"/>
                <w:szCs w:val="28"/>
                <w:lang w:val="uk-UA"/>
              </w:rPr>
              <w:t>1</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Суха гангрена пальців стопи</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5</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Волога гангрена пальців стопи</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6</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4</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3</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r>
      <w:tr w:rsidR="00A01923" w:rsidTr="00A01923">
        <w:trPr>
          <w:trHeight w:val="783"/>
        </w:trPr>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Суха гангрена дистальної частини стопи</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3</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2</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rPr>
                <w:rFonts w:ascii="Times New Roman" w:eastAsia="Times New Roman" w:hAnsi="Times New Roman"/>
                <w:sz w:val="28"/>
                <w:szCs w:val="28"/>
              </w:rPr>
            </w:pPr>
            <w:r>
              <w:rPr>
                <w:rFonts w:ascii="Times New Roman" w:hAnsi="Times New Roman"/>
                <w:sz w:val="28"/>
                <w:szCs w:val="28"/>
              </w:rPr>
              <w:t>Волога гангрена дистальної частини стопи</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1</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rPr>
            </w:pPr>
            <w:r>
              <w:rPr>
                <w:rFonts w:ascii="Times New Roman" w:hAnsi="Times New Roman"/>
                <w:sz w:val="28"/>
                <w:szCs w:val="28"/>
              </w:rPr>
              <w:sym w:font="Symbol" w:char="0063"/>
            </w:r>
            <w:r>
              <w:rPr>
                <w:rFonts w:ascii="Times New Roman" w:hAnsi="Times New Roman"/>
                <w:sz w:val="28"/>
                <w:szCs w:val="28"/>
              </w:rPr>
              <w:t>2</w:t>
            </w:r>
          </w:p>
        </w:tc>
        <w:tc>
          <w:tcPr>
            <w:tcW w:w="6628" w:type="dxa"/>
            <w:gridSpan w:val="8"/>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32,040</w:t>
            </w:r>
          </w:p>
        </w:tc>
      </w:tr>
      <w:tr w:rsidR="00A01923" w:rsidTr="00A01923">
        <w:tc>
          <w:tcPr>
            <w:tcW w:w="326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lang w:val="en-US"/>
              </w:rPr>
              <w:t>p</w:t>
            </w:r>
          </w:p>
        </w:tc>
        <w:tc>
          <w:tcPr>
            <w:tcW w:w="6628" w:type="dxa"/>
            <w:gridSpan w:val="8"/>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ind w:right="141"/>
              <w:jc w:val="center"/>
              <w:rPr>
                <w:rFonts w:ascii="Times New Roman" w:eastAsia="Times New Roman" w:hAnsi="Times New Roman"/>
                <w:sz w:val="28"/>
                <w:szCs w:val="28"/>
                <w:lang w:val="en-US"/>
              </w:rPr>
            </w:pPr>
            <w:r>
              <w:rPr>
                <w:rFonts w:ascii="Times New Roman" w:hAnsi="Times New Roman"/>
                <w:sz w:val="28"/>
                <w:szCs w:val="28"/>
              </w:rPr>
              <w:t>0,0</w:t>
            </w:r>
            <w:r>
              <w:rPr>
                <w:rFonts w:ascii="Times New Roman" w:hAnsi="Times New Roman"/>
                <w:sz w:val="28"/>
                <w:szCs w:val="28"/>
                <w:lang w:val="en-US"/>
              </w:rPr>
              <w:t>00</w:t>
            </w:r>
          </w:p>
        </w:tc>
      </w:tr>
    </w:tbl>
    <w:p w:rsidR="00A01923" w:rsidRDefault="00A01923" w:rsidP="00A01923">
      <w:pPr>
        <w:tabs>
          <w:tab w:val="left" w:pos="5950"/>
        </w:tabs>
        <w:spacing w:after="0" w:line="360" w:lineRule="auto"/>
        <w:ind w:left="-567" w:right="141" w:firstLine="567"/>
        <w:jc w:val="both"/>
        <w:rPr>
          <w:rFonts w:ascii="Times New Roman" w:eastAsia="Times New Roman" w:hAnsi="Times New Roman"/>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lastRenderedPageBreak/>
        <w:t>Як випливає з наведених даних, у 16 (15,2%) хворих були поверхневі виразкові ураження дистальних відділів нижніх кінцівок, у 15 (14,3%) – суха гангрена пальців стопи, у 19 (18,1%) – волога гангрена пальців стопи, у 13 (12,4%) – глибокі виразково-некротичні ураження та розповсюдження їх на стопу, з яких всі припали на стан шляхів відтоку, оціненими за Rutherford, більше 7,5 балів - незадовільний (</w:t>
      </w:r>
      <w:r>
        <w:rPr>
          <w:rFonts w:ascii="Times New Roman" w:hAnsi="Times New Roman"/>
          <w:sz w:val="28"/>
          <w:szCs w:val="28"/>
          <w:lang w:val="uk-UA"/>
        </w:rPr>
        <w:sym w:font="Symbol" w:char="0063"/>
      </w:r>
      <w:r>
        <w:rPr>
          <w:rFonts w:ascii="Times New Roman" w:hAnsi="Times New Roman"/>
          <w:sz w:val="28"/>
          <w:szCs w:val="28"/>
          <w:lang w:val="uk-UA"/>
        </w:rPr>
        <w:t>2</w:t>
      </w:r>
      <w:r>
        <w:rPr>
          <w:rFonts w:ascii="Times New Roman" w:hAnsi="Times New Roman"/>
          <w:sz w:val="28"/>
          <w:szCs w:val="28"/>
          <w:lang w:val="uk-UA"/>
        </w:rPr>
        <w:sym w:font="Symbol" w:char="003D"/>
      </w:r>
      <w:r>
        <w:rPr>
          <w:rFonts w:ascii="Times New Roman" w:hAnsi="Times New Roman"/>
          <w:sz w:val="28"/>
          <w:szCs w:val="28"/>
          <w:lang w:val="uk-UA"/>
        </w:rPr>
        <w:t xml:space="preserve">32,040, </w:t>
      </w:r>
      <w:r>
        <w:rPr>
          <w:rFonts w:ascii="Times New Roman" w:hAnsi="Times New Roman"/>
          <w:sz w:val="28"/>
          <w:szCs w:val="28"/>
          <w:lang w:val="en-US"/>
        </w:rPr>
        <w:t>p</w:t>
      </w:r>
      <w:r>
        <w:rPr>
          <w:rFonts w:ascii="Times New Roman" w:hAnsi="Times New Roman"/>
          <w:sz w:val="28"/>
          <w:szCs w:val="28"/>
          <w:lang w:val="uk-UA"/>
        </w:rPr>
        <w:sym w:font="Symbol" w:char="003D"/>
      </w:r>
      <w:r>
        <w:rPr>
          <w:rFonts w:ascii="Times New Roman" w:hAnsi="Times New Roman"/>
          <w:sz w:val="28"/>
          <w:szCs w:val="28"/>
          <w:lang w:val="uk-UA"/>
        </w:rPr>
        <w:t xml:space="preserve">0,000).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 xml:space="preserve">Залежно від форми виразково-некротичного ураження, хворим у різні строки було виконано некроектомію, ампутацію на різному рівні, або проводилося консервативне лікування трофічних виразок. Структура ампутацій при некротичних змінах кінцівок представлена нижче. </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Всім 63 (60%) хворим з виразково-некротичними ураженнями проведені бактеріологічні дослідження гнійних ран при надходженні у стаціонар, які показали, що склад мікрофлори представлений декількома видами мікробних штамів. Дані про характер та частоту виявлення різних мікроорганізмів наведені в таблиці 5.5.</w:t>
      </w:r>
    </w:p>
    <w:p w:rsidR="00A01923" w:rsidRDefault="00A01923" w:rsidP="00A01923">
      <w:pPr>
        <w:tabs>
          <w:tab w:val="left" w:pos="5950"/>
        </w:tabs>
        <w:spacing w:after="0" w:line="360" w:lineRule="auto"/>
        <w:ind w:left="-567" w:right="141" w:firstLine="567"/>
        <w:jc w:val="right"/>
        <w:rPr>
          <w:rFonts w:ascii="Times New Roman" w:hAnsi="Times New Roman"/>
          <w:i/>
          <w:sz w:val="28"/>
          <w:szCs w:val="28"/>
          <w:lang w:val="uk-UA"/>
        </w:rPr>
      </w:pPr>
      <w:r>
        <w:rPr>
          <w:rFonts w:ascii="Times New Roman" w:hAnsi="Times New Roman"/>
          <w:i/>
          <w:sz w:val="28"/>
          <w:szCs w:val="28"/>
          <w:lang w:val="uk-UA"/>
        </w:rPr>
        <w:t>Таблиця 5.5</w:t>
      </w:r>
    </w:p>
    <w:p w:rsidR="00A01923" w:rsidRDefault="00A01923" w:rsidP="00A01923">
      <w:pPr>
        <w:tabs>
          <w:tab w:val="left" w:pos="5950"/>
        </w:tabs>
        <w:spacing w:after="0" w:line="360" w:lineRule="auto"/>
        <w:ind w:left="-567" w:right="141" w:firstLine="567"/>
        <w:jc w:val="center"/>
        <w:rPr>
          <w:rFonts w:ascii="Times New Roman" w:hAnsi="Times New Roman"/>
          <w:b/>
          <w:sz w:val="28"/>
          <w:szCs w:val="28"/>
          <w:lang w:val="uk-UA"/>
        </w:rPr>
      </w:pPr>
      <w:r>
        <w:rPr>
          <w:rFonts w:ascii="Times New Roman" w:hAnsi="Times New Roman"/>
          <w:b/>
          <w:sz w:val="28"/>
          <w:szCs w:val="28"/>
          <w:lang w:val="uk-UA"/>
        </w:rPr>
        <w:t>Характер і частота виявлених мікроорганізмів у аналізованих хворих</w:t>
      </w: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11"/>
        <w:gridCol w:w="2835"/>
        <w:gridCol w:w="2835"/>
      </w:tblGrid>
      <w:tr w:rsidR="00A01923" w:rsidTr="00A01923">
        <w:tc>
          <w:tcPr>
            <w:tcW w:w="411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Характер мікроорганізмів</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lang w:val="en-US"/>
              </w:rPr>
            </w:pPr>
            <w:r>
              <w:rPr>
                <w:rFonts w:ascii="Times New Roman" w:hAnsi="Times New Roman"/>
                <w:sz w:val="28"/>
                <w:szCs w:val="28"/>
              </w:rPr>
              <w:t>Основна група (</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lang w:val="en-US"/>
              </w:rPr>
              <w:t>27)</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Група порівняння</w:t>
            </w:r>
          </w:p>
          <w:p w:rsidR="00A01923" w:rsidRDefault="00A01923">
            <w:pPr>
              <w:tabs>
                <w:tab w:val="left" w:pos="5950"/>
              </w:tabs>
              <w:spacing w:after="0" w:line="360" w:lineRule="auto"/>
              <w:ind w:right="141"/>
              <w:jc w:val="center"/>
              <w:rPr>
                <w:rFonts w:ascii="Times New Roman" w:eastAsia="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lang w:val="en-US"/>
              </w:rPr>
              <w:t>35)</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S</w:t>
            </w:r>
            <w:r>
              <w:rPr>
                <w:rFonts w:ascii="Times New Roman" w:hAnsi="Times New Roman"/>
                <w:sz w:val="28"/>
                <w:szCs w:val="28"/>
              </w:rPr>
              <w:t xml:space="preserve">. </w:t>
            </w:r>
            <w:r>
              <w:rPr>
                <w:rFonts w:ascii="Times New Roman" w:hAnsi="Times New Roman"/>
                <w:sz w:val="28"/>
                <w:szCs w:val="28"/>
                <w:lang w:val="en-US"/>
              </w:rPr>
              <w:t>aureus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9 (33,3%)</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10 (28,6%)</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Ps</w:t>
            </w:r>
            <w:r>
              <w:rPr>
                <w:rFonts w:ascii="Times New Roman" w:hAnsi="Times New Roman"/>
                <w:sz w:val="28"/>
                <w:szCs w:val="28"/>
              </w:rPr>
              <w:t xml:space="preserve">. </w:t>
            </w:r>
            <w:r>
              <w:rPr>
                <w:rFonts w:ascii="Times New Roman" w:hAnsi="Times New Roman"/>
                <w:sz w:val="28"/>
                <w:szCs w:val="28"/>
                <w:lang w:val="en-US"/>
              </w:rPr>
              <w:t>aeruginosa</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7 (25,9%)</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6 (17,1%)</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S</w:t>
            </w:r>
            <w:r>
              <w:rPr>
                <w:rFonts w:ascii="Times New Roman" w:hAnsi="Times New Roman"/>
                <w:sz w:val="28"/>
                <w:szCs w:val="28"/>
              </w:rPr>
              <w:t xml:space="preserve">. </w:t>
            </w:r>
            <w:r>
              <w:rPr>
                <w:rFonts w:ascii="Times New Roman" w:hAnsi="Times New Roman"/>
                <w:sz w:val="28"/>
                <w:szCs w:val="28"/>
                <w:lang w:val="en-US"/>
              </w:rPr>
              <w:t>epidermidis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 (3,7%)</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4 (11,4%)</w:t>
            </w:r>
          </w:p>
        </w:tc>
      </w:tr>
      <w:tr w:rsidR="00A01923" w:rsidTr="00A01923">
        <w:trPr>
          <w:trHeight w:val="491"/>
        </w:trPr>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Ent</w:t>
            </w:r>
            <w:r>
              <w:rPr>
                <w:rFonts w:ascii="Times New Roman" w:hAnsi="Times New Roman"/>
                <w:sz w:val="28"/>
                <w:szCs w:val="28"/>
              </w:rPr>
              <w:t xml:space="preserve">. </w:t>
            </w:r>
            <w:r>
              <w:rPr>
                <w:rFonts w:ascii="Times New Roman" w:hAnsi="Times New Roman"/>
                <w:sz w:val="28"/>
                <w:szCs w:val="28"/>
                <w:lang w:val="en-US"/>
              </w:rPr>
              <w:t>earogenes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 (7,4%)</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 (5,7%)</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E.coli</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 (3,7%)</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 (5,7%)</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Strep</w:t>
            </w:r>
            <w:r>
              <w:rPr>
                <w:rFonts w:ascii="Times New Roman" w:hAnsi="Times New Roman"/>
                <w:sz w:val="28"/>
                <w:szCs w:val="28"/>
              </w:rPr>
              <w:t xml:space="preserve">. </w:t>
            </w:r>
            <w:r>
              <w:rPr>
                <w:rFonts w:ascii="Times New Roman" w:hAnsi="Times New Roman"/>
                <w:sz w:val="28"/>
                <w:szCs w:val="28"/>
                <w:lang w:val="en-US"/>
              </w:rPr>
              <w:t>haemolyticus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 (7,4%)</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4 (11,4%)</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lang w:val="en-US"/>
              </w:rPr>
            </w:pPr>
            <w:r>
              <w:rPr>
                <w:rFonts w:ascii="Times New Roman" w:hAnsi="Times New Roman"/>
                <w:sz w:val="28"/>
                <w:szCs w:val="28"/>
                <w:lang w:val="en-US"/>
              </w:rPr>
              <w:t>Candida sp.</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 (7,4%)</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 (8,6%)</w:t>
            </w:r>
          </w:p>
        </w:tc>
      </w:tr>
      <w:tr w:rsidR="00A01923" w:rsidTr="00A01923">
        <w:tc>
          <w:tcPr>
            <w:tcW w:w="411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both"/>
              <w:rPr>
                <w:rFonts w:ascii="Times New Roman" w:eastAsia="Times New Roman" w:hAnsi="Times New Roman"/>
                <w:sz w:val="28"/>
                <w:szCs w:val="28"/>
              </w:rPr>
            </w:pPr>
            <w:r>
              <w:rPr>
                <w:rFonts w:ascii="Times New Roman" w:hAnsi="Times New Roman"/>
                <w:sz w:val="28"/>
                <w:szCs w:val="28"/>
              </w:rPr>
              <w:t>Росту немає</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 (11,1%)</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4 (11,4%)</w:t>
            </w:r>
          </w:p>
        </w:tc>
      </w:tr>
    </w:tbl>
    <w:p w:rsidR="00A01923" w:rsidRDefault="00A01923" w:rsidP="00A01923">
      <w:pPr>
        <w:tabs>
          <w:tab w:val="left" w:pos="5950"/>
        </w:tabs>
        <w:spacing w:after="0" w:line="360" w:lineRule="auto"/>
        <w:ind w:left="-567" w:right="141" w:firstLine="567"/>
        <w:jc w:val="both"/>
        <w:rPr>
          <w:rFonts w:ascii="Times New Roman" w:eastAsia="Times New Roman" w:hAnsi="Times New Roman"/>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Висіяні з рани мікроорганізми були представлені факультативною коковою мікрофлорою, ентеробактеріями, неферментуючими бактеріями, що включали синьогнійну паличку, дріжджові гриби роду Candida, а також асоціаціями цих мікроорганізмів. 49,2% всіх виділених факультативних аеробів склали стафілококи й ентерококи: S. </w:t>
      </w:r>
      <w:r>
        <w:rPr>
          <w:rFonts w:ascii="Times New Roman" w:hAnsi="Times New Roman"/>
          <w:color w:val="000000"/>
          <w:sz w:val="28"/>
          <w:szCs w:val="28"/>
          <w:lang w:val="en-US"/>
        </w:rPr>
        <w:t>a</w:t>
      </w:r>
      <w:r>
        <w:rPr>
          <w:rFonts w:ascii="Times New Roman" w:hAnsi="Times New Roman"/>
          <w:color w:val="000000"/>
          <w:sz w:val="28"/>
          <w:szCs w:val="28"/>
          <w:lang w:val="uk-UA"/>
        </w:rPr>
        <w:t xml:space="preserve">ureus та S. epidermidis – 38,9%; Ent. earogenes  та E.coli – 11,1%. Велика частка виділених мікроорганізмів була представлена родом Pseudomonas aeruginosa, і Candida sp. (28,6%). Решта мікроорганізмів були представлені у меншій мірі. Серед висіяних культур мікробні асоціації розподілилися наступним чином: у основній групі виявлено у 5 (18,5 %) хворих, у групі порівняння – у 8 (22,9 %). </w:t>
      </w: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t>Не верифікувався ріст мікроорганізмів у 11,1% хворих, яким попередньо в інших лікувальних закладах проводилось лікування з системним введенням антибіотиків та місцевим використанням антисептиків.</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color w:val="000000"/>
          <w:sz w:val="28"/>
          <w:szCs w:val="28"/>
          <w:lang w:val="uk-UA"/>
        </w:rPr>
        <w:t>Ми також виявили залежність між мікробним спектром в рані та станом шляхів відтоку – для оклюзії двох і більше артерій гомілки була характерна наявність мікробних асоціацій</w:t>
      </w:r>
      <w:r>
        <w:rPr>
          <w:rFonts w:ascii="Times New Roman" w:hAnsi="Times New Roman"/>
          <w:color w:val="FF0000"/>
          <w:sz w:val="28"/>
          <w:szCs w:val="28"/>
          <w:lang w:val="uk-UA"/>
        </w:rPr>
        <w:t xml:space="preserve"> </w:t>
      </w:r>
      <w:r>
        <w:rPr>
          <w:rFonts w:ascii="Times New Roman" w:hAnsi="Times New Roman"/>
          <w:sz w:val="28"/>
          <w:szCs w:val="28"/>
          <w:lang w:val="uk-UA"/>
        </w:rPr>
        <w:t>в рані, в той час як монокультура зустрічалась при менш вираженому ураженні. Виявлена залежність між виразністю трофічного ураження нижньої кінцівки та мікробним спектром. Менш виражені виразково-некротичні дефекти асоціювалися з наявністю монокультури в рані, великі ураження були взаємопов’язані з наявністю мікробних асоціацій. Відсутність зростання мікроорганізмів відповідало проміжній позиції по просторості трофічних уражень. Це пояснюється зупинкою мікробного росту при попередньому лікуванні в інших лікувальних установах. При цьому, наявність у хворого цукрового діабету не впливала на вираженість трофічних порушень і частоту виявлення мікробних асоціацій.</w:t>
      </w: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Таким чином, основним фактором, що впливає на величину виразково-некротичного дефекту і мікробний спектр, є стан шляхів відтоку. У період до одного року спостереження оцінювали динаміку загоєння виразково-некротичного дефекту, при цьому хорошим результатом вважали повне загоєння виразки, задовільним – стан без динаміки при збереженній кінцівці, </w:t>
      </w:r>
      <w:r>
        <w:rPr>
          <w:rFonts w:ascii="Times New Roman" w:hAnsi="Times New Roman"/>
          <w:color w:val="000000"/>
          <w:sz w:val="28"/>
          <w:szCs w:val="28"/>
          <w:lang w:val="uk-UA"/>
        </w:rPr>
        <w:lastRenderedPageBreak/>
        <w:t>незадовільним – ампутацію. Співвідношення методів лікування при різних даних про стан дистального кровотоку R. Rutherford  представлено в таблиці 5.6.</w:t>
      </w:r>
    </w:p>
    <w:p w:rsidR="00A01923" w:rsidRDefault="00A01923" w:rsidP="00A01923">
      <w:pPr>
        <w:tabs>
          <w:tab w:val="left" w:pos="5950"/>
        </w:tabs>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t>Таблиця 5.6</w:t>
      </w:r>
    </w:p>
    <w:p w:rsidR="00A01923" w:rsidRDefault="00A01923" w:rsidP="00A01923">
      <w:pPr>
        <w:tabs>
          <w:tab w:val="left" w:pos="5950"/>
        </w:tabs>
        <w:spacing w:after="0" w:line="360" w:lineRule="auto"/>
        <w:ind w:firstLine="567"/>
        <w:jc w:val="center"/>
        <w:rPr>
          <w:rFonts w:ascii="Times New Roman" w:hAnsi="Times New Roman"/>
          <w:b/>
          <w:sz w:val="28"/>
          <w:szCs w:val="28"/>
        </w:rPr>
      </w:pPr>
      <w:r>
        <w:rPr>
          <w:rFonts w:ascii="Times New Roman" w:hAnsi="Times New Roman"/>
          <w:b/>
          <w:sz w:val="28"/>
          <w:szCs w:val="28"/>
          <w:lang w:val="uk-UA"/>
        </w:rPr>
        <w:t>Співвідношення методів лікування при різних даних про стан дистального кровотоку R. Rutherford</w:t>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794"/>
        <w:gridCol w:w="709"/>
        <w:gridCol w:w="567"/>
        <w:gridCol w:w="992"/>
        <w:gridCol w:w="992"/>
        <w:gridCol w:w="567"/>
        <w:gridCol w:w="567"/>
        <w:gridCol w:w="927"/>
        <w:gridCol w:w="1023"/>
      </w:tblGrid>
      <w:tr w:rsidR="00A01923" w:rsidTr="00A01923">
        <w:tc>
          <w:tcPr>
            <w:tcW w:w="3794" w:type="dxa"/>
            <w:vMerge w:val="restart"/>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jc w:val="center"/>
              <w:rPr>
                <w:rFonts w:ascii="Times New Roman" w:eastAsia="Times New Roman" w:hAnsi="Times New Roman"/>
                <w:sz w:val="28"/>
                <w:szCs w:val="28"/>
              </w:rPr>
            </w:pPr>
            <w:r>
              <w:rPr>
                <w:rFonts w:ascii="Times New Roman" w:hAnsi="Times New Roman"/>
                <w:sz w:val="28"/>
                <w:szCs w:val="28"/>
              </w:rPr>
              <w:t>Стан шляхів відтоку</w:t>
            </w:r>
          </w:p>
        </w:tc>
        <w:tc>
          <w:tcPr>
            <w:tcW w:w="3260"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jc w:val="center"/>
              <w:rPr>
                <w:rFonts w:ascii="Times New Roman" w:eastAsia="Times New Roman" w:hAnsi="Times New Roman"/>
                <w:sz w:val="28"/>
                <w:szCs w:val="28"/>
              </w:rPr>
            </w:pPr>
            <w:r>
              <w:rPr>
                <w:rFonts w:ascii="Times New Roman" w:hAnsi="Times New Roman"/>
                <w:sz w:val="28"/>
                <w:szCs w:val="28"/>
              </w:rPr>
              <w:t>Основна група</w:t>
            </w:r>
          </w:p>
          <w:p w:rsidR="00A01923" w:rsidRDefault="00A01923">
            <w:pPr>
              <w:tabs>
                <w:tab w:val="left" w:pos="5950"/>
              </w:tabs>
              <w:spacing w:after="0" w:line="360" w:lineRule="auto"/>
              <w:jc w:val="center"/>
              <w:rPr>
                <w:rFonts w:ascii="Times New Roman" w:eastAsia="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lang w:val="en-US"/>
              </w:rPr>
              <w:t>55)</w:t>
            </w:r>
          </w:p>
        </w:tc>
        <w:tc>
          <w:tcPr>
            <w:tcW w:w="3084"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5950"/>
              </w:tabs>
              <w:spacing w:after="0" w:line="360" w:lineRule="auto"/>
              <w:jc w:val="center"/>
              <w:rPr>
                <w:rFonts w:ascii="Times New Roman" w:eastAsia="Times New Roman" w:hAnsi="Times New Roman"/>
                <w:sz w:val="28"/>
                <w:szCs w:val="28"/>
              </w:rPr>
            </w:pPr>
            <w:r>
              <w:rPr>
                <w:rFonts w:ascii="Times New Roman" w:hAnsi="Times New Roman"/>
                <w:sz w:val="28"/>
                <w:szCs w:val="28"/>
              </w:rPr>
              <w:t>Група порівняння</w:t>
            </w:r>
          </w:p>
          <w:p w:rsidR="00A01923" w:rsidRDefault="00A01923">
            <w:pPr>
              <w:tabs>
                <w:tab w:val="left" w:pos="5950"/>
              </w:tabs>
              <w:spacing w:after="0" w:line="360" w:lineRule="auto"/>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sym w:font="Symbol" w:char="003D"/>
            </w:r>
            <w:r>
              <w:rPr>
                <w:rFonts w:ascii="Times New Roman" w:hAnsi="Times New Roman"/>
                <w:sz w:val="28"/>
                <w:szCs w:val="28"/>
              </w:rPr>
              <w:t>50)</w:t>
            </w:r>
          </w:p>
        </w:tc>
      </w:tr>
      <w:tr w:rsidR="00A01923" w:rsidTr="00A01923">
        <w:trPr>
          <w:cantSplit/>
          <w:trHeight w:val="2778"/>
        </w:trPr>
        <w:tc>
          <w:tcPr>
            <w:tcW w:w="3794"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rPr>
            </w:pPr>
          </w:p>
        </w:tc>
        <w:tc>
          <w:tcPr>
            <w:tcW w:w="709"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ЧБА</w:t>
            </w:r>
          </w:p>
        </w:tc>
        <w:tc>
          <w:tcPr>
            <w:tcW w:w="567"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Відкрите втручання</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Консервативна терапія</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 xml:space="preserve">Хімічна поперекова </w:t>
            </w:r>
            <w:r>
              <w:rPr>
                <w:rFonts w:ascii="Times New Roman" w:hAnsi="Times New Roman"/>
                <w:color w:val="000000"/>
                <w:sz w:val="28"/>
                <w:szCs w:val="28"/>
              </w:rPr>
              <w:t>симпатектомія</w:t>
            </w:r>
          </w:p>
        </w:tc>
        <w:tc>
          <w:tcPr>
            <w:tcW w:w="567"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ЧБА</w:t>
            </w:r>
          </w:p>
        </w:tc>
        <w:tc>
          <w:tcPr>
            <w:tcW w:w="567"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Відкрите втручання</w:t>
            </w:r>
          </w:p>
        </w:tc>
        <w:tc>
          <w:tcPr>
            <w:tcW w:w="927"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sz w:val="28"/>
                <w:szCs w:val="28"/>
              </w:rPr>
              <w:t>Консервативна терапія</w:t>
            </w:r>
          </w:p>
        </w:tc>
        <w:tc>
          <w:tcPr>
            <w:tcW w:w="1023"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5950"/>
              </w:tabs>
              <w:spacing w:after="0" w:line="360" w:lineRule="auto"/>
              <w:ind w:left="113" w:right="141"/>
              <w:jc w:val="center"/>
              <w:rPr>
                <w:rFonts w:ascii="Times New Roman" w:eastAsia="Times New Roman" w:hAnsi="Times New Roman"/>
                <w:sz w:val="28"/>
                <w:szCs w:val="28"/>
              </w:rPr>
            </w:pPr>
            <w:r>
              <w:rPr>
                <w:rFonts w:ascii="Times New Roman" w:hAnsi="Times New Roman"/>
                <w:color w:val="000000"/>
                <w:sz w:val="28"/>
                <w:szCs w:val="28"/>
              </w:rPr>
              <w:t>Відкрита поперекова симпатектомія</w:t>
            </w:r>
          </w:p>
        </w:tc>
      </w:tr>
      <w:tr w:rsidR="00A01923" w:rsidTr="00A01923">
        <w:tc>
          <w:tcPr>
            <w:tcW w:w="3794"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rPr>
                <w:rFonts w:ascii="Times New Roman" w:eastAsia="Times New Roman" w:hAnsi="Times New Roman"/>
                <w:sz w:val="28"/>
                <w:szCs w:val="28"/>
              </w:rPr>
            </w:pPr>
            <w:r>
              <w:rPr>
                <w:rFonts w:ascii="Times New Roman" w:hAnsi="Times New Roman"/>
                <w:sz w:val="28"/>
                <w:szCs w:val="28"/>
              </w:rPr>
              <w:t>Задовільний – одна або більше умовно прохідних артерій гомілки (до 7,5 балів)</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17</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21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4</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6</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18</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6</w:t>
            </w:r>
          </w:p>
        </w:tc>
      </w:tr>
      <w:tr w:rsidR="00A01923" w:rsidTr="00A01923">
        <w:tc>
          <w:tcPr>
            <w:tcW w:w="3794"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rPr>
                <w:rFonts w:ascii="Times New Roman" w:eastAsia="Times New Roman" w:hAnsi="Times New Roman"/>
                <w:sz w:val="28"/>
                <w:szCs w:val="28"/>
              </w:rPr>
            </w:pPr>
            <w:r>
              <w:rPr>
                <w:rFonts w:ascii="Times New Roman" w:hAnsi="Times New Roman"/>
                <w:sz w:val="28"/>
                <w:szCs w:val="28"/>
              </w:rPr>
              <w:t>Незадовільне – оклюзія двох і більше артерій гомілки (</w:t>
            </w:r>
            <w:r>
              <w:rPr>
                <w:rFonts w:ascii="Times New Roman" w:hAnsi="Times New Roman"/>
                <w:sz w:val="28"/>
                <w:szCs w:val="28"/>
              </w:rPr>
              <w:sym w:font="Symbol" w:char="003E"/>
            </w:r>
            <w:r>
              <w:rPr>
                <w:rFonts w:ascii="Times New Roman" w:hAnsi="Times New Roman"/>
                <w:sz w:val="28"/>
                <w:szCs w:val="28"/>
              </w:rPr>
              <w:t>7,5 балів)</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6</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0</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5</w:t>
            </w:r>
          </w:p>
        </w:tc>
        <w:tc>
          <w:tcPr>
            <w:tcW w:w="56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3</w:t>
            </w:r>
          </w:p>
        </w:tc>
        <w:tc>
          <w:tcPr>
            <w:tcW w:w="927"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8</w:t>
            </w:r>
          </w:p>
        </w:tc>
        <w:tc>
          <w:tcPr>
            <w:tcW w:w="102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1</w:t>
            </w:r>
          </w:p>
        </w:tc>
      </w:tr>
      <w:tr w:rsidR="00A01923" w:rsidTr="00A01923">
        <w:trPr>
          <w:trHeight w:val="395"/>
        </w:trPr>
        <w:tc>
          <w:tcPr>
            <w:tcW w:w="3794"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sym w:font="Symbol" w:char="0063"/>
            </w:r>
            <w:r>
              <w:rPr>
                <w:rFonts w:ascii="Times New Roman" w:hAnsi="Times New Roman"/>
                <w:sz w:val="28"/>
                <w:szCs w:val="28"/>
              </w:rPr>
              <w:t>2</w:t>
            </w:r>
          </w:p>
        </w:tc>
        <w:tc>
          <w:tcPr>
            <w:tcW w:w="6344" w:type="dxa"/>
            <w:gridSpan w:val="8"/>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8,504</w:t>
            </w:r>
          </w:p>
        </w:tc>
      </w:tr>
      <w:tr w:rsidR="00A01923" w:rsidTr="00A01923">
        <w:tc>
          <w:tcPr>
            <w:tcW w:w="3794"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lang w:val="en-US"/>
              </w:rPr>
            </w:pPr>
            <w:r>
              <w:rPr>
                <w:rFonts w:ascii="Times New Roman" w:hAnsi="Times New Roman"/>
                <w:sz w:val="28"/>
                <w:szCs w:val="28"/>
                <w:lang w:val="en-US"/>
              </w:rPr>
              <w:t>p</w:t>
            </w:r>
          </w:p>
        </w:tc>
        <w:tc>
          <w:tcPr>
            <w:tcW w:w="6344" w:type="dxa"/>
            <w:gridSpan w:val="8"/>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5950"/>
              </w:tabs>
              <w:spacing w:after="0" w:line="360" w:lineRule="auto"/>
              <w:ind w:right="141"/>
              <w:jc w:val="center"/>
              <w:rPr>
                <w:rFonts w:ascii="Times New Roman" w:eastAsia="Times New Roman" w:hAnsi="Times New Roman"/>
                <w:sz w:val="28"/>
                <w:szCs w:val="28"/>
              </w:rPr>
            </w:pPr>
            <w:r>
              <w:rPr>
                <w:rFonts w:ascii="Times New Roman" w:hAnsi="Times New Roman"/>
                <w:sz w:val="28"/>
                <w:szCs w:val="28"/>
              </w:rPr>
              <w:t>0,047</w:t>
            </w:r>
          </w:p>
        </w:tc>
      </w:tr>
    </w:tbl>
    <w:p w:rsidR="00A01923" w:rsidRDefault="00A01923" w:rsidP="00A01923">
      <w:pPr>
        <w:tabs>
          <w:tab w:val="left" w:pos="5950"/>
        </w:tabs>
        <w:spacing w:after="0" w:line="360" w:lineRule="auto"/>
        <w:ind w:left="-567" w:right="141" w:firstLine="567"/>
        <w:jc w:val="both"/>
        <w:rPr>
          <w:rFonts w:ascii="Times New Roman" w:eastAsia="Times New Roman" w:hAnsi="Times New Roman"/>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більшості хворих – 78 (74,3%) бали відтоку визначалися до 7,5 за R. Rutherford (1997), що свідчило про збереження прохідності гомілкових артерій, колатеральних зв'язків і умов для реваскуляризації, проведення консервативного лікування та виконання малої ампутації у 40 (38,1%) випадках. </w:t>
      </w: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 балами відтоку </w:t>
      </w:r>
      <w:r>
        <w:rPr>
          <w:rFonts w:ascii="Times New Roman" w:hAnsi="Times New Roman"/>
          <w:color w:val="000000"/>
          <w:sz w:val="28"/>
          <w:szCs w:val="28"/>
          <w:lang w:val="uk-UA"/>
        </w:rPr>
        <w:sym w:font="Symbol" w:char="003E"/>
      </w:r>
      <w:r>
        <w:rPr>
          <w:rFonts w:ascii="Times New Roman" w:hAnsi="Times New Roman"/>
          <w:color w:val="000000"/>
          <w:sz w:val="28"/>
          <w:szCs w:val="28"/>
          <w:lang w:val="uk-UA"/>
        </w:rPr>
        <w:t xml:space="preserve"> 7,5 оперовані 7 хворих основної групи, ще 3 хворим було  проведене комплексне консервативне лікування; у групі порівняння оперовані 9 хворих та у 8 проводилась консервативна терапія, а виконання в</w:t>
      </w:r>
      <w:r w:rsidR="004A1376">
        <w:rPr>
          <w:rFonts w:ascii="Times New Roman" w:hAnsi="Times New Roman"/>
          <w:color w:val="000000"/>
          <w:sz w:val="28"/>
          <w:szCs w:val="28"/>
          <w:lang w:val="uk-UA"/>
        </w:rPr>
        <w:t>исо</w:t>
      </w:r>
      <w:r>
        <w:rPr>
          <w:rFonts w:ascii="Times New Roman" w:hAnsi="Times New Roman"/>
          <w:color w:val="000000"/>
          <w:sz w:val="28"/>
          <w:szCs w:val="28"/>
          <w:lang w:val="uk-UA"/>
        </w:rPr>
        <w:t xml:space="preserve">кої ампутації  </w:t>
      </w:r>
      <w:r>
        <w:rPr>
          <w:rFonts w:ascii="Times New Roman" w:hAnsi="Times New Roman"/>
          <w:color w:val="000000"/>
          <w:sz w:val="28"/>
          <w:szCs w:val="28"/>
          <w:lang w:val="uk-UA"/>
        </w:rPr>
        <w:lastRenderedPageBreak/>
        <w:t xml:space="preserve">через незворотність ішемічних ушкоджень в ураженій кінцівці </w:t>
      </w:r>
      <w:r w:rsidR="004A1376">
        <w:rPr>
          <w:rFonts w:ascii="Times New Roman" w:hAnsi="Times New Roman"/>
          <w:color w:val="000000"/>
          <w:sz w:val="28"/>
          <w:szCs w:val="28"/>
          <w:lang w:val="uk-UA"/>
        </w:rPr>
        <w:t>виконане</w:t>
      </w:r>
      <w:r>
        <w:rPr>
          <w:rFonts w:ascii="Times New Roman" w:hAnsi="Times New Roman"/>
          <w:color w:val="000000"/>
          <w:sz w:val="28"/>
          <w:szCs w:val="28"/>
          <w:lang w:val="uk-UA"/>
        </w:rPr>
        <w:t xml:space="preserve"> у 6 (5,7%) хворих (</w:t>
      </w:r>
      <w:r>
        <w:rPr>
          <w:rFonts w:ascii="Times New Roman" w:hAnsi="Times New Roman"/>
          <w:color w:val="000000"/>
          <w:sz w:val="28"/>
          <w:szCs w:val="28"/>
          <w:lang w:val="uk-UA"/>
        </w:rPr>
        <w:sym w:font="Symbol" w:char="0063"/>
      </w:r>
      <w:r>
        <w:rPr>
          <w:rFonts w:ascii="Times New Roman" w:hAnsi="Times New Roman"/>
          <w:color w:val="000000"/>
          <w:sz w:val="28"/>
          <w:szCs w:val="28"/>
          <w:lang w:val="uk-UA"/>
        </w:rPr>
        <w:t>2</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8,504, р</w:t>
      </w:r>
      <w:r>
        <w:rPr>
          <w:rFonts w:ascii="Times New Roman" w:hAnsi="Times New Roman"/>
          <w:color w:val="000000"/>
          <w:sz w:val="28"/>
          <w:szCs w:val="28"/>
          <w:lang w:val="uk-UA"/>
        </w:rPr>
        <w:sym w:font="Symbol" w:char="003D"/>
      </w:r>
      <w:r>
        <w:rPr>
          <w:rFonts w:ascii="Times New Roman" w:hAnsi="Times New Roman"/>
          <w:color w:val="000000"/>
          <w:sz w:val="28"/>
          <w:szCs w:val="28"/>
          <w:lang w:val="uk-UA"/>
        </w:rPr>
        <w:t>0,047).</w:t>
      </w:r>
    </w:p>
    <w:p w:rsidR="00A01923" w:rsidRDefault="00A01923"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color w:val="000000"/>
          <w:sz w:val="28"/>
          <w:szCs w:val="28"/>
          <w:lang w:val="uk-UA"/>
        </w:rPr>
        <w:t xml:space="preserve">Одним з важливих чинників, здатних істотно вплинути на прогноз лікування критичної ішемії і можливість повної регенерації трофічної рани, є також характер вегетуючої в трофічної рані флори і якісно проведена антибактеріальна терапія. </w:t>
      </w:r>
      <w:r>
        <w:rPr>
          <w:rFonts w:ascii="Times New Roman" w:hAnsi="Times New Roman"/>
          <w:sz w:val="28"/>
          <w:szCs w:val="28"/>
          <w:lang w:val="uk-UA"/>
        </w:rPr>
        <w:t xml:space="preserve">Структура ампутацій, виконаних у хворих досліджуваних груп  під час лікування представлена у таблиці 5.7. </w:t>
      </w:r>
    </w:p>
    <w:p w:rsidR="00A01923" w:rsidRDefault="00A01923" w:rsidP="00A01923">
      <w:pPr>
        <w:tabs>
          <w:tab w:val="left" w:pos="180"/>
          <w:tab w:val="left" w:pos="540"/>
          <w:tab w:val="left" w:pos="720"/>
        </w:tabs>
        <w:spacing w:after="0" w:line="360" w:lineRule="auto"/>
        <w:ind w:firstLine="567"/>
        <w:jc w:val="right"/>
        <w:rPr>
          <w:rFonts w:ascii="Times New Roman" w:hAnsi="Times New Roman"/>
          <w:i/>
          <w:sz w:val="28"/>
          <w:szCs w:val="28"/>
          <w:lang w:val="uk-UA"/>
        </w:rPr>
      </w:pPr>
      <w:r>
        <w:rPr>
          <w:rFonts w:ascii="Times New Roman" w:hAnsi="Times New Roman"/>
          <w:i/>
          <w:sz w:val="28"/>
          <w:szCs w:val="28"/>
        </w:rPr>
        <w:t>Таблиця 5.</w:t>
      </w:r>
      <w:r>
        <w:rPr>
          <w:rFonts w:ascii="Times New Roman" w:hAnsi="Times New Roman"/>
          <w:i/>
          <w:sz w:val="28"/>
          <w:szCs w:val="28"/>
          <w:lang w:val="uk-UA"/>
        </w:rPr>
        <w:t>7</w:t>
      </w:r>
    </w:p>
    <w:p w:rsidR="00A01923" w:rsidRDefault="00A01923" w:rsidP="00A01923">
      <w:pPr>
        <w:tabs>
          <w:tab w:val="left" w:pos="180"/>
          <w:tab w:val="left" w:pos="540"/>
          <w:tab w:val="left" w:pos="72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Структура ампутацій, виконаних у хворих досліджуваних груп</w:t>
      </w:r>
    </w:p>
    <w:tbl>
      <w:tblPr>
        <w:tblW w:w="1006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835"/>
        <w:gridCol w:w="851"/>
        <w:gridCol w:w="850"/>
        <w:gridCol w:w="851"/>
        <w:gridCol w:w="992"/>
        <w:gridCol w:w="992"/>
        <w:gridCol w:w="709"/>
        <w:gridCol w:w="992"/>
        <w:gridCol w:w="993"/>
      </w:tblGrid>
      <w:tr w:rsidR="00A01923" w:rsidTr="004C4BD2">
        <w:tc>
          <w:tcPr>
            <w:tcW w:w="2835" w:type="dxa"/>
            <w:vMerge w:val="restart"/>
            <w:tcBorders>
              <w:top w:val="single" w:sz="4" w:space="0" w:color="000000"/>
              <w:left w:val="single" w:sz="4" w:space="0" w:color="000000"/>
              <w:bottom w:val="single" w:sz="4" w:space="0" w:color="000000"/>
              <w:right w:val="single" w:sz="4" w:space="0" w:color="000000"/>
            </w:tcBorders>
            <w:vAlign w:val="center"/>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p>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Показник</w:t>
            </w:r>
          </w:p>
        </w:tc>
        <w:tc>
          <w:tcPr>
            <w:tcW w:w="3544"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Основна група (</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rPr>
              <w:t>55)</w:t>
            </w:r>
          </w:p>
        </w:tc>
        <w:tc>
          <w:tcPr>
            <w:tcW w:w="3686" w:type="dxa"/>
            <w:gridSpan w:val="4"/>
            <w:tcBorders>
              <w:top w:val="single" w:sz="4" w:space="0" w:color="000000"/>
              <w:left w:val="single" w:sz="4" w:space="0" w:color="000000"/>
              <w:bottom w:val="single" w:sz="4" w:space="0" w:color="000000"/>
              <w:right w:val="single" w:sz="4" w:space="0" w:color="000000"/>
            </w:tcBorders>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Група порівняння (</w:t>
            </w:r>
            <w:r>
              <w:rPr>
                <w:rFonts w:ascii="Times New Roman" w:hAnsi="Times New Roman"/>
                <w:sz w:val="28"/>
                <w:szCs w:val="28"/>
                <w:lang w:val="en-US"/>
              </w:rPr>
              <w:t>n</w:t>
            </w:r>
            <w:r>
              <w:rPr>
                <w:rFonts w:ascii="Times New Roman" w:hAnsi="Times New Roman"/>
                <w:sz w:val="28"/>
                <w:szCs w:val="28"/>
                <w:lang w:val="en-US"/>
              </w:rPr>
              <w:sym w:font="Symbol" w:char="003D"/>
            </w:r>
            <w:r>
              <w:rPr>
                <w:rFonts w:ascii="Times New Roman" w:hAnsi="Times New Roman"/>
                <w:sz w:val="28"/>
                <w:szCs w:val="28"/>
              </w:rPr>
              <w:t>50)</w:t>
            </w:r>
          </w:p>
        </w:tc>
      </w:tr>
      <w:tr w:rsidR="00A01923" w:rsidTr="004C4BD2">
        <w:trPr>
          <w:cantSplit/>
          <w:trHeight w:val="3290"/>
        </w:trPr>
        <w:tc>
          <w:tcPr>
            <w:tcW w:w="2835" w:type="dxa"/>
            <w:vMerge/>
            <w:tcBorders>
              <w:top w:val="single" w:sz="4" w:space="0" w:color="000000"/>
              <w:left w:val="single" w:sz="4" w:space="0" w:color="000000"/>
              <w:bottom w:val="single" w:sz="4" w:space="0" w:color="000000"/>
              <w:right w:val="single" w:sz="4" w:space="0" w:color="000000"/>
            </w:tcBorders>
            <w:vAlign w:val="center"/>
            <w:hideMark/>
          </w:tcPr>
          <w:p w:rsidR="00A01923" w:rsidRDefault="00A01923">
            <w:pPr>
              <w:spacing w:after="0" w:line="240" w:lineRule="auto"/>
              <w:rPr>
                <w:rFonts w:ascii="Times New Roman" w:eastAsia="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ЧБА</w:t>
            </w:r>
          </w:p>
        </w:tc>
        <w:tc>
          <w:tcPr>
            <w:tcW w:w="850"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Відкрите втручання</w:t>
            </w:r>
          </w:p>
        </w:tc>
        <w:tc>
          <w:tcPr>
            <w:tcW w:w="851"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Консервативна терапія</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4C4BD2" w:rsidP="004C4BD2">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Хімічна поперекова</w:t>
            </w:r>
            <w:r w:rsidR="00A01923">
              <w:rPr>
                <w:rFonts w:ascii="Times New Roman" w:hAnsi="Times New Roman"/>
                <w:sz w:val="28"/>
                <w:szCs w:val="28"/>
                <w:lang w:val="en-US"/>
              </w:rPr>
              <w:t xml:space="preserve">      </w:t>
            </w:r>
            <w:r w:rsidR="00A01923">
              <w:rPr>
                <w:rFonts w:ascii="Times New Roman" w:hAnsi="Times New Roman"/>
                <w:color w:val="000000"/>
                <w:sz w:val="28"/>
                <w:szCs w:val="28"/>
              </w:rPr>
              <w:t>симпатектомія</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ЧБА</w:t>
            </w:r>
          </w:p>
        </w:tc>
        <w:tc>
          <w:tcPr>
            <w:tcW w:w="709"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Відкрите втручання</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Консервативна терапія</w:t>
            </w:r>
          </w:p>
        </w:tc>
        <w:tc>
          <w:tcPr>
            <w:tcW w:w="993" w:type="dxa"/>
            <w:tcBorders>
              <w:top w:val="single" w:sz="4" w:space="0" w:color="000000"/>
              <w:left w:val="single" w:sz="4" w:space="0" w:color="000000"/>
              <w:bottom w:val="single" w:sz="4" w:space="0" w:color="000000"/>
              <w:right w:val="single" w:sz="4" w:space="0" w:color="000000"/>
            </w:tcBorders>
            <w:textDirection w:val="btLr"/>
            <w:vAlign w:val="center"/>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color w:val="000000"/>
                <w:sz w:val="28"/>
                <w:szCs w:val="28"/>
              </w:rPr>
              <w:t>Відкрита поперекова симпатектомія</w:t>
            </w:r>
          </w:p>
        </w:tc>
      </w:tr>
      <w:tr w:rsidR="00A01923" w:rsidTr="004C4BD2">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rPr>
                <w:rFonts w:ascii="Times New Roman" w:eastAsia="Times New Roman" w:hAnsi="Times New Roman"/>
                <w:sz w:val="28"/>
                <w:szCs w:val="28"/>
              </w:rPr>
            </w:pPr>
            <w:r>
              <w:rPr>
                <w:rFonts w:ascii="Times New Roman" w:hAnsi="Times New Roman"/>
                <w:sz w:val="28"/>
                <w:szCs w:val="28"/>
              </w:rPr>
              <w:t>Кількість хворих</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23</w:t>
            </w:r>
          </w:p>
        </w:tc>
        <w:tc>
          <w:tcPr>
            <w:tcW w:w="850"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4</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24</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4</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11</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6</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26</w:t>
            </w:r>
          </w:p>
        </w:tc>
        <w:tc>
          <w:tcPr>
            <w:tcW w:w="99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7</w:t>
            </w:r>
          </w:p>
        </w:tc>
      </w:tr>
      <w:tr w:rsidR="00A01923" w:rsidTr="004C4BD2">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rPr>
                <w:rFonts w:ascii="Times New Roman" w:eastAsia="Times New Roman" w:hAnsi="Times New Roman"/>
                <w:sz w:val="28"/>
                <w:szCs w:val="28"/>
              </w:rPr>
            </w:pPr>
            <w:r>
              <w:rPr>
                <w:rFonts w:ascii="Times New Roman" w:hAnsi="Times New Roman"/>
                <w:sz w:val="28"/>
                <w:szCs w:val="28"/>
              </w:rPr>
              <w:t>Низька ампутація</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11</w:t>
            </w:r>
          </w:p>
        </w:tc>
        <w:tc>
          <w:tcPr>
            <w:tcW w:w="850"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1</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2</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3</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9</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2</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8</w:t>
            </w:r>
          </w:p>
        </w:tc>
        <w:tc>
          <w:tcPr>
            <w:tcW w:w="99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4</w:t>
            </w:r>
          </w:p>
        </w:tc>
      </w:tr>
      <w:tr w:rsidR="00A01923" w:rsidTr="004C4BD2">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rPr>
                <w:rFonts w:ascii="Times New Roman" w:eastAsia="Times New Roman" w:hAnsi="Times New Roman"/>
                <w:sz w:val="28"/>
                <w:szCs w:val="28"/>
              </w:rPr>
            </w:pPr>
            <w:r>
              <w:rPr>
                <w:rFonts w:ascii="Times New Roman" w:hAnsi="Times New Roman"/>
                <w:sz w:val="28"/>
                <w:szCs w:val="28"/>
              </w:rPr>
              <w:t>Висока ампутація</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850"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jc w:val="center"/>
              <w:rPr>
                <w:rFonts w:ascii="Times New Roman" w:eastAsia="Times New Roman" w:hAnsi="Times New Roman"/>
                <w:sz w:val="28"/>
                <w:szCs w:val="28"/>
              </w:rPr>
            </w:pPr>
            <w:r>
              <w:rPr>
                <w:rFonts w:ascii="Times New Roman" w:hAnsi="Times New Roman"/>
                <w:sz w:val="28"/>
                <w:szCs w:val="28"/>
              </w:rPr>
              <w:t>1</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1</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3</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1</w:t>
            </w:r>
          </w:p>
        </w:tc>
        <w:tc>
          <w:tcPr>
            <w:tcW w:w="99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r>
      <w:tr w:rsidR="00A01923" w:rsidTr="004C4BD2">
        <w:tc>
          <w:tcPr>
            <w:tcW w:w="2835"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rPr>
                <w:rFonts w:ascii="Times New Roman" w:eastAsia="Times New Roman" w:hAnsi="Times New Roman"/>
                <w:sz w:val="28"/>
                <w:szCs w:val="28"/>
              </w:rPr>
            </w:pPr>
            <w:r>
              <w:rPr>
                <w:rFonts w:ascii="Times New Roman" w:hAnsi="Times New Roman"/>
                <w:sz w:val="28"/>
                <w:szCs w:val="28"/>
              </w:rPr>
              <w:t>Летальність</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850"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851"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709"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992"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c>
          <w:tcPr>
            <w:tcW w:w="993" w:type="dxa"/>
            <w:tcBorders>
              <w:top w:val="single" w:sz="4" w:space="0" w:color="000000"/>
              <w:left w:val="single" w:sz="4" w:space="0" w:color="000000"/>
              <w:bottom w:val="single" w:sz="4" w:space="0" w:color="000000"/>
              <w:right w:val="single" w:sz="4" w:space="0" w:color="000000"/>
            </w:tcBorders>
            <w:hideMark/>
          </w:tcPr>
          <w:p w:rsidR="00A01923" w:rsidRDefault="00A01923">
            <w:pPr>
              <w:tabs>
                <w:tab w:val="left" w:pos="180"/>
                <w:tab w:val="left" w:pos="540"/>
                <w:tab w:val="left" w:pos="720"/>
              </w:tabs>
              <w:spacing w:after="0" w:line="360" w:lineRule="auto"/>
              <w:ind w:left="33"/>
              <w:jc w:val="center"/>
              <w:rPr>
                <w:rFonts w:ascii="Times New Roman" w:eastAsia="Times New Roman" w:hAnsi="Times New Roman"/>
                <w:sz w:val="28"/>
                <w:szCs w:val="28"/>
              </w:rPr>
            </w:pPr>
            <w:r>
              <w:rPr>
                <w:rFonts w:ascii="Times New Roman" w:hAnsi="Times New Roman"/>
                <w:sz w:val="28"/>
                <w:szCs w:val="28"/>
              </w:rPr>
              <w:t>-</w:t>
            </w:r>
          </w:p>
        </w:tc>
      </w:tr>
    </w:tbl>
    <w:p w:rsidR="00A01923" w:rsidRDefault="00A01923" w:rsidP="00A01923">
      <w:pPr>
        <w:pStyle w:val="ac"/>
        <w:spacing w:line="360" w:lineRule="auto"/>
        <w:ind w:left="-567" w:firstLine="567"/>
        <w:jc w:val="right"/>
        <w:rPr>
          <w:sz w:val="28"/>
          <w:szCs w:val="28"/>
          <w:lang w:val="uk-UA"/>
        </w:rPr>
      </w:pPr>
      <w:r>
        <w:rPr>
          <w:sz w:val="28"/>
          <w:szCs w:val="28"/>
          <w:shd w:val="clear" w:color="auto" w:fill="FFFFFF"/>
          <w:lang w:val="uk-UA"/>
        </w:rPr>
        <w:sym w:font="Symbol" w:char="0063"/>
      </w:r>
      <w:r>
        <w:rPr>
          <w:sz w:val="28"/>
          <w:szCs w:val="28"/>
          <w:shd w:val="clear" w:color="auto" w:fill="FFFFFF"/>
          <w:lang w:val="uk-UA"/>
        </w:rPr>
        <w:t>2=28,488, р=0,000</w:t>
      </w:r>
    </w:p>
    <w:p w:rsidR="00A01923" w:rsidRDefault="00A01923" w:rsidP="00A01923">
      <w:pPr>
        <w:pStyle w:val="ac"/>
        <w:spacing w:line="360" w:lineRule="auto"/>
        <w:ind w:left="-567" w:firstLine="567"/>
        <w:jc w:val="both"/>
        <w:rPr>
          <w:color w:val="000000"/>
          <w:sz w:val="28"/>
          <w:szCs w:val="28"/>
          <w:lang w:val="uk-UA"/>
        </w:rPr>
      </w:pPr>
      <w:r>
        <w:rPr>
          <w:sz w:val="28"/>
          <w:szCs w:val="28"/>
          <w:lang w:val="uk-UA"/>
        </w:rPr>
        <w:t>Як свідчать дані, ЯКІ наведені у таблиці 5.7, в основній групі хворих розроблений індивідуальний підхід, дозволив знизити кількість малих ампутацій на 15,1% (основна група – 30,9%,</w:t>
      </w:r>
      <w:r>
        <w:rPr>
          <w:color w:val="000000"/>
          <w:sz w:val="28"/>
          <w:szCs w:val="28"/>
          <w:lang w:val="uk-UA"/>
        </w:rPr>
        <w:t xml:space="preserve"> група порівняння – 46%), а великих – на 8,2% (основна група – 1,8%, група порівняння – 10%) (</w:t>
      </w:r>
      <w:r>
        <w:rPr>
          <w:color w:val="000000"/>
          <w:sz w:val="28"/>
          <w:szCs w:val="28"/>
          <w:shd w:val="clear" w:color="auto" w:fill="FFFFFF"/>
          <w:lang w:val="uk-UA"/>
        </w:rPr>
        <w:sym w:font="Symbol" w:char="0063"/>
      </w:r>
      <w:r>
        <w:rPr>
          <w:color w:val="000000"/>
          <w:sz w:val="28"/>
          <w:szCs w:val="28"/>
          <w:shd w:val="clear" w:color="auto" w:fill="FFFFFF"/>
          <w:lang w:val="uk-UA"/>
        </w:rPr>
        <w:t>2=28,488, р=0,000). Летальних випадків під час лікування хворих не було в обох групах, що аналізуються.</w:t>
      </w:r>
      <w:r>
        <w:rPr>
          <w:color w:val="000000"/>
          <w:sz w:val="28"/>
          <w:szCs w:val="28"/>
          <w:lang w:val="uk-UA"/>
        </w:rPr>
        <w:t xml:space="preserve"> </w:t>
      </w:r>
    </w:p>
    <w:p w:rsidR="00A01923" w:rsidRDefault="00A01923" w:rsidP="00A01923">
      <w:pPr>
        <w:tabs>
          <w:tab w:val="left" w:pos="5950"/>
        </w:tabs>
        <w:spacing w:after="0" w:line="360" w:lineRule="auto"/>
        <w:ind w:left="-567" w:right="141"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 рисунку 5.1 представлений алгоритм лікувальної тактики, який свідчить про те, що за всієї різноманітності варіантів клінічного перебігу ХКІНК з гнійно-неротичними ураженнями стопи в стратегії хірургічного лікування за умови, що </w:t>
      </w:r>
      <w:r>
        <w:rPr>
          <w:rFonts w:ascii="Times New Roman" w:hAnsi="Times New Roman"/>
          <w:color w:val="000000"/>
          <w:sz w:val="28"/>
          <w:szCs w:val="28"/>
          <w:lang w:val="uk-UA"/>
        </w:rPr>
        <w:lastRenderedPageBreak/>
        <w:t>стопу можна зберегти, ми виділили наведені нижче сполучення оперативних втручань.</w:t>
      </w:r>
    </w:p>
    <w:p w:rsidR="00A01923" w:rsidRDefault="00487043" w:rsidP="00A01923">
      <w:pPr>
        <w:tabs>
          <w:tab w:val="left" w:pos="5950"/>
        </w:tabs>
        <w:spacing w:after="0" w:line="360" w:lineRule="auto"/>
        <w:ind w:left="-567" w:right="141" w:firstLine="567"/>
        <w:jc w:val="both"/>
        <w:rPr>
          <w:rFonts w:ascii="Times New Roman" w:hAnsi="Times New Roman"/>
          <w:color w:val="FF0000"/>
          <w:sz w:val="28"/>
          <w:szCs w:val="28"/>
          <w:lang w:val="uk-UA"/>
        </w:rPr>
      </w:pPr>
      <w:r w:rsidRPr="00487043">
        <w:rPr>
          <w:rFonts w:ascii="Calibri" w:hAnsi="Calibri"/>
        </w:rPr>
        <w:pict>
          <v:group id="_x0000_s2169" style="position:absolute;left:0;text-align:left;margin-left:-1.9pt;margin-top:24.55pt;width:481.7pt;height:528.15pt;z-index:251662848" coordorigin="1663,3074" coordsize="9634,10563">
            <v:shape id="_x0000_s2170" type="#_x0000_t202" style="position:absolute;left:1663;top:12508;width:9431;height:1129;mso-position-horizontal:center;mso-width-relative:margin;mso-height-relative:margin" stroked="f">
              <v:textbox>
                <w:txbxContent>
                  <w:p w:rsidR="00DA0A21" w:rsidRDefault="00DA0A21" w:rsidP="00A01923">
                    <w:pPr>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Рис. 5.1 Алгоритм лікувальної тактики при різних варіантах клінічного перебігу ХКІНК з гнійно-некротичними ураженнями стопи </w:t>
                    </w:r>
                  </w:p>
                  <w:p w:rsidR="00DA0A21" w:rsidRDefault="00DA0A21" w:rsidP="00A01923">
                    <w:pPr>
                      <w:rPr>
                        <w:rFonts w:ascii="Calibri" w:hAnsi="Calibri"/>
                        <w:lang w:val="uk-UA"/>
                      </w:rPr>
                    </w:pPr>
                  </w:p>
                </w:txbxContent>
              </v:textbox>
            </v:shape>
            <v:shape id="_x0000_s2171" type="#_x0000_t202" style="position:absolute;left:4827;top:3074;width:2194;height:640;mso-width-relative:margin;mso-height-relative:margin"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Суха гангрена</w:t>
                    </w:r>
                  </w:p>
                </w:txbxContent>
              </v:textbox>
            </v:shape>
            <v:shape id="_x0000_s2172" type="#_x0000_t202" style="position:absolute;left:2066;top:3714;width:2752;height:649;mso-width-relative:margin;mso-height-relative:margin"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Реваскуляризація</w:t>
                    </w:r>
                  </w:p>
                </w:txbxContent>
              </v:textbox>
            </v:shape>
            <v:shape id="_x0000_s2173" type="#_x0000_t202" style="position:absolute;left:6696;top:3714;width:4601;height:649"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Немає умов для реваскуляризації</w:t>
                    </w:r>
                  </w:p>
                </w:txbxContent>
              </v:textbox>
            </v:shape>
            <v:shape id="_x0000_s2174" type="#_x0000_t202" style="position:absolute;left:7656;top:4699;width:3288;height:632" stroked="f">
              <v:textbox style="mso-next-textbox:#_x0000_s2174">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Консервативна терапія</w:t>
                    </w:r>
                  </w:p>
                </w:txbxContent>
              </v:textbox>
            </v:shape>
            <v:shape id="_x0000_s2175" type="#_x0000_t202" style="position:absolute;left:6840;top:5790;width:4254;height:1020"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Хірургічна обробка, загоєння первинним\вторинним натягом</w:t>
                    </w:r>
                  </w:p>
                </w:txbxContent>
              </v:textbox>
            </v:shape>
            <v:shape id="_x0000_s2176" type="#_x0000_t202" style="position:absolute;left:2066;top:4980;width:2752;height:630" stroked="f">
              <v:textbox style="mso-next-textbox:#_x0000_s2176">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Хірургічна обробка</w:t>
                    </w:r>
                  </w:p>
                </w:txbxContent>
              </v:textbox>
            </v:shape>
            <v:shape id="_x0000_s2177" type="#_x0000_t32" style="position:absolute;left:4425;top:3465;width:402;height:135;flip:x" o:connectortype="straight">
              <v:stroke endarrow="block"/>
            </v:shape>
            <v:shape id="_x0000_s2178" type="#_x0000_t32" style="position:absolute;left:6840;top:3465;width:525;height:249" o:connectortype="straight">
              <v:stroke endarrow="block"/>
            </v:shape>
            <v:shape id="_x0000_s2179" type="#_x0000_t32" style="position:absolute;left:3135;top:4363;width:1;height:512" o:connectortype="straight">
              <v:stroke endarrow="block"/>
            </v:shape>
            <v:shape id="_x0000_s2180" type="#_x0000_t32" style="position:absolute;left:9045;top:4363;width:0;height:336" o:connectortype="straight">
              <v:stroke endarrow="block"/>
            </v:shape>
            <v:shape id="_x0000_s2181" type="#_x0000_t32" style="position:absolute;left:9165;top:5331;width:15;height:459" o:connectortype="straight">
              <v:stroke endarrow="block"/>
            </v:shape>
            <v:shape id="_x0000_s2182" type="#_x0000_t202" style="position:absolute;left:4818;top:6915;width:3102;height:585"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Волога гангрена стопи</w:t>
                    </w:r>
                  </w:p>
                </w:txbxContent>
              </v:textbox>
            </v:shape>
            <v:shape id="_x0000_s2183" type="#_x0000_t202" style="position:absolute;left:1860;top:9078;width:2958;height:1227"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Умовно-радикальна хірургічна обробка стопи</w:t>
                    </w:r>
                  </w:p>
                </w:txbxContent>
              </v:textbox>
            </v:shape>
            <v:shape id="_x0000_s2184" type="#_x0000_t202" style="position:absolute;left:1860;top:11115;width:3945;height:1125" stroked="f">
              <v:textbox>
                <w:txbxContent>
                  <w:p w:rsidR="00DA0A21" w:rsidRDefault="00DA0A21" w:rsidP="00A01923">
                    <w:pPr>
                      <w:spacing w:after="0" w:line="240" w:lineRule="auto"/>
                      <w:rPr>
                        <w:rFonts w:ascii="Times New Roman" w:hAnsi="Times New Roman"/>
                        <w:sz w:val="28"/>
                        <w:szCs w:val="28"/>
                        <w:lang w:val="uk-UA"/>
                      </w:rPr>
                    </w:pPr>
                    <w:r>
                      <w:rPr>
                        <w:rFonts w:ascii="Times New Roman" w:hAnsi="Times New Roman"/>
                        <w:sz w:val="28"/>
                        <w:szCs w:val="28"/>
                        <w:lang w:val="uk-UA"/>
                      </w:rPr>
                      <w:t>Реваскуляризація</w:t>
                    </w:r>
                  </w:p>
                  <w:p w:rsidR="00DA0A21" w:rsidRDefault="00DA0A21" w:rsidP="00A01923">
                    <w:pPr>
                      <w:spacing w:after="0" w:line="240" w:lineRule="auto"/>
                      <w:rPr>
                        <w:rFonts w:ascii="Times New Roman" w:hAnsi="Times New Roman"/>
                        <w:sz w:val="28"/>
                        <w:szCs w:val="28"/>
                        <w:lang w:val="uk-UA"/>
                      </w:rPr>
                    </w:pPr>
                    <w:r>
                      <w:rPr>
                        <w:rFonts w:ascii="Times New Roman" w:hAnsi="Times New Roman"/>
                        <w:sz w:val="28"/>
                        <w:szCs w:val="28"/>
                        <w:lang w:val="uk-UA"/>
                      </w:rPr>
                      <w:t>+</w:t>
                    </w:r>
                  </w:p>
                  <w:p w:rsidR="00DA0A21" w:rsidRDefault="00DA0A21" w:rsidP="00A01923">
                    <w:pPr>
                      <w:spacing w:after="0" w:line="240" w:lineRule="auto"/>
                      <w:rPr>
                        <w:rFonts w:ascii="Times New Roman" w:hAnsi="Times New Roman"/>
                        <w:sz w:val="28"/>
                        <w:szCs w:val="28"/>
                        <w:lang w:val="uk-UA"/>
                      </w:rPr>
                    </w:pPr>
                    <w:r>
                      <w:rPr>
                        <w:rFonts w:ascii="Times New Roman" w:hAnsi="Times New Roman"/>
                        <w:sz w:val="28"/>
                        <w:szCs w:val="28"/>
                        <w:lang w:val="uk-UA"/>
                      </w:rPr>
                      <w:t>Хірургічна обробка стопи</w:t>
                    </w:r>
                  </w:p>
                </w:txbxContent>
              </v:textbox>
            </v:shape>
            <v:shape id="_x0000_s2185" type="#_x0000_t202" style="position:absolute;left:6840;top:9078;width:4230;height:1485" stroked="f">
              <v:textbox>
                <w:txbxContent>
                  <w:p w:rsidR="00DA0A21" w:rsidRDefault="00DA0A21" w:rsidP="00A01923">
                    <w:pPr>
                      <w:spacing w:after="0" w:line="240" w:lineRule="auto"/>
                      <w:rPr>
                        <w:rFonts w:ascii="Times New Roman" w:hAnsi="Times New Roman"/>
                        <w:sz w:val="28"/>
                        <w:szCs w:val="28"/>
                        <w:lang w:val="uk-UA"/>
                      </w:rPr>
                    </w:pPr>
                    <w:r>
                      <w:rPr>
                        <w:rFonts w:ascii="Times New Roman" w:hAnsi="Times New Roman"/>
                        <w:sz w:val="28"/>
                        <w:szCs w:val="28"/>
                        <w:lang w:val="uk-UA"/>
                      </w:rPr>
                      <w:t>Умовно-радикальна хірургічна обробка стопи</w:t>
                    </w:r>
                  </w:p>
                  <w:p w:rsidR="00DA0A21" w:rsidRDefault="00DA0A21" w:rsidP="00A01923">
                    <w:pPr>
                      <w:spacing w:after="0" w:line="240" w:lineRule="auto"/>
                      <w:rPr>
                        <w:rFonts w:ascii="Times New Roman" w:hAnsi="Times New Roman"/>
                        <w:sz w:val="28"/>
                        <w:szCs w:val="28"/>
                        <w:lang w:val="uk-UA"/>
                      </w:rPr>
                    </w:pPr>
                    <w:r>
                      <w:rPr>
                        <w:rFonts w:ascii="Times New Roman" w:hAnsi="Times New Roman"/>
                        <w:sz w:val="28"/>
                        <w:szCs w:val="28"/>
                        <w:lang w:val="uk-UA"/>
                      </w:rPr>
                      <w:t>+</w:t>
                    </w:r>
                  </w:p>
                  <w:p w:rsidR="00DA0A21" w:rsidRDefault="00DA0A21" w:rsidP="00A01923">
                    <w:pPr>
                      <w:rPr>
                        <w:rFonts w:ascii="Times New Roman" w:hAnsi="Times New Roman"/>
                        <w:sz w:val="28"/>
                        <w:szCs w:val="28"/>
                        <w:lang w:val="uk-UA"/>
                      </w:rPr>
                    </w:pPr>
                    <w:r>
                      <w:rPr>
                        <w:rFonts w:ascii="Times New Roman" w:hAnsi="Times New Roman"/>
                        <w:sz w:val="28"/>
                        <w:szCs w:val="28"/>
                        <w:lang w:val="uk-UA"/>
                      </w:rPr>
                      <w:t>Консервативна терапія</w:t>
                    </w:r>
                  </w:p>
                  <w:p w:rsidR="00DA0A21" w:rsidRDefault="00DA0A21" w:rsidP="00A01923">
                    <w:pPr>
                      <w:rPr>
                        <w:rFonts w:ascii="Calibri" w:hAnsi="Calibri"/>
                      </w:rPr>
                    </w:pPr>
                  </w:p>
                </w:txbxContent>
              </v:textbox>
            </v:shape>
            <v:shape id="_x0000_s2186" type="#_x0000_t202" style="position:absolute;left:6840;top:11115;width:4396;height:1268;mso-width-relative:margin;mso-height-relative:margin" stroked="f">
              <v:textbox>
                <w:txbxContent>
                  <w:p w:rsidR="00DA0A21" w:rsidRDefault="00DA0A21" w:rsidP="00A01923">
                    <w:pPr>
                      <w:rPr>
                        <w:rFonts w:ascii="Times New Roman" w:hAnsi="Times New Roman"/>
                        <w:sz w:val="28"/>
                        <w:szCs w:val="28"/>
                        <w:lang w:val="uk-UA"/>
                      </w:rPr>
                    </w:pPr>
                    <w:r>
                      <w:rPr>
                        <w:rFonts w:ascii="Times New Roman" w:hAnsi="Times New Roman"/>
                        <w:sz w:val="28"/>
                        <w:szCs w:val="28"/>
                        <w:lang w:val="uk-UA"/>
                      </w:rPr>
                      <w:t>Хірургічна обробка, загоєння первинним\вторинним натягом або висока ампутація</w:t>
                    </w:r>
                  </w:p>
                  <w:p w:rsidR="00DA0A21" w:rsidRDefault="00DA0A21" w:rsidP="00A01923">
                    <w:pPr>
                      <w:rPr>
                        <w:rFonts w:ascii="Calibri" w:hAnsi="Calibri"/>
                        <w:lang w:val="uk-UA"/>
                      </w:rPr>
                    </w:pPr>
                  </w:p>
                </w:txbxContent>
              </v:textbox>
            </v:shape>
            <v:shape id="_x0000_s2187" type="#_x0000_t32" style="position:absolute;left:4200;top:7290;width:627;height:300;flip:x" o:connectortype="straight">
              <v:stroke endarrow="block"/>
            </v:shape>
            <v:shape id="_x0000_s2188" type="#_x0000_t32" style="position:absolute;left:7755;top:7290;width:660;height:450" o:connectortype="straight">
              <v:stroke endarrow="block"/>
            </v:shape>
            <v:shape id="_x0000_s2189" type="#_x0000_t32" style="position:absolute;left:3272;top:10361;width:1;height:631" o:connectortype="straight">
              <v:stroke endarrow="block"/>
            </v:shape>
            <v:shape id="_x0000_s2190" type="#_x0000_t32" style="position:absolute;left:8415;top:10563;width:0;height:429" o:connectortype="straight">
              <v:stroke endarrow="block"/>
            </v:shape>
            <v:shape id="_x0000_s2191" type="#_x0000_t202" style="position:absolute;left:6840;top:7740;width:3676;height:893" stroked="f">
              <v:textbox>
                <w:txbxContent>
                  <w:p w:rsidR="00DA0A21" w:rsidRDefault="00DA0A21" w:rsidP="00A01923">
                    <w:r>
                      <w:rPr>
                        <w:rFonts w:ascii="Times New Roman" w:hAnsi="Times New Roman"/>
                        <w:sz w:val="28"/>
                        <w:szCs w:val="28"/>
                        <w:lang w:val="uk-UA"/>
                      </w:rPr>
                      <w:t>Немає умов для реваскуляризації</w:t>
                    </w:r>
                  </w:p>
                </w:txbxContent>
              </v:textbox>
            </v:shape>
            <v:shape id="_x0000_s2192" type="#_x0000_t202" style="position:absolute;left:1860;top:7590;width:3115;height:882" stroked="f">
              <v:textbox>
                <w:txbxContent>
                  <w:p w:rsidR="00DA0A21" w:rsidRDefault="00DA0A21" w:rsidP="00A01923">
                    <w:r>
                      <w:rPr>
                        <w:rFonts w:ascii="Times New Roman" w:hAnsi="Times New Roman"/>
                        <w:sz w:val="28"/>
                        <w:szCs w:val="28"/>
                        <w:lang w:val="uk-UA"/>
                      </w:rPr>
                      <w:t>Є умови для реваскуляризації</w:t>
                    </w:r>
                  </w:p>
                </w:txbxContent>
              </v:textbox>
            </v:shape>
            <v:shape id="_x0000_s2193" type="#_x0000_t32" style="position:absolute;left:3273;top:8633;width:18;height:445" o:connectortype="straight">
              <v:stroke endarrow="block"/>
            </v:shape>
            <v:shape id="_x0000_s2194" type="#_x0000_t32" style="position:absolute;left:8415;top:8633;width:0;height:352" o:connectortype="straight">
              <v:stroke endarrow="block"/>
            </v:shape>
          </v:group>
        </w:pict>
      </w: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tabs>
          <w:tab w:val="left" w:pos="5950"/>
        </w:tabs>
        <w:spacing w:after="0" w:line="360" w:lineRule="auto"/>
        <w:ind w:left="-567" w:right="141" w:firstLine="567"/>
        <w:jc w:val="both"/>
        <w:rPr>
          <w:rFonts w:ascii="Times New Roman" w:hAnsi="Times New Roman"/>
          <w:color w:val="FF0000"/>
          <w:sz w:val="28"/>
          <w:szCs w:val="28"/>
          <w:lang w:val="uk-UA"/>
        </w:rPr>
      </w:pPr>
    </w:p>
    <w:p w:rsidR="00A01923" w:rsidRDefault="00A01923" w:rsidP="00A01923">
      <w:pPr>
        <w:pStyle w:val="ac"/>
        <w:spacing w:line="360" w:lineRule="auto"/>
        <w:ind w:left="-567" w:firstLine="567"/>
        <w:jc w:val="both"/>
        <w:rPr>
          <w:sz w:val="28"/>
          <w:szCs w:val="28"/>
          <w:shd w:val="clear" w:color="auto" w:fill="FFFFFF"/>
          <w:lang w:val="uk-UA"/>
        </w:rPr>
      </w:pPr>
      <w:r>
        <w:rPr>
          <w:sz w:val="28"/>
          <w:szCs w:val="28"/>
          <w:shd w:val="clear" w:color="auto" w:fill="FFFFFF"/>
          <w:lang w:val="uk-UA"/>
        </w:rPr>
        <w:t>Слід відзначити, що методи поперекової симпатектомії і проведення комплексної консервативної терапії виявляються малоефективними в лікуванні ХКІНК при гнійно-некротичному процесі на стопі в силу наявності протипоказань для прямої реваскуляризації і короткостроковості ефекту при виконанні поперекової симпатектомії.</w:t>
      </w:r>
    </w:p>
    <w:p w:rsidR="00A01923" w:rsidRDefault="00A01923" w:rsidP="00A01923">
      <w:pPr>
        <w:tabs>
          <w:tab w:val="left" w:pos="5950"/>
        </w:tabs>
        <w:spacing w:after="0" w:line="360" w:lineRule="auto"/>
        <w:ind w:left="-567" w:firstLine="567"/>
        <w:jc w:val="both"/>
        <w:rPr>
          <w:rFonts w:ascii="Times New Roman" w:hAnsi="Times New Roman"/>
          <w:b/>
          <w:sz w:val="28"/>
          <w:szCs w:val="28"/>
          <w:lang w:val="uk-UA"/>
        </w:rPr>
      </w:pPr>
      <w:r>
        <w:rPr>
          <w:rFonts w:ascii="Times New Roman" w:hAnsi="Times New Roman"/>
          <w:b/>
          <w:sz w:val="28"/>
          <w:szCs w:val="28"/>
          <w:lang w:val="uk-UA"/>
        </w:rPr>
        <w:lastRenderedPageBreak/>
        <w:t>5.2 Залежність показників ендотеліальної дисфункції від проведеного лікування</w:t>
      </w:r>
    </w:p>
    <w:p w:rsidR="00A01923" w:rsidRDefault="00A01923" w:rsidP="00A01923">
      <w:pPr>
        <w:tabs>
          <w:tab w:val="left" w:pos="5950"/>
        </w:tabs>
        <w:spacing w:after="0" w:line="360" w:lineRule="auto"/>
        <w:ind w:left="-567" w:firstLine="567"/>
        <w:jc w:val="center"/>
        <w:rPr>
          <w:rFonts w:ascii="Times New Roman" w:hAnsi="Times New Roman"/>
          <w:b/>
          <w:sz w:val="28"/>
          <w:szCs w:val="28"/>
          <w:lang w:val="uk-UA"/>
        </w:rPr>
      </w:pPr>
    </w:p>
    <w:p w:rsidR="00A01923" w:rsidRDefault="00A01923" w:rsidP="00A01923">
      <w:pPr>
        <w:tabs>
          <w:tab w:val="left" w:pos="5950"/>
        </w:tabs>
        <w:spacing w:after="0" w:line="360" w:lineRule="auto"/>
        <w:ind w:left="-567" w:firstLine="567"/>
        <w:jc w:val="center"/>
        <w:rPr>
          <w:rFonts w:ascii="Times New Roman" w:hAnsi="Times New Roman"/>
          <w:b/>
          <w:sz w:val="28"/>
          <w:szCs w:val="28"/>
          <w:lang w:val="uk-UA"/>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rPr>
        <w:t xml:space="preserve">Для перевірки залежності динаміки зміни рівню </w:t>
      </w:r>
      <w:r>
        <w:rPr>
          <w:rFonts w:ascii="Times New Roman" w:hAnsi="Times New Roman"/>
          <w:sz w:val="28"/>
          <w:szCs w:val="28"/>
          <w:lang w:val="en-US"/>
        </w:rPr>
        <w:t>VEGF</w:t>
      </w:r>
      <w:r>
        <w:rPr>
          <w:rFonts w:ascii="Times New Roman" w:hAnsi="Times New Roman"/>
          <w:sz w:val="28"/>
          <w:szCs w:val="28"/>
        </w:rPr>
        <w:t xml:space="preserve"> від </w:t>
      </w:r>
      <w:r>
        <w:rPr>
          <w:rFonts w:ascii="Times New Roman" w:hAnsi="Times New Roman"/>
          <w:sz w:val="28"/>
          <w:szCs w:val="28"/>
          <w:lang w:val="uk-UA"/>
        </w:rPr>
        <w:t>ступеню</w:t>
      </w:r>
      <w:r>
        <w:rPr>
          <w:rFonts w:ascii="Times New Roman" w:hAnsi="Times New Roman"/>
          <w:sz w:val="28"/>
          <w:szCs w:val="28"/>
        </w:rPr>
        <w:t xml:space="preserve"> ішемії та методу лікування, ми розподілили</w:t>
      </w:r>
      <w:r>
        <w:rPr>
          <w:rFonts w:ascii="Times New Roman" w:hAnsi="Times New Roman"/>
          <w:sz w:val="28"/>
          <w:szCs w:val="28"/>
          <w:lang w:val="uk-UA"/>
        </w:rPr>
        <w:t xml:space="preserve"> хворих основної групи</w:t>
      </w:r>
      <w:r>
        <w:rPr>
          <w:rFonts w:ascii="Times New Roman" w:hAnsi="Times New Roman"/>
          <w:sz w:val="28"/>
          <w:szCs w:val="28"/>
        </w:rPr>
        <w:t xml:space="preserve"> в залежності від</w:t>
      </w:r>
      <w:r>
        <w:rPr>
          <w:rFonts w:ascii="Times New Roman" w:hAnsi="Times New Roman"/>
          <w:sz w:val="28"/>
          <w:szCs w:val="28"/>
          <w:lang w:val="uk-UA"/>
        </w:rPr>
        <w:t xml:space="preserve"> </w:t>
      </w:r>
      <w:r>
        <w:rPr>
          <w:rFonts w:ascii="Times New Roman" w:hAnsi="Times New Roman"/>
          <w:sz w:val="28"/>
          <w:szCs w:val="28"/>
        </w:rPr>
        <w:t xml:space="preserve">проведеного лікування та </w:t>
      </w:r>
      <w:r>
        <w:rPr>
          <w:rFonts w:ascii="Times New Roman" w:hAnsi="Times New Roman"/>
          <w:sz w:val="28"/>
          <w:szCs w:val="28"/>
          <w:lang w:val="uk-UA"/>
        </w:rPr>
        <w:t>ступеню</w:t>
      </w:r>
      <w:r>
        <w:rPr>
          <w:rFonts w:ascii="Times New Roman" w:hAnsi="Times New Roman"/>
          <w:sz w:val="28"/>
          <w:szCs w:val="28"/>
        </w:rPr>
        <w:t xml:space="preserve"> ішемії. Середні показни</w:t>
      </w:r>
      <w:r>
        <w:rPr>
          <w:rFonts w:ascii="Times New Roman" w:hAnsi="Times New Roman"/>
          <w:sz w:val="28"/>
          <w:szCs w:val="28"/>
          <w:lang w:val="uk-UA"/>
        </w:rPr>
        <w:t>к</w:t>
      </w:r>
      <w:r>
        <w:rPr>
          <w:rFonts w:ascii="Times New Roman" w:hAnsi="Times New Roman"/>
          <w:sz w:val="28"/>
          <w:szCs w:val="28"/>
        </w:rPr>
        <w:t xml:space="preserve">и рівню </w:t>
      </w:r>
      <w:r>
        <w:rPr>
          <w:rFonts w:ascii="Times New Roman" w:hAnsi="Times New Roman"/>
          <w:sz w:val="28"/>
          <w:szCs w:val="28"/>
          <w:lang w:val="en-US"/>
        </w:rPr>
        <w:t>VEGF</w:t>
      </w:r>
      <w:r>
        <w:rPr>
          <w:rFonts w:ascii="Times New Roman" w:hAnsi="Times New Roman"/>
          <w:sz w:val="28"/>
          <w:szCs w:val="28"/>
        </w:rPr>
        <w:t xml:space="preserve"> у цих підгрупах представлені у таблиці </w:t>
      </w:r>
      <w:r>
        <w:rPr>
          <w:rFonts w:ascii="Times New Roman" w:hAnsi="Times New Roman"/>
          <w:sz w:val="28"/>
          <w:szCs w:val="28"/>
          <w:lang w:val="uk-UA"/>
        </w:rPr>
        <w:t>5.8</w:t>
      </w:r>
      <w:r>
        <w:rPr>
          <w:rFonts w:ascii="Times New Roman" w:hAnsi="Times New Roman"/>
          <w:sz w:val="28"/>
          <w:szCs w:val="28"/>
        </w:rPr>
        <w:t>.</w:t>
      </w:r>
      <w:r>
        <w:rPr>
          <w:rFonts w:ascii="Times New Roman" w:hAnsi="Times New Roman"/>
          <w:sz w:val="28"/>
          <w:szCs w:val="28"/>
          <w:lang w:val="uk-UA"/>
        </w:rPr>
        <w:t xml:space="preserve"> Контрольний рівень визначався у 15 умовно-здорових людей віком старше 60 років.</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lang w:val="uk-UA"/>
        </w:rPr>
        <w:t>Таблиця 5.8</w:t>
      </w:r>
    </w:p>
    <w:p w:rsidR="00A01923" w:rsidRDefault="00A01923" w:rsidP="00A01923">
      <w:pPr>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t xml:space="preserve">Середні значення рівня </w:t>
      </w:r>
      <w:r>
        <w:rPr>
          <w:rFonts w:ascii="Times New Roman" w:hAnsi="Times New Roman"/>
          <w:b/>
          <w:sz w:val="28"/>
          <w:szCs w:val="28"/>
          <w:lang w:val="en-US"/>
        </w:rPr>
        <w:t>VEGF</w:t>
      </w:r>
      <w:r>
        <w:rPr>
          <w:rFonts w:ascii="Times New Roman" w:hAnsi="Times New Roman"/>
          <w:b/>
          <w:sz w:val="28"/>
          <w:szCs w:val="28"/>
          <w:lang w:val="uk-UA"/>
        </w:rPr>
        <w:t xml:space="preserve"> у хворих в залежності від ступеню ішемії та методу лікування хворих основної групи</w:t>
      </w:r>
    </w:p>
    <w:tbl>
      <w:tblPr>
        <w:tblW w:w="970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01"/>
        <w:gridCol w:w="1725"/>
        <w:gridCol w:w="1413"/>
        <w:gridCol w:w="1727"/>
        <w:gridCol w:w="1569"/>
        <w:gridCol w:w="1570"/>
      </w:tblGrid>
      <w:tr w:rsidR="00A01923" w:rsidTr="00A01923">
        <w:trPr>
          <w:trHeight w:val="2425"/>
        </w:trPr>
        <w:tc>
          <w:tcPr>
            <w:tcW w:w="1701" w:type="dxa"/>
            <w:tcBorders>
              <w:top w:val="single" w:sz="4" w:space="0" w:color="000000"/>
              <w:left w:val="single" w:sz="4" w:space="0" w:color="000000"/>
              <w:bottom w:val="single" w:sz="4" w:space="0" w:color="000000"/>
              <w:right w:val="single" w:sz="4" w:space="0" w:color="000000"/>
            </w:tcBorders>
            <w:vAlign w:val="center"/>
          </w:tcPr>
          <w:p w:rsidR="00A01923" w:rsidRDefault="00A01923">
            <w:pPr>
              <w:autoSpaceDE w:val="0"/>
              <w:autoSpaceDN w:val="0"/>
              <w:adjustRightInd w:val="0"/>
              <w:spacing w:after="0"/>
              <w:jc w:val="right"/>
              <w:rPr>
                <w:rFonts w:ascii="Times New Roman" w:eastAsia="Times New Roman" w:hAnsi="Times New Roman"/>
                <w:sz w:val="28"/>
                <w:szCs w:val="28"/>
              </w:rPr>
            </w:pPr>
            <w:r>
              <w:rPr>
                <w:rFonts w:ascii="Times New Roman" w:hAnsi="Times New Roman"/>
                <w:sz w:val="28"/>
                <w:szCs w:val="28"/>
              </w:rPr>
              <w:t xml:space="preserve">Підгрупа </w:t>
            </w:r>
            <w:r>
              <w:rPr>
                <w:rFonts w:ascii="Times New Roman" w:hAnsi="Times New Roman"/>
                <w:sz w:val="28"/>
                <w:szCs w:val="28"/>
                <w:lang w:val="uk-UA"/>
              </w:rPr>
              <w:t xml:space="preserve">      </w:t>
            </w:r>
            <w:r>
              <w:rPr>
                <w:rFonts w:ascii="Times New Roman" w:hAnsi="Times New Roman"/>
                <w:sz w:val="28"/>
                <w:szCs w:val="28"/>
              </w:rPr>
              <w:t>хворих</w:t>
            </w:r>
          </w:p>
          <w:p w:rsidR="00A01923" w:rsidRDefault="00A01923">
            <w:pPr>
              <w:autoSpaceDE w:val="0"/>
              <w:autoSpaceDN w:val="0"/>
              <w:adjustRightInd w:val="0"/>
              <w:spacing w:after="0"/>
              <w:jc w:val="center"/>
              <w:rPr>
                <w:rFonts w:ascii="Times New Roman" w:hAnsi="Times New Roman"/>
                <w:sz w:val="28"/>
                <w:szCs w:val="28"/>
              </w:rPr>
            </w:pPr>
          </w:p>
          <w:p w:rsidR="00A01923" w:rsidRDefault="00A01923">
            <w:pPr>
              <w:autoSpaceDE w:val="0"/>
              <w:autoSpaceDN w:val="0"/>
              <w:adjustRightInd w:val="0"/>
              <w:spacing w:after="0"/>
              <w:rPr>
                <w:rFonts w:ascii="Times New Roman" w:eastAsia="Times New Roman" w:hAnsi="Times New Roman"/>
                <w:sz w:val="28"/>
                <w:szCs w:val="28"/>
              </w:rPr>
            </w:pPr>
            <w:r>
              <w:rPr>
                <w:rFonts w:ascii="Times New Roman" w:hAnsi="Times New Roman"/>
                <w:sz w:val="28"/>
                <w:szCs w:val="28"/>
              </w:rPr>
              <w:t>Строки визначення</w:t>
            </w:r>
          </w:p>
        </w:tc>
        <w:tc>
          <w:tcPr>
            <w:tcW w:w="172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ІІІ </w:t>
            </w:r>
            <w:r>
              <w:rPr>
                <w:rFonts w:ascii="Times New Roman" w:hAnsi="Times New Roman"/>
                <w:sz w:val="28"/>
                <w:szCs w:val="28"/>
                <w:lang w:val="uk-UA"/>
              </w:rPr>
              <w:t>ступінь</w:t>
            </w:r>
            <w:r>
              <w:rPr>
                <w:rFonts w:ascii="Times New Roman" w:hAnsi="Times New Roman"/>
                <w:sz w:val="28"/>
                <w:szCs w:val="28"/>
              </w:rPr>
              <w:t xml:space="preserve"> ішемії, консервативна терапія</w:t>
            </w:r>
          </w:p>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=7)</w:t>
            </w:r>
          </w:p>
        </w:tc>
        <w:tc>
          <w:tcPr>
            <w:tcW w:w="141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ІІІ </w:t>
            </w:r>
            <w:r>
              <w:rPr>
                <w:rFonts w:ascii="Times New Roman" w:hAnsi="Times New Roman"/>
                <w:sz w:val="28"/>
                <w:szCs w:val="28"/>
                <w:lang w:val="uk-UA"/>
              </w:rPr>
              <w:t>ступінь</w:t>
            </w:r>
            <w:r>
              <w:rPr>
                <w:rFonts w:ascii="Times New Roman" w:hAnsi="Times New Roman"/>
                <w:sz w:val="28"/>
                <w:szCs w:val="28"/>
              </w:rPr>
              <w:t xml:space="preserve"> ішемії, ЧБА</w:t>
            </w:r>
          </w:p>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=2)</w:t>
            </w:r>
          </w:p>
        </w:tc>
        <w:tc>
          <w:tcPr>
            <w:tcW w:w="172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консервативна терапія</w:t>
            </w:r>
          </w:p>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=7)</w:t>
            </w:r>
          </w:p>
        </w:tc>
        <w:tc>
          <w:tcPr>
            <w:tcW w:w="157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ЧБА</w:t>
            </w:r>
          </w:p>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=9)</w:t>
            </w:r>
          </w:p>
        </w:tc>
        <w:tc>
          <w:tcPr>
            <w:tcW w:w="157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СГШ</w:t>
            </w:r>
          </w:p>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=3)</w:t>
            </w:r>
          </w:p>
        </w:tc>
      </w:tr>
      <w:tr w:rsidR="00A01923" w:rsidTr="00A01923">
        <w:trPr>
          <w:trHeight w:val="800"/>
        </w:trPr>
        <w:tc>
          <w:tcPr>
            <w:tcW w:w="170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lang w:val="uk-UA"/>
              </w:rPr>
            </w:pPr>
            <w:r>
              <w:rPr>
                <w:rFonts w:ascii="Times New Roman" w:hAnsi="Times New Roman"/>
                <w:sz w:val="28"/>
                <w:szCs w:val="28"/>
              </w:rPr>
              <w:t>Вихідні дані</w:t>
            </w:r>
            <w:r>
              <w:rPr>
                <w:rFonts w:ascii="Times New Roman" w:hAnsi="Times New Roman"/>
                <w:sz w:val="28"/>
                <w:szCs w:val="28"/>
                <w:lang w:val="uk-UA"/>
              </w:rPr>
              <w:t xml:space="preserve"> (</w:t>
            </w:r>
            <w:r>
              <w:rPr>
                <w:rFonts w:ascii="Times New Roman" w:hAnsi="Times New Roman"/>
                <w:sz w:val="28"/>
                <w:szCs w:val="28"/>
              </w:rPr>
              <w:t>пг\мл</w:t>
            </w:r>
            <w:r>
              <w:rPr>
                <w:rFonts w:ascii="Times New Roman" w:hAnsi="Times New Roman"/>
                <w:sz w:val="28"/>
                <w:szCs w:val="28"/>
                <w:lang w:val="uk-UA"/>
              </w:rPr>
              <w:t>)</w:t>
            </w:r>
          </w:p>
        </w:tc>
        <w:tc>
          <w:tcPr>
            <w:tcW w:w="1725"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359,6 ± </w:t>
            </w:r>
            <w:r>
              <w:rPr>
                <w:rFonts w:ascii="Times New Roman" w:hAnsi="Times New Roman"/>
                <w:sz w:val="28"/>
                <w:szCs w:val="28"/>
                <w:u w:val="single"/>
                <w:lang w:val="uk-UA"/>
              </w:rPr>
              <w:t xml:space="preserve"> </w:t>
            </w:r>
            <w:r>
              <w:rPr>
                <w:rFonts w:ascii="Times New Roman" w:hAnsi="Times New Roman"/>
                <w:sz w:val="28"/>
                <w:szCs w:val="28"/>
              </w:rPr>
              <w:t>63,12*</w:t>
            </w:r>
          </w:p>
        </w:tc>
        <w:tc>
          <w:tcPr>
            <w:tcW w:w="141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315±  128,7*</w:t>
            </w:r>
          </w:p>
        </w:tc>
        <w:tc>
          <w:tcPr>
            <w:tcW w:w="1728"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253,3±  28,6*</w:t>
            </w:r>
          </w:p>
        </w:tc>
        <w:tc>
          <w:tcPr>
            <w:tcW w:w="1570"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268,4± 27,04*</w:t>
            </w:r>
          </w:p>
        </w:tc>
        <w:tc>
          <w:tcPr>
            <w:tcW w:w="157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240,3± 14,47*</w:t>
            </w:r>
          </w:p>
        </w:tc>
      </w:tr>
      <w:tr w:rsidR="00A01923" w:rsidTr="00A01923">
        <w:trPr>
          <w:trHeight w:val="673"/>
        </w:trPr>
        <w:tc>
          <w:tcPr>
            <w:tcW w:w="170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lang w:val="uk-UA"/>
              </w:rPr>
            </w:pPr>
            <w:r>
              <w:rPr>
                <w:rFonts w:ascii="Times New Roman" w:hAnsi="Times New Roman"/>
                <w:sz w:val="28"/>
                <w:szCs w:val="28"/>
              </w:rPr>
              <w:t>6 міс</w:t>
            </w:r>
            <w:r>
              <w:rPr>
                <w:rFonts w:ascii="Times New Roman" w:hAnsi="Times New Roman"/>
                <w:sz w:val="28"/>
                <w:szCs w:val="28"/>
                <w:lang w:val="uk-UA"/>
              </w:rPr>
              <w:t>. (</w:t>
            </w:r>
            <w:r>
              <w:rPr>
                <w:rFonts w:ascii="Times New Roman" w:hAnsi="Times New Roman"/>
                <w:sz w:val="28"/>
                <w:szCs w:val="28"/>
              </w:rPr>
              <w:t>пг\мл</w:t>
            </w:r>
            <w:r>
              <w:rPr>
                <w:rFonts w:ascii="Times New Roman" w:hAnsi="Times New Roman"/>
                <w:sz w:val="28"/>
                <w:szCs w:val="28"/>
                <w:lang w:val="uk-UA"/>
              </w:rPr>
              <w:t>)</w:t>
            </w:r>
          </w:p>
        </w:tc>
        <w:tc>
          <w:tcPr>
            <w:tcW w:w="1725"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362,4 ± </w:t>
            </w:r>
            <w:r>
              <w:rPr>
                <w:rFonts w:ascii="Times New Roman" w:hAnsi="Times New Roman"/>
                <w:sz w:val="28"/>
                <w:szCs w:val="28"/>
                <w:u w:val="single"/>
                <w:lang w:val="uk-UA"/>
              </w:rPr>
              <w:t xml:space="preserve"> </w:t>
            </w:r>
            <w:r>
              <w:rPr>
                <w:rFonts w:ascii="Times New Roman" w:hAnsi="Times New Roman"/>
                <w:sz w:val="28"/>
                <w:szCs w:val="28"/>
              </w:rPr>
              <w:t>64,74*</w:t>
            </w:r>
          </w:p>
        </w:tc>
        <w:tc>
          <w:tcPr>
            <w:tcW w:w="1414"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402,5 ± </w:t>
            </w:r>
            <w:r>
              <w:rPr>
                <w:rFonts w:ascii="Times New Roman" w:hAnsi="Times New Roman"/>
                <w:sz w:val="28"/>
                <w:szCs w:val="28"/>
                <w:u w:val="single"/>
                <w:lang w:val="uk-UA"/>
              </w:rPr>
              <w:t xml:space="preserve"> </w:t>
            </w:r>
            <w:r>
              <w:rPr>
                <w:rFonts w:ascii="Times New Roman" w:hAnsi="Times New Roman"/>
                <w:sz w:val="28"/>
                <w:szCs w:val="28"/>
              </w:rPr>
              <w:t>24,75*</w:t>
            </w:r>
          </w:p>
        </w:tc>
        <w:tc>
          <w:tcPr>
            <w:tcW w:w="1728"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295,3 ± 39,01*</w:t>
            </w:r>
          </w:p>
        </w:tc>
        <w:tc>
          <w:tcPr>
            <w:tcW w:w="1570"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354,3 ± 35,77*#</w:t>
            </w:r>
          </w:p>
        </w:tc>
        <w:tc>
          <w:tcPr>
            <w:tcW w:w="157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352 ± 32,8*#</w:t>
            </w:r>
          </w:p>
        </w:tc>
      </w:tr>
      <w:tr w:rsidR="00A01923" w:rsidTr="00A01923">
        <w:trPr>
          <w:trHeight w:val="843"/>
        </w:trPr>
        <w:tc>
          <w:tcPr>
            <w:tcW w:w="170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lang w:val="uk-UA"/>
              </w:rPr>
            </w:pPr>
            <w:r>
              <w:rPr>
                <w:rFonts w:ascii="Times New Roman" w:hAnsi="Times New Roman"/>
                <w:sz w:val="28"/>
                <w:szCs w:val="28"/>
              </w:rPr>
              <w:t>12 міс</w:t>
            </w:r>
            <w:r>
              <w:rPr>
                <w:rFonts w:ascii="Times New Roman" w:hAnsi="Times New Roman"/>
                <w:sz w:val="28"/>
                <w:szCs w:val="28"/>
                <w:lang w:val="uk-UA"/>
              </w:rPr>
              <w:t>. (</w:t>
            </w:r>
            <w:r>
              <w:rPr>
                <w:rFonts w:ascii="Times New Roman" w:hAnsi="Times New Roman"/>
                <w:sz w:val="28"/>
                <w:szCs w:val="28"/>
              </w:rPr>
              <w:t>пг\мл</w:t>
            </w:r>
            <w:r>
              <w:rPr>
                <w:rFonts w:ascii="Times New Roman" w:hAnsi="Times New Roman"/>
                <w:sz w:val="28"/>
                <w:szCs w:val="28"/>
                <w:lang w:val="uk-UA"/>
              </w:rPr>
              <w:t>)</w:t>
            </w:r>
          </w:p>
        </w:tc>
        <w:tc>
          <w:tcPr>
            <w:tcW w:w="1725"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309,3 ± 59,66*</w:t>
            </w:r>
          </w:p>
        </w:tc>
        <w:tc>
          <w:tcPr>
            <w:tcW w:w="1414"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 xml:space="preserve">355,5 ± </w:t>
            </w:r>
            <w:r>
              <w:rPr>
                <w:rFonts w:ascii="Times New Roman" w:hAnsi="Times New Roman"/>
                <w:sz w:val="28"/>
                <w:szCs w:val="28"/>
                <w:u w:val="single"/>
                <w:lang w:val="uk-UA"/>
              </w:rPr>
              <w:t xml:space="preserve"> </w:t>
            </w:r>
            <w:r>
              <w:rPr>
                <w:rFonts w:ascii="Times New Roman" w:hAnsi="Times New Roman"/>
                <w:sz w:val="28"/>
                <w:szCs w:val="28"/>
              </w:rPr>
              <w:t>55,8*</w:t>
            </w:r>
          </w:p>
        </w:tc>
        <w:tc>
          <w:tcPr>
            <w:tcW w:w="1728"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255,7± 22,5*</w:t>
            </w:r>
          </w:p>
        </w:tc>
        <w:tc>
          <w:tcPr>
            <w:tcW w:w="1570"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296,2</w:t>
            </w:r>
            <w:r>
              <w:rPr>
                <w:rFonts w:ascii="Times New Roman" w:hAnsi="Times New Roman"/>
                <w:sz w:val="28"/>
                <w:szCs w:val="28"/>
                <w:lang w:val="uk-UA"/>
              </w:rPr>
              <w:t xml:space="preserve"> </w:t>
            </w:r>
            <w:r>
              <w:rPr>
                <w:rFonts w:ascii="Times New Roman" w:hAnsi="Times New Roman"/>
                <w:sz w:val="28"/>
                <w:szCs w:val="28"/>
              </w:rPr>
              <w:t>±  21,8*#</w:t>
            </w:r>
          </w:p>
        </w:tc>
        <w:tc>
          <w:tcPr>
            <w:tcW w:w="157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282,7 ±</w:t>
            </w:r>
            <w:r>
              <w:rPr>
                <w:rFonts w:ascii="Times New Roman" w:hAnsi="Times New Roman"/>
                <w:sz w:val="28"/>
                <w:szCs w:val="28"/>
                <w:u w:val="single"/>
                <w:lang w:val="uk-UA"/>
              </w:rPr>
              <w:t xml:space="preserve"> </w:t>
            </w:r>
            <w:r>
              <w:rPr>
                <w:rFonts w:ascii="Times New Roman" w:hAnsi="Times New Roman"/>
                <w:sz w:val="28"/>
                <w:szCs w:val="28"/>
              </w:rPr>
              <w:t>29,01*</w:t>
            </w:r>
          </w:p>
        </w:tc>
      </w:tr>
      <w:tr w:rsidR="00A01923" w:rsidTr="00A01923">
        <w:trPr>
          <w:trHeight w:val="995"/>
        </w:trPr>
        <w:tc>
          <w:tcPr>
            <w:tcW w:w="1701"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Контроль</w:t>
            </w:r>
            <w:r>
              <w:rPr>
                <w:rFonts w:ascii="Times New Roman" w:hAnsi="Times New Roman"/>
                <w:sz w:val="28"/>
                <w:szCs w:val="28"/>
                <w:lang w:val="uk-UA"/>
              </w:rPr>
              <w:t xml:space="preserve"> </w:t>
            </w:r>
            <w:r>
              <w:rPr>
                <w:rFonts w:ascii="Times New Roman" w:hAnsi="Times New Roman"/>
                <w:sz w:val="28"/>
                <w:szCs w:val="28"/>
              </w:rPr>
              <w:t>пг\мл</w:t>
            </w:r>
          </w:p>
        </w:tc>
        <w:tc>
          <w:tcPr>
            <w:tcW w:w="8008" w:type="dxa"/>
            <w:gridSpan w:val="5"/>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jc w:val="center"/>
              <w:rPr>
                <w:rFonts w:ascii="Times New Roman" w:eastAsia="Times New Roman" w:hAnsi="Times New Roman"/>
                <w:sz w:val="28"/>
                <w:szCs w:val="28"/>
              </w:rPr>
            </w:pPr>
            <w:r>
              <w:rPr>
                <w:rFonts w:ascii="Times New Roman" w:hAnsi="Times New Roman"/>
                <w:sz w:val="28"/>
                <w:szCs w:val="28"/>
              </w:rPr>
              <w:t>59</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12,58</w:t>
            </w:r>
          </w:p>
        </w:tc>
      </w:tr>
    </w:tbl>
    <w:p w:rsidR="00A01923" w:rsidRDefault="00A01923" w:rsidP="00A01923">
      <w:pPr>
        <w:tabs>
          <w:tab w:val="left" w:pos="5925"/>
        </w:tabs>
        <w:spacing w:after="0"/>
        <w:ind w:left="-567" w:firstLine="567"/>
        <w:jc w:val="both"/>
        <w:rPr>
          <w:rFonts w:ascii="Times New Roman" w:eastAsia="Times New Roman" w:hAnsi="Times New Roman"/>
          <w:sz w:val="28"/>
          <w:szCs w:val="28"/>
          <w:lang w:val="uk-UA"/>
        </w:rPr>
      </w:pPr>
      <w:r>
        <w:rPr>
          <w:rFonts w:ascii="Times New Roman" w:hAnsi="Times New Roman"/>
          <w:sz w:val="28"/>
          <w:szCs w:val="28"/>
          <w:lang w:val="uk-UA"/>
        </w:rPr>
        <w:t>Примітка:</w:t>
      </w:r>
      <w:r>
        <w:rPr>
          <w:rFonts w:ascii="Times New Roman" w:hAnsi="Times New Roman"/>
          <w:sz w:val="28"/>
          <w:szCs w:val="28"/>
        </w:rPr>
        <w:t xml:space="preserve"> *─ достовірна різниця з контролем</w:t>
      </w:r>
    </w:p>
    <w:p w:rsidR="00A01923" w:rsidRDefault="00A01923" w:rsidP="00A01923">
      <w:pPr>
        <w:tabs>
          <w:tab w:val="left" w:pos="5925"/>
        </w:tabs>
        <w:spacing w:after="0"/>
        <w:ind w:left="-567" w:firstLine="567"/>
        <w:jc w:val="both"/>
        <w:rPr>
          <w:rFonts w:ascii="Times New Roman" w:hAnsi="Times New Roman"/>
          <w:sz w:val="28"/>
          <w:szCs w:val="28"/>
          <w:lang w:val="uk-UA"/>
        </w:rPr>
      </w:pPr>
      <w:r>
        <w:rPr>
          <w:rFonts w:ascii="Times New Roman" w:hAnsi="Times New Roman"/>
          <w:sz w:val="28"/>
          <w:szCs w:val="28"/>
          <w:lang w:val="uk-UA"/>
        </w:rPr>
        <w:t xml:space="preserve">                  #─ достовірна різниця з вихідним рівнем</w:t>
      </w:r>
    </w:p>
    <w:p w:rsidR="00A01923" w:rsidRPr="004C4BD2" w:rsidRDefault="00A01923" w:rsidP="00A01923">
      <w:pPr>
        <w:spacing w:line="360" w:lineRule="auto"/>
        <w:ind w:left="-567" w:firstLine="567"/>
        <w:jc w:val="both"/>
        <w:rPr>
          <w:rFonts w:ascii="Times New Roman" w:hAnsi="Times New Roman"/>
          <w:sz w:val="28"/>
          <w:lang w:val="uk-UA"/>
        </w:rPr>
      </w:pPr>
      <w:r>
        <w:rPr>
          <w:rFonts w:ascii="Times New Roman" w:hAnsi="Times New Roman"/>
          <w:sz w:val="28"/>
        </w:rPr>
        <w:t>Залежність рівн</w:t>
      </w:r>
      <w:r w:rsidR="00986357">
        <w:rPr>
          <w:rFonts w:ascii="Times New Roman" w:hAnsi="Times New Roman"/>
          <w:sz w:val="28"/>
          <w:lang w:val="uk-UA"/>
        </w:rPr>
        <w:t>я</w:t>
      </w:r>
      <w:r>
        <w:rPr>
          <w:rFonts w:ascii="Times New Roman" w:hAnsi="Times New Roman"/>
          <w:sz w:val="28"/>
        </w:rPr>
        <w:t xml:space="preserve"> VEGF від </w:t>
      </w:r>
      <w:r w:rsidR="00986357">
        <w:rPr>
          <w:rFonts w:ascii="Times New Roman" w:hAnsi="Times New Roman"/>
          <w:sz w:val="28"/>
          <w:lang w:val="uk-UA"/>
        </w:rPr>
        <w:t>ступеню</w:t>
      </w:r>
      <w:r>
        <w:rPr>
          <w:rFonts w:ascii="Times New Roman" w:hAnsi="Times New Roman"/>
          <w:sz w:val="28"/>
        </w:rPr>
        <w:t xml:space="preserve"> ішемії та методу лікування у динаміці представлен</w:t>
      </w:r>
      <w:r>
        <w:rPr>
          <w:rFonts w:ascii="Times New Roman" w:hAnsi="Times New Roman"/>
          <w:sz w:val="28"/>
          <w:lang w:val="uk-UA"/>
        </w:rPr>
        <w:t>А</w:t>
      </w:r>
      <w:r>
        <w:rPr>
          <w:rFonts w:ascii="Times New Roman" w:hAnsi="Times New Roman"/>
          <w:sz w:val="28"/>
        </w:rPr>
        <w:t xml:space="preserve"> на рисунку </w:t>
      </w:r>
      <w:r>
        <w:rPr>
          <w:rFonts w:ascii="Times New Roman" w:hAnsi="Times New Roman"/>
          <w:sz w:val="28"/>
          <w:lang w:val="uk-UA"/>
        </w:rPr>
        <w:t>5.2</w:t>
      </w:r>
      <w:r>
        <w:rPr>
          <w:rFonts w:ascii="Times New Roman" w:hAnsi="Times New Roman"/>
          <w:sz w:val="28"/>
        </w:rPr>
        <w:t>.</w:t>
      </w:r>
      <w:r>
        <w:rPr>
          <w:rFonts w:ascii="Times New Roman" w:hAnsi="Times New Roman"/>
          <w:color w:val="FF0000"/>
          <w:sz w:val="28"/>
        </w:rPr>
        <w:t xml:space="preserve"> </w:t>
      </w:r>
      <w:r w:rsidR="004C4BD2">
        <w:rPr>
          <w:rFonts w:ascii="Times New Roman" w:hAnsi="Times New Roman"/>
          <w:color w:val="FF0000"/>
          <w:sz w:val="28"/>
          <w:lang w:val="uk-UA"/>
        </w:rPr>
        <w:t xml:space="preserve"> </w:t>
      </w:r>
      <w:r w:rsidR="004C4BD2">
        <w:rPr>
          <w:rFonts w:ascii="Times New Roman" w:hAnsi="Times New Roman"/>
          <w:sz w:val="28"/>
          <w:lang w:val="uk-UA"/>
        </w:rPr>
        <w:t xml:space="preserve">Проведені дослідження показали, що вихідні рівні </w:t>
      </w:r>
      <w:r w:rsidR="004C4BD2">
        <w:rPr>
          <w:rFonts w:ascii="Times New Roman" w:hAnsi="Times New Roman"/>
          <w:sz w:val="28"/>
        </w:rPr>
        <w:t>VEGF</w:t>
      </w:r>
      <w:r w:rsidR="004C4BD2">
        <w:rPr>
          <w:rFonts w:ascii="Times New Roman" w:hAnsi="Times New Roman"/>
          <w:sz w:val="28"/>
          <w:lang w:val="uk-UA"/>
        </w:rPr>
        <w:t xml:space="preserve"> мали вірогідну різницю при порівнянні їх рівня у хворих з ІІІ та </w:t>
      </w:r>
      <w:r w:rsidR="004C4BD2">
        <w:rPr>
          <w:rFonts w:ascii="Times New Roman" w:hAnsi="Times New Roman"/>
          <w:sz w:val="28"/>
        </w:rPr>
        <w:t>IV</w:t>
      </w:r>
      <w:r w:rsidR="004C4BD2">
        <w:rPr>
          <w:rFonts w:ascii="Times New Roman" w:hAnsi="Times New Roman"/>
          <w:sz w:val="28"/>
          <w:lang w:val="uk-UA"/>
        </w:rPr>
        <w:t xml:space="preserve"> ступенем ішемії, яким проводили консервативну терапію (р=0,001).</w:t>
      </w:r>
    </w:p>
    <w:p w:rsidR="00A01923" w:rsidRPr="00932174" w:rsidRDefault="00487043" w:rsidP="00A01923">
      <w:pPr>
        <w:ind w:left="-567" w:firstLine="567"/>
        <w:jc w:val="right"/>
        <w:rPr>
          <w:rFonts w:ascii="Times New Roman" w:hAnsi="Times New Roman"/>
          <w:sz w:val="28"/>
          <w:lang w:val="uk-UA"/>
        </w:rPr>
      </w:pPr>
      <w:r w:rsidRPr="00487043">
        <w:rPr>
          <w:rFonts w:ascii="Calibri" w:hAnsi="Calibri"/>
        </w:rPr>
        <w:lastRenderedPageBreak/>
        <w:pict>
          <v:group id="_x0000_s2166" style="position:absolute;left:0;text-align:left;margin-left:-19.75pt;margin-top:5.85pt;width:480.75pt;height:355.55pt;z-index:251663872" coordorigin="1306,6281" coordsize="9615,7111">
            <v:shape id="_x0000_s2167" type="#_x0000_t202" style="position:absolute;left:1441;top:6281;width:8778;height:6800;mso-wrap-style:none" stroked="f">
              <v:textbox style="mso-next-textbox:#_x0000_s2167">
                <w:txbxContent>
                  <w:p w:rsidR="00DA0A21" w:rsidRDefault="00DA0A21" w:rsidP="00A01923">
                    <w:r w:rsidRPr="00454A41">
                      <w:rPr>
                        <w:rFonts w:ascii="Times New Roman" w:eastAsia="Times New Roman" w:hAnsi="Times New Roman" w:cs="Times New Roman"/>
                        <w:sz w:val="28"/>
                      </w:rPr>
                      <w:object w:dxaOrig="11442" w:dyaOrig="8882">
                        <v:shape id="_x0000_i1073" type="#_x0000_t75" style="width:424.55pt;height:332.7pt" o:ole="">
                          <v:imagedata r:id="rId65" o:title=""/>
                        </v:shape>
                        <o:OLEObject Type="Embed" ProgID="MSGraph.Chart.8" ShapeID="_x0000_i1073" DrawAspect="Content" ObjectID="_1585401165" r:id="rId66">
                          <o:FieldCodes>\s</o:FieldCodes>
                        </o:OLEObject>
                      </w:object>
                    </w:r>
                  </w:p>
                </w:txbxContent>
              </v:textbox>
            </v:shape>
            <v:shape id="_x0000_s2168" type="#_x0000_t202" style="position:absolute;left:1306;top:12744;width:9615;height:648" stroked="f">
              <v:textbox style="mso-next-textbox:#_x0000_s2168">
                <w:txbxContent>
                  <w:p w:rsidR="00DA0A21" w:rsidRDefault="00DA0A21" w:rsidP="00A01923">
                    <w:pPr>
                      <w:tabs>
                        <w:tab w:val="left" w:pos="5950"/>
                      </w:tabs>
                      <w:spacing w:line="360" w:lineRule="auto"/>
                      <w:ind w:left="-567" w:right="141" w:firstLine="567"/>
                      <w:jc w:val="center"/>
                      <w:rPr>
                        <w:rFonts w:ascii="Times New Roman" w:hAnsi="Times New Roman"/>
                        <w:sz w:val="28"/>
                        <w:lang w:val="uk-UA"/>
                      </w:rPr>
                    </w:pPr>
                    <w:r>
                      <w:rPr>
                        <w:rFonts w:ascii="Times New Roman" w:hAnsi="Times New Roman"/>
                        <w:sz w:val="28"/>
                      </w:rPr>
                      <w:t>Рис. 5.</w:t>
                    </w:r>
                    <w:r>
                      <w:rPr>
                        <w:rFonts w:ascii="Times New Roman" w:hAnsi="Times New Roman"/>
                        <w:sz w:val="28"/>
                        <w:lang w:val="uk-UA"/>
                      </w:rPr>
                      <w:t>2</w:t>
                    </w:r>
                    <w:r>
                      <w:rPr>
                        <w:rFonts w:ascii="Times New Roman" w:hAnsi="Times New Roman"/>
                        <w:sz w:val="28"/>
                      </w:rPr>
                      <w:t xml:space="preserve"> Динаміка змін показників VEGF у хворих основної групи </w:t>
                    </w:r>
                  </w:p>
                </w:txbxContent>
              </v:textbox>
            </v:shape>
          </v:group>
        </w:pict>
      </w: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Pr="00932174" w:rsidRDefault="00A01923" w:rsidP="00A01923">
      <w:pPr>
        <w:spacing w:line="360" w:lineRule="auto"/>
        <w:ind w:left="-567" w:firstLine="567"/>
        <w:jc w:val="right"/>
        <w:rPr>
          <w:rFonts w:ascii="Times New Roman" w:hAnsi="Times New Roman"/>
          <w:sz w:val="28"/>
          <w:lang w:val="uk-UA"/>
        </w:rPr>
      </w:pPr>
    </w:p>
    <w:p w:rsidR="00A01923" w:rsidRDefault="00A01923" w:rsidP="00A01923">
      <w:pPr>
        <w:spacing w:line="360" w:lineRule="auto"/>
        <w:ind w:left="-567" w:firstLine="567"/>
        <w:jc w:val="right"/>
        <w:rPr>
          <w:rFonts w:ascii="Times New Roman" w:hAnsi="Times New Roman"/>
          <w:sz w:val="28"/>
          <w:lang w:val="uk-UA"/>
        </w:rPr>
      </w:pPr>
    </w:p>
    <w:p w:rsidR="00A01923" w:rsidRDefault="00A01923" w:rsidP="00A01923">
      <w:pPr>
        <w:spacing w:line="360" w:lineRule="auto"/>
        <w:ind w:left="-567" w:firstLine="567"/>
        <w:jc w:val="right"/>
        <w:rPr>
          <w:rFonts w:ascii="Times New Roman" w:hAnsi="Times New Roman"/>
          <w:sz w:val="28"/>
          <w:lang w:val="uk-UA"/>
        </w:rPr>
      </w:pPr>
    </w:p>
    <w:p w:rsidR="00A01923" w:rsidRDefault="00A01923" w:rsidP="00A01923">
      <w:pPr>
        <w:spacing w:line="360" w:lineRule="auto"/>
        <w:ind w:left="-567" w:firstLine="567"/>
        <w:jc w:val="right"/>
        <w:rPr>
          <w:rFonts w:ascii="Times New Roman" w:hAnsi="Times New Roman"/>
          <w:sz w:val="28"/>
          <w:lang w:val="uk-UA"/>
        </w:rPr>
      </w:pPr>
    </w:p>
    <w:p w:rsidR="00A01923" w:rsidRDefault="004C4BD2" w:rsidP="00A01923">
      <w:pPr>
        <w:spacing w:after="0" w:line="360" w:lineRule="auto"/>
        <w:ind w:left="-567" w:firstLine="567"/>
        <w:jc w:val="both"/>
        <w:rPr>
          <w:rFonts w:ascii="Times New Roman" w:hAnsi="Times New Roman"/>
          <w:sz w:val="28"/>
        </w:rPr>
      </w:pPr>
      <w:r>
        <w:rPr>
          <w:rFonts w:ascii="Times New Roman" w:hAnsi="Times New Roman"/>
          <w:sz w:val="28"/>
          <w:lang w:val="uk-UA"/>
        </w:rPr>
        <w:t>Вірогідна</w:t>
      </w:r>
      <w:r w:rsidR="00A01923">
        <w:rPr>
          <w:rFonts w:ascii="Times New Roman" w:hAnsi="Times New Roman"/>
          <w:sz w:val="28"/>
          <w:lang w:val="uk-UA"/>
        </w:rPr>
        <w:t xml:space="preserve"> різниця показників була відмічена у хворих з </w:t>
      </w:r>
      <w:r w:rsidR="00A01923">
        <w:rPr>
          <w:rFonts w:ascii="Times New Roman" w:hAnsi="Times New Roman"/>
          <w:sz w:val="28"/>
        </w:rPr>
        <w:t>IV</w:t>
      </w:r>
      <w:r w:rsidR="00A01923">
        <w:rPr>
          <w:rFonts w:ascii="Times New Roman" w:hAnsi="Times New Roman"/>
          <w:sz w:val="28"/>
          <w:lang w:val="uk-UA"/>
        </w:rPr>
        <w:t xml:space="preserve"> ступенем ішемії, які були проліковані відкритим методом (СГШ): вихідні дані та дані через 6 міс. </w:t>
      </w:r>
      <w:r w:rsidR="00A01923">
        <w:rPr>
          <w:rFonts w:ascii="Times New Roman" w:hAnsi="Times New Roman"/>
          <w:sz w:val="28"/>
        </w:rPr>
        <w:t xml:space="preserve">(р=0,006), та у хворих, </w:t>
      </w:r>
      <w:r w:rsidR="00A01923">
        <w:rPr>
          <w:rFonts w:ascii="Times New Roman" w:hAnsi="Times New Roman"/>
          <w:sz w:val="28"/>
          <w:lang w:val="uk-UA"/>
        </w:rPr>
        <w:t xml:space="preserve">які </w:t>
      </w:r>
      <w:r w:rsidR="00A01923">
        <w:rPr>
          <w:rFonts w:ascii="Times New Roman" w:hAnsi="Times New Roman"/>
          <w:sz w:val="28"/>
        </w:rPr>
        <w:t xml:space="preserve">були проліковані ендоваскулярно (ЧБА): вихідні дані та дані через 6 міс. (р=0,000), вихідні дані та дані через 12 міс. (р=0,029), а також зниження цього показника відповідно на 19,7% та 16,4% при порівнянні через 6 та 12 міс. (р=0,000). На етапах дослідження у строки через 6 та 12 міс. була майже відсутня динаміка показника, що досліджувався, у хворих, яким проводили консервативну терапію та їх середній рівень не залежав від </w:t>
      </w:r>
      <w:r w:rsidR="003A6D02">
        <w:rPr>
          <w:rFonts w:ascii="Times New Roman" w:hAnsi="Times New Roman"/>
          <w:sz w:val="28"/>
          <w:lang w:val="uk-UA"/>
        </w:rPr>
        <w:t>ступеню</w:t>
      </w:r>
      <w:r w:rsidR="00A01923">
        <w:rPr>
          <w:rFonts w:ascii="Times New Roman" w:hAnsi="Times New Roman"/>
          <w:sz w:val="28"/>
        </w:rPr>
        <w:t>ішемії нижніх кінцівок.</w:t>
      </w:r>
    </w:p>
    <w:p w:rsidR="00A01923" w:rsidRDefault="004C4BD2" w:rsidP="00A01923">
      <w:pPr>
        <w:tabs>
          <w:tab w:val="left" w:pos="5950"/>
        </w:tabs>
        <w:spacing w:after="0" w:line="360" w:lineRule="auto"/>
        <w:ind w:left="-567" w:right="141" w:firstLine="567"/>
        <w:jc w:val="both"/>
        <w:rPr>
          <w:rFonts w:ascii="Times New Roman" w:hAnsi="Times New Roman"/>
          <w:sz w:val="28"/>
          <w:szCs w:val="28"/>
          <w:lang w:val="uk-UA"/>
        </w:rPr>
      </w:pPr>
      <w:r>
        <w:rPr>
          <w:rFonts w:ascii="Times New Roman" w:hAnsi="Times New Roman"/>
          <w:sz w:val="28"/>
          <w:szCs w:val="28"/>
          <w:lang w:val="uk-UA"/>
        </w:rPr>
        <w:t>З</w:t>
      </w:r>
      <w:r w:rsidR="00A01923">
        <w:rPr>
          <w:rFonts w:ascii="Times New Roman" w:hAnsi="Times New Roman"/>
          <w:sz w:val="28"/>
          <w:szCs w:val="28"/>
          <w:lang w:val="uk-UA"/>
        </w:rPr>
        <w:t xml:space="preserve">алежність рівня ЕТ-1 від ступеню ішемії та методу лікування у динаміці представлені у таблиці 5.9. </w:t>
      </w:r>
      <w:r w:rsidR="00A01923">
        <w:rPr>
          <w:rFonts w:ascii="Times New Roman" w:hAnsi="Times New Roman"/>
          <w:sz w:val="28"/>
          <w:lang w:val="uk-UA"/>
        </w:rPr>
        <w:t>Встановлено, що середні показники ЕТ-1 на вихідному рівні мали невірогідну різницю при порівнянні за ступенем ішемії незалежно від методу лікування, але вірогідно відрізнялись від показників контрольної групи (</w:t>
      </w:r>
      <w:r w:rsidR="00A01923">
        <w:rPr>
          <w:rFonts w:ascii="Times New Roman" w:hAnsi="Times New Roman"/>
          <w:sz w:val="28"/>
          <w:lang w:val="en-US"/>
        </w:rPr>
        <w:t>p</w:t>
      </w:r>
      <w:r w:rsidR="00A01923">
        <w:rPr>
          <w:rFonts w:ascii="Times New Roman" w:hAnsi="Times New Roman"/>
          <w:sz w:val="28"/>
          <w:lang w:val="en-US"/>
        </w:rPr>
        <w:sym w:font="Symbol" w:char="003C"/>
      </w:r>
      <w:r w:rsidR="00A01923">
        <w:rPr>
          <w:rFonts w:ascii="Times New Roman" w:hAnsi="Times New Roman"/>
          <w:sz w:val="28"/>
          <w:lang w:val="uk-UA"/>
        </w:rPr>
        <w:t>0,05).</w:t>
      </w:r>
    </w:p>
    <w:p w:rsidR="00A01923" w:rsidRDefault="00A01923" w:rsidP="00A01923">
      <w:pPr>
        <w:spacing w:after="0" w:line="360" w:lineRule="auto"/>
        <w:ind w:left="-567" w:firstLine="567"/>
        <w:jc w:val="right"/>
        <w:rPr>
          <w:rFonts w:ascii="Times New Roman" w:hAnsi="Times New Roman"/>
          <w:i/>
          <w:sz w:val="28"/>
          <w:szCs w:val="28"/>
          <w:lang w:val="uk-UA"/>
        </w:rPr>
      </w:pPr>
      <w:r>
        <w:rPr>
          <w:rFonts w:ascii="Times New Roman" w:hAnsi="Times New Roman"/>
          <w:i/>
          <w:sz w:val="28"/>
          <w:szCs w:val="28"/>
          <w:lang w:val="uk-UA"/>
        </w:rPr>
        <w:lastRenderedPageBreak/>
        <w:t>Таблиця 5.9</w:t>
      </w:r>
    </w:p>
    <w:p w:rsidR="00A01923" w:rsidRDefault="00A01923" w:rsidP="00A01923">
      <w:pPr>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t>Середні значення рівню ЕТ-1 у хворих в залежності від ступеню ішемії та методу лікування хворих основної групи</w:t>
      </w:r>
    </w:p>
    <w:tbl>
      <w:tblPr>
        <w:tblW w:w="9930"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5"/>
        <w:gridCol w:w="1584"/>
        <w:gridCol w:w="1537"/>
        <w:gridCol w:w="1607"/>
        <w:gridCol w:w="1655"/>
        <w:gridCol w:w="1702"/>
      </w:tblGrid>
      <w:tr w:rsidR="00A01923" w:rsidTr="00A01923">
        <w:trPr>
          <w:trHeight w:val="2898"/>
        </w:trPr>
        <w:tc>
          <w:tcPr>
            <w:tcW w:w="1843" w:type="dxa"/>
            <w:tcBorders>
              <w:top w:val="single" w:sz="4" w:space="0" w:color="000000"/>
              <w:left w:val="single" w:sz="4" w:space="0" w:color="000000"/>
              <w:bottom w:val="single" w:sz="4" w:space="0" w:color="000000"/>
              <w:right w:val="single" w:sz="4" w:space="0" w:color="000000"/>
            </w:tcBorders>
          </w:tcPr>
          <w:p w:rsidR="00A01923" w:rsidRDefault="00A01923">
            <w:pPr>
              <w:autoSpaceDE w:val="0"/>
              <w:autoSpaceDN w:val="0"/>
              <w:adjustRightInd w:val="0"/>
              <w:spacing w:after="0" w:line="360" w:lineRule="auto"/>
              <w:jc w:val="right"/>
              <w:rPr>
                <w:rFonts w:ascii="Times New Roman" w:eastAsia="Times New Roman" w:hAnsi="Times New Roman"/>
                <w:sz w:val="28"/>
                <w:szCs w:val="28"/>
              </w:rPr>
            </w:pPr>
            <w:r>
              <w:rPr>
                <w:rFonts w:ascii="Times New Roman" w:hAnsi="Times New Roman"/>
                <w:sz w:val="28"/>
                <w:szCs w:val="28"/>
              </w:rPr>
              <w:t>Підгрупа хворих</w:t>
            </w:r>
          </w:p>
          <w:p w:rsidR="00A01923" w:rsidRDefault="00A01923">
            <w:pPr>
              <w:autoSpaceDE w:val="0"/>
              <w:autoSpaceDN w:val="0"/>
              <w:adjustRightInd w:val="0"/>
              <w:spacing w:after="0" w:line="360" w:lineRule="auto"/>
              <w:jc w:val="center"/>
              <w:rPr>
                <w:rFonts w:ascii="Times New Roman" w:hAnsi="Times New Roman"/>
                <w:sz w:val="28"/>
                <w:szCs w:val="28"/>
              </w:rPr>
            </w:pPr>
          </w:p>
          <w:p w:rsidR="00A01923" w:rsidRDefault="00A01923">
            <w:pPr>
              <w:autoSpaceDE w:val="0"/>
              <w:autoSpaceDN w:val="0"/>
              <w:adjustRightInd w:val="0"/>
              <w:spacing w:after="0" w:line="360" w:lineRule="auto"/>
              <w:jc w:val="center"/>
              <w:rPr>
                <w:rFonts w:ascii="Times New Roman" w:hAnsi="Times New Roman"/>
                <w:sz w:val="28"/>
                <w:szCs w:val="28"/>
              </w:rPr>
            </w:pPr>
          </w:p>
          <w:p w:rsidR="00A01923" w:rsidRDefault="00A01923">
            <w:pPr>
              <w:autoSpaceDE w:val="0"/>
              <w:autoSpaceDN w:val="0"/>
              <w:adjustRightInd w:val="0"/>
              <w:spacing w:after="0" w:line="360" w:lineRule="auto"/>
              <w:rPr>
                <w:rFonts w:ascii="Times New Roman" w:eastAsia="Times New Roman" w:hAnsi="Times New Roman"/>
                <w:sz w:val="28"/>
                <w:szCs w:val="28"/>
              </w:rPr>
            </w:pPr>
            <w:r>
              <w:rPr>
                <w:rFonts w:ascii="Times New Roman" w:hAnsi="Times New Roman"/>
                <w:sz w:val="28"/>
                <w:szCs w:val="28"/>
              </w:rPr>
              <w:t>Строки визначення</w:t>
            </w:r>
          </w:p>
        </w:tc>
        <w:tc>
          <w:tcPr>
            <w:tcW w:w="15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 xml:space="preserve">ІІІ </w:t>
            </w:r>
            <w:r>
              <w:rPr>
                <w:rFonts w:ascii="Times New Roman" w:hAnsi="Times New Roman"/>
                <w:sz w:val="28"/>
                <w:szCs w:val="28"/>
                <w:lang w:val="uk-UA"/>
              </w:rPr>
              <w:t>ступінь</w:t>
            </w:r>
            <w:r>
              <w:rPr>
                <w:rFonts w:ascii="Times New Roman" w:hAnsi="Times New Roman"/>
                <w:sz w:val="28"/>
                <w:szCs w:val="28"/>
              </w:rPr>
              <w:t xml:space="preserve"> ішемії, консервативна терапія </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=7)</w:t>
            </w:r>
          </w:p>
        </w:tc>
        <w:tc>
          <w:tcPr>
            <w:tcW w:w="153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 xml:space="preserve">ІІІ </w:t>
            </w:r>
            <w:r>
              <w:rPr>
                <w:rFonts w:ascii="Times New Roman" w:hAnsi="Times New Roman"/>
                <w:sz w:val="28"/>
                <w:szCs w:val="28"/>
                <w:lang w:val="uk-UA"/>
              </w:rPr>
              <w:t>ступінь</w:t>
            </w:r>
            <w:r>
              <w:rPr>
                <w:rFonts w:ascii="Times New Roman" w:hAnsi="Times New Roman"/>
                <w:sz w:val="28"/>
                <w:szCs w:val="28"/>
              </w:rPr>
              <w:t xml:space="preserve"> ішемії, ЧБА (пг\мл)</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n=</w:t>
            </w:r>
            <w:r>
              <w:rPr>
                <w:rFonts w:ascii="Times New Roman" w:hAnsi="Times New Roman"/>
                <w:sz w:val="28"/>
                <w:szCs w:val="28"/>
              </w:rPr>
              <w:t>2</w:t>
            </w:r>
          </w:p>
        </w:tc>
        <w:tc>
          <w:tcPr>
            <w:tcW w:w="160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консервативна терапія (пг\мл)</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n=</w:t>
            </w:r>
            <w:r>
              <w:rPr>
                <w:rFonts w:ascii="Times New Roman" w:hAnsi="Times New Roman"/>
                <w:sz w:val="28"/>
                <w:szCs w:val="28"/>
              </w:rPr>
              <w:t>7</w:t>
            </w:r>
          </w:p>
        </w:tc>
        <w:tc>
          <w:tcPr>
            <w:tcW w:w="165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ЧБА (пг\мл)</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n=</w:t>
            </w:r>
            <w:r>
              <w:rPr>
                <w:rFonts w:ascii="Times New Roman" w:hAnsi="Times New Roman"/>
                <w:sz w:val="28"/>
                <w:szCs w:val="28"/>
              </w:rPr>
              <w:t>9</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IV</w:t>
            </w:r>
            <w:r w:rsidRPr="00A01923">
              <w:rPr>
                <w:rFonts w:ascii="Times New Roman" w:hAnsi="Times New Roman"/>
                <w:sz w:val="28"/>
                <w:szCs w:val="28"/>
              </w:rPr>
              <w:t xml:space="preserve"> </w:t>
            </w:r>
            <w:r>
              <w:rPr>
                <w:rFonts w:ascii="Times New Roman" w:hAnsi="Times New Roman"/>
                <w:sz w:val="28"/>
                <w:szCs w:val="28"/>
                <w:lang w:val="uk-UA"/>
              </w:rPr>
              <w:t>ступінь</w:t>
            </w:r>
            <w:r>
              <w:rPr>
                <w:rFonts w:ascii="Times New Roman" w:hAnsi="Times New Roman"/>
                <w:sz w:val="28"/>
                <w:szCs w:val="28"/>
              </w:rPr>
              <w:t xml:space="preserve"> ішемії,  СГШ (пг\мл)</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en-US"/>
              </w:rPr>
              <w:t>n=</w:t>
            </w:r>
            <w:r>
              <w:rPr>
                <w:rFonts w:ascii="Times New Roman" w:hAnsi="Times New Roman"/>
                <w:sz w:val="28"/>
                <w:szCs w:val="28"/>
              </w:rPr>
              <w:t>3</w:t>
            </w:r>
          </w:p>
        </w:tc>
      </w:tr>
      <w:tr w:rsidR="00A01923" w:rsidTr="00A01923">
        <w:trPr>
          <w:trHeight w:val="426"/>
        </w:trPr>
        <w:tc>
          <w:tcPr>
            <w:tcW w:w="1843"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Вихідні дані</w:t>
            </w:r>
          </w:p>
        </w:tc>
        <w:tc>
          <w:tcPr>
            <w:tcW w:w="15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lang w:val="en-US"/>
              </w:rPr>
            </w:pPr>
            <w:r>
              <w:rPr>
                <w:rFonts w:ascii="Times New Roman" w:hAnsi="Times New Roman"/>
                <w:sz w:val="28"/>
                <w:szCs w:val="28"/>
                <w:lang w:val="en-US"/>
              </w:rPr>
              <w:t>7</w:t>
            </w:r>
            <w:r>
              <w:rPr>
                <w:rFonts w:ascii="Times New Roman" w:hAnsi="Times New Roman"/>
                <w:sz w:val="28"/>
                <w:szCs w:val="28"/>
              </w:rPr>
              <w:t>,8±0,54</w:t>
            </w:r>
            <w:r>
              <w:rPr>
                <w:rFonts w:ascii="Times New Roman" w:hAnsi="Times New Roman"/>
                <w:sz w:val="28"/>
                <w:szCs w:val="28"/>
                <w:lang w:val="en-US"/>
              </w:rPr>
              <w:t>*</w:t>
            </w:r>
          </w:p>
        </w:tc>
        <w:tc>
          <w:tcPr>
            <w:tcW w:w="153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6,3±0,05</w:t>
            </w:r>
            <w:r>
              <w:rPr>
                <w:rFonts w:ascii="Times New Roman" w:hAnsi="Times New Roman"/>
                <w:sz w:val="28"/>
                <w:szCs w:val="28"/>
                <w:lang w:val="en-US"/>
              </w:rPr>
              <w:t>*</w:t>
            </w:r>
          </w:p>
        </w:tc>
        <w:tc>
          <w:tcPr>
            <w:tcW w:w="160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7,8±1,03</w:t>
            </w:r>
            <w:r>
              <w:rPr>
                <w:rFonts w:ascii="Times New Roman" w:hAnsi="Times New Roman"/>
                <w:sz w:val="28"/>
                <w:szCs w:val="28"/>
                <w:lang w:val="en-US"/>
              </w:rPr>
              <w:t>*</w:t>
            </w:r>
          </w:p>
        </w:tc>
        <w:tc>
          <w:tcPr>
            <w:tcW w:w="165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7,9 ±1,04</w:t>
            </w:r>
            <w:r>
              <w:rPr>
                <w:rFonts w:ascii="Times New Roman" w:hAnsi="Times New Roman"/>
                <w:sz w:val="28"/>
                <w:szCs w:val="28"/>
                <w:lang w:val="en-US"/>
              </w:rPr>
              <w:t>*</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7,4±0,82</w:t>
            </w:r>
            <w:r>
              <w:rPr>
                <w:rFonts w:ascii="Times New Roman" w:hAnsi="Times New Roman"/>
                <w:sz w:val="28"/>
                <w:szCs w:val="28"/>
                <w:lang w:val="en-US"/>
              </w:rPr>
              <w:t>*</w:t>
            </w:r>
          </w:p>
        </w:tc>
      </w:tr>
      <w:tr w:rsidR="00A01923" w:rsidTr="00A01923">
        <w:trPr>
          <w:trHeight w:val="348"/>
        </w:trPr>
        <w:tc>
          <w:tcPr>
            <w:tcW w:w="1843"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lang w:val="uk-UA"/>
              </w:rPr>
            </w:pPr>
            <w:r>
              <w:rPr>
                <w:rFonts w:ascii="Times New Roman" w:hAnsi="Times New Roman"/>
                <w:sz w:val="28"/>
                <w:szCs w:val="28"/>
              </w:rPr>
              <w:t>6 міс</w:t>
            </w:r>
            <w:r>
              <w:rPr>
                <w:rFonts w:ascii="Times New Roman" w:hAnsi="Times New Roman"/>
                <w:sz w:val="28"/>
                <w:szCs w:val="28"/>
                <w:lang w:val="uk-UA"/>
              </w:rPr>
              <w:t>.</w:t>
            </w:r>
          </w:p>
          <w:p w:rsidR="00A01923" w:rsidRDefault="00A01923">
            <w:pPr>
              <w:autoSpaceDE w:val="0"/>
              <w:autoSpaceDN w:val="0"/>
              <w:adjustRightInd w:val="0"/>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15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6,8± 0,75</w:t>
            </w:r>
            <w:r>
              <w:rPr>
                <w:rFonts w:ascii="Times New Roman" w:hAnsi="Times New Roman"/>
                <w:sz w:val="28"/>
                <w:szCs w:val="28"/>
                <w:lang w:val="en-US"/>
              </w:rPr>
              <w:t>*</w:t>
            </w:r>
            <w:r>
              <w:rPr>
                <w:rFonts w:ascii="Times New Roman" w:hAnsi="Times New Roman"/>
                <w:sz w:val="28"/>
                <w:szCs w:val="28"/>
              </w:rPr>
              <w:t>#</w:t>
            </w:r>
          </w:p>
        </w:tc>
        <w:tc>
          <w:tcPr>
            <w:tcW w:w="153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5,5±0,53</w:t>
            </w:r>
            <w:r>
              <w:rPr>
                <w:rFonts w:ascii="Times New Roman" w:hAnsi="Times New Roman"/>
                <w:sz w:val="28"/>
                <w:szCs w:val="28"/>
                <w:lang w:val="en-US"/>
              </w:rPr>
              <w:t>*</w:t>
            </w:r>
            <w:r>
              <w:rPr>
                <w:rFonts w:ascii="Times New Roman" w:hAnsi="Times New Roman"/>
                <w:sz w:val="28"/>
                <w:szCs w:val="28"/>
              </w:rPr>
              <w:t>#</w:t>
            </w:r>
          </w:p>
        </w:tc>
        <w:tc>
          <w:tcPr>
            <w:tcW w:w="160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6,9± 0,76</w:t>
            </w:r>
            <w:r>
              <w:rPr>
                <w:rFonts w:ascii="Times New Roman" w:hAnsi="Times New Roman"/>
                <w:sz w:val="28"/>
                <w:szCs w:val="28"/>
                <w:lang w:val="en-US"/>
              </w:rPr>
              <w:t>*</w:t>
            </w:r>
          </w:p>
        </w:tc>
        <w:tc>
          <w:tcPr>
            <w:tcW w:w="165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6,4±0,79</w:t>
            </w:r>
            <w:r>
              <w:rPr>
                <w:rFonts w:ascii="Times New Roman" w:hAnsi="Times New Roman"/>
                <w:sz w:val="28"/>
                <w:szCs w:val="28"/>
                <w:lang w:val="en-US"/>
              </w:rPr>
              <w:t>*</w:t>
            </w:r>
            <w:r>
              <w:rPr>
                <w:rFonts w:ascii="Times New Roman" w:hAnsi="Times New Roman"/>
                <w:sz w:val="28"/>
                <w:szCs w:val="28"/>
              </w:rPr>
              <w:t>#</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6,1±0,01</w:t>
            </w:r>
            <w:r>
              <w:rPr>
                <w:rFonts w:ascii="Times New Roman" w:hAnsi="Times New Roman"/>
                <w:sz w:val="28"/>
                <w:szCs w:val="28"/>
                <w:lang w:val="en-US"/>
              </w:rPr>
              <w:t>*</w:t>
            </w:r>
            <w:r>
              <w:rPr>
                <w:rFonts w:ascii="Times New Roman" w:hAnsi="Times New Roman"/>
                <w:sz w:val="28"/>
                <w:szCs w:val="28"/>
              </w:rPr>
              <w:t>#</w:t>
            </w:r>
          </w:p>
        </w:tc>
      </w:tr>
      <w:tr w:rsidR="00A01923" w:rsidTr="003A6D02">
        <w:trPr>
          <w:trHeight w:val="801"/>
        </w:trPr>
        <w:tc>
          <w:tcPr>
            <w:tcW w:w="1843"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lang w:val="uk-UA"/>
              </w:rPr>
            </w:pPr>
            <w:r>
              <w:rPr>
                <w:rFonts w:ascii="Times New Roman" w:hAnsi="Times New Roman"/>
                <w:sz w:val="28"/>
                <w:szCs w:val="28"/>
              </w:rPr>
              <w:t>12 міс</w:t>
            </w:r>
            <w:r>
              <w:rPr>
                <w:rFonts w:ascii="Times New Roman" w:hAnsi="Times New Roman"/>
                <w:sz w:val="28"/>
                <w:szCs w:val="28"/>
                <w:lang w:val="uk-UA"/>
              </w:rPr>
              <w:t>.</w:t>
            </w:r>
          </w:p>
          <w:p w:rsidR="00A01923" w:rsidRDefault="00A01923">
            <w:pPr>
              <w:autoSpaceDE w:val="0"/>
              <w:autoSpaceDN w:val="0"/>
              <w:adjustRightInd w:val="0"/>
              <w:spacing w:after="0" w:line="360" w:lineRule="auto"/>
              <w:jc w:val="center"/>
              <w:rPr>
                <w:rFonts w:ascii="Times New Roman" w:eastAsia="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1583"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6,4± 0,99</w:t>
            </w:r>
            <w:r>
              <w:rPr>
                <w:rFonts w:ascii="Times New Roman" w:hAnsi="Times New Roman"/>
                <w:sz w:val="28"/>
                <w:szCs w:val="28"/>
                <w:lang w:val="en-US"/>
              </w:rPr>
              <w:t>*</w:t>
            </w:r>
            <w:r>
              <w:rPr>
                <w:rFonts w:ascii="Times New Roman" w:hAnsi="Times New Roman"/>
                <w:sz w:val="28"/>
                <w:szCs w:val="28"/>
              </w:rPr>
              <w:t>#</w:t>
            </w:r>
          </w:p>
        </w:tc>
        <w:tc>
          <w:tcPr>
            <w:tcW w:w="153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5,5±0,74</w:t>
            </w:r>
            <w:r>
              <w:rPr>
                <w:rFonts w:ascii="Times New Roman" w:hAnsi="Times New Roman"/>
                <w:sz w:val="28"/>
                <w:szCs w:val="28"/>
                <w:lang w:val="en-US"/>
              </w:rPr>
              <w:t>*</w:t>
            </w:r>
            <w:r>
              <w:rPr>
                <w:rFonts w:ascii="Times New Roman" w:hAnsi="Times New Roman"/>
                <w:sz w:val="28"/>
                <w:szCs w:val="28"/>
              </w:rPr>
              <w:t>#</w:t>
            </w:r>
          </w:p>
        </w:tc>
        <w:tc>
          <w:tcPr>
            <w:tcW w:w="1606"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7,3 ±0,98</w:t>
            </w:r>
            <w:r>
              <w:rPr>
                <w:rFonts w:ascii="Times New Roman" w:hAnsi="Times New Roman"/>
                <w:sz w:val="28"/>
                <w:szCs w:val="28"/>
                <w:lang w:val="en-US"/>
              </w:rPr>
              <w:t>*</w:t>
            </w:r>
          </w:p>
        </w:tc>
        <w:tc>
          <w:tcPr>
            <w:tcW w:w="1654"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6,0±0,98</w:t>
            </w:r>
            <w:r>
              <w:rPr>
                <w:rFonts w:ascii="Times New Roman" w:hAnsi="Times New Roman"/>
                <w:sz w:val="28"/>
                <w:szCs w:val="28"/>
                <w:lang w:val="en-US"/>
              </w:rPr>
              <w:t>*</w:t>
            </w:r>
            <w:r>
              <w:rPr>
                <w:rFonts w:ascii="Times New Roman" w:hAnsi="Times New Roman"/>
                <w:sz w:val="28"/>
                <w:szCs w:val="28"/>
              </w:rPr>
              <w:t>#</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5,8±0,66</w:t>
            </w:r>
            <w:r>
              <w:rPr>
                <w:rFonts w:ascii="Times New Roman" w:hAnsi="Times New Roman"/>
                <w:sz w:val="28"/>
                <w:szCs w:val="28"/>
                <w:lang w:val="en-US"/>
              </w:rPr>
              <w:t>*</w:t>
            </w:r>
            <w:r>
              <w:rPr>
                <w:rFonts w:ascii="Times New Roman" w:hAnsi="Times New Roman"/>
                <w:sz w:val="28"/>
                <w:szCs w:val="28"/>
              </w:rPr>
              <w:t>#</w:t>
            </w:r>
          </w:p>
        </w:tc>
      </w:tr>
      <w:tr w:rsidR="00A01923" w:rsidTr="00A01923">
        <w:trPr>
          <w:trHeight w:val="645"/>
        </w:trPr>
        <w:tc>
          <w:tcPr>
            <w:tcW w:w="1843" w:type="dxa"/>
            <w:tcBorders>
              <w:top w:val="single" w:sz="4" w:space="0" w:color="000000"/>
              <w:left w:val="single" w:sz="4" w:space="0" w:color="000000"/>
              <w:bottom w:val="single" w:sz="4" w:space="0" w:color="000000"/>
              <w:right w:val="single" w:sz="4" w:space="0" w:color="000000"/>
            </w:tcBorders>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Контроль,</w:t>
            </w:r>
          </w:p>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lang w:val="uk-UA"/>
              </w:rPr>
              <w:t>(</w:t>
            </w:r>
            <w:r>
              <w:rPr>
                <w:rFonts w:ascii="Times New Roman" w:hAnsi="Times New Roman"/>
                <w:sz w:val="28"/>
                <w:szCs w:val="28"/>
              </w:rPr>
              <w:t>пг\мл</w:t>
            </w:r>
            <w:r>
              <w:rPr>
                <w:rFonts w:ascii="Times New Roman" w:hAnsi="Times New Roman"/>
                <w:sz w:val="28"/>
                <w:szCs w:val="28"/>
                <w:lang w:val="uk-UA"/>
              </w:rPr>
              <w:t>)</w:t>
            </w:r>
          </w:p>
        </w:tc>
        <w:tc>
          <w:tcPr>
            <w:tcW w:w="8080" w:type="dxa"/>
            <w:gridSpan w:val="5"/>
            <w:tcBorders>
              <w:top w:val="single" w:sz="4" w:space="0" w:color="000000"/>
              <w:left w:val="single" w:sz="4" w:space="0" w:color="000000"/>
              <w:bottom w:val="single" w:sz="4" w:space="0" w:color="000000"/>
              <w:right w:val="single" w:sz="4" w:space="0" w:color="000000"/>
            </w:tcBorders>
            <w:vAlign w:val="center"/>
            <w:hideMark/>
          </w:tcPr>
          <w:p w:rsidR="00A01923" w:rsidRDefault="00A01923">
            <w:pPr>
              <w:autoSpaceDE w:val="0"/>
              <w:autoSpaceDN w:val="0"/>
              <w:adjustRightInd w:val="0"/>
              <w:spacing w:after="0" w:line="360" w:lineRule="auto"/>
              <w:jc w:val="center"/>
              <w:rPr>
                <w:rFonts w:ascii="Times New Roman" w:eastAsia="Times New Roman" w:hAnsi="Times New Roman"/>
                <w:sz w:val="28"/>
                <w:szCs w:val="28"/>
              </w:rPr>
            </w:pPr>
            <w:r>
              <w:rPr>
                <w:rFonts w:ascii="Times New Roman" w:hAnsi="Times New Roman"/>
                <w:sz w:val="28"/>
                <w:szCs w:val="28"/>
              </w:rPr>
              <w:t>3,96</w:t>
            </w:r>
            <w:r>
              <w:rPr>
                <w:rFonts w:ascii="Times New Roman" w:hAnsi="Times New Roman"/>
                <w:sz w:val="28"/>
                <w:szCs w:val="28"/>
                <w:u w:val="single"/>
              </w:rPr>
              <w:t>+</w:t>
            </w:r>
            <w:r>
              <w:rPr>
                <w:rFonts w:ascii="Times New Roman" w:hAnsi="Times New Roman"/>
                <w:sz w:val="28"/>
                <w:szCs w:val="28"/>
              </w:rPr>
              <w:t xml:space="preserve"> 0,03</w:t>
            </w:r>
          </w:p>
        </w:tc>
      </w:tr>
    </w:tbl>
    <w:p w:rsidR="00A01923" w:rsidRDefault="00A01923" w:rsidP="00A01923">
      <w:pPr>
        <w:spacing w:after="0"/>
        <w:ind w:left="-567" w:firstLine="567"/>
        <w:jc w:val="both"/>
        <w:rPr>
          <w:rFonts w:ascii="Times New Roman" w:eastAsia="Times New Roman" w:hAnsi="Times New Roman"/>
          <w:sz w:val="28"/>
          <w:szCs w:val="28"/>
          <w:lang w:val="uk-UA"/>
        </w:rPr>
      </w:pPr>
      <w:r>
        <w:rPr>
          <w:rFonts w:ascii="Times New Roman" w:hAnsi="Times New Roman"/>
          <w:sz w:val="28"/>
          <w:szCs w:val="28"/>
          <w:lang w:val="uk-UA"/>
        </w:rPr>
        <w:t>Примітка: *- достовірна різниця з контролем</w:t>
      </w:r>
    </w:p>
    <w:p w:rsidR="00A01923" w:rsidRDefault="00A01923" w:rsidP="00A01923">
      <w:pPr>
        <w:tabs>
          <w:tab w:val="left" w:pos="5925"/>
        </w:tabs>
        <w:spacing w:after="0"/>
        <w:ind w:left="-567" w:firstLine="567"/>
        <w:jc w:val="both"/>
        <w:rPr>
          <w:rFonts w:ascii="Times New Roman" w:hAnsi="Times New Roman"/>
          <w:sz w:val="28"/>
          <w:szCs w:val="28"/>
          <w:lang w:val="uk-UA"/>
        </w:rPr>
      </w:pPr>
      <w:r>
        <w:rPr>
          <w:rFonts w:ascii="Times New Roman" w:hAnsi="Times New Roman"/>
          <w:sz w:val="28"/>
          <w:szCs w:val="28"/>
          <w:lang w:val="uk-UA"/>
        </w:rPr>
        <w:t xml:space="preserve">                  #- достовірна різниця з вихідним рівнем</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spacing w:after="0" w:line="360" w:lineRule="auto"/>
        <w:ind w:left="-567" w:firstLine="567"/>
        <w:jc w:val="both"/>
        <w:rPr>
          <w:rFonts w:ascii="Times New Roman" w:hAnsi="Times New Roman"/>
          <w:sz w:val="28"/>
          <w:lang w:val="uk-UA"/>
        </w:rPr>
      </w:pPr>
      <w:r>
        <w:rPr>
          <w:rFonts w:ascii="Times New Roman" w:hAnsi="Times New Roman"/>
          <w:sz w:val="28"/>
          <w:lang w:val="uk-UA"/>
        </w:rPr>
        <w:t>Хворі з ІІІ ступенем ішемії мали вірогідну  різницю через 6 та 12 місяців у порівнянні з вихідними даними (р</w:t>
      </w:r>
      <w:r>
        <w:rPr>
          <w:rFonts w:ascii="Times New Roman" w:hAnsi="Times New Roman"/>
          <w:sz w:val="28"/>
        </w:rPr>
        <w:sym w:font="Symbol" w:char="003C"/>
      </w:r>
      <w:r>
        <w:rPr>
          <w:rFonts w:ascii="Times New Roman" w:hAnsi="Times New Roman"/>
          <w:sz w:val="28"/>
          <w:lang w:val="uk-UA"/>
        </w:rPr>
        <w:t xml:space="preserve">0,05). Тим часом, у хворих з </w:t>
      </w:r>
      <w:r>
        <w:rPr>
          <w:rFonts w:ascii="Times New Roman" w:hAnsi="Times New Roman"/>
          <w:sz w:val="28"/>
        </w:rPr>
        <w:t>IV</w:t>
      </w:r>
      <w:r>
        <w:rPr>
          <w:rFonts w:ascii="Times New Roman" w:hAnsi="Times New Roman"/>
          <w:sz w:val="28"/>
          <w:lang w:val="uk-UA"/>
        </w:rPr>
        <w:t xml:space="preserve"> ступенем ішемії, у яких застосовувалась тільки консервативна терапія, рівень ЕТ-1 був через 6 та 12 місяців, відповідно, на 13% та 6,8% нижчим за вихідні дані, але ця різниця була статистично не вірогідною </w:t>
      </w:r>
      <w:r>
        <w:rPr>
          <w:rFonts w:ascii="Times New Roman" w:hAnsi="Times New Roman"/>
          <w:sz w:val="28"/>
        </w:rPr>
        <w:t>(р</w:t>
      </w:r>
      <w:r>
        <w:rPr>
          <w:rFonts w:ascii="Times New Roman" w:hAnsi="Times New Roman"/>
          <w:sz w:val="28"/>
        </w:rPr>
        <w:sym w:font="Symbol" w:char="003E"/>
      </w:r>
      <w:r>
        <w:rPr>
          <w:rFonts w:ascii="Times New Roman" w:hAnsi="Times New Roman"/>
          <w:sz w:val="28"/>
        </w:rPr>
        <w:t>0,05). У групі з проведеним СГШ спостерігалась наступна динаміка: через 6 та 12 міс</w:t>
      </w:r>
      <w:r>
        <w:rPr>
          <w:rFonts w:ascii="Times New Roman" w:hAnsi="Times New Roman"/>
          <w:sz w:val="28"/>
          <w:lang w:val="uk-UA"/>
        </w:rPr>
        <w:t>яців</w:t>
      </w:r>
      <w:r>
        <w:rPr>
          <w:rFonts w:ascii="Times New Roman" w:hAnsi="Times New Roman"/>
          <w:sz w:val="28"/>
        </w:rPr>
        <w:t xml:space="preserve"> рівні ЕТ-1 були на 21,3% та на 27,5% нижчими у порівнянні з вихідними даними </w:t>
      </w:r>
      <w:r>
        <w:rPr>
          <w:rFonts w:ascii="Times New Roman" w:hAnsi="Times New Roman"/>
          <w:color w:val="000000"/>
          <w:sz w:val="28"/>
        </w:rPr>
        <w:t>(р</w:t>
      </w:r>
      <w:r>
        <w:rPr>
          <w:rFonts w:ascii="Times New Roman" w:hAnsi="Times New Roman"/>
          <w:color w:val="000000"/>
          <w:sz w:val="28"/>
        </w:rPr>
        <w:sym w:font="Symbol" w:char="003C"/>
      </w:r>
      <w:r>
        <w:rPr>
          <w:rFonts w:ascii="Times New Roman" w:hAnsi="Times New Roman"/>
          <w:color w:val="000000"/>
          <w:sz w:val="28"/>
        </w:rPr>
        <w:t xml:space="preserve">0,05). </w:t>
      </w:r>
      <w:r>
        <w:rPr>
          <w:rFonts w:ascii="Times New Roman" w:hAnsi="Times New Roman"/>
          <w:sz w:val="28"/>
        </w:rPr>
        <w:t xml:space="preserve">У хворих з IV </w:t>
      </w:r>
      <w:r>
        <w:rPr>
          <w:rFonts w:ascii="Times New Roman" w:hAnsi="Times New Roman"/>
          <w:sz w:val="28"/>
          <w:lang w:val="uk-UA"/>
        </w:rPr>
        <w:t>ступенем</w:t>
      </w:r>
      <w:r>
        <w:rPr>
          <w:rFonts w:ascii="Times New Roman" w:hAnsi="Times New Roman"/>
          <w:sz w:val="28"/>
        </w:rPr>
        <w:t xml:space="preserve"> ішемії, яким бул</w:t>
      </w:r>
      <w:r>
        <w:rPr>
          <w:rFonts w:ascii="Times New Roman" w:hAnsi="Times New Roman"/>
          <w:sz w:val="28"/>
          <w:lang w:val="uk-UA"/>
        </w:rPr>
        <w:t>а</w:t>
      </w:r>
      <w:r>
        <w:rPr>
          <w:rFonts w:ascii="Times New Roman" w:hAnsi="Times New Roman"/>
          <w:sz w:val="28"/>
        </w:rPr>
        <w:t xml:space="preserve"> виконан</w:t>
      </w:r>
      <w:r>
        <w:rPr>
          <w:rFonts w:ascii="Times New Roman" w:hAnsi="Times New Roman"/>
          <w:sz w:val="28"/>
          <w:lang w:val="uk-UA"/>
        </w:rPr>
        <w:t xml:space="preserve">а </w:t>
      </w:r>
      <w:r>
        <w:rPr>
          <w:rFonts w:ascii="Times New Roman" w:hAnsi="Times New Roman"/>
          <w:sz w:val="28"/>
        </w:rPr>
        <w:t>ЧБА, середній рівень ЕТ-1 через 6 та 12 міс</w:t>
      </w:r>
      <w:r>
        <w:rPr>
          <w:rFonts w:ascii="Times New Roman" w:hAnsi="Times New Roman"/>
          <w:sz w:val="28"/>
          <w:lang w:val="uk-UA"/>
        </w:rPr>
        <w:t>яців,</w:t>
      </w:r>
      <w:r>
        <w:rPr>
          <w:rFonts w:ascii="Times New Roman" w:hAnsi="Times New Roman"/>
          <w:sz w:val="28"/>
        </w:rPr>
        <w:t xml:space="preserve"> у порівнянні з вихідними даними</w:t>
      </w:r>
      <w:r>
        <w:rPr>
          <w:rFonts w:ascii="Times New Roman" w:hAnsi="Times New Roman"/>
          <w:sz w:val="28"/>
          <w:lang w:val="uk-UA"/>
        </w:rPr>
        <w:t>,</w:t>
      </w:r>
      <w:r>
        <w:rPr>
          <w:rFonts w:ascii="Times New Roman" w:hAnsi="Times New Roman"/>
          <w:sz w:val="28"/>
        </w:rPr>
        <w:t xml:space="preserve"> на 14,4% та 31,6% бу</w:t>
      </w:r>
      <w:r>
        <w:rPr>
          <w:rFonts w:ascii="Times New Roman" w:hAnsi="Times New Roman"/>
          <w:sz w:val="28"/>
          <w:lang w:val="uk-UA"/>
        </w:rPr>
        <w:t>в</w:t>
      </w:r>
      <w:r>
        <w:rPr>
          <w:rFonts w:ascii="Times New Roman" w:hAnsi="Times New Roman"/>
          <w:sz w:val="28"/>
        </w:rPr>
        <w:t xml:space="preserve"> відрогідно нижчим (р</w:t>
      </w:r>
      <w:r>
        <w:rPr>
          <w:rFonts w:ascii="Times New Roman" w:hAnsi="Times New Roman"/>
          <w:sz w:val="28"/>
        </w:rPr>
        <w:sym w:font="Symbol" w:char="003C"/>
      </w:r>
      <w:r>
        <w:rPr>
          <w:rFonts w:ascii="Times New Roman" w:hAnsi="Times New Roman"/>
          <w:sz w:val="28"/>
        </w:rPr>
        <w:t>0,05) (</w:t>
      </w:r>
      <w:r>
        <w:rPr>
          <w:rFonts w:ascii="Times New Roman" w:hAnsi="Times New Roman"/>
          <w:sz w:val="28"/>
          <w:lang w:val="uk-UA"/>
        </w:rPr>
        <w:t>рис. 5.3)</w:t>
      </w:r>
      <w:r>
        <w:rPr>
          <w:rFonts w:ascii="Times New Roman" w:hAnsi="Times New Roman"/>
          <w:sz w:val="28"/>
        </w:rPr>
        <w:t>.</w:t>
      </w:r>
    </w:p>
    <w:p w:rsidR="00A01923" w:rsidRDefault="00A01923" w:rsidP="00A01923">
      <w:pPr>
        <w:spacing w:after="0" w:line="360" w:lineRule="auto"/>
        <w:ind w:left="-567" w:firstLine="567"/>
        <w:jc w:val="both"/>
        <w:rPr>
          <w:rFonts w:ascii="Times New Roman" w:hAnsi="Times New Roman"/>
          <w:sz w:val="28"/>
          <w:szCs w:val="28"/>
          <w:lang w:val="uk-UA"/>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487043" w:rsidP="00A01923">
      <w:pPr>
        <w:tabs>
          <w:tab w:val="left" w:pos="5950"/>
        </w:tabs>
        <w:spacing w:after="0" w:line="360" w:lineRule="auto"/>
        <w:ind w:left="-567" w:right="141"/>
        <w:jc w:val="both"/>
        <w:rPr>
          <w:rFonts w:ascii="Times New Roman" w:hAnsi="Times New Roman"/>
          <w:sz w:val="28"/>
          <w:szCs w:val="28"/>
        </w:rPr>
      </w:pPr>
      <w:r w:rsidRPr="00487043">
        <w:rPr>
          <w:rFonts w:ascii="Calibri" w:hAnsi="Calibri"/>
        </w:rPr>
        <w:pict>
          <v:group id="_x0000_s2159" style="position:absolute;left:0;text-align:left;margin-left:-22.55pt;margin-top:-45.8pt;width:441.4pt;height:383pt;z-index:251664896" coordorigin="1695,1102" coordsize="8828,7583">
            <v:shape id="_x0000_s2160" type="#_x0000_t202" style="position:absolute;left:1695;top:1102;width:8828;height:6647;mso-wrap-style:none" stroked="f">
              <v:textbox style="mso-fit-shape-to-text:t">
                <w:txbxContent>
                  <w:p w:rsidR="00DA0A21" w:rsidRDefault="00DA0A21" w:rsidP="00A01923">
                    <w:r w:rsidRPr="00454A41">
                      <w:rPr>
                        <w:rFonts w:ascii="Times New Roman" w:eastAsia="Times New Roman" w:hAnsi="Times New Roman" w:cs="Times New Roman"/>
                        <w:sz w:val="28"/>
                      </w:rPr>
                      <w:object w:dxaOrig="11463" w:dyaOrig="8362">
                        <v:shape id="_x0000_i1075" type="#_x0000_t75" style="width:427.05pt;height:316.55pt" o:ole="">
                          <v:imagedata r:id="rId67" o:title=""/>
                        </v:shape>
                        <o:OLEObject Type="Embed" ProgID="MSGraph.Chart.8" ShapeID="_x0000_i1075" DrawAspect="Content" ObjectID="_1585401166" r:id="rId68">
                          <o:FieldCodes>\s</o:FieldCodes>
                        </o:OLEObject>
                      </w:object>
                    </w:r>
                  </w:p>
                </w:txbxContent>
              </v:textbox>
            </v:shape>
            <v:shape id="_x0000_s2161" type="#_x0000_t202" style="position:absolute;left:1785;top:7790;width:8670;height:895" stroked="f">
              <v:textbox>
                <w:txbxContent>
                  <w:p w:rsidR="00DA0A21" w:rsidRDefault="00DA0A21" w:rsidP="00A01923">
                    <w:pPr>
                      <w:autoSpaceDE w:val="0"/>
                      <w:autoSpaceDN w:val="0"/>
                      <w:adjustRightInd w:val="0"/>
                      <w:spacing w:after="0"/>
                      <w:ind w:firstLine="567"/>
                      <w:jc w:val="center"/>
                      <w:rPr>
                        <w:rFonts w:ascii="Times New Roman CYR" w:hAnsi="Times New Roman CYR" w:cs="Times New Roman CYR"/>
                        <w:sz w:val="28"/>
                        <w:szCs w:val="28"/>
                        <w:lang w:eastAsia="uk-UA"/>
                      </w:rPr>
                    </w:pPr>
                    <w:r>
                      <w:rPr>
                        <w:rFonts w:ascii="Times New Roman" w:hAnsi="Times New Roman"/>
                        <w:sz w:val="28"/>
                        <w:szCs w:val="28"/>
                      </w:rPr>
                      <w:t>Рис. 5.</w:t>
                    </w:r>
                    <w:r>
                      <w:rPr>
                        <w:rFonts w:ascii="Times New Roman" w:hAnsi="Times New Roman"/>
                        <w:sz w:val="28"/>
                        <w:szCs w:val="28"/>
                        <w:lang w:val="uk-UA"/>
                      </w:rPr>
                      <w:t xml:space="preserve">3 </w:t>
                    </w:r>
                    <w:r>
                      <w:rPr>
                        <w:rFonts w:ascii="Times New Roman" w:hAnsi="Times New Roman"/>
                        <w:sz w:val="28"/>
                      </w:rPr>
                      <w:t>Динаміка змін показників ЕТ-1 у хворих основної групи</w:t>
                    </w:r>
                  </w:p>
                  <w:p w:rsidR="00DA0A21" w:rsidRDefault="00DA0A21" w:rsidP="00A01923">
                    <w:pPr>
                      <w:tabs>
                        <w:tab w:val="left" w:pos="5950"/>
                      </w:tabs>
                      <w:autoSpaceDE w:val="0"/>
                      <w:autoSpaceDN w:val="0"/>
                      <w:adjustRightInd w:val="0"/>
                      <w:spacing w:after="0"/>
                      <w:ind w:firstLine="567"/>
                      <w:jc w:val="center"/>
                      <w:rPr>
                        <w:rFonts w:ascii="Times New Roman" w:hAnsi="Times New Roman" w:cs="Times New Roman"/>
                        <w:sz w:val="28"/>
                        <w:szCs w:val="28"/>
                      </w:rPr>
                    </w:pPr>
                  </w:p>
                </w:txbxContent>
              </v:textbox>
            </v:shape>
          </v:group>
        </w:pict>
      </w: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lang w:val="uk-UA"/>
        </w:rPr>
      </w:pPr>
    </w:p>
    <w:p w:rsidR="00A01923" w:rsidRDefault="00A01923" w:rsidP="00A01923">
      <w:pPr>
        <w:tabs>
          <w:tab w:val="left" w:pos="5950"/>
        </w:tabs>
        <w:spacing w:after="0" w:line="360" w:lineRule="auto"/>
        <w:ind w:left="-567" w:right="141"/>
        <w:jc w:val="both"/>
        <w:rPr>
          <w:rFonts w:ascii="Times New Roman" w:hAnsi="Times New Roman"/>
          <w:sz w:val="28"/>
          <w:szCs w:val="28"/>
          <w:lang w:val="uk-UA"/>
        </w:rPr>
      </w:pPr>
    </w:p>
    <w:p w:rsidR="00A01923" w:rsidRDefault="00A01923" w:rsidP="00A01923">
      <w:pPr>
        <w:tabs>
          <w:tab w:val="left" w:pos="5950"/>
        </w:tabs>
        <w:spacing w:after="0" w:line="360" w:lineRule="auto"/>
        <w:ind w:left="-567" w:right="141"/>
        <w:jc w:val="both"/>
        <w:rPr>
          <w:rFonts w:ascii="Times New Roman" w:hAnsi="Times New Roman"/>
          <w:sz w:val="28"/>
          <w:szCs w:val="28"/>
          <w:lang w:val="uk-UA"/>
        </w:rPr>
      </w:pPr>
    </w:p>
    <w:p w:rsidR="00A01923" w:rsidRDefault="00A01923" w:rsidP="00A01923">
      <w:pPr>
        <w:tabs>
          <w:tab w:val="left" w:pos="5950"/>
        </w:tabs>
        <w:spacing w:after="0" w:line="360" w:lineRule="auto"/>
        <w:ind w:left="-567" w:right="141"/>
        <w:jc w:val="both"/>
        <w:rPr>
          <w:rFonts w:ascii="Times New Roman" w:hAnsi="Times New Roman"/>
          <w:sz w:val="28"/>
          <w:szCs w:val="28"/>
          <w:lang w:val="uk-UA"/>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tabs>
          <w:tab w:val="left" w:pos="5950"/>
        </w:tabs>
        <w:spacing w:after="0" w:line="360" w:lineRule="auto"/>
        <w:ind w:left="-567" w:right="141"/>
        <w:jc w:val="both"/>
        <w:rPr>
          <w:rFonts w:ascii="Times New Roman" w:hAnsi="Times New Roman"/>
          <w:sz w:val="28"/>
          <w:szCs w:val="28"/>
        </w:rPr>
      </w:pPr>
    </w:p>
    <w:p w:rsidR="00A01923" w:rsidRDefault="00A01923" w:rsidP="00A01923">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При спостереженні динаміки змін показників ЕТ-1 у даній групі хворих, ми бачимо зниження показника ЕТ-1у перші 6 місяців у всіх хворих, з подальшим зниженням цього показнику в дещо різній мірі, окрім хворих з IV </w:t>
      </w:r>
      <w:r w:rsidR="003A6D02">
        <w:rPr>
          <w:rFonts w:ascii="Times New Roman" w:hAnsi="Times New Roman"/>
          <w:sz w:val="28"/>
          <w:szCs w:val="28"/>
          <w:lang w:val="uk-UA"/>
        </w:rPr>
        <w:t>ступенем</w:t>
      </w:r>
      <w:r>
        <w:rPr>
          <w:rFonts w:ascii="Times New Roman" w:hAnsi="Times New Roman"/>
          <w:sz w:val="28"/>
          <w:szCs w:val="28"/>
          <w:lang w:val="uk-UA"/>
        </w:rPr>
        <w:t xml:space="preserve"> ішемії, </w:t>
      </w:r>
      <w:r w:rsidR="003A6D02">
        <w:rPr>
          <w:rFonts w:ascii="Times New Roman" w:hAnsi="Times New Roman"/>
          <w:sz w:val="28"/>
          <w:szCs w:val="28"/>
          <w:lang w:val="uk-UA"/>
        </w:rPr>
        <w:t xml:space="preserve">які </w:t>
      </w:r>
      <w:r>
        <w:rPr>
          <w:rFonts w:ascii="Times New Roman" w:hAnsi="Times New Roman"/>
          <w:sz w:val="28"/>
          <w:szCs w:val="28"/>
          <w:lang w:val="uk-UA"/>
        </w:rPr>
        <w:t>лікувалися консервативним методом – у цих хворих рівень ЕТ-1 підвищився у строк 12 місяців у порівнянні з 6 місяцями на 5,7% , хоча й невірогідно (95% ДІ від −1,289 до 0,4895, р=0,355).</w:t>
      </w:r>
    </w:p>
    <w:p w:rsidR="00A01923" w:rsidRDefault="00A01923" w:rsidP="00A01923">
      <w:pPr>
        <w:spacing w:after="0" w:line="360" w:lineRule="auto"/>
        <w:ind w:left="-567" w:firstLine="567"/>
        <w:jc w:val="both"/>
        <w:rPr>
          <w:rFonts w:ascii="Times New Roman" w:hAnsi="Times New Roman"/>
          <w:sz w:val="28"/>
          <w:lang w:val="uk-UA"/>
        </w:rPr>
      </w:pPr>
      <w:r>
        <w:rPr>
          <w:rFonts w:ascii="Times New Roman" w:hAnsi="Times New Roman"/>
          <w:sz w:val="28"/>
          <w:szCs w:val="28"/>
          <w:lang w:val="uk-UA"/>
        </w:rPr>
        <w:t xml:space="preserve">Середні рівні С-реактивного білку, в залежності від методу проведеного лікування та ступеню ішемії, представлені у таблиці 5.10. </w:t>
      </w:r>
      <w:r>
        <w:rPr>
          <w:rFonts w:ascii="Times New Roman" w:hAnsi="Times New Roman"/>
          <w:sz w:val="28"/>
        </w:rPr>
        <w:t xml:space="preserve">Рівні СРБ на вихідному рівні не залежали від </w:t>
      </w:r>
      <w:r>
        <w:rPr>
          <w:rFonts w:ascii="Times New Roman" w:hAnsi="Times New Roman"/>
          <w:sz w:val="28"/>
          <w:lang w:val="uk-UA"/>
        </w:rPr>
        <w:t>ступеню</w:t>
      </w:r>
      <w:r>
        <w:rPr>
          <w:rFonts w:ascii="Times New Roman" w:hAnsi="Times New Roman"/>
          <w:sz w:val="28"/>
        </w:rPr>
        <w:t xml:space="preserve"> ішемії, виду лікування, що проводилось хворим (р&gt;0,05).</w:t>
      </w:r>
      <w:r w:rsidR="004C4BD2" w:rsidRPr="004C4BD2">
        <w:rPr>
          <w:rFonts w:ascii="Times New Roman" w:hAnsi="Times New Roman"/>
          <w:sz w:val="28"/>
        </w:rPr>
        <w:t xml:space="preserve"> </w:t>
      </w:r>
      <w:r w:rsidR="004C4BD2">
        <w:rPr>
          <w:rFonts w:ascii="Times New Roman" w:hAnsi="Times New Roman"/>
          <w:sz w:val="28"/>
        </w:rPr>
        <w:t xml:space="preserve">При порівнянні середнього рівня СРБ у хворих з ІІІ </w:t>
      </w:r>
      <w:r w:rsidR="004C4BD2">
        <w:rPr>
          <w:rFonts w:ascii="Times New Roman" w:hAnsi="Times New Roman"/>
          <w:sz w:val="28"/>
          <w:lang w:val="uk-UA"/>
        </w:rPr>
        <w:t>ступенем</w:t>
      </w:r>
      <w:r w:rsidR="004C4BD2">
        <w:rPr>
          <w:rFonts w:ascii="Times New Roman" w:hAnsi="Times New Roman"/>
          <w:sz w:val="28"/>
        </w:rPr>
        <w:t xml:space="preserve"> ішемії, яким проводилась консервативна терапія, відмічається зниження цього показника на 40,6% через 6 міс. та на 40,6% через 12 міс. у порівнянні з вихідними даними (р=0,000). У хворих з IV </w:t>
      </w:r>
      <w:r w:rsidR="004C4BD2">
        <w:rPr>
          <w:rFonts w:ascii="Times New Roman" w:hAnsi="Times New Roman"/>
          <w:sz w:val="28"/>
          <w:lang w:val="uk-UA"/>
        </w:rPr>
        <w:t xml:space="preserve">ступенем </w:t>
      </w:r>
      <w:r w:rsidR="004C4BD2">
        <w:rPr>
          <w:rFonts w:ascii="Times New Roman" w:hAnsi="Times New Roman"/>
          <w:sz w:val="28"/>
        </w:rPr>
        <w:t xml:space="preserve">ішемії при консервативному лікуваннї через 6 </w:t>
      </w:r>
      <w:r w:rsidR="004C4BD2">
        <w:rPr>
          <w:rFonts w:ascii="Times New Roman" w:hAnsi="Times New Roman"/>
          <w:sz w:val="28"/>
        </w:rPr>
        <w:lastRenderedPageBreak/>
        <w:t xml:space="preserve">місяців рівень СРБ був на 10,9% (р=0,025) нижчим за вихідні дані, а через 12 місяців </w:t>
      </w:r>
      <w:r w:rsidR="004C4BD2">
        <w:rPr>
          <w:rFonts w:ascii="Times New Roman" w:hAnsi="Times New Roman"/>
          <w:sz w:val="28"/>
          <w:lang w:val="uk-UA"/>
        </w:rPr>
        <w:t xml:space="preserve">– </w:t>
      </w:r>
      <w:r w:rsidR="004C4BD2">
        <w:rPr>
          <w:rFonts w:ascii="Times New Roman" w:hAnsi="Times New Roman"/>
          <w:sz w:val="28"/>
        </w:rPr>
        <w:t>різниця була невірогідною.</w:t>
      </w: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t>Таблиця 5.10</w:t>
      </w:r>
    </w:p>
    <w:p w:rsidR="00A01923" w:rsidRDefault="00A01923" w:rsidP="00A01923">
      <w:pPr>
        <w:spacing w:after="0" w:line="360" w:lineRule="auto"/>
        <w:ind w:firstLine="567"/>
        <w:jc w:val="center"/>
        <w:rPr>
          <w:rFonts w:ascii="Times New Roman" w:hAnsi="Times New Roman"/>
          <w:b/>
          <w:sz w:val="28"/>
          <w:lang w:val="uk-UA"/>
        </w:rPr>
      </w:pPr>
      <w:r>
        <w:rPr>
          <w:rFonts w:ascii="Times New Roman" w:hAnsi="Times New Roman"/>
          <w:b/>
          <w:sz w:val="28"/>
        </w:rPr>
        <w:t>Середні значення рівн</w:t>
      </w:r>
      <w:r>
        <w:rPr>
          <w:rFonts w:ascii="Times New Roman" w:hAnsi="Times New Roman"/>
          <w:b/>
          <w:sz w:val="28"/>
          <w:lang w:val="uk-UA"/>
        </w:rPr>
        <w:t>я</w:t>
      </w:r>
      <w:r>
        <w:rPr>
          <w:rFonts w:ascii="Times New Roman" w:hAnsi="Times New Roman"/>
          <w:b/>
          <w:sz w:val="28"/>
        </w:rPr>
        <w:t xml:space="preserve"> С-реактивного білку у хворих в залежності від </w:t>
      </w:r>
      <w:r>
        <w:rPr>
          <w:rFonts w:ascii="Times New Roman" w:hAnsi="Times New Roman"/>
          <w:b/>
          <w:sz w:val="28"/>
          <w:lang w:val="uk-UA"/>
        </w:rPr>
        <w:t>ступеню</w:t>
      </w:r>
      <w:r>
        <w:rPr>
          <w:rFonts w:ascii="Times New Roman" w:hAnsi="Times New Roman"/>
          <w:b/>
          <w:sz w:val="28"/>
        </w:rPr>
        <w:t xml:space="preserve"> ішемії та методу лікування </w:t>
      </w:r>
    </w:p>
    <w:tbl>
      <w:tblPr>
        <w:tblW w:w="0" w:type="auto"/>
        <w:tblInd w:w="-459" w:type="dxa"/>
        <w:tblLayout w:type="fixed"/>
        <w:tblCellMar>
          <w:left w:w="10" w:type="dxa"/>
          <w:right w:w="10" w:type="dxa"/>
        </w:tblCellMar>
        <w:tblLook w:val="04A0"/>
      </w:tblPr>
      <w:tblGrid>
        <w:gridCol w:w="1985"/>
        <w:gridCol w:w="1701"/>
        <w:gridCol w:w="1701"/>
        <w:gridCol w:w="1701"/>
        <w:gridCol w:w="1559"/>
        <w:gridCol w:w="1383"/>
      </w:tblGrid>
      <w:tr w:rsidR="00A01923" w:rsidTr="00A01923">
        <w:trPr>
          <w:trHeight w:val="2112"/>
        </w:trPr>
        <w:tc>
          <w:tcPr>
            <w:tcW w:w="1985"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rsidR="00A01923" w:rsidRDefault="00A01923">
            <w:pPr>
              <w:spacing w:after="0" w:line="360" w:lineRule="auto"/>
              <w:jc w:val="right"/>
              <w:rPr>
                <w:rFonts w:eastAsia="Times New Roman"/>
              </w:rPr>
            </w:pPr>
            <w:r>
              <w:rPr>
                <w:rFonts w:ascii="Times New Roman" w:hAnsi="Times New Roman"/>
                <w:sz w:val="28"/>
              </w:rPr>
              <w:t>Підгрупа хворих</w:t>
            </w:r>
          </w:p>
          <w:p w:rsidR="00A01923" w:rsidRDefault="00A01923">
            <w:pPr>
              <w:spacing w:after="0" w:line="360" w:lineRule="auto"/>
              <w:rPr>
                <w:rFonts w:ascii="Times New Roman" w:hAnsi="Times New Roman"/>
                <w:sz w:val="28"/>
                <w:lang w:val="uk-UA"/>
              </w:rPr>
            </w:pPr>
          </w:p>
          <w:p w:rsidR="00A01923" w:rsidRDefault="00A01923">
            <w:pPr>
              <w:spacing w:after="0" w:line="360" w:lineRule="auto"/>
              <w:rPr>
                <w:rFonts w:eastAsia="Times New Roman"/>
              </w:rPr>
            </w:pPr>
            <w:r>
              <w:rPr>
                <w:rFonts w:ascii="Times New Roman" w:hAnsi="Times New Roman"/>
                <w:sz w:val="28"/>
              </w:rPr>
              <w:t>Строки визначення</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ІІІ </w:t>
            </w:r>
            <w:r>
              <w:rPr>
                <w:rFonts w:ascii="Times New Roman" w:hAnsi="Times New Roman"/>
                <w:sz w:val="28"/>
                <w:lang w:val="uk-UA"/>
              </w:rPr>
              <w:t>ступінь</w:t>
            </w:r>
            <w:r>
              <w:rPr>
                <w:rFonts w:ascii="Times New Roman" w:hAnsi="Times New Roman"/>
                <w:sz w:val="28"/>
              </w:rPr>
              <w:t xml:space="preserve">, консервативна терапія </w:t>
            </w:r>
          </w:p>
          <w:p w:rsidR="00A01923" w:rsidRDefault="00A01923">
            <w:pPr>
              <w:spacing w:after="0" w:line="360" w:lineRule="auto"/>
              <w:jc w:val="center"/>
              <w:rPr>
                <w:rFonts w:eastAsia="Times New Roman"/>
              </w:rPr>
            </w:pPr>
            <w:r>
              <w:rPr>
                <w:rFonts w:ascii="Times New Roman" w:hAnsi="Times New Roman"/>
                <w:sz w:val="28"/>
              </w:rPr>
              <w:t>n=7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ІІІ </w:t>
            </w:r>
            <w:r>
              <w:rPr>
                <w:rFonts w:ascii="Times New Roman" w:hAnsi="Times New Roman"/>
                <w:sz w:val="28"/>
                <w:lang w:val="uk-UA"/>
              </w:rPr>
              <w:t>ступінь</w:t>
            </w:r>
            <w:r>
              <w:rPr>
                <w:rFonts w:ascii="Times New Roman" w:hAnsi="Times New Roman"/>
                <w:sz w:val="28"/>
              </w:rPr>
              <w:t xml:space="preserve">, ЧБА </w:t>
            </w:r>
          </w:p>
          <w:p w:rsidR="00A01923" w:rsidRDefault="00A01923">
            <w:pPr>
              <w:spacing w:after="0" w:line="360" w:lineRule="auto"/>
              <w:jc w:val="center"/>
              <w:rPr>
                <w:rFonts w:eastAsia="Times New Roman"/>
              </w:rPr>
            </w:pPr>
            <w:r>
              <w:rPr>
                <w:rFonts w:ascii="Times New Roman" w:hAnsi="Times New Roman"/>
                <w:sz w:val="28"/>
              </w:rPr>
              <w:t>n=2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xml:space="preserve">, консервативна терапія </w:t>
            </w:r>
          </w:p>
          <w:p w:rsidR="00A01923" w:rsidRDefault="00A01923">
            <w:pPr>
              <w:spacing w:after="0" w:line="360" w:lineRule="auto"/>
              <w:jc w:val="center"/>
              <w:rPr>
                <w:rFonts w:eastAsia="Times New Roman"/>
              </w:rPr>
            </w:pPr>
            <w:r>
              <w:rPr>
                <w:rFonts w:ascii="Times New Roman" w:hAnsi="Times New Roman"/>
                <w:sz w:val="28"/>
              </w:rPr>
              <w:t>n=7</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ЧБА</w:t>
            </w:r>
          </w:p>
          <w:p w:rsidR="00A01923" w:rsidRDefault="00A01923">
            <w:pPr>
              <w:spacing w:after="0" w:line="360" w:lineRule="auto"/>
              <w:jc w:val="center"/>
              <w:rPr>
                <w:rFonts w:eastAsia="Times New Roman"/>
              </w:rPr>
            </w:pPr>
            <w:r>
              <w:rPr>
                <w:rFonts w:ascii="Times New Roman" w:hAnsi="Times New Roman"/>
                <w:sz w:val="28"/>
              </w:rPr>
              <w:t>n=9</w:t>
            </w:r>
          </w:p>
        </w:tc>
        <w:tc>
          <w:tcPr>
            <w:tcW w:w="13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xml:space="preserve">, СГШ </w:t>
            </w:r>
          </w:p>
          <w:p w:rsidR="00A01923" w:rsidRDefault="00A01923">
            <w:pPr>
              <w:spacing w:after="0" w:line="360" w:lineRule="auto"/>
              <w:jc w:val="center"/>
              <w:rPr>
                <w:rFonts w:eastAsia="Times New Roman"/>
              </w:rPr>
            </w:pPr>
            <w:r>
              <w:rPr>
                <w:rFonts w:ascii="Times New Roman" w:hAnsi="Times New Roman"/>
                <w:sz w:val="28"/>
              </w:rPr>
              <w:t>n=3</w:t>
            </w:r>
          </w:p>
        </w:tc>
      </w:tr>
      <w:tr w:rsidR="00A01923" w:rsidTr="00A01923">
        <w:trPr>
          <w:trHeight w:val="545"/>
        </w:trPr>
        <w:tc>
          <w:tcPr>
            <w:tcW w:w="19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eastAsia="Times New Roman"/>
              </w:rPr>
            </w:pPr>
            <w:r>
              <w:rPr>
                <w:rFonts w:ascii="Times New Roman" w:hAnsi="Times New Roman"/>
                <w:sz w:val="28"/>
              </w:rPr>
              <w:t>Вихідні дані</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8,3±2,27*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8,5±1,69*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7,1±1,76*</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9,0±1,19*</w:t>
            </w:r>
          </w:p>
        </w:tc>
        <w:tc>
          <w:tcPr>
            <w:tcW w:w="13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8,7±2,11*</w:t>
            </w:r>
          </w:p>
        </w:tc>
      </w:tr>
      <w:tr w:rsidR="00A01923" w:rsidTr="00A01923">
        <w:trPr>
          <w:trHeight w:val="547"/>
        </w:trPr>
        <w:tc>
          <w:tcPr>
            <w:tcW w:w="19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eastAsia="Times New Roman"/>
                <w:lang w:val="uk-UA"/>
              </w:rPr>
            </w:pPr>
            <w:r>
              <w:rPr>
                <w:rFonts w:ascii="Times New Roman" w:hAnsi="Times New Roman"/>
                <w:sz w:val="28"/>
              </w:rPr>
              <w:t>6 міс</w:t>
            </w:r>
            <w:r>
              <w:rPr>
                <w:rFonts w:ascii="Times New Roman" w:hAnsi="Times New Roman"/>
                <w:sz w:val="28"/>
                <w:lang w:val="uk-UA"/>
              </w:rPr>
              <w:t>. (</w:t>
            </w:r>
            <w:r>
              <w:rPr>
                <w:rFonts w:ascii="Times New Roman" w:hAnsi="Times New Roman"/>
                <w:sz w:val="28"/>
              </w:rPr>
              <w:t>мг/л</w:t>
            </w:r>
            <w:r>
              <w:rPr>
                <w:rFonts w:ascii="Times New Roman" w:hAnsi="Times New Roman"/>
                <w:sz w:val="28"/>
                <w:lang w:val="uk-UA"/>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5,9 ±2,36*</w:t>
            </w:r>
            <w:r>
              <w:rPr>
                <w:rFonts w:ascii="Times New Roman" w:hAnsi="Times New Roman"/>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6,6 ±3,5*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6,4±1,64*</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5,4±1,63*</w:t>
            </w:r>
            <w:r>
              <w:rPr>
                <w:rFonts w:ascii="Times New Roman" w:hAnsi="Times New Roman"/>
                <w:sz w:val="28"/>
                <w:szCs w:val="28"/>
                <w:lang w:val="uk-UA"/>
              </w:rPr>
              <w:t>#</w:t>
            </w:r>
          </w:p>
        </w:tc>
        <w:tc>
          <w:tcPr>
            <w:tcW w:w="13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3,7±0,3*</w:t>
            </w:r>
            <w:r>
              <w:rPr>
                <w:rFonts w:ascii="Times New Roman" w:hAnsi="Times New Roman"/>
                <w:sz w:val="28"/>
                <w:szCs w:val="28"/>
                <w:lang w:val="uk-UA"/>
              </w:rPr>
              <w:t>#</w:t>
            </w:r>
          </w:p>
        </w:tc>
      </w:tr>
      <w:tr w:rsidR="00A01923" w:rsidTr="00A01923">
        <w:trPr>
          <w:trHeight w:val="271"/>
        </w:trPr>
        <w:tc>
          <w:tcPr>
            <w:tcW w:w="19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eastAsia="Times New Roman"/>
                <w:lang w:val="uk-UA"/>
              </w:rPr>
            </w:pPr>
            <w:r>
              <w:rPr>
                <w:rFonts w:ascii="Times New Roman" w:hAnsi="Times New Roman"/>
                <w:sz w:val="28"/>
              </w:rPr>
              <w:t>12 міс</w:t>
            </w:r>
            <w:r>
              <w:rPr>
                <w:rFonts w:ascii="Times New Roman" w:hAnsi="Times New Roman"/>
                <w:sz w:val="28"/>
                <w:lang w:val="uk-UA"/>
              </w:rPr>
              <w:t>. (</w:t>
            </w:r>
            <w:r>
              <w:rPr>
                <w:rFonts w:ascii="Times New Roman" w:hAnsi="Times New Roman"/>
                <w:sz w:val="28"/>
              </w:rPr>
              <w:t>мг/л</w:t>
            </w:r>
            <w:r>
              <w:rPr>
                <w:rFonts w:ascii="Times New Roman" w:hAnsi="Times New Roman"/>
                <w:sz w:val="28"/>
                <w:lang w:val="uk-UA"/>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5,9±2,5*</w:t>
            </w:r>
            <w:r>
              <w:rPr>
                <w:rFonts w:ascii="Times New Roman" w:hAnsi="Times New Roman"/>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6,5 ±2,89*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6,9±3,0*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5,6±2,19*</w:t>
            </w:r>
            <w:r>
              <w:rPr>
                <w:rFonts w:ascii="Times New Roman" w:hAnsi="Times New Roman"/>
                <w:sz w:val="28"/>
                <w:szCs w:val="28"/>
                <w:lang w:val="uk-UA"/>
              </w:rPr>
              <w:t>#</w:t>
            </w:r>
          </w:p>
        </w:tc>
        <w:tc>
          <w:tcPr>
            <w:tcW w:w="13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3,6±0,4*</w:t>
            </w:r>
            <w:r>
              <w:rPr>
                <w:rFonts w:ascii="Times New Roman" w:hAnsi="Times New Roman"/>
                <w:sz w:val="28"/>
                <w:szCs w:val="28"/>
                <w:lang w:val="uk-UA"/>
              </w:rPr>
              <w:t>#</w:t>
            </w:r>
          </w:p>
        </w:tc>
      </w:tr>
      <w:tr w:rsidR="00A01923" w:rsidTr="004C4BD2">
        <w:trPr>
          <w:trHeight w:val="649"/>
        </w:trPr>
        <w:tc>
          <w:tcPr>
            <w:tcW w:w="19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ascii="Times New Roman" w:eastAsia="Times New Roman" w:hAnsi="Times New Roman"/>
                <w:sz w:val="28"/>
                <w:lang w:val="uk-UA"/>
              </w:rPr>
            </w:pPr>
            <w:r>
              <w:rPr>
                <w:rFonts w:ascii="Times New Roman" w:hAnsi="Times New Roman"/>
                <w:sz w:val="28"/>
                <w:lang w:val="uk-UA"/>
              </w:rPr>
              <w:t>Контроль, (</w:t>
            </w:r>
            <w:r>
              <w:rPr>
                <w:rFonts w:ascii="Times New Roman" w:hAnsi="Times New Roman"/>
                <w:sz w:val="28"/>
              </w:rPr>
              <w:t>мг/л</w:t>
            </w:r>
            <w:r>
              <w:rPr>
                <w:rFonts w:ascii="Times New Roman" w:hAnsi="Times New Roman"/>
                <w:sz w:val="28"/>
                <w:lang w:val="uk-UA"/>
              </w:rPr>
              <w:t>)</w:t>
            </w:r>
          </w:p>
        </w:tc>
        <w:tc>
          <w:tcPr>
            <w:tcW w:w="8045"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rPr>
            </w:pPr>
            <w:r>
              <w:rPr>
                <w:rFonts w:ascii="Times New Roman" w:hAnsi="Times New Roman"/>
                <w:sz w:val="28"/>
              </w:rPr>
              <w:t xml:space="preserve">3,8 </w:t>
            </w:r>
            <w:r>
              <w:rPr>
                <w:rFonts w:ascii="Times New Roman" w:hAnsi="Times New Roman"/>
                <w:sz w:val="28"/>
              </w:rPr>
              <w:sym w:font="Symbol" w:char="00B1"/>
            </w:r>
            <w:r>
              <w:rPr>
                <w:rFonts w:ascii="Times New Roman" w:hAnsi="Times New Roman"/>
                <w:sz w:val="28"/>
                <w:lang w:val="uk-UA"/>
              </w:rPr>
              <w:t xml:space="preserve"> </w:t>
            </w:r>
            <w:r>
              <w:rPr>
                <w:rFonts w:ascii="Times New Roman" w:hAnsi="Times New Roman"/>
                <w:sz w:val="28"/>
              </w:rPr>
              <w:t>0,95</w:t>
            </w:r>
          </w:p>
        </w:tc>
      </w:tr>
    </w:tbl>
    <w:p w:rsidR="00A01923" w:rsidRDefault="00A01923" w:rsidP="00A01923">
      <w:pPr>
        <w:spacing w:after="0"/>
        <w:jc w:val="both"/>
        <w:rPr>
          <w:rFonts w:ascii="Times New Roman" w:eastAsia="Times New Roman" w:hAnsi="Times New Roman"/>
          <w:sz w:val="28"/>
          <w:szCs w:val="28"/>
          <w:lang w:val="uk-UA"/>
        </w:rPr>
      </w:pPr>
      <w:r>
        <w:rPr>
          <w:rFonts w:ascii="Times New Roman" w:hAnsi="Times New Roman"/>
          <w:sz w:val="28"/>
          <w:szCs w:val="28"/>
          <w:lang w:val="uk-UA"/>
        </w:rPr>
        <w:t>Примітка:</w:t>
      </w:r>
      <w:r>
        <w:rPr>
          <w:rFonts w:ascii="Times New Roman" w:hAnsi="Times New Roman"/>
          <w:sz w:val="28"/>
          <w:szCs w:val="28"/>
        </w:rPr>
        <w:t xml:space="preserve"> *- достовірна різниця з контролем</w:t>
      </w:r>
    </w:p>
    <w:p w:rsidR="00A01923" w:rsidRDefault="00A01923" w:rsidP="00A01923">
      <w:pPr>
        <w:tabs>
          <w:tab w:val="left" w:pos="5925"/>
        </w:tabs>
        <w:spacing w:after="0"/>
        <w:ind w:left="-567" w:firstLine="567"/>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 xml:space="preserve">- достовірна різниця з </w:t>
      </w:r>
      <w:r>
        <w:rPr>
          <w:rFonts w:ascii="Times New Roman" w:hAnsi="Times New Roman"/>
          <w:sz w:val="28"/>
          <w:szCs w:val="28"/>
          <w:lang w:val="uk-UA"/>
        </w:rPr>
        <w:t>вихідним рівнем</w:t>
      </w:r>
    </w:p>
    <w:p w:rsidR="00A01923" w:rsidRDefault="00A01923" w:rsidP="00A01923">
      <w:pPr>
        <w:autoSpaceDE w:val="0"/>
        <w:autoSpaceDN w:val="0"/>
        <w:adjustRightInd w:val="0"/>
        <w:spacing w:after="0" w:line="360" w:lineRule="auto"/>
        <w:ind w:left="-567" w:firstLine="567"/>
        <w:jc w:val="both"/>
        <w:rPr>
          <w:rFonts w:ascii="Times New Roman" w:hAnsi="Times New Roman"/>
          <w:sz w:val="28"/>
          <w:lang w:val="uk-UA"/>
        </w:rPr>
      </w:pPr>
    </w:p>
    <w:p w:rsidR="00A01923" w:rsidRDefault="00A01923" w:rsidP="00A01923">
      <w:pPr>
        <w:autoSpaceDE w:val="0"/>
        <w:autoSpaceDN w:val="0"/>
        <w:adjustRightInd w:val="0"/>
        <w:spacing w:after="0" w:line="360" w:lineRule="auto"/>
        <w:ind w:left="-567" w:firstLine="567"/>
        <w:jc w:val="both"/>
        <w:rPr>
          <w:rFonts w:ascii="Times New Roman" w:hAnsi="Times New Roman"/>
          <w:sz w:val="28"/>
          <w:lang w:val="uk-UA"/>
        </w:rPr>
      </w:pPr>
    </w:p>
    <w:p w:rsidR="00A01923" w:rsidRDefault="00A01923" w:rsidP="00A01923">
      <w:pPr>
        <w:autoSpaceDE w:val="0"/>
        <w:autoSpaceDN w:val="0"/>
        <w:adjustRightInd w:val="0"/>
        <w:spacing w:after="0" w:line="360" w:lineRule="auto"/>
        <w:ind w:left="-567" w:firstLine="567"/>
        <w:jc w:val="both"/>
        <w:rPr>
          <w:rFonts w:ascii="Times New Roman" w:hAnsi="Times New Roman"/>
          <w:sz w:val="28"/>
          <w:lang w:val="uk-UA"/>
        </w:rPr>
      </w:pPr>
      <w:r>
        <w:rPr>
          <w:rFonts w:ascii="Times New Roman" w:hAnsi="Times New Roman"/>
          <w:sz w:val="28"/>
          <w:lang w:val="uk-UA"/>
        </w:rPr>
        <w:t xml:space="preserve">Водночас, вірогідна різниця показника, що досліджувався, була відмічена у хворих з </w:t>
      </w:r>
      <w:r>
        <w:rPr>
          <w:rFonts w:ascii="Times New Roman" w:hAnsi="Times New Roman"/>
          <w:sz w:val="28"/>
        </w:rPr>
        <w:t>IV</w:t>
      </w:r>
      <w:r>
        <w:rPr>
          <w:rFonts w:ascii="Times New Roman" w:hAnsi="Times New Roman"/>
          <w:sz w:val="28"/>
          <w:lang w:val="uk-UA"/>
        </w:rPr>
        <w:t xml:space="preserve"> ступенем ішемії, </w:t>
      </w:r>
      <w:r w:rsidR="003A6D02">
        <w:rPr>
          <w:rFonts w:ascii="Times New Roman" w:hAnsi="Times New Roman"/>
          <w:sz w:val="28"/>
          <w:lang w:val="uk-UA"/>
        </w:rPr>
        <w:t xml:space="preserve">які </w:t>
      </w:r>
      <w:r>
        <w:rPr>
          <w:rFonts w:ascii="Times New Roman" w:hAnsi="Times New Roman"/>
          <w:sz w:val="28"/>
          <w:lang w:val="uk-UA"/>
        </w:rPr>
        <w:t xml:space="preserve">були проліковані відкритим методом з виконанням СГШ (вихідні дані та дані, які були отримані у строк через 6 міс. та через 12 міс., р=0,015) та у хворих, які були проліковані за допомогою ЧБА (вихідні дані та дані, які були отримані через 6 міс. та 12 міс.) (р=0,000). При цьому різниця між середнім рівнем СРБ, що досліджувався через 6 та 12 міс., була невірогідною при всіх методах лікування. </w:t>
      </w:r>
    </w:p>
    <w:p w:rsidR="00A01923" w:rsidRPr="00431481" w:rsidRDefault="00A01923" w:rsidP="00431481">
      <w:pPr>
        <w:spacing w:after="0" w:line="360" w:lineRule="auto"/>
        <w:ind w:left="-567" w:firstLine="567"/>
        <w:jc w:val="both"/>
        <w:rPr>
          <w:rFonts w:ascii="Times New Roman" w:hAnsi="Times New Roman"/>
          <w:sz w:val="28"/>
          <w:szCs w:val="28"/>
          <w:lang w:val="uk-UA"/>
        </w:rPr>
      </w:pPr>
      <w:r>
        <w:rPr>
          <w:rFonts w:ascii="Times New Roman" w:hAnsi="Times New Roman"/>
          <w:sz w:val="28"/>
          <w:lang w:val="uk-UA"/>
        </w:rPr>
        <w:t>Середні рівні С-реактивного білку представленІ на рисунку 5.4.</w:t>
      </w:r>
      <w:r w:rsidR="00431481" w:rsidRPr="00431481">
        <w:rPr>
          <w:rFonts w:ascii="Times New Roman" w:hAnsi="Times New Roman"/>
          <w:sz w:val="28"/>
          <w:szCs w:val="28"/>
          <w:lang w:val="uk-UA"/>
        </w:rPr>
        <w:t xml:space="preserve"> </w:t>
      </w:r>
      <w:r w:rsidR="00431481">
        <w:rPr>
          <w:rFonts w:ascii="Times New Roman" w:hAnsi="Times New Roman"/>
          <w:sz w:val="28"/>
          <w:szCs w:val="28"/>
          <w:lang w:val="uk-UA"/>
        </w:rPr>
        <w:t>Дані динаміки рівнів СРБ свідчать про залежність прозапальної функції ендотелію від ступеню ішемії та, відповідно, від проведеного лікування, що також корелює з даними визначення якості життя хворих на ХКІНК.</w:t>
      </w:r>
    </w:p>
    <w:p w:rsidR="00A01923" w:rsidRDefault="00487043" w:rsidP="00A01923">
      <w:pPr>
        <w:autoSpaceDE w:val="0"/>
        <w:autoSpaceDN w:val="0"/>
        <w:adjustRightInd w:val="0"/>
        <w:spacing w:line="360" w:lineRule="auto"/>
        <w:ind w:left="-567"/>
        <w:jc w:val="both"/>
        <w:rPr>
          <w:rFonts w:ascii="Times New Roman" w:hAnsi="Times New Roman"/>
          <w:sz w:val="28"/>
          <w:lang w:val="uk-UA"/>
        </w:rPr>
      </w:pPr>
      <w:r w:rsidRPr="00487043">
        <w:rPr>
          <w:rFonts w:ascii="Calibri" w:hAnsi="Calibri"/>
        </w:rPr>
        <w:lastRenderedPageBreak/>
        <w:pict>
          <v:group id="_x0000_s2162" style="position:absolute;left:0;text-align:left;margin-left:-33.8pt;margin-top:4.5pt;width:487.2pt;height:377.25pt;z-index:251665920" coordorigin="1260,1059" coordsize="9615,7545">
            <v:shape id="_x0000_s2163" type="#_x0000_t202" style="position:absolute;left:1545;top:1059;width:417;height:653" stroked="f">
              <v:textbox style="mso-fit-shape-to-text:t">
                <w:txbxContent>
                  <w:p w:rsidR="00DA0A21" w:rsidRDefault="00DA0A21" w:rsidP="00A01923"/>
                </w:txbxContent>
              </v:textbox>
            </v:shape>
            <v:shape id="_x0000_s2164" type="#_x0000_t202" style="position:absolute;left:1260;top:7584;width:9615;height:1020" stroked="f">
              <v:textbox>
                <w:txbxContent>
                  <w:p w:rsidR="00DA0A21" w:rsidRDefault="00DA0A21" w:rsidP="00A01923">
                    <w:pPr>
                      <w:tabs>
                        <w:tab w:val="left" w:pos="5950"/>
                      </w:tabs>
                      <w:spacing w:after="0" w:line="360" w:lineRule="auto"/>
                      <w:ind w:left="-567" w:right="141" w:firstLine="567"/>
                      <w:jc w:val="center"/>
                      <w:rPr>
                        <w:rFonts w:ascii="Times New Roman" w:hAnsi="Times New Roman"/>
                        <w:sz w:val="28"/>
                      </w:rPr>
                    </w:pPr>
                    <w:r>
                      <w:rPr>
                        <w:rFonts w:ascii="Times New Roman" w:hAnsi="Times New Roman"/>
                        <w:sz w:val="28"/>
                      </w:rPr>
                      <w:t xml:space="preserve">Рис. </w:t>
                    </w:r>
                    <w:r>
                      <w:rPr>
                        <w:rFonts w:ascii="Times New Roman" w:hAnsi="Times New Roman"/>
                        <w:sz w:val="28"/>
                        <w:lang w:val="uk-UA"/>
                      </w:rPr>
                      <w:t>5.4 П</w:t>
                    </w:r>
                    <w:r>
                      <w:rPr>
                        <w:rFonts w:ascii="Times New Roman" w:hAnsi="Times New Roman"/>
                        <w:sz w:val="28"/>
                      </w:rPr>
                      <w:t>оказник</w:t>
                    </w:r>
                    <w:r>
                      <w:rPr>
                        <w:rFonts w:ascii="Times New Roman" w:hAnsi="Times New Roman"/>
                        <w:sz w:val="28"/>
                        <w:lang w:val="uk-UA"/>
                      </w:rPr>
                      <w:t>и</w:t>
                    </w:r>
                    <w:r>
                      <w:rPr>
                        <w:rFonts w:ascii="Times New Roman" w:hAnsi="Times New Roman"/>
                        <w:sz w:val="28"/>
                      </w:rPr>
                      <w:t xml:space="preserve"> СРБ у хворих основної групи</w:t>
                    </w:r>
                    <w:r>
                      <w:rPr>
                        <w:rFonts w:ascii="Times New Roman" w:hAnsi="Times New Roman"/>
                        <w:sz w:val="28"/>
                        <w:lang w:val="uk-UA"/>
                      </w:rPr>
                      <w:t>.</w:t>
                    </w:r>
                    <w:r>
                      <w:rPr>
                        <w:rFonts w:ascii="Times New Roman" w:hAnsi="Times New Roman"/>
                        <w:sz w:val="28"/>
                      </w:rPr>
                      <w:t xml:space="preserve"> </w:t>
                    </w:r>
                  </w:p>
                  <w:p w:rsidR="00DA0A21" w:rsidRDefault="00DA0A21" w:rsidP="00A01923">
                    <w:pPr>
                      <w:spacing w:after="0"/>
                      <w:rPr>
                        <w:rFonts w:ascii="Calibri" w:hAnsi="Calibri"/>
                      </w:rPr>
                    </w:pPr>
                  </w:p>
                </w:txbxContent>
              </v:textbox>
            </v:shape>
          </v:group>
        </w:pict>
      </w:r>
      <w:r w:rsidR="00A01923">
        <w:rPr>
          <w:rFonts w:ascii="Calibri" w:eastAsia="Times New Roman" w:hAnsi="Calibri" w:cs="Times New Roman"/>
          <w:noProof/>
        </w:rPr>
        <w:drawing>
          <wp:inline distT="0" distB="0" distL="0" distR="0">
            <wp:extent cx="5984875" cy="4215765"/>
            <wp:effectExtent l="0" t="0" r="0" b="0"/>
            <wp:docPr id="42" name="Объект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01923" w:rsidRDefault="00A01923" w:rsidP="00A01923">
      <w:pPr>
        <w:autoSpaceDE w:val="0"/>
        <w:autoSpaceDN w:val="0"/>
        <w:adjustRightInd w:val="0"/>
        <w:spacing w:line="360" w:lineRule="auto"/>
        <w:jc w:val="both"/>
        <w:rPr>
          <w:rFonts w:ascii="Times New Roman" w:hAnsi="Times New Roman"/>
          <w:sz w:val="28"/>
          <w:lang w:val="uk-UA"/>
        </w:rPr>
      </w:pP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lang w:val="uk-UA"/>
        </w:rPr>
      </w:pPr>
      <w:r>
        <w:rPr>
          <w:rFonts w:ascii="Times New Roman" w:hAnsi="Times New Roman"/>
          <w:sz w:val="28"/>
          <w:szCs w:val="28"/>
          <w:lang w:val="uk-UA"/>
        </w:rPr>
        <w:t xml:space="preserve">Середні значення рівню опосередкованого показнику гемостатичної та прозапальної функції ендотелію фібриногену представлені у таблиці 5.11. </w:t>
      </w:r>
      <w:r>
        <w:rPr>
          <w:rFonts w:ascii="Times New Roman" w:hAnsi="Times New Roman"/>
          <w:sz w:val="28"/>
          <w:lang w:val="uk-UA"/>
        </w:rPr>
        <w:t xml:space="preserve">Проведені дослідження свідчать, що рівні фібриногену на початку лікування вірогідно не залежали від ступеню ішемії нижніх кінцівок. Також варто відзначити, що у хворих з </w:t>
      </w:r>
      <w:r>
        <w:rPr>
          <w:rFonts w:ascii="Times New Roman" w:hAnsi="Times New Roman"/>
          <w:sz w:val="28"/>
        </w:rPr>
        <w:t>IV</w:t>
      </w:r>
      <w:r>
        <w:rPr>
          <w:rFonts w:ascii="Times New Roman" w:hAnsi="Times New Roman"/>
          <w:sz w:val="28"/>
          <w:lang w:val="uk-UA"/>
        </w:rPr>
        <w:t xml:space="preserve"> ступенем ішемії через 12 місяців рівень фібриногену невірогідно відрізнявся від контролю. Динаміка змін середніх  рівнів  фібриногену у хворих з ІІІ ступенем ішемії, які були проліковані консервативно та, яким були виконані ЧБА через 6 та 12 місяців, у порівнянні з вихідними даними, також були невірогідними.</w:t>
      </w:r>
      <w:r w:rsidR="004C4BD2" w:rsidRPr="004C4BD2">
        <w:rPr>
          <w:rFonts w:ascii="Times New Roman" w:hAnsi="Times New Roman"/>
          <w:sz w:val="28"/>
          <w:lang w:val="uk-UA"/>
        </w:rPr>
        <w:t xml:space="preserve"> </w:t>
      </w:r>
      <w:r w:rsidR="004C4BD2">
        <w:rPr>
          <w:rFonts w:ascii="Times New Roman" w:hAnsi="Times New Roman"/>
          <w:sz w:val="28"/>
          <w:lang w:val="uk-UA"/>
        </w:rPr>
        <w:t xml:space="preserve">Визначення різниці середнього рівню фібриногену плазми крові у хворих з </w:t>
      </w:r>
      <w:r w:rsidR="004C4BD2">
        <w:rPr>
          <w:rFonts w:ascii="Times New Roman" w:hAnsi="Times New Roman"/>
          <w:sz w:val="28"/>
        </w:rPr>
        <w:t>IV</w:t>
      </w:r>
      <w:r w:rsidR="004C4BD2">
        <w:rPr>
          <w:rFonts w:ascii="Times New Roman" w:hAnsi="Times New Roman"/>
          <w:sz w:val="28"/>
          <w:lang w:val="uk-UA"/>
        </w:rPr>
        <w:t xml:space="preserve"> ступенем ішемії, які отримували лише консервативну терапію, показало, що у строк через 12 місяців показник, що вивчався, був на 26,3% вищим за вихідні дані (р=0,044); рівень фібриногену плазми крові у хворих з </w:t>
      </w:r>
      <w:r w:rsidR="004C4BD2">
        <w:rPr>
          <w:rFonts w:ascii="Times New Roman" w:hAnsi="Times New Roman"/>
          <w:sz w:val="28"/>
        </w:rPr>
        <w:t>IV</w:t>
      </w:r>
      <w:r w:rsidR="004C4BD2">
        <w:rPr>
          <w:rFonts w:ascii="Times New Roman" w:hAnsi="Times New Roman"/>
          <w:sz w:val="28"/>
          <w:lang w:val="uk-UA"/>
        </w:rPr>
        <w:t xml:space="preserve"> ступенем ішемії, які були оперовані за допомогою </w:t>
      </w:r>
      <w:r w:rsidR="004C4BD2">
        <w:rPr>
          <w:rFonts w:ascii="Times New Roman" w:hAnsi="Times New Roman"/>
          <w:sz w:val="28"/>
        </w:rPr>
        <w:lastRenderedPageBreak/>
        <w:t>ЧБА, через 6 міс</w:t>
      </w:r>
      <w:r w:rsidR="004C4BD2">
        <w:rPr>
          <w:rFonts w:ascii="Times New Roman" w:hAnsi="Times New Roman"/>
          <w:sz w:val="28"/>
          <w:lang w:val="uk-UA"/>
        </w:rPr>
        <w:t>яців</w:t>
      </w:r>
      <w:r w:rsidR="004C4BD2">
        <w:rPr>
          <w:rFonts w:ascii="Times New Roman" w:hAnsi="Times New Roman"/>
          <w:sz w:val="28"/>
        </w:rPr>
        <w:t xml:space="preserve"> виявився на 28,2% (р=0,044), а у строк через 12 міс</w:t>
      </w:r>
      <w:r w:rsidR="004C4BD2">
        <w:rPr>
          <w:rFonts w:ascii="Times New Roman" w:hAnsi="Times New Roman"/>
          <w:sz w:val="28"/>
          <w:lang w:val="uk-UA"/>
        </w:rPr>
        <w:t>яців</w:t>
      </w:r>
      <w:r w:rsidR="004C4BD2">
        <w:rPr>
          <w:rFonts w:ascii="Times New Roman" w:hAnsi="Times New Roman"/>
          <w:sz w:val="28"/>
        </w:rPr>
        <w:t xml:space="preserve">. </w:t>
      </w:r>
      <w:r w:rsidR="004C4BD2">
        <w:rPr>
          <w:rFonts w:ascii="Times New Roman" w:hAnsi="Times New Roman"/>
          <w:sz w:val="28"/>
        </w:rPr>
        <w:sym w:font="Symbol" w:char="002D"/>
      </w:r>
      <w:r w:rsidR="004C4BD2">
        <w:rPr>
          <w:rFonts w:ascii="Times New Roman" w:hAnsi="Times New Roman"/>
          <w:sz w:val="28"/>
        </w:rPr>
        <w:t xml:space="preserve"> на 18% нижчим за вихідний рівень (р=0,050).</w:t>
      </w:r>
    </w:p>
    <w:p w:rsidR="00A01923" w:rsidRDefault="00A01923" w:rsidP="00A01923">
      <w:pPr>
        <w:spacing w:after="0" w:line="360" w:lineRule="auto"/>
        <w:ind w:firstLine="567"/>
        <w:jc w:val="right"/>
        <w:rPr>
          <w:rFonts w:ascii="Times New Roman" w:hAnsi="Times New Roman"/>
          <w:i/>
          <w:sz w:val="28"/>
          <w:szCs w:val="28"/>
          <w:lang w:val="uk-UA"/>
        </w:rPr>
      </w:pPr>
      <w:r>
        <w:rPr>
          <w:rFonts w:ascii="Times New Roman" w:hAnsi="Times New Roman"/>
          <w:i/>
          <w:sz w:val="28"/>
          <w:szCs w:val="28"/>
          <w:lang w:val="uk-UA"/>
        </w:rPr>
        <w:t>Таблиця 5.11</w:t>
      </w:r>
    </w:p>
    <w:p w:rsidR="00A01923" w:rsidRDefault="00A01923" w:rsidP="00A01923">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Середні значення рівню фібриногену у хворих в залежності від ступеню ішемії та методу лікування хворих основної групи</w:t>
      </w:r>
    </w:p>
    <w:tbl>
      <w:tblPr>
        <w:tblW w:w="0" w:type="auto"/>
        <w:tblInd w:w="-318" w:type="dxa"/>
        <w:tblLayout w:type="fixed"/>
        <w:tblCellMar>
          <w:left w:w="10" w:type="dxa"/>
          <w:right w:w="10" w:type="dxa"/>
        </w:tblCellMar>
        <w:tblLook w:val="04A0"/>
      </w:tblPr>
      <w:tblGrid>
        <w:gridCol w:w="2127"/>
        <w:gridCol w:w="1560"/>
        <w:gridCol w:w="1417"/>
        <w:gridCol w:w="1843"/>
        <w:gridCol w:w="1276"/>
        <w:gridCol w:w="1666"/>
      </w:tblGrid>
      <w:tr w:rsidR="00986357" w:rsidTr="00986357">
        <w:trPr>
          <w:trHeight w:val="2415"/>
        </w:trPr>
        <w:tc>
          <w:tcPr>
            <w:tcW w:w="2127"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rsidR="00986357" w:rsidRDefault="00986357">
            <w:pPr>
              <w:spacing w:after="0" w:line="360" w:lineRule="auto"/>
              <w:jc w:val="right"/>
              <w:rPr>
                <w:rFonts w:eastAsia="Times New Roman"/>
              </w:rPr>
            </w:pPr>
            <w:r>
              <w:rPr>
                <w:rFonts w:ascii="Times New Roman" w:hAnsi="Times New Roman"/>
                <w:sz w:val="28"/>
              </w:rPr>
              <w:t>Підгрупа хворих</w:t>
            </w:r>
          </w:p>
          <w:p w:rsidR="00986357" w:rsidRDefault="00986357">
            <w:pPr>
              <w:spacing w:after="0" w:line="360" w:lineRule="auto"/>
              <w:jc w:val="both"/>
              <w:rPr>
                <w:rFonts w:ascii="Times New Roman" w:hAnsi="Times New Roman"/>
                <w:sz w:val="28"/>
                <w:lang w:val="uk-UA"/>
              </w:rPr>
            </w:pPr>
          </w:p>
          <w:p w:rsidR="00986357" w:rsidRDefault="00986357">
            <w:pPr>
              <w:spacing w:after="0" w:line="360" w:lineRule="auto"/>
              <w:jc w:val="both"/>
              <w:rPr>
                <w:rFonts w:eastAsia="Times New Roman"/>
              </w:rPr>
            </w:pPr>
            <w:r>
              <w:rPr>
                <w:rFonts w:ascii="Times New Roman" w:hAnsi="Times New Roman"/>
                <w:sz w:val="28"/>
              </w:rPr>
              <w:t>Строки визначення</w:t>
            </w:r>
          </w:p>
        </w:tc>
        <w:tc>
          <w:tcPr>
            <w:tcW w:w="15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986357" w:rsidRDefault="00986357" w:rsidP="004C716F">
            <w:pPr>
              <w:spacing w:after="0" w:line="360" w:lineRule="auto"/>
              <w:jc w:val="center"/>
              <w:rPr>
                <w:rFonts w:ascii="Times New Roman" w:eastAsia="Times New Roman" w:hAnsi="Times New Roman"/>
                <w:sz w:val="28"/>
              </w:rPr>
            </w:pPr>
            <w:r>
              <w:rPr>
                <w:rFonts w:ascii="Times New Roman" w:hAnsi="Times New Roman"/>
                <w:sz w:val="28"/>
              </w:rPr>
              <w:t xml:space="preserve">ІІІ </w:t>
            </w:r>
            <w:r>
              <w:rPr>
                <w:rFonts w:ascii="Times New Roman" w:hAnsi="Times New Roman"/>
                <w:sz w:val="28"/>
                <w:lang w:val="uk-UA"/>
              </w:rPr>
              <w:t>ступінь</w:t>
            </w:r>
            <w:r>
              <w:rPr>
                <w:rFonts w:ascii="Times New Roman" w:hAnsi="Times New Roman"/>
                <w:sz w:val="28"/>
              </w:rPr>
              <w:t xml:space="preserve">, консервативна терапія </w:t>
            </w:r>
          </w:p>
          <w:p w:rsidR="00986357" w:rsidRDefault="00986357" w:rsidP="004C716F">
            <w:pPr>
              <w:spacing w:after="0" w:line="360" w:lineRule="auto"/>
              <w:jc w:val="center"/>
              <w:rPr>
                <w:rFonts w:eastAsia="Times New Roman"/>
              </w:rPr>
            </w:pPr>
            <w:r>
              <w:rPr>
                <w:rFonts w:ascii="Times New Roman" w:hAnsi="Times New Roman"/>
                <w:sz w:val="28"/>
              </w:rPr>
              <w:t>n=7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986357" w:rsidRDefault="00986357" w:rsidP="004C716F">
            <w:pPr>
              <w:spacing w:after="0" w:line="360" w:lineRule="auto"/>
              <w:jc w:val="center"/>
              <w:rPr>
                <w:rFonts w:ascii="Times New Roman" w:eastAsia="Times New Roman" w:hAnsi="Times New Roman"/>
                <w:sz w:val="28"/>
              </w:rPr>
            </w:pPr>
            <w:r>
              <w:rPr>
                <w:rFonts w:ascii="Times New Roman" w:hAnsi="Times New Roman"/>
                <w:sz w:val="28"/>
              </w:rPr>
              <w:t xml:space="preserve">ІІІ </w:t>
            </w:r>
            <w:r>
              <w:rPr>
                <w:rFonts w:ascii="Times New Roman" w:hAnsi="Times New Roman"/>
                <w:sz w:val="28"/>
                <w:lang w:val="uk-UA"/>
              </w:rPr>
              <w:t>ступінь</w:t>
            </w:r>
            <w:r>
              <w:rPr>
                <w:rFonts w:ascii="Times New Roman" w:hAnsi="Times New Roman"/>
                <w:sz w:val="28"/>
              </w:rPr>
              <w:t xml:space="preserve">, ЧБА </w:t>
            </w:r>
          </w:p>
          <w:p w:rsidR="00986357" w:rsidRDefault="00986357" w:rsidP="004C716F">
            <w:pPr>
              <w:spacing w:after="0" w:line="360" w:lineRule="auto"/>
              <w:jc w:val="center"/>
              <w:rPr>
                <w:rFonts w:eastAsia="Times New Roman"/>
              </w:rPr>
            </w:pPr>
            <w:r>
              <w:rPr>
                <w:rFonts w:ascii="Times New Roman" w:hAnsi="Times New Roman"/>
                <w:sz w:val="28"/>
              </w:rPr>
              <w:t>n=2</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986357" w:rsidRDefault="00986357" w:rsidP="004C716F">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xml:space="preserve">, консервативна терапія </w:t>
            </w:r>
          </w:p>
          <w:p w:rsidR="00986357" w:rsidRDefault="00986357" w:rsidP="004C716F">
            <w:pPr>
              <w:spacing w:after="0" w:line="360" w:lineRule="auto"/>
              <w:jc w:val="center"/>
              <w:rPr>
                <w:rFonts w:eastAsia="Times New Roman"/>
              </w:rPr>
            </w:pPr>
            <w:r>
              <w:rPr>
                <w:rFonts w:ascii="Times New Roman" w:hAnsi="Times New Roman"/>
                <w:sz w:val="28"/>
              </w:rPr>
              <w:t>n=7</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986357" w:rsidRDefault="00986357" w:rsidP="004C716F">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ЧБА</w:t>
            </w:r>
          </w:p>
          <w:p w:rsidR="00986357" w:rsidRDefault="00986357" w:rsidP="004C716F">
            <w:pPr>
              <w:spacing w:after="0" w:line="360" w:lineRule="auto"/>
              <w:jc w:val="center"/>
              <w:rPr>
                <w:rFonts w:eastAsia="Times New Roman"/>
              </w:rPr>
            </w:pPr>
            <w:r>
              <w:rPr>
                <w:rFonts w:ascii="Times New Roman" w:hAnsi="Times New Roman"/>
                <w:sz w:val="28"/>
              </w:rPr>
              <w:t>n=9</w:t>
            </w:r>
          </w:p>
        </w:tc>
        <w:tc>
          <w:tcPr>
            <w:tcW w:w="16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986357" w:rsidRDefault="00986357" w:rsidP="004C716F">
            <w:pPr>
              <w:spacing w:after="0" w:line="360" w:lineRule="auto"/>
              <w:jc w:val="center"/>
              <w:rPr>
                <w:rFonts w:ascii="Times New Roman" w:eastAsia="Times New Roman" w:hAnsi="Times New Roman"/>
                <w:sz w:val="28"/>
              </w:rPr>
            </w:pPr>
            <w:r>
              <w:rPr>
                <w:rFonts w:ascii="Times New Roman" w:hAnsi="Times New Roman"/>
                <w:sz w:val="28"/>
              </w:rPr>
              <w:t xml:space="preserve">IV </w:t>
            </w:r>
            <w:r>
              <w:rPr>
                <w:rFonts w:ascii="Times New Roman" w:hAnsi="Times New Roman"/>
                <w:sz w:val="28"/>
                <w:lang w:val="uk-UA"/>
              </w:rPr>
              <w:t>ступінь</w:t>
            </w:r>
            <w:r>
              <w:rPr>
                <w:rFonts w:ascii="Times New Roman" w:hAnsi="Times New Roman"/>
                <w:sz w:val="28"/>
              </w:rPr>
              <w:t xml:space="preserve">, СГШ </w:t>
            </w:r>
          </w:p>
          <w:p w:rsidR="00986357" w:rsidRDefault="00986357" w:rsidP="004C716F">
            <w:pPr>
              <w:spacing w:after="0" w:line="360" w:lineRule="auto"/>
              <w:jc w:val="center"/>
              <w:rPr>
                <w:rFonts w:eastAsia="Times New Roman"/>
              </w:rPr>
            </w:pPr>
            <w:r>
              <w:rPr>
                <w:rFonts w:ascii="Times New Roman" w:hAnsi="Times New Roman"/>
                <w:sz w:val="28"/>
              </w:rPr>
              <w:t>n=3</w:t>
            </w:r>
          </w:p>
        </w:tc>
      </w:tr>
      <w:tr w:rsidR="00A01923" w:rsidTr="00986357">
        <w:trPr>
          <w:trHeight w:val="659"/>
        </w:trPr>
        <w:tc>
          <w:tcPr>
            <w:tcW w:w="2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ascii="Times New Roman" w:eastAsia="Times New Roman" w:hAnsi="Times New Roman"/>
                <w:sz w:val="28"/>
                <w:lang w:val="uk-UA"/>
              </w:rPr>
            </w:pPr>
            <w:r>
              <w:rPr>
                <w:rFonts w:ascii="Times New Roman" w:hAnsi="Times New Roman"/>
                <w:sz w:val="28"/>
              </w:rPr>
              <w:t>Вихідні дані</w:t>
            </w:r>
          </w:p>
          <w:p w:rsidR="00A01923" w:rsidRDefault="00A01923">
            <w:pPr>
              <w:spacing w:after="0" w:line="360" w:lineRule="auto"/>
              <w:rPr>
                <w:rFonts w:eastAsia="Times New Roman"/>
                <w:lang w:val="uk-UA"/>
              </w:rPr>
            </w:pPr>
            <w:r>
              <w:rPr>
                <w:rFonts w:ascii="Times New Roman" w:hAnsi="Times New Roman"/>
                <w:sz w:val="28"/>
                <w:lang w:val="uk-UA"/>
              </w:rPr>
              <w:t>(г/л)</w:t>
            </w:r>
          </w:p>
        </w:tc>
        <w:tc>
          <w:tcPr>
            <w:tcW w:w="15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5±1,71*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6,1±1,41*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3,8±0,78*</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5,0±1,11*</w:t>
            </w:r>
          </w:p>
        </w:tc>
        <w:tc>
          <w:tcPr>
            <w:tcW w:w="16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rPr>
            </w:pPr>
            <w:r>
              <w:rPr>
                <w:rFonts w:ascii="Times New Roman" w:hAnsi="Times New Roman"/>
                <w:sz w:val="28"/>
              </w:rPr>
              <w:t>5,2±0,95*</w:t>
            </w:r>
          </w:p>
        </w:tc>
      </w:tr>
      <w:tr w:rsidR="00A01923" w:rsidTr="00986357">
        <w:trPr>
          <w:trHeight w:val="430"/>
        </w:trPr>
        <w:tc>
          <w:tcPr>
            <w:tcW w:w="2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eastAsia="Times New Roman"/>
                <w:lang w:val="uk-UA"/>
              </w:rPr>
            </w:pPr>
            <w:r>
              <w:rPr>
                <w:rFonts w:ascii="Times New Roman" w:hAnsi="Times New Roman"/>
                <w:sz w:val="28"/>
              </w:rPr>
              <w:t>6 міс</w:t>
            </w:r>
            <w:r>
              <w:rPr>
                <w:rFonts w:ascii="Times New Roman" w:hAnsi="Times New Roman"/>
                <w:sz w:val="28"/>
                <w:lang w:val="uk-UA"/>
              </w:rPr>
              <w:t>. (г/л)</w:t>
            </w:r>
          </w:p>
        </w:tc>
        <w:tc>
          <w:tcPr>
            <w:tcW w:w="15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4±1,18*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5,6±2,19*</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4,3±0,49*</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3,9±1,02</w:t>
            </w:r>
            <w:r>
              <w:rPr>
                <w:rFonts w:ascii="Times New Roman" w:hAnsi="Times New Roman"/>
                <w:sz w:val="28"/>
                <w:lang w:val="uk-UA"/>
              </w:rPr>
              <w:t>*</w:t>
            </w:r>
            <w:r>
              <w:rPr>
                <w:rFonts w:ascii="Times New Roman" w:hAnsi="Times New Roman"/>
                <w:sz w:val="28"/>
                <w:szCs w:val="28"/>
                <w:lang w:val="uk-UA"/>
              </w:rPr>
              <w:t>#</w:t>
            </w:r>
          </w:p>
        </w:tc>
        <w:tc>
          <w:tcPr>
            <w:tcW w:w="16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3,</w:t>
            </w:r>
            <w:r>
              <w:rPr>
                <w:rFonts w:ascii="Times New Roman" w:hAnsi="Times New Roman"/>
                <w:sz w:val="28"/>
                <w:lang w:val="uk-UA"/>
              </w:rPr>
              <w:t>3</w:t>
            </w:r>
            <w:r>
              <w:rPr>
                <w:rFonts w:ascii="Times New Roman" w:hAnsi="Times New Roman"/>
                <w:sz w:val="28"/>
              </w:rPr>
              <w:t>±0,28</w:t>
            </w:r>
            <w:r>
              <w:rPr>
                <w:rFonts w:ascii="Times New Roman" w:hAnsi="Times New Roman"/>
                <w:sz w:val="28"/>
                <w:lang w:val="uk-UA"/>
              </w:rPr>
              <w:t>*</w:t>
            </w:r>
            <w:r>
              <w:rPr>
                <w:rFonts w:ascii="Times New Roman" w:hAnsi="Times New Roman"/>
                <w:sz w:val="28"/>
                <w:szCs w:val="28"/>
                <w:lang w:val="uk-UA"/>
              </w:rPr>
              <w:t>#</w:t>
            </w:r>
          </w:p>
        </w:tc>
      </w:tr>
      <w:tr w:rsidR="00A01923" w:rsidTr="00986357">
        <w:trPr>
          <w:trHeight w:val="423"/>
        </w:trPr>
        <w:tc>
          <w:tcPr>
            <w:tcW w:w="2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eastAsia="Times New Roman"/>
                <w:lang w:val="uk-UA"/>
              </w:rPr>
            </w:pPr>
            <w:r>
              <w:rPr>
                <w:rFonts w:ascii="Times New Roman" w:hAnsi="Times New Roman"/>
                <w:sz w:val="28"/>
              </w:rPr>
              <w:t>12 міс</w:t>
            </w:r>
            <w:r>
              <w:rPr>
                <w:rFonts w:ascii="Times New Roman" w:hAnsi="Times New Roman"/>
                <w:sz w:val="28"/>
                <w:lang w:val="uk-UA"/>
              </w:rPr>
              <w:t>. (г/л)</w:t>
            </w:r>
          </w:p>
        </w:tc>
        <w:tc>
          <w:tcPr>
            <w:tcW w:w="15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4,3±1,01*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5±2,54</w:t>
            </w:r>
            <w:r>
              <w:rPr>
                <w:rFonts w:ascii="Times New Roman" w:hAnsi="Times New Roman"/>
                <w:sz w:val="28"/>
                <w:lang w:val="uk-UA"/>
              </w:rPr>
              <w:t>*</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4,8±0,88</w:t>
            </w:r>
            <w:r>
              <w:rPr>
                <w:rFonts w:ascii="Times New Roman" w:hAnsi="Times New Roman"/>
                <w:sz w:val="28"/>
                <w:lang w:val="uk-UA"/>
              </w:rPr>
              <w:t>*</w:t>
            </w:r>
            <w:r>
              <w:rPr>
                <w:rFonts w:ascii="Times New Roman" w:hAnsi="Times New Roman"/>
                <w:sz w:val="28"/>
                <w:szCs w:val="28"/>
                <w:lang w:val="uk-UA"/>
              </w:rPr>
              <w:t>#</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4,1±0,63*</w:t>
            </w:r>
            <w:r>
              <w:rPr>
                <w:rFonts w:ascii="Times New Roman" w:hAnsi="Times New Roman"/>
                <w:sz w:val="28"/>
                <w:szCs w:val="28"/>
                <w:lang w:val="uk-UA"/>
              </w:rPr>
              <w:t>#</w:t>
            </w:r>
          </w:p>
        </w:tc>
        <w:tc>
          <w:tcPr>
            <w:tcW w:w="16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eastAsia="Times New Roman"/>
                <w:lang w:val="uk-UA"/>
              </w:rPr>
            </w:pPr>
            <w:r>
              <w:rPr>
                <w:rFonts w:ascii="Times New Roman" w:hAnsi="Times New Roman"/>
                <w:sz w:val="28"/>
              </w:rPr>
              <w:t>3,2±0,31</w:t>
            </w:r>
            <w:r>
              <w:rPr>
                <w:rFonts w:ascii="Times New Roman" w:hAnsi="Times New Roman"/>
                <w:sz w:val="28"/>
                <w:szCs w:val="28"/>
                <w:lang w:val="uk-UA"/>
              </w:rPr>
              <w:t>#</w:t>
            </w:r>
          </w:p>
        </w:tc>
      </w:tr>
      <w:tr w:rsidR="00A01923" w:rsidTr="00C03E66">
        <w:trPr>
          <w:trHeight w:val="407"/>
        </w:trPr>
        <w:tc>
          <w:tcPr>
            <w:tcW w:w="2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A01923" w:rsidRDefault="00A01923">
            <w:pPr>
              <w:spacing w:after="0" w:line="360" w:lineRule="auto"/>
              <w:rPr>
                <w:rFonts w:ascii="Times New Roman" w:eastAsia="Times New Roman" w:hAnsi="Times New Roman"/>
                <w:sz w:val="28"/>
                <w:lang w:val="uk-UA"/>
              </w:rPr>
            </w:pPr>
            <w:r>
              <w:rPr>
                <w:rFonts w:ascii="Times New Roman" w:hAnsi="Times New Roman"/>
                <w:sz w:val="28"/>
                <w:lang w:val="uk-UA"/>
              </w:rPr>
              <w:t>Контроль, (г/л)</w:t>
            </w:r>
          </w:p>
        </w:tc>
        <w:tc>
          <w:tcPr>
            <w:tcW w:w="7762"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A01923" w:rsidRDefault="00A01923">
            <w:pPr>
              <w:spacing w:after="0" w:line="360" w:lineRule="auto"/>
              <w:jc w:val="center"/>
              <w:rPr>
                <w:rFonts w:ascii="Times New Roman" w:eastAsia="Times New Roman" w:hAnsi="Times New Roman"/>
                <w:sz w:val="28"/>
                <w:lang w:val="uk-UA"/>
              </w:rPr>
            </w:pPr>
            <w:r>
              <w:rPr>
                <w:rFonts w:ascii="Times New Roman" w:hAnsi="Times New Roman"/>
                <w:sz w:val="28"/>
              </w:rPr>
              <w:t>2,8</w:t>
            </w:r>
            <w:r>
              <w:rPr>
                <w:rFonts w:ascii="Times New Roman" w:hAnsi="Times New Roman"/>
                <w:sz w:val="28"/>
                <w:lang w:val="uk-UA"/>
              </w:rPr>
              <w:t xml:space="preserve"> </w:t>
            </w:r>
            <w:r>
              <w:rPr>
                <w:rFonts w:ascii="Times New Roman" w:hAnsi="Times New Roman"/>
                <w:sz w:val="28"/>
              </w:rPr>
              <w:sym w:font="Symbol" w:char="00B1"/>
            </w:r>
            <w:r>
              <w:rPr>
                <w:rFonts w:ascii="Times New Roman" w:hAnsi="Times New Roman"/>
                <w:sz w:val="28"/>
              </w:rPr>
              <w:t xml:space="preserve"> 0,38</w:t>
            </w:r>
          </w:p>
        </w:tc>
      </w:tr>
    </w:tbl>
    <w:p w:rsidR="00A01923" w:rsidRDefault="00A01923" w:rsidP="00A01923">
      <w:pPr>
        <w:spacing w:after="0"/>
        <w:ind w:firstLine="567"/>
        <w:jc w:val="both"/>
        <w:rPr>
          <w:rFonts w:ascii="Times New Roman" w:eastAsia="Times New Roman" w:hAnsi="Times New Roman"/>
          <w:sz w:val="28"/>
          <w:szCs w:val="28"/>
          <w:lang w:val="uk-UA"/>
        </w:rPr>
      </w:pPr>
      <w:r>
        <w:rPr>
          <w:rFonts w:ascii="Times New Roman" w:hAnsi="Times New Roman"/>
          <w:sz w:val="28"/>
        </w:rPr>
        <w:t xml:space="preserve"> Примітка:*- достовірна різниця з контролем</w:t>
      </w:r>
      <w:r>
        <w:rPr>
          <w:rFonts w:ascii="Times New Roman" w:hAnsi="Times New Roman"/>
          <w:sz w:val="28"/>
          <w:szCs w:val="28"/>
        </w:rPr>
        <w:t xml:space="preserve"> </w:t>
      </w:r>
    </w:p>
    <w:p w:rsidR="00A01923" w:rsidRDefault="00A01923" w:rsidP="00A01923">
      <w:pPr>
        <w:tabs>
          <w:tab w:val="left" w:pos="5925"/>
        </w:tabs>
        <w:spacing w:after="0"/>
        <w:ind w:left="-567" w:firstLine="567"/>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 xml:space="preserve">- достовірна різниця з </w:t>
      </w:r>
      <w:r>
        <w:rPr>
          <w:rFonts w:ascii="Times New Roman" w:hAnsi="Times New Roman"/>
          <w:sz w:val="28"/>
          <w:szCs w:val="28"/>
          <w:lang w:val="uk-UA"/>
        </w:rPr>
        <w:t>вихідним рівнем</w:t>
      </w: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lang w:val="uk-UA"/>
        </w:rPr>
      </w:pPr>
    </w:p>
    <w:p w:rsidR="00A01923" w:rsidRDefault="00A01923" w:rsidP="00A01923">
      <w:pPr>
        <w:spacing w:after="0" w:line="360" w:lineRule="auto"/>
        <w:ind w:left="-567" w:firstLine="567"/>
        <w:jc w:val="both"/>
        <w:rPr>
          <w:rFonts w:ascii="Times New Roman" w:hAnsi="Times New Roman"/>
          <w:sz w:val="28"/>
          <w:lang w:val="uk-UA"/>
        </w:rPr>
      </w:pPr>
      <w:r>
        <w:rPr>
          <w:rFonts w:ascii="Times New Roman" w:hAnsi="Times New Roman"/>
          <w:sz w:val="28"/>
        </w:rPr>
        <w:t xml:space="preserve">Середній рівень фібриногену плазми крові у хворих з IV </w:t>
      </w:r>
      <w:r>
        <w:rPr>
          <w:rFonts w:ascii="Times New Roman" w:hAnsi="Times New Roman"/>
          <w:sz w:val="28"/>
          <w:lang w:val="uk-UA"/>
        </w:rPr>
        <w:t>ступенем</w:t>
      </w:r>
      <w:r>
        <w:rPr>
          <w:rFonts w:ascii="Times New Roman" w:hAnsi="Times New Roman"/>
          <w:sz w:val="28"/>
        </w:rPr>
        <w:t xml:space="preserve"> ішемії, що були оперовані за допомогою відкритої методики (СГШ), у строк через 6 міс</w:t>
      </w:r>
      <w:r>
        <w:rPr>
          <w:rFonts w:ascii="Times New Roman" w:hAnsi="Times New Roman"/>
          <w:sz w:val="28"/>
          <w:lang w:val="uk-UA"/>
        </w:rPr>
        <w:t>яців</w:t>
      </w:r>
      <w:r>
        <w:rPr>
          <w:rFonts w:ascii="Times New Roman" w:hAnsi="Times New Roman"/>
          <w:sz w:val="28"/>
        </w:rPr>
        <w:t xml:space="preserve"> був на 34,6% (р=0,035), а у строк 12 міс</w:t>
      </w:r>
      <w:r>
        <w:rPr>
          <w:rFonts w:ascii="Times New Roman" w:hAnsi="Times New Roman"/>
          <w:sz w:val="28"/>
          <w:lang w:val="uk-UA"/>
        </w:rPr>
        <w:t xml:space="preserve">яців </w:t>
      </w:r>
      <w:r>
        <w:rPr>
          <w:rFonts w:ascii="Times New Roman" w:hAnsi="Times New Roman"/>
          <w:sz w:val="28"/>
        </w:rPr>
        <w:sym w:font="Symbol" w:char="002D"/>
      </w:r>
      <w:r>
        <w:rPr>
          <w:rFonts w:ascii="Times New Roman" w:hAnsi="Times New Roman"/>
          <w:sz w:val="28"/>
        </w:rPr>
        <w:t xml:space="preserve">  на 38,4% нижчим за вихідний рівень (р=0,026).</w:t>
      </w:r>
    </w:p>
    <w:p w:rsidR="00A01923" w:rsidRDefault="00A01923" w:rsidP="00A01923">
      <w:pPr>
        <w:spacing w:after="0" w:line="360" w:lineRule="auto"/>
        <w:ind w:left="-567" w:firstLine="567"/>
        <w:jc w:val="both"/>
        <w:rPr>
          <w:rFonts w:ascii="Times New Roman" w:hAnsi="Times New Roman"/>
          <w:sz w:val="28"/>
          <w:lang w:val="uk-UA"/>
        </w:rPr>
      </w:pPr>
      <w:r>
        <w:rPr>
          <w:rFonts w:ascii="Times New Roman" w:hAnsi="Times New Roman"/>
          <w:sz w:val="28"/>
          <w:szCs w:val="28"/>
          <w:lang w:val="uk-UA"/>
        </w:rPr>
        <w:t>У хворих з IV ступенем ішемії та консервативною терапією помітна динаміка до підвищення рівня фібриногену протягом всього періоду спостереження, що свідчить про прогресування основного захворювання та запальних процессів. Хворі з проведеною реваскуляризацією (ЧБА та СГШ) мали динаміку до зниження цих показників (рис. 5.5).</w:t>
      </w:r>
    </w:p>
    <w:p w:rsidR="00A01923" w:rsidRDefault="00487043" w:rsidP="00A01923">
      <w:pPr>
        <w:spacing w:after="0" w:line="360" w:lineRule="auto"/>
        <w:ind w:left="-567"/>
        <w:jc w:val="both"/>
        <w:rPr>
          <w:rFonts w:ascii="Times New Roman" w:hAnsi="Times New Roman"/>
          <w:color w:val="FF0000"/>
          <w:sz w:val="28"/>
          <w:szCs w:val="28"/>
          <w:lang w:val="uk-UA"/>
        </w:rPr>
      </w:pPr>
      <w:r w:rsidRPr="00487043">
        <w:rPr>
          <w:rFonts w:ascii="Calibri" w:hAnsi="Calibri"/>
        </w:rPr>
        <w:lastRenderedPageBreak/>
        <w:pict>
          <v:shape id="_x0000_s2165" type="#_x0000_t202" style="position:absolute;left:0;text-align:left;margin-left:-24.3pt;margin-top:336.4pt;width:480.75pt;height:32.55pt;z-index:251666944" stroked="f">
            <v:textbox>
              <w:txbxContent>
                <w:p w:rsidR="00DA0A21" w:rsidRDefault="00DA0A21" w:rsidP="00A01923">
                  <w:pPr>
                    <w:tabs>
                      <w:tab w:val="left" w:pos="5950"/>
                    </w:tabs>
                    <w:spacing w:after="0"/>
                    <w:ind w:left="-567" w:right="141" w:firstLine="567"/>
                    <w:jc w:val="center"/>
                    <w:rPr>
                      <w:rFonts w:ascii="Times New Roman" w:hAnsi="Times New Roman"/>
                      <w:sz w:val="28"/>
                    </w:rPr>
                  </w:pPr>
                  <w:r>
                    <w:rPr>
                      <w:rFonts w:ascii="Times New Roman" w:hAnsi="Times New Roman"/>
                      <w:sz w:val="28"/>
                    </w:rPr>
                    <w:t xml:space="preserve">Рис. </w:t>
                  </w:r>
                  <w:r>
                    <w:rPr>
                      <w:rFonts w:ascii="Times New Roman" w:hAnsi="Times New Roman"/>
                      <w:sz w:val="28"/>
                      <w:lang w:val="uk-UA"/>
                    </w:rPr>
                    <w:t>5.5</w:t>
                  </w:r>
                  <w:r>
                    <w:rPr>
                      <w:rFonts w:ascii="Times New Roman" w:hAnsi="Times New Roman"/>
                      <w:sz w:val="28"/>
                    </w:rPr>
                    <w:t xml:space="preserve"> Динаміка змін показників фібриногену у хворих основної групи </w:t>
                  </w:r>
                </w:p>
                <w:p w:rsidR="00DA0A21" w:rsidRDefault="00DA0A21" w:rsidP="00A01923">
                  <w:pPr>
                    <w:spacing w:after="0"/>
                    <w:rPr>
                      <w:rFonts w:ascii="Calibri" w:hAnsi="Calibri"/>
                    </w:rPr>
                  </w:pPr>
                </w:p>
              </w:txbxContent>
            </v:textbox>
          </v:shape>
        </w:pict>
      </w:r>
      <w:r w:rsidR="00A01923">
        <w:rPr>
          <w:rFonts w:ascii="Calibri" w:eastAsia="Times New Roman" w:hAnsi="Calibri" w:cs="Times New Roman"/>
          <w:noProof/>
        </w:rPr>
        <w:drawing>
          <wp:inline distT="0" distB="0" distL="0" distR="0">
            <wp:extent cx="5450840" cy="4239260"/>
            <wp:effectExtent l="0" t="0" r="0" b="0"/>
            <wp:docPr id="43" name="Объект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A01923" w:rsidRDefault="00A01923" w:rsidP="00A01923">
      <w:pPr>
        <w:spacing w:after="0" w:line="360" w:lineRule="auto"/>
        <w:ind w:left="-567" w:firstLine="567"/>
        <w:jc w:val="both"/>
        <w:rPr>
          <w:rFonts w:ascii="Times New Roman" w:hAnsi="Times New Roman"/>
          <w:color w:val="FF0000"/>
          <w:sz w:val="28"/>
          <w:szCs w:val="28"/>
          <w:lang w:val="uk-UA"/>
        </w:rPr>
      </w:pP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rPr>
      </w:pPr>
      <w:r>
        <w:rPr>
          <w:rFonts w:ascii="Times New Roman" w:hAnsi="Times New Roman"/>
          <w:sz w:val="28"/>
          <w:lang w:val="uk-UA"/>
        </w:rPr>
        <w:t xml:space="preserve">Таким чином, проведені дослідження довели, що рівень </w:t>
      </w:r>
      <w:r>
        <w:rPr>
          <w:rFonts w:ascii="Times New Roman" w:hAnsi="Times New Roman"/>
          <w:sz w:val="28"/>
        </w:rPr>
        <w:t>VEGF</w:t>
      </w:r>
      <w:r>
        <w:rPr>
          <w:rFonts w:ascii="Times New Roman" w:hAnsi="Times New Roman"/>
          <w:sz w:val="28"/>
          <w:lang w:val="uk-UA"/>
        </w:rPr>
        <w:t xml:space="preserve"> у плазмі крові, як показника проліферативної активності ендотелію, залежить від ступеню ішемії, а також від проведеного лікування, а саме успішної реваскуляризації. При зниженні рівня ішемії у хворих з </w:t>
      </w:r>
      <w:r>
        <w:rPr>
          <w:rFonts w:ascii="Times New Roman" w:hAnsi="Times New Roman"/>
          <w:sz w:val="28"/>
        </w:rPr>
        <w:t>IV</w:t>
      </w:r>
      <w:r>
        <w:rPr>
          <w:rFonts w:ascii="Times New Roman" w:hAnsi="Times New Roman"/>
          <w:sz w:val="28"/>
          <w:lang w:val="uk-UA"/>
        </w:rPr>
        <w:t xml:space="preserve"> ступенем ішемії при виконанні реваскуляризації (відкритої або ендоваскулярної) рівень </w:t>
      </w:r>
      <w:r>
        <w:rPr>
          <w:rFonts w:ascii="Times New Roman" w:hAnsi="Times New Roman"/>
          <w:sz w:val="28"/>
        </w:rPr>
        <w:t>VEGF</w:t>
      </w:r>
      <w:r>
        <w:rPr>
          <w:rFonts w:ascii="Times New Roman" w:hAnsi="Times New Roman"/>
          <w:sz w:val="28"/>
          <w:lang w:val="uk-UA"/>
        </w:rPr>
        <w:t xml:space="preserve"> у плазмі підвищувався на 46,4% та 32,0% відповідно у строк 6 місяців та на 17,64% та 10,35% відповідно у строк 12 місяців по відношенню до вихідного рівню. </w:t>
      </w:r>
      <w:r>
        <w:rPr>
          <w:rFonts w:ascii="Times New Roman" w:hAnsi="Times New Roman"/>
          <w:sz w:val="28"/>
        </w:rPr>
        <w:t xml:space="preserve">Рівень ЕТ-1, як показника вазомоторної функції ендотелію, не залежить від </w:t>
      </w:r>
      <w:r>
        <w:rPr>
          <w:rFonts w:ascii="Times New Roman" w:hAnsi="Times New Roman"/>
          <w:sz w:val="28"/>
          <w:lang w:val="uk-UA"/>
        </w:rPr>
        <w:t>ступеню</w:t>
      </w:r>
      <w:r>
        <w:rPr>
          <w:rFonts w:ascii="Times New Roman" w:hAnsi="Times New Roman"/>
          <w:sz w:val="28"/>
        </w:rPr>
        <w:t xml:space="preserve"> ішемії. Дані динаміки рівнів СРБ свідчать про залежність прозапальної функції ендотелію від </w:t>
      </w:r>
      <w:r>
        <w:rPr>
          <w:rFonts w:ascii="Times New Roman" w:hAnsi="Times New Roman"/>
          <w:sz w:val="28"/>
          <w:lang w:val="uk-UA"/>
        </w:rPr>
        <w:t>ступеню</w:t>
      </w:r>
      <w:r>
        <w:rPr>
          <w:rFonts w:ascii="Times New Roman" w:hAnsi="Times New Roman"/>
          <w:sz w:val="28"/>
        </w:rPr>
        <w:t xml:space="preserve"> ішемії та, відповідно, від проведеного лікування, що також корелює з даними визначення якості життя хворих на ХКІНК. У хворих з IV </w:t>
      </w:r>
      <w:r>
        <w:rPr>
          <w:rFonts w:ascii="Times New Roman" w:hAnsi="Times New Roman"/>
          <w:sz w:val="28"/>
          <w:lang w:val="uk-UA"/>
        </w:rPr>
        <w:t>ступенем</w:t>
      </w:r>
      <w:r>
        <w:rPr>
          <w:rFonts w:ascii="Times New Roman" w:hAnsi="Times New Roman"/>
          <w:sz w:val="28"/>
        </w:rPr>
        <w:t xml:space="preserve"> ішемії та консервативною терапією помітна динаміка до підвищення рівн</w:t>
      </w:r>
      <w:r>
        <w:rPr>
          <w:rFonts w:ascii="Times New Roman" w:hAnsi="Times New Roman"/>
          <w:sz w:val="28"/>
          <w:lang w:val="uk-UA"/>
        </w:rPr>
        <w:t>я</w:t>
      </w:r>
      <w:r>
        <w:rPr>
          <w:rFonts w:ascii="Times New Roman" w:hAnsi="Times New Roman"/>
          <w:sz w:val="28"/>
        </w:rPr>
        <w:t xml:space="preserve"> фібриногену протягом всього періоду спостереження, що свідчить про прогресування основного захворювання та запальних процессів. Хворі з </w:t>
      </w:r>
      <w:r>
        <w:rPr>
          <w:rFonts w:ascii="Times New Roman" w:hAnsi="Times New Roman"/>
          <w:sz w:val="28"/>
        </w:rPr>
        <w:lastRenderedPageBreak/>
        <w:t>проведеною реваскуляризацією (ЧБА та СПШ) мали динаміку до зниження цих показників. Загалом, рівень фібриногену, як показника прозапальної та гемостатичної функції ендотелію, корелював з якістю життя хворих.</w:t>
      </w:r>
    </w:p>
    <w:p w:rsidR="00A01923" w:rsidRDefault="00A01923" w:rsidP="00A01923">
      <w:pPr>
        <w:tabs>
          <w:tab w:val="left" w:pos="180"/>
          <w:tab w:val="left" w:pos="540"/>
          <w:tab w:val="left" w:pos="720"/>
        </w:tabs>
        <w:spacing w:after="0" w:line="360" w:lineRule="auto"/>
        <w:ind w:left="-567" w:firstLine="567"/>
        <w:jc w:val="both"/>
        <w:rPr>
          <w:rFonts w:ascii="Times New Roman" w:hAnsi="Times New Roman"/>
          <w:sz w:val="28"/>
        </w:rPr>
      </w:pPr>
      <w:r>
        <w:rPr>
          <w:rFonts w:ascii="Times New Roman" w:hAnsi="Times New Roman"/>
          <w:sz w:val="28"/>
        </w:rPr>
        <w:t xml:space="preserve">Досліджені показники ендотеліальної дисфункції та динаміка їх змін в залежності від </w:t>
      </w:r>
      <w:r>
        <w:rPr>
          <w:rFonts w:ascii="Times New Roman" w:hAnsi="Times New Roman"/>
          <w:sz w:val="28"/>
          <w:lang w:val="uk-UA"/>
        </w:rPr>
        <w:t>ступеню</w:t>
      </w:r>
      <w:r>
        <w:rPr>
          <w:rFonts w:ascii="Times New Roman" w:hAnsi="Times New Roman"/>
          <w:sz w:val="28"/>
        </w:rPr>
        <w:t xml:space="preserve"> ішемії та методу проведеного лікування показали, що рівні ЕТ-1, VEGF, СРБ та фібриногену залежать від результатів лікування хворих на ХКІНК та можуть бути об’єктивними показниками результативності лікування та корекції ендотеліальної дисфункції у цієї групи хворих.</w:t>
      </w:r>
    </w:p>
    <w:p w:rsidR="00A01923" w:rsidRDefault="00A01923" w:rsidP="00A01923">
      <w:pPr>
        <w:widowControl w:val="0"/>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rPr>
        <w:t>Матеріали цього розділу опубліковані у вигляді статей</w:t>
      </w:r>
      <w:r>
        <w:rPr>
          <w:rFonts w:ascii="Times New Roman" w:hAnsi="Times New Roman"/>
          <w:color w:val="000000"/>
          <w:sz w:val="28"/>
          <w:szCs w:val="28"/>
          <w:lang w:val="uk-UA"/>
        </w:rPr>
        <w:t xml:space="preserve"> та тез</w:t>
      </w:r>
      <w:r>
        <w:rPr>
          <w:rFonts w:ascii="Times New Roman" w:hAnsi="Times New Roman"/>
          <w:color w:val="000000"/>
          <w:sz w:val="28"/>
          <w:szCs w:val="28"/>
        </w:rPr>
        <w:t>:</w:t>
      </w:r>
    </w:p>
    <w:p w:rsidR="00A01923" w:rsidRDefault="00A01923" w:rsidP="00B43186">
      <w:pPr>
        <w:pStyle w:val="ad"/>
        <w:widowControl w:val="0"/>
        <w:numPr>
          <w:ilvl w:val="0"/>
          <w:numId w:val="6"/>
        </w:num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Гоні С.-К.Т.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 І.А. Криворучко, С.-К.Т. Гоні, // Харківська хірургічна школа. – 2016. – №3 (78). – С. 94-96. </w:t>
      </w:r>
      <w:r>
        <w:rPr>
          <w:rFonts w:ascii="Times New Roman" w:hAnsi="Times New Roman"/>
          <w:sz w:val="28"/>
          <w:szCs w:val="28"/>
        </w:rPr>
        <w:t>(дисертантом проведено обробку матеріалів</w:t>
      </w:r>
      <w:r>
        <w:rPr>
          <w:rFonts w:ascii="Times New Roman" w:hAnsi="Times New Roman"/>
          <w:sz w:val="28"/>
          <w:szCs w:val="28"/>
          <w:lang w:val="uk-UA"/>
        </w:rPr>
        <w:t xml:space="preserve"> статті та підготовку статті до друку</w:t>
      </w:r>
      <w:r>
        <w:rPr>
          <w:rFonts w:ascii="Times New Roman" w:hAnsi="Times New Roman"/>
          <w:sz w:val="28"/>
          <w:szCs w:val="28"/>
        </w:rPr>
        <w:t>)</w:t>
      </w:r>
    </w:p>
    <w:p w:rsidR="00C03E66" w:rsidRPr="00C03E66" w:rsidRDefault="00A01923" w:rsidP="00B43186">
      <w:pPr>
        <w:pStyle w:val="ad"/>
        <w:widowControl w:val="0"/>
        <w:numPr>
          <w:ilvl w:val="0"/>
          <w:numId w:val="6"/>
        </w:num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Goni S.-K.T., Sirikh V.I., Poradiuk K.V. Plasmotherapy as an additional therapeutic method in surgical and non-surgical therapy of critical limb ischemia patients/ S.-K.T. Goni, V.I. Sirikh, K.V. Poradiuk // Abstract book of 9th International Scientific Interdisciplinary Conference for medical students and young scientist. – Kharkiv. – 2016. – Р. 401.</w:t>
      </w:r>
      <w:r>
        <w:rPr>
          <w:rFonts w:ascii="Times New Roman" w:hAnsi="Times New Roman"/>
          <w:sz w:val="28"/>
          <w:szCs w:val="28"/>
          <w:lang w:val="en-US"/>
        </w:rPr>
        <w:t xml:space="preserve"> </w:t>
      </w:r>
      <w:r>
        <w:rPr>
          <w:rFonts w:ascii="Times New Roman" w:hAnsi="Times New Roman"/>
          <w:sz w:val="28"/>
          <w:szCs w:val="28"/>
        </w:rPr>
        <w:t>(дисертантом проведено обробку матеріалів</w:t>
      </w:r>
      <w:r>
        <w:rPr>
          <w:rFonts w:ascii="Times New Roman" w:hAnsi="Times New Roman"/>
          <w:sz w:val="28"/>
          <w:szCs w:val="28"/>
          <w:lang w:val="uk-UA"/>
        </w:rPr>
        <w:t xml:space="preserve"> тез</w:t>
      </w:r>
      <w:r>
        <w:rPr>
          <w:rFonts w:ascii="Times New Roman" w:hAnsi="Times New Roman"/>
          <w:sz w:val="28"/>
          <w:szCs w:val="28"/>
        </w:rPr>
        <w:t>)</w:t>
      </w:r>
    </w:p>
    <w:p w:rsidR="00A01923" w:rsidRDefault="00A01923" w:rsidP="00B43186">
      <w:pPr>
        <w:pStyle w:val="ad"/>
        <w:widowControl w:val="0"/>
        <w:numPr>
          <w:ilvl w:val="0"/>
          <w:numId w:val="6"/>
        </w:numPr>
        <w:spacing w:after="0" w:line="360" w:lineRule="auto"/>
        <w:ind w:left="-567" w:firstLine="567"/>
        <w:jc w:val="both"/>
        <w:rPr>
          <w:rFonts w:ascii="Times New Roman" w:hAnsi="Times New Roman"/>
          <w:color w:val="000000"/>
          <w:sz w:val="28"/>
          <w:szCs w:val="28"/>
          <w:lang w:val="uk-UA"/>
        </w:rPr>
      </w:pPr>
      <w:r>
        <w:rPr>
          <w:rFonts w:ascii="Times New Roman" w:hAnsi="Times New Roman"/>
          <w:sz w:val="28"/>
          <w:szCs w:val="28"/>
        </w:rPr>
        <w:br w:type="page"/>
      </w:r>
    </w:p>
    <w:p w:rsidR="003A6D02"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r>
        <w:rPr>
          <w:rFonts w:ascii="Times New Roman" w:hAnsi="Times New Roman"/>
          <w:b/>
          <w:sz w:val="28"/>
          <w:szCs w:val="28"/>
          <w:lang w:val="uk-UA"/>
        </w:rPr>
        <w:lastRenderedPageBreak/>
        <w:t>РОЗДІЛ 6</w:t>
      </w:r>
    </w:p>
    <w:p w:rsidR="003A6D02" w:rsidRPr="00200126"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r w:rsidRPr="00200126">
        <w:rPr>
          <w:rFonts w:ascii="Times New Roman" w:hAnsi="Times New Roman"/>
          <w:b/>
          <w:sz w:val="28"/>
          <w:szCs w:val="28"/>
          <w:lang w:val="uk-UA"/>
        </w:rPr>
        <w:t>РЕЗУЛЬТАТИ ЛІКУВАННЯ ХВОРИХ НА Х</w:t>
      </w:r>
      <w:r>
        <w:rPr>
          <w:rFonts w:ascii="Times New Roman" w:hAnsi="Times New Roman"/>
          <w:b/>
          <w:sz w:val="28"/>
          <w:szCs w:val="28"/>
          <w:lang w:val="uk-UA"/>
        </w:rPr>
        <w:t>РОНІЧНУ КРИТИЧНУ ІШЕМІЮ НИЖНІХ КІНЦІВОК</w:t>
      </w:r>
      <w:r w:rsidRPr="00200126">
        <w:rPr>
          <w:rFonts w:ascii="Times New Roman" w:hAnsi="Times New Roman"/>
          <w:b/>
          <w:sz w:val="28"/>
          <w:szCs w:val="28"/>
          <w:lang w:val="uk-UA"/>
        </w:rPr>
        <w:t xml:space="preserve"> </w: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r w:rsidRPr="00200126">
        <w:rPr>
          <w:rFonts w:ascii="Times New Roman" w:hAnsi="Times New Roman"/>
          <w:b/>
          <w:sz w:val="28"/>
          <w:szCs w:val="28"/>
          <w:lang w:val="uk-UA"/>
        </w:rPr>
        <w:t xml:space="preserve">6.1 Оцінка якості життя хворих на хронічну критичну ішемію нижніх кінцівок </w:t>
      </w:r>
      <w:r>
        <w:rPr>
          <w:rFonts w:ascii="Times New Roman" w:hAnsi="Times New Roman"/>
          <w:b/>
          <w:sz w:val="28"/>
          <w:szCs w:val="28"/>
          <w:lang w:val="uk-UA"/>
        </w:rPr>
        <w:t>після лікування</w:t>
      </w:r>
    </w:p>
    <w:p w:rsidR="003A6D02"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p>
    <w:p w:rsidR="003A6D02" w:rsidRPr="00200126"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p>
    <w:p w:rsidR="003A6D02" w:rsidRPr="00A33B46"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200126">
        <w:rPr>
          <w:rFonts w:ascii="Times New Roman" w:hAnsi="Times New Roman"/>
          <w:sz w:val="28"/>
          <w:szCs w:val="28"/>
          <w:lang w:val="uk-UA"/>
        </w:rPr>
        <w:t>Для визначення результатів лікування хворих досліджуваних груп, ми визначали ступінь регресії ішемії за допомогою визначення якості життя хворих, а саме різниці показників психічного (ПФ) та фізичного функціонування</w:t>
      </w:r>
      <w:r>
        <w:rPr>
          <w:rFonts w:ascii="Times New Roman" w:hAnsi="Times New Roman"/>
          <w:sz w:val="28"/>
          <w:szCs w:val="28"/>
          <w:lang w:val="uk-UA"/>
        </w:rPr>
        <w:t xml:space="preserve"> (ФФ) </w:t>
      </w:r>
      <w:r w:rsidRPr="005E1CD1">
        <w:rPr>
          <w:rFonts w:ascii="Times New Roman" w:hAnsi="Times New Roman"/>
          <w:sz w:val="28"/>
          <w:szCs w:val="28"/>
          <w:lang w:val="uk-UA"/>
        </w:rPr>
        <w:t xml:space="preserve">при поступленні у стаціонар та при виписці, зміни рівню болю </w:t>
      </w:r>
      <w:r w:rsidRPr="006A228B">
        <w:rPr>
          <w:rFonts w:ascii="Times New Roman" w:hAnsi="Times New Roman"/>
          <w:sz w:val="28"/>
          <w:szCs w:val="28"/>
          <w:lang w:val="uk-UA"/>
        </w:rPr>
        <w:t>(за допомогою ВАШ)</w:t>
      </w:r>
      <w:r>
        <w:rPr>
          <w:rFonts w:ascii="Times New Roman" w:hAnsi="Times New Roman"/>
          <w:sz w:val="28"/>
          <w:szCs w:val="28"/>
          <w:lang w:val="uk-UA"/>
        </w:rPr>
        <w:t xml:space="preserve"> та</w:t>
      </w:r>
      <w:r w:rsidRPr="006A228B">
        <w:rPr>
          <w:rFonts w:ascii="Times New Roman" w:hAnsi="Times New Roman"/>
          <w:sz w:val="28"/>
          <w:szCs w:val="28"/>
          <w:lang w:val="uk-UA"/>
        </w:rPr>
        <w:t xml:space="preserve"> дистанції безбольової ходи</w:t>
      </w:r>
      <w:r>
        <w:rPr>
          <w:rFonts w:ascii="Times New Roman" w:hAnsi="Times New Roman"/>
          <w:sz w:val="28"/>
          <w:szCs w:val="28"/>
          <w:lang w:val="uk-UA"/>
        </w:rPr>
        <w:t xml:space="preserve"> (ДБХ)</w:t>
      </w:r>
      <w:r w:rsidRPr="006A228B">
        <w:rPr>
          <w:rFonts w:ascii="Times New Roman" w:hAnsi="Times New Roman"/>
          <w:sz w:val="28"/>
          <w:szCs w:val="28"/>
          <w:lang w:val="uk-UA"/>
        </w:rPr>
        <w:t>.</w:t>
      </w:r>
    </w:p>
    <w:p w:rsidR="003A6D02" w:rsidRPr="00457FB9"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8D0528">
        <w:rPr>
          <w:rFonts w:ascii="Times New Roman" w:hAnsi="Times New Roman"/>
          <w:sz w:val="28"/>
          <w:szCs w:val="28"/>
          <w:lang w:val="uk-UA"/>
        </w:rPr>
        <w:t xml:space="preserve">Досліджувані показники </w:t>
      </w:r>
      <w:r w:rsidRPr="005E1CD1">
        <w:rPr>
          <w:rFonts w:ascii="Times New Roman" w:hAnsi="Times New Roman"/>
          <w:sz w:val="28"/>
          <w:szCs w:val="28"/>
          <w:lang w:val="uk-UA"/>
        </w:rPr>
        <w:t>якості життя хворих</w:t>
      </w:r>
      <w:r>
        <w:rPr>
          <w:rFonts w:ascii="Times New Roman" w:hAnsi="Times New Roman"/>
          <w:sz w:val="28"/>
          <w:szCs w:val="28"/>
          <w:lang w:val="uk-UA"/>
        </w:rPr>
        <w:t xml:space="preserve"> у основній групі </w:t>
      </w:r>
      <w:r w:rsidRPr="008D0528">
        <w:rPr>
          <w:rFonts w:ascii="Times New Roman" w:hAnsi="Times New Roman"/>
          <w:sz w:val="28"/>
          <w:szCs w:val="28"/>
          <w:lang w:val="uk-UA"/>
        </w:rPr>
        <w:t xml:space="preserve">та групі порівняння наведені у таблиці </w:t>
      </w:r>
      <w:r>
        <w:rPr>
          <w:rFonts w:ascii="Times New Roman" w:hAnsi="Times New Roman"/>
          <w:sz w:val="28"/>
          <w:szCs w:val="28"/>
          <w:lang w:val="uk-UA"/>
        </w:rPr>
        <w:t>6</w:t>
      </w:r>
      <w:r w:rsidRPr="008D0528">
        <w:rPr>
          <w:rFonts w:ascii="Times New Roman" w:hAnsi="Times New Roman"/>
          <w:sz w:val="28"/>
          <w:szCs w:val="28"/>
          <w:lang w:val="uk-UA"/>
        </w:rPr>
        <w:t>.</w:t>
      </w:r>
      <w:r>
        <w:rPr>
          <w:rFonts w:ascii="Times New Roman" w:hAnsi="Times New Roman"/>
          <w:sz w:val="28"/>
          <w:szCs w:val="28"/>
          <w:lang w:val="uk-UA"/>
        </w:rPr>
        <w:t>1</w:t>
      </w:r>
      <w:r w:rsidRPr="008D0528">
        <w:rPr>
          <w:rFonts w:ascii="Times New Roman" w:hAnsi="Times New Roman"/>
          <w:sz w:val="28"/>
          <w:szCs w:val="28"/>
          <w:lang w:val="uk-UA"/>
        </w:rPr>
        <w:t>.</w:t>
      </w:r>
      <w:r>
        <w:rPr>
          <w:rFonts w:ascii="Times New Roman" w:hAnsi="Times New Roman"/>
          <w:sz w:val="28"/>
          <w:szCs w:val="28"/>
          <w:lang w:val="uk-UA"/>
        </w:rPr>
        <w:t xml:space="preserve"> (див.додаток Б)</w:t>
      </w:r>
    </w:p>
    <w:p w:rsidR="003A6D02" w:rsidRPr="00457FB9"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457FB9">
        <w:rPr>
          <w:rFonts w:ascii="Times New Roman" w:hAnsi="Times New Roman"/>
          <w:sz w:val="28"/>
          <w:szCs w:val="28"/>
          <w:lang w:val="uk-UA"/>
        </w:rPr>
        <w:t>При порівнянні основної групи та групи порівняння, результати лікування у цих групах були приблизно однакові, та при порівнянні даних хворих з основної групи та групи порівняння, розподілених за методом лікування, різниця вихідних даних була невірогідною (р&gt;0,05), що свідчить про о</w:t>
      </w:r>
      <w:r>
        <w:rPr>
          <w:rFonts w:ascii="Times New Roman" w:hAnsi="Times New Roman"/>
          <w:sz w:val="28"/>
          <w:szCs w:val="28"/>
          <w:lang w:val="uk-UA"/>
        </w:rPr>
        <w:t>днорідність хворих усіх підгруп</w:t>
      </w:r>
      <w:r w:rsidRPr="00457FB9">
        <w:rPr>
          <w:rFonts w:ascii="Times New Roman" w:hAnsi="Times New Roman"/>
          <w:sz w:val="28"/>
          <w:szCs w:val="28"/>
          <w:lang w:val="uk-UA"/>
        </w:rPr>
        <w:t xml:space="preserve"> та їх репрезентативність на вихідному рівні.</w: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C00000"/>
          <w:sz w:val="28"/>
          <w:szCs w:val="28"/>
          <w:lang w:val="uk-UA"/>
        </w:rPr>
      </w:pPr>
      <w:r w:rsidRPr="00742BA6">
        <w:rPr>
          <w:rFonts w:ascii="Times New Roman" w:hAnsi="Times New Roman"/>
          <w:sz w:val="28"/>
          <w:szCs w:val="28"/>
          <w:lang w:val="uk-UA"/>
        </w:rPr>
        <w:t>При дослідженні динаміки зміни показників якості життя при виписці у порівнянні з вихідними даними, рів</w:t>
      </w:r>
      <w:r>
        <w:rPr>
          <w:rFonts w:ascii="Times New Roman" w:hAnsi="Times New Roman"/>
          <w:sz w:val="28"/>
          <w:szCs w:val="28"/>
          <w:lang w:val="uk-UA"/>
        </w:rPr>
        <w:t>ень</w:t>
      </w:r>
      <w:r w:rsidRPr="00742BA6">
        <w:rPr>
          <w:rFonts w:ascii="Times New Roman" w:hAnsi="Times New Roman"/>
          <w:sz w:val="28"/>
          <w:szCs w:val="28"/>
          <w:lang w:val="uk-UA"/>
        </w:rPr>
        <w:t xml:space="preserve"> болю за ВАШ у хворих основної групи, що </w:t>
      </w:r>
      <w:r w:rsidRPr="00CA597D">
        <w:rPr>
          <w:rFonts w:ascii="Times New Roman" w:hAnsi="Times New Roman"/>
          <w:sz w:val="28"/>
          <w:szCs w:val="28"/>
          <w:lang w:val="uk-UA"/>
        </w:rPr>
        <w:t>були прооперовані за методикою ЧБА, був на 80,6% менший, за вихідний рівень (95% ДІ від 3,636 до 5,524, р=0,000), т</w:t>
      </w:r>
      <w:r>
        <w:rPr>
          <w:rFonts w:ascii="Times New Roman" w:hAnsi="Times New Roman"/>
          <w:sz w:val="28"/>
          <w:szCs w:val="28"/>
          <w:lang w:val="uk-UA"/>
        </w:rPr>
        <w:t>оді як</w:t>
      </w:r>
      <w:r w:rsidRPr="00CA597D">
        <w:rPr>
          <w:rFonts w:ascii="Times New Roman" w:hAnsi="Times New Roman"/>
          <w:sz w:val="28"/>
          <w:szCs w:val="28"/>
          <w:lang w:val="uk-UA"/>
        </w:rPr>
        <w:t xml:space="preserve"> у групі порівняння ця різниця склала 67% (95% ДІ від 2,307 до 4,693, р=0,000), та вірогідно відрізнялися ці показники між собою (95% ДІ від −1,355 до −0,245, p=0,006).</w:t>
      </w:r>
      <w:r w:rsidRPr="00B34ADB">
        <w:rPr>
          <w:rFonts w:ascii="Times New Roman" w:hAnsi="Times New Roman"/>
          <w:sz w:val="28"/>
          <w:szCs w:val="28"/>
          <w:lang w:val="uk-UA"/>
        </w:rPr>
        <w:t xml:space="preserve"> У хворих, </w:t>
      </w:r>
      <w:r>
        <w:rPr>
          <w:rFonts w:ascii="Times New Roman" w:hAnsi="Times New Roman"/>
          <w:sz w:val="28"/>
          <w:szCs w:val="28"/>
          <w:lang w:val="uk-UA"/>
        </w:rPr>
        <w:t>які</w:t>
      </w:r>
      <w:r w:rsidRPr="00B34ADB">
        <w:rPr>
          <w:rFonts w:ascii="Times New Roman" w:hAnsi="Times New Roman"/>
          <w:sz w:val="28"/>
          <w:szCs w:val="28"/>
          <w:lang w:val="uk-UA"/>
        </w:rPr>
        <w:t xml:space="preserve"> отримували консервативну терапію рівень болю був менший за вихідний рівень на 55,8% (95% ДІ</w:t>
      </w:r>
      <w:r>
        <w:rPr>
          <w:rFonts w:ascii="Times New Roman" w:hAnsi="Times New Roman"/>
          <w:sz w:val="28"/>
          <w:szCs w:val="28"/>
          <w:lang w:val="uk-UA"/>
        </w:rPr>
        <w:t xml:space="preserve"> від 0,4462 до 3,354, р=0,012) </w:t>
      </w:r>
      <w:r w:rsidRPr="00B34ADB">
        <w:rPr>
          <w:rFonts w:ascii="Times New Roman" w:hAnsi="Times New Roman"/>
          <w:sz w:val="28"/>
          <w:szCs w:val="28"/>
          <w:lang w:val="uk-UA"/>
        </w:rPr>
        <w:t>та 58</w:t>
      </w:r>
      <w:r>
        <w:rPr>
          <w:rFonts w:ascii="Times New Roman" w:hAnsi="Times New Roman"/>
          <w:sz w:val="28"/>
          <w:szCs w:val="28"/>
          <w:lang w:val="uk-UA"/>
        </w:rPr>
        <w:t xml:space="preserve">% (95% ДІ від 0,2918 до 3,208, </w:t>
      </w:r>
      <w:r w:rsidRPr="00B34ADB">
        <w:rPr>
          <w:rFonts w:ascii="Times New Roman" w:hAnsi="Times New Roman"/>
          <w:sz w:val="28"/>
          <w:szCs w:val="28"/>
          <w:lang w:val="uk-UA"/>
        </w:rPr>
        <w:t>р=0,020)</w:t>
      </w:r>
      <w:r>
        <w:rPr>
          <w:rFonts w:ascii="Times New Roman" w:hAnsi="Times New Roman"/>
          <w:sz w:val="28"/>
          <w:szCs w:val="28"/>
          <w:lang w:val="uk-UA"/>
        </w:rPr>
        <w:t>,</w:t>
      </w:r>
      <w:r w:rsidRPr="00B34ADB">
        <w:rPr>
          <w:rFonts w:ascii="Times New Roman" w:hAnsi="Times New Roman"/>
          <w:sz w:val="28"/>
          <w:szCs w:val="28"/>
          <w:lang w:val="uk-UA"/>
        </w:rPr>
        <w:t xml:space="preserve"> відповідно, та була </w:t>
      </w:r>
      <w:r>
        <w:rPr>
          <w:rFonts w:ascii="Times New Roman" w:hAnsi="Times New Roman"/>
          <w:sz w:val="28"/>
          <w:szCs w:val="28"/>
          <w:lang w:val="uk-UA"/>
        </w:rPr>
        <w:t>вірогідною</w:t>
      </w:r>
      <w:r w:rsidRPr="00B34ADB">
        <w:rPr>
          <w:rFonts w:ascii="Times New Roman" w:hAnsi="Times New Roman"/>
          <w:sz w:val="28"/>
          <w:szCs w:val="28"/>
          <w:lang w:val="uk-UA"/>
        </w:rPr>
        <w:t xml:space="preserve">. </w:t>
      </w:r>
    </w:p>
    <w:p w:rsidR="003A6D02" w:rsidRPr="00B34ADB"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r w:rsidRPr="0033061D">
        <w:rPr>
          <w:rFonts w:ascii="Times New Roman" w:hAnsi="Times New Roman"/>
          <w:sz w:val="28"/>
          <w:szCs w:val="28"/>
          <w:lang w:val="uk-UA"/>
        </w:rPr>
        <w:t xml:space="preserve">При дослідженні динаміки зміни показників якості життя при виписці у порівнянні з вихідними даними, ДБХ у хворих основної групи, </w:t>
      </w:r>
      <w:r>
        <w:rPr>
          <w:rFonts w:ascii="Times New Roman" w:hAnsi="Times New Roman"/>
          <w:sz w:val="28"/>
          <w:szCs w:val="28"/>
          <w:lang w:val="uk-UA"/>
        </w:rPr>
        <w:t>які</w:t>
      </w:r>
      <w:r w:rsidRPr="0033061D">
        <w:rPr>
          <w:rFonts w:ascii="Times New Roman" w:hAnsi="Times New Roman"/>
          <w:sz w:val="28"/>
          <w:szCs w:val="28"/>
          <w:lang w:val="uk-UA"/>
        </w:rPr>
        <w:t xml:space="preserve"> були </w:t>
      </w:r>
      <w:r w:rsidRPr="0033061D">
        <w:rPr>
          <w:rFonts w:ascii="Times New Roman" w:hAnsi="Times New Roman"/>
          <w:sz w:val="28"/>
          <w:szCs w:val="28"/>
          <w:lang w:val="uk-UA"/>
        </w:rPr>
        <w:lastRenderedPageBreak/>
        <w:t>прооперовані за методикою ЧБА, була на 336,1% більшою за вихідний рівень (95% ДІ від −450,8 до −132,8, р=0,004), т</w:t>
      </w:r>
      <w:r>
        <w:rPr>
          <w:rFonts w:ascii="Times New Roman" w:hAnsi="Times New Roman"/>
          <w:sz w:val="28"/>
          <w:szCs w:val="28"/>
          <w:lang w:val="uk-UA"/>
        </w:rPr>
        <w:t>оді як</w:t>
      </w:r>
      <w:r w:rsidRPr="0033061D">
        <w:rPr>
          <w:rFonts w:ascii="Times New Roman" w:hAnsi="Times New Roman"/>
          <w:sz w:val="28"/>
          <w:szCs w:val="28"/>
          <w:lang w:val="uk-UA"/>
        </w:rPr>
        <w:t xml:space="preserve"> у групі порівняння ця різниця склала 357,19% (95% ДІ від −443,4 до −182,8, р=0,000). Різниця між показниками при виписці </w:t>
      </w:r>
      <w:r>
        <w:rPr>
          <w:rFonts w:ascii="Times New Roman" w:hAnsi="Times New Roman"/>
          <w:sz w:val="28"/>
          <w:szCs w:val="28"/>
          <w:lang w:val="uk-UA"/>
        </w:rPr>
        <w:t>у</w:t>
      </w:r>
      <w:r w:rsidRPr="0033061D">
        <w:rPr>
          <w:rFonts w:ascii="Times New Roman" w:hAnsi="Times New Roman"/>
          <w:sz w:val="28"/>
          <w:szCs w:val="28"/>
          <w:lang w:val="uk-UA"/>
        </w:rPr>
        <w:t xml:space="preserve"> група</w:t>
      </w:r>
      <w:r>
        <w:rPr>
          <w:rFonts w:ascii="Times New Roman" w:hAnsi="Times New Roman"/>
          <w:sz w:val="28"/>
          <w:szCs w:val="28"/>
          <w:lang w:val="uk-UA"/>
        </w:rPr>
        <w:t>х</w:t>
      </w:r>
      <w:r w:rsidRPr="0033061D">
        <w:rPr>
          <w:rFonts w:ascii="Times New Roman" w:hAnsi="Times New Roman"/>
          <w:sz w:val="28"/>
          <w:szCs w:val="28"/>
          <w:lang w:val="uk-UA"/>
        </w:rPr>
        <w:t xml:space="preserve"> була невірогідна (95% ДІ від −116,6 до 72,82, р=0,641). У хворих, що були прооперовані відкритим методом, різниця ДБХ склала</w:t>
      </w:r>
      <w:r>
        <w:rPr>
          <w:rFonts w:ascii="Times New Roman" w:hAnsi="Times New Roman"/>
          <w:sz w:val="28"/>
          <w:szCs w:val="28"/>
          <w:lang w:val="uk-UA"/>
        </w:rPr>
        <w:t>,</w:t>
      </w:r>
      <w:r w:rsidRPr="0033061D">
        <w:rPr>
          <w:rFonts w:ascii="Times New Roman" w:hAnsi="Times New Roman"/>
          <w:sz w:val="28"/>
          <w:szCs w:val="28"/>
          <w:lang w:val="uk-UA"/>
        </w:rPr>
        <w:t xml:space="preserve"> </w:t>
      </w:r>
      <w:r w:rsidRPr="002E38F7">
        <w:rPr>
          <w:rFonts w:ascii="Times New Roman" w:hAnsi="Times New Roman"/>
          <w:sz w:val="28"/>
          <w:szCs w:val="28"/>
          <w:lang w:val="uk-UA"/>
        </w:rPr>
        <w:t>відповідно</w:t>
      </w:r>
      <w:r>
        <w:rPr>
          <w:rFonts w:ascii="Times New Roman" w:hAnsi="Times New Roman"/>
          <w:sz w:val="28"/>
          <w:szCs w:val="28"/>
          <w:lang w:val="uk-UA"/>
        </w:rPr>
        <w:t>,</w:t>
      </w:r>
      <w:r w:rsidRPr="002E38F7">
        <w:rPr>
          <w:rFonts w:ascii="Times New Roman" w:hAnsi="Times New Roman"/>
          <w:sz w:val="28"/>
          <w:szCs w:val="28"/>
          <w:lang w:val="uk-UA"/>
        </w:rPr>
        <w:t xml:space="preserve"> 213,8% (95% ДІ від −512,8 до 176,6, р=0,278) </w:t>
      </w:r>
      <w:r w:rsidRPr="001F74BB">
        <w:rPr>
          <w:rFonts w:ascii="Times New Roman" w:hAnsi="Times New Roman"/>
          <w:sz w:val="28"/>
          <w:szCs w:val="28"/>
          <w:lang w:val="uk-UA"/>
        </w:rPr>
        <w:t>та 271,7% (95% ДІ від −270,1 до −133,7, р=0,000) та була вірогідною</w:t>
      </w:r>
      <w:r>
        <w:rPr>
          <w:rFonts w:ascii="Times New Roman" w:hAnsi="Times New Roman"/>
          <w:sz w:val="28"/>
          <w:szCs w:val="28"/>
          <w:lang w:val="uk-UA"/>
        </w:rPr>
        <w:t xml:space="preserve"> у групі порівняння</w:t>
      </w:r>
      <w:r w:rsidRPr="001F74BB">
        <w:rPr>
          <w:rFonts w:ascii="Times New Roman" w:hAnsi="Times New Roman"/>
          <w:sz w:val="28"/>
          <w:szCs w:val="28"/>
          <w:lang w:val="uk-UA"/>
        </w:rPr>
        <w:t>.</w:t>
      </w:r>
      <w:r w:rsidRPr="0033061D">
        <w:rPr>
          <w:rFonts w:ascii="Times New Roman" w:hAnsi="Times New Roman"/>
          <w:sz w:val="28"/>
          <w:szCs w:val="28"/>
          <w:lang w:val="uk-UA"/>
        </w:rPr>
        <w:t xml:space="preserve"> Порівняння показників ДБХ при виписці </w:t>
      </w:r>
      <w:r w:rsidRPr="001F74BB">
        <w:rPr>
          <w:rFonts w:ascii="Times New Roman" w:hAnsi="Times New Roman"/>
          <w:sz w:val="28"/>
          <w:szCs w:val="28"/>
          <w:lang w:val="uk-UA"/>
        </w:rPr>
        <w:t>у цих хворих показало, що вона була невірогідною (95% ДІ від −239,4 до 298,4, р=0,807).</w:t>
      </w:r>
      <w:r w:rsidRPr="0033061D">
        <w:rPr>
          <w:rFonts w:ascii="Times New Roman" w:hAnsi="Times New Roman"/>
          <w:sz w:val="28"/>
          <w:szCs w:val="28"/>
          <w:lang w:val="uk-UA"/>
        </w:rPr>
        <w:t xml:space="preserve"> У хворих, </w:t>
      </w:r>
      <w:r>
        <w:rPr>
          <w:rFonts w:ascii="Times New Roman" w:hAnsi="Times New Roman"/>
          <w:sz w:val="28"/>
          <w:szCs w:val="28"/>
          <w:lang w:val="uk-UA"/>
        </w:rPr>
        <w:t>які</w:t>
      </w:r>
      <w:r w:rsidRPr="0033061D">
        <w:rPr>
          <w:rFonts w:ascii="Times New Roman" w:hAnsi="Times New Roman"/>
          <w:sz w:val="28"/>
          <w:szCs w:val="28"/>
          <w:lang w:val="uk-UA"/>
        </w:rPr>
        <w:t xml:space="preserve"> отримували консервативну терапію ДБХ більша за вихідний рівень на 29% (95% ДІ від −42,00 до 0,3886, р=0,054) та 27,3% (95% ДІ від −</w:t>
      </w:r>
      <w:r>
        <w:rPr>
          <w:rFonts w:ascii="Times New Roman" w:hAnsi="Times New Roman"/>
          <w:sz w:val="28"/>
          <w:szCs w:val="28"/>
          <w:lang w:val="uk-UA"/>
        </w:rPr>
        <w:t>39,12</w:t>
      </w:r>
      <w:r w:rsidRPr="0033061D">
        <w:rPr>
          <w:rFonts w:ascii="Times New Roman" w:hAnsi="Times New Roman"/>
          <w:sz w:val="28"/>
          <w:szCs w:val="28"/>
          <w:lang w:val="uk-UA"/>
        </w:rPr>
        <w:t xml:space="preserve"> до −</w:t>
      </w:r>
      <w:r>
        <w:rPr>
          <w:rFonts w:ascii="Times New Roman" w:hAnsi="Times New Roman"/>
          <w:sz w:val="28"/>
          <w:szCs w:val="28"/>
          <w:lang w:val="uk-UA"/>
        </w:rPr>
        <w:t>2,678</w:t>
      </w:r>
      <w:r w:rsidRPr="0033061D">
        <w:rPr>
          <w:rFonts w:ascii="Times New Roman" w:hAnsi="Times New Roman"/>
          <w:sz w:val="28"/>
          <w:szCs w:val="28"/>
          <w:lang w:val="uk-UA"/>
        </w:rPr>
        <w:t>, р=0,</w:t>
      </w:r>
      <w:r>
        <w:rPr>
          <w:rFonts w:ascii="Times New Roman" w:hAnsi="Times New Roman"/>
          <w:sz w:val="28"/>
          <w:szCs w:val="28"/>
          <w:lang w:val="uk-UA"/>
        </w:rPr>
        <w:t>025</w:t>
      </w:r>
      <w:r w:rsidRPr="0033061D">
        <w:rPr>
          <w:rFonts w:ascii="Times New Roman" w:hAnsi="Times New Roman"/>
          <w:sz w:val="28"/>
          <w:szCs w:val="28"/>
          <w:lang w:val="uk-UA"/>
        </w:rPr>
        <w:t>) відповідно, та була вірогідною</w:t>
      </w:r>
      <w:r>
        <w:rPr>
          <w:rFonts w:ascii="Times New Roman" w:hAnsi="Times New Roman"/>
          <w:sz w:val="28"/>
          <w:szCs w:val="28"/>
          <w:lang w:val="uk-UA"/>
        </w:rPr>
        <w:t xml:space="preserve"> у групі порівняння</w:t>
      </w:r>
      <w:r w:rsidRPr="0033061D">
        <w:rPr>
          <w:rFonts w:ascii="Times New Roman" w:hAnsi="Times New Roman"/>
          <w:sz w:val="28"/>
          <w:szCs w:val="28"/>
          <w:lang w:val="uk-UA"/>
        </w:rPr>
        <w:t xml:space="preserve">, </w:t>
      </w:r>
      <w:r>
        <w:rPr>
          <w:rFonts w:ascii="Times New Roman" w:hAnsi="Times New Roman"/>
          <w:sz w:val="28"/>
          <w:szCs w:val="28"/>
          <w:lang w:val="uk-UA"/>
        </w:rPr>
        <w:t>та</w:t>
      </w:r>
      <w:r w:rsidRPr="0033061D">
        <w:rPr>
          <w:rFonts w:ascii="Times New Roman" w:hAnsi="Times New Roman"/>
          <w:sz w:val="28"/>
          <w:szCs w:val="28"/>
          <w:lang w:val="uk-UA"/>
        </w:rPr>
        <w:t xml:space="preserve"> різниця між показниками при виписці (95% ДІ від −54,39 до 48,99, р=0,917)</w:t>
      </w:r>
      <w:r>
        <w:rPr>
          <w:rFonts w:ascii="Times New Roman" w:hAnsi="Times New Roman"/>
          <w:sz w:val="28"/>
          <w:szCs w:val="28"/>
          <w:lang w:val="uk-UA"/>
        </w:rPr>
        <w:t xml:space="preserve"> була невірогідною</w:t>
      </w:r>
      <w:r w:rsidRPr="0033061D">
        <w:rPr>
          <w:rFonts w:ascii="Times New Roman" w:hAnsi="Times New Roman"/>
          <w:sz w:val="28"/>
          <w:szCs w:val="28"/>
          <w:lang w:val="uk-UA"/>
        </w:rPr>
        <w:t xml:space="preserve">. У хворих, яким було виконано поперекову </w:t>
      </w:r>
      <w:r w:rsidRPr="00986357">
        <w:rPr>
          <w:rFonts w:ascii="Times New Roman" w:hAnsi="Times New Roman"/>
          <w:sz w:val="28"/>
          <w:szCs w:val="28"/>
          <w:lang w:val="uk-UA"/>
        </w:rPr>
        <w:t>симпатектомію, ДБХ</w:t>
      </w:r>
      <w:r w:rsidRPr="00C41392">
        <w:rPr>
          <w:rFonts w:ascii="Times New Roman" w:hAnsi="Times New Roman"/>
          <w:sz w:val="28"/>
          <w:szCs w:val="28"/>
          <w:lang w:val="uk-UA"/>
        </w:rPr>
        <w:t xml:space="preserve"> була більшою при виписці на 15,34% (95% ДІ від −79,79 до 53,79, р=0,651) та 30,9% (95% ДІ від −62,95 до 19,35, р=0,271) та виявилася невірогідною, як і різниця цих показників при виписці (95% ДІ від −71,76 до 60,76, р=0,855).</w:t>
      </w:r>
    </w:p>
    <w:p w:rsidR="003A6D02" w:rsidRPr="00EE7B31"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B34ADB">
        <w:rPr>
          <w:rFonts w:ascii="Times New Roman" w:hAnsi="Times New Roman"/>
          <w:sz w:val="28"/>
          <w:szCs w:val="28"/>
          <w:lang w:val="uk-UA"/>
        </w:rPr>
        <w:t>При визначенні зміни показників якості життя при виписці</w:t>
      </w:r>
      <w:r>
        <w:rPr>
          <w:rFonts w:ascii="Times New Roman" w:hAnsi="Times New Roman"/>
          <w:sz w:val="28"/>
          <w:szCs w:val="28"/>
          <w:lang w:val="uk-UA"/>
        </w:rPr>
        <w:t>,</w:t>
      </w:r>
      <w:r w:rsidRPr="00B34ADB">
        <w:rPr>
          <w:rFonts w:ascii="Times New Roman" w:hAnsi="Times New Roman"/>
          <w:sz w:val="28"/>
          <w:szCs w:val="28"/>
          <w:lang w:val="uk-UA"/>
        </w:rPr>
        <w:t xml:space="preserve"> у порівнянні з вихідними даними, рівень фізичного функціонування (ФФ) у хворих основної групи, </w:t>
      </w:r>
      <w:r w:rsidR="00986357">
        <w:rPr>
          <w:rFonts w:ascii="Times New Roman" w:hAnsi="Times New Roman"/>
          <w:sz w:val="28"/>
          <w:szCs w:val="28"/>
          <w:lang w:val="uk-UA"/>
        </w:rPr>
        <w:t>які</w:t>
      </w:r>
      <w:r w:rsidRPr="00B34ADB">
        <w:rPr>
          <w:rFonts w:ascii="Times New Roman" w:hAnsi="Times New Roman"/>
          <w:sz w:val="28"/>
          <w:szCs w:val="28"/>
          <w:lang w:val="uk-UA"/>
        </w:rPr>
        <w:t xml:space="preserve"> були прооперовані за методикою ЧБА, бу</w:t>
      </w:r>
      <w:r>
        <w:rPr>
          <w:rFonts w:ascii="Times New Roman" w:hAnsi="Times New Roman"/>
          <w:sz w:val="28"/>
          <w:szCs w:val="28"/>
          <w:lang w:val="uk-UA"/>
        </w:rPr>
        <w:t>в на 132,8 % більшою</w:t>
      </w:r>
      <w:r w:rsidRPr="00B34ADB">
        <w:rPr>
          <w:rFonts w:ascii="Times New Roman" w:hAnsi="Times New Roman"/>
          <w:sz w:val="28"/>
          <w:szCs w:val="28"/>
          <w:lang w:val="uk-UA"/>
        </w:rPr>
        <w:t xml:space="preserve"> за вихідний рівень (95% ДІ від −46,81 до −35,75, р=0,000), </w:t>
      </w:r>
      <w:r>
        <w:rPr>
          <w:rFonts w:ascii="Times New Roman" w:hAnsi="Times New Roman"/>
          <w:sz w:val="28"/>
          <w:szCs w:val="28"/>
          <w:lang w:val="uk-UA"/>
        </w:rPr>
        <w:t>ТОДІ ЯК</w:t>
      </w:r>
      <w:r w:rsidRPr="00B34ADB">
        <w:rPr>
          <w:rFonts w:ascii="Times New Roman" w:hAnsi="Times New Roman"/>
          <w:sz w:val="28"/>
          <w:szCs w:val="28"/>
          <w:lang w:val="uk-UA"/>
        </w:rPr>
        <w:t>, у групі порівняння ця різниця склала 118,9% (95% ДІ від −50,28 до −29,9, р=0,000). Різниця між показниками при виписці була невірогідною (95% ДІ від −</w:t>
      </w:r>
      <w:r>
        <w:rPr>
          <w:rFonts w:ascii="Times New Roman" w:hAnsi="Times New Roman"/>
          <w:sz w:val="28"/>
          <w:szCs w:val="28"/>
          <w:lang w:val="uk-UA"/>
        </w:rPr>
        <w:t xml:space="preserve"> </w:t>
      </w:r>
      <w:r w:rsidRPr="00B34ADB">
        <w:rPr>
          <w:rFonts w:ascii="Times New Roman" w:hAnsi="Times New Roman"/>
          <w:sz w:val="28"/>
          <w:szCs w:val="28"/>
          <w:lang w:val="uk-UA"/>
        </w:rPr>
        <w:t>9,436 до 6,696, р=0,732).</w:t>
      </w:r>
      <w:r w:rsidRPr="0014492F">
        <w:rPr>
          <w:rFonts w:ascii="Times New Roman" w:hAnsi="Times New Roman"/>
          <w:color w:val="C00000"/>
          <w:sz w:val="28"/>
          <w:szCs w:val="28"/>
          <w:lang w:val="uk-UA"/>
        </w:rPr>
        <w:t xml:space="preserve"> </w:t>
      </w:r>
      <w:r w:rsidRPr="00B34ADB">
        <w:rPr>
          <w:rFonts w:ascii="Times New Roman" w:hAnsi="Times New Roman"/>
          <w:sz w:val="28"/>
          <w:szCs w:val="28"/>
          <w:lang w:val="uk-UA"/>
        </w:rPr>
        <w:t xml:space="preserve">У хворих, </w:t>
      </w:r>
      <w:r>
        <w:rPr>
          <w:rFonts w:ascii="Times New Roman" w:hAnsi="Times New Roman"/>
          <w:sz w:val="28"/>
          <w:szCs w:val="28"/>
          <w:lang w:val="uk-UA"/>
        </w:rPr>
        <w:t>які</w:t>
      </w:r>
      <w:r w:rsidRPr="00B34ADB">
        <w:rPr>
          <w:rFonts w:ascii="Times New Roman" w:hAnsi="Times New Roman"/>
          <w:sz w:val="28"/>
          <w:szCs w:val="28"/>
          <w:lang w:val="uk-UA"/>
        </w:rPr>
        <w:t xml:space="preserve"> бул</w:t>
      </w:r>
      <w:r>
        <w:rPr>
          <w:rFonts w:ascii="Times New Roman" w:hAnsi="Times New Roman"/>
          <w:sz w:val="28"/>
          <w:szCs w:val="28"/>
          <w:lang w:val="uk-UA"/>
        </w:rPr>
        <w:t>и прооперовані за методикою СГШ</w:t>
      </w:r>
      <w:r w:rsidRPr="00B34ADB">
        <w:rPr>
          <w:rFonts w:ascii="Times New Roman" w:hAnsi="Times New Roman"/>
          <w:sz w:val="28"/>
          <w:szCs w:val="28"/>
          <w:lang w:val="uk-UA"/>
        </w:rPr>
        <w:t>, різниця ФФ склала</w:t>
      </w:r>
      <w:r>
        <w:rPr>
          <w:rFonts w:ascii="Times New Roman" w:hAnsi="Times New Roman"/>
          <w:sz w:val="28"/>
          <w:szCs w:val="28"/>
          <w:lang w:val="uk-UA"/>
        </w:rPr>
        <w:t>,</w:t>
      </w:r>
      <w:r w:rsidRPr="00B34ADB">
        <w:rPr>
          <w:rFonts w:ascii="Times New Roman" w:hAnsi="Times New Roman"/>
          <w:sz w:val="28"/>
          <w:szCs w:val="28"/>
          <w:lang w:val="uk-UA"/>
        </w:rPr>
        <w:t xml:space="preserve"> відповідно</w:t>
      </w:r>
      <w:r>
        <w:rPr>
          <w:rFonts w:ascii="Times New Roman" w:hAnsi="Times New Roman"/>
          <w:sz w:val="28"/>
          <w:szCs w:val="28"/>
          <w:lang w:val="uk-UA"/>
        </w:rPr>
        <w:t>,</w:t>
      </w:r>
      <w:r w:rsidRPr="00B34ADB">
        <w:rPr>
          <w:rFonts w:ascii="Times New Roman" w:hAnsi="Times New Roman"/>
          <w:sz w:val="28"/>
          <w:szCs w:val="28"/>
          <w:lang w:val="uk-UA"/>
        </w:rPr>
        <w:t xml:space="preserve"> 127,1% (95% ДІ від</w:t>
      </w:r>
      <w:r w:rsidRPr="002E331B">
        <w:rPr>
          <w:rFonts w:ascii="Times New Roman" w:hAnsi="Times New Roman"/>
          <w:sz w:val="28"/>
          <w:szCs w:val="28"/>
          <w:lang w:val="uk-UA"/>
        </w:rPr>
        <w:t xml:space="preserve"> 18,69 до 53,63, р=0,002) та 110,8% (95% ДІ від −50,3 до −19,3, р=0,000) та була </w:t>
      </w:r>
      <w:r>
        <w:rPr>
          <w:rFonts w:ascii="Times New Roman" w:hAnsi="Times New Roman"/>
          <w:sz w:val="28"/>
          <w:szCs w:val="28"/>
          <w:lang w:val="uk-UA"/>
        </w:rPr>
        <w:t>вірогідною</w:t>
      </w:r>
      <w:r w:rsidRPr="002E331B">
        <w:rPr>
          <w:rFonts w:ascii="Times New Roman" w:hAnsi="Times New Roman"/>
          <w:sz w:val="28"/>
          <w:szCs w:val="28"/>
          <w:lang w:val="uk-UA"/>
        </w:rPr>
        <w:t>. Порівняння показників ФФ ходи при виписці у цих хворих показало, що вона була невірогідн</w:t>
      </w:r>
      <w:r>
        <w:rPr>
          <w:rFonts w:ascii="Times New Roman" w:hAnsi="Times New Roman"/>
          <w:sz w:val="28"/>
          <w:szCs w:val="28"/>
          <w:lang w:val="uk-UA"/>
        </w:rPr>
        <w:t>ою</w:t>
      </w:r>
      <w:r w:rsidRPr="002E331B">
        <w:rPr>
          <w:rFonts w:ascii="Times New Roman" w:hAnsi="Times New Roman"/>
          <w:sz w:val="28"/>
          <w:szCs w:val="28"/>
          <w:lang w:val="uk-UA"/>
        </w:rPr>
        <w:t xml:space="preserve"> (95% ДІ від −18,93 до 15,75, р=0,838). У хворих, </w:t>
      </w:r>
      <w:r>
        <w:rPr>
          <w:rFonts w:ascii="Times New Roman" w:hAnsi="Times New Roman"/>
          <w:sz w:val="28"/>
          <w:szCs w:val="28"/>
          <w:lang w:val="uk-UA"/>
        </w:rPr>
        <w:t xml:space="preserve">які </w:t>
      </w:r>
      <w:r w:rsidRPr="002E331B">
        <w:rPr>
          <w:rFonts w:ascii="Times New Roman" w:hAnsi="Times New Roman"/>
          <w:sz w:val="28"/>
          <w:szCs w:val="28"/>
          <w:lang w:val="uk-UA"/>
        </w:rPr>
        <w:t>отримували консервативну терапію</w:t>
      </w:r>
      <w:r>
        <w:rPr>
          <w:rFonts w:ascii="Times New Roman" w:hAnsi="Times New Roman"/>
          <w:sz w:val="28"/>
          <w:szCs w:val="28"/>
          <w:lang w:val="uk-UA"/>
        </w:rPr>
        <w:t>,</w:t>
      </w:r>
      <w:r w:rsidRPr="002E331B">
        <w:rPr>
          <w:rFonts w:ascii="Times New Roman" w:hAnsi="Times New Roman"/>
          <w:sz w:val="28"/>
          <w:szCs w:val="28"/>
          <w:lang w:val="uk-UA"/>
        </w:rPr>
        <w:t xml:space="preserve"> рівень ФФ був вищим за вихідний рівень на 45,5% (95% ДІ від −</w:t>
      </w:r>
      <w:r>
        <w:rPr>
          <w:rFonts w:ascii="Times New Roman" w:hAnsi="Times New Roman"/>
          <w:sz w:val="28"/>
          <w:szCs w:val="28"/>
          <w:lang w:val="uk-UA"/>
        </w:rPr>
        <w:t xml:space="preserve"> </w:t>
      </w:r>
      <w:r w:rsidRPr="002E331B">
        <w:rPr>
          <w:rFonts w:ascii="Times New Roman" w:hAnsi="Times New Roman"/>
          <w:sz w:val="28"/>
          <w:szCs w:val="28"/>
          <w:lang w:val="uk-UA"/>
        </w:rPr>
        <w:t>19,05 до −</w:t>
      </w:r>
      <w:r>
        <w:rPr>
          <w:rFonts w:ascii="Times New Roman" w:hAnsi="Times New Roman"/>
          <w:sz w:val="28"/>
          <w:szCs w:val="28"/>
          <w:lang w:val="uk-UA"/>
        </w:rPr>
        <w:t xml:space="preserve"> </w:t>
      </w:r>
      <w:r w:rsidRPr="002E331B">
        <w:rPr>
          <w:rFonts w:ascii="Times New Roman" w:hAnsi="Times New Roman"/>
          <w:sz w:val="28"/>
          <w:szCs w:val="28"/>
          <w:lang w:val="uk-UA"/>
        </w:rPr>
        <w:t>9,391, р=0,000) та 42,9% (95% ДІ від −</w:t>
      </w:r>
      <w:r>
        <w:rPr>
          <w:rFonts w:ascii="Times New Roman" w:hAnsi="Times New Roman"/>
          <w:sz w:val="28"/>
          <w:szCs w:val="28"/>
          <w:lang w:val="uk-UA"/>
        </w:rPr>
        <w:t xml:space="preserve"> </w:t>
      </w:r>
      <w:r w:rsidRPr="002E331B">
        <w:rPr>
          <w:rFonts w:ascii="Times New Roman" w:hAnsi="Times New Roman"/>
          <w:sz w:val="28"/>
          <w:szCs w:val="28"/>
          <w:lang w:val="uk-UA"/>
        </w:rPr>
        <w:t>19,16 до −</w:t>
      </w:r>
      <w:r>
        <w:rPr>
          <w:rFonts w:ascii="Times New Roman" w:hAnsi="Times New Roman"/>
          <w:sz w:val="28"/>
          <w:szCs w:val="28"/>
          <w:lang w:val="uk-UA"/>
        </w:rPr>
        <w:t xml:space="preserve"> 8,843, р=0,000), </w:t>
      </w:r>
      <w:r w:rsidRPr="002E331B">
        <w:rPr>
          <w:rFonts w:ascii="Times New Roman" w:hAnsi="Times New Roman"/>
          <w:sz w:val="28"/>
          <w:szCs w:val="28"/>
          <w:lang w:val="uk-UA"/>
        </w:rPr>
        <w:t xml:space="preserve">відповідно. Різниця між </w:t>
      </w:r>
      <w:r w:rsidRPr="002E331B">
        <w:rPr>
          <w:rFonts w:ascii="Times New Roman" w:hAnsi="Times New Roman"/>
          <w:sz w:val="28"/>
          <w:szCs w:val="28"/>
          <w:lang w:val="uk-UA"/>
        </w:rPr>
        <w:lastRenderedPageBreak/>
        <w:t xml:space="preserve">показниками при </w:t>
      </w:r>
      <w:r>
        <w:rPr>
          <w:rFonts w:ascii="Times New Roman" w:hAnsi="Times New Roman"/>
          <w:sz w:val="28"/>
          <w:szCs w:val="28"/>
          <w:lang w:val="uk-UA"/>
        </w:rPr>
        <w:t>виписці у хворих обох груп</w:t>
      </w:r>
      <w:r w:rsidRPr="002E331B">
        <w:rPr>
          <w:rFonts w:ascii="Times New Roman" w:hAnsi="Times New Roman"/>
          <w:sz w:val="28"/>
          <w:szCs w:val="28"/>
          <w:lang w:val="uk-UA"/>
        </w:rPr>
        <w:t xml:space="preserve"> була невірогідною (95% ДІ від −6,194 до 3,854, р=0,642). У хворих, яким бул</w:t>
      </w:r>
      <w:r>
        <w:rPr>
          <w:rFonts w:ascii="Times New Roman" w:hAnsi="Times New Roman"/>
          <w:sz w:val="28"/>
          <w:szCs w:val="28"/>
          <w:lang w:val="uk-UA"/>
        </w:rPr>
        <w:t>а виконана</w:t>
      </w:r>
      <w:r w:rsidRPr="002E331B">
        <w:rPr>
          <w:rFonts w:ascii="Times New Roman" w:hAnsi="Times New Roman"/>
          <w:sz w:val="28"/>
          <w:szCs w:val="28"/>
          <w:lang w:val="uk-UA"/>
        </w:rPr>
        <w:t xml:space="preserve"> попереков</w:t>
      </w:r>
      <w:r>
        <w:rPr>
          <w:rFonts w:ascii="Times New Roman" w:hAnsi="Times New Roman"/>
          <w:sz w:val="28"/>
          <w:szCs w:val="28"/>
          <w:lang w:val="uk-UA"/>
        </w:rPr>
        <w:t>а</w:t>
      </w:r>
      <w:r w:rsidRPr="002E331B">
        <w:rPr>
          <w:rFonts w:ascii="Times New Roman" w:hAnsi="Times New Roman"/>
          <w:sz w:val="28"/>
          <w:szCs w:val="28"/>
          <w:lang w:val="uk-UA"/>
        </w:rPr>
        <w:t xml:space="preserve"> симпатектомі</w:t>
      </w:r>
      <w:r>
        <w:rPr>
          <w:rFonts w:ascii="Times New Roman" w:hAnsi="Times New Roman"/>
          <w:sz w:val="28"/>
          <w:szCs w:val="28"/>
          <w:lang w:val="uk-UA"/>
        </w:rPr>
        <w:t>я,</w:t>
      </w:r>
      <w:r w:rsidRPr="002E331B">
        <w:rPr>
          <w:rFonts w:ascii="Times New Roman" w:hAnsi="Times New Roman"/>
          <w:sz w:val="28"/>
          <w:szCs w:val="28"/>
          <w:lang w:val="uk-UA"/>
        </w:rPr>
        <w:t xml:space="preserve"> показник ФФ був більшим при виписці на 65,1% (95% ДІ від −33,7 до −4,445, р=0,019) та 51% (95% ДІ від −28,95 до −3,648, р=0,016) </w:t>
      </w:r>
      <w:r>
        <w:rPr>
          <w:rFonts w:ascii="Times New Roman" w:hAnsi="Times New Roman"/>
          <w:sz w:val="28"/>
          <w:szCs w:val="28"/>
          <w:lang w:val="uk-UA"/>
        </w:rPr>
        <w:t>вірогідно</w:t>
      </w:r>
      <w:r w:rsidRPr="002E331B">
        <w:rPr>
          <w:rFonts w:ascii="Times New Roman" w:hAnsi="Times New Roman"/>
          <w:sz w:val="28"/>
          <w:szCs w:val="28"/>
          <w:lang w:val="uk-UA"/>
        </w:rPr>
        <w:t xml:space="preserve">, </w:t>
      </w:r>
      <w:r>
        <w:rPr>
          <w:rFonts w:ascii="Times New Roman" w:hAnsi="Times New Roman"/>
          <w:sz w:val="28"/>
          <w:szCs w:val="28"/>
          <w:lang w:val="uk-UA"/>
        </w:rPr>
        <w:t xml:space="preserve">тоді як </w:t>
      </w:r>
      <w:r w:rsidRPr="002E331B">
        <w:rPr>
          <w:rFonts w:ascii="Times New Roman" w:hAnsi="Times New Roman"/>
          <w:sz w:val="28"/>
          <w:szCs w:val="28"/>
          <w:lang w:val="uk-UA"/>
        </w:rPr>
        <w:t xml:space="preserve">різниця цих показників при виписці у хворих обох груп виявилася невірогідною (95% ДІ від −15,37 до 15,61, р=0,986). </w:t>
      </w:r>
    </w:p>
    <w:p w:rsidR="003A6D02" w:rsidRPr="001F519F"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2E331B">
        <w:rPr>
          <w:rFonts w:ascii="Times New Roman" w:hAnsi="Times New Roman"/>
          <w:sz w:val="28"/>
          <w:szCs w:val="28"/>
          <w:lang w:val="uk-UA"/>
        </w:rPr>
        <w:t xml:space="preserve">Визначення зміни показників психічного функціонування (ПФ) у хворих обох груп показало, що при виписці у хворих основної групи, </w:t>
      </w:r>
      <w:r>
        <w:rPr>
          <w:rFonts w:ascii="Times New Roman" w:hAnsi="Times New Roman"/>
          <w:sz w:val="28"/>
          <w:szCs w:val="28"/>
          <w:lang w:val="uk-UA"/>
        </w:rPr>
        <w:t>які</w:t>
      </w:r>
      <w:r w:rsidRPr="002E331B">
        <w:rPr>
          <w:rFonts w:ascii="Times New Roman" w:hAnsi="Times New Roman"/>
          <w:sz w:val="28"/>
          <w:szCs w:val="28"/>
          <w:lang w:val="uk-UA"/>
        </w:rPr>
        <w:t xml:space="preserve"> були прооперовані за методикою ЧБА, рівень ПФ був на 88,1% вищим за вихідний рівень (95% ДІ від −37,47 до −22,95, р=0,00), у групі порівняння ця різниця склала 118,9% (95% ДІ від −44,54 до −24,02, р=0,000). Різниця між показниками при виписці між групами була невірогідною (95% ДІ від −8,3 до 11,1, р=0,771). У хворих, </w:t>
      </w:r>
      <w:r>
        <w:rPr>
          <w:rFonts w:ascii="Times New Roman" w:hAnsi="Times New Roman"/>
          <w:sz w:val="28"/>
          <w:szCs w:val="28"/>
          <w:lang w:val="uk-UA"/>
        </w:rPr>
        <w:t>які</w:t>
      </w:r>
      <w:r w:rsidRPr="002E331B">
        <w:rPr>
          <w:rFonts w:ascii="Times New Roman" w:hAnsi="Times New Roman"/>
          <w:sz w:val="28"/>
          <w:szCs w:val="28"/>
          <w:lang w:val="uk-UA"/>
        </w:rPr>
        <w:t xml:space="preserve"> були прооперовані відкритим методом, різниця рівнів ПФ склала</w:t>
      </w:r>
      <w:r>
        <w:rPr>
          <w:rFonts w:ascii="Times New Roman" w:hAnsi="Times New Roman"/>
          <w:sz w:val="28"/>
          <w:szCs w:val="28"/>
          <w:lang w:val="uk-UA"/>
        </w:rPr>
        <w:t>,</w:t>
      </w:r>
      <w:r w:rsidRPr="002E331B">
        <w:rPr>
          <w:rFonts w:ascii="Times New Roman" w:hAnsi="Times New Roman"/>
          <w:sz w:val="28"/>
          <w:szCs w:val="28"/>
          <w:lang w:val="uk-UA"/>
        </w:rPr>
        <w:t xml:space="preserve"> відповідно</w:t>
      </w:r>
      <w:r>
        <w:rPr>
          <w:rFonts w:ascii="Times New Roman" w:hAnsi="Times New Roman"/>
          <w:sz w:val="28"/>
          <w:szCs w:val="28"/>
          <w:lang w:val="uk-UA"/>
        </w:rPr>
        <w:t>,</w:t>
      </w:r>
      <w:r w:rsidRPr="002E331B">
        <w:rPr>
          <w:rFonts w:ascii="Times New Roman" w:hAnsi="Times New Roman"/>
          <w:sz w:val="28"/>
          <w:szCs w:val="28"/>
          <w:lang w:val="uk-UA"/>
        </w:rPr>
        <w:t xml:space="preserve"> 128,3% (95% ДІ від −</w:t>
      </w:r>
      <w:r>
        <w:rPr>
          <w:rFonts w:ascii="Times New Roman" w:hAnsi="Times New Roman"/>
          <w:sz w:val="28"/>
          <w:szCs w:val="28"/>
          <w:lang w:val="uk-UA"/>
        </w:rPr>
        <w:t xml:space="preserve"> </w:t>
      </w:r>
      <w:r w:rsidRPr="002E331B">
        <w:rPr>
          <w:rFonts w:ascii="Times New Roman" w:hAnsi="Times New Roman"/>
          <w:sz w:val="28"/>
          <w:szCs w:val="28"/>
          <w:lang w:val="uk-UA"/>
        </w:rPr>
        <w:t>62,8 до −</w:t>
      </w:r>
      <w:r>
        <w:rPr>
          <w:rFonts w:ascii="Times New Roman" w:hAnsi="Times New Roman"/>
          <w:sz w:val="28"/>
          <w:szCs w:val="28"/>
          <w:lang w:val="uk-UA"/>
        </w:rPr>
        <w:t xml:space="preserve"> </w:t>
      </w:r>
      <w:r w:rsidRPr="002E331B">
        <w:rPr>
          <w:rFonts w:ascii="Times New Roman" w:hAnsi="Times New Roman"/>
          <w:sz w:val="28"/>
          <w:szCs w:val="28"/>
          <w:lang w:val="uk-UA"/>
        </w:rPr>
        <w:t>25,34, р=0,001) та 126,5% (95% ДІ від −</w:t>
      </w:r>
      <w:r>
        <w:rPr>
          <w:rFonts w:ascii="Times New Roman" w:hAnsi="Times New Roman"/>
          <w:sz w:val="28"/>
          <w:szCs w:val="28"/>
          <w:lang w:val="uk-UA"/>
        </w:rPr>
        <w:t xml:space="preserve"> </w:t>
      </w:r>
      <w:r w:rsidRPr="002E331B">
        <w:rPr>
          <w:rFonts w:ascii="Times New Roman" w:hAnsi="Times New Roman"/>
          <w:sz w:val="28"/>
          <w:szCs w:val="28"/>
          <w:lang w:val="uk-UA"/>
        </w:rPr>
        <w:t>59,79 до −</w:t>
      </w:r>
      <w:r>
        <w:rPr>
          <w:rFonts w:ascii="Times New Roman" w:hAnsi="Times New Roman"/>
          <w:sz w:val="28"/>
          <w:szCs w:val="28"/>
          <w:lang w:val="uk-UA"/>
        </w:rPr>
        <w:t xml:space="preserve"> </w:t>
      </w:r>
      <w:r w:rsidRPr="002E331B">
        <w:rPr>
          <w:rFonts w:ascii="Times New Roman" w:hAnsi="Times New Roman"/>
          <w:sz w:val="28"/>
          <w:szCs w:val="28"/>
          <w:lang w:val="uk-UA"/>
        </w:rPr>
        <w:t xml:space="preserve">26,85, р=0,000) та була вірогідною. Порівняння показників ПФ при виписці у цих хворих показало, що </w:t>
      </w:r>
      <w:r>
        <w:rPr>
          <w:rFonts w:ascii="Times New Roman" w:hAnsi="Times New Roman"/>
          <w:sz w:val="28"/>
          <w:szCs w:val="28"/>
          <w:lang w:val="uk-UA"/>
        </w:rPr>
        <w:t xml:space="preserve">різниця </w:t>
      </w:r>
      <w:r w:rsidRPr="002E331B">
        <w:rPr>
          <w:rFonts w:ascii="Times New Roman" w:hAnsi="Times New Roman"/>
          <w:sz w:val="28"/>
          <w:szCs w:val="28"/>
          <w:lang w:val="uk-UA"/>
        </w:rPr>
        <w:t>була невірогідною (95% ДІ від −17,73 до 19,41, р=0,919). У хворих, що отримували консервативну терапію, рівень ПФ при виписці був вищим за вихідний рівень на 40,2% (95% ДІ від −</w:t>
      </w:r>
      <w:r>
        <w:rPr>
          <w:rFonts w:ascii="Times New Roman" w:hAnsi="Times New Roman"/>
          <w:sz w:val="28"/>
          <w:szCs w:val="28"/>
          <w:lang w:val="uk-UA"/>
        </w:rPr>
        <w:t xml:space="preserve"> </w:t>
      </w:r>
      <w:r w:rsidRPr="002E331B">
        <w:rPr>
          <w:rFonts w:ascii="Times New Roman" w:hAnsi="Times New Roman"/>
          <w:sz w:val="28"/>
          <w:szCs w:val="28"/>
          <w:lang w:val="uk-UA"/>
        </w:rPr>
        <w:t>20,14 до −</w:t>
      </w:r>
      <w:r>
        <w:rPr>
          <w:rFonts w:ascii="Times New Roman" w:hAnsi="Times New Roman"/>
          <w:sz w:val="28"/>
          <w:szCs w:val="28"/>
          <w:lang w:val="uk-UA"/>
        </w:rPr>
        <w:t xml:space="preserve"> </w:t>
      </w:r>
      <w:r w:rsidRPr="002E331B">
        <w:rPr>
          <w:rFonts w:ascii="Times New Roman" w:hAnsi="Times New Roman"/>
          <w:sz w:val="28"/>
          <w:szCs w:val="28"/>
          <w:lang w:val="uk-UA"/>
        </w:rPr>
        <w:t>7,099, р=0,000) та 23,6% (95% ДІ від −</w:t>
      </w:r>
      <w:r>
        <w:rPr>
          <w:rFonts w:ascii="Times New Roman" w:hAnsi="Times New Roman"/>
          <w:sz w:val="28"/>
          <w:szCs w:val="28"/>
          <w:lang w:val="uk-UA"/>
        </w:rPr>
        <w:t xml:space="preserve"> </w:t>
      </w:r>
      <w:r w:rsidRPr="002E331B">
        <w:rPr>
          <w:rFonts w:ascii="Times New Roman" w:hAnsi="Times New Roman"/>
          <w:sz w:val="28"/>
          <w:szCs w:val="28"/>
          <w:lang w:val="uk-UA"/>
        </w:rPr>
        <w:t>14,56 до −</w:t>
      </w:r>
      <w:r>
        <w:rPr>
          <w:rFonts w:ascii="Times New Roman" w:hAnsi="Times New Roman"/>
          <w:sz w:val="28"/>
          <w:szCs w:val="28"/>
          <w:lang w:val="uk-UA"/>
        </w:rPr>
        <w:t xml:space="preserve"> </w:t>
      </w:r>
      <w:r w:rsidRPr="002E331B">
        <w:rPr>
          <w:rFonts w:ascii="Times New Roman" w:hAnsi="Times New Roman"/>
          <w:sz w:val="28"/>
          <w:szCs w:val="28"/>
          <w:lang w:val="uk-UA"/>
        </w:rPr>
        <w:t>2,478, р=0,007)</w:t>
      </w:r>
      <w:r>
        <w:rPr>
          <w:rFonts w:ascii="Times New Roman" w:hAnsi="Times New Roman"/>
          <w:sz w:val="28"/>
          <w:szCs w:val="28"/>
          <w:lang w:val="uk-UA"/>
        </w:rPr>
        <w:t>, відповідно, вірогідно</w:t>
      </w:r>
      <w:r w:rsidRPr="002E331B">
        <w:rPr>
          <w:rFonts w:ascii="Times New Roman" w:hAnsi="Times New Roman"/>
          <w:sz w:val="28"/>
          <w:szCs w:val="28"/>
          <w:lang w:val="uk-UA"/>
        </w:rPr>
        <w:t>, на відміну від різниці між показниками при виписці в обох групах (95% ДІ від −3,963 до 9,523, р=0,411). У хворих, яким бул</w:t>
      </w:r>
      <w:r>
        <w:rPr>
          <w:rFonts w:ascii="Times New Roman" w:hAnsi="Times New Roman"/>
          <w:sz w:val="28"/>
          <w:szCs w:val="28"/>
          <w:lang w:val="uk-UA"/>
        </w:rPr>
        <w:t>а</w:t>
      </w:r>
      <w:r w:rsidRPr="002E331B">
        <w:rPr>
          <w:rFonts w:ascii="Times New Roman" w:hAnsi="Times New Roman"/>
          <w:sz w:val="28"/>
          <w:szCs w:val="28"/>
          <w:lang w:val="uk-UA"/>
        </w:rPr>
        <w:t xml:space="preserve"> виконан</w:t>
      </w:r>
      <w:r>
        <w:rPr>
          <w:rFonts w:ascii="Times New Roman" w:hAnsi="Times New Roman"/>
          <w:sz w:val="28"/>
          <w:szCs w:val="28"/>
          <w:lang w:val="uk-UA"/>
        </w:rPr>
        <w:t>а</w:t>
      </w:r>
      <w:r w:rsidRPr="002E331B">
        <w:rPr>
          <w:rFonts w:ascii="Times New Roman" w:hAnsi="Times New Roman"/>
          <w:sz w:val="28"/>
          <w:szCs w:val="28"/>
          <w:lang w:val="uk-UA"/>
        </w:rPr>
        <w:t xml:space="preserve"> попереков</w:t>
      </w:r>
      <w:r>
        <w:rPr>
          <w:rFonts w:ascii="Times New Roman" w:hAnsi="Times New Roman"/>
          <w:sz w:val="28"/>
          <w:szCs w:val="28"/>
          <w:lang w:val="uk-UA"/>
        </w:rPr>
        <w:t>а</w:t>
      </w:r>
      <w:r w:rsidRPr="002E331B">
        <w:rPr>
          <w:rFonts w:ascii="Times New Roman" w:hAnsi="Times New Roman"/>
          <w:sz w:val="28"/>
          <w:szCs w:val="28"/>
          <w:lang w:val="uk-UA"/>
        </w:rPr>
        <w:t xml:space="preserve"> симпатектомі</w:t>
      </w:r>
      <w:r>
        <w:rPr>
          <w:rFonts w:ascii="Times New Roman" w:hAnsi="Times New Roman"/>
          <w:sz w:val="28"/>
          <w:szCs w:val="28"/>
          <w:lang w:val="uk-UA"/>
        </w:rPr>
        <w:t>я</w:t>
      </w:r>
      <w:r w:rsidRPr="002E331B">
        <w:rPr>
          <w:rFonts w:ascii="Times New Roman" w:hAnsi="Times New Roman"/>
          <w:sz w:val="28"/>
          <w:szCs w:val="28"/>
          <w:lang w:val="uk-UA"/>
        </w:rPr>
        <w:t xml:space="preserve">, рівень ПФ був вірогідно вищим при виписці на 67,1% (95% ДІ від −42,33 до −1,628, р=0,038) у основній групі, та невірогідно вищий на 27,1% (95% ДІ від −24,12 до 3,4, р=0,127) у групі порівняння. Різниця цих показників обох груп при виписці була також невірогідною (95% ДІ від −10,91 до 23,15, р=0,437). </w: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000000"/>
          <w:sz w:val="28"/>
          <w:szCs w:val="28"/>
          <w:lang w:val="uk-UA"/>
        </w:rPr>
      </w:pPr>
      <w:r w:rsidRPr="00620C84">
        <w:rPr>
          <w:rFonts w:ascii="Times New Roman" w:hAnsi="Times New Roman"/>
          <w:sz w:val="28"/>
          <w:szCs w:val="28"/>
          <w:lang w:val="uk-UA"/>
        </w:rPr>
        <w:t>Виходячи з вищезазначених даних, видно, що у період</w:t>
      </w:r>
      <w:r w:rsidR="004A1376">
        <w:rPr>
          <w:rFonts w:ascii="Times New Roman" w:hAnsi="Times New Roman"/>
          <w:sz w:val="28"/>
          <w:szCs w:val="28"/>
          <w:lang w:val="uk-UA"/>
        </w:rPr>
        <w:t xml:space="preserve"> протягом року</w:t>
      </w:r>
      <w:r w:rsidRPr="00620C84">
        <w:rPr>
          <w:rFonts w:ascii="Times New Roman" w:hAnsi="Times New Roman"/>
          <w:sz w:val="28"/>
          <w:szCs w:val="28"/>
          <w:lang w:val="uk-UA"/>
        </w:rPr>
        <w:t xml:space="preserve"> за рівнем болю, дистанцією безбольової ходи та фізичним функціонуванням найкраща динаміка спостерігалася</w:t>
      </w:r>
      <w:r w:rsidRPr="00053976">
        <w:rPr>
          <w:rFonts w:ascii="Times New Roman" w:hAnsi="Times New Roman"/>
          <w:sz w:val="28"/>
          <w:szCs w:val="28"/>
          <w:lang w:val="uk-UA"/>
        </w:rPr>
        <w:t xml:space="preserve"> у хворих, </w:t>
      </w:r>
      <w:r>
        <w:rPr>
          <w:rFonts w:ascii="Times New Roman" w:hAnsi="Times New Roman"/>
          <w:sz w:val="28"/>
          <w:szCs w:val="28"/>
          <w:lang w:val="uk-UA"/>
        </w:rPr>
        <w:t xml:space="preserve">які </w:t>
      </w:r>
      <w:r w:rsidRPr="00053976">
        <w:rPr>
          <w:rFonts w:ascii="Times New Roman" w:hAnsi="Times New Roman"/>
          <w:sz w:val="28"/>
          <w:szCs w:val="28"/>
          <w:lang w:val="uk-UA"/>
        </w:rPr>
        <w:t>були оперовані</w:t>
      </w:r>
      <w:r>
        <w:rPr>
          <w:rFonts w:ascii="Times New Roman" w:hAnsi="Times New Roman"/>
          <w:color w:val="000000"/>
          <w:sz w:val="28"/>
          <w:szCs w:val="28"/>
          <w:lang w:val="uk-UA"/>
        </w:rPr>
        <w:t xml:space="preserve"> за методикою ЧБА, а рівень психічного функціонування був найвищим у хворих, які були оперовані відкритим методом. Водночас, при порівнянні рівнів усіх показників </w:t>
      </w:r>
      <w:r>
        <w:rPr>
          <w:rFonts w:ascii="Times New Roman" w:hAnsi="Times New Roman"/>
          <w:color w:val="000000"/>
          <w:sz w:val="28"/>
          <w:szCs w:val="28"/>
          <w:lang w:val="uk-UA"/>
        </w:rPr>
        <w:lastRenderedPageBreak/>
        <w:t>(рівень болю, якість життя – ПФ та ФФ, дистанція безбольової ходи) у обох групах різниця при виписці була недостовірною.</w: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000000"/>
          <w:sz w:val="28"/>
          <w:szCs w:val="28"/>
          <w:lang w:val="uk-UA"/>
        </w:rPr>
      </w:pPr>
    </w:p>
    <w:p w:rsidR="003A6D02" w:rsidRPr="00EA09C9" w:rsidRDefault="003A6D02" w:rsidP="003A6D02">
      <w:pPr>
        <w:tabs>
          <w:tab w:val="left" w:pos="180"/>
          <w:tab w:val="left" w:pos="540"/>
          <w:tab w:val="left" w:pos="720"/>
        </w:tabs>
        <w:spacing w:after="0" w:line="360" w:lineRule="auto"/>
        <w:ind w:left="-567" w:firstLine="567"/>
        <w:jc w:val="both"/>
        <w:rPr>
          <w:rFonts w:ascii="Times New Roman" w:hAnsi="Times New Roman"/>
          <w:b/>
          <w:color w:val="000000"/>
          <w:sz w:val="28"/>
          <w:szCs w:val="28"/>
          <w:lang w:val="uk-UA"/>
        </w:rPr>
      </w:pPr>
    </w:p>
    <w:p w:rsidR="003A6D02" w:rsidRPr="00C3759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r w:rsidRPr="00C37592">
        <w:rPr>
          <w:rFonts w:ascii="Times New Roman" w:hAnsi="Times New Roman"/>
          <w:b/>
          <w:sz w:val="28"/>
          <w:szCs w:val="28"/>
          <w:lang w:val="uk-UA"/>
        </w:rPr>
        <w:t xml:space="preserve">6.2 </w:t>
      </w:r>
      <w:r w:rsidR="004A1376">
        <w:rPr>
          <w:rFonts w:ascii="Times New Roman" w:hAnsi="Times New Roman"/>
          <w:b/>
          <w:sz w:val="28"/>
          <w:szCs w:val="28"/>
          <w:lang w:val="uk-UA"/>
        </w:rPr>
        <w:t>Р</w:t>
      </w:r>
      <w:r w:rsidRPr="00C37592">
        <w:rPr>
          <w:rFonts w:ascii="Times New Roman" w:hAnsi="Times New Roman"/>
          <w:b/>
          <w:sz w:val="28"/>
          <w:szCs w:val="28"/>
          <w:lang w:val="uk-UA"/>
        </w:rPr>
        <w:t>езультати лікування хворих на хронічну критичну ішемію нижніх кінцівок</w:t>
      </w:r>
    </w:p>
    <w:p w:rsidR="003A6D02"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p>
    <w:p w:rsidR="003A6D02"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p>
    <w:p w:rsidR="003A6D02" w:rsidRPr="002F78FA"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rPr>
      </w:pPr>
      <w:r w:rsidRPr="002F78FA">
        <w:rPr>
          <w:rFonts w:ascii="Times New Roman" w:hAnsi="Times New Roman"/>
          <w:sz w:val="28"/>
          <w:szCs w:val="28"/>
          <w:lang w:val="uk-UA"/>
        </w:rPr>
        <w:t>Для в</w:t>
      </w:r>
      <w:r>
        <w:rPr>
          <w:rFonts w:ascii="Times New Roman" w:hAnsi="Times New Roman"/>
          <w:sz w:val="28"/>
          <w:szCs w:val="28"/>
          <w:lang w:val="uk-UA"/>
        </w:rPr>
        <w:t>становлення</w:t>
      </w:r>
      <w:r w:rsidRPr="002F78FA">
        <w:rPr>
          <w:rFonts w:ascii="Times New Roman" w:hAnsi="Times New Roman"/>
          <w:sz w:val="28"/>
          <w:szCs w:val="28"/>
          <w:lang w:val="uk-UA"/>
        </w:rPr>
        <w:t xml:space="preserve"> результатів лікування хворих досліджуваних груп, ми також визначали зміни </w:t>
      </w:r>
      <w:r>
        <w:rPr>
          <w:rFonts w:ascii="Times New Roman" w:hAnsi="Times New Roman"/>
          <w:sz w:val="28"/>
          <w:szCs w:val="28"/>
          <w:lang w:val="uk-UA"/>
        </w:rPr>
        <w:t xml:space="preserve">місцевої </w:t>
      </w:r>
      <w:r w:rsidRPr="002F78FA">
        <w:rPr>
          <w:rFonts w:ascii="Times New Roman" w:hAnsi="Times New Roman"/>
          <w:sz w:val="28"/>
          <w:szCs w:val="28"/>
          <w:lang w:val="uk-UA"/>
        </w:rPr>
        <w:t>температур</w:t>
      </w:r>
      <w:r>
        <w:rPr>
          <w:rFonts w:ascii="Times New Roman" w:hAnsi="Times New Roman"/>
          <w:sz w:val="28"/>
          <w:szCs w:val="28"/>
          <w:lang w:val="uk-UA"/>
        </w:rPr>
        <w:t>и</w:t>
      </w:r>
      <w:r w:rsidRPr="002F78FA">
        <w:rPr>
          <w:rFonts w:ascii="Times New Roman" w:hAnsi="Times New Roman"/>
          <w:sz w:val="28"/>
          <w:szCs w:val="28"/>
          <w:lang w:val="uk-UA"/>
        </w:rPr>
        <w:t xml:space="preserve"> нижніх кінцівок, якість житт</w:t>
      </w:r>
      <w:r>
        <w:rPr>
          <w:rFonts w:ascii="Times New Roman" w:hAnsi="Times New Roman"/>
          <w:sz w:val="28"/>
          <w:szCs w:val="28"/>
          <w:lang w:val="uk-UA"/>
        </w:rPr>
        <w:t>я хворих, зміни рі</w:t>
      </w:r>
      <w:r w:rsidR="00FB7D72">
        <w:rPr>
          <w:rFonts w:ascii="Times New Roman" w:hAnsi="Times New Roman"/>
          <w:sz w:val="28"/>
          <w:szCs w:val="28"/>
          <w:lang w:val="uk-UA"/>
        </w:rPr>
        <w:t>внів</w:t>
      </w:r>
      <w:r>
        <w:rPr>
          <w:rFonts w:ascii="Times New Roman" w:hAnsi="Times New Roman"/>
          <w:sz w:val="28"/>
          <w:szCs w:val="28"/>
          <w:lang w:val="uk-UA"/>
        </w:rPr>
        <w:t xml:space="preserve"> болю, </w:t>
      </w:r>
      <w:r w:rsidRPr="001377D6">
        <w:rPr>
          <w:rFonts w:ascii="Times New Roman" w:hAnsi="Times New Roman"/>
          <w:sz w:val="28"/>
          <w:lang w:val="uk-UA"/>
        </w:rPr>
        <w:t xml:space="preserve">дистанції безбольової ходи </w:t>
      </w:r>
      <w:r>
        <w:rPr>
          <w:rFonts w:ascii="Times New Roman" w:hAnsi="Times New Roman"/>
          <w:sz w:val="28"/>
          <w:lang w:val="uk-UA"/>
        </w:rPr>
        <w:t>(</w:t>
      </w:r>
      <w:r>
        <w:rPr>
          <w:rFonts w:ascii="Times New Roman" w:hAnsi="Times New Roman"/>
          <w:sz w:val="28"/>
          <w:szCs w:val="28"/>
          <w:lang w:val="uk-UA"/>
        </w:rPr>
        <w:t>ДБХ)</w:t>
      </w:r>
      <w:r w:rsidRPr="002F78FA">
        <w:rPr>
          <w:rFonts w:ascii="Times New Roman" w:hAnsi="Times New Roman"/>
          <w:sz w:val="28"/>
          <w:szCs w:val="28"/>
          <w:lang w:val="uk-UA"/>
        </w:rPr>
        <w:t xml:space="preserve"> у строки 6 та 12 місяців після лікування. </w:t>
      </w:r>
      <w:r>
        <w:rPr>
          <w:rFonts w:ascii="Times New Roman" w:hAnsi="Times New Roman"/>
          <w:sz w:val="28"/>
          <w:szCs w:val="28"/>
        </w:rPr>
        <w:t>Виз</w:t>
      </w:r>
      <w:r w:rsidR="00FB7D72">
        <w:rPr>
          <w:rFonts w:ascii="Times New Roman" w:hAnsi="Times New Roman"/>
          <w:sz w:val="28"/>
          <w:szCs w:val="28"/>
        </w:rPr>
        <w:t>начал</w:t>
      </w:r>
      <w:r w:rsidR="00FB7D72">
        <w:rPr>
          <w:rFonts w:ascii="Times New Roman" w:hAnsi="Times New Roman"/>
          <w:sz w:val="28"/>
          <w:szCs w:val="28"/>
          <w:lang w:val="uk-UA"/>
        </w:rPr>
        <w:t>и</w:t>
      </w:r>
      <w:r w:rsidR="00FB7D72" w:rsidRPr="002F78FA">
        <w:rPr>
          <w:rFonts w:ascii="Times New Roman" w:hAnsi="Times New Roman"/>
          <w:sz w:val="28"/>
          <w:szCs w:val="28"/>
        </w:rPr>
        <w:t>сь</w:t>
      </w:r>
      <w:r w:rsidRPr="002F78FA">
        <w:rPr>
          <w:rFonts w:ascii="Times New Roman" w:hAnsi="Times New Roman"/>
          <w:sz w:val="28"/>
          <w:szCs w:val="28"/>
        </w:rPr>
        <w:t xml:space="preserve"> кількість </w:t>
      </w:r>
      <w:r w:rsidRPr="002F78FA">
        <w:rPr>
          <w:rFonts w:ascii="Times New Roman" w:hAnsi="Times New Roman"/>
          <w:sz w:val="28"/>
          <w:szCs w:val="28"/>
          <w:lang w:val="uk-UA"/>
        </w:rPr>
        <w:t>низьких</w:t>
      </w:r>
      <w:r w:rsidRPr="002F78FA">
        <w:rPr>
          <w:rFonts w:ascii="Times New Roman" w:hAnsi="Times New Roman"/>
          <w:sz w:val="28"/>
          <w:szCs w:val="28"/>
        </w:rPr>
        <w:t xml:space="preserve"> та </w:t>
      </w:r>
      <w:r w:rsidRPr="002F78FA">
        <w:rPr>
          <w:rFonts w:ascii="Times New Roman" w:hAnsi="Times New Roman"/>
          <w:sz w:val="28"/>
          <w:szCs w:val="28"/>
          <w:lang w:val="uk-UA"/>
        </w:rPr>
        <w:t>високих</w:t>
      </w:r>
      <w:r w:rsidRPr="002F78FA">
        <w:rPr>
          <w:rFonts w:ascii="Times New Roman" w:hAnsi="Times New Roman"/>
          <w:sz w:val="28"/>
          <w:szCs w:val="28"/>
        </w:rPr>
        <w:t xml:space="preserve"> ампутацій, рівень летальності хворих</w:t>
      </w:r>
      <w:r w:rsidRPr="002F78FA">
        <w:rPr>
          <w:rFonts w:ascii="Times New Roman" w:hAnsi="Times New Roman"/>
          <w:sz w:val="28"/>
          <w:szCs w:val="28"/>
          <w:lang w:val="uk-UA"/>
        </w:rPr>
        <w:t xml:space="preserve"> протягом </w:t>
      </w:r>
      <w:r>
        <w:rPr>
          <w:rFonts w:ascii="Times New Roman" w:hAnsi="Times New Roman"/>
          <w:sz w:val="28"/>
          <w:szCs w:val="28"/>
          <w:lang w:val="uk-UA"/>
        </w:rPr>
        <w:t>одного</w:t>
      </w:r>
      <w:r w:rsidRPr="002F78FA">
        <w:rPr>
          <w:rFonts w:ascii="Times New Roman" w:hAnsi="Times New Roman"/>
          <w:sz w:val="28"/>
          <w:szCs w:val="28"/>
          <w:lang w:val="uk-UA"/>
        </w:rPr>
        <w:t xml:space="preserve"> року спостереження</w:t>
      </w:r>
      <w:r w:rsidRPr="002F78FA">
        <w:rPr>
          <w:rFonts w:ascii="Times New Roman" w:hAnsi="Times New Roman"/>
          <w:sz w:val="28"/>
          <w:szCs w:val="28"/>
        </w:rPr>
        <w:t xml:space="preserve">. </w:t>
      </w:r>
    </w:p>
    <w:p w:rsidR="003A6D02" w:rsidRPr="00646F05" w:rsidRDefault="003A6D02" w:rsidP="003A6D02">
      <w:pPr>
        <w:tabs>
          <w:tab w:val="left" w:pos="180"/>
          <w:tab w:val="left" w:pos="540"/>
          <w:tab w:val="left" w:pos="720"/>
        </w:tabs>
        <w:spacing w:after="0" w:line="360" w:lineRule="auto"/>
        <w:ind w:left="-567" w:firstLine="567"/>
        <w:jc w:val="both"/>
        <w:rPr>
          <w:rFonts w:ascii="Times New Roman" w:hAnsi="Times New Roman"/>
          <w:color w:val="000000"/>
          <w:sz w:val="28"/>
          <w:szCs w:val="28"/>
          <w:lang w:val="uk-UA"/>
        </w:rPr>
      </w:pPr>
      <w:r w:rsidRPr="005E1CD1">
        <w:rPr>
          <w:rFonts w:ascii="Times New Roman" w:hAnsi="Times New Roman"/>
          <w:color w:val="000000"/>
          <w:sz w:val="28"/>
          <w:szCs w:val="28"/>
        </w:rPr>
        <w:t xml:space="preserve">Показники результатів лікування у основній групі та групі порівняння наведені у таблиці </w:t>
      </w:r>
      <w:r>
        <w:rPr>
          <w:rFonts w:ascii="Times New Roman" w:hAnsi="Times New Roman"/>
          <w:color w:val="000000"/>
          <w:sz w:val="28"/>
          <w:szCs w:val="28"/>
          <w:lang w:val="uk-UA"/>
        </w:rPr>
        <w:t>6.2</w:t>
      </w:r>
      <w:r w:rsidRPr="005E1CD1">
        <w:rPr>
          <w:rFonts w:ascii="Times New Roman" w:hAnsi="Times New Roman"/>
          <w:color w:val="000000"/>
          <w:sz w:val="28"/>
          <w:szCs w:val="28"/>
        </w:rPr>
        <w:t>.</w:t>
      </w:r>
      <w:r>
        <w:rPr>
          <w:rFonts w:ascii="Times New Roman" w:hAnsi="Times New Roman"/>
          <w:color w:val="000000"/>
          <w:sz w:val="28"/>
          <w:szCs w:val="28"/>
          <w:lang w:val="uk-UA"/>
        </w:rPr>
        <w:t xml:space="preserve"> </w:t>
      </w:r>
    </w:p>
    <w:p w:rsidR="003A6D02" w:rsidRPr="00C37592" w:rsidRDefault="003A6D02" w:rsidP="003A6D02">
      <w:pPr>
        <w:tabs>
          <w:tab w:val="left" w:pos="180"/>
          <w:tab w:val="left" w:pos="540"/>
          <w:tab w:val="left" w:pos="720"/>
        </w:tabs>
        <w:spacing w:after="0" w:line="360" w:lineRule="auto"/>
        <w:ind w:left="-567" w:firstLine="567"/>
        <w:jc w:val="right"/>
        <w:rPr>
          <w:rFonts w:ascii="Times New Roman" w:hAnsi="Times New Roman"/>
          <w:i/>
          <w:color w:val="000000"/>
          <w:sz w:val="28"/>
          <w:szCs w:val="28"/>
          <w:lang w:val="uk-UA"/>
        </w:rPr>
      </w:pPr>
      <w:r w:rsidRPr="00C37592">
        <w:rPr>
          <w:rFonts w:ascii="Times New Roman" w:hAnsi="Times New Roman"/>
          <w:i/>
          <w:color w:val="000000"/>
          <w:sz w:val="28"/>
          <w:szCs w:val="28"/>
        </w:rPr>
        <w:t xml:space="preserve">Таблиця </w:t>
      </w:r>
      <w:r w:rsidRPr="00C37592">
        <w:rPr>
          <w:rFonts w:ascii="Times New Roman" w:hAnsi="Times New Roman"/>
          <w:i/>
          <w:color w:val="000000"/>
          <w:sz w:val="28"/>
          <w:szCs w:val="28"/>
          <w:lang w:val="uk-UA"/>
        </w:rPr>
        <w:t>6.2</w:t>
      </w:r>
    </w:p>
    <w:p w:rsidR="003A6D02" w:rsidRPr="00C37592" w:rsidRDefault="003A6D02" w:rsidP="003A6D02">
      <w:pPr>
        <w:tabs>
          <w:tab w:val="left" w:pos="180"/>
          <w:tab w:val="left" w:pos="540"/>
          <w:tab w:val="left" w:pos="720"/>
        </w:tabs>
        <w:spacing w:after="0" w:line="360" w:lineRule="auto"/>
        <w:ind w:left="-567" w:firstLine="567"/>
        <w:jc w:val="center"/>
        <w:rPr>
          <w:rFonts w:ascii="Times New Roman" w:hAnsi="Times New Roman"/>
          <w:b/>
          <w:sz w:val="28"/>
          <w:szCs w:val="28"/>
          <w:lang w:val="uk-UA"/>
        </w:rPr>
      </w:pPr>
      <w:r w:rsidRPr="00C37592">
        <w:rPr>
          <w:rFonts w:ascii="Times New Roman" w:hAnsi="Times New Roman"/>
          <w:b/>
          <w:sz w:val="28"/>
          <w:szCs w:val="28"/>
          <w:lang w:val="uk-UA"/>
        </w:rPr>
        <w:t>Р</w:t>
      </w:r>
      <w:r w:rsidRPr="00C37592">
        <w:rPr>
          <w:rFonts w:ascii="Times New Roman" w:hAnsi="Times New Roman"/>
          <w:b/>
          <w:sz w:val="28"/>
          <w:szCs w:val="28"/>
        </w:rPr>
        <w:t>езультати лікування хворих на ХКІНК</w:t>
      </w:r>
      <w:r w:rsidRPr="00C37592">
        <w:rPr>
          <w:rFonts w:ascii="Times New Roman" w:hAnsi="Times New Roman"/>
          <w:b/>
          <w:sz w:val="28"/>
          <w:szCs w:val="28"/>
          <w:lang w:val="uk-UA"/>
        </w:rPr>
        <w:t xml:space="preserve"> через 12 місяців </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7"/>
        <w:gridCol w:w="851"/>
        <w:gridCol w:w="850"/>
        <w:gridCol w:w="851"/>
        <w:gridCol w:w="992"/>
        <w:gridCol w:w="709"/>
        <w:gridCol w:w="708"/>
        <w:gridCol w:w="851"/>
        <w:gridCol w:w="1134"/>
      </w:tblGrid>
      <w:tr w:rsidR="003A6D02" w:rsidRPr="00E942BA" w:rsidTr="003A6D02">
        <w:trPr>
          <w:trHeight w:val="287"/>
        </w:trPr>
        <w:tc>
          <w:tcPr>
            <w:tcW w:w="2977" w:type="dxa"/>
            <w:vMerge w:val="restart"/>
            <w:vAlign w:val="center"/>
          </w:tcPr>
          <w:p w:rsidR="003A6D02" w:rsidRPr="00E942BA" w:rsidRDefault="003A6D02" w:rsidP="003A6D02">
            <w:pPr>
              <w:tabs>
                <w:tab w:val="left" w:pos="180"/>
                <w:tab w:val="left" w:pos="540"/>
                <w:tab w:val="left" w:pos="720"/>
              </w:tabs>
              <w:spacing w:after="0"/>
              <w:rPr>
                <w:rFonts w:ascii="Times New Roman" w:hAnsi="Times New Roman"/>
                <w:sz w:val="28"/>
                <w:szCs w:val="28"/>
              </w:rPr>
            </w:pPr>
            <w:r w:rsidRPr="00E942BA">
              <w:rPr>
                <w:rFonts w:ascii="Times New Roman" w:hAnsi="Times New Roman"/>
                <w:sz w:val="28"/>
                <w:szCs w:val="28"/>
              </w:rPr>
              <w:t>Показник</w:t>
            </w:r>
          </w:p>
        </w:tc>
        <w:tc>
          <w:tcPr>
            <w:tcW w:w="3544" w:type="dxa"/>
            <w:gridSpan w:val="4"/>
            <w:vAlign w:val="center"/>
          </w:tcPr>
          <w:p w:rsidR="003A6D02" w:rsidRPr="00E942BA" w:rsidRDefault="003A6D02" w:rsidP="003A6D02">
            <w:pPr>
              <w:tabs>
                <w:tab w:val="left" w:pos="180"/>
                <w:tab w:val="left" w:pos="540"/>
                <w:tab w:val="left" w:pos="720"/>
              </w:tabs>
              <w:spacing w:after="0"/>
              <w:ind w:left="33"/>
              <w:jc w:val="center"/>
              <w:rPr>
                <w:rFonts w:ascii="Times New Roman" w:hAnsi="Times New Roman"/>
                <w:sz w:val="28"/>
                <w:szCs w:val="28"/>
              </w:rPr>
            </w:pPr>
            <w:r w:rsidRPr="00E942BA">
              <w:rPr>
                <w:rFonts w:ascii="Times New Roman" w:hAnsi="Times New Roman"/>
                <w:sz w:val="28"/>
                <w:szCs w:val="28"/>
              </w:rPr>
              <w:t>Основна група</w:t>
            </w:r>
            <w:r w:rsidRPr="00E942BA">
              <w:rPr>
                <w:rFonts w:ascii="Times New Roman" w:hAnsi="Times New Roman"/>
                <w:sz w:val="28"/>
                <w:szCs w:val="28"/>
                <w:lang w:val="en-US"/>
              </w:rPr>
              <w:t xml:space="preserve"> </w:t>
            </w:r>
          </w:p>
        </w:tc>
        <w:tc>
          <w:tcPr>
            <w:tcW w:w="3402" w:type="dxa"/>
            <w:gridSpan w:val="4"/>
            <w:vAlign w:val="center"/>
          </w:tcPr>
          <w:p w:rsidR="003A6D02" w:rsidRPr="00E942BA" w:rsidRDefault="003A6D02" w:rsidP="003A6D02">
            <w:pPr>
              <w:tabs>
                <w:tab w:val="left" w:pos="180"/>
                <w:tab w:val="left" w:pos="540"/>
                <w:tab w:val="left" w:pos="720"/>
              </w:tabs>
              <w:spacing w:after="0"/>
              <w:ind w:left="33"/>
              <w:jc w:val="center"/>
              <w:rPr>
                <w:rFonts w:ascii="Times New Roman" w:hAnsi="Times New Roman"/>
                <w:sz w:val="28"/>
                <w:szCs w:val="28"/>
              </w:rPr>
            </w:pPr>
            <w:r w:rsidRPr="00E942BA">
              <w:rPr>
                <w:rFonts w:ascii="Times New Roman" w:hAnsi="Times New Roman"/>
                <w:sz w:val="28"/>
                <w:szCs w:val="28"/>
              </w:rPr>
              <w:t>Група порівняння</w:t>
            </w:r>
            <w:r w:rsidRPr="00E942BA">
              <w:rPr>
                <w:rFonts w:ascii="Times New Roman" w:hAnsi="Times New Roman"/>
                <w:sz w:val="28"/>
                <w:szCs w:val="28"/>
                <w:lang w:val="en-US"/>
              </w:rPr>
              <w:t xml:space="preserve"> </w:t>
            </w:r>
          </w:p>
        </w:tc>
      </w:tr>
      <w:tr w:rsidR="003A6D02" w:rsidRPr="00E942BA" w:rsidTr="003A6D02">
        <w:trPr>
          <w:trHeight w:val="2621"/>
        </w:trPr>
        <w:tc>
          <w:tcPr>
            <w:tcW w:w="2977" w:type="dxa"/>
            <w:vMerge/>
            <w:vAlign w:val="center"/>
          </w:tcPr>
          <w:p w:rsidR="003A6D02" w:rsidRPr="00E942BA" w:rsidRDefault="003A6D02" w:rsidP="003A6D02">
            <w:pPr>
              <w:tabs>
                <w:tab w:val="left" w:pos="180"/>
                <w:tab w:val="left" w:pos="540"/>
                <w:tab w:val="left" w:pos="720"/>
              </w:tabs>
              <w:spacing w:after="0"/>
              <w:rPr>
                <w:rFonts w:ascii="Times New Roman" w:hAnsi="Times New Roman"/>
                <w:sz w:val="28"/>
                <w:szCs w:val="28"/>
              </w:rPr>
            </w:pPr>
          </w:p>
        </w:tc>
        <w:tc>
          <w:tcPr>
            <w:tcW w:w="851"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ЧБА</w:t>
            </w:r>
          </w:p>
        </w:tc>
        <w:tc>
          <w:tcPr>
            <w:tcW w:w="850"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Відкрите втручання</w:t>
            </w:r>
          </w:p>
        </w:tc>
        <w:tc>
          <w:tcPr>
            <w:tcW w:w="851"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Консервативна терапія</w:t>
            </w:r>
          </w:p>
        </w:tc>
        <w:tc>
          <w:tcPr>
            <w:tcW w:w="992"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Хімічна поперекова  симпатектомія</w:t>
            </w:r>
          </w:p>
        </w:tc>
        <w:tc>
          <w:tcPr>
            <w:tcW w:w="709"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ЧБА</w:t>
            </w:r>
          </w:p>
        </w:tc>
        <w:tc>
          <w:tcPr>
            <w:tcW w:w="708"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Відкрите втручання</w:t>
            </w:r>
          </w:p>
        </w:tc>
        <w:tc>
          <w:tcPr>
            <w:tcW w:w="851" w:type="dxa"/>
            <w:textDirection w:val="btLr"/>
            <w:vAlign w:val="center"/>
          </w:tcPr>
          <w:p w:rsidR="003A6D02" w:rsidRPr="00E942BA" w:rsidRDefault="003A6D02" w:rsidP="003A6D02">
            <w:pPr>
              <w:tabs>
                <w:tab w:val="left" w:pos="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Консервативна терапія</w:t>
            </w:r>
          </w:p>
        </w:tc>
        <w:tc>
          <w:tcPr>
            <w:tcW w:w="1134" w:type="dxa"/>
            <w:textDirection w:val="btLr"/>
            <w:vAlign w:val="center"/>
          </w:tcPr>
          <w:p w:rsidR="003A6D02" w:rsidRPr="00E942BA" w:rsidRDefault="003A6D02" w:rsidP="003A6D02">
            <w:pPr>
              <w:tabs>
                <w:tab w:val="left" w:pos="180"/>
                <w:tab w:val="left" w:pos="540"/>
                <w:tab w:val="left" w:pos="720"/>
              </w:tabs>
              <w:spacing w:after="0"/>
              <w:ind w:left="33" w:right="113"/>
              <w:jc w:val="center"/>
              <w:rPr>
                <w:rFonts w:ascii="Times New Roman" w:hAnsi="Times New Roman"/>
                <w:sz w:val="28"/>
                <w:szCs w:val="28"/>
              </w:rPr>
            </w:pPr>
            <w:r w:rsidRPr="00E942BA">
              <w:rPr>
                <w:rFonts w:ascii="Times New Roman" w:hAnsi="Times New Roman"/>
                <w:sz w:val="28"/>
                <w:szCs w:val="28"/>
              </w:rPr>
              <w:t>Відкрита поперекова симпатектомія</w:t>
            </w:r>
          </w:p>
        </w:tc>
      </w:tr>
      <w:tr w:rsidR="003A6D02" w:rsidRPr="00E942BA" w:rsidTr="003A6D02">
        <w:trPr>
          <w:trHeight w:val="763"/>
        </w:trPr>
        <w:tc>
          <w:tcPr>
            <w:tcW w:w="2977" w:type="dxa"/>
          </w:tcPr>
          <w:p w:rsidR="003A6D02" w:rsidRPr="00E942BA" w:rsidRDefault="003A6D02" w:rsidP="003A6D02">
            <w:pPr>
              <w:tabs>
                <w:tab w:val="left" w:pos="180"/>
                <w:tab w:val="left" w:pos="540"/>
                <w:tab w:val="left" w:pos="720"/>
              </w:tabs>
              <w:spacing w:after="0"/>
              <w:rPr>
                <w:rFonts w:ascii="Times New Roman" w:hAnsi="Times New Roman"/>
                <w:sz w:val="28"/>
                <w:szCs w:val="28"/>
              </w:rPr>
            </w:pPr>
            <w:r w:rsidRPr="00E942BA">
              <w:rPr>
                <w:rFonts w:ascii="Times New Roman" w:hAnsi="Times New Roman"/>
                <w:sz w:val="28"/>
                <w:szCs w:val="28"/>
              </w:rPr>
              <w:t>Кількість хворих</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23</w:t>
            </w:r>
          </w:p>
        </w:tc>
        <w:tc>
          <w:tcPr>
            <w:tcW w:w="850"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4</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24</w:t>
            </w:r>
          </w:p>
        </w:tc>
        <w:tc>
          <w:tcPr>
            <w:tcW w:w="992"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4</w:t>
            </w:r>
          </w:p>
        </w:tc>
        <w:tc>
          <w:tcPr>
            <w:tcW w:w="709"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11</w:t>
            </w:r>
          </w:p>
        </w:tc>
        <w:tc>
          <w:tcPr>
            <w:tcW w:w="708"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6</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26</w:t>
            </w:r>
          </w:p>
        </w:tc>
        <w:tc>
          <w:tcPr>
            <w:tcW w:w="1134"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7</w:t>
            </w:r>
          </w:p>
        </w:tc>
      </w:tr>
      <w:tr w:rsidR="003A6D02" w:rsidRPr="00E942BA" w:rsidTr="003A6D02">
        <w:tc>
          <w:tcPr>
            <w:tcW w:w="2977" w:type="dxa"/>
          </w:tcPr>
          <w:p w:rsidR="003A6D02" w:rsidRPr="00E942BA" w:rsidRDefault="003A6D02" w:rsidP="003A6D02">
            <w:pPr>
              <w:tabs>
                <w:tab w:val="left" w:pos="180"/>
                <w:tab w:val="left" w:pos="540"/>
                <w:tab w:val="left" w:pos="720"/>
              </w:tabs>
              <w:spacing w:after="0"/>
              <w:rPr>
                <w:rFonts w:ascii="Times New Roman" w:hAnsi="Times New Roman"/>
                <w:sz w:val="28"/>
                <w:szCs w:val="28"/>
              </w:rPr>
            </w:pPr>
            <w:r w:rsidRPr="00E942BA">
              <w:rPr>
                <w:rFonts w:ascii="Times New Roman" w:hAnsi="Times New Roman"/>
                <w:sz w:val="28"/>
                <w:szCs w:val="28"/>
              </w:rPr>
              <w:t>Низька ампутація</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w:t>
            </w:r>
          </w:p>
        </w:tc>
        <w:tc>
          <w:tcPr>
            <w:tcW w:w="850"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6</w:t>
            </w:r>
          </w:p>
        </w:tc>
        <w:tc>
          <w:tcPr>
            <w:tcW w:w="992"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lang w:val="uk-UA"/>
              </w:rPr>
            </w:pPr>
            <w:r w:rsidRPr="00E942BA">
              <w:rPr>
                <w:rFonts w:ascii="Times New Roman" w:hAnsi="Times New Roman"/>
                <w:sz w:val="28"/>
                <w:szCs w:val="28"/>
              </w:rPr>
              <w:t>3</w:t>
            </w:r>
          </w:p>
        </w:tc>
        <w:tc>
          <w:tcPr>
            <w:tcW w:w="709"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w:t>
            </w:r>
          </w:p>
        </w:tc>
        <w:tc>
          <w:tcPr>
            <w:tcW w:w="708"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7</w:t>
            </w:r>
          </w:p>
        </w:tc>
        <w:tc>
          <w:tcPr>
            <w:tcW w:w="1134"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lang w:val="en-US"/>
              </w:rPr>
            </w:pPr>
            <w:r w:rsidRPr="00E942BA">
              <w:rPr>
                <w:rFonts w:ascii="Times New Roman" w:hAnsi="Times New Roman"/>
                <w:sz w:val="28"/>
                <w:szCs w:val="28"/>
                <w:lang w:val="en-US"/>
              </w:rPr>
              <w:t>4</w:t>
            </w:r>
          </w:p>
        </w:tc>
      </w:tr>
      <w:tr w:rsidR="003A6D02" w:rsidRPr="00E942BA" w:rsidTr="003A6D02">
        <w:tc>
          <w:tcPr>
            <w:tcW w:w="2977" w:type="dxa"/>
          </w:tcPr>
          <w:p w:rsidR="003A6D02" w:rsidRPr="00E942BA" w:rsidRDefault="003A6D02" w:rsidP="003A6D02">
            <w:pPr>
              <w:tabs>
                <w:tab w:val="left" w:pos="180"/>
                <w:tab w:val="left" w:pos="540"/>
                <w:tab w:val="left" w:pos="720"/>
              </w:tabs>
              <w:spacing w:after="0"/>
              <w:rPr>
                <w:rFonts w:ascii="Times New Roman" w:hAnsi="Times New Roman"/>
                <w:sz w:val="28"/>
                <w:szCs w:val="28"/>
              </w:rPr>
            </w:pPr>
            <w:r w:rsidRPr="00E942BA">
              <w:rPr>
                <w:rFonts w:ascii="Times New Roman" w:hAnsi="Times New Roman"/>
                <w:sz w:val="28"/>
                <w:szCs w:val="28"/>
              </w:rPr>
              <w:t>Висока ампутація</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c>
          <w:tcPr>
            <w:tcW w:w="850"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w:t>
            </w:r>
          </w:p>
        </w:tc>
        <w:tc>
          <w:tcPr>
            <w:tcW w:w="992"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lang w:val="en-US"/>
              </w:rPr>
            </w:pPr>
            <w:r w:rsidRPr="00E942BA">
              <w:rPr>
                <w:rFonts w:ascii="Times New Roman" w:hAnsi="Times New Roman"/>
                <w:sz w:val="28"/>
                <w:szCs w:val="28"/>
                <w:lang w:val="en-US"/>
              </w:rPr>
              <w:t>-</w:t>
            </w:r>
          </w:p>
        </w:tc>
        <w:tc>
          <w:tcPr>
            <w:tcW w:w="709"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c>
          <w:tcPr>
            <w:tcW w:w="708"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w:t>
            </w:r>
          </w:p>
        </w:tc>
        <w:tc>
          <w:tcPr>
            <w:tcW w:w="1134"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lang w:val="en-US"/>
              </w:rPr>
            </w:pPr>
            <w:r w:rsidRPr="00E942BA">
              <w:rPr>
                <w:rFonts w:ascii="Times New Roman" w:hAnsi="Times New Roman"/>
                <w:sz w:val="28"/>
                <w:szCs w:val="28"/>
                <w:lang w:val="en-US"/>
              </w:rPr>
              <w:t>2</w:t>
            </w:r>
          </w:p>
        </w:tc>
      </w:tr>
      <w:tr w:rsidR="003A6D02" w:rsidRPr="00E942BA" w:rsidTr="003A6D02">
        <w:tc>
          <w:tcPr>
            <w:tcW w:w="2977" w:type="dxa"/>
          </w:tcPr>
          <w:p w:rsidR="003A6D02" w:rsidRPr="00E942BA" w:rsidRDefault="003A6D02" w:rsidP="003A6D02">
            <w:pPr>
              <w:tabs>
                <w:tab w:val="left" w:pos="180"/>
                <w:tab w:val="left" w:pos="540"/>
                <w:tab w:val="left" w:pos="720"/>
              </w:tabs>
              <w:spacing w:after="0"/>
              <w:rPr>
                <w:rFonts w:ascii="Times New Roman" w:hAnsi="Times New Roman"/>
                <w:sz w:val="28"/>
                <w:szCs w:val="28"/>
              </w:rPr>
            </w:pPr>
            <w:r w:rsidRPr="00E942BA">
              <w:rPr>
                <w:rFonts w:ascii="Times New Roman" w:hAnsi="Times New Roman"/>
                <w:sz w:val="28"/>
                <w:szCs w:val="28"/>
              </w:rPr>
              <w:t>Смертність</w:t>
            </w:r>
          </w:p>
        </w:tc>
        <w:tc>
          <w:tcPr>
            <w:tcW w:w="851" w:type="dxa"/>
            <w:vAlign w:val="center"/>
          </w:tcPr>
          <w:p w:rsidR="003A6D02" w:rsidRPr="00E942BA" w:rsidRDefault="003A6D02" w:rsidP="003A6D02">
            <w:pPr>
              <w:spacing w:after="0"/>
              <w:jc w:val="center"/>
              <w:rPr>
                <w:rFonts w:ascii="Times New Roman" w:hAnsi="Times New Roman"/>
                <w:sz w:val="28"/>
                <w:szCs w:val="28"/>
              </w:rPr>
            </w:pPr>
            <w:r w:rsidRPr="00E942BA">
              <w:rPr>
                <w:rFonts w:ascii="Times New Roman" w:hAnsi="Times New Roman"/>
                <w:sz w:val="28"/>
                <w:szCs w:val="28"/>
              </w:rPr>
              <w:t>-</w:t>
            </w:r>
          </w:p>
        </w:tc>
        <w:tc>
          <w:tcPr>
            <w:tcW w:w="850"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c>
          <w:tcPr>
            <w:tcW w:w="851" w:type="dxa"/>
            <w:vAlign w:val="center"/>
          </w:tcPr>
          <w:p w:rsidR="003A6D02" w:rsidRPr="00E942BA" w:rsidRDefault="003A6D02" w:rsidP="003A6D02">
            <w:pPr>
              <w:spacing w:after="0"/>
              <w:jc w:val="center"/>
              <w:rPr>
                <w:rFonts w:ascii="Times New Roman" w:hAnsi="Times New Roman"/>
                <w:sz w:val="28"/>
                <w:szCs w:val="28"/>
              </w:rPr>
            </w:pPr>
            <w:r w:rsidRPr="00E942BA">
              <w:rPr>
                <w:rFonts w:ascii="Times New Roman" w:hAnsi="Times New Roman"/>
                <w:sz w:val="28"/>
                <w:szCs w:val="28"/>
              </w:rPr>
              <w:t>1</w:t>
            </w:r>
          </w:p>
        </w:tc>
        <w:tc>
          <w:tcPr>
            <w:tcW w:w="992" w:type="dxa"/>
            <w:vAlign w:val="center"/>
          </w:tcPr>
          <w:p w:rsidR="003A6D02" w:rsidRPr="00E942BA" w:rsidRDefault="003A6D02" w:rsidP="003A6D02">
            <w:pPr>
              <w:spacing w:after="0"/>
              <w:jc w:val="center"/>
              <w:rPr>
                <w:rFonts w:ascii="Times New Roman" w:hAnsi="Times New Roman"/>
                <w:sz w:val="28"/>
                <w:szCs w:val="28"/>
              </w:rPr>
            </w:pPr>
            <w:r w:rsidRPr="00E942BA">
              <w:rPr>
                <w:rFonts w:ascii="Times New Roman" w:hAnsi="Times New Roman"/>
                <w:sz w:val="28"/>
                <w:szCs w:val="28"/>
              </w:rPr>
              <w:t>-</w:t>
            </w:r>
          </w:p>
        </w:tc>
        <w:tc>
          <w:tcPr>
            <w:tcW w:w="709" w:type="dxa"/>
            <w:vAlign w:val="center"/>
          </w:tcPr>
          <w:p w:rsidR="003A6D02" w:rsidRPr="00E942BA" w:rsidRDefault="003A6D02" w:rsidP="003A6D02">
            <w:pPr>
              <w:spacing w:after="0"/>
              <w:jc w:val="center"/>
              <w:rPr>
                <w:rFonts w:ascii="Times New Roman" w:hAnsi="Times New Roman"/>
                <w:sz w:val="28"/>
                <w:szCs w:val="28"/>
              </w:rPr>
            </w:pPr>
            <w:r w:rsidRPr="00E942BA">
              <w:rPr>
                <w:rFonts w:ascii="Times New Roman" w:hAnsi="Times New Roman"/>
                <w:sz w:val="28"/>
                <w:szCs w:val="28"/>
              </w:rPr>
              <w:t>-</w:t>
            </w:r>
          </w:p>
        </w:tc>
        <w:tc>
          <w:tcPr>
            <w:tcW w:w="708"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1</w:t>
            </w:r>
          </w:p>
        </w:tc>
        <w:tc>
          <w:tcPr>
            <w:tcW w:w="851"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2</w:t>
            </w:r>
          </w:p>
        </w:tc>
        <w:tc>
          <w:tcPr>
            <w:tcW w:w="1134" w:type="dxa"/>
            <w:vAlign w:val="center"/>
          </w:tcPr>
          <w:p w:rsidR="003A6D02" w:rsidRPr="00E942BA" w:rsidRDefault="003A6D02" w:rsidP="003A6D02">
            <w:pPr>
              <w:tabs>
                <w:tab w:val="left" w:pos="180"/>
                <w:tab w:val="left" w:pos="540"/>
                <w:tab w:val="left" w:pos="720"/>
              </w:tabs>
              <w:spacing w:after="0"/>
              <w:jc w:val="center"/>
              <w:rPr>
                <w:rFonts w:ascii="Times New Roman" w:hAnsi="Times New Roman"/>
                <w:sz w:val="28"/>
                <w:szCs w:val="28"/>
              </w:rPr>
            </w:pPr>
            <w:r w:rsidRPr="00E942BA">
              <w:rPr>
                <w:rFonts w:ascii="Times New Roman" w:hAnsi="Times New Roman"/>
                <w:sz w:val="28"/>
                <w:szCs w:val="28"/>
              </w:rPr>
              <w:t>-</w:t>
            </w:r>
          </w:p>
        </w:tc>
      </w:tr>
    </w:tbl>
    <w:p w:rsidR="003A6D02" w:rsidRPr="00334A52" w:rsidRDefault="003A6D02" w:rsidP="003A6D02">
      <w:pPr>
        <w:pStyle w:val="ac"/>
        <w:spacing w:line="360" w:lineRule="auto"/>
        <w:ind w:left="-567" w:firstLine="567"/>
        <w:jc w:val="right"/>
        <w:rPr>
          <w:color w:val="000000"/>
          <w:sz w:val="28"/>
          <w:szCs w:val="28"/>
          <w:lang w:val="uk-UA"/>
        </w:rPr>
      </w:pPr>
      <w:r w:rsidRPr="00334A52">
        <w:rPr>
          <w:color w:val="000000"/>
          <w:sz w:val="28"/>
          <w:szCs w:val="28"/>
          <w:shd w:val="clear" w:color="auto" w:fill="FFFFFF"/>
          <w:lang w:val="uk-UA"/>
        </w:rPr>
        <w:sym w:font="Symbol" w:char="F063"/>
      </w:r>
      <w:r w:rsidRPr="00334A52">
        <w:rPr>
          <w:color w:val="000000"/>
          <w:sz w:val="28"/>
          <w:szCs w:val="28"/>
          <w:shd w:val="clear" w:color="auto" w:fill="FFFFFF"/>
          <w:lang w:val="uk-UA"/>
        </w:rPr>
        <w:t>2</w:t>
      </w:r>
      <w:r w:rsidRPr="00334A52">
        <w:rPr>
          <w:color w:val="000000"/>
          <w:sz w:val="28"/>
          <w:szCs w:val="28"/>
          <w:shd w:val="clear" w:color="auto" w:fill="FFFFFF"/>
          <w:lang w:val="uk-UA"/>
        </w:rPr>
        <w:sym w:font="Symbol" w:char="F03D"/>
      </w:r>
      <w:r w:rsidRPr="00334A52">
        <w:rPr>
          <w:color w:val="000000"/>
          <w:sz w:val="28"/>
          <w:szCs w:val="28"/>
          <w:shd w:val="clear" w:color="auto" w:fill="FFFFFF"/>
          <w:lang w:val="uk-UA"/>
        </w:rPr>
        <w:t xml:space="preserve">22,411, </w:t>
      </w:r>
      <w:r w:rsidRPr="00334A52">
        <w:rPr>
          <w:color w:val="000000"/>
          <w:sz w:val="28"/>
          <w:szCs w:val="28"/>
          <w:shd w:val="clear" w:color="auto" w:fill="FFFFFF"/>
        </w:rPr>
        <w:t>р=0,00</w:t>
      </w:r>
      <w:r w:rsidRPr="00334A52">
        <w:rPr>
          <w:color w:val="000000"/>
          <w:sz w:val="28"/>
          <w:szCs w:val="28"/>
          <w:shd w:val="clear" w:color="auto" w:fill="FFFFFF"/>
          <w:lang w:val="uk-UA"/>
        </w:rPr>
        <w:t>0</w:t>
      </w:r>
    </w:p>
    <w:p w:rsidR="006F2B6B" w:rsidRPr="00EE4DEB" w:rsidRDefault="003A6D02" w:rsidP="006F2B6B">
      <w:pPr>
        <w:pStyle w:val="ac"/>
        <w:spacing w:line="360" w:lineRule="auto"/>
        <w:ind w:left="-567" w:firstLine="567"/>
        <w:jc w:val="both"/>
        <w:rPr>
          <w:color w:val="FF0000"/>
          <w:sz w:val="28"/>
          <w:szCs w:val="28"/>
          <w:shd w:val="clear" w:color="auto" w:fill="FFFFFF"/>
          <w:lang w:val="uk-UA"/>
        </w:rPr>
      </w:pPr>
      <w:r w:rsidRPr="00C37592">
        <w:rPr>
          <w:sz w:val="28"/>
          <w:szCs w:val="28"/>
          <w:lang w:val="uk-UA"/>
        </w:rPr>
        <w:lastRenderedPageBreak/>
        <w:t xml:space="preserve">Як видно з таблиці 6.2, протягом року спостереження, найбільшу кількість низьких ампутацій було виконано у хворих основної групи та групи порівняння, що були проліковані за допомогою поперекової симпатектомії – 75% та 57% відповідно, а також у хворих, що лікувалися консервативним методом: відповідно 25% та 26,9%. </w:t>
      </w:r>
      <w:r w:rsidRPr="00C37592">
        <w:rPr>
          <w:sz w:val="28"/>
          <w:szCs w:val="28"/>
          <w:shd w:val="clear" w:color="auto" w:fill="FFFFFF"/>
          <w:lang w:val="uk-UA"/>
        </w:rPr>
        <w:t>У основній групі сере</w:t>
      </w:r>
      <w:r>
        <w:rPr>
          <w:sz w:val="28"/>
          <w:szCs w:val="28"/>
          <w:shd w:val="clear" w:color="auto" w:fill="FFFFFF"/>
          <w:lang w:val="uk-UA"/>
        </w:rPr>
        <w:t>д хворих з відкритою прямою рев</w:t>
      </w:r>
      <w:r w:rsidRPr="00C37592">
        <w:rPr>
          <w:sz w:val="28"/>
          <w:szCs w:val="28"/>
          <w:shd w:val="clear" w:color="auto" w:fill="FFFFFF"/>
          <w:lang w:val="uk-UA"/>
        </w:rPr>
        <w:t>аскуляризацією протягом року не було жодної ампутації. Загальна кількість низьких ампутацій протягом року у основній групі була на 11,64%  нижчою, ніж у групі порівняння. Відсоток високих ампутацій, виконаних протягом року спостереження, у основній групі склав 1,8%, у групі порівняння – 10%, що на 8,2% більше, але невірогідно (</w:t>
      </w:r>
      <w:r w:rsidRPr="00C37592">
        <w:rPr>
          <w:sz w:val="28"/>
          <w:szCs w:val="28"/>
          <w:shd w:val="clear" w:color="auto" w:fill="FFFFFF"/>
        </w:rPr>
        <w:sym w:font="Symbol" w:char="0063"/>
      </w:r>
      <w:r w:rsidRPr="00C37592">
        <w:rPr>
          <w:sz w:val="28"/>
          <w:szCs w:val="28"/>
          <w:shd w:val="clear" w:color="auto" w:fill="FFFFFF"/>
          <w:lang w:val="uk-UA"/>
        </w:rPr>
        <w:t>2=1,644, р=0,200)</w:t>
      </w:r>
      <w:r w:rsidRPr="00C37592">
        <w:rPr>
          <w:sz w:val="28"/>
          <w:szCs w:val="28"/>
          <w:shd w:val="clear" w:color="auto" w:fill="FFFFFF"/>
        </w:rPr>
        <w:t xml:space="preserve">. </w:t>
      </w:r>
      <w:r w:rsidRPr="00C37592">
        <w:rPr>
          <w:sz w:val="28"/>
          <w:szCs w:val="28"/>
          <w:shd w:val="clear" w:color="auto" w:fill="FFFFFF"/>
          <w:lang w:val="uk-UA"/>
        </w:rPr>
        <w:t>Смертність у основній групі протягом року спостереження склала 1,81%, у групі порівняння – 6% (</w:t>
      </w:r>
      <w:r w:rsidRPr="00C37592">
        <w:rPr>
          <w:sz w:val="28"/>
          <w:szCs w:val="28"/>
          <w:shd w:val="clear" w:color="auto" w:fill="FFFFFF"/>
        </w:rPr>
        <w:sym w:font="Symbol" w:char="0063"/>
      </w:r>
      <w:r w:rsidRPr="00C37592">
        <w:rPr>
          <w:sz w:val="28"/>
          <w:szCs w:val="28"/>
          <w:shd w:val="clear" w:color="auto" w:fill="FFFFFF"/>
          <w:lang w:val="uk-UA"/>
        </w:rPr>
        <w:t>2=9,320, р=0,572). Результати лікування хворих</w:t>
      </w:r>
      <w:r>
        <w:rPr>
          <w:sz w:val="28"/>
          <w:szCs w:val="28"/>
          <w:shd w:val="clear" w:color="auto" w:fill="FFFFFF"/>
          <w:lang w:val="uk-UA"/>
        </w:rPr>
        <w:t xml:space="preserve"> обох груп</w:t>
      </w:r>
      <w:r w:rsidRPr="00C37592">
        <w:rPr>
          <w:sz w:val="28"/>
          <w:szCs w:val="28"/>
          <w:shd w:val="clear" w:color="auto" w:fill="FFFFFF"/>
          <w:lang w:val="uk-UA"/>
        </w:rPr>
        <w:t>, що брали участь у дослідженні, представлено на діаграмі (рис.6.1)</w:t>
      </w:r>
      <w:r>
        <w:rPr>
          <w:sz w:val="28"/>
          <w:szCs w:val="28"/>
          <w:shd w:val="clear" w:color="auto" w:fill="FFFFFF"/>
          <w:lang w:val="uk-UA"/>
        </w:rPr>
        <w:t>.</w:t>
      </w:r>
      <w:r w:rsidR="006F2B6B" w:rsidRPr="006F2B6B">
        <w:rPr>
          <w:color w:val="FF0000"/>
          <w:sz w:val="28"/>
          <w:szCs w:val="28"/>
          <w:shd w:val="clear" w:color="auto" w:fill="FFFFFF"/>
          <w:lang w:val="uk-UA"/>
        </w:rPr>
        <w:t xml:space="preserve"> </w:t>
      </w:r>
    </w:p>
    <w:p w:rsidR="006F2B6B" w:rsidRPr="00EE4DEB" w:rsidRDefault="00487043" w:rsidP="006F2B6B">
      <w:pPr>
        <w:pStyle w:val="ac"/>
        <w:spacing w:line="360" w:lineRule="auto"/>
        <w:ind w:left="-567" w:firstLine="567"/>
        <w:jc w:val="both"/>
        <w:rPr>
          <w:sz w:val="28"/>
          <w:szCs w:val="28"/>
          <w:shd w:val="clear" w:color="auto" w:fill="FFFFFF"/>
          <w:lang w:val="uk-UA"/>
        </w:rPr>
      </w:pPr>
      <w:r>
        <w:rPr>
          <w:noProof/>
          <w:sz w:val="28"/>
          <w:szCs w:val="28"/>
        </w:rPr>
        <w:pict>
          <v:shape id="_x0000_s2284" type="#_x0000_t202" style="position:absolute;left:0;text-align:left;margin-left:-28pt;margin-top:.05pt;width:501.2pt;height:264.6pt;z-index:251699712" stroked="f">
            <v:textbox>
              <w:txbxContent>
                <w:p w:rsidR="00DA0A21" w:rsidRDefault="00DA0A21" w:rsidP="006F2B6B">
                  <w:r w:rsidRPr="00265C5E">
                    <w:rPr>
                      <w:noProof/>
                    </w:rPr>
                    <w:drawing>
                      <wp:inline distT="0" distB="0" distL="0" distR="0">
                        <wp:extent cx="3070991" cy="3300249"/>
                        <wp:effectExtent l="0" t="0" r="0" b="0"/>
                        <wp:docPr id="55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r w:rsidRPr="00265C5E">
                    <w:rPr>
                      <w:noProof/>
                    </w:rPr>
                    <w:drawing>
                      <wp:inline distT="0" distB="0" distL="0" distR="0">
                        <wp:extent cx="2999187" cy="3301340"/>
                        <wp:effectExtent l="0" t="0" r="0" b="0"/>
                        <wp:docPr id="55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txbxContent>
            </v:textbox>
          </v:shape>
        </w:pict>
      </w: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6F2B6B" w:rsidP="006F2B6B">
      <w:pPr>
        <w:pStyle w:val="ac"/>
        <w:spacing w:line="360" w:lineRule="auto"/>
        <w:ind w:left="-567" w:firstLine="567"/>
        <w:jc w:val="both"/>
        <w:rPr>
          <w:sz w:val="28"/>
          <w:szCs w:val="28"/>
          <w:shd w:val="clear" w:color="auto" w:fill="FFFFFF"/>
          <w:lang w:val="uk-UA"/>
        </w:rPr>
      </w:pPr>
    </w:p>
    <w:p w:rsidR="006F2B6B" w:rsidRPr="00EE4DEB" w:rsidRDefault="00487043" w:rsidP="006F2B6B">
      <w:pPr>
        <w:pStyle w:val="ac"/>
        <w:spacing w:line="360" w:lineRule="auto"/>
        <w:ind w:left="-567" w:firstLine="567"/>
        <w:jc w:val="both"/>
        <w:rPr>
          <w:sz w:val="28"/>
          <w:szCs w:val="28"/>
          <w:shd w:val="clear" w:color="auto" w:fill="FFFFFF"/>
          <w:lang w:val="uk-UA"/>
        </w:rPr>
      </w:pPr>
      <w:r>
        <w:rPr>
          <w:noProof/>
          <w:sz w:val="28"/>
          <w:szCs w:val="28"/>
        </w:rPr>
        <w:pict>
          <v:shape id="_x0000_s2285" type="#_x0000_t202" style="position:absolute;left:0;text-align:left;margin-left:-7.45pt;margin-top:6.55pt;width:468.5pt;height:28.05pt;z-index:251700736" stroked="f">
            <v:textbox>
              <w:txbxContent>
                <w:p w:rsidR="00DA0A21" w:rsidRPr="009A2E48" w:rsidRDefault="00DA0A21" w:rsidP="006F2B6B">
                  <w:pPr>
                    <w:jc w:val="center"/>
                    <w:rPr>
                      <w:rFonts w:ascii="Times New Roman" w:hAnsi="Times New Roman" w:cs="Times New Roman"/>
                      <w:sz w:val="28"/>
                      <w:szCs w:val="28"/>
                      <w:lang w:val="uk-UA"/>
                    </w:rPr>
                  </w:pPr>
                  <w:r w:rsidRPr="009A2E48">
                    <w:rPr>
                      <w:rFonts w:ascii="Times New Roman" w:hAnsi="Times New Roman" w:cs="Times New Roman"/>
                      <w:sz w:val="28"/>
                      <w:szCs w:val="28"/>
                      <w:lang w:val="uk-UA"/>
                    </w:rPr>
                    <w:t>Рис.6.1. Результати лікування хворих на ХКІНК через 1 рік</w:t>
                  </w:r>
                </w:p>
              </w:txbxContent>
            </v:textbox>
          </v:shape>
        </w:pict>
      </w:r>
    </w:p>
    <w:p w:rsidR="006F2B6B" w:rsidRPr="00EE4DEB" w:rsidRDefault="006F2B6B" w:rsidP="006F2B6B">
      <w:pPr>
        <w:pStyle w:val="ac"/>
        <w:spacing w:line="360" w:lineRule="auto"/>
        <w:ind w:left="-567" w:firstLine="567"/>
        <w:jc w:val="both"/>
        <w:rPr>
          <w:sz w:val="28"/>
          <w:szCs w:val="28"/>
          <w:shd w:val="clear" w:color="auto" w:fill="FFFFFF"/>
        </w:rPr>
      </w:pPr>
    </w:p>
    <w:p w:rsidR="003A6D02" w:rsidRPr="007F33F3" w:rsidRDefault="003A6D02" w:rsidP="006F2B6B">
      <w:pPr>
        <w:pStyle w:val="ac"/>
        <w:spacing w:line="360" w:lineRule="auto"/>
        <w:ind w:left="-567" w:firstLine="567"/>
        <w:jc w:val="both"/>
        <w:rPr>
          <w:sz w:val="28"/>
          <w:szCs w:val="28"/>
          <w:lang w:val="uk-UA"/>
        </w:rPr>
      </w:pPr>
      <w:r w:rsidRPr="009064B5">
        <w:rPr>
          <w:sz w:val="28"/>
          <w:szCs w:val="28"/>
          <w:shd w:val="clear" w:color="auto" w:fill="FFFFFF"/>
          <w:lang w:val="uk-UA"/>
        </w:rPr>
        <w:t>Динаміку зміни якості життя хворих на ХКІНК протягом року спостереження представлено у таблиці 6.3</w:t>
      </w:r>
      <w:r w:rsidRPr="009F5778">
        <w:rPr>
          <w:sz w:val="28"/>
          <w:szCs w:val="28"/>
          <w:shd w:val="clear" w:color="auto" w:fill="FFFFFF"/>
        </w:rPr>
        <w:t xml:space="preserve"> (</w:t>
      </w:r>
      <w:r>
        <w:rPr>
          <w:sz w:val="28"/>
          <w:szCs w:val="28"/>
          <w:shd w:val="clear" w:color="auto" w:fill="FFFFFF"/>
        </w:rPr>
        <w:t>див</w:t>
      </w:r>
      <w:r w:rsidRPr="009F5778">
        <w:rPr>
          <w:sz w:val="28"/>
          <w:szCs w:val="28"/>
          <w:shd w:val="clear" w:color="auto" w:fill="FFFFFF"/>
        </w:rPr>
        <w:t xml:space="preserve">. </w:t>
      </w:r>
      <w:r>
        <w:rPr>
          <w:sz w:val="28"/>
          <w:szCs w:val="28"/>
          <w:shd w:val="clear" w:color="auto" w:fill="FFFFFF"/>
          <w:lang w:val="uk-UA"/>
        </w:rPr>
        <w:t>д</w:t>
      </w:r>
      <w:r>
        <w:rPr>
          <w:sz w:val="28"/>
          <w:szCs w:val="28"/>
          <w:shd w:val="clear" w:color="auto" w:fill="FFFFFF"/>
        </w:rPr>
        <w:t xml:space="preserve">одаток </w:t>
      </w:r>
      <w:r>
        <w:rPr>
          <w:sz w:val="28"/>
          <w:szCs w:val="28"/>
          <w:shd w:val="clear" w:color="auto" w:fill="FFFFFF"/>
          <w:lang w:val="uk-UA"/>
        </w:rPr>
        <w:t>В</w:t>
      </w:r>
      <w:r>
        <w:rPr>
          <w:sz w:val="28"/>
          <w:szCs w:val="28"/>
          <w:shd w:val="clear" w:color="auto" w:fill="FFFFFF"/>
        </w:rPr>
        <w:t>)</w:t>
      </w:r>
      <w:r>
        <w:rPr>
          <w:sz w:val="28"/>
          <w:szCs w:val="28"/>
          <w:shd w:val="clear" w:color="auto" w:fill="FFFFFF"/>
          <w:lang w:val="uk-UA"/>
        </w:rPr>
        <w:t xml:space="preserve">. </w: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4B3E97">
        <w:rPr>
          <w:rFonts w:ascii="Times New Roman" w:hAnsi="Times New Roman"/>
          <w:color w:val="000000"/>
          <w:sz w:val="28"/>
          <w:szCs w:val="28"/>
        </w:rPr>
        <w:t xml:space="preserve">При порівнянні зміни показників рівню болю у хворих, що були проліковані за методикою ЧБА, було відмічено, що рівень болю у хворих основної групи </w:t>
      </w:r>
      <w:r w:rsidRPr="004B3E97">
        <w:rPr>
          <w:rFonts w:ascii="Times New Roman" w:hAnsi="Times New Roman"/>
          <w:color w:val="000000"/>
          <w:sz w:val="28"/>
          <w:szCs w:val="28"/>
        </w:rPr>
        <w:lastRenderedPageBreak/>
        <w:t>відразу після лікування на 42,1% був меншим, ніж у групи порівняння (</w:t>
      </w:r>
      <w:r w:rsidRPr="004B3E97">
        <w:rPr>
          <w:rFonts w:ascii="Times New Roman" w:hAnsi="Times New Roman"/>
          <w:color w:val="000000"/>
          <w:sz w:val="28"/>
          <w:szCs w:val="28"/>
          <w:lang w:val="en-US"/>
        </w:rPr>
        <w:t>p</w:t>
      </w:r>
      <w:r w:rsidRPr="004B3E97">
        <w:rPr>
          <w:rFonts w:ascii="Times New Roman" w:hAnsi="Times New Roman"/>
          <w:color w:val="000000"/>
          <w:sz w:val="28"/>
          <w:szCs w:val="28"/>
          <w:lang w:val="en-US"/>
        </w:rPr>
        <w:sym w:font="Symbol" w:char="F03D"/>
      </w:r>
      <w:r w:rsidRPr="004B3E97">
        <w:rPr>
          <w:rFonts w:ascii="Times New Roman" w:hAnsi="Times New Roman"/>
          <w:color w:val="000000"/>
          <w:sz w:val="28"/>
          <w:szCs w:val="28"/>
        </w:rPr>
        <w:t>0,050)</w:t>
      </w:r>
      <w:r>
        <w:rPr>
          <w:rFonts w:ascii="Times New Roman" w:hAnsi="Times New Roman"/>
          <w:color w:val="000000"/>
          <w:sz w:val="28"/>
          <w:szCs w:val="28"/>
        </w:rPr>
        <w:t>,</w:t>
      </w:r>
      <w:r w:rsidRPr="004B3E97">
        <w:rPr>
          <w:rFonts w:ascii="Times New Roman" w:hAnsi="Times New Roman"/>
          <w:color w:val="000000"/>
          <w:sz w:val="28"/>
          <w:szCs w:val="28"/>
        </w:rPr>
        <w:t xml:space="preserve"> у строк через 6 міс</w:t>
      </w:r>
      <w:r>
        <w:rPr>
          <w:rFonts w:ascii="Times New Roman" w:hAnsi="Times New Roman"/>
          <w:color w:val="000000"/>
          <w:sz w:val="28"/>
          <w:szCs w:val="28"/>
        </w:rPr>
        <w:t>яців</w:t>
      </w:r>
      <w:r w:rsidRPr="004B3E97">
        <w:rPr>
          <w:rFonts w:ascii="Times New Roman" w:hAnsi="Times New Roman"/>
          <w:color w:val="000000"/>
          <w:sz w:val="28"/>
          <w:szCs w:val="28"/>
        </w:rPr>
        <w:t xml:space="preserve"> </w:t>
      </w:r>
      <w:r w:rsidRPr="004B3E97">
        <w:rPr>
          <w:rFonts w:ascii="Times New Roman" w:hAnsi="Times New Roman"/>
          <w:color w:val="000000"/>
          <w:sz w:val="28"/>
          <w:szCs w:val="28"/>
        </w:rPr>
        <w:sym w:font="Symbol" w:char="F02D"/>
      </w:r>
      <w:r w:rsidRPr="004B3E97">
        <w:rPr>
          <w:rFonts w:ascii="Times New Roman" w:hAnsi="Times New Roman"/>
          <w:color w:val="000000"/>
          <w:sz w:val="28"/>
          <w:szCs w:val="28"/>
        </w:rPr>
        <w:t xml:space="preserve"> на 36,8% (p</w:t>
      </w:r>
      <w:r w:rsidRPr="004B3E97">
        <w:rPr>
          <w:rFonts w:ascii="Times New Roman" w:hAnsi="Times New Roman"/>
          <w:color w:val="000000"/>
          <w:sz w:val="28"/>
          <w:szCs w:val="28"/>
        </w:rPr>
        <w:sym w:font="Symbol" w:char="F03D"/>
      </w:r>
      <w:r w:rsidRPr="004B3E97">
        <w:rPr>
          <w:rFonts w:ascii="Times New Roman" w:hAnsi="Times New Roman"/>
          <w:color w:val="000000"/>
          <w:sz w:val="28"/>
          <w:szCs w:val="28"/>
        </w:rPr>
        <w:t>0,037)</w:t>
      </w:r>
      <w:r>
        <w:rPr>
          <w:rFonts w:ascii="Times New Roman" w:hAnsi="Times New Roman"/>
          <w:color w:val="000000"/>
          <w:sz w:val="28"/>
          <w:szCs w:val="28"/>
        </w:rPr>
        <w:t>, а</w:t>
      </w:r>
      <w:r w:rsidRPr="004B3E97">
        <w:rPr>
          <w:rFonts w:ascii="Times New Roman" w:hAnsi="Times New Roman"/>
          <w:color w:val="000000"/>
          <w:sz w:val="28"/>
          <w:szCs w:val="28"/>
        </w:rPr>
        <w:t xml:space="preserve"> через 12 міс</w:t>
      </w:r>
      <w:r>
        <w:rPr>
          <w:rFonts w:ascii="Times New Roman" w:hAnsi="Times New Roman"/>
          <w:color w:val="000000"/>
          <w:sz w:val="28"/>
          <w:szCs w:val="28"/>
        </w:rPr>
        <w:t>яців</w:t>
      </w:r>
      <w:r w:rsidRPr="004B3E97">
        <w:rPr>
          <w:rFonts w:ascii="Times New Roman" w:hAnsi="Times New Roman"/>
          <w:color w:val="000000"/>
          <w:sz w:val="28"/>
          <w:szCs w:val="28"/>
        </w:rPr>
        <w:t xml:space="preserve"> </w:t>
      </w:r>
      <w:r w:rsidRPr="004B3E97">
        <w:rPr>
          <w:rFonts w:ascii="Times New Roman" w:hAnsi="Times New Roman"/>
          <w:color w:val="000000"/>
          <w:sz w:val="28"/>
          <w:szCs w:val="28"/>
        </w:rPr>
        <w:sym w:font="Symbol" w:char="F02D"/>
      </w:r>
      <w:r w:rsidRPr="004B3E97">
        <w:rPr>
          <w:rFonts w:ascii="Times New Roman" w:hAnsi="Times New Roman"/>
          <w:color w:val="000000"/>
          <w:sz w:val="28"/>
          <w:szCs w:val="28"/>
        </w:rPr>
        <w:t xml:space="preserve"> на 47,1%  (</w:t>
      </w:r>
      <w:r w:rsidRPr="004B3E97">
        <w:rPr>
          <w:rFonts w:ascii="Times New Roman" w:hAnsi="Times New Roman"/>
          <w:color w:val="000000"/>
          <w:sz w:val="28"/>
          <w:szCs w:val="28"/>
          <w:lang w:val="en-US"/>
        </w:rPr>
        <w:t>p</w:t>
      </w:r>
      <w:r w:rsidRPr="004B3E97">
        <w:rPr>
          <w:rFonts w:ascii="Times New Roman" w:hAnsi="Times New Roman"/>
          <w:color w:val="000000"/>
          <w:sz w:val="28"/>
          <w:szCs w:val="28"/>
          <w:lang w:val="en-US"/>
        </w:rPr>
        <w:sym w:font="Symbol" w:char="F03D"/>
      </w:r>
      <w:r w:rsidRPr="004B3E97">
        <w:rPr>
          <w:rFonts w:ascii="Times New Roman" w:hAnsi="Times New Roman"/>
          <w:color w:val="000000"/>
          <w:sz w:val="28"/>
          <w:szCs w:val="28"/>
        </w:rPr>
        <w:t>0,023).</w:t>
      </w:r>
      <w:r>
        <w:rPr>
          <w:rFonts w:ascii="Times New Roman" w:hAnsi="Times New Roman"/>
          <w:sz w:val="28"/>
          <w:szCs w:val="28"/>
          <w:lang w:val="uk-UA"/>
        </w:rPr>
        <w:t>Динаміка зміни рівню болю у хворих досліджуваних груп представлена на рис. 6.2.</w: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r>
        <w:rPr>
          <w:rFonts w:ascii="Times New Roman" w:hAnsi="Times New Roman"/>
          <w:b/>
          <w:noProof/>
          <w:sz w:val="28"/>
          <w:szCs w:val="28"/>
        </w:rPr>
        <w:pict>
          <v:shape id="_x0000_s2274" type="#_x0000_t202" style="position:absolute;left:0;text-align:left;margin-left:220.1pt;margin-top:2.2pt;width:248pt;height:213.6pt;z-index:251690496" stroked="f">
            <v:textbox style="mso-next-textbox:#_x0000_s2274">
              <w:txbxContent>
                <w:p w:rsidR="00DA0A21" w:rsidRDefault="00DA0A21" w:rsidP="003A6D02">
                  <w:r>
                    <w:rPr>
                      <w:noProof/>
                    </w:rPr>
                    <w:drawing>
                      <wp:inline distT="0" distB="0" distL="0" distR="0">
                        <wp:extent cx="2957195" cy="2695575"/>
                        <wp:effectExtent l="0" t="0" r="0" b="0"/>
                        <wp:docPr id="54"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txbxContent>
            </v:textbox>
          </v:shape>
        </w:pict>
      </w:r>
      <w:r>
        <w:rPr>
          <w:rFonts w:ascii="Times New Roman" w:hAnsi="Times New Roman"/>
          <w:b/>
          <w:noProof/>
          <w:sz w:val="28"/>
          <w:szCs w:val="28"/>
        </w:rPr>
        <w:pict>
          <v:shape id="_x0000_s2273" type="#_x0000_t202" style="position:absolute;left:0;text-align:left;margin-left:-33.6pt;margin-top:2.2pt;width:253.7pt;height:213.6pt;z-index:251689472" stroked="f">
            <v:textbox style="mso-next-textbox:#_x0000_s2273">
              <w:txbxContent>
                <w:p w:rsidR="00DA0A21" w:rsidRPr="00F320D4" w:rsidRDefault="00DA0A21" w:rsidP="003A6D02">
                  <w:pPr>
                    <w:rPr>
                      <w:lang w:val="uk-UA"/>
                    </w:rPr>
                  </w:pPr>
                  <w:r>
                    <w:rPr>
                      <w:noProof/>
                    </w:rPr>
                    <w:drawing>
                      <wp:inline distT="0" distB="0" distL="0" distR="0">
                        <wp:extent cx="3324860" cy="2766695"/>
                        <wp:effectExtent l="0" t="0" r="0" b="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Pr="009814DF" w:rsidRDefault="003A6D02" w:rsidP="003A6D02">
      <w:pPr>
        <w:tabs>
          <w:tab w:val="left" w:pos="180"/>
          <w:tab w:val="left" w:pos="540"/>
          <w:tab w:val="left" w:pos="720"/>
        </w:tabs>
        <w:spacing w:after="0" w:line="360" w:lineRule="auto"/>
        <w:ind w:left="-567" w:firstLine="567"/>
        <w:jc w:val="both"/>
        <w:rPr>
          <w:rFonts w:ascii="Times New Roman" w:hAnsi="Times New Roman"/>
          <w:b/>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487043" w:rsidP="003A6D02">
      <w:pPr>
        <w:widowControl w:val="0"/>
        <w:spacing w:after="0" w:line="360" w:lineRule="auto"/>
        <w:ind w:left="-567"/>
        <w:jc w:val="both"/>
        <w:rPr>
          <w:rFonts w:ascii="Times New Roman" w:hAnsi="Times New Roman"/>
          <w:sz w:val="28"/>
          <w:szCs w:val="28"/>
          <w:lang w:val="uk-UA"/>
        </w:rPr>
      </w:pPr>
      <w:r w:rsidRPr="00487043">
        <w:rPr>
          <w:rFonts w:ascii="Times New Roman" w:hAnsi="Times New Roman"/>
          <w:noProof/>
          <w:sz w:val="28"/>
          <w:szCs w:val="28"/>
          <w:lang w:val="uk-UA" w:eastAsia="en-US"/>
        </w:rPr>
        <w:pict>
          <v:shape id="_x0000_s2254" type="#_x0000_t202" style="position:absolute;left:0;text-align:left;margin-left:220.1pt;margin-top:22.6pt;width:240pt;height:24pt;z-index:251670016;mso-width-relative:margin;mso-height-relative:margin" stroked="f">
            <v:textbox style="mso-next-textbox:#_x0000_s2254">
              <w:txbxContent>
                <w:p w:rsidR="00DA0A21" w:rsidRPr="00401DD6" w:rsidRDefault="00DA0A21" w:rsidP="003A6D02">
                  <w:pPr>
                    <w:rPr>
                      <w:rFonts w:ascii="Times New Roman" w:hAnsi="Times New Roman"/>
                      <w:sz w:val="28"/>
                      <w:szCs w:val="28"/>
                      <w:lang w:val="uk-UA"/>
                    </w:rPr>
                  </w:pPr>
                  <w:r>
                    <w:rPr>
                      <w:rFonts w:ascii="Times New Roman" w:hAnsi="Times New Roman"/>
                      <w:sz w:val="28"/>
                      <w:szCs w:val="28"/>
                      <w:lang w:val="uk-UA"/>
                    </w:rPr>
                    <w:t>У хворих з відкритим втручанням</w:t>
                  </w:r>
                </w:p>
              </w:txbxContent>
            </v:textbox>
          </v:shape>
        </w:pict>
      </w:r>
      <w:r w:rsidRPr="00487043">
        <w:rPr>
          <w:rFonts w:ascii="Times New Roman" w:hAnsi="Times New Roman"/>
          <w:noProof/>
          <w:sz w:val="28"/>
          <w:szCs w:val="28"/>
          <w:lang w:val="en-US" w:eastAsia="en-US"/>
        </w:rPr>
        <w:pict>
          <v:shape id="_x0000_s2253" type="#_x0000_t202" style="position:absolute;left:0;text-align:left;margin-left:-33.6pt;margin-top:22.6pt;width:121.85pt;height:24pt;z-index:251668992;mso-width-relative:margin;mso-height-relative:margin" stroked="f">
            <v:textbox style="mso-next-textbox:#_x0000_s2253">
              <w:txbxContent>
                <w:p w:rsidR="00DA0A21" w:rsidRPr="00A56716" w:rsidRDefault="00DA0A21" w:rsidP="003A6D02">
                  <w:pPr>
                    <w:rPr>
                      <w:rFonts w:ascii="Times New Roman" w:hAnsi="Times New Roman"/>
                      <w:sz w:val="28"/>
                      <w:szCs w:val="28"/>
                      <w:lang w:val="uk-UA"/>
                    </w:rPr>
                  </w:pPr>
                  <w:r>
                    <w:rPr>
                      <w:rFonts w:ascii="Times New Roman" w:hAnsi="Times New Roman"/>
                      <w:sz w:val="28"/>
                      <w:szCs w:val="28"/>
                      <w:lang w:val="uk-UA"/>
                    </w:rPr>
                    <w:t xml:space="preserve"> У</w:t>
                  </w:r>
                  <w:r w:rsidRPr="00A56716">
                    <w:rPr>
                      <w:rFonts w:ascii="Times New Roman" w:hAnsi="Times New Roman"/>
                      <w:sz w:val="28"/>
                      <w:szCs w:val="28"/>
                      <w:lang w:val="uk-UA"/>
                    </w:rPr>
                    <w:t xml:space="preserve"> хворих з ЧБА</w:t>
                  </w:r>
                </w:p>
              </w:txbxContent>
            </v:textbox>
          </v:shape>
        </w:pict>
      </w:r>
    </w:p>
    <w:p w:rsidR="003A6D02" w:rsidRDefault="00487043" w:rsidP="003A6D02">
      <w:pPr>
        <w:widowControl w:val="0"/>
        <w:spacing w:after="0" w:line="360" w:lineRule="auto"/>
        <w:ind w:left="-567"/>
        <w:jc w:val="both"/>
        <w:rPr>
          <w:rFonts w:ascii="Times New Roman" w:hAnsi="Times New Roman"/>
          <w:sz w:val="28"/>
          <w:szCs w:val="28"/>
          <w:lang w:val="uk-UA"/>
        </w:rPr>
      </w:pPr>
      <w:r>
        <w:rPr>
          <w:rFonts w:ascii="Times New Roman" w:hAnsi="Times New Roman"/>
          <w:noProof/>
          <w:sz w:val="28"/>
          <w:szCs w:val="28"/>
        </w:rPr>
        <w:pict>
          <v:shape id="_x0000_s2275" type="#_x0000_t202" style="position:absolute;left:0;text-align:left;margin-left:-33.6pt;margin-top:22.5pt;width:501.7pt;height:218.75pt;z-index:251691520" stroked="f">
            <v:textbox style="mso-next-textbox:#_x0000_s2275">
              <w:txbxContent>
                <w:p w:rsidR="00DA0A21" w:rsidRDefault="00DA0A21" w:rsidP="003A6D02">
                  <w:r>
                    <w:rPr>
                      <w:noProof/>
                    </w:rPr>
                    <w:drawing>
                      <wp:inline distT="0" distB="0" distL="0" distR="0">
                        <wp:extent cx="3122930" cy="2695575"/>
                        <wp:effectExtent l="0" t="0" r="0" b="0"/>
                        <wp:docPr id="2"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r>
                    <w:rPr>
                      <w:noProof/>
                    </w:rPr>
                    <w:drawing>
                      <wp:inline distT="0" distB="0" distL="0" distR="0">
                        <wp:extent cx="3040380" cy="2707640"/>
                        <wp:effectExtent l="0" t="0" r="0" b="0"/>
                        <wp:docPr id="57"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txbxContent>
            </v:textbox>
          </v:shape>
        </w:pict>
      </w: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487043" w:rsidP="003A6D02">
      <w:pPr>
        <w:widowControl w:val="0"/>
        <w:spacing w:after="0" w:line="360" w:lineRule="auto"/>
        <w:ind w:left="-567"/>
        <w:jc w:val="both"/>
        <w:rPr>
          <w:rFonts w:ascii="Times New Roman" w:hAnsi="Times New Roman"/>
          <w:sz w:val="28"/>
          <w:szCs w:val="28"/>
          <w:lang w:val="uk-UA"/>
        </w:rPr>
      </w:pPr>
      <w:r w:rsidRPr="00487043">
        <w:rPr>
          <w:rFonts w:ascii="Times New Roman" w:hAnsi="Times New Roman"/>
          <w:noProof/>
          <w:sz w:val="28"/>
          <w:szCs w:val="28"/>
          <w:lang w:val="uk-UA" w:eastAsia="en-US"/>
        </w:rPr>
        <w:pict>
          <v:rect id="_x0000_s2256" style="position:absolute;left:0;text-align:left;margin-left:228.1pt;margin-top:72.2pt;width:240pt;height:24.6pt;z-index:251672064;mso-width-relative:margin;mso-height-relative:margin" stroked="f">
            <v:textbox style="mso-next-textbox:#_x0000_s2256">
              <w:txbxContent>
                <w:p w:rsidR="00DA0A21" w:rsidRPr="00DD10F7" w:rsidRDefault="00DA0A21" w:rsidP="003A6D02">
                  <w:pPr>
                    <w:rPr>
                      <w:rFonts w:ascii="Times New Roman" w:hAnsi="Times New Roman"/>
                      <w:sz w:val="28"/>
                      <w:szCs w:val="28"/>
                      <w:lang w:val="uk-UA"/>
                    </w:rPr>
                  </w:pPr>
                  <w:r w:rsidRPr="00DD10F7">
                    <w:rPr>
                      <w:rFonts w:ascii="Times New Roman" w:hAnsi="Times New Roman"/>
                      <w:sz w:val="28"/>
                      <w:szCs w:val="28"/>
                      <w:lang w:val="uk-UA"/>
                    </w:rPr>
                    <w:t>У хворих з симпатектомією</w:t>
                  </w:r>
                </w:p>
              </w:txbxContent>
            </v:textbox>
          </v:rect>
        </w:pict>
      </w:r>
      <w:r w:rsidRPr="00487043">
        <w:rPr>
          <w:rFonts w:ascii="Times New Roman" w:hAnsi="Times New Roman"/>
          <w:noProof/>
          <w:sz w:val="28"/>
          <w:szCs w:val="28"/>
          <w:lang w:val="uk-UA" w:eastAsia="en-US"/>
        </w:rPr>
        <w:pict>
          <v:shape id="_x0000_s2255" type="#_x0000_t202" style="position:absolute;left:0;text-align:left;margin-left:-33.6pt;margin-top:72.2pt;width:249.65pt;height:24.6pt;z-index:251671040;mso-width-relative:margin;mso-height-relative:margin" stroked="f">
            <v:textbox style="mso-next-textbox:#_x0000_s2255">
              <w:txbxContent>
                <w:p w:rsidR="00DA0A21" w:rsidRPr="00801963" w:rsidRDefault="00DA0A21" w:rsidP="003A6D02">
                  <w:pPr>
                    <w:rPr>
                      <w:rFonts w:ascii="Times New Roman" w:hAnsi="Times New Roman"/>
                      <w:sz w:val="28"/>
                      <w:szCs w:val="28"/>
                      <w:lang w:val="uk-UA"/>
                    </w:rPr>
                  </w:pPr>
                  <w:r w:rsidRPr="00801963">
                    <w:rPr>
                      <w:rFonts w:ascii="Times New Roman" w:hAnsi="Times New Roman"/>
                      <w:sz w:val="28"/>
                      <w:szCs w:val="28"/>
                      <w:lang w:val="uk-UA"/>
                    </w:rPr>
                    <w:t>У хворих з консервативною терапією</w:t>
                  </w:r>
                </w:p>
              </w:txbxContent>
            </v:textbox>
          </v:shape>
        </w:pict>
      </w: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487043" w:rsidP="003A6D02">
      <w:pPr>
        <w:widowControl w:val="0"/>
        <w:spacing w:after="0" w:line="360" w:lineRule="auto"/>
        <w:ind w:left="-567"/>
        <w:jc w:val="both"/>
        <w:rPr>
          <w:rFonts w:ascii="Times New Roman" w:hAnsi="Times New Roman"/>
          <w:sz w:val="28"/>
          <w:szCs w:val="28"/>
          <w:lang w:val="uk-UA"/>
        </w:rPr>
      </w:pPr>
      <w:r w:rsidRPr="00487043">
        <w:rPr>
          <w:rFonts w:ascii="Times New Roman" w:hAnsi="Times New Roman"/>
          <w:noProof/>
          <w:sz w:val="28"/>
          <w:szCs w:val="28"/>
          <w:lang w:val="uk-UA" w:eastAsia="en-US"/>
        </w:rPr>
        <w:pict>
          <v:shape id="_x0000_s2257" type="#_x0000_t202" style="position:absolute;left:0;text-align:left;margin-left:-33.6pt;margin-top:9.45pt;width:489.65pt;height:26.7pt;z-index:251673088;mso-width-relative:margin;mso-height-relative:margin" stroked="f">
            <v:textbox style="mso-next-textbox:#_x0000_s2257">
              <w:txbxContent>
                <w:p w:rsidR="00DA0A21" w:rsidRPr="007B7722" w:rsidRDefault="00DA0A21" w:rsidP="003A6D02">
                  <w:pPr>
                    <w:rPr>
                      <w:rFonts w:ascii="Times New Roman" w:hAnsi="Times New Roman"/>
                      <w:sz w:val="28"/>
                      <w:szCs w:val="28"/>
                      <w:lang w:val="uk-UA"/>
                    </w:rPr>
                  </w:pPr>
                  <w:r w:rsidRPr="007B7722">
                    <w:rPr>
                      <w:rFonts w:ascii="Times New Roman" w:hAnsi="Times New Roman"/>
                      <w:sz w:val="28"/>
                      <w:szCs w:val="28"/>
                      <w:lang w:val="uk-UA"/>
                    </w:rPr>
                    <w:t>Рис.</w:t>
                  </w:r>
                  <w:r>
                    <w:rPr>
                      <w:rFonts w:ascii="Times New Roman" w:hAnsi="Times New Roman"/>
                      <w:sz w:val="28"/>
                      <w:szCs w:val="28"/>
                      <w:lang w:val="uk-UA"/>
                    </w:rPr>
                    <w:t>6.2</w:t>
                  </w:r>
                  <w:r w:rsidRPr="007B7722">
                    <w:rPr>
                      <w:rFonts w:ascii="Times New Roman" w:hAnsi="Times New Roman"/>
                      <w:sz w:val="28"/>
                      <w:szCs w:val="28"/>
                      <w:lang w:val="uk-UA"/>
                    </w:rPr>
                    <w:t xml:space="preserve"> Динаміка рівню болю у хворих основної групи та групи порівняння</w:t>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lang w:val="uk-UA"/>
        </w:rPr>
      </w:pPr>
    </w:p>
    <w:p w:rsidR="00C03E66" w:rsidRPr="00C03E66" w:rsidRDefault="003A6D02" w:rsidP="00C03E66">
      <w:pPr>
        <w:tabs>
          <w:tab w:val="left" w:pos="180"/>
          <w:tab w:val="left" w:pos="540"/>
          <w:tab w:val="left" w:pos="720"/>
        </w:tabs>
        <w:spacing w:after="0" w:line="360" w:lineRule="auto"/>
        <w:ind w:left="-567" w:firstLine="567"/>
        <w:jc w:val="both"/>
        <w:rPr>
          <w:rFonts w:ascii="Times New Roman" w:hAnsi="Times New Roman"/>
          <w:color w:val="000000"/>
          <w:sz w:val="28"/>
          <w:szCs w:val="28"/>
          <w:lang w:val="uk-UA"/>
        </w:rPr>
      </w:pPr>
      <w:r w:rsidRPr="00A26454">
        <w:rPr>
          <w:rFonts w:ascii="Times New Roman" w:hAnsi="Times New Roman"/>
          <w:sz w:val="28"/>
          <w:lang w:val="uk-UA"/>
        </w:rPr>
        <w:t>При порівнянні фізичного функціонування (ФФ) у хворих, що отримували консервативну терапію, показники вірогідно відрізнялись тільки через 6 та 12 міс. після лікування і відповідно на 23,7% і на 51,9</w:t>
      </w:r>
      <w:r>
        <w:rPr>
          <w:rFonts w:ascii="Times New Roman" w:hAnsi="Times New Roman"/>
          <w:sz w:val="28"/>
          <w:lang w:val="uk-UA"/>
        </w:rPr>
        <w:t>%</w:t>
      </w:r>
      <w:r w:rsidRPr="00A26454">
        <w:rPr>
          <w:rFonts w:ascii="Times New Roman" w:hAnsi="Times New Roman"/>
          <w:sz w:val="28"/>
          <w:lang w:val="uk-UA"/>
        </w:rPr>
        <w:t xml:space="preserve"> були вищими в основній групі </w:t>
      </w:r>
      <w:r w:rsidRPr="00A26454">
        <w:rPr>
          <w:rFonts w:ascii="Times New Roman" w:hAnsi="Times New Roman"/>
          <w:color w:val="000000"/>
          <w:sz w:val="28"/>
          <w:szCs w:val="28"/>
          <w:lang w:val="uk-UA"/>
        </w:rPr>
        <w:t>(</w:t>
      </w:r>
      <w:r w:rsidRPr="006E1004">
        <w:rPr>
          <w:rFonts w:ascii="Times New Roman" w:hAnsi="Times New Roman"/>
          <w:color w:val="000000"/>
          <w:sz w:val="28"/>
          <w:szCs w:val="28"/>
          <w:lang w:val="en-US"/>
        </w:rPr>
        <w:t>p</w:t>
      </w:r>
      <w:r w:rsidRPr="006E1004">
        <w:rPr>
          <w:rFonts w:ascii="Times New Roman" w:hAnsi="Times New Roman"/>
          <w:color w:val="000000"/>
          <w:sz w:val="28"/>
          <w:szCs w:val="28"/>
          <w:lang w:val="en-US"/>
        </w:rPr>
        <w:sym w:font="Symbol" w:char="F03D"/>
      </w:r>
      <w:r w:rsidRPr="00A26454">
        <w:rPr>
          <w:rFonts w:ascii="Times New Roman" w:hAnsi="Times New Roman"/>
          <w:color w:val="000000"/>
          <w:sz w:val="28"/>
          <w:szCs w:val="28"/>
          <w:lang w:val="uk-UA"/>
        </w:rPr>
        <w:t>0,000).</w:t>
      </w:r>
      <w:r w:rsidRPr="00A26454">
        <w:rPr>
          <w:rFonts w:ascii="Times New Roman" w:hAnsi="Times New Roman"/>
          <w:sz w:val="28"/>
          <w:lang w:val="uk-UA"/>
        </w:rPr>
        <w:t xml:space="preserve"> </w:t>
      </w:r>
      <w:r>
        <w:rPr>
          <w:rFonts w:ascii="Times New Roman" w:hAnsi="Times New Roman"/>
          <w:sz w:val="28"/>
        </w:rPr>
        <w:t xml:space="preserve">Крім того, показник ФФ </w:t>
      </w:r>
      <w:r>
        <w:rPr>
          <w:rFonts w:ascii="Times New Roman" w:hAnsi="Times New Roman"/>
          <w:color w:val="000000"/>
          <w:sz w:val="28"/>
          <w:szCs w:val="28"/>
        </w:rPr>
        <w:t xml:space="preserve">на 32,2% був вищим через 12 </w:t>
      </w:r>
      <w:r w:rsidRPr="004B3E97">
        <w:rPr>
          <w:rFonts w:ascii="Times New Roman" w:hAnsi="Times New Roman"/>
          <w:color w:val="000000"/>
          <w:sz w:val="28"/>
          <w:szCs w:val="28"/>
        </w:rPr>
        <w:t>міс</w:t>
      </w:r>
      <w:r>
        <w:rPr>
          <w:rFonts w:ascii="Times New Roman" w:hAnsi="Times New Roman"/>
          <w:color w:val="000000"/>
          <w:sz w:val="28"/>
          <w:szCs w:val="28"/>
        </w:rPr>
        <w:t xml:space="preserve">яців у хворих </w:t>
      </w:r>
      <w:r>
        <w:rPr>
          <w:rFonts w:ascii="Times New Roman" w:hAnsi="Times New Roman"/>
          <w:color w:val="000000"/>
          <w:sz w:val="28"/>
          <w:szCs w:val="28"/>
        </w:rPr>
        <w:lastRenderedPageBreak/>
        <w:t xml:space="preserve">основної групи, яким було виконано СГШ </w:t>
      </w:r>
      <w:r w:rsidRPr="003929C0">
        <w:rPr>
          <w:rFonts w:ascii="Times New Roman" w:hAnsi="Times New Roman"/>
          <w:color w:val="000000"/>
          <w:sz w:val="28"/>
          <w:szCs w:val="28"/>
        </w:rPr>
        <w:t>(</w:t>
      </w:r>
      <w:r w:rsidRPr="003929C0">
        <w:rPr>
          <w:rFonts w:ascii="Times New Roman" w:hAnsi="Times New Roman"/>
          <w:color w:val="000000"/>
          <w:sz w:val="28"/>
          <w:szCs w:val="28"/>
          <w:lang w:val="en-US"/>
        </w:rPr>
        <w:t>p</w:t>
      </w:r>
      <w:r w:rsidRPr="003929C0">
        <w:rPr>
          <w:rFonts w:ascii="Times New Roman" w:hAnsi="Times New Roman"/>
          <w:color w:val="000000"/>
          <w:sz w:val="28"/>
          <w:szCs w:val="28"/>
          <w:lang w:val="en-US"/>
        </w:rPr>
        <w:sym w:font="Symbol" w:char="F03D"/>
      </w:r>
      <w:r w:rsidRPr="003929C0">
        <w:rPr>
          <w:rFonts w:ascii="Times New Roman" w:hAnsi="Times New Roman"/>
          <w:color w:val="000000"/>
          <w:sz w:val="28"/>
          <w:szCs w:val="28"/>
        </w:rPr>
        <w:t>0,000)</w:t>
      </w:r>
      <w:r>
        <w:rPr>
          <w:rFonts w:ascii="Times New Roman" w:hAnsi="Times New Roman"/>
          <w:color w:val="000000"/>
          <w:sz w:val="28"/>
          <w:szCs w:val="28"/>
        </w:rPr>
        <w:t>.</w:t>
      </w:r>
      <w:r w:rsidR="00C03E66" w:rsidRPr="00C03E66">
        <w:rPr>
          <w:rFonts w:ascii="Times New Roman" w:hAnsi="Times New Roman"/>
          <w:color w:val="000000"/>
          <w:sz w:val="28"/>
          <w:szCs w:val="28"/>
        </w:rPr>
        <w:t xml:space="preserve"> </w:t>
      </w:r>
      <w:r w:rsidRPr="005502BB">
        <w:rPr>
          <w:rFonts w:ascii="Times New Roman" w:hAnsi="Times New Roman"/>
          <w:sz w:val="28"/>
          <w:szCs w:val="28"/>
          <w:lang w:val="uk-UA"/>
        </w:rPr>
        <w:t>Динаміка зміни рівню ФФ у хворих досліджуваних груп представлена на рис.</w:t>
      </w:r>
      <w:r>
        <w:rPr>
          <w:rFonts w:ascii="Times New Roman" w:hAnsi="Times New Roman"/>
          <w:sz w:val="28"/>
          <w:szCs w:val="28"/>
          <w:lang w:val="uk-UA"/>
        </w:rPr>
        <w:t> </w:t>
      </w:r>
      <w:r w:rsidRPr="005502BB">
        <w:rPr>
          <w:rFonts w:ascii="Times New Roman" w:hAnsi="Times New Roman"/>
          <w:sz w:val="28"/>
          <w:szCs w:val="28"/>
          <w:lang w:val="uk-UA"/>
        </w:rPr>
        <w:t>6</w:t>
      </w:r>
      <w:r>
        <w:rPr>
          <w:rFonts w:ascii="Times New Roman" w:hAnsi="Times New Roman"/>
          <w:sz w:val="28"/>
          <w:szCs w:val="28"/>
          <w:lang w:val="uk-UA"/>
        </w:rPr>
        <w:t>.3.</w:t>
      </w:r>
    </w:p>
    <w:p w:rsidR="003A6D02" w:rsidRPr="00C03E66" w:rsidRDefault="00487043" w:rsidP="00C03E66">
      <w:pPr>
        <w:widowControl w:val="0"/>
        <w:spacing w:after="0" w:line="360" w:lineRule="auto"/>
        <w:ind w:left="-567" w:firstLine="567"/>
        <w:jc w:val="both"/>
        <w:rPr>
          <w:rFonts w:ascii="Times New Roman" w:hAnsi="Times New Roman"/>
          <w:sz w:val="28"/>
          <w:szCs w:val="28"/>
          <w:lang w:val="uk-UA"/>
        </w:rPr>
      </w:pPr>
      <w:r>
        <w:rPr>
          <w:rFonts w:ascii="Times New Roman" w:hAnsi="Times New Roman"/>
          <w:noProof/>
          <w:sz w:val="28"/>
          <w:szCs w:val="28"/>
        </w:rPr>
        <w:pict>
          <v:shape id="_x0000_s2276" type="#_x0000_t202" style="position:absolute;left:0;text-align:left;margin-left:-39.65pt;margin-top:18.4pt;width:514.95pt;height:219.15pt;z-index:251692544" stroked="f">
            <v:textbox style="mso-next-textbox:#_x0000_s2276">
              <w:txbxContent>
                <w:p w:rsidR="00DA0A21" w:rsidRDefault="00DA0A21" w:rsidP="003A6D02">
                  <w:r>
                    <w:rPr>
                      <w:noProof/>
                    </w:rPr>
                    <w:drawing>
                      <wp:inline distT="0" distB="0" distL="0" distR="0">
                        <wp:extent cx="3134995" cy="2766695"/>
                        <wp:effectExtent l="0" t="0" r="0" b="0"/>
                        <wp:docPr id="58"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rPr>
                      <w:noProof/>
                    </w:rPr>
                    <w:drawing>
                      <wp:inline distT="0" distB="0" distL="0" distR="0">
                        <wp:extent cx="3040380" cy="2766695"/>
                        <wp:effectExtent l="0" t="0" r="0" b="0"/>
                        <wp:docPr id="59"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Pr>
          <w:rFonts w:ascii="Times New Roman" w:hAnsi="Times New Roman"/>
          <w:noProof/>
          <w:sz w:val="28"/>
          <w:szCs w:val="28"/>
        </w:rPr>
        <w:pict>
          <v:shape id="_x0000_s2277" type="#_x0000_t202" style="position:absolute;left:0;text-align:left;margin-left:-39.65pt;margin-top:20.2pt;width:514.95pt;height:212.85pt;z-index:251693568" stroked="f">
            <v:textbox>
              <w:txbxContent>
                <w:p w:rsidR="00DA0A21" w:rsidRDefault="00DA0A21" w:rsidP="003A6D02">
                  <w:r>
                    <w:rPr>
                      <w:noProof/>
                    </w:rPr>
                    <w:drawing>
                      <wp:inline distT="0" distB="0" distL="0" distR="0">
                        <wp:extent cx="3182620" cy="2672080"/>
                        <wp:effectExtent l="0" t="0" r="0" b="0"/>
                        <wp:docPr id="60"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r>
                    <w:rPr>
                      <w:noProof/>
                    </w:rPr>
                    <w:drawing>
                      <wp:inline distT="0" distB="0" distL="0" distR="0">
                        <wp:extent cx="3040380" cy="2707640"/>
                        <wp:effectExtent l="0" t="0" r="0" b="0"/>
                        <wp:docPr id="61"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xbxContent>
            </v:textbox>
          </v:shape>
        </w:pict>
      </w:r>
      <w:r w:rsidRPr="00487043">
        <w:rPr>
          <w:rFonts w:ascii="Times New Roman" w:hAnsi="Times New Roman"/>
          <w:noProof/>
          <w:sz w:val="28"/>
          <w:szCs w:val="28"/>
          <w:lang w:val="uk-UA" w:eastAsia="en-US"/>
        </w:rPr>
        <w:pict>
          <v:shape id="_x0000_s2259" type="#_x0000_t202" style="position:absolute;left:0;text-align:left;margin-left:235.3pt;margin-top:20.2pt;width:240pt;height:24pt;z-index:251675136;mso-width-relative:margin;mso-height-relative:margin" stroked="f">
            <v:textbox style="mso-next-textbox:#_x0000_s2259">
              <w:txbxContent>
                <w:p w:rsidR="00DA0A21" w:rsidRPr="00401DD6" w:rsidRDefault="00DA0A21" w:rsidP="003A6D02">
                  <w:pPr>
                    <w:rPr>
                      <w:rFonts w:ascii="Times New Roman" w:hAnsi="Times New Roman"/>
                      <w:sz w:val="28"/>
                      <w:szCs w:val="28"/>
                      <w:lang w:val="uk-UA"/>
                    </w:rPr>
                  </w:pPr>
                  <w:r>
                    <w:rPr>
                      <w:rFonts w:ascii="Times New Roman" w:hAnsi="Times New Roman"/>
                      <w:sz w:val="28"/>
                      <w:szCs w:val="28"/>
                      <w:lang w:val="uk-UA"/>
                    </w:rPr>
                    <w:t>У хворих з відкритим втручанням</w:t>
                  </w:r>
                </w:p>
              </w:txbxContent>
            </v:textbox>
          </v:shape>
        </w:pict>
      </w:r>
      <w:r w:rsidRPr="00487043">
        <w:rPr>
          <w:rFonts w:ascii="Times New Roman" w:hAnsi="Times New Roman"/>
          <w:noProof/>
          <w:sz w:val="28"/>
          <w:szCs w:val="28"/>
          <w:lang w:val="en-US" w:eastAsia="en-US"/>
        </w:rPr>
        <w:pict>
          <v:shape id="_x0000_s2258" type="#_x0000_t202" style="position:absolute;left:0;text-align:left;margin-left:-39.65pt;margin-top:20.2pt;width:249.65pt;height:24pt;z-index:251674112;mso-width-relative:margin;mso-height-relative:margin" stroked="f">
            <v:textbox style="mso-next-textbox:#_x0000_s2258">
              <w:txbxContent>
                <w:p w:rsidR="00DA0A21" w:rsidRPr="00A56716" w:rsidRDefault="00DA0A21" w:rsidP="003A6D02">
                  <w:pPr>
                    <w:rPr>
                      <w:rFonts w:ascii="Times New Roman" w:hAnsi="Times New Roman"/>
                      <w:sz w:val="28"/>
                      <w:szCs w:val="28"/>
                      <w:lang w:val="uk-UA"/>
                    </w:rPr>
                  </w:pPr>
                  <w:r>
                    <w:rPr>
                      <w:rFonts w:ascii="Times New Roman" w:hAnsi="Times New Roman"/>
                      <w:sz w:val="28"/>
                      <w:szCs w:val="28"/>
                      <w:lang w:val="uk-UA"/>
                    </w:rPr>
                    <w:t xml:space="preserve"> У</w:t>
                  </w:r>
                  <w:r w:rsidRPr="00A56716">
                    <w:rPr>
                      <w:rFonts w:ascii="Times New Roman" w:hAnsi="Times New Roman"/>
                      <w:sz w:val="28"/>
                      <w:szCs w:val="28"/>
                      <w:lang w:val="uk-UA"/>
                    </w:rPr>
                    <w:t xml:space="preserve"> хворих з ЧБА</w:t>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Pr="00A26454"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widowControl w:val="0"/>
        <w:tabs>
          <w:tab w:val="left" w:pos="6922"/>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ab/>
      </w:r>
    </w:p>
    <w:p w:rsidR="003A6D02" w:rsidRDefault="00487043" w:rsidP="003A6D02">
      <w:pPr>
        <w:widowControl w:val="0"/>
        <w:spacing w:after="0" w:line="360" w:lineRule="auto"/>
        <w:ind w:left="-567"/>
        <w:jc w:val="both"/>
        <w:rPr>
          <w:rFonts w:ascii="Times New Roman" w:hAnsi="Times New Roman"/>
          <w:sz w:val="28"/>
          <w:szCs w:val="28"/>
          <w:lang w:val="uk-UA"/>
        </w:rPr>
      </w:pPr>
      <w:r w:rsidRPr="00487043">
        <w:rPr>
          <w:rFonts w:ascii="Times New Roman" w:hAnsi="Times New Roman"/>
          <w:noProof/>
          <w:sz w:val="28"/>
          <w:szCs w:val="28"/>
          <w:lang w:val="uk-UA" w:eastAsia="en-US"/>
        </w:rPr>
        <w:pict>
          <v:rect id="_x0000_s2261" style="position:absolute;left:0;text-align:left;margin-left:235.3pt;margin-top:11.9pt;width:240pt;height:24.6pt;z-index:251677184;mso-width-relative:margin;mso-height-relative:margin" stroked="f">
            <v:textbox>
              <w:txbxContent>
                <w:p w:rsidR="00DA0A21" w:rsidRPr="00DD10F7" w:rsidRDefault="00DA0A21" w:rsidP="003A6D02">
                  <w:pPr>
                    <w:rPr>
                      <w:rFonts w:ascii="Times New Roman" w:hAnsi="Times New Roman"/>
                      <w:sz w:val="28"/>
                      <w:szCs w:val="28"/>
                      <w:lang w:val="uk-UA"/>
                    </w:rPr>
                  </w:pPr>
                  <w:r w:rsidRPr="00DD10F7">
                    <w:rPr>
                      <w:rFonts w:ascii="Times New Roman" w:hAnsi="Times New Roman"/>
                      <w:sz w:val="28"/>
                      <w:szCs w:val="28"/>
                      <w:lang w:val="uk-UA"/>
                    </w:rPr>
                    <w:t>У хворих з симпатектомією</w:t>
                  </w:r>
                </w:p>
              </w:txbxContent>
            </v:textbox>
          </v:rect>
        </w:pict>
      </w:r>
      <w:r w:rsidRPr="00487043">
        <w:rPr>
          <w:rFonts w:ascii="Times New Roman" w:hAnsi="Times New Roman"/>
          <w:noProof/>
          <w:sz w:val="28"/>
          <w:szCs w:val="28"/>
          <w:lang w:val="uk-UA" w:eastAsia="en-US"/>
        </w:rPr>
        <w:pict>
          <v:shape id="_x0000_s2260" type="#_x0000_t202" style="position:absolute;left:0;text-align:left;margin-left:-27.15pt;margin-top:11.9pt;width:249.65pt;height:24.6pt;z-index:251676160;mso-width-relative:margin;mso-height-relative:margin" stroked="f">
            <v:textbox style="mso-next-textbox:#_x0000_s2260">
              <w:txbxContent>
                <w:p w:rsidR="00DA0A21" w:rsidRPr="00801963" w:rsidRDefault="00DA0A21" w:rsidP="003A6D02">
                  <w:pPr>
                    <w:rPr>
                      <w:rFonts w:ascii="Times New Roman" w:hAnsi="Times New Roman"/>
                      <w:sz w:val="28"/>
                      <w:szCs w:val="28"/>
                      <w:lang w:val="uk-UA"/>
                    </w:rPr>
                  </w:pPr>
                  <w:r w:rsidRPr="00801963">
                    <w:rPr>
                      <w:rFonts w:ascii="Times New Roman" w:hAnsi="Times New Roman"/>
                      <w:sz w:val="28"/>
                      <w:szCs w:val="28"/>
                      <w:lang w:val="uk-UA"/>
                    </w:rPr>
                    <w:t>У хворих з консервативною терапією</w:t>
                  </w:r>
                </w:p>
              </w:txbxContent>
            </v:textbox>
          </v:shape>
        </w:pict>
      </w:r>
    </w:p>
    <w:p w:rsidR="003A6D02" w:rsidRDefault="00487043" w:rsidP="003A6D02">
      <w:pPr>
        <w:widowControl w:val="0"/>
        <w:spacing w:after="0" w:line="360" w:lineRule="auto"/>
        <w:ind w:left="-567"/>
        <w:jc w:val="both"/>
        <w:rPr>
          <w:rFonts w:ascii="Times New Roman" w:hAnsi="Times New Roman"/>
          <w:sz w:val="28"/>
          <w:szCs w:val="28"/>
          <w:lang w:val="uk-UA"/>
        </w:rPr>
      </w:pPr>
      <w:r w:rsidRPr="00487043">
        <w:rPr>
          <w:rFonts w:ascii="Times New Roman" w:hAnsi="Times New Roman"/>
          <w:noProof/>
          <w:sz w:val="28"/>
          <w:szCs w:val="28"/>
          <w:lang w:val="uk-UA" w:eastAsia="en-US"/>
        </w:rPr>
        <w:pict>
          <v:shape id="_x0000_s2262" type="#_x0000_t202" style="position:absolute;left:0;text-align:left;margin-left:-27.15pt;margin-top:16.35pt;width:493.35pt;height:35.7pt;z-index:251678208;mso-height-percent:200;mso-height-percent:200;mso-width-relative:margin;mso-height-relative:margin" stroked="f">
            <v:textbox style="mso-next-textbox:#_x0000_s2262;mso-fit-shape-to-text:t">
              <w:txbxContent>
                <w:p w:rsidR="00DA0A21" w:rsidRPr="007B7722" w:rsidRDefault="00DA0A21" w:rsidP="003A6D02">
                  <w:pPr>
                    <w:rPr>
                      <w:rFonts w:ascii="Times New Roman" w:hAnsi="Times New Roman"/>
                      <w:sz w:val="28"/>
                      <w:szCs w:val="28"/>
                      <w:lang w:val="uk-UA"/>
                    </w:rPr>
                  </w:pPr>
                  <w:r>
                    <w:rPr>
                      <w:rFonts w:ascii="Times New Roman" w:hAnsi="Times New Roman"/>
                      <w:sz w:val="28"/>
                      <w:szCs w:val="28"/>
                      <w:lang w:val="uk-UA"/>
                    </w:rPr>
                    <w:t>Рис. 6.3</w:t>
                  </w:r>
                  <w:r w:rsidRPr="007B7722">
                    <w:rPr>
                      <w:rFonts w:ascii="Times New Roman" w:hAnsi="Times New Roman"/>
                      <w:sz w:val="28"/>
                      <w:szCs w:val="28"/>
                      <w:lang w:val="uk-UA"/>
                    </w:rPr>
                    <w:t xml:space="preserve"> Динаміка рівню </w:t>
                  </w:r>
                  <w:r>
                    <w:rPr>
                      <w:rFonts w:ascii="Times New Roman" w:hAnsi="Times New Roman"/>
                      <w:sz w:val="28"/>
                      <w:szCs w:val="28"/>
                      <w:lang w:val="uk-UA"/>
                    </w:rPr>
                    <w:t xml:space="preserve">ФФ </w:t>
                  </w:r>
                  <w:r w:rsidRPr="007B7722">
                    <w:rPr>
                      <w:rFonts w:ascii="Times New Roman" w:hAnsi="Times New Roman"/>
                      <w:sz w:val="28"/>
                      <w:szCs w:val="28"/>
                      <w:lang w:val="uk-UA"/>
                    </w:rPr>
                    <w:t>у хворих основної групи та групи порівняння</w:t>
                  </w:r>
                </w:p>
              </w:txbxContent>
            </v:textbox>
          </v:shape>
        </w:pict>
      </w:r>
    </w:p>
    <w:p w:rsidR="003A6D02" w:rsidRDefault="003A6D02" w:rsidP="003A6D02">
      <w:pPr>
        <w:widowControl w:val="0"/>
        <w:spacing w:after="0" w:line="360" w:lineRule="auto"/>
        <w:ind w:left="-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A26454">
        <w:rPr>
          <w:rFonts w:ascii="Times New Roman" w:hAnsi="Times New Roman"/>
          <w:sz w:val="28"/>
          <w:lang w:val="uk-UA"/>
        </w:rPr>
        <w:t xml:space="preserve">При порівнянні показників психічного функціонування (ПФ) у хворих, яким виконували ЧБА, відмічено, що в основній групі через 12 </w:t>
      </w:r>
      <w:r w:rsidRPr="00C03E66">
        <w:rPr>
          <w:rFonts w:ascii="Times New Roman" w:hAnsi="Times New Roman"/>
          <w:color w:val="000000"/>
          <w:sz w:val="28"/>
          <w:szCs w:val="28"/>
          <w:lang w:val="uk-UA"/>
        </w:rPr>
        <w:t>місяців</w:t>
      </w:r>
      <w:r w:rsidRPr="00A26454">
        <w:rPr>
          <w:rFonts w:ascii="Times New Roman" w:hAnsi="Times New Roman"/>
          <w:sz w:val="28"/>
          <w:lang w:val="uk-UA"/>
        </w:rPr>
        <w:t xml:space="preserve"> спостереження показник, </w:t>
      </w:r>
      <w:r>
        <w:rPr>
          <w:rFonts w:ascii="Times New Roman" w:hAnsi="Times New Roman"/>
          <w:sz w:val="28"/>
          <w:lang w:val="uk-UA"/>
        </w:rPr>
        <w:t>який</w:t>
      </w:r>
      <w:r w:rsidRPr="00A26454">
        <w:rPr>
          <w:rFonts w:ascii="Times New Roman" w:hAnsi="Times New Roman"/>
          <w:sz w:val="28"/>
          <w:lang w:val="uk-UA"/>
        </w:rPr>
        <w:t xml:space="preserve"> досліджувався, відповідно</w:t>
      </w:r>
      <w:r>
        <w:rPr>
          <w:rFonts w:ascii="Times New Roman" w:hAnsi="Times New Roman"/>
          <w:sz w:val="28"/>
          <w:lang w:val="uk-UA"/>
        </w:rPr>
        <w:t>,</w:t>
      </w:r>
      <w:r w:rsidRPr="00A26454">
        <w:rPr>
          <w:rFonts w:ascii="Times New Roman" w:hAnsi="Times New Roman"/>
          <w:sz w:val="28"/>
          <w:lang w:val="uk-UA"/>
        </w:rPr>
        <w:t xml:space="preserve"> був на 14,8% (</w:t>
      </w:r>
      <w:r w:rsidRPr="003929C0">
        <w:rPr>
          <w:rFonts w:ascii="Times New Roman" w:hAnsi="Times New Roman"/>
          <w:color w:val="000000"/>
          <w:sz w:val="28"/>
          <w:szCs w:val="28"/>
          <w:lang w:val="en-US"/>
        </w:rPr>
        <w:t>p</w:t>
      </w:r>
      <w:r w:rsidRPr="003929C0">
        <w:rPr>
          <w:rFonts w:ascii="Times New Roman" w:hAnsi="Times New Roman"/>
          <w:color w:val="000000"/>
          <w:sz w:val="28"/>
          <w:szCs w:val="28"/>
          <w:lang w:val="en-US"/>
        </w:rPr>
        <w:sym w:font="Symbol" w:char="F03D"/>
      </w:r>
      <w:r w:rsidRPr="00A26454">
        <w:rPr>
          <w:rFonts w:ascii="Times New Roman" w:hAnsi="Times New Roman"/>
          <w:color w:val="000000"/>
          <w:sz w:val="28"/>
          <w:szCs w:val="28"/>
          <w:lang w:val="uk-UA"/>
        </w:rPr>
        <w:t xml:space="preserve">0,050) </w:t>
      </w:r>
      <w:r w:rsidRPr="00A26454">
        <w:rPr>
          <w:rFonts w:ascii="Times New Roman" w:hAnsi="Times New Roman"/>
          <w:sz w:val="28"/>
          <w:lang w:val="uk-UA"/>
        </w:rPr>
        <w:t xml:space="preserve">вищим, ніж у групі порівняння. </w:t>
      </w:r>
      <w:r>
        <w:rPr>
          <w:rFonts w:ascii="Times New Roman" w:hAnsi="Times New Roman"/>
          <w:sz w:val="28"/>
        </w:rPr>
        <w:t xml:space="preserve">При проведенні консервативного лікування показник ПФ через 6 </w:t>
      </w:r>
      <w:r w:rsidRPr="004B3E97">
        <w:rPr>
          <w:rFonts w:ascii="Times New Roman" w:hAnsi="Times New Roman"/>
          <w:color w:val="000000"/>
          <w:sz w:val="28"/>
          <w:szCs w:val="28"/>
        </w:rPr>
        <w:t>міс</w:t>
      </w:r>
      <w:r>
        <w:rPr>
          <w:rFonts w:ascii="Times New Roman" w:hAnsi="Times New Roman"/>
          <w:color w:val="000000"/>
          <w:sz w:val="28"/>
          <w:szCs w:val="28"/>
        </w:rPr>
        <w:t>яців</w:t>
      </w:r>
      <w:r>
        <w:rPr>
          <w:rFonts w:ascii="Times New Roman" w:hAnsi="Times New Roman"/>
          <w:sz w:val="28"/>
        </w:rPr>
        <w:t xml:space="preserve"> на 12,1% (</w:t>
      </w:r>
      <w:r w:rsidRPr="003929C0">
        <w:rPr>
          <w:rFonts w:ascii="Times New Roman" w:hAnsi="Times New Roman"/>
          <w:color w:val="000000"/>
          <w:sz w:val="28"/>
          <w:szCs w:val="28"/>
          <w:lang w:val="en-US"/>
        </w:rPr>
        <w:t>p</w:t>
      </w:r>
      <w:r w:rsidRPr="003929C0">
        <w:rPr>
          <w:rFonts w:ascii="Times New Roman" w:hAnsi="Times New Roman"/>
          <w:color w:val="000000"/>
          <w:sz w:val="28"/>
          <w:szCs w:val="28"/>
          <w:lang w:val="en-US"/>
        </w:rPr>
        <w:sym w:font="Symbol" w:char="F03D"/>
      </w:r>
      <w:r>
        <w:rPr>
          <w:rFonts w:ascii="Times New Roman" w:hAnsi="Times New Roman"/>
          <w:color w:val="000000"/>
          <w:sz w:val="28"/>
          <w:szCs w:val="28"/>
        </w:rPr>
        <w:t>0,028</w:t>
      </w:r>
      <w:r w:rsidRPr="003929C0">
        <w:rPr>
          <w:rFonts w:ascii="Times New Roman" w:hAnsi="Times New Roman"/>
          <w:color w:val="000000"/>
          <w:sz w:val="28"/>
          <w:szCs w:val="28"/>
        </w:rPr>
        <w:t>)</w:t>
      </w:r>
      <w:r>
        <w:rPr>
          <w:rFonts w:ascii="Times New Roman" w:hAnsi="Times New Roman"/>
          <w:color w:val="000000"/>
          <w:sz w:val="28"/>
          <w:szCs w:val="28"/>
        </w:rPr>
        <w:t xml:space="preserve"> </w:t>
      </w:r>
      <w:r>
        <w:rPr>
          <w:rFonts w:ascii="Times New Roman" w:hAnsi="Times New Roman"/>
          <w:sz w:val="28"/>
        </w:rPr>
        <w:t xml:space="preserve">та через 12 </w:t>
      </w:r>
      <w:r w:rsidRPr="004B3E97">
        <w:rPr>
          <w:rFonts w:ascii="Times New Roman" w:hAnsi="Times New Roman"/>
          <w:color w:val="000000"/>
          <w:sz w:val="28"/>
          <w:szCs w:val="28"/>
        </w:rPr>
        <w:t>міс</w:t>
      </w:r>
      <w:r>
        <w:rPr>
          <w:rFonts w:ascii="Times New Roman" w:hAnsi="Times New Roman"/>
          <w:color w:val="000000"/>
          <w:sz w:val="28"/>
          <w:szCs w:val="28"/>
        </w:rPr>
        <w:t>яців</w:t>
      </w:r>
      <w:r>
        <w:rPr>
          <w:rFonts w:ascii="Times New Roman" w:hAnsi="Times New Roman"/>
          <w:sz w:val="28"/>
        </w:rPr>
        <w:t xml:space="preserve"> – на 13,1% був вищим, ніж у групі </w:t>
      </w:r>
      <w:r>
        <w:rPr>
          <w:rFonts w:ascii="Times New Roman" w:hAnsi="Times New Roman"/>
          <w:sz w:val="28"/>
        </w:rPr>
        <w:lastRenderedPageBreak/>
        <w:t>порівняння (</w:t>
      </w:r>
      <w:r w:rsidRPr="003929C0">
        <w:rPr>
          <w:rFonts w:ascii="Times New Roman" w:hAnsi="Times New Roman"/>
          <w:color w:val="000000"/>
          <w:sz w:val="28"/>
          <w:szCs w:val="28"/>
          <w:lang w:val="en-US"/>
        </w:rPr>
        <w:t>p</w:t>
      </w:r>
      <w:r w:rsidRPr="003929C0">
        <w:rPr>
          <w:rFonts w:ascii="Times New Roman" w:hAnsi="Times New Roman"/>
          <w:color w:val="000000"/>
          <w:sz w:val="28"/>
          <w:szCs w:val="28"/>
          <w:lang w:val="en-US"/>
        </w:rPr>
        <w:sym w:font="Symbol" w:char="F03D"/>
      </w:r>
      <w:r>
        <w:rPr>
          <w:rFonts w:ascii="Times New Roman" w:hAnsi="Times New Roman"/>
          <w:color w:val="000000"/>
          <w:sz w:val="28"/>
          <w:szCs w:val="28"/>
        </w:rPr>
        <w:t>0,036</w:t>
      </w:r>
      <w:r w:rsidRPr="003929C0">
        <w:rPr>
          <w:rFonts w:ascii="Times New Roman" w:hAnsi="Times New Roman"/>
          <w:color w:val="000000"/>
          <w:sz w:val="28"/>
          <w:szCs w:val="28"/>
        </w:rPr>
        <w:t>)</w:t>
      </w:r>
      <w:r>
        <w:rPr>
          <w:rFonts w:ascii="Times New Roman" w:hAnsi="Times New Roman"/>
          <w:sz w:val="28"/>
          <w:szCs w:val="28"/>
          <w:shd w:val="clear" w:color="auto" w:fill="FFFFFF"/>
          <w:lang w:val="uk-UA"/>
        </w:rPr>
        <w:t xml:space="preserve">. </w:t>
      </w:r>
      <w:r w:rsidRPr="00A11ED2">
        <w:rPr>
          <w:rFonts w:ascii="Times New Roman" w:hAnsi="Times New Roman"/>
          <w:sz w:val="28"/>
          <w:szCs w:val="28"/>
          <w:lang w:val="uk-UA"/>
        </w:rPr>
        <w:t>Динаміка зміни рівню ПФ у хворих досліджуваних груп представлена на рис.</w:t>
      </w:r>
      <w:r>
        <w:rPr>
          <w:rFonts w:ascii="Times New Roman" w:hAnsi="Times New Roman"/>
          <w:sz w:val="28"/>
          <w:szCs w:val="28"/>
          <w:lang w:val="uk-UA"/>
        </w:rPr>
        <w:t>6.4.</w: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Pr>
          <w:rFonts w:ascii="Times New Roman" w:hAnsi="Times New Roman"/>
          <w:noProof/>
          <w:sz w:val="28"/>
          <w:szCs w:val="28"/>
        </w:rPr>
        <w:pict>
          <v:shape id="_x0000_s2278" type="#_x0000_t202" style="position:absolute;left:0;text-align:left;margin-left:-34.95pt;margin-top:4.35pt;width:507.1pt;height:223.8pt;z-index:251694592" stroked="f">
            <v:textbox>
              <w:txbxContent>
                <w:p w:rsidR="00DA0A21" w:rsidRDefault="00DA0A21" w:rsidP="003A6D02">
                  <w:r>
                    <w:rPr>
                      <w:noProof/>
                    </w:rPr>
                    <w:drawing>
                      <wp:inline distT="0" distB="0" distL="0" distR="0">
                        <wp:extent cx="3134995" cy="2778760"/>
                        <wp:effectExtent l="0" t="0" r="0" b="0"/>
                        <wp:docPr id="6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r>
                    <w:rPr>
                      <w:noProof/>
                    </w:rPr>
                    <w:drawing>
                      <wp:inline distT="0" distB="0" distL="0" distR="0">
                        <wp:extent cx="3040380" cy="2766695"/>
                        <wp:effectExtent l="0" t="0" r="0" b="0"/>
                        <wp:docPr id="63"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487043">
        <w:rPr>
          <w:noProof/>
        </w:rPr>
        <w:pict>
          <v:shape id="_x0000_s2279" type="#_x0000_t202" style="position:absolute;left:0;text-align:left;margin-left:-34.95pt;margin-top:58.95pt;width:507.1pt;height:226.45pt;z-index:251695616" stroked="f">
            <v:textbox>
              <w:txbxContent>
                <w:p w:rsidR="00DA0A21" w:rsidRPr="00F560D3" w:rsidRDefault="00DA0A21"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Pr>
                      <w:rFonts w:ascii="Times New Roman" w:hAnsi="Times New Roman"/>
                      <w:noProof/>
                      <w:sz w:val="28"/>
                      <w:szCs w:val="28"/>
                    </w:rPr>
                    <w:drawing>
                      <wp:inline distT="0" distB="0" distL="0" distR="0">
                        <wp:extent cx="3182620" cy="3277870"/>
                        <wp:effectExtent l="0" t="0" r="0" b="0"/>
                        <wp:docPr id="64"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r>
                    <w:rPr>
                      <w:rFonts w:ascii="Times New Roman" w:hAnsi="Times New Roman"/>
                      <w:noProof/>
                      <w:sz w:val="28"/>
                      <w:szCs w:val="28"/>
                    </w:rPr>
                    <w:drawing>
                      <wp:inline distT="0" distB="0" distL="0" distR="0">
                        <wp:extent cx="3040380" cy="3265805"/>
                        <wp:effectExtent l="0" t="0" r="0" b="0"/>
                        <wp:docPr id="65"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txbxContent>
            </v:textbox>
            <w10:wrap type="square"/>
          </v:shape>
        </w:pic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487043">
        <w:rPr>
          <w:rFonts w:ascii="Times New Roman" w:hAnsi="Times New Roman"/>
          <w:noProof/>
          <w:sz w:val="28"/>
          <w:szCs w:val="28"/>
          <w:lang w:val="uk-UA" w:eastAsia="en-US"/>
        </w:rPr>
        <w:pict>
          <v:shape id="_x0000_s2264" type="#_x0000_t202" style="position:absolute;left:0;text-align:left;margin-left:232.15pt;margin-top:10.8pt;width:240pt;height:24pt;z-index:251680256;mso-width-relative:margin;mso-height-relative:margin" stroked="f">
            <v:textbox style="mso-next-textbox:#_x0000_s2264">
              <w:txbxContent>
                <w:p w:rsidR="00DA0A21" w:rsidRPr="00401DD6" w:rsidRDefault="00DA0A21" w:rsidP="003A6D02">
                  <w:pPr>
                    <w:rPr>
                      <w:rFonts w:ascii="Times New Roman" w:hAnsi="Times New Roman"/>
                      <w:sz w:val="28"/>
                      <w:szCs w:val="28"/>
                      <w:lang w:val="uk-UA"/>
                    </w:rPr>
                  </w:pPr>
                  <w:r>
                    <w:rPr>
                      <w:rFonts w:ascii="Times New Roman" w:hAnsi="Times New Roman"/>
                      <w:sz w:val="28"/>
                      <w:szCs w:val="28"/>
                      <w:lang w:val="uk-UA"/>
                    </w:rPr>
                    <w:t>У хворих з відкритим втручанням</w:t>
                  </w:r>
                </w:p>
              </w:txbxContent>
            </v:textbox>
          </v:shape>
        </w:pict>
      </w:r>
      <w:r w:rsidRPr="00487043">
        <w:rPr>
          <w:rFonts w:ascii="Times New Roman" w:hAnsi="Times New Roman"/>
          <w:noProof/>
          <w:sz w:val="28"/>
          <w:szCs w:val="28"/>
          <w:lang w:val="en-US" w:eastAsia="en-US"/>
        </w:rPr>
        <w:pict>
          <v:shape id="_x0000_s2263" type="#_x0000_t202" style="position:absolute;left:0;text-align:left;margin-left:-34.95pt;margin-top:10.8pt;width:249.65pt;height:24pt;z-index:251679232;mso-width-relative:margin;mso-height-relative:margin" stroked="f">
            <v:textbox style="mso-next-textbox:#_x0000_s2263">
              <w:txbxContent>
                <w:p w:rsidR="00DA0A21" w:rsidRPr="00A56716" w:rsidRDefault="00DA0A21" w:rsidP="003A6D02">
                  <w:pPr>
                    <w:rPr>
                      <w:rFonts w:ascii="Times New Roman" w:hAnsi="Times New Roman"/>
                      <w:sz w:val="28"/>
                      <w:szCs w:val="28"/>
                      <w:lang w:val="uk-UA"/>
                    </w:rPr>
                  </w:pPr>
                  <w:r>
                    <w:rPr>
                      <w:rFonts w:ascii="Times New Roman" w:hAnsi="Times New Roman"/>
                      <w:sz w:val="28"/>
                      <w:szCs w:val="28"/>
                      <w:lang w:val="uk-UA"/>
                    </w:rPr>
                    <w:t xml:space="preserve"> У</w:t>
                  </w:r>
                  <w:r w:rsidRPr="00A56716">
                    <w:rPr>
                      <w:rFonts w:ascii="Times New Roman" w:hAnsi="Times New Roman"/>
                      <w:sz w:val="28"/>
                      <w:szCs w:val="28"/>
                      <w:lang w:val="uk-UA"/>
                    </w:rPr>
                    <w:t xml:space="preserve"> хворих з ЧБА</w:t>
                  </w:r>
                </w:p>
              </w:txbxContent>
            </v:textbox>
          </v:shape>
        </w:pic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487043">
        <w:rPr>
          <w:rFonts w:ascii="Times New Roman" w:hAnsi="Times New Roman"/>
          <w:noProof/>
          <w:sz w:val="28"/>
          <w:szCs w:val="28"/>
          <w:lang w:val="uk-UA" w:eastAsia="en-US"/>
        </w:rPr>
        <w:pict>
          <v:rect id="_x0000_s2266" style="position:absolute;left:0;text-align:left;margin-left:232.15pt;margin-top:237.1pt;width:240pt;height:24.6pt;z-index:251682304;mso-width-relative:margin;mso-height-relative:margin" stroked="f">
            <v:textbox>
              <w:txbxContent>
                <w:p w:rsidR="00DA0A21" w:rsidRPr="00DD10F7" w:rsidRDefault="00DA0A21" w:rsidP="003A6D02">
                  <w:pPr>
                    <w:rPr>
                      <w:rFonts w:ascii="Times New Roman" w:hAnsi="Times New Roman"/>
                      <w:sz w:val="28"/>
                      <w:szCs w:val="28"/>
                      <w:lang w:val="uk-UA"/>
                    </w:rPr>
                  </w:pPr>
                  <w:r w:rsidRPr="00DD10F7">
                    <w:rPr>
                      <w:rFonts w:ascii="Times New Roman" w:hAnsi="Times New Roman"/>
                      <w:sz w:val="28"/>
                      <w:szCs w:val="28"/>
                      <w:lang w:val="uk-UA"/>
                    </w:rPr>
                    <w:t>У хворих з симпатектомією</w:t>
                  </w:r>
                </w:p>
              </w:txbxContent>
            </v:textbox>
          </v:rect>
        </w:pict>
      </w:r>
      <w:r w:rsidRPr="00487043">
        <w:rPr>
          <w:rFonts w:ascii="Times New Roman" w:hAnsi="Times New Roman"/>
          <w:noProof/>
          <w:sz w:val="28"/>
          <w:szCs w:val="28"/>
          <w:lang w:val="uk-UA" w:eastAsia="en-US"/>
        </w:rPr>
        <w:pict>
          <v:shape id="_x0000_s2265" type="#_x0000_t202" style="position:absolute;left:0;text-align:left;margin-left:-34.95pt;margin-top:237.1pt;width:249.65pt;height:24.6pt;z-index:251681280;mso-width-relative:margin;mso-height-relative:margin" stroked="f">
            <v:textbox style="mso-next-textbox:#_x0000_s2265">
              <w:txbxContent>
                <w:p w:rsidR="00DA0A21" w:rsidRPr="00801963" w:rsidRDefault="00DA0A21" w:rsidP="003A6D02">
                  <w:pPr>
                    <w:rPr>
                      <w:rFonts w:ascii="Times New Roman" w:hAnsi="Times New Roman"/>
                      <w:sz w:val="28"/>
                      <w:szCs w:val="28"/>
                      <w:lang w:val="uk-UA"/>
                    </w:rPr>
                  </w:pPr>
                  <w:r w:rsidRPr="00801963">
                    <w:rPr>
                      <w:rFonts w:ascii="Times New Roman" w:hAnsi="Times New Roman"/>
                      <w:sz w:val="28"/>
                      <w:szCs w:val="28"/>
                      <w:lang w:val="uk-UA"/>
                    </w:rPr>
                    <w:t>У хворих з консервативною терапією</w:t>
                  </w:r>
                </w:p>
              </w:txbxContent>
            </v:textbox>
          </v:shape>
        </w:pict>
      </w:r>
    </w:p>
    <w:p w:rsidR="003A6D02" w:rsidRPr="00932174" w:rsidRDefault="00487043" w:rsidP="00C03E66">
      <w:pPr>
        <w:tabs>
          <w:tab w:val="left" w:pos="180"/>
          <w:tab w:val="left" w:pos="540"/>
          <w:tab w:val="left" w:pos="720"/>
        </w:tabs>
        <w:spacing w:after="0" w:line="360" w:lineRule="auto"/>
        <w:ind w:left="-567" w:firstLine="567"/>
        <w:jc w:val="both"/>
        <w:rPr>
          <w:rFonts w:ascii="Times New Roman" w:hAnsi="Times New Roman"/>
          <w:sz w:val="28"/>
          <w:szCs w:val="28"/>
        </w:rPr>
      </w:pPr>
      <w:r w:rsidRPr="00487043">
        <w:rPr>
          <w:rFonts w:ascii="Times New Roman" w:hAnsi="Times New Roman"/>
          <w:noProof/>
          <w:sz w:val="28"/>
          <w:szCs w:val="28"/>
          <w:lang w:val="uk-UA" w:eastAsia="en-US"/>
        </w:rPr>
        <w:pict>
          <v:shape id="_x0000_s2267" type="#_x0000_t202" style="position:absolute;left:0;text-align:left;margin-left:-34.95pt;margin-top:9.85pt;width:493.35pt;height:36.45pt;z-index:251683328;mso-height-percent:200;mso-height-percent:200;mso-width-relative:margin;mso-height-relative:margin" strokecolor="white">
            <v:textbox style="mso-next-textbox:#_x0000_s2267;mso-fit-shape-to-text:t">
              <w:txbxContent>
                <w:p w:rsidR="00DA0A21" w:rsidRPr="007B7722" w:rsidRDefault="00DA0A21" w:rsidP="003A6D02">
                  <w:pPr>
                    <w:jc w:val="center"/>
                    <w:rPr>
                      <w:rFonts w:ascii="Times New Roman" w:hAnsi="Times New Roman"/>
                      <w:sz w:val="28"/>
                      <w:szCs w:val="28"/>
                      <w:lang w:val="uk-UA"/>
                    </w:rPr>
                  </w:pPr>
                  <w:r>
                    <w:rPr>
                      <w:rFonts w:ascii="Times New Roman" w:hAnsi="Times New Roman"/>
                      <w:sz w:val="28"/>
                      <w:szCs w:val="28"/>
                      <w:lang w:val="uk-UA"/>
                    </w:rPr>
                    <w:t>Рис. 6.4</w:t>
                  </w:r>
                  <w:r w:rsidRPr="007B7722">
                    <w:rPr>
                      <w:rFonts w:ascii="Times New Roman" w:hAnsi="Times New Roman"/>
                      <w:sz w:val="28"/>
                      <w:szCs w:val="28"/>
                      <w:lang w:val="uk-UA"/>
                    </w:rPr>
                    <w:t xml:space="preserve"> Динаміка рівню </w:t>
                  </w:r>
                  <w:r>
                    <w:rPr>
                      <w:rFonts w:ascii="Times New Roman" w:hAnsi="Times New Roman"/>
                      <w:sz w:val="28"/>
                      <w:szCs w:val="28"/>
                      <w:lang w:val="uk-UA"/>
                    </w:rPr>
                    <w:t xml:space="preserve">ПФ </w:t>
                  </w:r>
                  <w:r w:rsidRPr="007B7722">
                    <w:rPr>
                      <w:rFonts w:ascii="Times New Roman" w:hAnsi="Times New Roman"/>
                      <w:sz w:val="28"/>
                      <w:szCs w:val="28"/>
                      <w:lang w:val="uk-UA"/>
                    </w:rPr>
                    <w:t>у хворих основної групи та групи порівняння</w:t>
                  </w:r>
                </w:p>
              </w:txbxContent>
            </v:textbox>
          </v:shape>
        </w:pict>
      </w:r>
    </w:p>
    <w:p w:rsidR="00C03E66" w:rsidRPr="00932174" w:rsidRDefault="00C03E66" w:rsidP="00C03E66">
      <w:pPr>
        <w:tabs>
          <w:tab w:val="left" w:pos="180"/>
          <w:tab w:val="left" w:pos="540"/>
          <w:tab w:val="left" w:pos="720"/>
        </w:tabs>
        <w:spacing w:after="0" w:line="360" w:lineRule="auto"/>
        <w:ind w:left="-567" w:firstLine="567"/>
        <w:jc w:val="both"/>
        <w:rPr>
          <w:rFonts w:ascii="Times New Roman" w:hAnsi="Times New Roman"/>
          <w:sz w:val="28"/>
          <w:szCs w:val="28"/>
        </w:rPr>
      </w:pPr>
    </w:p>
    <w:p w:rsidR="003A6D02" w:rsidRDefault="003A6D02" w:rsidP="003A6D02">
      <w:pPr>
        <w:tabs>
          <w:tab w:val="left" w:pos="180"/>
          <w:tab w:val="left" w:pos="540"/>
          <w:tab w:val="left" w:pos="720"/>
        </w:tabs>
        <w:spacing w:line="360" w:lineRule="auto"/>
        <w:ind w:left="-567" w:firstLine="567"/>
        <w:jc w:val="both"/>
        <w:rPr>
          <w:rFonts w:ascii="Times New Roman" w:hAnsi="Times New Roman"/>
          <w:sz w:val="28"/>
          <w:lang w:val="uk-UA"/>
        </w:rPr>
      </w:pPr>
      <w:r w:rsidRPr="00805F63">
        <w:rPr>
          <w:rFonts w:ascii="Times New Roman" w:hAnsi="Times New Roman"/>
          <w:sz w:val="28"/>
          <w:szCs w:val="28"/>
          <w:lang w:val="uk-UA"/>
        </w:rPr>
        <w:t xml:space="preserve">Динаміка зміни </w:t>
      </w:r>
      <w:r>
        <w:rPr>
          <w:rFonts w:ascii="Times New Roman" w:hAnsi="Times New Roman"/>
          <w:sz w:val="28"/>
          <w:szCs w:val="28"/>
          <w:lang w:val="uk-UA"/>
        </w:rPr>
        <w:t>ДБХ</w:t>
      </w:r>
      <w:r w:rsidRPr="00805F63">
        <w:rPr>
          <w:rFonts w:ascii="Times New Roman" w:hAnsi="Times New Roman"/>
          <w:sz w:val="28"/>
          <w:szCs w:val="28"/>
          <w:lang w:val="uk-UA"/>
        </w:rPr>
        <w:t xml:space="preserve"> у хворих досліджуваних груп представлена на рис.</w:t>
      </w:r>
      <w:r>
        <w:rPr>
          <w:rFonts w:ascii="Times New Roman" w:hAnsi="Times New Roman"/>
          <w:sz w:val="28"/>
          <w:szCs w:val="28"/>
          <w:lang w:val="uk-UA"/>
        </w:rPr>
        <w:t xml:space="preserve"> 6.5. </w:t>
      </w:r>
      <w:r w:rsidRPr="001377D6">
        <w:rPr>
          <w:rFonts w:ascii="Times New Roman" w:hAnsi="Times New Roman"/>
          <w:sz w:val="28"/>
          <w:lang w:val="uk-UA"/>
        </w:rPr>
        <w:t xml:space="preserve">При порівнянні показників ДБХ у хворих, яким виконували  ЧБА, було відмічено, що цей показник у хворих основної групи у строки через 6 та 12 </w:t>
      </w:r>
      <w:r w:rsidRPr="00C37592">
        <w:rPr>
          <w:rFonts w:ascii="Times New Roman" w:hAnsi="Times New Roman"/>
          <w:color w:val="000000"/>
          <w:sz w:val="28"/>
          <w:szCs w:val="28"/>
          <w:lang w:val="uk-UA"/>
        </w:rPr>
        <w:t>місяців</w:t>
      </w:r>
      <w:r w:rsidRPr="001377D6">
        <w:rPr>
          <w:rFonts w:ascii="Times New Roman" w:hAnsi="Times New Roman"/>
          <w:sz w:val="28"/>
          <w:lang w:val="uk-UA"/>
        </w:rPr>
        <w:t xml:space="preserve"> був вірогідно вищим</w:t>
      </w:r>
      <w:r>
        <w:rPr>
          <w:rFonts w:ascii="Times New Roman" w:hAnsi="Times New Roman"/>
          <w:sz w:val="28"/>
          <w:lang w:val="uk-UA"/>
        </w:rPr>
        <w:t>,</w:t>
      </w:r>
      <w:r w:rsidRPr="001377D6">
        <w:rPr>
          <w:rFonts w:ascii="Times New Roman" w:hAnsi="Times New Roman"/>
          <w:sz w:val="28"/>
          <w:lang w:val="uk-UA"/>
        </w:rPr>
        <w:t xml:space="preserve"> відповідно</w:t>
      </w:r>
      <w:r>
        <w:rPr>
          <w:rFonts w:ascii="Times New Roman" w:hAnsi="Times New Roman"/>
          <w:sz w:val="28"/>
          <w:lang w:val="uk-UA"/>
        </w:rPr>
        <w:t>,</w:t>
      </w:r>
      <w:r w:rsidRPr="001377D6">
        <w:rPr>
          <w:rFonts w:ascii="Times New Roman" w:hAnsi="Times New Roman"/>
          <w:sz w:val="28"/>
          <w:lang w:val="uk-UA"/>
        </w:rPr>
        <w:t xml:space="preserve"> на 32% (р=0,047) та на 18,1% (р=0,043) за цей </w:t>
      </w:r>
      <w:r w:rsidRPr="001377D6">
        <w:rPr>
          <w:rFonts w:ascii="Times New Roman" w:hAnsi="Times New Roman"/>
          <w:sz w:val="28"/>
          <w:lang w:val="uk-UA"/>
        </w:rPr>
        <w:lastRenderedPageBreak/>
        <w:t>показник у групі порівняння.</w:t>
      </w:r>
      <w:r w:rsidRPr="001377D6">
        <w:rPr>
          <w:rFonts w:ascii="Times New Roman" w:hAnsi="Times New Roman"/>
          <w:sz w:val="28"/>
          <w:shd w:val="clear" w:color="auto" w:fill="FFFFFF"/>
          <w:lang w:val="uk-UA"/>
        </w:rPr>
        <w:t xml:space="preserve"> Ці показники </w:t>
      </w:r>
      <w:r>
        <w:rPr>
          <w:rFonts w:ascii="Times New Roman" w:hAnsi="Times New Roman"/>
          <w:sz w:val="28"/>
          <w:shd w:val="clear" w:color="auto" w:fill="FFFFFF"/>
          <w:lang w:val="uk-UA"/>
        </w:rPr>
        <w:t xml:space="preserve">вірогідно </w:t>
      </w:r>
      <w:r w:rsidRPr="001377D6">
        <w:rPr>
          <w:rFonts w:ascii="Times New Roman" w:hAnsi="Times New Roman"/>
          <w:sz w:val="28"/>
          <w:shd w:val="clear" w:color="auto" w:fill="FFFFFF"/>
          <w:lang w:val="uk-UA"/>
        </w:rPr>
        <w:t>відрізнялися від вихідного рівню (</w:t>
      </w:r>
      <w:r w:rsidRPr="001377D6">
        <w:rPr>
          <w:rFonts w:ascii="Times New Roman" w:hAnsi="Times New Roman"/>
          <w:sz w:val="28"/>
          <w:lang w:val="uk-UA"/>
        </w:rPr>
        <w:t xml:space="preserve">р=0,000). </w: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r w:rsidRPr="00487043">
        <w:rPr>
          <w:rFonts w:ascii="Times New Roman" w:hAnsi="Times New Roman"/>
          <w:noProof/>
          <w:sz w:val="28"/>
          <w:szCs w:val="28"/>
        </w:rPr>
        <w:pict>
          <v:shape id="_x0000_s2280" type="#_x0000_t202" style="position:absolute;left:0;text-align:left;margin-left:-34.95pt;margin-top:-6.5pt;width:508.7pt;height:237.9pt;z-index:251696640" stroked="f">
            <v:textbox>
              <w:txbxContent>
                <w:p w:rsidR="00DA0A21" w:rsidRPr="003A7DAE" w:rsidRDefault="00DA0A21" w:rsidP="003A6D02">
                  <w:pPr>
                    <w:rPr>
                      <w:lang w:val="uk-UA"/>
                    </w:rPr>
                  </w:pPr>
                  <w:r>
                    <w:rPr>
                      <w:noProof/>
                    </w:rPr>
                    <w:drawing>
                      <wp:inline distT="0" distB="0" distL="0" distR="0">
                        <wp:extent cx="3134995" cy="2778760"/>
                        <wp:effectExtent l="0" t="0" r="0" b="0"/>
                        <wp:docPr id="6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r>
                    <w:rPr>
                      <w:noProof/>
                    </w:rPr>
                    <w:drawing>
                      <wp:inline distT="0" distB="0" distL="0" distR="0">
                        <wp:extent cx="3040380" cy="2766695"/>
                        <wp:effectExtent l="0" t="0" r="0" b="0"/>
                        <wp:docPr id="67"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txbxContent>
            </v:textbox>
          </v:shape>
        </w:pict>
      </w: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r w:rsidRPr="00487043">
        <w:rPr>
          <w:noProof/>
        </w:rPr>
        <w:pict>
          <v:shape id="_x0000_s2281" type="#_x0000_t202" style="position:absolute;left:0;text-align:left;margin-left:-34.95pt;margin-top:38.05pt;width:508.7pt;height:242.1pt;z-index:251697664" stroked="f">
            <v:textbox>
              <w:txbxContent>
                <w:p w:rsidR="00DA0A21" w:rsidRPr="000307BE" w:rsidRDefault="00DA0A21" w:rsidP="003A6D02">
                  <w:pPr>
                    <w:tabs>
                      <w:tab w:val="left" w:pos="180"/>
                      <w:tab w:val="left" w:pos="540"/>
                      <w:tab w:val="left" w:pos="720"/>
                    </w:tabs>
                    <w:spacing w:after="0" w:line="360" w:lineRule="auto"/>
                    <w:jc w:val="both"/>
                    <w:rPr>
                      <w:rFonts w:ascii="Times New Roman" w:hAnsi="Times New Roman"/>
                      <w:color w:val="FF0000"/>
                      <w:sz w:val="28"/>
                      <w:szCs w:val="28"/>
                      <w:lang w:val="uk-UA"/>
                    </w:rPr>
                  </w:pPr>
                  <w:r>
                    <w:rPr>
                      <w:rFonts w:ascii="Times New Roman" w:hAnsi="Times New Roman"/>
                      <w:noProof/>
                      <w:color w:val="FF0000"/>
                      <w:sz w:val="28"/>
                      <w:szCs w:val="28"/>
                    </w:rPr>
                    <w:drawing>
                      <wp:inline distT="0" distB="0" distL="0" distR="0">
                        <wp:extent cx="3182620" cy="3063875"/>
                        <wp:effectExtent l="0" t="0" r="0" b="0"/>
                        <wp:docPr id="1"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r>
                    <w:rPr>
                      <w:rFonts w:ascii="Times New Roman" w:hAnsi="Times New Roman"/>
                      <w:noProof/>
                      <w:color w:val="FF0000"/>
                      <w:sz w:val="28"/>
                      <w:szCs w:val="28"/>
                    </w:rPr>
                    <w:drawing>
                      <wp:inline distT="0" distB="0" distL="0" distR="0">
                        <wp:extent cx="3040380" cy="3063875"/>
                        <wp:effectExtent l="0" t="0" r="0" b="0"/>
                        <wp:docPr id="6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txbxContent>
            </v:textbox>
            <w10:wrap type="square"/>
          </v:shape>
        </w:pict>
      </w:r>
      <w:r w:rsidRPr="00487043">
        <w:rPr>
          <w:rFonts w:ascii="Times New Roman" w:hAnsi="Times New Roman"/>
          <w:noProof/>
          <w:sz w:val="28"/>
          <w:szCs w:val="28"/>
          <w:lang w:val="uk-UA" w:eastAsia="en-US"/>
        </w:rPr>
        <w:pict>
          <v:shape id="_x0000_s2269" type="#_x0000_t202" style="position:absolute;left:0;text-align:left;margin-left:233.75pt;margin-top:14.05pt;width:240pt;height:24pt;z-index:251685376;mso-width-relative:margin;mso-height-relative:margin" stroked="f">
            <v:textbox style="mso-next-textbox:#_x0000_s2269">
              <w:txbxContent>
                <w:p w:rsidR="00DA0A21" w:rsidRPr="00401DD6" w:rsidRDefault="00DA0A21" w:rsidP="003A6D02">
                  <w:pPr>
                    <w:rPr>
                      <w:rFonts w:ascii="Times New Roman" w:hAnsi="Times New Roman"/>
                      <w:sz w:val="28"/>
                      <w:szCs w:val="28"/>
                      <w:lang w:val="uk-UA"/>
                    </w:rPr>
                  </w:pPr>
                  <w:r>
                    <w:rPr>
                      <w:rFonts w:ascii="Times New Roman" w:hAnsi="Times New Roman"/>
                      <w:sz w:val="28"/>
                      <w:szCs w:val="28"/>
                      <w:lang w:val="uk-UA"/>
                    </w:rPr>
                    <w:t>У хворих з відкритим втручанням</w:t>
                  </w:r>
                </w:p>
              </w:txbxContent>
            </v:textbox>
          </v:shape>
        </w:pict>
      </w:r>
      <w:r w:rsidRPr="00487043">
        <w:rPr>
          <w:rFonts w:ascii="Times New Roman" w:hAnsi="Times New Roman"/>
          <w:noProof/>
          <w:sz w:val="28"/>
          <w:szCs w:val="28"/>
          <w:lang w:val="en-US" w:eastAsia="en-US"/>
        </w:rPr>
        <w:pict>
          <v:shape id="_x0000_s2268" type="#_x0000_t202" style="position:absolute;left:0;text-align:left;margin-left:-25.1pt;margin-top:14.05pt;width:111.3pt;height:24pt;z-index:251684352;mso-width-relative:margin;mso-height-relative:margin" stroked="f">
            <v:textbox style="mso-next-textbox:#_x0000_s2268">
              <w:txbxContent>
                <w:p w:rsidR="00DA0A21" w:rsidRPr="00A56716" w:rsidRDefault="00DA0A21" w:rsidP="003A6D02">
                  <w:pPr>
                    <w:rPr>
                      <w:rFonts w:ascii="Times New Roman" w:hAnsi="Times New Roman"/>
                      <w:sz w:val="28"/>
                      <w:szCs w:val="28"/>
                      <w:lang w:val="uk-UA"/>
                    </w:rPr>
                  </w:pPr>
                  <w:r>
                    <w:rPr>
                      <w:rFonts w:ascii="Times New Roman" w:hAnsi="Times New Roman"/>
                      <w:sz w:val="28"/>
                      <w:szCs w:val="28"/>
                      <w:lang w:val="uk-UA"/>
                    </w:rPr>
                    <w:t>У</w:t>
                  </w:r>
                  <w:r w:rsidRPr="00A56716">
                    <w:rPr>
                      <w:rFonts w:ascii="Times New Roman" w:hAnsi="Times New Roman"/>
                      <w:sz w:val="28"/>
                      <w:szCs w:val="28"/>
                      <w:lang w:val="uk-UA"/>
                    </w:rPr>
                    <w:t xml:space="preserve"> хворих з ЧБА</w:t>
                  </w:r>
                </w:p>
              </w:txbxContent>
            </v:textbox>
          </v:shape>
        </w:pict>
      </w:r>
    </w:p>
    <w:p w:rsidR="003A6D02" w:rsidRDefault="00487043" w:rsidP="003A6D02">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r w:rsidRPr="00487043">
        <w:rPr>
          <w:rFonts w:ascii="Times New Roman" w:hAnsi="Times New Roman"/>
          <w:noProof/>
          <w:sz w:val="28"/>
          <w:szCs w:val="28"/>
          <w:lang w:val="uk-UA" w:eastAsia="en-US"/>
        </w:rPr>
        <w:pict>
          <v:rect id="_x0000_s2271" style="position:absolute;left:0;text-align:left;margin-left:233.75pt;margin-top:256pt;width:240pt;height:24.6pt;z-index:251687424;mso-width-relative:margin;mso-height-relative:margin" stroked="f">
            <v:textbox>
              <w:txbxContent>
                <w:p w:rsidR="00DA0A21" w:rsidRPr="00DD10F7" w:rsidRDefault="00DA0A21" w:rsidP="003A6D02">
                  <w:pPr>
                    <w:rPr>
                      <w:rFonts w:ascii="Times New Roman" w:hAnsi="Times New Roman"/>
                      <w:sz w:val="28"/>
                      <w:szCs w:val="28"/>
                      <w:lang w:val="uk-UA"/>
                    </w:rPr>
                  </w:pPr>
                  <w:r w:rsidRPr="00DD10F7">
                    <w:rPr>
                      <w:rFonts w:ascii="Times New Roman" w:hAnsi="Times New Roman"/>
                      <w:sz w:val="28"/>
                      <w:szCs w:val="28"/>
                      <w:lang w:val="uk-UA"/>
                    </w:rPr>
                    <w:t>У хворих з симпатектомією</w:t>
                  </w:r>
                </w:p>
              </w:txbxContent>
            </v:textbox>
          </v:rect>
        </w:pict>
      </w:r>
      <w:r w:rsidRPr="00487043">
        <w:rPr>
          <w:rFonts w:ascii="Times New Roman" w:hAnsi="Times New Roman"/>
          <w:noProof/>
          <w:sz w:val="28"/>
          <w:szCs w:val="28"/>
          <w:lang w:val="uk-UA" w:eastAsia="en-US"/>
        </w:rPr>
        <w:pict>
          <v:shape id="_x0000_s2270" type="#_x0000_t202" style="position:absolute;left:0;text-align:left;margin-left:-34.95pt;margin-top:256pt;width:249.65pt;height:24.6pt;z-index:251686400;mso-width-relative:margin;mso-height-relative:margin" stroked="f">
            <v:textbox style="mso-next-textbox:#_x0000_s2270">
              <w:txbxContent>
                <w:p w:rsidR="00DA0A21" w:rsidRPr="00801963" w:rsidRDefault="00DA0A21" w:rsidP="003A6D02">
                  <w:pPr>
                    <w:rPr>
                      <w:rFonts w:ascii="Times New Roman" w:hAnsi="Times New Roman"/>
                      <w:sz w:val="28"/>
                      <w:szCs w:val="28"/>
                      <w:lang w:val="uk-UA"/>
                    </w:rPr>
                  </w:pPr>
                  <w:r w:rsidRPr="00801963">
                    <w:rPr>
                      <w:rFonts w:ascii="Times New Roman" w:hAnsi="Times New Roman"/>
                      <w:sz w:val="28"/>
                      <w:szCs w:val="28"/>
                      <w:lang w:val="uk-UA"/>
                    </w:rPr>
                    <w:t>У хворих з консервативною терапією</w:t>
                  </w:r>
                </w:p>
              </w:txbxContent>
            </v:textbox>
          </v:shape>
        </w:pict>
      </w:r>
    </w:p>
    <w:p w:rsidR="003A6D02" w:rsidRPr="00932174" w:rsidRDefault="00487043" w:rsidP="00C03E66">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r w:rsidRPr="00487043">
        <w:rPr>
          <w:rFonts w:ascii="Times New Roman" w:hAnsi="Times New Roman"/>
          <w:noProof/>
          <w:sz w:val="28"/>
          <w:szCs w:val="28"/>
          <w:lang w:val="uk-UA" w:eastAsia="en-US"/>
        </w:rPr>
        <w:pict>
          <v:shape id="_x0000_s2272" type="#_x0000_t202" style="position:absolute;left:0;text-align:left;margin-left:-25.1pt;margin-top:8.8pt;width:493.35pt;height:35.9pt;z-index:251688448;mso-width-relative:margin;mso-height-relative:margin" stroked="f">
            <v:textbox style="mso-next-textbox:#_x0000_s2272">
              <w:txbxContent>
                <w:p w:rsidR="00DA0A21" w:rsidRPr="007B7722" w:rsidRDefault="00DA0A21" w:rsidP="003A6D02">
                  <w:pPr>
                    <w:jc w:val="center"/>
                    <w:rPr>
                      <w:rFonts w:ascii="Times New Roman" w:hAnsi="Times New Roman"/>
                      <w:sz w:val="28"/>
                      <w:szCs w:val="28"/>
                      <w:lang w:val="uk-UA"/>
                    </w:rPr>
                  </w:pPr>
                  <w:r>
                    <w:rPr>
                      <w:rFonts w:ascii="Times New Roman" w:hAnsi="Times New Roman"/>
                      <w:sz w:val="28"/>
                      <w:szCs w:val="28"/>
                      <w:lang w:val="uk-UA"/>
                    </w:rPr>
                    <w:t>Рис.6.5</w:t>
                  </w:r>
                  <w:r w:rsidRPr="007B7722">
                    <w:rPr>
                      <w:rFonts w:ascii="Times New Roman" w:hAnsi="Times New Roman"/>
                      <w:sz w:val="28"/>
                      <w:szCs w:val="28"/>
                      <w:lang w:val="uk-UA"/>
                    </w:rPr>
                    <w:t xml:space="preserve"> Динаміка </w:t>
                  </w:r>
                  <w:r>
                    <w:rPr>
                      <w:rFonts w:ascii="Times New Roman" w:hAnsi="Times New Roman"/>
                      <w:sz w:val="28"/>
                      <w:szCs w:val="28"/>
                      <w:lang w:val="uk-UA"/>
                    </w:rPr>
                    <w:t xml:space="preserve">ДБХ </w:t>
                  </w:r>
                  <w:r w:rsidRPr="007B7722">
                    <w:rPr>
                      <w:rFonts w:ascii="Times New Roman" w:hAnsi="Times New Roman"/>
                      <w:sz w:val="28"/>
                      <w:szCs w:val="28"/>
                      <w:lang w:val="uk-UA"/>
                    </w:rPr>
                    <w:t>у хворих основної групи та групи порівняння</w:t>
                  </w:r>
                </w:p>
              </w:txbxContent>
            </v:textbox>
          </v:shape>
        </w:pict>
      </w:r>
    </w:p>
    <w:p w:rsidR="00C03E66" w:rsidRPr="00932174" w:rsidRDefault="00C03E66" w:rsidP="00C03E66">
      <w:pPr>
        <w:tabs>
          <w:tab w:val="left" w:pos="180"/>
          <w:tab w:val="left" w:pos="540"/>
          <w:tab w:val="left" w:pos="720"/>
        </w:tabs>
        <w:spacing w:after="0" w:line="360" w:lineRule="auto"/>
        <w:ind w:left="-567" w:firstLine="567"/>
        <w:jc w:val="both"/>
        <w:rPr>
          <w:rFonts w:ascii="Times New Roman" w:hAnsi="Times New Roman"/>
          <w:color w:val="FF0000"/>
          <w:sz w:val="28"/>
          <w:szCs w:val="28"/>
          <w:lang w:val="uk-UA"/>
        </w:rPr>
      </w:pPr>
    </w:p>
    <w:p w:rsidR="003A6D02" w:rsidRDefault="003A6D02" w:rsidP="003A6D02">
      <w:pPr>
        <w:tabs>
          <w:tab w:val="left" w:pos="180"/>
          <w:tab w:val="left" w:pos="540"/>
          <w:tab w:val="left" w:pos="720"/>
        </w:tabs>
        <w:spacing w:after="0" w:line="360" w:lineRule="auto"/>
        <w:ind w:left="-567" w:firstLine="567"/>
        <w:jc w:val="both"/>
        <w:rPr>
          <w:rFonts w:ascii="Times New Roman" w:hAnsi="Times New Roman"/>
          <w:sz w:val="28"/>
          <w:shd w:val="clear" w:color="auto" w:fill="FFFFFF"/>
          <w:lang w:val="uk-UA"/>
        </w:rPr>
      </w:pPr>
      <w:r w:rsidRPr="001377D6">
        <w:rPr>
          <w:rFonts w:ascii="Times New Roman" w:hAnsi="Times New Roman"/>
          <w:sz w:val="28"/>
          <w:lang w:val="uk-UA"/>
        </w:rPr>
        <w:t>У хворих основної групи, яким було виконано відкриту реваскуляризацію, показник ДБХ через 12 міс. після операції на 71,6% був вище за показник у групі порівняння (р=0,049</w:t>
      </w:r>
      <w:r w:rsidRPr="001377D6">
        <w:rPr>
          <w:rFonts w:ascii="Times New Roman" w:hAnsi="Times New Roman"/>
          <w:sz w:val="28"/>
          <w:shd w:val="clear" w:color="auto" w:fill="FFFFFF"/>
          <w:lang w:val="uk-UA"/>
        </w:rPr>
        <w:t xml:space="preserve">). </w:t>
      </w:r>
      <w:r>
        <w:rPr>
          <w:rFonts w:ascii="Times New Roman" w:hAnsi="Times New Roman"/>
          <w:sz w:val="28"/>
          <w:shd w:val="clear" w:color="auto" w:fill="FFFFFF"/>
        </w:rPr>
        <w:t xml:space="preserve">Слід відмітити, що у групі порівняння ДБХ протягом року спостереження скорочувалась, а у основній групі </w:t>
      </w:r>
      <w:r>
        <w:rPr>
          <w:rFonts w:ascii="Times New Roman" w:hAnsi="Times New Roman"/>
          <w:sz w:val="28"/>
          <w:shd w:val="clear" w:color="auto" w:fill="FFFFFF"/>
        </w:rPr>
        <w:sym w:font="Symbol" w:char="F02D"/>
      </w:r>
      <w:r>
        <w:rPr>
          <w:rFonts w:ascii="Times New Roman" w:hAnsi="Times New Roman"/>
          <w:sz w:val="28"/>
          <w:shd w:val="clear" w:color="auto" w:fill="FFFFFF"/>
        </w:rPr>
        <w:t xml:space="preserve"> збільшувалась (</w:t>
      </w:r>
      <w:r>
        <w:rPr>
          <w:rFonts w:ascii="Times New Roman" w:hAnsi="Times New Roman"/>
          <w:sz w:val="28"/>
          <w:shd w:val="clear" w:color="auto" w:fill="FFFFFF"/>
        </w:rPr>
        <w:sym w:font="Symbol" w:char="F063"/>
      </w:r>
      <w:r>
        <w:rPr>
          <w:rFonts w:ascii="Times New Roman" w:hAnsi="Times New Roman"/>
          <w:sz w:val="28"/>
          <w:shd w:val="clear" w:color="auto" w:fill="FFFFFF"/>
        </w:rPr>
        <w:t>2</w:t>
      </w:r>
      <w:r>
        <w:rPr>
          <w:rFonts w:ascii="Times New Roman" w:hAnsi="Times New Roman"/>
          <w:sz w:val="28"/>
          <w:shd w:val="clear" w:color="auto" w:fill="FFFFFF"/>
        </w:rPr>
        <w:sym w:font="Symbol" w:char="F03D"/>
      </w:r>
      <w:r>
        <w:rPr>
          <w:rFonts w:ascii="Times New Roman" w:hAnsi="Times New Roman"/>
          <w:sz w:val="28"/>
          <w:shd w:val="clear" w:color="auto" w:fill="FFFFFF"/>
        </w:rPr>
        <w:t xml:space="preserve">30,148, </w:t>
      </w:r>
      <w:r>
        <w:rPr>
          <w:rFonts w:ascii="Times New Roman" w:hAnsi="Times New Roman"/>
          <w:sz w:val="28"/>
          <w:shd w:val="clear" w:color="auto" w:fill="FFFFFF"/>
        </w:rPr>
        <w:lastRenderedPageBreak/>
        <w:t>р</w:t>
      </w:r>
      <w:r>
        <w:rPr>
          <w:rFonts w:ascii="Times New Roman" w:hAnsi="Times New Roman"/>
          <w:sz w:val="28"/>
          <w:shd w:val="clear" w:color="auto" w:fill="FFFFFF"/>
        </w:rPr>
        <w:sym w:font="Symbol" w:char="F03D"/>
      </w:r>
      <w:r>
        <w:rPr>
          <w:rFonts w:ascii="Times New Roman" w:hAnsi="Times New Roman"/>
          <w:sz w:val="28"/>
          <w:shd w:val="clear" w:color="auto" w:fill="FFFFFF"/>
        </w:rPr>
        <w:t xml:space="preserve">0,000). Хворі, що лікувалися консервативним методом, ДБХ у основній групі у строк через 6 </w:t>
      </w:r>
      <w:r w:rsidRPr="004B3E97">
        <w:rPr>
          <w:rFonts w:ascii="Times New Roman" w:hAnsi="Times New Roman"/>
          <w:color w:val="000000"/>
          <w:sz w:val="28"/>
          <w:szCs w:val="28"/>
        </w:rPr>
        <w:t>міс</w:t>
      </w:r>
      <w:r>
        <w:rPr>
          <w:rFonts w:ascii="Times New Roman" w:hAnsi="Times New Roman"/>
          <w:color w:val="000000"/>
          <w:sz w:val="28"/>
          <w:szCs w:val="28"/>
        </w:rPr>
        <w:t>яців</w:t>
      </w:r>
      <w:r>
        <w:rPr>
          <w:rFonts w:ascii="Times New Roman" w:hAnsi="Times New Roman"/>
          <w:sz w:val="28"/>
          <w:shd w:val="clear" w:color="auto" w:fill="FFFFFF"/>
        </w:rPr>
        <w:t xml:space="preserve"> на 82,3% та через 12 </w:t>
      </w:r>
      <w:r w:rsidRPr="004B3E97">
        <w:rPr>
          <w:rFonts w:ascii="Times New Roman" w:hAnsi="Times New Roman"/>
          <w:color w:val="000000"/>
          <w:sz w:val="28"/>
          <w:szCs w:val="28"/>
        </w:rPr>
        <w:t>міс</w:t>
      </w:r>
      <w:r>
        <w:rPr>
          <w:rFonts w:ascii="Times New Roman" w:hAnsi="Times New Roman"/>
          <w:color w:val="000000"/>
          <w:sz w:val="28"/>
          <w:szCs w:val="28"/>
        </w:rPr>
        <w:t>яців</w:t>
      </w:r>
      <w:r>
        <w:rPr>
          <w:rFonts w:ascii="Times New Roman" w:hAnsi="Times New Roman"/>
          <w:sz w:val="28"/>
          <w:shd w:val="clear" w:color="auto" w:fill="FFFFFF"/>
        </w:rPr>
        <w:t xml:space="preserve"> – на 112,4% була більшою, ніж у групи порівняння (</w:t>
      </w:r>
      <w:r>
        <w:rPr>
          <w:rFonts w:ascii="Times New Roman" w:hAnsi="Times New Roman"/>
          <w:sz w:val="28"/>
        </w:rPr>
        <w:t>р=0,000</w:t>
      </w:r>
      <w:r>
        <w:rPr>
          <w:rFonts w:ascii="Times New Roman" w:hAnsi="Times New Roman"/>
          <w:sz w:val="28"/>
          <w:shd w:val="clear" w:color="auto" w:fill="FFFFFF"/>
        </w:rPr>
        <w:t>). При цьому порівняння ДБХ в обох групах протягом року спостереження було вірогідним (</w:t>
      </w:r>
      <w:r>
        <w:rPr>
          <w:rFonts w:ascii="Times New Roman" w:hAnsi="Times New Roman"/>
          <w:sz w:val="28"/>
          <w:shd w:val="clear" w:color="auto" w:fill="FFFFFF"/>
        </w:rPr>
        <w:sym w:font="Symbol" w:char="F063"/>
      </w:r>
      <w:r>
        <w:rPr>
          <w:rFonts w:ascii="Times New Roman" w:hAnsi="Times New Roman"/>
          <w:sz w:val="28"/>
          <w:shd w:val="clear" w:color="auto" w:fill="FFFFFF"/>
        </w:rPr>
        <w:t>2</w:t>
      </w:r>
      <w:r>
        <w:rPr>
          <w:rFonts w:ascii="Times New Roman" w:hAnsi="Times New Roman"/>
          <w:sz w:val="28"/>
          <w:shd w:val="clear" w:color="auto" w:fill="FFFFFF"/>
        </w:rPr>
        <w:sym w:font="Symbol" w:char="F03D"/>
      </w:r>
      <w:r>
        <w:rPr>
          <w:rFonts w:ascii="Times New Roman" w:hAnsi="Times New Roman"/>
          <w:sz w:val="28"/>
          <w:shd w:val="clear" w:color="auto" w:fill="FFFFFF"/>
        </w:rPr>
        <w:t>28,725, р</w:t>
      </w:r>
      <w:r>
        <w:rPr>
          <w:rFonts w:ascii="Times New Roman" w:hAnsi="Times New Roman"/>
          <w:sz w:val="28"/>
          <w:shd w:val="clear" w:color="auto" w:fill="FFFFFF"/>
        </w:rPr>
        <w:sym w:font="Symbol" w:char="F03D"/>
      </w:r>
      <w:r>
        <w:rPr>
          <w:rFonts w:ascii="Times New Roman" w:hAnsi="Times New Roman"/>
          <w:sz w:val="28"/>
          <w:shd w:val="clear" w:color="auto" w:fill="FFFFFF"/>
        </w:rPr>
        <w:t>0,000).</w:t>
      </w:r>
    </w:p>
    <w:p w:rsidR="003A6D02" w:rsidRDefault="003A6D02" w:rsidP="003A6D02">
      <w:pPr>
        <w:widowControl w:val="0"/>
        <w:spacing w:after="0" w:line="360" w:lineRule="auto"/>
        <w:ind w:left="-567" w:firstLine="709"/>
        <w:jc w:val="both"/>
        <w:rPr>
          <w:rFonts w:ascii="Times New Roman" w:hAnsi="Times New Roman"/>
          <w:sz w:val="28"/>
          <w:szCs w:val="28"/>
          <w:lang w:val="uk-UA"/>
        </w:rPr>
      </w:pPr>
      <w:r w:rsidRPr="00C55ACD">
        <w:rPr>
          <w:rFonts w:ascii="Times New Roman" w:hAnsi="Times New Roman"/>
          <w:sz w:val="28"/>
          <w:szCs w:val="28"/>
          <w:lang w:val="uk-UA"/>
        </w:rPr>
        <w:t>Таким чином, у пацієнтів з ХКІНК при</w:t>
      </w:r>
      <w:r>
        <w:rPr>
          <w:rFonts w:ascii="Times New Roman" w:hAnsi="Times New Roman"/>
          <w:sz w:val="28"/>
          <w:szCs w:val="28"/>
          <w:lang w:val="uk-UA"/>
        </w:rPr>
        <w:t xml:space="preserve"> </w:t>
      </w:r>
      <w:r w:rsidRPr="00C55ACD">
        <w:rPr>
          <w:rFonts w:ascii="Times New Roman" w:hAnsi="Times New Roman"/>
          <w:sz w:val="28"/>
          <w:szCs w:val="28"/>
          <w:lang w:val="uk-UA"/>
        </w:rPr>
        <w:t xml:space="preserve">дистальному типі </w:t>
      </w:r>
      <w:r>
        <w:rPr>
          <w:rFonts w:ascii="Times New Roman" w:hAnsi="Times New Roman"/>
          <w:sz w:val="28"/>
          <w:szCs w:val="28"/>
          <w:lang w:val="uk-UA"/>
        </w:rPr>
        <w:t>ураження ц</w:t>
      </w:r>
      <w:r w:rsidRPr="00CF3EDE">
        <w:rPr>
          <w:rFonts w:ascii="Times New Roman" w:hAnsi="Times New Roman"/>
          <w:sz w:val="28"/>
          <w:szCs w:val="28"/>
          <w:lang w:val="uk-UA"/>
        </w:rPr>
        <w:t>ільовим є повна реваскуляризація кінцівки з прямим</w:t>
      </w:r>
      <w:r>
        <w:rPr>
          <w:rFonts w:ascii="Times New Roman" w:hAnsi="Times New Roman"/>
          <w:sz w:val="28"/>
          <w:szCs w:val="28"/>
          <w:lang w:val="uk-UA"/>
        </w:rPr>
        <w:t xml:space="preserve"> </w:t>
      </w:r>
      <w:r w:rsidRPr="00CF3EDE">
        <w:rPr>
          <w:rFonts w:ascii="Times New Roman" w:hAnsi="Times New Roman"/>
          <w:sz w:val="28"/>
          <w:szCs w:val="28"/>
          <w:lang w:val="uk-UA"/>
        </w:rPr>
        <w:t>магістральним кровотоком по артеріях стопи та артеріальн</w:t>
      </w:r>
      <w:r>
        <w:rPr>
          <w:rFonts w:ascii="Times New Roman" w:hAnsi="Times New Roman"/>
          <w:sz w:val="28"/>
          <w:szCs w:val="28"/>
          <w:lang w:val="uk-UA"/>
        </w:rPr>
        <w:t>ій</w:t>
      </w:r>
      <w:r w:rsidRPr="00CF3EDE">
        <w:rPr>
          <w:rFonts w:ascii="Times New Roman" w:hAnsi="Times New Roman"/>
          <w:sz w:val="28"/>
          <w:szCs w:val="28"/>
          <w:lang w:val="uk-UA"/>
        </w:rPr>
        <w:t xml:space="preserve"> підошовн</w:t>
      </w:r>
      <w:r>
        <w:rPr>
          <w:rFonts w:ascii="Times New Roman" w:hAnsi="Times New Roman"/>
          <w:sz w:val="28"/>
          <w:szCs w:val="28"/>
          <w:lang w:val="uk-UA"/>
        </w:rPr>
        <w:t>ій</w:t>
      </w:r>
      <w:r w:rsidR="00C03E66">
        <w:rPr>
          <w:rFonts w:ascii="Times New Roman" w:hAnsi="Times New Roman"/>
          <w:sz w:val="28"/>
          <w:szCs w:val="28"/>
          <w:lang w:val="uk-UA"/>
        </w:rPr>
        <w:t xml:space="preserve"> дузі. </w:t>
      </w:r>
      <w:r w:rsidRPr="00C55ACD">
        <w:rPr>
          <w:rFonts w:ascii="Times New Roman" w:hAnsi="Times New Roman"/>
          <w:sz w:val="28"/>
          <w:szCs w:val="28"/>
          <w:lang w:val="uk-UA"/>
        </w:rPr>
        <w:t>Поліпшенню результатів лікування сприяє розроблений нами спосіб використання стімуляції неоангіогенезу</w:t>
      </w:r>
      <w:r>
        <w:rPr>
          <w:rFonts w:ascii="Times New Roman" w:hAnsi="Times New Roman"/>
          <w:sz w:val="28"/>
          <w:szCs w:val="28"/>
          <w:lang w:val="uk-UA"/>
        </w:rPr>
        <w:t xml:space="preserve">, який </w:t>
      </w:r>
      <w:r w:rsidRPr="00CF3EDE">
        <w:rPr>
          <w:rFonts w:ascii="Times New Roman" w:hAnsi="Times New Roman"/>
          <w:sz w:val="28"/>
          <w:szCs w:val="28"/>
          <w:lang w:val="uk-UA"/>
        </w:rPr>
        <w:t>компенс</w:t>
      </w:r>
      <w:r>
        <w:rPr>
          <w:rFonts w:ascii="Times New Roman" w:hAnsi="Times New Roman"/>
          <w:sz w:val="28"/>
          <w:szCs w:val="28"/>
          <w:lang w:val="uk-UA"/>
        </w:rPr>
        <w:t>ує  кровотік</w:t>
      </w:r>
      <w:r w:rsidRPr="00CF3EDE">
        <w:rPr>
          <w:rFonts w:ascii="Times New Roman" w:hAnsi="Times New Roman"/>
          <w:sz w:val="28"/>
          <w:szCs w:val="28"/>
          <w:lang w:val="uk-UA"/>
        </w:rPr>
        <w:t xml:space="preserve"> в</w:t>
      </w:r>
      <w:r>
        <w:rPr>
          <w:rFonts w:ascii="Times New Roman" w:hAnsi="Times New Roman"/>
          <w:sz w:val="28"/>
          <w:szCs w:val="28"/>
          <w:lang w:val="uk-UA"/>
        </w:rPr>
        <w:t xml:space="preserve"> </w:t>
      </w:r>
      <w:r w:rsidRPr="00CF3EDE">
        <w:rPr>
          <w:rFonts w:ascii="Times New Roman" w:hAnsi="Times New Roman"/>
          <w:sz w:val="28"/>
          <w:szCs w:val="28"/>
          <w:lang w:val="uk-UA"/>
        </w:rPr>
        <w:t xml:space="preserve">стопі через колатералі. </w:t>
      </w:r>
      <w:r>
        <w:rPr>
          <w:rFonts w:ascii="Times New Roman" w:hAnsi="Times New Roman"/>
          <w:sz w:val="28"/>
          <w:szCs w:val="28"/>
          <w:lang w:val="uk-UA"/>
        </w:rPr>
        <w:t>М</w:t>
      </w:r>
      <w:r w:rsidRPr="00CF3EDE">
        <w:rPr>
          <w:rFonts w:ascii="Times New Roman" w:hAnsi="Times New Roman"/>
          <w:sz w:val="28"/>
          <w:szCs w:val="28"/>
          <w:lang w:val="uk-UA"/>
        </w:rPr>
        <w:t>етодом вибору способу</w:t>
      </w:r>
      <w:r>
        <w:rPr>
          <w:rFonts w:ascii="Times New Roman" w:hAnsi="Times New Roman"/>
          <w:sz w:val="28"/>
          <w:szCs w:val="28"/>
          <w:lang w:val="uk-UA"/>
        </w:rPr>
        <w:t xml:space="preserve"> реваскуляризації є Ч</w:t>
      </w:r>
      <w:r w:rsidRPr="00CF3EDE">
        <w:rPr>
          <w:rFonts w:ascii="Times New Roman" w:hAnsi="Times New Roman"/>
          <w:sz w:val="28"/>
          <w:szCs w:val="28"/>
          <w:lang w:val="uk-UA"/>
        </w:rPr>
        <w:t>БА</w:t>
      </w:r>
      <w:r>
        <w:rPr>
          <w:rFonts w:ascii="Times New Roman" w:hAnsi="Times New Roman"/>
          <w:sz w:val="28"/>
          <w:szCs w:val="28"/>
          <w:lang w:val="uk-UA"/>
        </w:rPr>
        <w:t xml:space="preserve">. </w:t>
      </w:r>
      <w:r w:rsidRPr="00C55ACD">
        <w:rPr>
          <w:rFonts w:ascii="Times New Roman" w:hAnsi="Times New Roman"/>
          <w:sz w:val="28"/>
          <w:szCs w:val="28"/>
          <w:lang w:val="uk-UA"/>
        </w:rPr>
        <w:t>Перевагами даного методу є: високий</w:t>
      </w:r>
      <w:r>
        <w:rPr>
          <w:rFonts w:ascii="Times New Roman" w:hAnsi="Times New Roman"/>
          <w:sz w:val="28"/>
          <w:szCs w:val="28"/>
          <w:lang w:val="uk-UA"/>
        </w:rPr>
        <w:t xml:space="preserve"> </w:t>
      </w:r>
      <w:r w:rsidRPr="00C55ACD">
        <w:rPr>
          <w:rFonts w:ascii="Times New Roman" w:hAnsi="Times New Roman"/>
          <w:sz w:val="28"/>
          <w:szCs w:val="28"/>
          <w:lang w:val="uk-UA"/>
        </w:rPr>
        <w:t xml:space="preserve">відсоток клінічного успіху, мала травматичність, низький відсоток </w:t>
      </w:r>
      <w:r>
        <w:rPr>
          <w:rFonts w:ascii="Times New Roman" w:hAnsi="Times New Roman"/>
          <w:sz w:val="28"/>
          <w:szCs w:val="28"/>
          <w:lang w:val="uk-UA"/>
        </w:rPr>
        <w:t xml:space="preserve">періопераційних </w:t>
      </w:r>
      <w:r w:rsidRPr="00C55ACD">
        <w:rPr>
          <w:rFonts w:ascii="Times New Roman" w:hAnsi="Times New Roman"/>
          <w:sz w:val="28"/>
          <w:szCs w:val="28"/>
          <w:lang w:val="uk-UA"/>
        </w:rPr>
        <w:t>ускладнень і летальності, можливість виконання повторних втручань, а також</w:t>
      </w:r>
      <w:r>
        <w:rPr>
          <w:rFonts w:ascii="Times New Roman" w:hAnsi="Times New Roman"/>
          <w:sz w:val="28"/>
          <w:szCs w:val="28"/>
          <w:lang w:val="uk-UA"/>
        </w:rPr>
        <w:t xml:space="preserve"> </w:t>
      </w:r>
      <w:r w:rsidRPr="00C55ACD">
        <w:rPr>
          <w:rFonts w:ascii="Times New Roman" w:hAnsi="Times New Roman"/>
          <w:sz w:val="28"/>
          <w:szCs w:val="28"/>
          <w:lang w:val="uk-UA"/>
        </w:rPr>
        <w:t xml:space="preserve">доступність втручання при наявності гнійно-некротичного вогнища на стопі. </w:t>
      </w:r>
      <w:r>
        <w:rPr>
          <w:rFonts w:ascii="Times New Roman" w:hAnsi="Times New Roman"/>
          <w:sz w:val="28"/>
          <w:szCs w:val="28"/>
          <w:lang w:val="uk-UA"/>
        </w:rPr>
        <w:t xml:space="preserve">Хворі, яким виконувались ЧБА та </w:t>
      </w:r>
      <w:r w:rsidRPr="00C55ACD">
        <w:rPr>
          <w:rFonts w:ascii="Times New Roman" w:hAnsi="Times New Roman"/>
          <w:sz w:val="28"/>
          <w:szCs w:val="28"/>
          <w:lang w:val="uk-UA"/>
        </w:rPr>
        <w:t>стімуляці</w:t>
      </w:r>
      <w:r>
        <w:rPr>
          <w:rFonts w:ascii="Times New Roman" w:hAnsi="Times New Roman"/>
          <w:sz w:val="28"/>
          <w:szCs w:val="28"/>
          <w:lang w:val="uk-UA"/>
        </w:rPr>
        <w:t>я</w:t>
      </w:r>
      <w:r w:rsidRPr="00C55ACD">
        <w:rPr>
          <w:rFonts w:ascii="Times New Roman" w:hAnsi="Times New Roman"/>
          <w:sz w:val="28"/>
          <w:szCs w:val="28"/>
          <w:lang w:val="uk-UA"/>
        </w:rPr>
        <w:t xml:space="preserve"> неоангіогенезу</w:t>
      </w:r>
      <w:r>
        <w:rPr>
          <w:rFonts w:ascii="Times New Roman" w:hAnsi="Times New Roman"/>
          <w:sz w:val="28"/>
          <w:lang w:val="uk-UA"/>
        </w:rPr>
        <w:t xml:space="preserve">, </w:t>
      </w:r>
      <w:r w:rsidRPr="005D3603">
        <w:rPr>
          <w:rFonts w:ascii="Times New Roman" w:hAnsi="Times New Roman"/>
          <w:sz w:val="28"/>
          <w:lang w:val="uk-UA"/>
        </w:rPr>
        <w:t>мали найвищі показники ЯЖ у більш ранні строки, та значно відрізнялися від відповідних показників у хворих, що лікувалися іншими методами, а також між двома групами</w:t>
      </w:r>
      <w:r>
        <w:rPr>
          <w:rFonts w:ascii="Times New Roman" w:hAnsi="Times New Roman"/>
          <w:sz w:val="28"/>
          <w:lang w:val="uk-UA"/>
        </w:rPr>
        <w:t>. У</w:t>
      </w:r>
      <w:r w:rsidRPr="005D3603">
        <w:rPr>
          <w:rFonts w:ascii="Times New Roman" w:hAnsi="Times New Roman"/>
          <w:sz w:val="28"/>
          <w:lang w:val="uk-UA"/>
        </w:rPr>
        <w:t xml:space="preserve"> хворих з основної групи </w:t>
      </w:r>
      <w:r>
        <w:rPr>
          <w:rFonts w:ascii="Times New Roman" w:hAnsi="Times New Roman"/>
          <w:sz w:val="28"/>
          <w:lang w:val="uk-UA"/>
        </w:rPr>
        <w:t xml:space="preserve">спостерігався </w:t>
      </w:r>
      <w:r w:rsidRPr="005D3603">
        <w:rPr>
          <w:rFonts w:ascii="Times New Roman" w:hAnsi="Times New Roman"/>
          <w:sz w:val="28"/>
          <w:lang w:val="uk-UA"/>
        </w:rPr>
        <w:t xml:space="preserve">на 100% нижче рівень болю, на 14,7% вище ПФ та на 11,8% більша </w:t>
      </w:r>
      <w:r>
        <w:rPr>
          <w:rFonts w:ascii="Times New Roman" w:hAnsi="Times New Roman"/>
          <w:sz w:val="28"/>
          <w:lang w:val="uk-UA"/>
        </w:rPr>
        <w:t>ДБХ</w:t>
      </w:r>
      <w:r w:rsidRPr="005D3603">
        <w:rPr>
          <w:rFonts w:ascii="Times New Roman" w:hAnsi="Times New Roman"/>
          <w:sz w:val="28"/>
          <w:lang w:val="uk-UA"/>
        </w:rPr>
        <w:t xml:space="preserve"> у порівнянні з групою порівняння у строк 12 місяців.</w:t>
      </w:r>
      <w:r>
        <w:rPr>
          <w:rFonts w:ascii="Times New Roman" w:hAnsi="Times New Roman"/>
          <w:sz w:val="28"/>
          <w:lang w:val="uk-UA"/>
        </w:rPr>
        <w:t xml:space="preserve"> </w:t>
      </w:r>
    </w:p>
    <w:p w:rsidR="003A6D02" w:rsidRPr="00BE08F0" w:rsidRDefault="003A6D02" w:rsidP="003A6D02">
      <w:pPr>
        <w:tabs>
          <w:tab w:val="left" w:pos="180"/>
          <w:tab w:val="left" w:pos="540"/>
          <w:tab w:val="left" w:pos="720"/>
        </w:tabs>
        <w:spacing w:after="0" w:line="360" w:lineRule="auto"/>
        <w:ind w:left="-567" w:firstLine="567"/>
        <w:jc w:val="both"/>
        <w:rPr>
          <w:rFonts w:ascii="Times New Roman" w:hAnsi="Times New Roman"/>
          <w:sz w:val="28"/>
          <w:lang w:val="uk-UA"/>
        </w:rPr>
      </w:pPr>
      <w:r w:rsidRPr="00DA1BCE">
        <w:rPr>
          <w:rFonts w:ascii="Times New Roman" w:hAnsi="Times New Roman"/>
          <w:sz w:val="28"/>
          <w:lang w:val="uk-UA"/>
        </w:rPr>
        <w:t>Найгіршими результатами лікування</w:t>
      </w:r>
      <w:r>
        <w:rPr>
          <w:rFonts w:ascii="Times New Roman" w:hAnsi="Times New Roman"/>
          <w:sz w:val="28"/>
          <w:lang w:val="uk-UA"/>
        </w:rPr>
        <w:t xml:space="preserve"> спотерігались</w:t>
      </w:r>
      <w:r w:rsidRPr="00DA1BCE">
        <w:rPr>
          <w:rFonts w:ascii="Times New Roman" w:hAnsi="Times New Roman"/>
          <w:sz w:val="28"/>
          <w:lang w:val="uk-UA"/>
        </w:rPr>
        <w:t xml:space="preserve"> </w:t>
      </w:r>
      <w:r>
        <w:rPr>
          <w:rFonts w:ascii="Times New Roman" w:hAnsi="Times New Roman"/>
          <w:sz w:val="28"/>
          <w:lang w:val="uk-UA"/>
        </w:rPr>
        <w:t xml:space="preserve">у </w:t>
      </w:r>
      <w:r w:rsidRPr="00DA1BCE">
        <w:rPr>
          <w:rFonts w:ascii="Times New Roman" w:hAnsi="Times New Roman"/>
          <w:sz w:val="28"/>
          <w:lang w:val="uk-UA"/>
        </w:rPr>
        <w:t>хвор</w:t>
      </w:r>
      <w:r>
        <w:rPr>
          <w:rFonts w:ascii="Times New Roman" w:hAnsi="Times New Roman"/>
          <w:sz w:val="28"/>
          <w:lang w:val="uk-UA"/>
        </w:rPr>
        <w:t>их, яким проводилась</w:t>
      </w:r>
      <w:r w:rsidRPr="00DA1BCE">
        <w:rPr>
          <w:rFonts w:ascii="Times New Roman" w:hAnsi="Times New Roman"/>
          <w:sz w:val="28"/>
          <w:lang w:val="uk-UA"/>
        </w:rPr>
        <w:t xml:space="preserve"> консервативн</w:t>
      </w:r>
      <w:r>
        <w:rPr>
          <w:rFonts w:ascii="Times New Roman" w:hAnsi="Times New Roman"/>
          <w:sz w:val="28"/>
          <w:lang w:val="uk-UA"/>
        </w:rPr>
        <w:t>а</w:t>
      </w:r>
      <w:r w:rsidRPr="00DA1BCE">
        <w:rPr>
          <w:rFonts w:ascii="Times New Roman" w:hAnsi="Times New Roman"/>
          <w:sz w:val="28"/>
          <w:lang w:val="uk-UA"/>
        </w:rPr>
        <w:t xml:space="preserve"> терапі</w:t>
      </w:r>
      <w:r>
        <w:rPr>
          <w:rFonts w:ascii="Times New Roman" w:hAnsi="Times New Roman"/>
          <w:sz w:val="28"/>
          <w:lang w:val="uk-UA"/>
        </w:rPr>
        <w:t xml:space="preserve">я, симпатектомія в поєднанні зі </w:t>
      </w:r>
      <w:r>
        <w:rPr>
          <w:rFonts w:ascii="Times New Roman" w:hAnsi="Times New Roman"/>
          <w:sz w:val="28"/>
          <w:szCs w:val="28"/>
          <w:lang w:val="uk-UA"/>
        </w:rPr>
        <w:t>стимуляцією</w:t>
      </w:r>
      <w:r w:rsidRPr="00C55ACD">
        <w:rPr>
          <w:rFonts w:ascii="Times New Roman" w:hAnsi="Times New Roman"/>
          <w:sz w:val="28"/>
          <w:szCs w:val="28"/>
          <w:lang w:val="uk-UA"/>
        </w:rPr>
        <w:t xml:space="preserve"> неоангіогенезу</w:t>
      </w:r>
      <w:r>
        <w:rPr>
          <w:rFonts w:ascii="Times New Roman" w:hAnsi="Times New Roman"/>
          <w:sz w:val="28"/>
          <w:szCs w:val="28"/>
          <w:lang w:val="uk-UA"/>
        </w:rPr>
        <w:t xml:space="preserve"> у порівнянні з хворими, яким виконували ЧБА та відкриту пряму реваскулярізацію кінцівок</w:t>
      </w:r>
      <w:r w:rsidRPr="00DA1BCE">
        <w:rPr>
          <w:rFonts w:ascii="Times New Roman" w:hAnsi="Times New Roman"/>
          <w:sz w:val="28"/>
          <w:lang w:val="uk-UA"/>
        </w:rPr>
        <w:t xml:space="preserve">. </w:t>
      </w:r>
      <w:r w:rsidRPr="001E30CB">
        <w:rPr>
          <w:rFonts w:ascii="Times New Roman" w:hAnsi="Times New Roman"/>
          <w:sz w:val="28"/>
          <w:lang w:val="uk-UA"/>
        </w:rPr>
        <w:t>Але, у строк спостереження 12 місяців після лікування у хворих основної групи, що лікувалися консервативно, відмічався на 45,8% нижче рівень болю, на 51,8% вище ФФ,  на 43,8% вище ПФ та на 113,2% більша дистанція безбольової ходи (р</w:t>
      </w:r>
      <w:r w:rsidRPr="001E30CB">
        <w:rPr>
          <w:rFonts w:ascii="Times New Roman" w:hAnsi="Times New Roman"/>
          <w:sz w:val="28"/>
          <w:lang w:val="uk-UA"/>
        </w:rPr>
        <w:sym w:font="Symbol" w:char="F03C"/>
      </w:r>
      <w:r w:rsidRPr="001E30CB">
        <w:rPr>
          <w:rFonts w:ascii="Times New Roman" w:hAnsi="Times New Roman"/>
          <w:sz w:val="28"/>
          <w:lang w:val="uk-UA"/>
        </w:rPr>
        <w:t>0,05). Виходячи з цих даних, можна зробити висновок, що стимуляція неоангіогенезу має сенс як допоміжний метод лікування хворих на ХКІНК з дистальною формою ураження.</w:t>
      </w:r>
    </w:p>
    <w:p w:rsidR="003A6D02" w:rsidRPr="00C03E66" w:rsidRDefault="003A6D02" w:rsidP="003A6D02">
      <w:pPr>
        <w:widowControl w:val="0"/>
        <w:spacing w:after="0" w:line="360" w:lineRule="auto"/>
        <w:ind w:left="-567" w:firstLine="567"/>
        <w:jc w:val="both"/>
        <w:rPr>
          <w:rFonts w:ascii="Times New Roman" w:hAnsi="Times New Roman"/>
          <w:color w:val="000000"/>
          <w:sz w:val="28"/>
          <w:szCs w:val="28"/>
        </w:rPr>
      </w:pPr>
      <w:r w:rsidRPr="005E1CD1">
        <w:rPr>
          <w:rFonts w:ascii="Times New Roman" w:hAnsi="Times New Roman"/>
          <w:color w:val="000000"/>
          <w:sz w:val="28"/>
          <w:szCs w:val="28"/>
        </w:rPr>
        <w:t>Матеріали цього розділу опубліковані у вигляді статей</w:t>
      </w:r>
      <w:r w:rsidRPr="005E1CD1">
        <w:rPr>
          <w:rFonts w:ascii="Times New Roman" w:hAnsi="Times New Roman"/>
          <w:color w:val="000000"/>
          <w:sz w:val="28"/>
          <w:szCs w:val="28"/>
          <w:lang w:val="uk-UA"/>
        </w:rPr>
        <w:t xml:space="preserve"> та тез</w:t>
      </w:r>
      <w:r w:rsidR="00C03E66">
        <w:rPr>
          <w:rFonts w:ascii="Times New Roman" w:hAnsi="Times New Roman"/>
          <w:color w:val="000000"/>
          <w:sz w:val="28"/>
          <w:szCs w:val="28"/>
          <w:lang w:val="uk-UA"/>
        </w:rPr>
        <w:t xml:space="preserve"> </w:t>
      </w:r>
      <w:r w:rsidR="00C03E66" w:rsidRPr="00C03E66">
        <w:rPr>
          <w:rFonts w:ascii="Times New Roman" w:hAnsi="Times New Roman"/>
          <w:color w:val="000000"/>
          <w:sz w:val="28"/>
          <w:szCs w:val="28"/>
        </w:rPr>
        <w:t>[16, 126]</w:t>
      </w:r>
    </w:p>
    <w:p w:rsidR="00C47DFD" w:rsidRDefault="003A6D02" w:rsidP="003A6D02">
      <w:pPr>
        <w:spacing w:after="0" w:line="360" w:lineRule="auto"/>
        <w:ind w:left="-567" w:firstLine="567"/>
        <w:jc w:val="center"/>
        <w:rPr>
          <w:rFonts w:ascii="Times New Roman" w:hAnsi="Times New Roman"/>
          <w:color w:val="000000"/>
          <w:sz w:val="28"/>
          <w:szCs w:val="28"/>
          <w:lang w:val="uk-UA"/>
        </w:rPr>
      </w:pPr>
      <w:r w:rsidRPr="00F506C5">
        <w:rPr>
          <w:rFonts w:ascii="Times New Roman" w:hAnsi="Times New Roman"/>
          <w:color w:val="000000"/>
          <w:sz w:val="28"/>
          <w:szCs w:val="28"/>
        </w:rPr>
        <w:br w:type="page"/>
      </w:r>
    </w:p>
    <w:p w:rsidR="00C47DFD" w:rsidRDefault="00C47DFD" w:rsidP="00C47DFD">
      <w:pPr>
        <w:spacing w:after="0" w:line="360" w:lineRule="auto"/>
        <w:jc w:val="center"/>
        <w:outlineLvl w:val="2"/>
        <w:rPr>
          <w:rFonts w:ascii="Times New Roman" w:hAnsi="Times New Roman"/>
          <w:b/>
          <w:sz w:val="28"/>
          <w:szCs w:val="28"/>
          <w:lang w:val="uk-UA"/>
        </w:rPr>
      </w:pPr>
      <w:r>
        <w:rPr>
          <w:rFonts w:ascii="Times New Roman" w:hAnsi="Times New Roman"/>
          <w:b/>
          <w:sz w:val="28"/>
          <w:szCs w:val="28"/>
          <w:lang w:val="uk-UA"/>
        </w:rPr>
        <w:lastRenderedPageBreak/>
        <w:t>РОЗДІЛ 7</w:t>
      </w:r>
    </w:p>
    <w:p w:rsidR="00C47DFD" w:rsidRPr="00E44361" w:rsidRDefault="00E44361" w:rsidP="00C47DFD">
      <w:pPr>
        <w:spacing w:after="0" w:line="360" w:lineRule="auto"/>
        <w:jc w:val="center"/>
        <w:outlineLvl w:val="2"/>
        <w:rPr>
          <w:rFonts w:ascii="Times New Roman" w:hAnsi="Times New Roman"/>
          <w:b/>
          <w:sz w:val="28"/>
          <w:szCs w:val="28"/>
          <w:lang w:val="uk-UA"/>
        </w:rPr>
      </w:pPr>
      <w:r w:rsidRPr="00E44361">
        <w:rPr>
          <w:rFonts w:ascii="Times New Roman" w:hAnsi="Times New Roman"/>
          <w:b/>
          <w:sz w:val="28"/>
          <w:szCs w:val="28"/>
          <w:lang w:val="uk-UA"/>
        </w:rPr>
        <w:t>ПІДСУМКИ І УЗАГАЛЬНЕННЯ РЕЗУЛЬТАТІВ ДОСЛІДЖЕННЯ</w:t>
      </w:r>
    </w:p>
    <w:p w:rsidR="0036340F" w:rsidRDefault="0036340F" w:rsidP="00C47DFD">
      <w:pPr>
        <w:spacing w:after="0" w:line="360" w:lineRule="auto"/>
        <w:ind w:left="-567" w:firstLine="568"/>
        <w:jc w:val="both"/>
        <w:outlineLvl w:val="2"/>
        <w:rPr>
          <w:rFonts w:ascii="Times New Roman" w:hAnsi="Times New Roman"/>
          <w:sz w:val="28"/>
          <w:szCs w:val="28"/>
          <w:lang w:val="uk-UA"/>
        </w:rPr>
      </w:pPr>
    </w:p>
    <w:p w:rsidR="00E44361" w:rsidRPr="00C03E66" w:rsidRDefault="00E44361" w:rsidP="00C47DFD">
      <w:pPr>
        <w:spacing w:after="0" w:line="360" w:lineRule="auto"/>
        <w:ind w:left="-567" w:firstLine="568"/>
        <w:jc w:val="both"/>
        <w:outlineLvl w:val="2"/>
        <w:rPr>
          <w:rFonts w:ascii="Times New Roman" w:hAnsi="Times New Roman"/>
          <w:sz w:val="28"/>
          <w:szCs w:val="28"/>
          <w:lang w:val="uk-UA"/>
        </w:rPr>
      </w:pPr>
    </w:p>
    <w:p w:rsidR="0036340F" w:rsidRPr="00C03E66" w:rsidRDefault="003041BE" w:rsidP="0036340F">
      <w:p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Зважено</w:t>
      </w:r>
      <w:r w:rsidR="0036340F" w:rsidRPr="00C03E66">
        <w:rPr>
          <w:rFonts w:ascii="Times New Roman" w:hAnsi="Times New Roman"/>
          <w:sz w:val="28"/>
          <w:szCs w:val="28"/>
          <w:lang w:val="uk-UA"/>
        </w:rPr>
        <w:t xml:space="preserve"> обрана тактика хірургічних втручань у хворих на ХКІНК з дистальною формою ураження судинного русла направлена на поліпшення кровопостачання кінцівки та дозволяє сподіватись не лише на дисталізацію рівня ампутації, але й на збереження кінцівки. Це ж веде до повернення пацієнта до звичайного життя. </w:t>
      </w:r>
    </w:p>
    <w:p w:rsidR="0036340F" w:rsidRPr="00C03E66" w:rsidRDefault="0036340F" w:rsidP="0036340F">
      <w:pPr>
        <w:pStyle w:val="ac"/>
        <w:tabs>
          <w:tab w:val="left" w:pos="142"/>
        </w:tabs>
        <w:spacing w:line="360" w:lineRule="auto"/>
        <w:ind w:left="-567" w:firstLine="567"/>
        <w:jc w:val="both"/>
        <w:rPr>
          <w:sz w:val="28"/>
          <w:szCs w:val="28"/>
          <w:shd w:val="clear" w:color="auto" w:fill="FFFFFF"/>
          <w:lang w:val="uk-UA"/>
        </w:rPr>
      </w:pPr>
      <w:r w:rsidRPr="00C03E66">
        <w:rPr>
          <w:sz w:val="28"/>
          <w:szCs w:val="28"/>
          <w:shd w:val="clear" w:color="auto" w:fill="FFFFFF"/>
          <w:lang w:val="uk-UA"/>
        </w:rPr>
        <w:t>Черезшкірна балонна ангіопластика як спосіб реваскуляризації кінцівки у найбільш важкої категорії хворих в останні роки твердо зайняла свої позиції.. Незважаючи на високий безпосередній успіх ЧБА артерій гомілки, первинна прохідність артерій гомілки через 12 місяців після ЧБА за даними літератури складала 72 %</w:t>
      </w:r>
      <w:r w:rsidRPr="00C03E66">
        <w:rPr>
          <w:sz w:val="28"/>
          <w:szCs w:val="28"/>
          <w:lang w:val="uk-UA"/>
        </w:rPr>
        <w:t>. Прямі артеріальні реконструкції не вирішують повністю проблеми реваскуляризації ішемізованної кінцівки у зв'язку з частим багатоповерховим ураженням артеріального русла та особливо при дистальних формах ураження.</w:t>
      </w:r>
    </w:p>
    <w:p w:rsidR="0036340F" w:rsidRPr="00C03E66" w:rsidRDefault="0036340F" w:rsidP="0036340F">
      <w:pPr>
        <w:spacing w:after="0" w:line="360" w:lineRule="auto"/>
        <w:ind w:left="-567" w:firstLine="567"/>
        <w:jc w:val="both"/>
        <w:rPr>
          <w:rFonts w:ascii="Times New Roman" w:hAnsi="Times New Roman"/>
          <w:sz w:val="28"/>
          <w:szCs w:val="28"/>
          <w:lang w:val="uk-UA"/>
        </w:rPr>
      </w:pPr>
      <w:r w:rsidRPr="00C03E66">
        <w:rPr>
          <w:rFonts w:ascii="Times New Roman" w:hAnsi="Times New Roman"/>
          <w:sz w:val="28"/>
          <w:szCs w:val="28"/>
          <w:lang w:val="uk-UA"/>
        </w:rPr>
        <w:t xml:space="preserve">У всіх випадках, коли немає можливості досягти адекватної компенсації кровообігу тільки реконструктивною операцією, з метою поліпшення кровообігу у кінцівці можливе використання непрямих методів реваскуляризації. </w:t>
      </w:r>
      <w:r w:rsidRPr="00C03E66">
        <w:rPr>
          <w:rFonts w:ascii="Times New Roman" w:hAnsi="Times New Roman"/>
          <w:sz w:val="28"/>
          <w:szCs w:val="28"/>
          <w:shd w:val="clear" w:color="auto" w:fill="FFFFFF"/>
          <w:lang w:val="uk-UA"/>
        </w:rPr>
        <w:t xml:space="preserve">Поперекова симпатектомія широко використовується при лікуванні хворих з облітеруючими захворюваннями </w:t>
      </w:r>
      <w:r w:rsidRPr="00C03E66">
        <w:rPr>
          <w:rFonts w:ascii="Times New Roman" w:hAnsi="Times New Roman"/>
          <w:sz w:val="28"/>
          <w:szCs w:val="28"/>
          <w:lang w:val="uk-UA"/>
        </w:rPr>
        <w:t>судин нижніх кінцівок на початкових стадіях, бо в більшості випадків супровождується добрими результатами</w:t>
      </w:r>
      <w:r w:rsidRPr="00C03E66">
        <w:rPr>
          <w:rFonts w:ascii="Times New Roman" w:hAnsi="Times New Roman"/>
          <w:sz w:val="28"/>
          <w:szCs w:val="28"/>
          <w:shd w:val="clear" w:color="auto" w:fill="FFFFFF"/>
          <w:lang w:val="uk-UA"/>
        </w:rPr>
        <w:t>. Її використання при хронічній критичній ішемії, як методу непрямої реваскуляризації та збереження кінцівки, має сенс.</w:t>
      </w:r>
      <w:r w:rsidRPr="00C03E66">
        <w:rPr>
          <w:rFonts w:ascii="Times New Roman" w:hAnsi="Times New Roman"/>
          <w:sz w:val="28"/>
          <w:szCs w:val="28"/>
          <w:lang w:val="uk-UA"/>
        </w:rPr>
        <w:t xml:space="preserve"> Найбільш часто вживаним методом стимуляції ангіогенезу є внутрішньом'язова трансплантація генів або клітин в зону ураження .</w:t>
      </w:r>
    </w:p>
    <w:p w:rsidR="0036340F" w:rsidRPr="00C03E66" w:rsidRDefault="0036340F" w:rsidP="0036340F">
      <w:pPr>
        <w:spacing w:after="0" w:line="360" w:lineRule="auto"/>
        <w:ind w:left="-567" w:right="-143" w:firstLine="567"/>
        <w:jc w:val="both"/>
        <w:rPr>
          <w:rFonts w:ascii="Times New Roman" w:hAnsi="Times New Roman"/>
          <w:sz w:val="28"/>
          <w:szCs w:val="28"/>
          <w:lang w:val="uk-UA"/>
        </w:rPr>
      </w:pPr>
      <w:r w:rsidRPr="00C03E66">
        <w:rPr>
          <w:rFonts w:ascii="Times New Roman" w:hAnsi="Times New Roman"/>
          <w:sz w:val="28"/>
          <w:szCs w:val="28"/>
          <w:lang w:val="uk-UA"/>
        </w:rPr>
        <w:t>Застосування методів регенераторної медицини (генних і клітинних технологій) є перспективним напрямком у лікуванні ХКІНК. Потенційними кандидатами для генної та клітинної терапії є хворі, що не підлягають ангіохірургічному лікуванню. Д</w:t>
      </w:r>
      <w:r w:rsidRPr="00C03E66">
        <w:rPr>
          <w:rFonts w:ascii="Times New Roman" w:hAnsi="Times New Roman"/>
          <w:sz w:val="28"/>
          <w:szCs w:val="28"/>
        </w:rPr>
        <w:t>ля терапевтичного ангіогенезу</w:t>
      </w:r>
      <w:r w:rsidRPr="00C03E66">
        <w:rPr>
          <w:rFonts w:ascii="Times New Roman" w:hAnsi="Times New Roman"/>
          <w:sz w:val="28"/>
          <w:szCs w:val="28"/>
          <w:lang w:val="uk-UA"/>
        </w:rPr>
        <w:t xml:space="preserve"> </w:t>
      </w:r>
      <w:r w:rsidRPr="00C03E66">
        <w:rPr>
          <w:rFonts w:ascii="Times New Roman" w:hAnsi="Times New Roman"/>
          <w:sz w:val="28"/>
          <w:szCs w:val="28"/>
        </w:rPr>
        <w:t>найбільш ефективн</w:t>
      </w:r>
      <w:r w:rsidRPr="00C03E66">
        <w:rPr>
          <w:rFonts w:ascii="Times New Roman" w:hAnsi="Times New Roman"/>
          <w:sz w:val="28"/>
          <w:szCs w:val="28"/>
          <w:lang w:val="uk-UA"/>
        </w:rPr>
        <w:t>ими є</w:t>
      </w:r>
      <w:r w:rsidRPr="00C03E66">
        <w:rPr>
          <w:rFonts w:ascii="Times New Roman" w:hAnsi="Times New Roman"/>
          <w:sz w:val="28"/>
          <w:szCs w:val="28"/>
        </w:rPr>
        <w:t xml:space="preserve"> препарати з геном VEGF, що підтверджено результатами численних </w:t>
      </w:r>
      <w:r w:rsidRPr="00C03E66">
        <w:rPr>
          <w:rFonts w:ascii="Times New Roman" w:hAnsi="Times New Roman"/>
          <w:sz w:val="28"/>
          <w:szCs w:val="28"/>
        </w:rPr>
        <w:lastRenderedPageBreak/>
        <w:t xml:space="preserve">клінічних досліджень. </w:t>
      </w:r>
      <w:r w:rsidRPr="00C03E66">
        <w:rPr>
          <w:rFonts w:ascii="Times New Roman" w:hAnsi="Times New Roman"/>
          <w:sz w:val="28"/>
          <w:szCs w:val="28"/>
          <w:lang w:val="uk-UA"/>
        </w:rPr>
        <w:t>При використанні клітинних технологій відбувається збільшення судинної мережі, загоєння трофічних виразок, збільшення дистанції і швидкості ходьби, зменшення вираженості болю у спокої, що дозволяє зберегти кінцівку більшості пацієнтів. Лікування ХІНК за допомогою описаних шляхів стимуляції ангіогенезу є ефективним методом непрямої реваскуляризації, та все ж потребує подальшого вивчення. Стимуляція ангіогенезу богатою тромбоцитами плазмою, як один з найпростіших технічно та безпечних методів є надзвичайно перспективним методом непрямої реваскуляризації.</w:t>
      </w:r>
    </w:p>
    <w:p w:rsidR="0036340F" w:rsidRPr="00C03E66" w:rsidRDefault="0036340F" w:rsidP="0036340F">
      <w:pPr>
        <w:tabs>
          <w:tab w:val="left" w:pos="180"/>
          <w:tab w:val="left" w:pos="540"/>
          <w:tab w:val="left" w:pos="720"/>
        </w:tabs>
        <w:spacing w:after="0" w:line="360" w:lineRule="auto"/>
        <w:ind w:left="-567" w:firstLine="567"/>
        <w:jc w:val="both"/>
        <w:rPr>
          <w:rFonts w:ascii="Times New Roman" w:hAnsi="Times New Roman"/>
          <w:sz w:val="28"/>
          <w:szCs w:val="28"/>
          <w:lang w:val="uk-UA"/>
        </w:rPr>
      </w:pPr>
      <w:r w:rsidRPr="00C03E66">
        <w:rPr>
          <w:rFonts w:ascii="Times New Roman" w:hAnsi="Times New Roman"/>
          <w:sz w:val="28"/>
          <w:szCs w:val="28"/>
          <w:lang w:val="uk-UA"/>
        </w:rPr>
        <w:t>Вважаємо, що велике значення для лікування також має активна участь пацієнта у лікуванні, а саме виконання дозованих фізичних навантажень.</w:t>
      </w:r>
    </w:p>
    <w:p w:rsidR="0036340F" w:rsidRPr="0036340F" w:rsidRDefault="0036340F" w:rsidP="0036340F">
      <w:pPr>
        <w:pStyle w:val="ac"/>
        <w:tabs>
          <w:tab w:val="left" w:pos="142"/>
        </w:tabs>
        <w:spacing w:line="360" w:lineRule="auto"/>
        <w:ind w:left="-567" w:firstLine="567"/>
        <w:jc w:val="both"/>
        <w:rPr>
          <w:sz w:val="28"/>
          <w:szCs w:val="28"/>
          <w:lang w:val="uk-UA"/>
        </w:rPr>
      </w:pPr>
      <w:r w:rsidRPr="00C03E66">
        <w:rPr>
          <w:sz w:val="28"/>
          <w:szCs w:val="28"/>
          <w:lang w:val="uk-UA"/>
        </w:rPr>
        <w:t>Вивчення показників дисфункції ендотелію (прямих та посередніх) є важливою ланкою визначення стану судин, ефективності</w:t>
      </w:r>
      <w:r w:rsidRPr="0036340F">
        <w:rPr>
          <w:color w:val="E36C0A" w:themeColor="accent6" w:themeShade="BF"/>
          <w:sz w:val="28"/>
          <w:szCs w:val="28"/>
          <w:lang w:val="uk-UA"/>
        </w:rPr>
        <w:t xml:space="preserve"> </w:t>
      </w:r>
      <w:r w:rsidRPr="00803E73">
        <w:rPr>
          <w:sz w:val="28"/>
          <w:szCs w:val="28"/>
          <w:lang w:val="uk-UA"/>
        </w:rPr>
        <w:t xml:space="preserve">лікування та прогресування захворювання у хворих на ХКІНК. </w:t>
      </w:r>
    </w:p>
    <w:p w:rsidR="00C47DFD" w:rsidRDefault="00C47DFD" w:rsidP="00C47DFD">
      <w:pPr>
        <w:spacing w:after="0" w:line="360" w:lineRule="auto"/>
        <w:ind w:left="-567" w:firstLine="568"/>
        <w:jc w:val="both"/>
        <w:outlineLvl w:val="2"/>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r w:rsidRPr="00EE4DEB">
        <w:rPr>
          <w:rFonts w:ascii="Times New Roman" w:hAnsi="Times New Roman" w:cs="Times New Roman"/>
          <w:color w:val="000000" w:themeColor="text1"/>
          <w:sz w:val="28"/>
          <w:szCs w:val="28"/>
          <w:lang w:val="uk-UA"/>
        </w:rPr>
        <w:t>лгоритм діагностики, що ми використовували дає можливість повноцінно діагностувати тип та ступінь ураження судинного русла для правильного вибору методики лікування, а розроблені моделі прогнозування ймовірності ампутацій при лікуванні хронічної критичної ішемії нижніх кінцівок показали високу точність класифікації (91% для групи без ампутацій і 83% - з ампутацією) і дозволили оцінити ймовірності проведення ампутацій.</w:t>
      </w:r>
    </w:p>
    <w:p w:rsidR="00C47DFD" w:rsidRPr="00D82ACB" w:rsidRDefault="00C47DFD" w:rsidP="00C47DFD">
      <w:pPr>
        <w:spacing w:after="0" w:line="360" w:lineRule="auto"/>
        <w:ind w:left="-567" w:firstLine="567"/>
        <w:jc w:val="both"/>
        <w:rPr>
          <w:rFonts w:ascii="Times New Roman" w:hAnsi="Times New Roman" w:cs="Times New Roman"/>
          <w:sz w:val="28"/>
          <w:szCs w:val="28"/>
          <w:lang w:val="uk-UA"/>
        </w:rPr>
      </w:pPr>
      <w:r w:rsidRPr="00D82ACB">
        <w:rPr>
          <w:rFonts w:ascii="Times New Roman" w:hAnsi="Times New Roman" w:cs="Times New Roman"/>
          <w:sz w:val="28"/>
          <w:szCs w:val="28"/>
          <w:lang w:val="uk-UA"/>
        </w:rPr>
        <w:t xml:space="preserve">У всіх досліджуваних хворих незалежно від методу лікування спостерігалось зниження середнього рівня ЕТ-1 протягом року спостереження, що свідчить про покращення вазомоторної функціїї ендотелію під впливом лікування, проте рівень показника, що вивчався, залишався вірогідно підвищеним у порівнянні з контролем на 61,3%, що свідчить про прогресування основного захворювання. Показник проліферативної функції ендотелію </w:t>
      </w:r>
      <w:r w:rsidRPr="00D82ACB">
        <w:rPr>
          <w:rFonts w:ascii="Times New Roman" w:hAnsi="Times New Roman" w:cs="Times New Roman"/>
          <w:sz w:val="28"/>
          <w:szCs w:val="28"/>
          <w:lang w:val="en-US"/>
        </w:rPr>
        <w:t>VEGF</w:t>
      </w:r>
      <w:r w:rsidRPr="00D82ACB">
        <w:rPr>
          <w:rFonts w:ascii="Times New Roman" w:hAnsi="Times New Roman" w:cs="Times New Roman"/>
          <w:sz w:val="28"/>
          <w:szCs w:val="28"/>
          <w:lang w:val="uk-UA"/>
        </w:rPr>
        <w:t xml:space="preserve"> на вихідному рівні у хворих з ІІІ стадією ішемії на 156%  (р</w:t>
      </w:r>
      <w:r w:rsidRPr="00D82ACB">
        <w:rPr>
          <w:rFonts w:ascii="Times New Roman" w:hAnsi="Times New Roman" w:cs="Times New Roman"/>
          <w:sz w:val="28"/>
          <w:szCs w:val="28"/>
          <w:lang w:val="uk-UA"/>
        </w:rPr>
        <w:sym w:font="Symbol" w:char="F03C"/>
      </w:r>
      <w:r w:rsidRPr="00D82ACB">
        <w:rPr>
          <w:rFonts w:ascii="Times New Roman" w:hAnsi="Times New Roman" w:cs="Times New Roman"/>
          <w:sz w:val="28"/>
          <w:szCs w:val="28"/>
          <w:lang w:val="uk-UA"/>
        </w:rPr>
        <w:t xml:space="preserve">0,001) був вірогідно вищим, ніж у хворих з </w:t>
      </w:r>
      <w:r w:rsidRPr="00D82ACB">
        <w:rPr>
          <w:rFonts w:ascii="Times New Roman" w:hAnsi="Times New Roman" w:cs="Times New Roman"/>
          <w:sz w:val="28"/>
          <w:szCs w:val="28"/>
          <w:lang w:val="en-US"/>
        </w:rPr>
        <w:t>IV</w:t>
      </w:r>
      <w:r w:rsidRPr="00D82ACB">
        <w:rPr>
          <w:rFonts w:ascii="Times New Roman" w:hAnsi="Times New Roman" w:cs="Times New Roman"/>
          <w:sz w:val="28"/>
          <w:szCs w:val="28"/>
          <w:lang w:val="uk-UA"/>
        </w:rPr>
        <w:t xml:space="preserve"> стадією, що свідчить про більшу проліферативну активність ендотелію у цих хворих. Також була різниця й в залежності від наявності супутнього ЦД: на 67,8% вірогідно був вищим показник у хворих без ЦД при вихідному дослідженні </w:t>
      </w:r>
      <w:r w:rsidRPr="00D82ACB">
        <w:rPr>
          <w:rFonts w:ascii="Times New Roman" w:hAnsi="Times New Roman" w:cs="Times New Roman"/>
          <w:sz w:val="28"/>
          <w:szCs w:val="28"/>
          <w:lang w:val="uk-UA"/>
        </w:rPr>
        <w:lastRenderedPageBreak/>
        <w:t>(р</w:t>
      </w:r>
      <w:r w:rsidRPr="00D82ACB">
        <w:rPr>
          <w:rFonts w:ascii="Times New Roman" w:hAnsi="Times New Roman" w:cs="Times New Roman"/>
          <w:sz w:val="28"/>
          <w:szCs w:val="28"/>
          <w:lang w:val="uk-UA"/>
        </w:rPr>
        <w:sym w:font="Symbol" w:char="F03C"/>
      </w:r>
      <w:r w:rsidRPr="00D82ACB">
        <w:rPr>
          <w:rFonts w:ascii="Times New Roman" w:hAnsi="Times New Roman" w:cs="Times New Roman"/>
          <w:sz w:val="28"/>
          <w:szCs w:val="28"/>
          <w:lang w:val="uk-UA"/>
        </w:rPr>
        <w:t xml:space="preserve">0,05). </w:t>
      </w:r>
      <w:r w:rsidRPr="00D82ACB">
        <w:rPr>
          <w:rFonts w:ascii="Times New Roman" w:hAnsi="Times New Roman" w:cs="Times New Roman"/>
          <w:sz w:val="28"/>
          <w:szCs w:val="28"/>
        </w:rPr>
        <w:t xml:space="preserve">Високий рівень </w:t>
      </w:r>
      <w:r w:rsidRPr="00D82ACB">
        <w:rPr>
          <w:rFonts w:ascii="Times New Roman" w:hAnsi="Times New Roman" w:cs="Times New Roman"/>
          <w:sz w:val="28"/>
          <w:szCs w:val="28"/>
          <w:lang w:val="en-US"/>
        </w:rPr>
        <w:t>VEGF</w:t>
      </w:r>
      <w:r w:rsidRPr="00D82ACB">
        <w:rPr>
          <w:rFonts w:ascii="Times New Roman" w:hAnsi="Times New Roman" w:cs="Times New Roman"/>
          <w:sz w:val="28"/>
          <w:szCs w:val="28"/>
        </w:rPr>
        <w:t xml:space="preserve"> у хворих даної групи свідчить про </w:t>
      </w:r>
      <w:r w:rsidRPr="00D82ACB">
        <w:rPr>
          <w:rFonts w:ascii="Times New Roman" w:hAnsi="Times New Roman" w:cs="Times New Roman"/>
          <w:sz w:val="28"/>
          <w:szCs w:val="28"/>
          <w:lang w:val="uk-UA"/>
        </w:rPr>
        <w:t>активність проліферативних процессів та неоангіогенезу</w:t>
      </w:r>
      <w:r w:rsidRPr="00D82ACB">
        <w:rPr>
          <w:rFonts w:ascii="Times New Roman" w:hAnsi="Times New Roman" w:cs="Times New Roman"/>
          <w:sz w:val="28"/>
          <w:szCs w:val="28"/>
        </w:rPr>
        <w:t>.</w:t>
      </w:r>
    </w:p>
    <w:p w:rsidR="00C47DFD" w:rsidRPr="00D82ACB" w:rsidRDefault="00C47DFD" w:rsidP="00C47DFD">
      <w:pPr>
        <w:pStyle w:val="ac"/>
        <w:spacing w:line="360" w:lineRule="auto"/>
        <w:ind w:left="-567" w:firstLine="567"/>
        <w:jc w:val="both"/>
        <w:rPr>
          <w:sz w:val="28"/>
          <w:szCs w:val="28"/>
          <w:lang w:val="uk-UA"/>
        </w:rPr>
      </w:pPr>
      <w:r w:rsidRPr="00D82ACB">
        <w:rPr>
          <w:sz w:val="28"/>
          <w:szCs w:val="28"/>
          <w:lang w:val="uk-UA"/>
        </w:rPr>
        <w:t>У всіх підгрупах досліджуваних хворих відмічається зниження рівню показника СРБ протягом року спостереження, що свідчить про зниження рівню інтенсивності запальних процесів під впливом лікування, але не їх невілювання., що також є ознакою прогресування первинного захворювання.</w:t>
      </w:r>
    </w:p>
    <w:p w:rsidR="00C47DFD" w:rsidRPr="00D82ACB" w:rsidRDefault="00C47DFD" w:rsidP="00C47DFD">
      <w:pPr>
        <w:spacing w:after="0" w:line="360" w:lineRule="auto"/>
        <w:ind w:left="-567" w:firstLine="567"/>
        <w:jc w:val="both"/>
        <w:rPr>
          <w:rFonts w:ascii="Times New Roman" w:hAnsi="Times New Roman" w:cs="Times New Roman"/>
          <w:sz w:val="28"/>
          <w:szCs w:val="28"/>
          <w:lang w:val="uk-UA"/>
        </w:rPr>
      </w:pPr>
      <w:r w:rsidRPr="00D82ACB">
        <w:rPr>
          <w:rFonts w:ascii="Times New Roman" w:hAnsi="Times New Roman" w:cs="Times New Roman"/>
          <w:sz w:val="28"/>
          <w:szCs w:val="28"/>
          <w:lang w:val="uk-UA"/>
        </w:rPr>
        <w:t>Динаміка температурного режиму кінцівок хворих основної группи показала, що температура хворої ступні на вихідному рівні була в середньому на 1,2</w:t>
      </w:r>
      <w:r w:rsidRPr="00D82ACB">
        <w:rPr>
          <w:rFonts w:ascii="Times New Roman" w:hAnsi="Times New Roman" w:cs="Times New Roman"/>
          <w:sz w:val="28"/>
          <w:szCs w:val="28"/>
          <w:vertAlign w:val="superscript"/>
          <w:lang w:val="uk-UA"/>
        </w:rPr>
        <w:t>о</w:t>
      </w:r>
      <w:r w:rsidRPr="00D82ACB">
        <w:rPr>
          <w:rFonts w:ascii="Times New Roman" w:hAnsi="Times New Roman" w:cs="Times New Roman"/>
          <w:sz w:val="28"/>
          <w:szCs w:val="28"/>
          <w:lang w:val="uk-UA"/>
        </w:rPr>
        <w:t>С (4,2%) холоднішою контрольної (р=0,002), проте у пізніші строки різниця температур між обома кінцівками була невірогідна, що свідчить про зрівняння температури обох кінцівок.</w:t>
      </w:r>
    </w:p>
    <w:p w:rsidR="00C47DFD" w:rsidRPr="00D82ACB" w:rsidRDefault="00C47DFD" w:rsidP="00C47DFD">
      <w:pPr>
        <w:spacing w:after="0" w:line="360" w:lineRule="auto"/>
        <w:ind w:left="-567" w:firstLine="567"/>
        <w:jc w:val="both"/>
        <w:rPr>
          <w:rFonts w:ascii="Times New Roman" w:hAnsi="Times New Roman" w:cs="Times New Roman"/>
          <w:sz w:val="28"/>
          <w:szCs w:val="28"/>
          <w:lang w:val="uk-UA"/>
        </w:rPr>
      </w:pPr>
      <w:r w:rsidRPr="00D82ACB">
        <w:rPr>
          <w:rFonts w:ascii="Times New Roman" w:hAnsi="Times New Roman" w:cs="Times New Roman"/>
          <w:sz w:val="28"/>
          <w:szCs w:val="28"/>
          <w:lang w:val="uk-UA"/>
        </w:rPr>
        <w:t>При визначенні черезшкірного напруження кисню на хворій ступні досліджуваних хворих, показано підвищення досліджуваного показника у відповідь на лікування та незалежно від проведеного лікування рівень показника відповідав компенсованому кровообігу (вище 40 мм.рт.ст.), проте у хворих, що лікувалися консервативно та яким було виконано симпатектомію мали показники, що відповідають субкомпенсації кровообігу. У хворих з ЧБА рівень танскутанного напруження кисню у строки спостереження мав найвищий рівень.</w:t>
      </w:r>
    </w:p>
    <w:p w:rsidR="00C47DFD" w:rsidRPr="00D82ACB" w:rsidRDefault="00C47DFD" w:rsidP="00C47DFD">
      <w:pPr>
        <w:shd w:val="clear" w:color="auto" w:fill="FFFFFF"/>
        <w:spacing w:after="0" w:line="360" w:lineRule="auto"/>
        <w:ind w:left="-567" w:firstLine="567"/>
        <w:jc w:val="both"/>
        <w:rPr>
          <w:rFonts w:ascii="Times New Roman" w:hAnsi="Times New Roman" w:cs="Times New Roman"/>
          <w:sz w:val="28"/>
          <w:szCs w:val="28"/>
          <w:lang w:val="uk-UA"/>
        </w:rPr>
      </w:pPr>
      <w:r w:rsidRPr="00D82ACB">
        <w:rPr>
          <w:rFonts w:ascii="Times New Roman" w:hAnsi="Times New Roman" w:cs="Times New Roman"/>
          <w:sz w:val="28"/>
          <w:szCs w:val="28"/>
          <w:lang w:val="uk-UA"/>
        </w:rPr>
        <w:t xml:space="preserve">У хворих на ХКІНК спостерігається зворотна лінійна залежність між рівнем ЕТ-1 та </w:t>
      </w:r>
      <w:r w:rsidRPr="00D82ACB">
        <w:rPr>
          <w:rFonts w:ascii="Times New Roman" w:hAnsi="Times New Roman" w:cs="Times New Roman"/>
          <w:sz w:val="28"/>
          <w:szCs w:val="28"/>
          <w:lang w:val="en-US"/>
        </w:rPr>
        <w:t>T</w:t>
      </w:r>
      <w:r w:rsidRPr="00D82ACB">
        <w:rPr>
          <w:rFonts w:ascii="Times New Roman" w:hAnsi="Times New Roman" w:cs="Times New Roman"/>
          <w:sz w:val="28"/>
          <w:szCs w:val="28"/>
          <w:lang w:val="uk-UA"/>
        </w:rPr>
        <w:t>сРО</w:t>
      </w:r>
      <w:r w:rsidRPr="00D82ACB">
        <w:rPr>
          <w:rFonts w:ascii="Times New Roman" w:hAnsi="Times New Roman" w:cs="Times New Roman"/>
          <w:sz w:val="28"/>
          <w:szCs w:val="28"/>
          <w:vertAlign w:val="subscript"/>
          <w:lang w:val="uk-UA"/>
        </w:rPr>
        <w:t>2</w:t>
      </w:r>
      <w:r w:rsidRPr="00D82ACB">
        <w:rPr>
          <w:rFonts w:ascii="Times New Roman" w:hAnsi="Times New Roman" w:cs="Times New Roman"/>
          <w:sz w:val="28"/>
          <w:szCs w:val="28"/>
          <w:lang w:val="uk-UA"/>
        </w:rPr>
        <w:t xml:space="preserve"> у всі строки дослідження і пряма – між рівнем VEGF до початку лікування та через 12 міс. Це, на наш погляд, свідчить про те, що у цієї категорії хворих оцінка вазомоторної (за рівнем ЕТ-1) та проліферативної (за рівнем  VEGF) функціі ендотелію має як діагностичне, так і прогностичне значення: чим вище рівень ЕТ-1, тим більше виражений периферійний спазм судин та нижче оксигенація тканин; чим вище рівень VEGF, тим активніше йдуть процеси проліферації ендотелію і васкулогенезу, та вище оксигенація тканин при використанні у хворих на ХКІНК стимуляції неоангіогенезу у комплексному лікуванні. </w:t>
      </w:r>
    </w:p>
    <w:p w:rsidR="00C47DFD" w:rsidRPr="00EE4DEB" w:rsidRDefault="00C47DFD" w:rsidP="00C47DFD">
      <w:pPr>
        <w:tabs>
          <w:tab w:val="left" w:pos="180"/>
          <w:tab w:val="left" w:pos="540"/>
          <w:tab w:val="left" w:pos="720"/>
        </w:tabs>
        <w:spacing w:after="0" w:line="360" w:lineRule="auto"/>
        <w:ind w:left="-567" w:firstLine="567"/>
        <w:jc w:val="both"/>
        <w:rPr>
          <w:rFonts w:ascii="Times New Roman" w:hAnsi="Times New Roman" w:cs="Times New Roman"/>
          <w:sz w:val="28"/>
        </w:rPr>
      </w:pPr>
      <w:r w:rsidRPr="00EE4DEB">
        <w:rPr>
          <w:rFonts w:ascii="Times New Roman" w:hAnsi="Times New Roman" w:cs="Times New Roman"/>
          <w:sz w:val="28"/>
          <w:lang w:val="uk-UA"/>
        </w:rPr>
        <w:t>Проведені дослідження довели, що</w:t>
      </w:r>
      <w:r w:rsidRPr="00EE4DEB">
        <w:rPr>
          <w:rFonts w:ascii="Times New Roman" w:hAnsi="Times New Roman" w:cs="Times New Roman"/>
          <w:b/>
          <w:sz w:val="28"/>
          <w:lang w:val="uk-UA"/>
        </w:rPr>
        <w:t xml:space="preserve"> </w:t>
      </w:r>
      <w:r w:rsidRPr="00EE4DEB">
        <w:rPr>
          <w:rFonts w:ascii="Times New Roman" w:hAnsi="Times New Roman" w:cs="Times New Roman"/>
          <w:sz w:val="28"/>
          <w:lang w:val="uk-UA"/>
        </w:rPr>
        <w:t xml:space="preserve">рівень </w:t>
      </w:r>
      <w:r w:rsidRPr="00EE4DEB">
        <w:rPr>
          <w:rFonts w:ascii="Times New Roman" w:hAnsi="Times New Roman" w:cs="Times New Roman"/>
          <w:sz w:val="28"/>
        </w:rPr>
        <w:t>VEGF</w:t>
      </w:r>
      <w:r w:rsidRPr="00EE4DEB">
        <w:rPr>
          <w:rFonts w:ascii="Times New Roman" w:hAnsi="Times New Roman" w:cs="Times New Roman"/>
          <w:sz w:val="28"/>
          <w:lang w:val="uk-UA"/>
        </w:rPr>
        <w:t xml:space="preserve"> у плазмі крові, як показника проліферативної активності ендотелію, залежить від стадії ішемії, а також від </w:t>
      </w:r>
      <w:r w:rsidRPr="00EE4DEB">
        <w:rPr>
          <w:rFonts w:ascii="Times New Roman" w:hAnsi="Times New Roman" w:cs="Times New Roman"/>
          <w:sz w:val="28"/>
          <w:lang w:val="uk-UA"/>
        </w:rPr>
        <w:lastRenderedPageBreak/>
        <w:t xml:space="preserve">проведеного лікування, а саме успішної реваскуляризації. При зниженні рівню ішемії у хворих з </w:t>
      </w:r>
      <w:r w:rsidRPr="00EE4DEB">
        <w:rPr>
          <w:rFonts w:ascii="Times New Roman" w:hAnsi="Times New Roman" w:cs="Times New Roman"/>
          <w:sz w:val="28"/>
        </w:rPr>
        <w:t>IV</w:t>
      </w:r>
      <w:r w:rsidRPr="00EE4DEB">
        <w:rPr>
          <w:rFonts w:ascii="Times New Roman" w:hAnsi="Times New Roman" w:cs="Times New Roman"/>
          <w:sz w:val="28"/>
          <w:lang w:val="uk-UA"/>
        </w:rPr>
        <w:t xml:space="preserve"> стадією ішемії при виконанні реваскуляризації (відкритої або ендоваскулярної) рівень </w:t>
      </w:r>
      <w:r w:rsidRPr="00EE4DEB">
        <w:rPr>
          <w:rFonts w:ascii="Times New Roman" w:hAnsi="Times New Roman" w:cs="Times New Roman"/>
          <w:sz w:val="28"/>
        </w:rPr>
        <w:t>VEGF</w:t>
      </w:r>
      <w:r w:rsidRPr="00EE4DEB">
        <w:rPr>
          <w:rFonts w:ascii="Times New Roman" w:hAnsi="Times New Roman" w:cs="Times New Roman"/>
          <w:sz w:val="28"/>
          <w:lang w:val="uk-UA"/>
        </w:rPr>
        <w:t xml:space="preserve"> у плазмі підвищувався на 46,4% та 32,0% відповідно у строк 6 місяців по відношенню до вихідного рівню, та на 17,64% та 10,35% відповідно у строк 12 місяців по відношенню до вихідного рівню. </w:t>
      </w:r>
      <w:r w:rsidRPr="00EE4DEB">
        <w:rPr>
          <w:rFonts w:ascii="Times New Roman" w:hAnsi="Times New Roman" w:cs="Times New Roman"/>
          <w:sz w:val="28"/>
        </w:rPr>
        <w:t>Рівень ЕТ-1, як показника вазомоторної функції ендотелію, не залежить від стадії ішемії. Дані динаміки рівнів СРБ свідчать про залежність прозапальної функції ендотелію від стадії ішемії та, відповідно, від проведеного лікування, що також корелює з даними визначення якості життя хворих на ХКІНК. У хворих з IV стадією ішемії та консервативною терапією помітна динаміка до підвищення рівню фібриногену протягом всього періоду спостереження, що свідчить про прогресування основного захворювання та запальних процессів. Хворі з проведеною реваскуляризацією (ЧБА та СПШ) мали динаміку до зниження цих показників. Загалом, рівень фібриногену, як показника прозапальної та гемостатичної функції ендотелію, корелював з якістю життя хворих.</w:t>
      </w:r>
    </w:p>
    <w:p w:rsidR="00C47DFD" w:rsidRPr="00EE4DEB" w:rsidRDefault="00C47DFD" w:rsidP="00C47DFD">
      <w:pPr>
        <w:tabs>
          <w:tab w:val="left" w:pos="180"/>
          <w:tab w:val="left" w:pos="540"/>
          <w:tab w:val="left" w:pos="720"/>
        </w:tabs>
        <w:spacing w:after="0" w:line="360" w:lineRule="auto"/>
        <w:ind w:left="-567" w:firstLine="567"/>
        <w:jc w:val="both"/>
        <w:rPr>
          <w:rFonts w:ascii="Times New Roman" w:hAnsi="Times New Roman" w:cs="Times New Roman"/>
          <w:sz w:val="28"/>
        </w:rPr>
      </w:pPr>
      <w:r w:rsidRPr="00EE4DEB">
        <w:rPr>
          <w:rFonts w:ascii="Times New Roman" w:hAnsi="Times New Roman" w:cs="Times New Roman"/>
          <w:sz w:val="28"/>
        </w:rPr>
        <w:t>Досліджені показники ендотеліальної дисфункції та динаміка їх змін в залежності від стадії ішемії та методу проведеного лікування показали, що рівні ЕТ-1, VEGF, СРБ та фібриногену залежать від результатів лікування хворих на ХКІНК та можуть бути об’єктивними показниками результативності лікування та корекції ендотеліальної дисфункції у цієї групи хворих.</w:t>
      </w:r>
    </w:p>
    <w:p w:rsidR="00C47DFD" w:rsidRPr="00EE4DEB" w:rsidRDefault="00C47DFD" w:rsidP="00C47DFD">
      <w:pPr>
        <w:widowControl w:val="0"/>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E4DEB">
        <w:rPr>
          <w:rFonts w:ascii="Times New Roman" w:hAnsi="Times New Roman" w:cs="Times New Roman"/>
          <w:sz w:val="28"/>
          <w:szCs w:val="28"/>
          <w:lang w:val="uk-UA"/>
        </w:rPr>
        <w:t xml:space="preserve"> пацієнтів з ХКІНК при дистальному типі поразки цільовим є повна реваскуляризація ураженої кінцівки з прямим магістральним кровотоком по артеріях стопи та артеріальної підошовної дузі з відновленням її безперервності. Поліпшенню результатів лікування сприяє розроблений нами спосіб використання стімуляції неоангіогенезу, який компенсує  кровотік в стопі через колатералі. Методом вибору способу реваскуляризації є ЧБА. Перевагами даного методу є: високий відсоток клінічного успіху, мала травматичність, низький відсоток періопераційних ускладнень і летальності, можливість виконання повторних втручань, а також доступність втручання при наявності гнійно-некротичного вогнища на стопі. Хворі, яким виконувались ЧБА та стімуляції </w:t>
      </w:r>
      <w:r w:rsidRPr="00EE4DEB">
        <w:rPr>
          <w:rFonts w:ascii="Times New Roman" w:hAnsi="Times New Roman" w:cs="Times New Roman"/>
          <w:sz w:val="28"/>
          <w:szCs w:val="28"/>
          <w:lang w:val="uk-UA"/>
        </w:rPr>
        <w:lastRenderedPageBreak/>
        <w:t>неоангіогенезу</w:t>
      </w:r>
      <w:r w:rsidRPr="00EE4DEB">
        <w:rPr>
          <w:rFonts w:ascii="Times New Roman" w:eastAsia="Times New Roman" w:hAnsi="Times New Roman" w:cs="Times New Roman"/>
          <w:sz w:val="28"/>
          <w:lang w:val="uk-UA"/>
        </w:rPr>
        <w:t xml:space="preserve">, мали найвищі показники ЯЖ у більш ранні строки, та значно відрізнялися від відповідних показників у хворих, що лікувалися іншими методами, а також між двома групами – у хворих з основної групи на 100% нижче рівень болю, на 14,7% вище ПФ та на 11,8% більша дистанція безбольової ходи у порівнянні з групою порівняння у строк 12 місяців. </w:t>
      </w:r>
      <w:r w:rsidRPr="00EE4DEB">
        <w:rPr>
          <w:rFonts w:ascii="Times New Roman" w:hAnsi="Times New Roman" w:cs="Times New Roman"/>
          <w:sz w:val="28"/>
          <w:szCs w:val="28"/>
          <w:lang w:val="uk-UA"/>
        </w:rPr>
        <w:t xml:space="preserve">До недоліків способу  реваскуляризації з використанням  ЧБА слід віднести технічні труднощі при наявності протяжних стенозів і оклюзій, які частково долаються шляхом використання техніки субінтімальной балонної ангіопластики, а також вартість устаткування і витратних матеріалів. </w:t>
      </w:r>
    </w:p>
    <w:p w:rsidR="00C47DFD" w:rsidRPr="00E17D81" w:rsidRDefault="00C47DFD" w:rsidP="00C47DFD">
      <w:pPr>
        <w:spacing w:after="0" w:line="360" w:lineRule="auto"/>
        <w:ind w:left="-567" w:firstLine="568"/>
        <w:jc w:val="both"/>
        <w:outlineLvl w:val="2"/>
        <w:rPr>
          <w:rFonts w:ascii="Times New Roman" w:eastAsia="Times New Roman" w:hAnsi="Times New Roman" w:cs="Times New Roman"/>
          <w:b/>
          <w:bCs/>
          <w:sz w:val="28"/>
          <w:szCs w:val="28"/>
          <w:lang w:val="uk-UA"/>
        </w:rPr>
      </w:pPr>
      <w:r w:rsidRPr="00EE4DEB">
        <w:rPr>
          <w:rFonts w:ascii="Times New Roman" w:eastAsia="Times New Roman" w:hAnsi="Times New Roman" w:cs="Times New Roman"/>
          <w:sz w:val="28"/>
          <w:lang w:val="uk-UA"/>
        </w:rPr>
        <w:t xml:space="preserve">Найгіршими результатами лікування спотерігались у хворих, яким проводилась консервативна терапія, симпатектомія в поєднанні зі </w:t>
      </w:r>
      <w:r w:rsidRPr="00EE4DEB">
        <w:rPr>
          <w:rFonts w:ascii="Times New Roman" w:hAnsi="Times New Roman" w:cs="Times New Roman"/>
          <w:sz w:val="28"/>
          <w:szCs w:val="28"/>
          <w:lang w:val="uk-UA"/>
        </w:rPr>
        <w:t>стімуляцією неоангіогенезу у порівнянні з хворими, яким виконували ЧБА та відкриту пряму реваскулярізацію кінцівок</w:t>
      </w:r>
      <w:r w:rsidRPr="00EE4DEB">
        <w:rPr>
          <w:rFonts w:ascii="Times New Roman" w:eastAsia="Times New Roman" w:hAnsi="Times New Roman" w:cs="Times New Roman"/>
          <w:sz w:val="28"/>
          <w:lang w:val="uk-UA"/>
        </w:rPr>
        <w:t>. Але, у строк спостереження 12 місяців після лікування у хворих основної групи, що лікувалися консервативно, відмічався на 45,8% нижче рівень болю, на 51,8% вище ФФ,  на 43,8% вище ПФ та на 113,2% більша дистанція безбольової ходи (р</w:t>
      </w:r>
      <w:r w:rsidRPr="00EE4DEB">
        <w:rPr>
          <w:rFonts w:ascii="Times New Roman" w:eastAsia="Times New Roman" w:hAnsi="Times New Roman" w:cs="Times New Roman"/>
          <w:sz w:val="28"/>
          <w:lang w:val="uk-UA"/>
        </w:rPr>
        <w:sym w:font="Symbol" w:char="F03C"/>
      </w:r>
      <w:r w:rsidRPr="00EE4DEB">
        <w:rPr>
          <w:rFonts w:ascii="Times New Roman" w:eastAsia="Times New Roman" w:hAnsi="Times New Roman" w:cs="Times New Roman"/>
          <w:sz w:val="28"/>
          <w:lang w:val="uk-UA"/>
        </w:rPr>
        <w:t>0,05). Виходячи з цих даних, можна зробити висновок, що стимуляція неоангіогенезу має сенс як допоміжний метод лікування хворих на ХКІНК з дистальною формою ураження</w:t>
      </w:r>
    </w:p>
    <w:p w:rsidR="00C47DFD" w:rsidRDefault="00C47DFD" w:rsidP="003A6D02">
      <w:pPr>
        <w:spacing w:after="0" w:line="360" w:lineRule="auto"/>
        <w:ind w:left="-567" w:firstLine="567"/>
        <w:jc w:val="center"/>
        <w:rPr>
          <w:rFonts w:ascii="Times New Roman" w:hAnsi="Times New Roman"/>
          <w:color w:val="000000"/>
          <w:sz w:val="28"/>
          <w:szCs w:val="28"/>
          <w:lang w:val="uk-UA"/>
        </w:rPr>
      </w:pPr>
    </w:p>
    <w:p w:rsidR="00C47DFD" w:rsidRDefault="00C47DFD">
      <w:pPr>
        <w:rPr>
          <w:rFonts w:ascii="Times New Roman" w:hAnsi="Times New Roman"/>
          <w:color w:val="000000"/>
          <w:sz w:val="28"/>
          <w:szCs w:val="28"/>
          <w:lang w:val="uk-UA"/>
        </w:rPr>
      </w:pPr>
      <w:r>
        <w:rPr>
          <w:rFonts w:ascii="Times New Roman" w:hAnsi="Times New Roman"/>
          <w:color w:val="000000"/>
          <w:sz w:val="28"/>
          <w:szCs w:val="28"/>
          <w:lang w:val="uk-UA"/>
        </w:rPr>
        <w:br w:type="page"/>
      </w:r>
    </w:p>
    <w:p w:rsidR="003A6D02" w:rsidRPr="00F506C5" w:rsidRDefault="003A6D02" w:rsidP="003A6D02">
      <w:pPr>
        <w:spacing w:after="0" w:line="360" w:lineRule="auto"/>
        <w:ind w:left="-567" w:firstLine="567"/>
        <w:jc w:val="center"/>
        <w:rPr>
          <w:rFonts w:ascii="Times New Roman" w:hAnsi="Times New Roman"/>
          <w:b/>
          <w:bCs/>
          <w:sz w:val="28"/>
          <w:szCs w:val="28"/>
          <w:lang w:val="uk-UA"/>
        </w:rPr>
      </w:pPr>
      <w:r w:rsidRPr="00F506C5">
        <w:rPr>
          <w:rFonts w:ascii="Times New Roman" w:hAnsi="Times New Roman"/>
          <w:b/>
          <w:bCs/>
          <w:sz w:val="28"/>
          <w:szCs w:val="28"/>
          <w:lang w:val="uk-UA"/>
        </w:rPr>
        <w:lastRenderedPageBreak/>
        <w:t>ВИСНОВКИ</w:t>
      </w:r>
    </w:p>
    <w:p w:rsidR="003A6D02" w:rsidRDefault="003A6D02" w:rsidP="003A6D02">
      <w:pPr>
        <w:spacing w:after="0" w:line="360" w:lineRule="auto"/>
        <w:ind w:left="-567" w:firstLine="567"/>
        <w:jc w:val="center"/>
        <w:outlineLvl w:val="2"/>
        <w:rPr>
          <w:rFonts w:ascii="Times New Roman" w:hAnsi="Times New Roman"/>
          <w:b/>
          <w:bCs/>
          <w:sz w:val="28"/>
          <w:szCs w:val="28"/>
          <w:lang w:val="uk-UA"/>
        </w:rPr>
      </w:pPr>
    </w:p>
    <w:p w:rsidR="003A6D02" w:rsidRPr="00BE08F0" w:rsidRDefault="003A6D02" w:rsidP="003A6D02">
      <w:pPr>
        <w:spacing w:after="0" w:line="360" w:lineRule="auto"/>
        <w:ind w:left="-567" w:firstLine="567"/>
        <w:jc w:val="center"/>
        <w:outlineLvl w:val="2"/>
        <w:rPr>
          <w:rFonts w:ascii="Times New Roman" w:hAnsi="Times New Roman"/>
          <w:b/>
          <w:bCs/>
          <w:sz w:val="28"/>
          <w:szCs w:val="28"/>
          <w:lang w:val="uk-UA"/>
        </w:rPr>
      </w:pPr>
    </w:p>
    <w:p w:rsidR="003A6D02" w:rsidRPr="00BE08F0" w:rsidRDefault="003A6D02" w:rsidP="003A6D02">
      <w:pPr>
        <w:tabs>
          <w:tab w:val="left" w:pos="180"/>
          <w:tab w:val="left" w:pos="540"/>
          <w:tab w:val="left" w:pos="720"/>
        </w:tabs>
        <w:spacing w:after="0" w:line="360" w:lineRule="auto"/>
        <w:ind w:left="-567" w:firstLine="567"/>
        <w:jc w:val="both"/>
        <w:rPr>
          <w:rFonts w:ascii="Times New Roman" w:hAnsi="Times New Roman"/>
          <w:color w:val="000000"/>
          <w:sz w:val="28"/>
          <w:szCs w:val="28"/>
          <w:lang w:val="uk-UA"/>
        </w:rPr>
      </w:pPr>
      <w:r w:rsidRPr="00BE08F0">
        <w:rPr>
          <w:rFonts w:ascii="Times New Roman" w:hAnsi="Times New Roman"/>
          <w:color w:val="000000"/>
          <w:sz w:val="28"/>
          <w:szCs w:val="28"/>
          <w:lang w:val="uk-UA"/>
        </w:rPr>
        <w:t xml:space="preserve">У дисертації наведені теоретичне обґрунтування та практичне рішення актуального питання хірургії </w:t>
      </w:r>
      <w:r>
        <w:rPr>
          <w:rFonts w:ascii="Times New Roman" w:hAnsi="Times New Roman"/>
          <w:color w:val="000000"/>
          <w:sz w:val="28"/>
          <w:szCs w:val="28"/>
          <w:lang w:val="uk-UA"/>
        </w:rPr>
        <w:t>–</w:t>
      </w:r>
      <w:r w:rsidRPr="00BE08F0">
        <w:rPr>
          <w:rFonts w:ascii="Times New Roman" w:hAnsi="Times New Roman"/>
          <w:color w:val="000000"/>
          <w:sz w:val="28"/>
          <w:szCs w:val="28"/>
          <w:lang w:val="uk-UA"/>
        </w:rPr>
        <w:t xml:space="preserve"> поліпшення результатів хірургічного лікування хворих на </w:t>
      </w:r>
      <w:r w:rsidR="00284C57">
        <w:rPr>
          <w:rFonts w:ascii="Times New Roman" w:hAnsi="Times New Roman"/>
          <w:color w:val="000000"/>
          <w:sz w:val="28"/>
          <w:szCs w:val="28"/>
          <w:lang w:val="uk-UA"/>
        </w:rPr>
        <w:t>ХКІНК</w:t>
      </w:r>
      <w:r w:rsidRPr="00BE08F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при застосуванні методу стимуляції неоангіогенезу, </w:t>
      </w:r>
      <w:r w:rsidRPr="00BE08F0">
        <w:rPr>
          <w:rFonts w:ascii="Times New Roman" w:hAnsi="Times New Roman"/>
          <w:color w:val="000000"/>
          <w:sz w:val="28"/>
          <w:szCs w:val="28"/>
          <w:lang w:val="uk-UA"/>
        </w:rPr>
        <w:t>шляхом вивчення показників дисфункції ендотелію</w:t>
      </w:r>
      <w:r w:rsidRPr="00703F00">
        <w:rPr>
          <w:rFonts w:ascii="Times New Roman" w:hAnsi="Times New Roman"/>
          <w:color w:val="000000"/>
          <w:sz w:val="28"/>
          <w:szCs w:val="28"/>
          <w:lang w:val="uk-UA"/>
        </w:rPr>
        <w:t xml:space="preserve">, </w:t>
      </w:r>
      <w:r w:rsidR="00284C57">
        <w:rPr>
          <w:rFonts w:ascii="Times New Roman" w:hAnsi="Times New Roman"/>
          <w:color w:val="000000"/>
          <w:sz w:val="28"/>
          <w:szCs w:val="28"/>
          <w:lang w:val="uk-UA"/>
        </w:rPr>
        <w:t>ЯЖ</w:t>
      </w:r>
      <w:r>
        <w:rPr>
          <w:rFonts w:ascii="Times New Roman" w:hAnsi="Times New Roman"/>
          <w:color w:val="000000"/>
          <w:sz w:val="28"/>
          <w:szCs w:val="28"/>
          <w:lang w:val="uk-UA"/>
        </w:rPr>
        <w:t xml:space="preserve"> хворих</w:t>
      </w:r>
      <w:r w:rsidR="00284C57">
        <w:rPr>
          <w:rFonts w:ascii="Times New Roman" w:hAnsi="Times New Roman"/>
          <w:color w:val="000000"/>
          <w:sz w:val="28"/>
          <w:szCs w:val="28"/>
          <w:lang w:val="uk-UA"/>
        </w:rPr>
        <w:t xml:space="preserve">, </w:t>
      </w:r>
      <w:r w:rsidRPr="00BE08F0">
        <w:rPr>
          <w:rFonts w:ascii="Times New Roman" w:hAnsi="Times New Roman"/>
          <w:color w:val="000000"/>
          <w:sz w:val="28"/>
          <w:szCs w:val="28"/>
          <w:lang w:val="uk-UA"/>
        </w:rPr>
        <w:t xml:space="preserve">результатів лікування. </w:t>
      </w:r>
    </w:p>
    <w:p w:rsidR="003A6D02" w:rsidRPr="00703F00" w:rsidRDefault="003A6D02" w:rsidP="00B43186">
      <w:pPr>
        <w:widowControl w:val="0"/>
        <w:numPr>
          <w:ilvl w:val="0"/>
          <w:numId w:val="2"/>
        </w:numPr>
        <w:spacing w:after="0" w:line="360" w:lineRule="auto"/>
        <w:ind w:left="-567" w:firstLine="567"/>
        <w:jc w:val="both"/>
        <w:rPr>
          <w:rFonts w:ascii="Times New Roman" w:hAnsi="Times New Roman"/>
          <w:color w:val="000000"/>
          <w:sz w:val="28"/>
          <w:szCs w:val="28"/>
          <w:lang w:val="uk-UA"/>
        </w:rPr>
      </w:pPr>
      <w:r w:rsidRPr="00BE08F0">
        <w:rPr>
          <w:rFonts w:ascii="Times New Roman" w:hAnsi="Times New Roman"/>
          <w:color w:val="000000"/>
          <w:sz w:val="28"/>
          <w:szCs w:val="28"/>
          <w:lang w:val="uk-UA"/>
        </w:rPr>
        <w:t xml:space="preserve"> </w:t>
      </w:r>
      <w:r w:rsidRPr="00703F00">
        <w:rPr>
          <w:rFonts w:ascii="Times New Roman" w:hAnsi="Times New Roman"/>
          <w:color w:val="000000"/>
          <w:sz w:val="28"/>
          <w:szCs w:val="28"/>
          <w:lang w:val="uk-UA"/>
        </w:rPr>
        <w:t>Х</w:t>
      </w:r>
      <w:r w:rsidRPr="00703F00">
        <w:rPr>
          <w:rFonts w:ascii="Times New Roman" w:hAnsi="Times New Roman"/>
          <w:color w:val="000000"/>
          <w:sz w:val="28"/>
          <w:szCs w:val="28"/>
        </w:rPr>
        <w:t>ворі на ХКІНК мають несприятливий перебіг захворювання, який пов’язан</w:t>
      </w:r>
      <w:r>
        <w:rPr>
          <w:rFonts w:ascii="Times New Roman" w:hAnsi="Times New Roman"/>
          <w:color w:val="000000"/>
          <w:sz w:val="28"/>
          <w:szCs w:val="28"/>
          <w:lang w:val="uk-UA"/>
        </w:rPr>
        <w:t>ий</w:t>
      </w:r>
      <w:r w:rsidRPr="00703F00">
        <w:rPr>
          <w:rFonts w:ascii="Times New Roman" w:hAnsi="Times New Roman"/>
          <w:color w:val="000000"/>
          <w:sz w:val="28"/>
          <w:szCs w:val="28"/>
        </w:rPr>
        <w:t xml:space="preserve"> з ураженням дистального судинного русла, </w:t>
      </w:r>
      <w:r w:rsidRPr="00703F00">
        <w:rPr>
          <w:rFonts w:ascii="Times New Roman" w:hAnsi="Times New Roman"/>
          <w:color w:val="000000"/>
          <w:sz w:val="28"/>
          <w:szCs w:val="28"/>
          <w:lang w:val="uk-UA"/>
        </w:rPr>
        <w:t>2</w:t>
      </w:r>
      <w:r w:rsidRPr="00703F00">
        <w:rPr>
          <w:rFonts w:ascii="Times New Roman" w:hAnsi="Times New Roman"/>
          <w:color w:val="000000"/>
          <w:sz w:val="28"/>
          <w:szCs w:val="28"/>
        </w:rPr>
        <w:t>8</w:t>
      </w:r>
      <w:r w:rsidRPr="00703F00">
        <w:rPr>
          <w:rFonts w:ascii="Times New Roman" w:hAnsi="Times New Roman"/>
          <w:color w:val="000000"/>
          <w:sz w:val="28"/>
          <w:szCs w:val="28"/>
          <w:lang w:val="uk-UA"/>
        </w:rPr>
        <w:t>,</w:t>
      </w:r>
      <w:r w:rsidRPr="00703F00">
        <w:rPr>
          <w:rFonts w:ascii="Times New Roman" w:hAnsi="Times New Roman"/>
          <w:color w:val="000000"/>
          <w:sz w:val="28"/>
          <w:szCs w:val="28"/>
        </w:rPr>
        <w:t>5</w:t>
      </w:r>
      <w:r w:rsidRPr="00703F00">
        <w:rPr>
          <w:rFonts w:ascii="Times New Roman" w:hAnsi="Times New Roman"/>
          <w:color w:val="000000"/>
          <w:sz w:val="28"/>
          <w:szCs w:val="28"/>
          <w:lang w:val="uk-UA"/>
        </w:rPr>
        <w:t>%</w:t>
      </w:r>
      <w:r w:rsidRPr="00703F00">
        <w:rPr>
          <w:rFonts w:ascii="Times New Roman" w:hAnsi="Times New Roman"/>
          <w:color w:val="000000"/>
          <w:sz w:val="28"/>
          <w:szCs w:val="28"/>
        </w:rPr>
        <w:t xml:space="preserve"> з них протягом року здійснюються ампутації, у тому числі – у </w:t>
      </w:r>
      <w:r w:rsidRPr="00703F00">
        <w:rPr>
          <w:rFonts w:ascii="Times New Roman" w:hAnsi="Times New Roman"/>
          <w:color w:val="000000"/>
          <w:sz w:val="28"/>
          <w:szCs w:val="28"/>
          <w:lang w:val="uk-UA"/>
        </w:rPr>
        <w:t>5,7</w:t>
      </w:r>
      <w:r w:rsidRPr="00703F00">
        <w:rPr>
          <w:rFonts w:ascii="Times New Roman" w:hAnsi="Times New Roman"/>
          <w:color w:val="000000"/>
          <w:sz w:val="28"/>
          <w:szCs w:val="28"/>
        </w:rPr>
        <w:t>% на рівні гомілки та стегна.</w:t>
      </w:r>
      <w:r w:rsidRPr="00703F00">
        <w:rPr>
          <w:rFonts w:ascii="Times New Roman" w:hAnsi="Times New Roman"/>
          <w:color w:val="000000"/>
          <w:sz w:val="28"/>
          <w:szCs w:val="28"/>
          <w:lang w:val="uk-UA"/>
        </w:rPr>
        <w:t xml:space="preserve"> Невірогідними факторами ризику виконання ампутації із використанням біномінального критерію їх оцінки є гіперемія шкіри нижніх кінцівок, біль </w:t>
      </w:r>
      <w:r>
        <w:rPr>
          <w:rFonts w:ascii="Times New Roman" w:hAnsi="Times New Roman"/>
          <w:color w:val="000000"/>
          <w:sz w:val="28"/>
          <w:szCs w:val="28"/>
          <w:lang w:val="uk-UA"/>
        </w:rPr>
        <w:t xml:space="preserve">у </w:t>
      </w:r>
      <w:r w:rsidRPr="00703F00">
        <w:rPr>
          <w:rFonts w:ascii="Times New Roman" w:hAnsi="Times New Roman"/>
          <w:color w:val="000000"/>
          <w:sz w:val="28"/>
          <w:szCs w:val="28"/>
          <w:lang w:val="uk-UA"/>
        </w:rPr>
        <w:t>споко</w:t>
      </w:r>
      <w:r>
        <w:rPr>
          <w:rFonts w:ascii="Times New Roman" w:hAnsi="Times New Roman"/>
          <w:color w:val="000000"/>
          <w:sz w:val="28"/>
          <w:szCs w:val="28"/>
          <w:lang w:val="uk-UA"/>
        </w:rPr>
        <w:t>ї</w:t>
      </w:r>
      <w:r w:rsidRPr="00703F00">
        <w:rPr>
          <w:rFonts w:ascii="Times New Roman" w:hAnsi="Times New Roman"/>
          <w:color w:val="000000"/>
          <w:sz w:val="28"/>
          <w:szCs w:val="28"/>
          <w:lang w:val="uk-UA"/>
        </w:rPr>
        <w:t>, ураження ТПС та наявність ЦД (р</w:t>
      </w:r>
      <w:r w:rsidRPr="00703F00">
        <w:rPr>
          <w:rFonts w:ascii="Times New Roman" w:hAnsi="Times New Roman"/>
          <w:color w:val="000000"/>
          <w:sz w:val="28"/>
          <w:szCs w:val="28"/>
          <w:lang w:val="uk-UA"/>
        </w:rPr>
        <w:sym w:font="Symbol" w:char="F03E"/>
      </w:r>
      <w:r w:rsidRPr="00703F00">
        <w:rPr>
          <w:rFonts w:ascii="Times New Roman" w:hAnsi="Times New Roman"/>
          <w:color w:val="000000"/>
          <w:sz w:val="28"/>
          <w:szCs w:val="28"/>
          <w:lang w:val="uk-UA"/>
        </w:rPr>
        <w:t xml:space="preserve">0,05). </w:t>
      </w:r>
      <w:r>
        <w:rPr>
          <w:rFonts w:ascii="Times New Roman" w:hAnsi="Times New Roman"/>
          <w:color w:val="000000"/>
          <w:sz w:val="28"/>
          <w:szCs w:val="28"/>
          <w:lang w:val="uk-UA"/>
        </w:rPr>
        <w:t>Р</w:t>
      </w:r>
      <w:r w:rsidRPr="00703F00">
        <w:rPr>
          <w:rFonts w:ascii="Times New Roman" w:hAnsi="Times New Roman"/>
          <w:color w:val="000000"/>
          <w:sz w:val="28"/>
          <w:szCs w:val="28"/>
          <w:lang w:val="uk-UA"/>
        </w:rPr>
        <w:t>озроблена система прогнозу дозволяє виділити групу ризику хворих на виконання ампутації кінцівок протягом року спостереження, а найбільш прогностично значущими критеріями є низька температура стопи (</w:t>
      </w:r>
      <w:r w:rsidRPr="00703F00">
        <w:rPr>
          <w:rFonts w:ascii="Times New Roman" w:hAnsi="Times New Roman"/>
          <w:color w:val="000000"/>
          <w:sz w:val="28"/>
          <w:szCs w:val="28"/>
          <w:lang w:val="uk-UA"/>
        </w:rPr>
        <w:sym w:font="Symbol" w:char="F03C"/>
      </w:r>
      <w:r w:rsidRPr="00703F00">
        <w:rPr>
          <w:rFonts w:ascii="Times New Roman" w:hAnsi="Times New Roman"/>
          <w:color w:val="000000"/>
          <w:sz w:val="28"/>
          <w:szCs w:val="28"/>
          <w:lang w:val="uk-UA"/>
        </w:rPr>
        <w:t>30</w:t>
      </w:r>
      <w:r w:rsidRPr="00703F00">
        <w:rPr>
          <w:rFonts w:ascii="Times New Roman" w:hAnsi="Times New Roman"/>
          <w:color w:val="000000"/>
          <w:sz w:val="28"/>
          <w:szCs w:val="28"/>
          <w:vertAlign w:val="superscript"/>
          <w:lang w:val="uk-UA"/>
        </w:rPr>
        <w:t>о</w:t>
      </w:r>
      <w:r w:rsidRPr="00703F00">
        <w:rPr>
          <w:rFonts w:ascii="Times New Roman" w:hAnsi="Times New Roman"/>
          <w:color w:val="000000"/>
          <w:sz w:val="28"/>
          <w:szCs w:val="28"/>
          <w:lang w:val="uk-UA"/>
        </w:rPr>
        <w:t>С) та гомілки (</w:t>
      </w:r>
      <w:r w:rsidRPr="00703F00">
        <w:rPr>
          <w:rFonts w:ascii="Times New Roman" w:hAnsi="Times New Roman"/>
          <w:color w:val="000000"/>
          <w:sz w:val="28"/>
          <w:szCs w:val="28"/>
          <w:lang w:val="uk-UA"/>
        </w:rPr>
        <w:sym w:font="Symbol" w:char="F03C"/>
      </w:r>
      <w:r w:rsidRPr="00703F00">
        <w:rPr>
          <w:rFonts w:ascii="Times New Roman" w:hAnsi="Times New Roman"/>
          <w:color w:val="000000"/>
          <w:sz w:val="28"/>
          <w:szCs w:val="28"/>
          <w:lang w:val="uk-UA"/>
        </w:rPr>
        <w:t>35,8</w:t>
      </w:r>
      <w:r w:rsidRPr="00703F00">
        <w:rPr>
          <w:rFonts w:ascii="Times New Roman" w:hAnsi="Times New Roman"/>
          <w:color w:val="000000"/>
          <w:sz w:val="28"/>
          <w:szCs w:val="28"/>
          <w:vertAlign w:val="superscript"/>
          <w:lang w:val="uk-UA"/>
        </w:rPr>
        <w:t>о</w:t>
      </w:r>
      <w:r w:rsidRPr="00703F00">
        <w:rPr>
          <w:rFonts w:ascii="Times New Roman" w:hAnsi="Times New Roman"/>
          <w:color w:val="000000"/>
          <w:sz w:val="28"/>
          <w:szCs w:val="28"/>
          <w:lang w:val="uk-UA"/>
        </w:rPr>
        <w:t>С), ураження ЗВГА без збереження прохідності ПВГА, та відсутність виходу хоча б однієї з гомілкових артерій на артеріальну дугу стопи. Точність класифікації при крос-перевірці склала 91% для хворих без прогнозованої ампутаціі та 83%</w:t>
      </w:r>
      <w:r>
        <w:rPr>
          <w:rFonts w:ascii="Times New Roman" w:hAnsi="Times New Roman"/>
          <w:color w:val="000000"/>
          <w:sz w:val="28"/>
          <w:szCs w:val="28"/>
          <w:lang w:val="uk-UA"/>
        </w:rPr>
        <w:t xml:space="preserve"> –</w:t>
      </w:r>
      <w:r w:rsidRPr="00703F00">
        <w:rPr>
          <w:rFonts w:ascii="Times New Roman" w:hAnsi="Times New Roman"/>
          <w:color w:val="000000"/>
          <w:sz w:val="28"/>
          <w:szCs w:val="28"/>
          <w:lang w:val="uk-UA"/>
        </w:rPr>
        <w:t xml:space="preserve"> з прогнозованою ампутацією.</w:t>
      </w:r>
    </w:p>
    <w:p w:rsidR="003A6D02" w:rsidRPr="00703F00" w:rsidRDefault="003A6D02" w:rsidP="00B43186">
      <w:pPr>
        <w:widowControl w:val="0"/>
        <w:numPr>
          <w:ilvl w:val="0"/>
          <w:numId w:val="2"/>
        </w:numPr>
        <w:spacing w:after="0" w:line="360" w:lineRule="auto"/>
        <w:ind w:left="-567" w:firstLine="567"/>
        <w:jc w:val="both"/>
        <w:rPr>
          <w:rFonts w:ascii="Times New Roman" w:hAnsi="Times New Roman"/>
          <w:color w:val="000000"/>
          <w:sz w:val="28"/>
          <w:szCs w:val="28"/>
          <w:lang w:val="uk-UA"/>
        </w:rPr>
      </w:pPr>
      <w:r>
        <w:rPr>
          <w:rFonts w:ascii="Times New Roman" w:hAnsi="Times New Roman"/>
          <w:color w:val="000000"/>
          <w:sz w:val="28"/>
          <w:szCs w:val="28"/>
          <w:lang w:val="uk-UA"/>
        </w:rPr>
        <w:t>Д</w:t>
      </w:r>
      <w:r w:rsidRPr="00703F00">
        <w:rPr>
          <w:rFonts w:ascii="Times New Roman" w:hAnsi="Times New Roman"/>
          <w:color w:val="000000"/>
          <w:sz w:val="28"/>
          <w:szCs w:val="28"/>
          <w:lang w:val="uk-UA"/>
        </w:rPr>
        <w:t>инаміка змін показників вазомоторної, проліферативної, прозапальної та гемостатичної функції ендотелію, залежать від багатьох факторів. Вихідні рівні ЕТ-1, як фактору ураження ендотелію, у хворих на ХКІНК з дистальною формою захворювання були вищими на 94,8% у хворих з III стадією ішемії, на 100% у хворих з IV стадією, на 112% у хворих з ЦД та на 89,7% у хворих без ЦД у порівнянні з контрольним рівнем (р</w:t>
      </w:r>
      <w:r w:rsidRPr="00703F00">
        <w:rPr>
          <w:rFonts w:ascii="Times New Roman" w:hAnsi="Times New Roman"/>
          <w:color w:val="000000"/>
          <w:sz w:val="28"/>
          <w:szCs w:val="28"/>
          <w:lang w:val="uk-UA"/>
        </w:rPr>
        <w:sym w:font="Symbol" w:char="F03C"/>
      </w:r>
      <w:r w:rsidRPr="00703F00">
        <w:rPr>
          <w:rFonts w:ascii="Times New Roman" w:hAnsi="Times New Roman"/>
          <w:color w:val="000000"/>
          <w:sz w:val="28"/>
          <w:szCs w:val="28"/>
          <w:lang w:val="uk-UA"/>
        </w:rPr>
        <w:t xml:space="preserve">0,05). Через 12 міс. спостереження загальногруповий показник ЕТ-1 знижувався на 17,4% </w:t>
      </w:r>
      <w:r>
        <w:rPr>
          <w:rFonts w:ascii="Times New Roman" w:hAnsi="Times New Roman"/>
          <w:color w:val="000000"/>
          <w:sz w:val="28"/>
          <w:szCs w:val="28"/>
          <w:lang w:val="uk-UA"/>
        </w:rPr>
        <w:t xml:space="preserve">і </w:t>
      </w:r>
      <w:r w:rsidRPr="00703F00">
        <w:rPr>
          <w:rFonts w:ascii="Times New Roman" w:hAnsi="Times New Roman"/>
          <w:color w:val="000000"/>
          <w:sz w:val="28"/>
          <w:szCs w:val="28"/>
          <w:lang w:val="uk-UA"/>
        </w:rPr>
        <w:t>був нижче вихідних даних (р</w:t>
      </w:r>
      <w:r w:rsidRPr="00703F00">
        <w:rPr>
          <w:rFonts w:ascii="Times New Roman" w:hAnsi="Times New Roman"/>
          <w:color w:val="000000"/>
          <w:sz w:val="28"/>
          <w:szCs w:val="28"/>
          <w:lang w:val="uk-UA"/>
        </w:rPr>
        <w:sym w:font="Symbol" w:char="F03C"/>
      </w:r>
      <w:r w:rsidRPr="00703F00">
        <w:rPr>
          <w:rFonts w:ascii="Times New Roman" w:hAnsi="Times New Roman"/>
          <w:color w:val="000000"/>
          <w:sz w:val="28"/>
          <w:szCs w:val="28"/>
          <w:lang w:val="uk-UA"/>
        </w:rPr>
        <w:t xml:space="preserve">0,05). Вихідні дані середнього рівня </w:t>
      </w:r>
      <w:r w:rsidRPr="00703F00">
        <w:rPr>
          <w:rFonts w:ascii="Times New Roman" w:hAnsi="Times New Roman"/>
          <w:color w:val="000000"/>
          <w:sz w:val="28"/>
          <w:szCs w:val="28"/>
          <w:lang w:val="en-US"/>
        </w:rPr>
        <w:t>VEGF</w:t>
      </w:r>
      <w:r w:rsidRPr="00703F00">
        <w:rPr>
          <w:rFonts w:ascii="Times New Roman" w:hAnsi="Times New Roman"/>
          <w:color w:val="000000"/>
          <w:sz w:val="28"/>
          <w:szCs w:val="28"/>
          <w:lang w:val="uk-UA"/>
        </w:rPr>
        <w:t xml:space="preserve"> у плазмі хворих були </w:t>
      </w:r>
      <w:r w:rsidRPr="00E17A56">
        <w:rPr>
          <w:rFonts w:ascii="Times New Roman" w:hAnsi="Times New Roman"/>
          <w:sz w:val="28"/>
          <w:szCs w:val="28"/>
          <w:lang w:val="uk-UA"/>
        </w:rPr>
        <w:t xml:space="preserve">вищими у 4,9 рази у хворих з III </w:t>
      </w:r>
      <w:r w:rsidR="00284C57">
        <w:rPr>
          <w:rFonts w:ascii="Times New Roman" w:hAnsi="Times New Roman"/>
          <w:sz w:val="28"/>
          <w:szCs w:val="28"/>
          <w:lang w:val="uk-UA"/>
        </w:rPr>
        <w:t>ступенем</w:t>
      </w:r>
      <w:r w:rsidRPr="00E17A56">
        <w:rPr>
          <w:rFonts w:ascii="Times New Roman" w:hAnsi="Times New Roman"/>
          <w:sz w:val="28"/>
          <w:szCs w:val="28"/>
          <w:lang w:val="uk-UA"/>
        </w:rPr>
        <w:t xml:space="preserve"> ішемії, у 3,3 у хворих з IV </w:t>
      </w:r>
      <w:r w:rsidR="00284C57">
        <w:rPr>
          <w:rFonts w:ascii="Times New Roman" w:hAnsi="Times New Roman"/>
          <w:sz w:val="28"/>
          <w:szCs w:val="28"/>
          <w:lang w:val="uk-UA"/>
        </w:rPr>
        <w:t>ступенем</w:t>
      </w:r>
      <w:r w:rsidRPr="00E17A56">
        <w:rPr>
          <w:rFonts w:ascii="Times New Roman" w:hAnsi="Times New Roman"/>
          <w:sz w:val="28"/>
          <w:szCs w:val="28"/>
          <w:lang w:val="uk-UA"/>
        </w:rPr>
        <w:t>, на 352,2% у хворих з ЦД та на 4,2 у хворих</w:t>
      </w:r>
      <w:r w:rsidRPr="00703F00">
        <w:rPr>
          <w:rFonts w:ascii="Times New Roman" w:hAnsi="Times New Roman"/>
          <w:color w:val="000000"/>
          <w:sz w:val="28"/>
          <w:szCs w:val="28"/>
          <w:lang w:val="uk-UA"/>
        </w:rPr>
        <w:t xml:space="preserve"> без ЦД у порівнянні </w:t>
      </w:r>
      <w:r w:rsidRPr="00703F00">
        <w:rPr>
          <w:rFonts w:ascii="Times New Roman" w:hAnsi="Times New Roman"/>
          <w:color w:val="000000"/>
          <w:sz w:val="28"/>
          <w:szCs w:val="28"/>
          <w:lang w:val="uk-UA"/>
        </w:rPr>
        <w:lastRenderedPageBreak/>
        <w:t>контрол</w:t>
      </w:r>
      <w:r w:rsidR="00284C57">
        <w:rPr>
          <w:rFonts w:ascii="Times New Roman" w:hAnsi="Times New Roman"/>
          <w:color w:val="000000"/>
          <w:sz w:val="28"/>
          <w:szCs w:val="28"/>
          <w:lang w:val="uk-UA"/>
        </w:rPr>
        <w:t xml:space="preserve">ем </w:t>
      </w:r>
      <w:r w:rsidRPr="00703F00">
        <w:rPr>
          <w:rFonts w:ascii="Times New Roman" w:hAnsi="Times New Roman"/>
          <w:color w:val="000000"/>
          <w:sz w:val="28"/>
          <w:szCs w:val="28"/>
          <w:lang w:val="uk-UA"/>
        </w:rPr>
        <w:t>(р</w:t>
      </w:r>
      <w:r w:rsidRPr="00703F00">
        <w:rPr>
          <w:rFonts w:ascii="Times New Roman" w:hAnsi="Times New Roman"/>
          <w:color w:val="000000"/>
          <w:sz w:val="28"/>
          <w:szCs w:val="28"/>
          <w:lang w:val="uk-UA"/>
        </w:rPr>
        <w:sym w:font="Symbol" w:char="F03C"/>
      </w:r>
      <w:r w:rsidRPr="00703F00">
        <w:rPr>
          <w:rFonts w:ascii="Times New Roman" w:hAnsi="Times New Roman"/>
          <w:color w:val="000000"/>
          <w:sz w:val="28"/>
          <w:szCs w:val="28"/>
          <w:lang w:val="uk-UA"/>
        </w:rPr>
        <w:t xml:space="preserve">0,05). Через 12 </w:t>
      </w:r>
      <w:r w:rsidRPr="00E17A56">
        <w:rPr>
          <w:rFonts w:ascii="Times New Roman" w:hAnsi="Times New Roman"/>
          <w:sz w:val="28"/>
          <w:szCs w:val="28"/>
          <w:lang w:val="uk-UA"/>
        </w:rPr>
        <w:t>міс</w:t>
      </w:r>
      <w:r>
        <w:rPr>
          <w:rFonts w:ascii="Times New Roman" w:hAnsi="Times New Roman"/>
          <w:sz w:val="28"/>
          <w:szCs w:val="28"/>
          <w:lang w:val="uk-UA"/>
        </w:rPr>
        <w:t>яців</w:t>
      </w:r>
      <w:r w:rsidRPr="00703F00">
        <w:rPr>
          <w:rFonts w:ascii="Times New Roman" w:hAnsi="Times New Roman"/>
          <w:color w:val="000000"/>
          <w:sz w:val="28"/>
          <w:szCs w:val="28"/>
          <w:lang w:val="uk-UA"/>
        </w:rPr>
        <w:t xml:space="preserve"> спостереження загальногруповий показник </w:t>
      </w:r>
      <w:r w:rsidRPr="00703F00">
        <w:rPr>
          <w:rFonts w:ascii="Times New Roman" w:hAnsi="Times New Roman"/>
          <w:color w:val="000000"/>
          <w:sz w:val="28"/>
          <w:szCs w:val="28"/>
          <w:lang w:val="en-US"/>
        </w:rPr>
        <w:t>VEGF</w:t>
      </w:r>
      <w:r w:rsidRPr="00703F00">
        <w:rPr>
          <w:rFonts w:ascii="Times New Roman" w:hAnsi="Times New Roman"/>
          <w:color w:val="000000"/>
          <w:sz w:val="28"/>
          <w:szCs w:val="28"/>
          <w:lang w:val="uk-UA"/>
        </w:rPr>
        <w:t xml:space="preserve"> невірогідно відрізнявся від вихідних даних, що свідчить про прогресування основного захворювання на тлі високого рівня ЕТ-1. </w:t>
      </w:r>
    </w:p>
    <w:p w:rsidR="003A6D02" w:rsidRPr="00E17A56" w:rsidRDefault="003A6D02" w:rsidP="00B43186">
      <w:pPr>
        <w:widowControl w:val="0"/>
        <w:numPr>
          <w:ilvl w:val="0"/>
          <w:numId w:val="2"/>
        </w:numPr>
        <w:spacing w:after="0" w:line="360" w:lineRule="auto"/>
        <w:ind w:left="-567" w:firstLine="567"/>
        <w:jc w:val="both"/>
        <w:rPr>
          <w:rFonts w:ascii="Times New Roman" w:hAnsi="Times New Roman"/>
          <w:sz w:val="28"/>
          <w:szCs w:val="28"/>
          <w:lang w:val="uk-UA"/>
        </w:rPr>
      </w:pPr>
      <w:r>
        <w:rPr>
          <w:rFonts w:ascii="Times New Roman" w:hAnsi="Times New Roman"/>
          <w:color w:val="000000"/>
          <w:sz w:val="28"/>
          <w:lang w:val="uk-UA"/>
        </w:rPr>
        <w:t>Р</w:t>
      </w:r>
      <w:r w:rsidRPr="00703F00">
        <w:rPr>
          <w:rFonts w:ascii="Times New Roman" w:hAnsi="Times New Roman"/>
          <w:color w:val="000000"/>
          <w:sz w:val="28"/>
          <w:lang w:val="uk-UA"/>
        </w:rPr>
        <w:t xml:space="preserve">івні ЕТ-1, </w:t>
      </w:r>
      <w:r w:rsidRPr="00703F00">
        <w:rPr>
          <w:rFonts w:ascii="Times New Roman" w:hAnsi="Times New Roman"/>
          <w:color w:val="000000"/>
          <w:sz w:val="28"/>
        </w:rPr>
        <w:t>VEGF</w:t>
      </w:r>
      <w:r w:rsidRPr="00703F00">
        <w:rPr>
          <w:rFonts w:ascii="Times New Roman" w:hAnsi="Times New Roman"/>
          <w:color w:val="000000"/>
          <w:sz w:val="28"/>
          <w:lang w:val="uk-UA"/>
        </w:rPr>
        <w:t xml:space="preserve">, СРБ та фібриногену залежать від </w:t>
      </w:r>
      <w:r>
        <w:rPr>
          <w:rFonts w:ascii="Times New Roman" w:hAnsi="Times New Roman"/>
          <w:color w:val="000000"/>
          <w:sz w:val="28"/>
          <w:lang w:val="uk-UA"/>
        </w:rPr>
        <w:t>способу</w:t>
      </w:r>
      <w:r w:rsidRPr="00703F00">
        <w:rPr>
          <w:rFonts w:ascii="Times New Roman" w:hAnsi="Times New Roman"/>
          <w:color w:val="000000"/>
          <w:sz w:val="28"/>
          <w:lang w:val="uk-UA"/>
        </w:rPr>
        <w:t xml:space="preserve"> лікування хворих на ХКІНК </w:t>
      </w:r>
      <w:r>
        <w:rPr>
          <w:rFonts w:ascii="Times New Roman" w:hAnsi="Times New Roman"/>
          <w:sz w:val="28"/>
          <w:lang w:val="uk-UA"/>
        </w:rPr>
        <w:t>та</w:t>
      </w:r>
      <w:r w:rsidRPr="00503F96">
        <w:rPr>
          <w:rFonts w:ascii="Times New Roman" w:hAnsi="Times New Roman"/>
          <w:sz w:val="28"/>
          <w:lang w:val="uk-UA"/>
        </w:rPr>
        <w:t xml:space="preserve"> від </w:t>
      </w:r>
      <w:r>
        <w:rPr>
          <w:rFonts w:ascii="Times New Roman" w:hAnsi="Times New Roman"/>
          <w:sz w:val="28"/>
          <w:lang w:val="uk-UA"/>
        </w:rPr>
        <w:t>ступеню</w:t>
      </w:r>
      <w:r w:rsidRPr="00503F96">
        <w:rPr>
          <w:rFonts w:ascii="Times New Roman" w:hAnsi="Times New Roman"/>
          <w:sz w:val="28"/>
          <w:lang w:val="uk-UA"/>
        </w:rPr>
        <w:t xml:space="preserve"> ішемії</w:t>
      </w:r>
      <w:r w:rsidRPr="00703F00">
        <w:rPr>
          <w:rFonts w:ascii="Times New Roman" w:hAnsi="Times New Roman"/>
          <w:color w:val="000000"/>
          <w:sz w:val="28"/>
          <w:lang w:val="uk-UA"/>
        </w:rPr>
        <w:t xml:space="preserve"> та можуть бути об’єктивними показниками корекції ендотеліальної дисфункції при виконанні прямої реваскуляризації кінцівок та стимуляції неоангіогенезу: рівень </w:t>
      </w:r>
      <w:r w:rsidRPr="00703F00">
        <w:rPr>
          <w:rFonts w:ascii="Times New Roman" w:hAnsi="Times New Roman"/>
          <w:color w:val="000000"/>
          <w:sz w:val="28"/>
        </w:rPr>
        <w:t>VEGF</w:t>
      </w:r>
      <w:r w:rsidRPr="00703F00">
        <w:rPr>
          <w:rFonts w:ascii="Times New Roman" w:hAnsi="Times New Roman"/>
          <w:color w:val="000000"/>
          <w:sz w:val="28"/>
          <w:lang w:val="uk-UA"/>
        </w:rPr>
        <w:t xml:space="preserve"> у плазмі крові </w:t>
      </w:r>
      <w:r>
        <w:rPr>
          <w:rFonts w:ascii="Times New Roman" w:hAnsi="Times New Roman"/>
          <w:color w:val="000000"/>
          <w:sz w:val="28"/>
          <w:lang w:val="uk-UA"/>
        </w:rPr>
        <w:t>у хворих з</w:t>
      </w:r>
      <w:r w:rsidRPr="00703F00">
        <w:rPr>
          <w:rFonts w:ascii="Times New Roman" w:hAnsi="Times New Roman"/>
          <w:color w:val="000000"/>
          <w:sz w:val="28"/>
          <w:lang w:val="uk-UA"/>
        </w:rPr>
        <w:t xml:space="preserve"> </w:t>
      </w:r>
      <w:r>
        <w:rPr>
          <w:rFonts w:ascii="Times New Roman" w:hAnsi="Times New Roman"/>
          <w:sz w:val="28"/>
          <w:lang w:val="uk-UA"/>
        </w:rPr>
        <w:t xml:space="preserve">ІІІ та </w:t>
      </w:r>
      <w:r>
        <w:rPr>
          <w:rFonts w:ascii="Times New Roman" w:hAnsi="Times New Roman"/>
          <w:sz w:val="28"/>
        </w:rPr>
        <w:t>IV</w:t>
      </w:r>
      <w:r w:rsidRPr="00503F96">
        <w:rPr>
          <w:rFonts w:ascii="Times New Roman" w:hAnsi="Times New Roman"/>
          <w:sz w:val="28"/>
          <w:lang w:val="uk-UA"/>
        </w:rPr>
        <w:t xml:space="preserve"> </w:t>
      </w:r>
      <w:r>
        <w:rPr>
          <w:rFonts w:ascii="Times New Roman" w:hAnsi="Times New Roman"/>
          <w:sz w:val="28"/>
          <w:lang w:val="uk-UA"/>
        </w:rPr>
        <w:t>ступенем</w:t>
      </w:r>
      <w:r w:rsidRPr="00503F96">
        <w:rPr>
          <w:rFonts w:ascii="Times New Roman" w:hAnsi="Times New Roman"/>
          <w:sz w:val="28"/>
          <w:lang w:val="uk-UA"/>
        </w:rPr>
        <w:t xml:space="preserve"> ішемії</w:t>
      </w:r>
      <w:r>
        <w:rPr>
          <w:rFonts w:ascii="Times New Roman" w:hAnsi="Times New Roman"/>
          <w:sz w:val="28"/>
          <w:lang w:val="uk-UA"/>
        </w:rPr>
        <w:t xml:space="preserve">, в </w:t>
      </w:r>
      <w:r w:rsidRPr="00703F00">
        <w:rPr>
          <w:rFonts w:ascii="Times New Roman" w:hAnsi="Times New Roman"/>
          <w:color w:val="000000"/>
          <w:sz w:val="28"/>
          <w:lang w:val="uk-UA"/>
        </w:rPr>
        <w:t>середньому</w:t>
      </w:r>
      <w:r>
        <w:rPr>
          <w:rFonts w:ascii="Times New Roman" w:hAnsi="Times New Roman"/>
          <w:color w:val="000000"/>
          <w:sz w:val="28"/>
          <w:lang w:val="uk-UA"/>
        </w:rPr>
        <w:t>,</w:t>
      </w:r>
      <w:r w:rsidRPr="00703F00">
        <w:rPr>
          <w:rFonts w:ascii="Times New Roman" w:hAnsi="Times New Roman"/>
          <w:color w:val="000000"/>
          <w:sz w:val="28"/>
          <w:lang w:val="uk-UA"/>
        </w:rPr>
        <w:t xml:space="preserve"> </w:t>
      </w:r>
      <w:r w:rsidRPr="00E17A56">
        <w:rPr>
          <w:rFonts w:ascii="Times New Roman" w:hAnsi="Times New Roman"/>
          <w:sz w:val="28"/>
          <w:lang w:val="uk-UA"/>
        </w:rPr>
        <w:t xml:space="preserve">підвищувався на 46,4% та 32,0%, відповідно, при у строк 6 </w:t>
      </w:r>
      <w:r w:rsidRPr="00E17A56">
        <w:rPr>
          <w:rFonts w:ascii="Times New Roman" w:hAnsi="Times New Roman"/>
          <w:sz w:val="28"/>
          <w:szCs w:val="28"/>
          <w:lang w:val="uk-UA"/>
        </w:rPr>
        <w:t>міс</w:t>
      </w:r>
      <w:r>
        <w:rPr>
          <w:rFonts w:ascii="Times New Roman" w:hAnsi="Times New Roman"/>
          <w:sz w:val="28"/>
          <w:szCs w:val="28"/>
          <w:lang w:val="uk-UA"/>
        </w:rPr>
        <w:t>яців</w:t>
      </w:r>
      <w:r w:rsidRPr="00E17A56">
        <w:rPr>
          <w:rFonts w:ascii="Times New Roman" w:hAnsi="Times New Roman"/>
          <w:sz w:val="28"/>
          <w:lang w:val="uk-UA"/>
        </w:rPr>
        <w:t xml:space="preserve"> по відношенню до вихідного рівня та на 17,6% та 10,4%</w:t>
      </w:r>
      <w:r>
        <w:rPr>
          <w:rFonts w:ascii="Times New Roman" w:hAnsi="Times New Roman"/>
          <w:sz w:val="28"/>
          <w:lang w:val="uk-UA"/>
        </w:rPr>
        <w:t>,</w:t>
      </w:r>
      <w:r w:rsidRPr="00E17A56">
        <w:rPr>
          <w:rFonts w:ascii="Times New Roman" w:hAnsi="Times New Roman"/>
          <w:sz w:val="28"/>
          <w:lang w:val="uk-UA"/>
        </w:rPr>
        <w:t xml:space="preserve"> відповідно</w:t>
      </w:r>
      <w:r>
        <w:rPr>
          <w:rFonts w:ascii="Times New Roman" w:hAnsi="Times New Roman"/>
          <w:sz w:val="28"/>
          <w:lang w:val="uk-UA"/>
        </w:rPr>
        <w:t>,</w:t>
      </w:r>
      <w:r w:rsidRPr="00E17A56">
        <w:rPr>
          <w:rFonts w:ascii="Times New Roman" w:hAnsi="Times New Roman"/>
          <w:sz w:val="28"/>
          <w:lang w:val="uk-UA"/>
        </w:rPr>
        <w:t xml:space="preserve"> у строк 12 </w:t>
      </w:r>
      <w:r w:rsidRPr="00E17A56">
        <w:rPr>
          <w:rFonts w:ascii="Times New Roman" w:hAnsi="Times New Roman"/>
          <w:sz w:val="28"/>
          <w:szCs w:val="28"/>
          <w:lang w:val="uk-UA"/>
        </w:rPr>
        <w:t>міс</w:t>
      </w:r>
      <w:r>
        <w:rPr>
          <w:rFonts w:ascii="Times New Roman" w:hAnsi="Times New Roman"/>
          <w:sz w:val="28"/>
          <w:szCs w:val="28"/>
          <w:lang w:val="uk-UA"/>
        </w:rPr>
        <w:t>яців</w:t>
      </w:r>
      <w:r w:rsidRPr="00E17A56">
        <w:rPr>
          <w:rFonts w:ascii="Times New Roman" w:hAnsi="Times New Roman"/>
          <w:sz w:val="28"/>
          <w:lang w:val="uk-UA"/>
        </w:rPr>
        <w:t xml:space="preserve">; рівень ЕТ-1 знижувався в середньому на 12,7% та 17,9% відповідно у строк 6 </w:t>
      </w:r>
      <w:r w:rsidRPr="00E17A56">
        <w:rPr>
          <w:rFonts w:ascii="Times New Roman" w:hAnsi="Times New Roman"/>
          <w:sz w:val="28"/>
          <w:szCs w:val="28"/>
          <w:lang w:val="uk-UA"/>
        </w:rPr>
        <w:t>міс</w:t>
      </w:r>
      <w:r>
        <w:rPr>
          <w:rFonts w:ascii="Times New Roman" w:hAnsi="Times New Roman"/>
          <w:sz w:val="28"/>
          <w:szCs w:val="28"/>
          <w:lang w:val="uk-UA"/>
        </w:rPr>
        <w:t>яців</w:t>
      </w:r>
      <w:r w:rsidRPr="00E17A56">
        <w:rPr>
          <w:rFonts w:ascii="Times New Roman" w:hAnsi="Times New Roman"/>
          <w:sz w:val="28"/>
          <w:lang w:val="uk-UA"/>
        </w:rPr>
        <w:t xml:space="preserve"> по відношенню до вихідного рівня та на 19% та 21,6%</w:t>
      </w:r>
      <w:r w:rsidRPr="00E17A56">
        <w:rPr>
          <w:rFonts w:ascii="Times New Roman" w:hAnsi="Times New Roman"/>
          <w:sz w:val="28"/>
          <w:szCs w:val="28"/>
          <w:lang w:val="uk-UA"/>
        </w:rPr>
        <w:t xml:space="preserve">; рівень СРБ у хворих </w:t>
      </w:r>
      <w:r w:rsidR="00284C57">
        <w:rPr>
          <w:rFonts w:ascii="Times New Roman" w:hAnsi="Times New Roman"/>
          <w:sz w:val="28"/>
          <w:szCs w:val="28"/>
          <w:lang w:val="uk-UA"/>
        </w:rPr>
        <w:t>з</w:t>
      </w:r>
      <w:r w:rsidRPr="00E17A56">
        <w:rPr>
          <w:rFonts w:ascii="Times New Roman" w:hAnsi="Times New Roman"/>
          <w:sz w:val="28"/>
          <w:szCs w:val="28"/>
          <w:lang w:val="uk-UA"/>
        </w:rPr>
        <w:t xml:space="preserve"> </w:t>
      </w:r>
      <w:r w:rsidRPr="00E17A56">
        <w:rPr>
          <w:rFonts w:ascii="Times New Roman" w:hAnsi="Times New Roman"/>
          <w:sz w:val="28"/>
          <w:szCs w:val="28"/>
          <w:lang w:val="en-US"/>
        </w:rPr>
        <w:t>IV</w:t>
      </w:r>
      <w:r w:rsidRPr="00E17A56">
        <w:rPr>
          <w:rFonts w:ascii="Times New Roman" w:hAnsi="Times New Roman"/>
          <w:sz w:val="28"/>
          <w:szCs w:val="28"/>
          <w:lang w:val="uk-UA"/>
        </w:rPr>
        <w:t xml:space="preserve"> </w:t>
      </w:r>
      <w:r w:rsidR="00284C57">
        <w:rPr>
          <w:rFonts w:ascii="Times New Roman" w:hAnsi="Times New Roman"/>
          <w:sz w:val="28"/>
          <w:szCs w:val="28"/>
          <w:lang w:val="uk-UA"/>
        </w:rPr>
        <w:t xml:space="preserve">ступенем </w:t>
      </w:r>
      <w:r w:rsidRPr="00E17A56">
        <w:rPr>
          <w:rFonts w:ascii="Times New Roman" w:hAnsi="Times New Roman"/>
          <w:sz w:val="28"/>
          <w:szCs w:val="28"/>
          <w:lang w:val="uk-UA"/>
        </w:rPr>
        <w:t>ішемії знижувався на 40% та на 48,9% через 6 та 12 міс</w:t>
      </w:r>
      <w:r>
        <w:rPr>
          <w:rFonts w:ascii="Times New Roman" w:hAnsi="Times New Roman"/>
          <w:sz w:val="28"/>
          <w:szCs w:val="28"/>
          <w:lang w:val="uk-UA"/>
        </w:rPr>
        <w:t>яців</w:t>
      </w:r>
      <w:r w:rsidRPr="00E17A56">
        <w:rPr>
          <w:rFonts w:ascii="Times New Roman" w:hAnsi="Times New Roman"/>
          <w:sz w:val="28"/>
          <w:szCs w:val="28"/>
          <w:lang w:val="uk-UA"/>
        </w:rPr>
        <w:t xml:space="preserve"> лікування;  рівень фібриногену у хворих </w:t>
      </w:r>
      <w:r w:rsidR="00284C57">
        <w:rPr>
          <w:rFonts w:ascii="Times New Roman" w:hAnsi="Times New Roman"/>
          <w:sz w:val="28"/>
          <w:szCs w:val="28"/>
          <w:lang w:val="uk-UA"/>
        </w:rPr>
        <w:t>з</w:t>
      </w:r>
      <w:r w:rsidRPr="00E17A56">
        <w:rPr>
          <w:rFonts w:ascii="Times New Roman" w:hAnsi="Times New Roman"/>
          <w:sz w:val="28"/>
          <w:szCs w:val="28"/>
          <w:lang w:val="uk-UA"/>
        </w:rPr>
        <w:t xml:space="preserve"> </w:t>
      </w:r>
      <w:r w:rsidRPr="00E17A56">
        <w:rPr>
          <w:rFonts w:ascii="Times New Roman" w:hAnsi="Times New Roman"/>
          <w:sz w:val="28"/>
          <w:szCs w:val="28"/>
          <w:lang w:val="en-US"/>
        </w:rPr>
        <w:t>IV</w:t>
      </w:r>
      <w:r w:rsidRPr="00E17A56">
        <w:rPr>
          <w:rFonts w:ascii="Times New Roman" w:hAnsi="Times New Roman"/>
          <w:sz w:val="28"/>
          <w:szCs w:val="28"/>
          <w:lang w:val="uk-UA"/>
        </w:rPr>
        <w:t xml:space="preserve"> с</w:t>
      </w:r>
      <w:r w:rsidR="00284C57">
        <w:rPr>
          <w:rFonts w:ascii="Times New Roman" w:hAnsi="Times New Roman"/>
          <w:sz w:val="28"/>
          <w:szCs w:val="28"/>
          <w:lang w:val="uk-UA"/>
        </w:rPr>
        <w:t xml:space="preserve">тупенем </w:t>
      </w:r>
      <w:r w:rsidRPr="00E17A56">
        <w:rPr>
          <w:rFonts w:ascii="Times New Roman" w:hAnsi="Times New Roman"/>
          <w:sz w:val="28"/>
          <w:szCs w:val="28"/>
          <w:lang w:val="uk-UA"/>
        </w:rPr>
        <w:t>ішемії знижувався на 29,4% та на 28,4% через 6 та 12 міс</w:t>
      </w:r>
      <w:r>
        <w:rPr>
          <w:rFonts w:ascii="Times New Roman" w:hAnsi="Times New Roman"/>
          <w:sz w:val="28"/>
          <w:szCs w:val="28"/>
          <w:lang w:val="uk-UA"/>
        </w:rPr>
        <w:t>яців</w:t>
      </w:r>
      <w:r w:rsidRPr="00E17A56">
        <w:rPr>
          <w:rFonts w:ascii="Times New Roman" w:hAnsi="Times New Roman"/>
          <w:sz w:val="28"/>
          <w:szCs w:val="28"/>
          <w:lang w:val="uk-UA"/>
        </w:rPr>
        <w:t xml:space="preserve"> лікування (р</w:t>
      </w:r>
      <w:r w:rsidRPr="00E17A56">
        <w:rPr>
          <w:rFonts w:ascii="Times New Roman" w:hAnsi="Times New Roman"/>
          <w:sz w:val="28"/>
          <w:szCs w:val="28"/>
          <w:lang w:val="uk-UA"/>
        </w:rPr>
        <w:sym w:font="Symbol" w:char="F03C"/>
      </w:r>
      <w:r w:rsidRPr="00E17A56">
        <w:rPr>
          <w:rFonts w:ascii="Times New Roman" w:hAnsi="Times New Roman"/>
          <w:sz w:val="28"/>
          <w:szCs w:val="28"/>
          <w:lang w:val="uk-UA"/>
        </w:rPr>
        <w:t xml:space="preserve">0,05).  </w:t>
      </w:r>
    </w:p>
    <w:p w:rsidR="00284C57" w:rsidRDefault="003A6D02" w:rsidP="00B43186">
      <w:pPr>
        <w:widowControl w:val="0"/>
        <w:numPr>
          <w:ilvl w:val="0"/>
          <w:numId w:val="2"/>
        </w:numPr>
        <w:spacing w:after="0" w:line="360" w:lineRule="auto"/>
        <w:ind w:left="-567" w:firstLine="567"/>
        <w:jc w:val="both"/>
        <w:rPr>
          <w:rFonts w:ascii="Times New Roman" w:hAnsi="Times New Roman"/>
          <w:color w:val="000000"/>
          <w:sz w:val="28"/>
          <w:szCs w:val="28"/>
          <w:lang w:val="uk-UA"/>
        </w:rPr>
      </w:pPr>
      <w:r w:rsidRPr="00E17A56">
        <w:rPr>
          <w:rFonts w:ascii="Times New Roman" w:hAnsi="Times New Roman"/>
          <w:sz w:val="28"/>
          <w:szCs w:val="28"/>
          <w:lang w:val="uk-UA"/>
        </w:rPr>
        <w:t xml:space="preserve">Для </w:t>
      </w:r>
      <w:r w:rsidR="00284C57">
        <w:rPr>
          <w:rFonts w:ascii="Times New Roman" w:hAnsi="Times New Roman"/>
          <w:sz w:val="28"/>
          <w:szCs w:val="28"/>
          <w:lang w:val="uk-UA"/>
        </w:rPr>
        <w:t>лікування</w:t>
      </w:r>
      <w:r w:rsidRPr="00E17A56">
        <w:rPr>
          <w:rFonts w:ascii="Times New Roman" w:hAnsi="Times New Roman"/>
          <w:sz w:val="28"/>
          <w:szCs w:val="28"/>
          <w:lang w:val="uk-UA"/>
        </w:rPr>
        <w:t xml:space="preserve"> </w:t>
      </w:r>
      <w:r w:rsidR="00284C57">
        <w:rPr>
          <w:rFonts w:ascii="Times New Roman" w:hAnsi="Times New Roman"/>
          <w:sz w:val="28"/>
          <w:szCs w:val="28"/>
          <w:lang w:val="uk-UA"/>
        </w:rPr>
        <w:t>ХКІНК</w:t>
      </w:r>
      <w:r w:rsidRPr="00E17A56">
        <w:rPr>
          <w:rFonts w:ascii="Times New Roman" w:hAnsi="Times New Roman"/>
          <w:sz w:val="28"/>
          <w:szCs w:val="28"/>
          <w:lang w:val="uk-UA"/>
        </w:rPr>
        <w:t xml:space="preserve"> у більшості випадків необхідне відновлення прямого кровотоку на стопу, при цьому досить відновлення кровотоку по одній артерії гомілки та виходу її на артеріальну дугу стопи, про що свідчать дані оцінки ЯЖ хворих: при в</w:t>
      </w:r>
      <w:r w:rsidR="00284C57" w:rsidRPr="00E17A56">
        <w:rPr>
          <w:rFonts w:ascii="Times New Roman" w:hAnsi="Times New Roman"/>
          <w:sz w:val="28"/>
          <w:szCs w:val="28"/>
          <w:lang w:val="uk-UA"/>
        </w:rPr>
        <w:t>ипис</w:t>
      </w:r>
      <w:r w:rsidRPr="00E17A56">
        <w:rPr>
          <w:rFonts w:ascii="Times New Roman" w:hAnsi="Times New Roman"/>
          <w:sz w:val="28"/>
          <w:szCs w:val="28"/>
          <w:lang w:val="uk-UA"/>
        </w:rPr>
        <w:t>ці</w:t>
      </w:r>
      <w:r w:rsidR="00EE413A">
        <w:rPr>
          <w:rFonts w:ascii="Times New Roman" w:hAnsi="Times New Roman"/>
          <w:sz w:val="28"/>
          <w:szCs w:val="28"/>
          <w:lang w:val="uk-UA"/>
        </w:rPr>
        <w:t>:</w:t>
      </w:r>
      <w:r w:rsidRPr="00E17A56">
        <w:rPr>
          <w:rFonts w:ascii="Times New Roman" w:hAnsi="Times New Roman"/>
          <w:sz w:val="28"/>
          <w:szCs w:val="28"/>
          <w:lang w:val="uk-UA"/>
        </w:rPr>
        <w:t xml:space="preserve"> за рівнем болю, </w:t>
      </w:r>
      <w:r w:rsidR="00284C57">
        <w:rPr>
          <w:rFonts w:ascii="Times New Roman" w:hAnsi="Times New Roman"/>
          <w:sz w:val="28"/>
          <w:szCs w:val="28"/>
          <w:lang w:val="uk-UA"/>
        </w:rPr>
        <w:t>ДБХ</w:t>
      </w:r>
      <w:r w:rsidRPr="00E17A56">
        <w:rPr>
          <w:rFonts w:ascii="Times New Roman" w:hAnsi="Times New Roman"/>
          <w:sz w:val="28"/>
          <w:szCs w:val="28"/>
          <w:lang w:val="uk-UA"/>
        </w:rPr>
        <w:t xml:space="preserve"> та </w:t>
      </w:r>
      <w:r w:rsidR="00284C57">
        <w:rPr>
          <w:rFonts w:ascii="Times New Roman" w:hAnsi="Times New Roman"/>
          <w:sz w:val="28"/>
          <w:szCs w:val="28"/>
          <w:lang w:val="uk-UA"/>
        </w:rPr>
        <w:t>ФФ</w:t>
      </w:r>
      <w:r w:rsidRPr="00E17A56">
        <w:rPr>
          <w:rFonts w:ascii="Times New Roman" w:hAnsi="Times New Roman"/>
          <w:sz w:val="28"/>
          <w:szCs w:val="28"/>
          <w:lang w:val="uk-UA"/>
        </w:rPr>
        <w:t xml:space="preserve"> найкраща динаміка спостерігалася у хворих, що були оперовані за методикою ЧБА, </w:t>
      </w:r>
      <w:r>
        <w:rPr>
          <w:rFonts w:ascii="Times New Roman" w:hAnsi="Times New Roman"/>
          <w:sz w:val="28"/>
          <w:szCs w:val="28"/>
          <w:lang w:val="uk-UA"/>
        </w:rPr>
        <w:t xml:space="preserve">а </w:t>
      </w:r>
      <w:r w:rsidRPr="00E17A56">
        <w:rPr>
          <w:rFonts w:ascii="Times New Roman" w:hAnsi="Times New Roman"/>
          <w:sz w:val="28"/>
          <w:szCs w:val="28"/>
          <w:lang w:val="uk-UA"/>
        </w:rPr>
        <w:t xml:space="preserve">рівень </w:t>
      </w:r>
      <w:r w:rsidR="00284C57">
        <w:rPr>
          <w:rFonts w:ascii="Times New Roman" w:hAnsi="Times New Roman"/>
          <w:sz w:val="28"/>
          <w:szCs w:val="28"/>
          <w:lang w:val="uk-UA"/>
        </w:rPr>
        <w:t>ПФ</w:t>
      </w:r>
      <w:r w:rsidRPr="00E17A56">
        <w:rPr>
          <w:rFonts w:ascii="Times New Roman" w:hAnsi="Times New Roman"/>
          <w:sz w:val="28"/>
          <w:szCs w:val="28"/>
          <w:lang w:val="uk-UA"/>
        </w:rPr>
        <w:t xml:space="preserve"> був</w:t>
      </w:r>
      <w:r>
        <w:rPr>
          <w:rFonts w:ascii="Times New Roman" w:hAnsi="Times New Roman"/>
          <w:color w:val="000000"/>
          <w:sz w:val="28"/>
          <w:szCs w:val="28"/>
          <w:lang w:val="uk-UA"/>
        </w:rPr>
        <w:t xml:space="preserve"> найвищим</w:t>
      </w:r>
      <w:r w:rsidRPr="00703F00">
        <w:rPr>
          <w:rFonts w:ascii="Times New Roman" w:hAnsi="Times New Roman"/>
          <w:color w:val="000000"/>
          <w:sz w:val="28"/>
          <w:szCs w:val="28"/>
          <w:lang w:val="uk-UA"/>
        </w:rPr>
        <w:t xml:space="preserve"> </w:t>
      </w:r>
      <w:r>
        <w:rPr>
          <w:rFonts w:ascii="Times New Roman" w:hAnsi="Times New Roman"/>
          <w:color w:val="000000"/>
          <w:sz w:val="28"/>
          <w:szCs w:val="28"/>
        </w:rPr>
        <w:t xml:space="preserve">у </w:t>
      </w:r>
      <w:r w:rsidRPr="00703F00">
        <w:rPr>
          <w:rFonts w:ascii="Times New Roman" w:hAnsi="Times New Roman"/>
          <w:color w:val="000000"/>
          <w:sz w:val="28"/>
          <w:szCs w:val="28"/>
          <w:lang w:val="uk-UA"/>
        </w:rPr>
        <w:t xml:space="preserve">хворих, що були оперовані відкритим методом. </w:t>
      </w:r>
      <w:r w:rsidRPr="00703F00">
        <w:rPr>
          <w:rFonts w:ascii="Times New Roman" w:hAnsi="Times New Roman"/>
          <w:color w:val="000000"/>
          <w:sz w:val="28"/>
        </w:rPr>
        <w:t xml:space="preserve">Дані динаміки </w:t>
      </w:r>
      <w:r w:rsidRPr="00703F00">
        <w:rPr>
          <w:rFonts w:ascii="Times New Roman" w:hAnsi="Times New Roman"/>
          <w:color w:val="000000"/>
          <w:sz w:val="28"/>
          <w:lang w:val="uk-UA"/>
        </w:rPr>
        <w:t>ЯЖ</w:t>
      </w:r>
      <w:r w:rsidRPr="00703F00">
        <w:rPr>
          <w:rFonts w:ascii="Times New Roman" w:hAnsi="Times New Roman"/>
          <w:color w:val="000000"/>
          <w:sz w:val="28"/>
        </w:rPr>
        <w:t xml:space="preserve"> хворих </w:t>
      </w:r>
      <w:r w:rsidRPr="00703F00">
        <w:rPr>
          <w:rFonts w:ascii="Times New Roman" w:hAnsi="Times New Roman"/>
          <w:color w:val="000000"/>
          <w:sz w:val="28"/>
          <w:lang w:val="uk-UA"/>
        </w:rPr>
        <w:t xml:space="preserve">протягом року </w:t>
      </w:r>
      <w:r w:rsidRPr="00703F00">
        <w:rPr>
          <w:rFonts w:ascii="Times New Roman" w:hAnsi="Times New Roman"/>
          <w:color w:val="000000"/>
          <w:sz w:val="28"/>
        </w:rPr>
        <w:t xml:space="preserve">показали, що хворі, </w:t>
      </w:r>
      <w:r w:rsidRPr="00E17A56">
        <w:rPr>
          <w:rFonts w:ascii="Times New Roman" w:hAnsi="Times New Roman"/>
          <w:sz w:val="28"/>
          <w:lang w:val="uk-UA"/>
        </w:rPr>
        <w:t xml:space="preserve">які </w:t>
      </w:r>
      <w:r w:rsidR="00284C57">
        <w:rPr>
          <w:rFonts w:ascii="Times New Roman" w:hAnsi="Times New Roman"/>
          <w:color w:val="000000"/>
          <w:sz w:val="28"/>
        </w:rPr>
        <w:t xml:space="preserve">лікувалися </w:t>
      </w:r>
      <w:r w:rsidRPr="00703F00">
        <w:rPr>
          <w:rFonts w:ascii="Times New Roman" w:hAnsi="Times New Roman"/>
          <w:color w:val="000000"/>
          <w:sz w:val="28"/>
        </w:rPr>
        <w:t>за допомогою ЧБА</w:t>
      </w:r>
      <w:r>
        <w:rPr>
          <w:rFonts w:ascii="Times New Roman" w:hAnsi="Times New Roman"/>
          <w:color w:val="000000"/>
          <w:sz w:val="28"/>
          <w:lang w:val="uk-UA"/>
        </w:rPr>
        <w:t>,</w:t>
      </w:r>
      <w:r w:rsidRPr="00703F00">
        <w:rPr>
          <w:rFonts w:ascii="Times New Roman" w:hAnsi="Times New Roman"/>
          <w:color w:val="000000"/>
          <w:sz w:val="28"/>
        </w:rPr>
        <w:t xml:space="preserve"> мали найвищі показники ЯЖ у більш ранні строки</w:t>
      </w:r>
      <w:r w:rsidR="00EE413A">
        <w:rPr>
          <w:rFonts w:ascii="Times New Roman" w:hAnsi="Times New Roman"/>
          <w:color w:val="000000"/>
          <w:sz w:val="28"/>
          <w:lang w:val="uk-UA"/>
        </w:rPr>
        <w:t>.</w:t>
      </w:r>
      <w:r w:rsidRPr="00703F00">
        <w:rPr>
          <w:rFonts w:ascii="Times New Roman" w:hAnsi="Times New Roman"/>
          <w:color w:val="000000"/>
          <w:sz w:val="28"/>
          <w:lang w:val="uk-UA"/>
        </w:rPr>
        <w:t>.</w:t>
      </w:r>
      <w:r w:rsidRPr="00703F00">
        <w:rPr>
          <w:rFonts w:ascii="Times New Roman" w:hAnsi="Times New Roman"/>
          <w:color w:val="000000"/>
          <w:sz w:val="28"/>
        </w:rPr>
        <w:t xml:space="preserve"> </w:t>
      </w:r>
      <w:r w:rsidRPr="00703F00">
        <w:rPr>
          <w:rFonts w:ascii="Times New Roman" w:hAnsi="Times New Roman"/>
          <w:color w:val="000000"/>
          <w:sz w:val="28"/>
          <w:lang w:val="uk-UA"/>
        </w:rPr>
        <w:t>У</w:t>
      </w:r>
      <w:r w:rsidRPr="00703F00">
        <w:rPr>
          <w:rFonts w:ascii="Times New Roman" w:hAnsi="Times New Roman"/>
          <w:color w:val="000000"/>
          <w:sz w:val="28"/>
        </w:rPr>
        <w:t xml:space="preserve"> хворих</w:t>
      </w:r>
      <w:r w:rsidRPr="00703F00">
        <w:rPr>
          <w:rFonts w:ascii="Times New Roman" w:hAnsi="Times New Roman"/>
          <w:color w:val="000000"/>
          <w:sz w:val="28"/>
          <w:lang w:val="uk-UA"/>
        </w:rPr>
        <w:t>, яким проводилась стимуляці</w:t>
      </w:r>
      <w:r w:rsidR="00EE413A">
        <w:rPr>
          <w:rFonts w:ascii="Times New Roman" w:hAnsi="Times New Roman"/>
          <w:color w:val="000000"/>
          <w:sz w:val="28"/>
          <w:lang w:val="uk-UA"/>
        </w:rPr>
        <w:t>я</w:t>
      </w:r>
      <w:r w:rsidRPr="00703F00">
        <w:rPr>
          <w:rFonts w:ascii="Times New Roman" w:hAnsi="Times New Roman"/>
          <w:color w:val="000000"/>
          <w:sz w:val="28"/>
          <w:lang w:val="uk-UA"/>
        </w:rPr>
        <w:t xml:space="preserve"> неоангіогенезу,</w:t>
      </w:r>
      <w:r w:rsidRPr="00703F00">
        <w:rPr>
          <w:rFonts w:ascii="Times New Roman" w:hAnsi="Times New Roman"/>
          <w:color w:val="000000"/>
          <w:sz w:val="28"/>
        </w:rPr>
        <w:t xml:space="preserve"> на 100% </w:t>
      </w:r>
      <w:r>
        <w:rPr>
          <w:rFonts w:ascii="Times New Roman" w:hAnsi="Times New Roman"/>
          <w:color w:val="000000"/>
          <w:sz w:val="28"/>
        </w:rPr>
        <w:t xml:space="preserve">був </w:t>
      </w:r>
      <w:r w:rsidRPr="00703F00">
        <w:rPr>
          <w:rFonts w:ascii="Times New Roman" w:hAnsi="Times New Roman"/>
          <w:color w:val="000000"/>
          <w:sz w:val="28"/>
        </w:rPr>
        <w:t xml:space="preserve">нижче рівень болю, на 14,7% вище ПФ та на 11,8% більша </w:t>
      </w:r>
      <w:r w:rsidR="00284C57">
        <w:rPr>
          <w:rFonts w:ascii="Times New Roman" w:hAnsi="Times New Roman"/>
          <w:color w:val="000000"/>
          <w:sz w:val="28"/>
          <w:lang w:val="uk-UA"/>
        </w:rPr>
        <w:t>ДБХ</w:t>
      </w:r>
      <w:r w:rsidRPr="00703F00">
        <w:rPr>
          <w:rFonts w:ascii="Times New Roman" w:hAnsi="Times New Roman"/>
          <w:color w:val="000000"/>
          <w:sz w:val="28"/>
        </w:rPr>
        <w:t xml:space="preserve"> у строк 12 </w:t>
      </w:r>
      <w:r w:rsidRPr="00E17A56">
        <w:rPr>
          <w:rFonts w:ascii="Times New Roman" w:hAnsi="Times New Roman"/>
          <w:sz w:val="28"/>
          <w:szCs w:val="28"/>
          <w:lang w:val="uk-UA"/>
        </w:rPr>
        <w:t>міс</w:t>
      </w:r>
      <w:r>
        <w:rPr>
          <w:rFonts w:ascii="Times New Roman" w:hAnsi="Times New Roman"/>
          <w:sz w:val="28"/>
          <w:szCs w:val="28"/>
          <w:lang w:val="uk-UA"/>
        </w:rPr>
        <w:t>яців</w:t>
      </w:r>
      <w:r w:rsidRPr="00703F00">
        <w:rPr>
          <w:rFonts w:ascii="Times New Roman" w:hAnsi="Times New Roman"/>
          <w:color w:val="000000"/>
          <w:sz w:val="28"/>
          <w:lang w:val="uk-UA"/>
        </w:rPr>
        <w:t xml:space="preserve"> спостереження (р</w:t>
      </w:r>
      <w:r w:rsidRPr="00703F00">
        <w:rPr>
          <w:rFonts w:ascii="Times New Roman" w:hAnsi="Times New Roman"/>
          <w:color w:val="000000"/>
          <w:sz w:val="28"/>
          <w:lang w:val="uk-UA"/>
        </w:rPr>
        <w:sym w:font="Symbol" w:char="F03C"/>
      </w:r>
      <w:r w:rsidRPr="00703F00">
        <w:rPr>
          <w:rFonts w:ascii="Times New Roman" w:hAnsi="Times New Roman"/>
          <w:color w:val="000000"/>
          <w:sz w:val="28"/>
          <w:lang w:val="uk-UA"/>
        </w:rPr>
        <w:t>0,05).</w:t>
      </w:r>
    </w:p>
    <w:p w:rsidR="00C47DFD" w:rsidRPr="00EE413A" w:rsidRDefault="003A6D02" w:rsidP="00B43186">
      <w:pPr>
        <w:widowControl w:val="0"/>
        <w:numPr>
          <w:ilvl w:val="0"/>
          <w:numId w:val="2"/>
        </w:numPr>
        <w:spacing w:after="0" w:line="360" w:lineRule="auto"/>
        <w:ind w:left="-567" w:firstLine="567"/>
        <w:jc w:val="both"/>
        <w:rPr>
          <w:rFonts w:ascii="Times New Roman" w:hAnsi="Times New Roman"/>
          <w:color w:val="000000"/>
          <w:sz w:val="28"/>
          <w:szCs w:val="28"/>
          <w:lang w:val="uk-UA"/>
        </w:rPr>
      </w:pPr>
      <w:r w:rsidRPr="00284C57">
        <w:rPr>
          <w:rFonts w:ascii="Times New Roman" w:hAnsi="Times New Roman" w:cs="Times New Roman"/>
          <w:sz w:val="28"/>
          <w:szCs w:val="28"/>
          <w:lang w:val="uk-UA"/>
        </w:rPr>
        <w:t>Запропонована індивідуалізована програма діагностики та комплексного лікування</w:t>
      </w:r>
      <w:r w:rsidRPr="00284C57">
        <w:rPr>
          <w:rFonts w:ascii="Times New Roman" w:hAnsi="Times New Roman" w:cs="Times New Roman"/>
          <w:color w:val="000000"/>
          <w:sz w:val="28"/>
          <w:szCs w:val="28"/>
          <w:lang w:val="uk-UA"/>
        </w:rPr>
        <w:t xml:space="preserve"> хворих на ХКІНК з дистальною формою ураження з використанням стимуляції неоангіогенезу дозволила протягом 12 місяців спостереження знизити кількість ампутацій на 18% та смертність на 4,2% (</w:t>
      </w:r>
      <w:r w:rsidRPr="00C47DFD">
        <w:rPr>
          <w:rFonts w:ascii="Times New Roman" w:hAnsi="Times New Roman" w:cs="Times New Roman"/>
          <w:color w:val="000000"/>
          <w:sz w:val="28"/>
          <w:szCs w:val="28"/>
          <w:shd w:val="clear" w:color="auto" w:fill="FFFFFF"/>
          <w:lang w:val="uk-UA"/>
        </w:rPr>
        <w:sym w:font="Symbol" w:char="F063"/>
      </w:r>
      <w:r w:rsidRPr="00284C57">
        <w:rPr>
          <w:rFonts w:ascii="Times New Roman" w:hAnsi="Times New Roman" w:cs="Times New Roman"/>
          <w:color w:val="000000"/>
          <w:sz w:val="28"/>
          <w:szCs w:val="28"/>
          <w:shd w:val="clear" w:color="auto" w:fill="FFFFFF"/>
          <w:lang w:val="uk-UA"/>
        </w:rPr>
        <w:t>2</w:t>
      </w:r>
      <w:r w:rsidRPr="00C47DFD">
        <w:rPr>
          <w:rFonts w:ascii="Times New Roman" w:hAnsi="Times New Roman" w:cs="Times New Roman"/>
          <w:color w:val="000000"/>
          <w:sz w:val="28"/>
          <w:szCs w:val="28"/>
          <w:shd w:val="clear" w:color="auto" w:fill="FFFFFF"/>
          <w:lang w:val="uk-UA"/>
        </w:rPr>
        <w:sym w:font="Symbol" w:char="F03D"/>
      </w:r>
      <w:r w:rsidRPr="00284C57">
        <w:rPr>
          <w:rFonts w:ascii="Times New Roman" w:hAnsi="Times New Roman" w:cs="Times New Roman"/>
          <w:color w:val="000000"/>
          <w:sz w:val="28"/>
          <w:szCs w:val="28"/>
          <w:shd w:val="clear" w:color="auto" w:fill="FFFFFF"/>
          <w:lang w:val="uk-UA"/>
        </w:rPr>
        <w:t>22,411, р=0,000).</w:t>
      </w:r>
      <w:r w:rsidRPr="00EE413A">
        <w:rPr>
          <w:rFonts w:ascii="Times New Roman" w:hAnsi="Times New Roman" w:cs="Times New Roman"/>
          <w:color w:val="000000"/>
          <w:sz w:val="28"/>
          <w:szCs w:val="28"/>
          <w:shd w:val="clear" w:color="auto" w:fill="FFFFFF"/>
          <w:lang w:val="uk-UA"/>
        </w:rPr>
        <w:t xml:space="preserve"> </w:t>
      </w:r>
      <w:r w:rsidR="00284C57" w:rsidRPr="00EE413A">
        <w:rPr>
          <w:rFonts w:ascii="Times New Roman" w:hAnsi="Times New Roman" w:cs="Times New Roman"/>
          <w:color w:val="000000"/>
          <w:sz w:val="28"/>
          <w:szCs w:val="28"/>
          <w:shd w:val="clear" w:color="auto" w:fill="FFFFFF"/>
          <w:lang w:val="uk-UA"/>
        </w:rPr>
        <w:br w:type="page"/>
      </w:r>
    </w:p>
    <w:p w:rsidR="00F506C5" w:rsidRPr="00D912CA" w:rsidRDefault="00F506C5" w:rsidP="00431481">
      <w:pPr>
        <w:jc w:val="center"/>
        <w:rPr>
          <w:rFonts w:ascii="Times New Roman" w:hAnsi="Times New Roman" w:cs="Times New Roman"/>
          <w:b/>
          <w:sz w:val="28"/>
          <w:szCs w:val="28"/>
          <w:lang w:val="uk-UA"/>
        </w:rPr>
      </w:pPr>
      <w:r w:rsidRPr="00D912CA">
        <w:rPr>
          <w:rFonts w:ascii="Times New Roman" w:hAnsi="Times New Roman" w:cs="Times New Roman"/>
          <w:b/>
          <w:sz w:val="28"/>
          <w:szCs w:val="28"/>
        </w:rPr>
        <w:lastRenderedPageBreak/>
        <w:t>СПИСОК ВИКОРИСТАНИХ ДЖЕРЕЛ</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D912CA">
        <w:rPr>
          <w:rFonts w:ascii="Times New Roman" w:hAnsi="Times New Roman" w:cs="Times New Roman"/>
          <w:bCs/>
          <w:sz w:val="28"/>
          <w:szCs w:val="28"/>
        </w:rPr>
        <w:t>Баженов М</w:t>
      </w:r>
      <w:r w:rsidRPr="00C61473">
        <w:rPr>
          <w:rFonts w:ascii="Times New Roman" w:hAnsi="Times New Roman" w:cs="Times New Roman"/>
          <w:bCs/>
          <w:sz w:val="28"/>
          <w:szCs w:val="28"/>
        </w:rPr>
        <w:t>.С. </w:t>
      </w:r>
      <w:r w:rsidRPr="00C61473">
        <w:rPr>
          <w:rFonts w:ascii="Times New Roman" w:hAnsi="Times New Roman" w:cs="Times New Roman"/>
          <w:sz w:val="28"/>
          <w:szCs w:val="28"/>
        </w:rPr>
        <w:t xml:space="preserve"> Особенности консервативной терапии 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ее роль в комплексном лечении хронической ишемии нижних конечностей у</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геронтологических больных. Дис. … канд. мед.наук, Москва</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softHyphen/>
        <w:t>2008</w:t>
      </w:r>
      <w:r w:rsidRPr="00C61473">
        <w:rPr>
          <w:rFonts w:ascii="Times New Roman" w:hAnsi="Times New Roman" w:cs="Times New Roman"/>
          <w:sz w:val="28"/>
          <w:szCs w:val="28"/>
        </w:rPr>
        <w:softHyphen/>
        <w:t xml:space="preserve"> 113 с. </w:t>
      </w:r>
    </w:p>
    <w:p w:rsidR="00932174" w:rsidRPr="00932174"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 xml:space="preserve">Бахритдинов Ф.Ш. Хирургическая тактика при сочетанных поражениях ветвей дуги аорты, брюшной аорты и артерий нижних конечностей / Ф.Ш. Бахритдинов, 3.3. Каримов, Б.Г. Умаров, С.М. Гаппаров // </w:t>
      </w:r>
      <w:r w:rsidRPr="00C61473">
        <w:rPr>
          <w:rFonts w:ascii="Times New Roman" w:hAnsi="Times New Roman" w:cs="Times New Roman"/>
          <w:sz w:val="28"/>
          <w:szCs w:val="28"/>
          <w:lang w:val="en-US"/>
        </w:rPr>
        <w:t>XI</w:t>
      </w:r>
      <w:r w:rsidRPr="00C61473">
        <w:rPr>
          <w:rFonts w:ascii="Times New Roman" w:hAnsi="Times New Roman" w:cs="Times New Roman"/>
          <w:sz w:val="28"/>
          <w:szCs w:val="28"/>
        </w:rPr>
        <w:t xml:space="preserve"> ежегодная сессия НЦССХ им. А.Н. Бакулева с всероссийской конференцией молодых ученых. – М., 2007. – С. 69.</w:t>
      </w:r>
    </w:p>
    <w:p w:rsidR="00F506C5" w:rsidRPr="00932174"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932174">
        <w:rPr>
          <w:rFonts w:ascii="Times New Roman" w:hAnsi="Times New Roman" w:cs="Times New Roman"/>
          <w:sz w:val="28"/>
          <w:szCs w:val="28"/>
          <w:lang w:val="uk-UA"/>
        </w:rPr>
        <w:t xml:space="preserve"> Бергер А. </w:t>
      </w:r>
      <w:r w:rsidRPr="00932174">
        <w:rPr>
          <w:rFonts w:ascii="Times New Roman" w:hAnsi="Times New Roman" w:cs="Times New Roman"/>
          <w:sz w:val="28"/>
          <w:szCs w:val="28"/>
          <w:lang w:val="en-US"/>
        </w:rPr>
        <w:t>Microsoft</w:t>
      </w:r>
      <w:r w:rsidRPr="00932174">
        <w:rPr>
          <w:rFonts w:ascii="Times New Roman" w:hAnsi="Times New Roman" w:cs="Times New Roman"/>
          <w:sz w:val="28"/>
          <w:szCs w:val="28"/>
          <w:lang w:val="uk-UA"/>
        </w:rPr>
        <w:t xml:space="preserve"> </w:t>
      </w:r>
      <w:r w:rsidRPr="00932174">
        <w:rPr>
          <w:rFonts w:ascii="Times New Roman" w:hAnsi="Times New Roman" w:cs="Times New Roman"/>
          <w:sz w:val="28"/>
          <w:szCs w:val="28"/>
          <w:lang w:val="en-US"/>
        </w:rPr>
        <w:t>SQL</w:t>
      </w:r>
      <w:r w:rsidRPr="00932174">
        <w:rPr>
          <w:rFonts w:ascii="Times New Roman" w:hAnsi="Times New Roman" w:cs="Times New Roman"/>
          <w:sz w:val="28"/>
          <w:szCs w:val="28"/>
          <w:lang w:val="uk-UA"/>
        </w:rPr>
        <w:t xml:space="preserve"> </w:t>
      </w:r>
      <w:r w:rsidRPr="00932174">
        <w:rPr>
          <w:rFonts w:ascii="Times New Roman" w:hAnsi="Times New Roman" w:cs="Times New Roman"/>
          <w:sz w:val="28"/>
          <w:szCs w:val="28"/>
          <w:lang w:val="en-US"/>
        </w:rPr>
        <w:t>Server</w:t>
      </w:r>
      <w:r w:rsidRPr="00932174">
        <w:rPr>
          <w:rFonts w:ascii="Times New Roman" w:hAnsi="Times New Roman" w:cs="Times New Roman"/>
          <w:sz w:val="28"/>
          <w:szCs w:val="28"/>
          <w:lang w:val="uk-UA"/>
        </w:rPr>
        <w:t xml:space="preserve"> 2005 </w:t>
      </w:r>
      <w:r w:rsidRPr="00932174">
        <w:rPr>
          <w:rFonts w:ascii="Times New Roman" w:hAnsi="Times New Roman" w:cs="Times New Roman"/>
          <w:sz w:val="28"/>
          <w:szCs w:val="28"/>
          <w:lang w:val="en-US"/>
        </w:rPr>
        <w:t>Analysis</w:t>
      </w:r>
      <w:r w:rsidRPr="00932174">
        <w:rPr>
          <w:rFonts w:ascii="Times New Roman" w:hAnsi="Times New Roman" w:cs="Times New Roman"/>
          <w:sz w:val="28"/>
          <w:szCs w:val="28"/>
          <w:lang w:val="uk-UA"/>
        </w:rPr>
        <w:t xml:space="preserve"> </w:t>
      </w:r>
      <w:r w:rsidRPr="00932174">
        <w:rPr>
          <w:rFonts w:ascii="Times New Roman" w:hAnsi="Times New Roman" w:cs="Times New Roman"/>
          <w:sz w:val="28"/>
          <w:szCs w:val="28"/>
          <w:lang w:val="en-US"/>
        </w:rPr>
        <w:t>Services</w:t>
      </w:r>
      <w:r w:rsidRPr="00932174">
        <w:rPr>
          <w:rFonts w:ascii="Times New Roman" w:hAnsi="Times New Roman" w:cs="Times New Roman"/>
          <w:sz w:val="28"/>
          <w:szCs w:val="28"/>
          <w:lang w:val="uk-UA"/>
        </w:rPr>
        <w:t>.</w:t>
      </w:r>
      <w:r w:rsidRPr="00932174">
        <w:rPr>
          <w:rFonts w:ascii="Times New Roman" w:hAnsi="Times New Roman" w:cs="Times New Roman"/>
          <w:sz w:val="28"/>
          <w:szCs w:val="28"/>
        </w:rPr>
        <w:t>OLAP</w:t>
      </w:r>
      <w:r w:rsidRPr="00932174">
        <w:rPr>
          <w:rFonts w:ascii="Times New Roman" w:hAnsi="Times New Roman" w:cs="Times New Roman"/>
          <w:sz w:val="28"/>
          <w:szCs w:val="28"/>
          <w:lang w:val="uk-UA"/>
        </w:rPr>
        <w:t xml:space="preserve"> и многомерный анализ данных. </w:t>
      </w:r>
      <w:r w:rsidRPr="00932174">
        <w:rPr>
          <w:rFonts w:ascii="Times New Roman" w:hAnsi="Times New Roman" w:cs="Times New Roman"/>
          <w:sz w:val="28"/>
          <w:szCs w:val="28"/>
        </w:rPr>
        <w:t>Серия: В подлиннике.</w:t>
      </w:r>
      <w:r w:rsidRPr="00932174">
        <w:rPr>
          <w:rFonts w:ascii="Times New Roman" w:hAnsi="Times New Roman" w:cs="Times New Roman"/>
          <w:sz w:val="28"/>
          <w:szCs w:val="28"/>
          <w:lang w:val="uk-UA"/>
        </w:rPr>
        <w:t xml:space="preserve">/ А. Бергер </w:t>
      </w:r>
      <w:r w:rsidRPr="00932174">
        <w:rPr>
          <w:rFonts w:ascii="Times New Roman" w:hAnsi="Times New Roman" w:cs="Times New Roman"/>
          <w:sz w:val="28"/>
          <w:szCs w:val="28"/>
        </w:rPr>
        <w:t>// БХВ-Петербург, 2007. – 928 с.</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shd w:val="clear" w:color="auto" w:fill="FFFFFF"/>
          <w:lang w:val="uk-UA"/>
        </w:rPr>
      </w:pPr>
      <w:r w:rsidRPr="00C61473">
        <w:rPr>
          <w:rFonts w:ascii="Times New Roman" w:hAnsi="Times New Roman" w:cs="Times New Roman"/>
          <w:sz w:val="28"/>
          <w:szCs w:val="28"/>
          <w:shd w:val="clear" w:color="auto" w:fill="FFFFFF"/>
        </w:rPr>
        <w:t>Ближайшие и отдаленные результаты реконструктивных операций при бедренно-подколенных артериальных окклюзиях в зависимости от вида трансплантата и тактики лечения</w:t>
      </w:r>
      <w:r w:rsidRPr="00C61473">
        <w:rPr>
          <w:rFonts w:ascii="Times New Roman" w:hAnsi="Times New Roman" w:cs="Times New Roman"/>
          <w:sz w:val="28"/>
          <w:szCs w:val="28"/>
        </w:rPr>
        <w:t xml:space="preserve"> Скугарь Ю. А.</w:t>
      </w:r>
      <w:r w:rsidRPr="00C61473">
        <w:rPr>
          <w:rFonts w:ascii="Times New Roman" w:hAnsi="Times New Roman" w:cs="Times New Roman"/>
          <w:sz w:val="28"/>
          <w:szCs w:val="28"/>
          <w:shd w:val="clear" w:color="auto" w:fill="FFFFFF"/>
          <w:lang w:val="uk-UA"/>
        </w:rPr>
        <w:t>, Дисс</w:t>
      </w:r>
      <w:r w:rsidRPr="00C61473">
        <w:rPr>
          <w:rFonts w:ascii="Times New Roman" w:hAnsi="Times New Roman" w:cs="Times New Roman"/>
          <w:sz w:val="28"/>
          <w:szCs w:val="28"/>
          <w:shd w:val="clear" w:color="auto" w:fill="FFFFFF"/>
        </w:rPr>
        <w:t>.</w:t>
      </w:r>
      <w:r w:rsidRPr="00C61473">
        <w:rPr>
          <w:rFonts w:ascii="Times New Roman" w:hAnsi="Times New Roman" w:cs="Times New Roman"/>
          <w:sz w:val="28"/>
          <w:szCs w:val="28"/>
          <w:shd w:val="clear" w:color="auto" w:fill="FFFFFF"/>
          <w:lang w:val="uk-UA"/>
        </w:rPr>
        <w:t>к.м.н</w:t>
      </w:r>
      <w:r w:rsidRPr="00C61473">
        <w:rPr>
          <w:rFonts w:ascii="Times New Roman" w:hAnsi="Times New Roman" w:cs="Times New Roman"/>
          <w:sz w:val="28"/>
          <w:szCs w:val="28"/>
        </w:rPr>
        <w:t xml:space="preserve">,Москва </w:t>
      </w:r>
      <w:r w:rsidRPr="00C61473">
        <w:rPr>
          <w:rFonts w:ascii="Times New Roman" w:hAnsi="Times New Roman" w:cs="Times New Roman"/>
          <w:sz w:val="28"/>
          <w:szCs w:val="28"/>
        </w:rPr>
        <w:softHyphen/>
        <w:t>2005</w:t>
      </w:r>
      <w:r w:rsidRPr="00C61473">
        <w:rPr>
          <w:rFonts w:ascii="Times New Roman" w:hAnsi="Times New Roman" w:cs="Times New Roman"/>
          <w:sz w:val="28"/>
          <w:szCs w:val="28"/>
          <w:lang w:val="uk-UA"/>
        </w:rPr>
        <w:t>.</w:t>
      </w:r>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61473">
        <w:rPr>
          <w:rFonts w:ascii="Times New Roman" w:hAnsi="Times New Roman" w:cs="Times New Roman"/>
          <w:sz w:val="28"/>
          <w:szCs w:val="28"/>
        </w:rPr>
        <w:t>Бувальцев В.И. Дисфункция эндотелия как новая концепция профилактики и лечения сердечно – сосудистых заболеваний / В.И. Бувальцев // Международный медицинский журнал. – 2001. - № 3. – С. 23 – 34.</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 xml:space="preserve">Вараксин В.А. Хирургическое лечение больных с облитерирующими нарушениями артерий дистальных отделов нижних конечностей./ автореф. дис. Канд.мед.наук//-Ярославль.-1994.-20с. </w:t>
      </w:r>
    </w:p>
    <w:p w:rsidR="00F506C5" w:rsidRPr="00C61473" w:rsidRDefault="00F506C5" w:rsidP="00B43186">
      <w:pPr>
        <w:pStyle w:val="ad"/>
        <w:numPr>
          <w:ilvl w:val="0"/>
          <w:numId w:val="1"/>
        </w:numPr>
        <w:tabs>
          <w:tab w:val="left" w:pos="426"/>
        </w:tabs>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Видалення частини кінцівки – резекція чи ампутація? / В. І. Ляховський, Д. Г. Дем’янюк, А. Л. Боркунов, М. І. Кравців, Л. В. Сапун // Світ медицини та біології. - 2013. - № 1. - С. 188-190.</w:t>
      </w:r>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Воробьева</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Е.Н. Роль дисфункции эндотелия в патогенезе атеросклероза. / Е.Н.</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Воробьева, Г.И.</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Шумахер, И.В.</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Осипова, М.А.</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Хорева, Р.И.</w:t>
      </w:r>
      <w:r w:rsidRPr="00C61473">
        <w:rPr>
          <w:rFonts w:ascii="Times New Roman" w:hAnsi="Times New Roman" w:cs="Times New Roman"/>
          <w:sz w:val="28"/>
          <w:szCs w:val="28"/>
        </w:rPr>
        <w:t> </w:t>
      </w:r>
      <w:r w:rsidRPr="00C61473">
        <w:rPr>
          <w:rFonts w:ascii="Times New Roman" w:hAnsi="Times New Roman" w:cs="Times New Roman"/>
          <w:sz w:val="28"/>
          <w:szCs w:val="28"/>
          <w:lang w:val="uk-UA"/>
        </w:rPr>
        <w:t>Воробьев // Кардиоваскулярная терапия и профилактика. – 2007. – Т.5. - № 6. – С. 129 – 136.</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uk-UA"/>
        </w:rPr>
      </w:pPr>
      <w:r w:rsidRPr="00C61473">
        <w:rPr>
          <w:rFonts w:ascii="Times New Roman" w:hAnsi="Times New Roman" w:cs="Times New Roman"/>
          <w:sz w:val="28"/>
          <w:szCs w:val="28"/>
          <w:lang w:val="uk-UA"/>
        </w:rPr>
        <w:t xml:space="preserve">Вплив препарату "Актовегін" на перебіг атеросклеротичного ураження судин головного мозку та нижніх кінцівок / В. І. Ляховський, Д. Г. Дем’янюк, Р. </w:t>
      </w:r>
      <w:r w:rsidRPr="00C61473">
        <w:rPr>
          <w:rFonts w:ascii="Times New Roman" w:hAnsi="Times New Roman" w:cs="Times New Roman"/>
          <w:sz w:val="28"/>
          <w:szCs w:val="28"/>
          <w:lang w:val="uk-UA"/>
        </w:rPr>
        <w:lastRenderedPageBreak/>
        <w:t>П. Сакевич, В. І. Ляховський, В. А. Нетребовський, О. Г. Краснов // Хірургія України. - 2013. - № 2. - С. 74-79.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rPr>
      </w:pPr>
      <w:r w:rsidRPr="00C61473">
        <w:rPr>
          <w:rFonts w:ascii="Times New Roman" w:hAnsi="Times New Roman" w:cs="Times New Roman"/>
          <w:sz w:val="28"/>
          <w:szCs w:val="28"/>
          <w:shd w:val="clear" w:color="auto" w:fill="FFFFFF"/>
        </w:rPr>
        <w:t>Гавриленко А.В. Ближайшие и отдаленные результаты использования генно-инженерных конструкций с проангиогенными генами в лечении больных с хронической ишемией нижних конечностей / А.В. Гавриленко // Тез.докл. XI Ежегодной сессии научного центра сердечно-сосудистой хирургии им. А. Н. Бакулева с Всероссийской конференцией молодых ученых, Москва, 13–15 мая 2007 г. / НЦССХ им. А. Н. Бакулева РАМН. – М., 2007. – 284 с.</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rPr>
      </w:pPr>
      <w:r w:rsidRPr="00C61473">
        <w:rPr>
          <w:rFonts w:ascii="Times New Roman" w:hAnsi="Times New Roman" w:cs="Times New Roman"/>
          <w:sz w:val="28"/>
          <w:szCs w:val="28"/>
          <w:shd w:val="clear" w:color="auto" w:fill="FFFFFF"/>
        </w:rPr>
        <w:t>Гавриленко А. В. Результаты лечения</w:t>
      </w:r>
      <w:r w:rsidRPr="00C61473">
        <w:rPr>
          <w:rStyle w:val="apple-converted-space"/>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rPr>
        <w:t>критической</w:t>
      </w:r>
      <w:r w:rsidRPr="00C61473">
        <w:rPr>
          <w:rStyle w:val="apple-converted-space"/>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rPr>
        <w:t>ишемии</w:t>
      </w:r>
      <w:r w:rsidRPr="00C61473">
        <w:rPr>
          <w:rStyle w:val="apple-converted-space"/>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rPr>
        <w:t>нижних</w:t>
      </w:r>
      <w:r w:rsidRPr="00C61473">
        <w:rPr>
          <w:rStyle w:val="apple-converted-space"/>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rPr>
        <w:t>конечностей у больных сахарным диабетом</w:t>
      </w:r>
      <w:r w:rsidRPr="00C61473">
        <w:rPr>
          <w:rStyle w:val="apple-converted-space"/>
          <w:rFonts w:ascii="Times New Roman" w:hAnsi="Times New Roman" w:cs="Times New Roman"/>
          <w:sz w:val="28"/>
          <w:szCs w:val="28"/>
          <w:shd w:val="clear" w:color="auto" w:fill="FFFFFF"/>
        </w:rPr>
        <w:t> </w:t>
      </w:r>
      <w:r w:rsidRPr="00C61473">
        <w:rPr>
          <w:rFonts w:ascii="Times New Roman" w:hAnsi="Times New Roman" w:cs="Times New Roman"/>
          <w:sz w:val="28"/>
          <w:szCs w:val="28"/>
          <w:shd w:val="clear" w:color="auto" w:fill="FFFFFF"/>
        </w:rPr>
        <w:t>/ А.В. Гавриленко, А.Э. Котов, Д.А. Лоиков// Анналы хирургии.</w:t>
      </w:r>
      <w:r w:rsidRPr="00C61473">
        <w:rPr>
          <w:rFonts w:ascii="Times New Roman" w:hAnsi="Times New Roman" w:cs="Times New Roman"/>
          <w:sz w:val="28"/>
          <w:szCs w:val="28"/>
          <w:shd w:val="clear" w:color="auto" w:fill="FFFFFF"/>
        </w:rPr>
        <w:noBreakHyphen/>
        <w:t xml:space="preserve">2013. </w:t>
      </w:r>
      <w:r w:rsidRPr="00C61473">
        <w:rPr>
          <w:rFonts w:ascii="Times New Roman" w:hAnsi="Times New Roman" w:cs="Times New Roman"/>
          <w:sz w:val="28"/>
          <w:szCs w:val="28"/>
          <w:shd w:val="clear" w:color="auto" w:fill="FFFFFF"/>
        </w:rPr>
        <w:noBreakHyphen/>
        <w:t xml:space="preserve"> № 6</w:t>
      </w:r>
      <w:r w:rsidRPr="00C61473">
        <w:rPr>
          <w:rStyle w:val="apple-converted-space"/>
          <w:rFonts w:ascii="Times New Roman" w:hAnsi="Times New Roman" w:cs="Times New Roman"/>
          <w:sz w:val="28"/>
          <w:szCs w:val="28"/>
          <w:shd w:val="clear" w:color="auto" w:fill="FFFFFF"/>
        </w:rPr>
        <w:t> </w:t>
      </w:r>
      <w:r w:rsidRPr="00C61473">
        <w:rPr>
          <w:rFonts w:ascii="Times New Roman" w:hAnsi="Times New Roman" w:cs="Times New Roman"/>
          <w:sz w:val="28"/>
          <w:szCs w:val="28"/>
          <w:shd w:val="clear" w:color="auto" w:fill="FFFFFF"/>
        </w:rPr>
        <w:t>. - С.48-51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rPr>
      </w:pPr>
      <w:r w:rsidRPr="00C61473">
        <w:rPr>
          <w:rFonts w:ascii="Times New Roman" w:hAnsi="Times New Roman" w:cs="Times New Roman"/>
          <w:sz w:val="28"/>
          <w:szCs w:val="28"/>
        </w:rPr>
        <w:t xml:space="preserve">Гавриленко А.В. Современные возможности реконструктивной сосудистой хирургии и перспективы применения генной инженерии при критической ишемии нижних конечностей / А.В. Гавриленко // Вестник Российской Академии медицинских наук: Ежемесячный научно-теоретический журнал </w:t>
      </w:r>
      <w:r w:rsidRPr="00C61473">
        <w:rPr>
          <w:rFonts w:ascii="Times New Roman" w:hAnsi="Times New Roman" w:cs="Times New Roman"/>
          <w:sz w:val="28"/>
          <w:szCs w:val="28"/>
        </w:rPr>
        <w:noBreakHyphen/>
        <w:t xml:space="preserve"> 2003. </w:t>
      </w:r>
      <w:r w:rsidRPr="00C61473">
        <w:rPr>
          <w:rFonts w:ascii="Times New Roman" w:hAnsi="Times New Roman" w:cs="Times New Roman"/>
          <w:sz w:val="28"/>
          <w:szCs w:val="28"/>
        </w:rPr>
        <w:noBreakHyphen/>
        <w:t xml:space="preserve"> №12. </w:t>
      </w:r>
      <w:r w:rsidRPr="00C61473">
        <w:rPr>
          <w:rFonts w:ascii="Times New Roman" w:hAnsi="Times New Roman" w:cs="Times New Roman"/>
          <w:sz w:val="28"/>
          <w:szCs w:val="28"/>
        </w:rPr>
        <w:noBreakHyphen/>
        <w:t xml:space="preserve"> С. 74-77</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lang w:val="uk-UA"/>
        </w:rPr>
        <w:t>Гістологічна та імуногістохімічна характеристика стимульованого ангіогенезу внаслідок трансплантації прогеніторних клітин фетальної печінки</w:t>
      </w:r>
      <w:r w:rsidRPr="00C61473">
        <w:rPr>
          <w:rFonts w:ascii="Times New Roman" w:hAnsi="Times New Roman" w:cs="Times New Roman"/>
          <w:bCs/>
          <w:sz w:val="28"/>
          <w:szCs w:val="28"/>
          <w:lang w:val="uk-UA"/>
        </w:rPr>
        <w:t xml:space="preserve"> / Ю.В Поляченко, Р.В.Салютін, С.І. </w:t>
      </w:r>
      <w:r w:rsidRPr="00C61473">
        <w:rPr>
          <w:rFonts w:ascii="Times New Roman" w:hAnsi="Times New Roman" w:cs="Times New Roman"/>
          <w:bCs/>
          <w:sz w:val="28"/>
          <w:szCs w:val="28"/>
        </w:rPr>
        <w:t> Мартиненко, С.С. Паляниця</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 xml:space="preserve"> Буковин</w:t>
      </w:r>
      <w:r w:rsidRPr="00C61473">
        <w:rPr>
          <w:rFonts w:ascii="Times New Roman" w:hAnsi="Times New Roman" w:cs="Times New Roman"/>
          <w:sz w:val="28"/>
          <w:szCs w:val="28"/>
          <w:lang w:val="uk-UA"/>
        </w:rPr>
        <w:t xml:space="preserve">ський </w:t>
      </w:r>
      <w:r w:rsidRPr="00C61473">
        <w:rPr>
          <w:rFonts w:ascii="Times New Roman" w:hAnsi="Times New Roman" w:cs="Times New Roman"/>
          <w:sz w:val="28"/>
          <w:szCs w:val="28"/>
        </w:rPr>
        <w:t>мед</w:t>
      </w:r>
      <w:r w:rsidRPr="00C61473">
        <w:rPr>
          <w:rFonts w:ascii="Times New Roman" w:hAnsi="Times New Roman" w:cs="Times New Roman"/>
          <w:sz w:val="28"/>
          <w:szCs w:val="28"/>
          <w:lang w:val="uk-UA"/>
        </w:rPr>
        <w:t>ичний</w:t>
      </w:r>
      <w:r w:rsidRPr="00C61473">
        <w:rPr>
          <w:rFonts w:ascii="Times New Roman" w:hAnsi="Times New Roman" w:cs="Times New Roman"/>
          <w:sz w:val="28"/>
          <w:szCs w:val="28"/>
        </w:rPr>
        <w:t xml:space="preserve"> вісн</w:t>
      </w:r>
      <w:r w:rsidRPr="00C61473">
        <w:rPr>
          <w:rFonts w:ascii="Times New Roman" w:hAnsi="Times New Roman" w:cs="Times New Roman"/>
          <w:sz w:val="28"/>
          <w:szCs w:val="28"/>
          <w:lang w:val="uk-UA"/>
        </w:rPr>
        <w:t>ик</w:t>
      </w:r>
      <w:r w:rsidRPr="00C61473">
        <w:rPr>
          <w:rFonts w:ascii="Times New Roman" w:hAnsi="Times New Roman" w:cs="Times New Roman"/>
          <w:sz w:val="28"/>
          <w:szCs w:val="28"/>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rPr>
        <w:t xml:space="preserve"> 2011</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rPr>
        <w:t xml:space="preserve"> 1(15)</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С. </w:t>
      </w:r>
      <w:r w:rsidRPr="00C61473">
        <w:rPr>
          <w:rFonts w:ascii="Times New Roman" w:hAnsi="Times New Roman" w:cs="Times New Roman"/>
          <w:sz w:val="28"/>
          <w:szCs w:val="28"/>
        </w:rPr>
        <w:t>69–72.</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61473">
        <w:rPr>
          <w:rFonts w:ascii="Times New Roman" w:hAnsi="Times New Roman" w:cs="Times New Roman"/>
          <w:sz w:val="28"/>
          <w:szCs w:val="28"/>
        </w:rPr>
        <w:t>Гомазков О.А. Эндотелий – эндокринное дерево / О.А. Гомазков.// Природа. – 2000. – № 5. –  С 5 – 7.</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 xml:space="preserve">Гоні С.K. Т. Динаміка деяких показників дисфункції ендотелію у хворих за хронічної критичної ішемії тканин нижніх кінцівок залежно від проведеного лікування / І.А. Криворучко, С.К.Т. Гоні, С.А.Т. Гоні, С.А. Андреєщев // Клінічна хірургія. – 2017. – №4(900). – С. 35-38. </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 xml:space="preserve">Гоні С.-К.Т.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 І.А. Криворучко, С.-К.Т. Гоні, // Харківська хірургічна школа. – 2016. – №3(78). – С. 94-96. </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lastRenderedPageBreak/>
        <w:t>Гоні С.-К.Т. Перші результати лікування хворих на хронічну критичну ішемію нижніх кінцівок із дистальною формою ураження методом стимуляції ангіогенезу / І.А. Криворучко, В.О. Прасол, С.-К.Т. Гоні // Науковий вісник Ужгородського університету, серія «Медицина». – 2015. – №2(52). – С.49-50.</w:t>
      </w:r>
      <w:r w:rsidRPr="00C52679">
        <w:rPr>
          <w:rFonts w:ascii="Times New Roman" w:hAnsi="Times New Roman"/>
          <w:sz w:val="28"/>
          <w:szCs w:val="28"/>
        </w:rPr>
        <w:t xml:space="preserve"> </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 xml:space="preserve">Гоні С.-К.Т. </w:t>
      </w:r>
      <w:r w:rsidRPr="00C52679">
        <w:rPr>
          <w:rFonts w:ascii="Times New Roman" w:hAnsi="Times New Roman"/>
          <w:bCs/>
          <w:sz w:val="28"/>
          <w:szCs w:val="28"/>
          <w:lang w:val="uk-UA"/>
        </w:rPr>
        <w:t>Показники дисфункції ендотелію у хворих на хронічну критичну ішемію нижніх кінцівок /</w:t>
      </w:r>
      <w:r w:rsidRPr="00C52679">
        <w:rPr>
          <w:rFonts w:ascii="Times New Roman" w:hAnsi="Times New Roman"/>
          <w:sz w:val="28"/>
          <w:szCs w:val="28"/>
          <w:lang w:val="uk-UA"/>
        </w:rPr>
        <w:t xml:space="preserve"> С.-К.Т. Гоні // </w:t>
      </w:r>
      <w:r w:rsidRPr="00C52679">
        <w:rPr>
          <w:rFonts w:ascii="Times New Roman" w:hAnsi="Times New Roman"/>
          <w:bCs/>
          <w:sz w:val="28"/>
          <w:szCs w:val="28"/>
          <w:lang w:val="uk-UA"/>
        </w:rPr>
        <w:t>Journal of Education, Health and Sport. – 2016. – №6(10). – Р.485-492. eISSN 2391-8306.</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 xml:space="preserve">Гоні С.-К.Т. Результати лікування хворих на хронічну критичну ішемію нижніх кінцівок / І.А. Криворучко, С.-К.Т. Гоні, І.М. Лодяна // Науковий вісник Ужгородського університету, серія «Медицина». – 2014. – №1(49). – С.115-117. </w:t>
      </w:r>
      <w:r w:rsidRPr="00C52679">
        <w:rPr>
          <w:rFonts w:ascii="Times New Roman" w:hAnsi="Times New Roman"/>
          <w:sz w:val="28"/>
          <w:szCs w:val="28"/>
        </w:rPr>
        <w:t>(дисертантом проведено збір та обробку матеріалів статті та підготовку статті до друку)</w:t>
      </w:r>
    </w:p>
    <w:p w:rsidR="00F506C5" w:rsidRPr="00F506C5"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 xml:space="preserve">Гоні С.-К.Т. Хірургічне лікування хворих на критичну ішемію нижніх кінцівок залежно від спектру вегетуючої флори / С.-К.Т. Гоні, І.А. Криворучко, І.М. Лодяна // Харківська хірургічна школа. – 2014. – №2(65). – С. 90-93. </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52679">
        <w:rPr>
          <w:rFonts w:ascii="Times New Roman" w:hAnsi="Times New Roman"/>
          <w:sz w:val="28"/>
          <w:szCs w:val="28"/>
          <w:lang w:val="uk-UA"/>
        </w:rPr>
        <w:t>Гоні С.-К.Т. Спосіб стимуляції неоангіогенезу при критичній ішемії нижніх кінцівок за допомогою збагаченої тромбоцитами аутоплазми / С.-К.Т.Гоні, І.А. Криворучко, В.О. Прасол, С.Н. Зюзько [та ін.] // Патент України на корисну модель, рішення № 26125/ЗУ/16 від 28.10.2016 за заявкою № U201605206.</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en-US"/>
        </w:rPr>
      </w:pPr>
      <w:r w:rsidRPr="00C52679">
        <w:rPr>
          <w:rFonts w:ascii="Times New Roman" w:hAnsi="Times New Roman"/>
          <w:sz w:val="28"/>
          <w:szCs w:val="28"/>
          <w:lang w:val="uk-UA"/>
        </w:rPr>
        <w:t>Гоні С.-К.Т. Спосіб стимуляції неоангіогенезу в лікуванні ішемії кінцівок людини / С.-К.Т. Гоні, І.А. Криворучко, О.А. Балач [та ін.] // Патент України на корисну модель, рішення № 24786/ЗУ/16 від 10.10.2016 за заявкою № U201605203.</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en-US"/>
        </w:rPr>
      </w:pPr>
      <w:r w:rsidRPr="00C52679">
        <w:rPr>
          <w:rFonts w:ascii="Times New Roman" w:hAnsi="Times New Roman"/>
          <w:sz w:val="28"/>
          <w:szCs w:val="28"/>
          <w:lang w:val="uk-UA"/>
        </w:rPr>
        <w:t xml:space="preserve">Гоні С.-К.Т. Сучасні методи стимуляції неоангіогенезу при хронічній критичній ішемії нижніх кінцівок / І.А. Криворучко, С.-К.Т. Гоні, І.М. Лодяна // Харківська хірургічна школа. – 2015. – №2(71). – С. 123-125. </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bCs/>
          <w:sz w:val="28"/>
          <w:szCs w:val="28"/>
        </w:rPr>
        <w:t xml:space="preserve">Гринь В.К. </w:t>
      </w:r>
      <w:r w:rsidRPr="00C61473">
        <w:rPr>
          <w:rFonts w:ascii="Times New Roman" w:hAnsi="Times New Roman" w:cs="Times New Roman"/>
          <w:sz w:val="28"/>
          <w:szCs w:val="28"/>
        </w:rPr>
        <w:t xml:space="preserve">Аутотрансплантация стромальных стволовых клеток в лечении облитерирующих заболеваний артерий нижних конечностей./ </w:t>
      </w:r>
      <w:r w:rsidRPr="00C61473">
        <w:rPr>
          <w:rFonts w:ascii="Times New Roman" w:hAnsi="Times New Roman" w:cs="Times New Roman"/>
          <w:bCs/>
          <w:sz w:val="28"/>
          <w:szCs w:val="28"/>
        </w:rPr>
        <w:t xml:space="preserve">В.К.Гринь, А.А.Штутин, А.Г. Попандопуло // </w:t>
      </w:r>
      <w:r w:rsidRPr="00C61473">
        <w:rPr>
          <w:rFonts w:ascii="Times New Roman" w:hAnsi="Times New Roman" w:cs="Times New Roman"/>
          <w:sz w:val="28"/>
          <w:szCs w:val="28"/>
        </w:rPr>
        <w:t>Вестник неотложной и восстанови тельной медицины.</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rPr>
        <w:t>2010.</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rPr>
        <w:t>4 (11).</w:t>
      </w:r>
      <w:r w:rsidRPr="00C61473">
        <w:rPr>
          <w:rFonts w:ascii="Times New Roman" w:hAnsi="Times New Roman" w:cs="Times New Roman"/>
          <w:sz w:val="28"/>
          <w:szCs w:val="28"/>
          <w:shd w:val="clear" w:color="auto" w:fill="FFFFFF"/>
          <w:lang w:val="uk-UA"/>
        </w:rPr>
        <w:t xml:space="preserve"> – С.</w:t>
      </w:r>
      <w:r w:rsidRPr="00C61473">
        <w:rPr>
          <w:rFonts w:ascii="Times New Roman" w:hAnsi="Times New Roman" w:cs="Times New Roman"/>
          <w:sz w:val="28"/>
          <w:szCs w:val="28"/>
        </w:rPr>
        <w:t xml:space="preserve"> 512–513.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bCs/>
          <w:sz w:val="28"/>
          <w:szCs w:val="28"/>
        </w:rPr>
        <w:lastRenderedPageBreak/>
        <w:t>Демидова О.А. </w:t>
      </w:r>
      <w:r w:rsidRPr="00C61473">
        <w:rPr>
          <w:rFonts w:ascii="Times New Roman" w:hAnsi="Times New Roman" w:cs="Times New Roman"/>
          <w:sz w:val="28"/>
          <w:szCs w:val="28"/>
        </w:rPr>
        <w:t>Комбинированное лечение хронической ишемии нижних конечностей с использованием стимуляторов ангиогенеза. //Дис. … канд. мед.наук, Москва,2006.</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rPr>
        <w:t xml:space="preserve"> 119 с.</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rPr>
        <w:t>Діагностика та лікування хронічної критичної ішемії нижніх кінцівок, поєднаної з мультифокальним атеросклерозом / В.Г.Мішалов, М.П.Бойчак, В.А. Черняк, Л.Ю. Гладка, В.М. Селюк, Б.М. Коваль // Методичні рекомендації. – Київ , 2007 – 64 с.</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rPr>
        <w:t>Досвід діагностики та лікування флегмони при синдромі діабетичної стопи / В.І. Ляховський, Д.Г. Дем'янюк, О.М. Безкоровайний, А.Л. Боркунов, О.М. Люлька, А.В. Ляховська // Клініч. хірургія. - 2012. - № 5. - С. 32-35</w:t>
      </w:r>
      <w:r w:rsidRPr="00C61473">
        <w:rPr>
          <w:rFonts w:ascii="Times New Roman" w:hAnsi="Times New Roman" w:cs="Times New Roman"/>
          <w:sz w:val="28"/>
          <w:szCs w:val="28"/>
          <w:lang w:val="uk-UA"/>
        </w:rPr>
        <w:t>.</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Дрюк М.Ф. Облітеруючі захворювання судин нижніх кінцівок у дітей: нові підходи у лікуванні з використанням клітинних технологій / М.Ф. Дрюк, В.І. Кірімов, Д.Б. Домбровський // Шпитальна хірургія. - 2013. - № 1. - С. 26-31.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bCs/>
          <w:sz w:val="28"/>
          <w:szCs w:val="28"/>
        </w:rPr>
        <w:t xml:space="preserve">Дрюк Н.Ф. </w:t>
      </w:r>
      <w:r w:rsidRPr="00C61473">
        <w:rPr>
          <w:rFonts w:ascii="Times New Roman" w:hAnsi="Times New Roman" w:cs="Times New Roman"/>
          <w:sz w:val="28"/>
          <w:szCs w:val="28"/>
        </w:rPr>
        <w:t>Реваскуляризирующие операции при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облитерирующем поражении артерий голени 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стопы у</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больных с</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хронической критической ишемией нижних конечностей/</w:t>
      </w:r>
      <w:r w:rsidRPr="00C61473">
        <w:rPr>
          <w:rFonts w:ascii="Times New Roman" w:hAnsi="Times New Roman" w:cs="Times New Roman"/>
          <w:bCs/>
          <w:sz w:val="28"/>
          <w:szCs w:val="28"/>
        </w:rPr>
        <w:t xml:space="preserve"> Н.Ф. Дрюк, В.И. </w:t>
      </w:r>
      <w:r w:rsidRPr="00C61473">
        <w:rPr>
          <w:rFonts w:ascii="Times New Roman" w:hAnsi="Times New Roman" w:cs="Times New Roman"/>
          <w:sz w:val="28"/>
          <w:szCs w:val="28"/>
        </w:rPr>
        <w:t xml:space="preserve"> </w:t>
      </w:r>
      <w:r w:rsidRPr="00C61473">
        <w:rPr>
          <w:rFonts w:ascii="Times New Roman" w:hAnsi="Times New Roman" w:cs="Times New Roman"/>
          <w:bCs/>
          <w:sz w:val="28"/>
          <w:szCs w:val="28"/>
        </w:rPr>
        <w:t>Киримов //</w:t>
      </w:r>
      <w:r w:rsidRPr="00C61473">
        <w:rPr>
          <w:rFonts w:ascii="Times New Roman" w:hAnsi="Times New Roman" w:cs="Times New Roman"/>
          <w:sz w:val="28"/>
          <w:szCs w:val="28"/>
        </w:rPr>
        <w:t>Клін</w:t>
      </w:r>
      <w:r w:rsidRPr="00C61473">
        <w:rPr>
          <w:rFonts w:ascii="Times New Roman" w:hAnsi="Times New Roman" w:cs="Times New Roman"/>
          <w:sz w:val="28"/>
          <w:szCs w:val="28"/>
          <w:lang w:val="uk-UA"/>
        </w:rPr>
        <w:t>ічна</w:t>
      </w:r>
      <w:r w:rsidRPr="00C61473">
        <w:rPr>
          <w:rFonts w:ascii="Times New Roman" w:hAnsi="Times New Roman" w:cs="Times New Roman"/>
          <w:sz w:val="28"/>
          <w:szCs w:val="28"/>
        </w:rPr>
        <w:t>. Хірургія</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rPr>
        <w:t xml:space="preserve"> 2007</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rPr>
        <w:t>5</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6</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С.</w:t>
      </w:r>
      <w:r w:rsidRPr="00C61473">
        <w:rPr>
          <w:rFonts w:ascii="Times New Roman" w:hAnsi="Times New Roman" w:cs="Times New Roman"/>
          <w:sz w:val="28"/>
          <w:szCs w:val="28"/>
        </w:rPr>
        <w:t xml:space="preserve"> 48–49.</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Дуданов И.П. Критическая ишемия нижних конечностей / И.П. Дуданов, В.Н. Сидоров, М.Ю. Капутин, А.В. Карпов // Стандарты диагностики и лечения в клинике внутренних болезней.</w:t>
      </w:r>
      <w:r w:rsidRPr="00C61473">
        <w:rPr>
          <w:rFonts w:ascii="Times New Roman" w:hAnsi="Times New Roman" w:cs="Times New Roman"/>
          <w:sz w:val="28"/>
          <w:szCs w:val="28"/>
          <w:shd w:val="clear" w:color="auto" w:fill="FFFFFF"/>
          <w:lang w:val="uk-UA"/>
        </w:rPr>
        <w:t xml:space="preserve"> Сердечно-сосудистые заболевания: сборник научных трудов. Российской научно-практиической конфференции, Вестник РВМА. – СПб., 2007. – Т. 18, № 2, Прил. – С. 53-55.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shd w:val="clear" w:color="auto" w:fill="FFFFFF"/>
          <w:lang w:val="uk-UA"/>
        </w:rPr>
      </w:pPr>
      <w:r w:rsidRPr="00C61473">
        <w:rPr>
          <w:rFonts w:ascii="Times New Roman" w:hAnsi="Times New Roman" w:cs="Times New Roman"/>
          <w:sz w:val="28"/>
          <w:szCs w:val="28"/>
        </w:rPr>
        <w:t>Еремеева М.В. Лечение сердечно-сосудистых заболеваний и терапевтический ангио/миогенез // Тез</w:t>
      </w:r>
      <w:r w:rsidRPr="00C61473">
        <w:rPr>
          <w:rFonts w:ascii="Times New Roman" w:hAnsi="Times New Roman" w:cs="Times New Roman"/>
          <w:sz w:val="28"/>
          <w:szCs w:val="28"/>
          <w:lang w:val="uk-UA"/>
        </w:rPr>
        <w:t>ис</w:t>
      </w:r>
      <w:r w:rsidRPr="00C61473">
        <w:rPr>
          <w:rFonts w:ascii="Times New Roman" w:hAnsi="Times New Roman" w:cs="Times New Roman"/>
          <w:sz w:val="28"/>
          <w:szCs w:val="28"/>
        </w:rPr>
        <w:t xml:space="preserve">ы доклада. </w:t>
      </w:r>
      <w:r w:rsidRPr="00C61473">
        <w:rPr>
          <w:rFonts w:ascii="Times New Roman" w:hAnsi="Times New Roman" w:cs="Times New Roman"/>
          <w:sz w:val="28"/>
          <w:szCs w:val="28"/>
          <w:lang w:val="en-US"/>
        </w:rPr>
        <w:t>XII</w:t>
      </w:r>
      <w:r w:rsidRPr="00C61473">
        <w:rPr>
          <w:rFonts w:ascii="Times New Roman" w:hAnsi="Times New Roman" w:cs="Times New Roman"/>
          <w:sz w:val="28"/>
          <w:szCs w:val="28"/>
        </w:rPr>
        <w:t xml:space="preserve"> всероссийского съезда сердечно-сосудистых хирургов, Москва, 28–31 окт. 2006 г. НЦССХ им. А.Н. Бакулева РАМН. – М., 2006. – 340 с.</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shd w:val="clear" w:color="auto" w:fill="FFFFFF"/>
          <w:lang w:val="uk-UA"/>
        </w:rPr>
      </w:pPr>
      <w:r w:rsidRPr="00C61473">
        <w:rPr>
          <w:rFonts w:ascii="Times New Roman" w:hAnsi="Times New Roman" w:cs="Times New Roman"/>
          <w:sz w:val="28"/>
          <w:szCs w:val="28"/>
          <w:lang w:val="uk-UA"/>
        </w:rPr>
        <w:t xml:space="preserve">Застосування МНК аутологічного кісткового мозку та плазми збагаченої тромбоцитами в комплексному лікуванні хронічної «критичної» ішемії ускладненої виразково-трофічними дефектами стопи / М.Ф. Дрюк, В.І. Кірімов, </w:t>
      </w:r>
      <w:r w:rsidRPr="00C61473">
        <w:rPr>
          <w:rFonts w:ascii="Times New Roman" w:hAnsi="Times New Roman" w:cs="Times New Roman"/>
          <w:sz w:val="28"/>
          <w:szCs w:val="28"/>
          <w:lang w:val="uk-UA"/>
        </w:rPr>
        <w:lastRenderedPageBreak/>
        <w:t>І.Є. Барна, І.П. Дмитренко // Архів клініч. медицини. - 2014. - № 2 (ч. 2). - С. 79-80.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rPr>
      </w:pPr>
      <w:r w:rsidRPr="00C61473">
        <w:rPr>
          <w:rFonts w:ascii="Times New Roman" w:hAnsi="Times New Roman" w:cs="Times New Roman"/>
          <w:sz w:val="28"/>
          <w:szCs w:val="28"/>
        </w:rPr>
        <w:t>Казьмин З.В. Комплексное хирургическое и консервативное лечение хронической критической ишемии при отсутствии условий прямой реваскуляризации нижних конечностей. / З.В. Казьмин //Автореф. дис… канд. мед наук. - Москва. - 2006. – 35 с.</w:t>
      </w:r>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61473">
        <w:rPr>
          <w:rFonts w:ascii="Times New Roman" w:hAnsi="Times New Roman" w:cs="Times New Roman"/>
          <w:sz w:val="28"/>
          <w:szCs w:val="28"/>
        </w:rPr>
        <w:t xml:space="preserve">Касаткина, С.Г. Значение дисфункции эндотелия у больных с сахарным диабетом 2 типа. / С.Г. Касаткина, С.Н. Касаткин // Фундаментальные исследования. – 2011. – № 7. – С.248 – 253. </w:t>
      </w:r>
    </w:p>
    <w:p w:rsidR="00F506C5"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Клітинна стимуляція ангіогенезу як метод непрямої реваскуляризації у хворих на хронічну ішемію нижніх кінцівок</w:t>
      </w:r>
      <w:r w:rsidRPr="00C61473">
        <w:rPr>
          <w:rFonts w:ascii="Times New Roman" w:hAnsi="Times New Roman" w:cs="Times New Roman"/>
          <w:bCs/>
          <w:sz w:val="28"/>
          <w:szCs w:val="28"/>
          <w:lang w:val="uk-UA"/>
        </w:rPr>
        <w:t xml:space="preserve"> / Ю.В.Поляченко, Р.В. Салютін, С.С. Паляниця та ін</w:t>
      </w:r>
      <w:r w:rsidRPr="00C61473">
        <w:rPr>
          <w:rFonts w:ascii="Times New Roman" w:hAnsi="Times New Roman" w:cs="Times New Roman"/>
          <w:sz w:val="28"/>
          <w:szCs w:val="28"/>
          <w:lang w:val="uk-UA"/>
        </w:rPr>
        <w:t>. //Методичні рекомендації. Київ,</w:t>
      </w:r>
      <w:r w:rsidRPr="00C61473">
        <w:rPr>
          <w:rFonts w:ascii="Times New Roman" w:hAnsi="Times New Roman" w:cs="Times New Roman"/>
          <w:sz w:val="28"/>
          <w:szCs w:val="28"/>
          <w:lang w:val="uk-UA"/>
        </w:rPr>
        <w:noBreakHyphen/>
        <w:t>2011.</w:t>
      </w:r>
      <w:r w:rsidRPr="00C61473">
        <w:rPr>
          <w:rFonts w:ascii="Times New Roman" w:hAnsi="Times New Roman" w:cs="Times New Roman"/>
          <w:sz w:val="28"/>
          <w:szCs w:val="28"/>
          <w:lang w:val="uk-UA"/>
        </w:rPr>
        <w:noBreakHyphen/>
        <w:t>28</w:t>
      </w:r>
      <w:r w:rsidRPr="00C61473">
        <w:rPr>
          <w:rFonts w:ascii="Times New Roman" w:hAnsi="Times New Roman" w:cs="Times New Roman"/>
          <w:sz w:val="28"/>
          <w:szCs w:val="28"/>
        </w:rPr>
        <w:t> </w:t>
      </w:r>
      <w:r>
        <w:rPr>
          <w:rFonts w:ascii="Times New Roman" w:hAnsi="Times New Roman" w:cs="Times New Roman"/>
          <w:sz w:val="28"/>
          <w:szCs w:val="28"/>
          <w:lang w:val="uk-UA"/>
        </w:rPr>
        <w:t>С</w:t>
      </w:r>
      <w:r w:rsidRPr="00C61473">
        <w:rPr>
          <w:rFonts w:ascii="Times New Roman" w:hAnsi="Times New Roman" w:cs="Times New Roman"/>
          <w:sz w:val="28"/>
          <w:szCs w:val="28"/>
          <w:lang w:val="uk-UA"/>
        </w:rPr>
        <w:t>.</w:t>
      </w:r>
    </w:p>
    <w:p w:rsidR="00F506C5" w:rsidRPr="00932174"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932174">
        <w:rPr>
          <w:rFonts w:ascii="Times New Roman" w:hAnsi="Times New Roman" w:cs="Times New Roman"/>
          <w:sz w:val="28"/>
          <w:szCs w:val="28"/>
        </w:rPr>
        <w:t xml:space="preserve">Кобзарь А. И. Прикладная математическая статистика. Для инженеров и научных работников. - М.: ФИЗМАТЛИТ, 2012. - 816 </w:t>
      </w:r>
      <w:r w:rsidRPr="00932174">
        <w:rPr>
          <w:rFonts w:ascii="Times New Roman" w:hAnsi="Times New Roman" w:cs="Times New Roman"/>
          <w:sz w:val="28"/>
          <w:szCs w:val="28"/>
          <w:lang w:val="uk-UA"/>
        </w:rPr>
        <w:t>С</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rPr>
      </w:pPr>
      <w:r w:rsidRPr="00C61473">
        <w:rPr>
          <w:rFonts w:ascii="Times New Roman" w:hAnsi="Times New Roman" w:cs="Times New Roman"/>
          <w:sz w:val="28"/>
          <w:szCs w:val="28"/>
        </w:rPr>
        <w:t xml:space="preserve">Критическая ишемия как следствие неадекватного лечения больных хроническими облитерирующими заболеваниями артерий нижних конечностей на амбулаторном этапе / В.С. Савельев, В.М. Кошкин, А.С. Кунижев // Ангиология и сосудистая хирургия. </w:t>
      </w:r>
      <w:r w:rsidRPr="00C61473">
        <w:rPr>
          <w:rFonts w:ascii="Times New Roman" w:hAnsi="Times New Roman" w:cs="Times New Roman"/>
          <w:sz w:val="28"/>
          <w:szCs w:val="28"/>
        </w:rPr>
        <w:noBreakHyphen/>
        <w:t xml:space="preserve"> 2004. </w:t>
      </w:r>
      <w:r w:rsidRPr="00C61473">
        <w:rPr>
          <w:rFonts w:ascii="Times New Roman" w:hAnsi="Times New Roman" w:cs="Times New Roman"/>
          <w:sz w:val="28"/>
          <w:szCs w:val="28"/>
        </w:rPr>
        <w:noBreakHyphen/>
        <w:t xml:space="preserve"> Том10, N1. </w:t>
      </w:r>
      <w:r w:rsidRPr="00C61473">
        <w:rPr>
          <w:rFonts w:ascii="Times New Roman" w:hAnsi="Times New Roman" w:cs="Times New Roman"/>
          <w:sz w:val="28"/>
          <w:szCs w:val="28"/>
        </w:rPr>
        <w:noBreakHyphen/>
        <w:t xml:space="preserve"> С. 7-10.</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bCs/>
          <w:sz w:val="28"/>
          <w:szCs w:val="28"/>
        </w:rPr>
        <w:t>Ларионов П.М.</w:t>
      </w:r>
      <w:r w:rsidRPr="00C61473">
        <w:rPr>
          <w:rFonts w:ascii="Times New Roman" w:hAnsi="Times New Roman" w:cs="Times New Roman"/>
          <w:sz w:val="28"/>
          <w:szCs w:val="28"/>
        </w:rPr>
        <w:t xml:space="preserve"> Стимуляция ангиогенеза внутримышечной имплантацией клеток мононуклеарной фракции аутологичного костного мозга при ишемии конечностей крысы./</w:t>
      </w:r>
      <w:r w:rsidRPr="00C61473">
        <w:rPr>
          <w:rFonts w:ascii="Times New Roman" w:hAnsi="Times New Roman" w:cs="Times New Roman"/>
          <w:bCs/>
          <w:sz w:val="28"/>
          <w:szCs w:val="28"/>
        </w:rPr>
        <w:t xml:space="preserve"> П.М. Ларионов, А.М. Чернявский, Р.Б.  Новрузов //</w:t>
      </w:r>
      <w:r w:rsidRPr="00C61473">
        <w:rPr>
          <w:rFonts w:ascii="Times New Roman" w:hAnsi="Times New Roman" w:cs="Times New Roman"/>
          <w:sz w:val="28"/>
          <w:szCs w:val="28"/>
        </w:rPr>
        <w:t xml:space="preserve"> Клеточные технологии в биологии и медицине.</w:t>
      </w:r>
      <w:r w:rsidRPr="00C61473">
        <w:rPr>
          <w:rFonts w:ascii="Times New Roman" w:hAnsi="Times New Roman" w:cs="Times New Roman"/>
          <w:sz w:val="28"/>
          <w:szCs w:val="28"/>
        </w:rPr>
        <w:noBreakHyphen/>
        <w:t xml:space="preserve"> 2010.</w:t>
      </w:r>
      <w:r w:rsidRPr="00C61473">
        <w:rPr>
          <w:rFonts w:ascii="Times New Roman" w:hAnsi="Times New Roman" w:cs="Times New Roman"/>
          <w:sz w:val="28"/>
          <w:szCs w:val="28"/>
        </w:rPr>
        <w:noBreakHyphen/>
        <w:t>№4:</w:t>
      </w:r>
      <w:r w:rsidRPr="00C61473">
        <w:rPr>
          <w:rFonts w:ascii="Times New Roman" w:hAnsi="Times New Roman" w:cs="Times New Roman"/>
          <w:sz w:val="28"/>
          <w:szCs w:val="28"/>
        </w:rPr>
        <w:noBreakHyphen/>
        <w:t>С. 211–215.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Литвинова Н. Ю. Роль дуплексной флоуметрии в оценке состояния тканей нижней конечности у пациентов с хронической ишемией нижних конечностей / Н.Ю. Литвинова, В.А. Черняк, О.В. Панчук, И.И. Плюта // Серце і судини. - 2014. - № 3. - С. 83-88</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Літвінова Н. Ю. Методи непрямої реваскуляризації при критичній ішемії нижніх кінцівок / Н.Ю. Літвінова, В.А. Черняк, О.В. Панчук // Серце і судини. - 2015. - № 1. - С. 110-115.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uk-UA"/>
        </w:rPr>
        <w:lastRenderedPageBreak/>
        <w:t>Лечебная тактика при критической</w:t>
      </w:r>
      <w:r w:rsidRPr="00C61473">
        <w:rPr>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lang w:val="uk-UA"/>
        </w:rPr>
        <w:t>ишемии</w:t>
      </w:r>
      <w:r w:rsidRPr="00C61473">
        <w:rPr>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lang w:val="uk-UA"/>
        </w:rPr>
        <w:t>нижних конечностей у больных с выраженной</w:t>
      </w:r>
      <w:r w:rsidRPr="00C61473">
        <w:rPr>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lang w:val="uk-UA"/>
        </w:rPr>
        <w:t>сопутствующей</w:t>
      </w:r>
      <w:r w:rsidRPr="00C61473">
        <w:rPr>
          <w:rFonts w:ascii="Times New Roman" w:hAnsi="Times New Roman" w:cs="Times New Roman"/>
          <w:sz w:val="28"/>
          <w:szCs w:val="28"/>
          <w:shd w:val="clear" w:color="auto" w:fill="FFFFFF"/>
        </w:rPr>
        <w:t xml:space="preserve"> </w:t>
      </w:r>
      <w:r w:rsidRPr="00C61473">
        <w:rPr>
          <w:rFonts w:ascii="Times New Roman" w:hAnsi="Times New Roman" w:cs="Times New Roman"/>
          <w:sz w:val="28"/>
          <w:szCs w:val="28"/>
          <w:shd w:val="clear" w:color="auto" w:fill="FFFFFF"/>
          <w:lang w:val="uk-UA"/>
        </w:rPr>
        <w:t xml:space="preserve">патологией/ В.И. Русин, В.В. Корсак, Я.М. Попович, В.В. Русин// журнал «Ангиология и сосудистая хирургия» </w:t>
      </w:r>
      <w:r w:rsidRPr="00C61473">
        <w:rPr>
          <w:rFonts w:ascii="Times New Roman" w:hAnsi="Times New Roman" w:cs="Times New Roman"/>
          <w:sz w:val="28"/>
          <w:szCs w:val="28"/>
          <w:shd w:val="clear" w:color="auto" w:fill="FFFFFF"/>
          <w:lang w:val="uk-UA"/>
        </w:rPr>
        <w:noBreakHyphen/>
        <w:t xml:space="preserve">2014. </w:t>
      </w:r>
      <w:r w:rsidRPr="00C61473">
        <w:rPr>
          <w:rFonts w:ascii="Times New Roman" w:hAnsi="Times New Roman" w:cs="Times New Roman"/>
          <w:sz w:val="28"/>
          <w:szCs w:val="28"/>
          <w:shd w:val="clear" w:color="auto" w:fill="FFFFFF"/>
          <w:lang w:val="uk-UA"/>
        </w:rPr>
        <w:noBreakHyphen/>
        <w:t xml:space="preserve"> ТОМ 20 • №4.</w:t>
      </w:r>
      <w:r w:rsidRPr="00C61473">
        <w:rPr>
          <w:rFonts w:ascii="Times New Roman" w:hAnsi="Times New Roman" w:cs="Times New Roman"/>
          <w:sz w:val="28"/>
          <w:szCs w:val="28"/>
          <w:shd w:val="clear" w:color="auto" w:fill="FFFFFF"/>
          <w:lang w:val="uk-UA"/>
        </w:rPr>
        <w:noBreakHyphen/>
        <w:t xml:space="preserve"> С. 70-74</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Ляховський В. І. Особливості лікування хворих на цукровий діабет з гнійно-некротичним ураженням стопи /В.І.Ляховський, В.І. Ляховський, Р.П. Матьоха // Клінічна хірургія. - 2005. - № 11/12. - С. 41-42.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 xml:space="preserve">Магомедалиева К. С., </w:t>
      </w:r>
      <w:r w:rsidRPr="00C61473">
        <w:rPr>
          <w:rFonts w:ascii="Times New Roman" w:hAnsi="Times New Roman" w:cs="Times New Roman"/>
          <w:sz w:val="28"/>
          <w:szCs w:val="28"/>
          <w:shd w:val="clear" w:color="auto" w:fill="FFFFFF"/>
        </w:rPr>
        <w:t>Реваскуляризирующая</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rPr>
        <w:t>остеотрепанация и остеомиопластика в лечении критической ишемии нижних конечностей</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диссертаци</w:t>
      </w:r>
      <w:r w:rsidRPr="00C61473">
        <w:rPr>
          <w:rFonts w:ascii="Times New Roman" w:hAnsi="Times New Roman" w:cs="Times New Roman"/>
          <w:sz w:val="28"/>
          <w:szCs w:val="28"/>
          <w:lang w:val="uk-UA"/>
        </w:rPr>
        <w:t>я</w:t>
      </w:r>
      <w:r w:rsidRPr="00C61473">
        <w:rPr>
          <w:rFonts w:ascii="Times New Roman" w:hAnsi="Times New Roman" w:cs="Times New Roman"/>
          <w:sz w:val="28"/>
          <w:szCs w:val="28"/>
        </w:rPr>
        <w:t xml:space="preserve"> на соискание ученой степени кандидата медицинских наук</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Воронеж – 2007</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kern w:val="36"/>
          <w:sz w:val="28"/>
          <w:szCs w:val="28"/>
        </w:rPr>
        <w:t>Малотравматичный способ лечения больных с критической ишемией нижних конечностей</w:t>
      </w:r>
      <w:r w:rsidRPr="00C61473">
        <w:rPr>
          <w:rFonts w:ascii="Times New Roman" w:hAnsi="Times New Roman" w:cs="Times New Roman"/>
          <w:kern w:val="36"/>
          <w:sz w:val="28"/>
          <w:szCs w:val="28"/>
          <w:lang w:val="uk-UA"/>
        </w:rPr>
        <w:t xml:space="preserve"> / </w:t>
      </w:r>
      <w:r w:rsidRPr="00C61473">
        <w:rPr>
          <w:rFonts w:ascii="Times New Roman" w:hAnsi="Times New Roman" w:cs="Times New Roman"/>
          <w:sz w:val="28"/>
          <w:szCs w:val="28"/>
          <w:lang w:val="uk-UA"/>
        </w:rPr>
        <w:t>Б. С. Суковатых, А. И. Итинсон, В. В. Князев, К. С. Магомедалиева //Журнал Курский научно-практический вестник "Человек и его здоровье".</w:t>
      </w:r>
      <w:r w:rsidRPr="00C61473">
        <w:rPr>
          <w:rFonts w:ascii="Times New Roman" w:hAnsi="Times New Roman" w:cs="Times New Roman"/>
          <w:sz w:val="28"/>
          <w:szCs w:val="28"/>
          <w:lang w:val="uk-UA"/>
        </w:rPr>
        <w:softHyphen/>
        <w:t>2007.</w:t>
      </w:r>
      <w:r w:rsidRPr="00C61473">
        <w:rPr>
          <w:rFonts w:ascii="Times New Roman" w:hAnsi="Times New Roman" w:cs="Times New Roman"/>
          <w:sz w:val="28"/>
          <w:szCs w:val="28"/>
          <w:lang w:val="uk-UA"/>
        </w:rPr>
        <w:softHyphen/>
        <w:t>№ 1.</w:t>
      </w:r>
      <w:r w:rsidRPr="00C61473">
        <w:rPr>
          <w:rFonts w:ascii="Times New Roman" w:hAnsi="Times New Roman" w:cs="Times New Roman"/>
          <w:sz w:val="28"/>
          <w:szCs w:val="28"/>
          <w:lang w:val="uk-UA"/>
        </w:rPr>
        <w:softHyphen/>
        <w:t>С. 52-56</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rPr>
        <w:t>Матьоха О. П. Маркери запалення і стан імунної системи у хворих з синдромом діабетичної стопи при застосуванні урокінази / О.П. Матьоха, В. І. Ляховський, П. П. Сакевич, О. М. Безкоровайний, В.І. Ляховський, Ю. В. Мазанько // Клінічна хірургія. - 2006. - № 11/12. - С. 84-85.</w:t>
      </w:r>
    </w:p>
    <w:p w:rsidR="00F506C5" w:rsidRPr="00FC65F9"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bCs/>
          <w:sz w:val="28"/>
          <w:szCs w:val="28"/>
        </w:rPr>
        <w:t>Мишалов В.Г.</w:t>
      </w:r>
      <w:r w:rsidRPr="00C61473">
        <w:rPr>
          <w:rFonts w:ascii="Times New Roman" w:hAnsi="Times New Roman" w:cs="Times New Roman"/>
          <w:sz w:val="28"/>
          <w:szCs w:val="28"/>
        </w:rPr>
        <w:t xml:space="preserve"> Изучение патогенеза и моделирование хронической критической ишемии нижних конечностей в эксперименте. /</w:t>
      </w:r>
      <w:r w:rsidRPr="00C61473">
        <w:rPr>
          <w:rFonts w:ascii="Times New Roman" w:hAnsi="Times New Roman" w:cs="Times New Roman"/>
          <w:bCs/>
          <w:sz w:val="28"/>
          <w:szCs w:val="28"/>
        </w:rPr>
        <w:t xml:space="preserve"> В.Г. Мишалов, В.А. Черняк, И.М. Дабабсех //</w:t>
      </w:r>
      <w:r w:rsidRPr="00C61473">
        <w:rPr>
          <w:rFonts w:ascii="Times New Roman" w:hAnsi="Times New Roman" w:cs="Times New Roman"/>
          <w:sz w:val="28"/>
          <w:szCs w:val="28"/>
        </w:rPr>
        <w:t xml:space="preserve"> Серце і судини </w:t>
      </w:r>
      <w:r w:rsidRPr="00C61473">
        <w:rPr>
          <w:rFonts w:ascii="Times New Roman" w:hAnsi="Times New Roman" w:cs="Times New Roman"/>
          <w:sz w:val="28"/>
          <w:szCs w:val="28"/>
        </w:rPr>
        <w:noBreakHyphen/>
        <w:t>2005.</w:t>
      </w:r>
      <w:r w:rsidRPr="00C61473">
        <w:rPr>
          <w:rFonts w:ascii="Times New Roman" w:hAnsi="Times New Roman" w:cs="Times New Roman"/>
          <w:sz w:val="28"/>
          <w:szCs w:val="28"/>
        </w:rPr>
        <w:noBreakHyphen/>
        <w:t>№2.</w:t>
      </w:r>
      <w:r w:rsidRPr="00C61473">
        <w:rPr>
          <w:rFonts w:ascii="Times New Roman" w:hAnsi="Times New Roman" w:cs="Times New Roman"/>
          <w:sz w:val="28"/>
          <w:szCs w:val="28"/>
        </w:rPr>
        <w:noBreakHyphen/>
        <w:t>С.102–108.</w:t>
      </w:r>
    </w:p>
    <w:p w:rsidR="00F506C5" w:rsidRPr="00FC65F9"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FC65F9">
        <w:rPr>
          <w:rFonts w:ascii="Times New Roman" w:hAnsi="Times New Roman" w:cs="Times New Roman"/>
          <w:bCs/>
          <w:kern w:val="36"/>
          <w:sz w:val="28"/>
          <w:szCs w:val="28"/>
        </w:rPr>
        <w:t>Результати ендоваскулярного лікування критичної ішемії нижніхкінцівок у хворих на цукровий діабет</w:t>
      </w:r>
      <w:r w:rsidRPr="00FC65F9">
        <w:rPr>
          <w:rFonts w:ascii="Times New Roman" w:hAnsi="Times New Roman" w:cs="Times New Roman"/>
          <w:bCs/>
          <w:kern w:val="36"/>
          <w:sz w:val="28"/>
          <w:szCs w:val="28"/>
          <w:lang w:val="uk-UA"/>
        </w:rPr>
        <w:t xml:space="preserve"> </w:t>
      </w:r>
      <w:r w:rsidRPr="00FC65F9">
        <w:rPr>
          <w:rFonts w:ascii="Times New Roman" w:hAnsi="Times New Roman" w:cs="Times New Roman"/>
          <w:sz w:val="28"/>
          <w:szCs w:val="28"/>
        </w:rPr>
        <w:t>./ Р. П. Сакевич, Г. А. Оксак, Р. М. Рябушко, М. І. Кравців, В. І. Ляховський  //Світ медицини та біології.</w:t>
      </w:r>
      <w:r w:rsidRPr="00FC65F9">
        <w:rPr>
          <w:rFonts w:ascii="Times New Roman" w:hAnsi="Times New Roman" w:cs="Times New Roman"/>
          <w:sz w:val="28"/>
          <w:szCs w:val="28"/>
          <w:lang w:val="uk-UA"/>
        </w:rPr>
        <w:t xml:space="preserve"> </w:t>
      </w:r>
      <w:r w:rsidRPr="00FC65F9">
        <w:rPr>
          <w:rFonts w:ascii="Times New Roman" w:hAnsi="Times New Roman" w:cs="Times New Roman"/>
          <w:sz w:val="28"/>
          <w:szCs w:val="28"/>
        </w:rPr>
        <w:t>—</w:t>
      </w:r>
      <w:r w:rsidRPr="00FC65F9">
        <w:rPr>
          <w:rFonts w:ascii="Times New Roman" w:hAnsi="Times New Roman" w:cs="Times New Roman"/>
          <w:sz w:val="28"/>
          <w:szCs w:val="28"/>
          <w:lang w:val="uk-UA"/>
        </w:rPr>
        <w:t xml:space="preserve"> 2</w:t>
      </w:r>
      <w:r w:rsidRPr="00FC65F9">
        <w:rPr>
          <w:rFonts w:ascii="Times New Roman" w:hAnsi="Times New Roman" w:cs="Times New Roman"/>
          <w:sz w:val="28"/>
          <w:szCs w:val="28"/>
        </w:rPr>
        <w:t>017.</w:t>
      </w:r>
      <w:r w:rsidRPr="00FC65F9">
        <w:rPr>
          <w:rFonts w:ascii="Times New Roman" w:hAnsi="Times New Roman" w:cs="Times New Roman"/>
          <w:sz w:val="28"/>
          <w:szCs w:val="28"/>
          <w:lang w:val="uk-UA"/>
        </w:rPr>
        <w:t xml:space="preserve"> </w:t>
      </w:r>
      <w:r w:rsidRPr="00FC65F9">
        <w:rPr>
          <w:rFonts w:ascii="Times New Roman" w:hAnsi="Times New Roman" w:cs="Times New Roman"/>
          <w:sz w:val="28"/>
          <w:szCs w:val="28"/>
        </w:rPr>
        <w:t xml:space="preserve">—№ 2(60)– С. </w:t>
      </w:r>
      <w:r w:rsidRPr="00FC65F9">
        <w:rPr>
          <w:rFonts w:ascii="Times New Roman" w:hAnsi="Times New Roman" w:cs="Times New Roman"/>
          <w:sz w:val="28"/>
          <w:szCs w:val="28"/>
          <w:lang w:val="uk-UA"/>
        </w:rPr>
        <w:t>110 -113</w:t>
      </w:r>
      <w:r w:rsidRPr="00FC65F9">
        <w:rPr>
          <w:rFonts w:ascii="Times New Roman" w:hAnsi="Times New Roman" w:cs="Times New Roman"/>
          <w:sz w:val="28"/>
          <w:szCs w:val="28"/>
        </w:rPr>
        <w:t>.</w:t>
      </w:r>
      <w:r w:rsidRPr="00FC65F9">
        <w:rPr>
          <w:color w:val="FF0000"/>
          <w:sz w:val="28"/>
          <w:szCs w:val="28"/>
        </w:rPr>
        <w:t xml:space="preserve"> </w:t>
      </w:r>
    </w:p>
    <w:p w:rsidR="00F506C5" w:rsidRPr="00932174"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932174">
        <w:rPr>
          <w:rFonts w:ascii="Times New Roman" w:hAnsi="Times New Roman" w:cs="Times New Roman"/>
          <w:sz w:val="28"/>
          <w:szCs w:val="28"/>
        </w:rPr>
        <w:t>Рунион Р. Справочник по непараметрической статистике: Современный подход. /Пер. с англ. Е.З. Демиденко. – М.: Финансы и статистика, 1982. – 198 с.</w:t>
      </w:r>
    </w:p>
    <w:p w:rsidR="00F506C5" w:rsidRPr="007738BB" w:rsidRDefault="00F506C5" w:rsidP="00B43186">
      <w:pPr>
        <w:pStyle w:val="ad"/>
        <w:numPr>
          <w:ilvl w:val="0"/>
          <w:numId w:val="1"/>
        </w:numPr>
        <w:spacing w:after="0" w:line="360" w:lineRule="auto"/>
        <w:ind w:left="-567" w:firstLine="567"/>
        <w:jc w:val="both"/>
        <w:outlineLvl w:val="0"/>
        <w:rPr>
          <w:rFonts w:ascii="Times New Roman" w:hAnsi="Times New Roman" w:cs="Times New Roman"/>
          <w:bCs/>
          <w:kern w:val="36"/>
          <w:sz w:val="28"/>
          <w:szCs w:val="28"/>
        </w:rPr>
      </w:pPr>
      <w:r w:rsidRPr="007738BB">
        <w:rPr>
          <w:rFonts w:ascii="Times New Roman" w:hAnsi="Times New Roman" w:cs="Times New Roman"/>
          <w:sz w:val="28"/>
          <w:szCs w:val="28"/>
        </w:rPr>
        <w:lastRenderedPageBreak/>
        <w:t>Панкратова, М.А. Окислительный стресс у больных сахарным диабетом типа 2 с различной длительностью заболевания и разной степенью компенсации углеводного обмена./ М.А. Панкратова, С.В. Пирожков, М.И. Балаболкин, П.Ф. Литвицкий //Сахарный диабет. – 2006 – № 2. – С. 12—15.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 xml:space="preserve">Патогенетические аспекты операции реваскуляризирующей остеотрепанации / А.В.Образцов, Е.П. Кохан, И.К. Заварина и др. // Ангиология и сосудистая хирургия.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lang w:val="uk-UA"/>
        </w:rPr>
        <w:t xml:space="preserve"> 2000.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lang w:val="uk-UA"/>
        </w:rPr>
        <w:t xml:space="preserve"> № 1.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lang w:val="uk-UA"/>
        </w:rPr>
        <w:t>С. 18-21.]</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Пашков Д.В. Экспериментальное обоснование нового способа фармакологической и хирургической коррекции хронической ишемии конечностей /Дис. … канд. мед.наук// Курск.- 2007.- 138 с</w:t>
      </w:r>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bookmarkStart w:id="6" w:name="_Ref338182262"/>
      <w:r w:rsidRPr="00C61473">
        <w:rPr>
          <w:rFonts w:ascii="Times New Roman" w:hAnsi="Times New Roman" w:cs="Times New Roman"/>
          <w:sz w:val="28"/>
          <w:szCs w:val="28"/>
        </w:rPr>
        <w:t>Петрищев Н.Н. Дисфункция эндотелия. Причины, механизмы, фармакологическая коррекция / под ред. Н. Н. Петрищева. – СПб: СПб ГМУ, 2003. – 184 с.</w:t>
      </w:r>
      <w:bookmarkEnd w:id="6"/>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61473">
        <w:rPr>
          <w:rFonts w:ascii="Times New Roman" w:hAnsi="Times New Roman" w:cs="Times New Roman"/>
          <w:sz w:val="28"/>
          <w:szCs w:val="28"/>
        </w:rPr>
        <w:t>Петрищев Н.Н. Физиология и патофизиология эндотелия / Н.Н. Петрищев, Т.Д. Власов // Дисфункция эндотелия / СПб ГМУ. – СПб, 2003. – С. – 438.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 xml:space="preserve">Покровский </w:t>
      </w:r>
      <w:r w:rsidRPr="00C61473">
        <w:rPr>
          <w:rFonts w:ascii="Times New Roman" w:hAnsi="Times New Roman" w:cs="Times New Roman"/>
          <w:sz w:val="28"/>
          <w:szCs w:val="28"/>
          <w:lang w:val="en-US"/>
        </w:rPr>
        <w:t>A</w:t>
      </w:r>
      <w:r w:rsidRPr="00C61473">
        <w:rPr>
          <w:rFonts w:ascii="Times New Roman" w:hAnsi="Times New Roman" w:cs="Times New Roman"/>
          <w:sz w:val="28"/>
          <w:szCs w:val="28"/>
        </w:rPr>
        <w:t>.</w:t>
      </w:r>
      <w:r w:rsidRPr="00C61473">
        <w:rPr>
          <w:rFonts w:ascii="Times New Roman" w:hAnsi="Times New Roman" w:cs="Times New Roman"/>
          <w:sz w:val="28"/>
          <w:szCs w:val="28"/>
          <w:lang w:val="en-US"/>
        </w:rPr>
        <w:t>B</w:t>
      </w:r>
      <w:r w:rsidRPr="00C61473">
        <w:rPr>
          <w:rFonts w:ascii="Times New Roman" w:hAnsi="Times New Roman" w:cs="Times New Roman"/>
          <w:sz w:val="28"/>
          <w:szCs w:val="28"/>
        </w:rPr>
        <w:t>. Диагностика и лечение пациентов с критической ишемией нижних конечностей / А.В. Покровский. – М., 2002.</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bCs/>
          <w:sz w:val="28"/>
          <w:szCs w:val="28"/>
          <w:lang w:val="uk-UA"/>
        </w:rPr>
        <w:t>Поляченко Ю.В.</w:t>
      </w:r>
      <w:r w:rsidRPr="00C61473">
        <w:rPr>
          <w:rFonts w:ascii="Times New Roman" w:hAnsi="Times New Roman" w:cs="Times New Roman"/>
          <w:sz w:val="28"/>
          <w:szCs w:val="28"/>
          <w:lang w:val="uk-UA"/>
        </w:rPr>
        <w:t xml:space="preserve"> Гістологічна структура м’язової тканини та імуногістохімічна характеристика ангіогенезу після трансплантації аспірату кісткового мозку та гемопоетичних стовбурових клітин фетальної печінки за умов експериментальної ішемії./</w:t>
      </w:r>
      <w:r w:rsidRPr="00C61473">
        <w:rPr>
          <w:rFonts w:ascii="Times New Roman" w:hAnsi="Times New Roman" w:cs="Times New Roman"/>
          <w:bCs/>
          <w:sz w:val="28"/>
          <w:szCs w:val="28"/>
          <w:lang w:val="uk-UA"/>
        </w:rPr>
        <w:t xml:space="preserve"> Ю.В.</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Поляченко, Р.В.</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Салютін, Д.Б.</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Домбровський</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 xml:space="preserve"> //</w:t>
      </w:r>
      <w:r w:rsidRPr="00C61473">
        <w:rPr>
          <w:rFonts w:ascii="Times New Roman" w:hAnsi="Times New Roman" w:cs="Times New Roman"/>
          <w:sz w:val="28"/>
          <w:szCs w:val="28"/>
          <w:lang w:val="uk-UA"/>
        </w:rPr>
        <w:t xml:space="preserve"> Український медичний альманах </w:t>
      </w:r>
      <w:r w:rsidRPr="00C61473">
        <w:rPr>
          <w:rFonts w:ascii="Times New Roman" w:hAnsi="Times New Roman" w:cs="Times New Roman"/>
          <w:sz w:val="28"/>
          <w:szCs w:val="28"/>
          <w:lang w:val="uk-UA"/>
        </w:rPr>
        <w:softHyphen/>
        <w:t>2010</w:t>
      </w:r>
      <w:r w:rsidRPr="00C61473">
        <w:rPr>
          <w:rFonts w:ascii="Times New Roman" w:hAnsi="Times New Roman" w:cs="Times New Roman"/>
          <w:sz w:val="28"/>
          <w:szCs w:val="28"/>
          <w:lang w:val="uk-UA"/>
        </w:rPr>
        <w:softHyphen/>
        <w:t>№3(13).</w:t>
      </w:r>
      <w:r w:rsidRPr="00C61473">
        <w:rPr>
          <w:rFonts w:ascii="Times New Roman" w:hAnsi="Times New Roman" w:cs="Times New Roman"/>
          <w:sz w:val="28"/>
          <w:szCs w:val="28"/>
          <w:lang w:val="uk-UA"/>
        </w:rPr>
        <w:softHyphen/>
        <w:t xml:space="preserve"> С.</w:t>
      </w:r>
      <w:r w:rsidRPr="00C61473">
        <w:rPr>
          <w:rFonts w:ascii="Times New Roman" w:hAnsi="Times New Roman" w:cs="Times New Roman"/>
          <w:bCs/>
          <w:sz w:val="28"/>
          <w:szCs w:val="28"/>
        </w:rPr>
        <w:t> </w:t>
      </w:r>
      <w:r w:rsidRPr="00C61473">
        <w:rPr>
          <w:rFonts w:ascii="Times New Roman" w:hAnsi="Times New Roman" w:cs="Times New Roman"/>
          <w:sz w:val="28"/>
          <w:szCs w:val="28"/>
          <w:lang w:val="uk-UA"/>
        </w:rPr>
        <w:t>150–153.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bCs/>
          <w:sz w:val="28"/>
          <w:szCs w:val="28"/>
          <w:lang w:val="uk-UA"/>
        </w:rPr>
        <w:t>Поляченко Ю.В.</w:t>
      </w:r>
      <w:r w:rsidRPr="00C61473">
        <w:rPr>
          <w:rFonts w:ascii="Times New Roman" w:hAnsi="Times New Roman" w:cs="Times New Roman"/>
          <w:sz w:val="28"/>
          <w:szCs w:val="28"/>
          <w:lang w:val="uk-UA"/>
        </w:rPr>
        <w:t xml:space="preserve"> Стан ендотеліоцитів судин у хворих із хронічною ішемією кінцівок після трансплантації мультипотентних стромальних клітин жирової тканини./</w:t>
      </w:r>
      <w:r w:rsidRPr="00C61473">
        <w:rPr>
          <w:rFonts w:ascii="Times New Roman" w:hAnsi="Times New Roman" w:cs="Times New Roman"/>
          <w:bCs/>
          <w:sz w:val="28"/>
          <w:szCs w:val="28"/>
          <w:lang w:val="uk-UA"/>
        </w:rPr>
        <w:t xml:space="preserve"> Ю.В. Поляченко, М.Ф. Дрюк, Д.Б.</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 xml:space="preserve"> Домбровський</w:t>
      </w:r>
      <w:r>
        <w:rPr>
          <w:rFonts w:ascii="Times New Roman" w:hAnsi="Times New Roman" w:cs="Times New Roman"/>
          <w:bCs/>
          <w:sz w:val="28"/>
          <w:szCs w:val="28"/>
          <w:lang w:val="uk-UA"/>
        </w:rPr>
        <w:t xml:space="preserve"> </w:t>
      </w:r>
      <w:r w:rsidRPr="00C6147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t>Український медичний альманах.</w:t>
      </w:r>
      <w:r w:rsidRPr="00C61473">
        <w:rPr>
          <w:rFonts w:ascii="Times New Roman" w:hAnsi="Times New Roman" w:cs="Times New Roman"/>
          <w:sz w:val="28"/>
          <w:szCs w:val="28"/>
          <w:lang w:val="uk-UA"/>
        </w:rPr>
        <w:noBreakHyphen/>
        <w:t xml:space="preserve"> 2010 </w:t>
      </w:r>
      <w:r w:rsidRPr="00C61473">
        <w:rPr>
          <w:rFonts w:ascii="Times New Roman" w:hAnsi="Times New Roman" w:cs="Times New Roman"/>
          <w:sz w:val="28"/>
          <w:szCs w:val="28"/>
          <w:lang w:val="uk-UA"/>
        </w:rPr>
        <w:softHyphen/>
        <w:t>№3 (13).</w:t>
      </w:r>
      <w:r w:rsidRPr="00C61473">
        <w:rPr>
          <w:rFonts w:ascii="Times New Roman" w:hAnsi="Times New Roman" w:cs="Times New Roman"/>
          <w:sz w:val="28"/>
          <w:szCs w:val="28"/>
          <w:lang w:val="uk-UA"/>
        </w:rPr>
        <w:softHyphen/>
        <w:t>С.150–154.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bCs/>
          <w:sz w:val="28"/>
          <w:szCs w:val="28"/>
          <w:lang w:val="uk-UA"/>
        </w:rPr>
        <w:t>Поляченко Ю.В.,</w:t>
      </w:r>
      <w:r w:rsidRPr="00C61473">
        <w:rPr>
          <w:rFonts w:ascii="Times New Roman" w:hAnsi="Times New Roman" w:cs="Times New Roman"/>
          <w:sz w:val="28"/>
          <w:szCs w:val="28"/>
          <w:lang w:val="uk-UA"/>
        </w:rPr>
        <w:t xml:space="preserve"> Трансплантація мультипотентних стромальних клітин жирової тканини в лікуванні хронічної ішемії кінцівок./</w:t>
      </w:r>
      <w:r w:rsidRPr="00C61473">
        <w:rPr>
          <w:rFonts w:ascii="Times New Roman" w:hAnsi="Times New Roman" w:cs="Times New Roman"/>
          <w:bCs/>
          <w:sz w:val="28"/>
          <w:szCs w:val="28"/>
          <w:lang w:val="uk-UA"/>
        </w:rPr>
        <w:t xml:space="preserve"> </w:t>
      </w:r>
      <w:r w:rsidRPr="00C61473">
        <w:rPr>
          <w:rFonts w:ascii="Times New Roman" w:hAnsi="Times New Roman" w:cs="Times New Roman"/>
          <w:bCs/>
          <w:sz w:val="28"/>
          <w:szCs w:val="28"/>
        </w:rPr>
        <w:t>Ю.В.</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rPr>
        <w:t xml:space="preserve">Поляченко, </w:t>
      </w:r>
      <w:r w:rsidRPr="00C61473">
        <w:rPr>
          <w:rFonts w:ascii="Times New Roman" w:hAnsi="Times New Roman" w:cs="Times New Roman"/>
          <w:bCs/>
          <w:sz w:val="28"/>
          <w:szCs w:val="28"/>
        </w:rPr>
        <w:lastRenderedPageBreak/>
        <w:t>Д.Б</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rPr>
        <w:t>Домбровський, С.І. Мартиненко</w:t>
      </w:r>
      <w:r w:rsidRPr="00C61473">
        <w:rPr>
          <w:rFonts w:ascii="Times New Roman" w:hAnsi="Times New Roman" w:cs="Times New Roman"/>
          <w:bCs/>
          <w:sz w:val="28"/>
          <w:szCs w:val="28"/>
          <w:lang w:val="uk-UA"/>
        </w:rPr>
        <w:t>//</w:t>
      </w:r>
      <w:r w:rsidRPr="00C61473">
        <w:rPr>
          <w:rFonts w:ascii="Times New Roman" w:hAnsi="Times New Roman" w:cs="Times New Roman"/>
          <w:sz w:val="28"/>
          <w:szCs w:val="28"/>
        </w:rPr>
        <w:t xml:space="preserve"> Вестн</w:t>
      </w:r>
      <w:r w:rsidRPr="00C61473">
        <w:rPr>
          <w:rFonts w:ascii="Times New Roman" w:hAnsi="Times New Roman" w:cs="Times New Roman"/>
          <w:sz w:val="28"/>
          <w:szCs w:val="28"/>
          <w:lang w:val="uk-UA"/>
        </w:rPr>
        <w:t>ик</w:t>
      </w:r>
      <w:r w:rsidRPr="00C61473">
        <w:rPr>
          <w:rFonts w:ascii="Times New Roman" w:hAnsi="Times New Roman" w:cs="Times New Roman"/>
          <w:sz w:val="28"/>
          <w:szCs w:val="28"/>
        </w:rPr>
        <w:t xml:space="preserve"> неотло</w:t>
      </w:r>
      <w:r w:rsidRPr="00C61473">
        <w:rPr>
          <w:rFonts w:ascii="Times New Roman" w:hAnsi="Times New Roman" w:cs="Times New Roman"/>
          <w:sz w:val="28"/>
          <w:szCs w:val="28"/>
          <w:lang w:val="uk-UA"/>
        </w:rPr>
        <w:t>жной</w:t>
      </w:r>
      <w:r w:rsidRPr="00C61473">
        <w:rPr>
          <w:rFonts w:ascii="Times New Roman" w:hAnsi="Times New Roman" w:cs="Times New Roman"/>
          <w:sz w:val="28"/>
          <w:szCs w:val="28"/>
        </w:rPr>
        <w:t xml:space="preserve"> 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восстанов</w:t>
      </w:r>
      <w:r w:rsidRPr="00C61473">
        <w:rPr>
          <w:rFonts w:ascii="Times New Roman" w:hAnsi="Times New Roman" w:cs="Times New Roman"/>
          <w:sz w:val="28"/>
          <w:szCs w:val="28"/>
          <w:lang w:val="uk-UA"/>
        </w:rPr>
        <w:t>ительной</w:t>
      </w:r>
      <w:r w:rsidRPr="00C61473">
        <w:rPr>
          <w:rFonts w:ascii="Times New Roman" w:hAnsi="Times New Roman" w:cs="Times New Roman"/>
          <w:sz w:val="28"/>
          <w:szCs w:val="28"/>
        </w:rPr>
        <w:t xml:space="preserve"> медицины</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 xml:space="preserve"> 2010</w:t>
      </w:r>
      <w:r w:rsidRPr="00C61473">
        <w:rPr>
          <w:rFonts w:ascii="Times New Roman" w:hAnsi="Times New Roman" w:cs="Times New Roman"/>
          <w:sz w:val="28"/>
          <w:szCs w:val="28"/>
          <w:lang w:val="uk-UA"/>
        </w:rPr>
        <w:noBreakHyphen/>
        <w:t>№ 4 (11).</w:t>
      </w:r>
      <w:r w:rsidRPr="00C61473">
        <w:rPr>
          <w:rFonts w:ascii="Times New Roman" w:hAnsi="Times New Roman" w:cs="Times New Roman"/>
          <w:sz w:val="28"/>
          <w:szCs w:val="28"/>
          <w:lang w:val="uk-UA"/>
        </w:rPr>
        <w:noBreakHyphen/>
        <w:t xml:space="preserve"> С. 489–494.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Поляченко Ю. В. Трансплантація мультипотентних стромальних клітин жирової тканини, як метод клітинної стимуляції ангіогенезу у хворих на хронічну ішемію кінцівок / Ю. В. Поляченко, М. Ф. Дрюк, Д. Б. Домбровський // Український морфологічний альманах. - 2010. - Т. 8, № 2. - С. 152-155.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bCs/>
          <w:sz w:val="28"/>
          <w:szCs w:val="28"/>
          <w:lang w:val="uk-UA"/>
        </w:rPr>
        <w:t>Поляченко</w:t>
      </w:r>
      <w:r w:rsidRPr="00C61473">
        <w:rPr>
          <w:rFonts w:ascii="Times New Roman" w:hAnsi="Times New Roman" w:cs="Times New Roman"/>
          <w:bCs/>
          <w:sz w:val="28"/>
          <w:szCs w:val="28"/>
          <w:lang w:val="en-US"/>
        </w:rPr>
        <w:t> </w:t>
      </w:r>
      <w:r w:rsidRPr="00C61473">
        <w:rPr>
          <w:rFonts w:ascii="Times New Roman" w:hAnsi="Times New Roman" w:cs="Times New Roman"/>
          <w:bCs/>
          <w:sz w:val="28"/>
          <w:szCs w:val="28"/>
          <w:lang w:val="uk-UA"/>
        </w:rPr>
        <w:t>Ю.</w:t>
      </w:r>
      <w:r w:rsidRPr="00C61473">
        <w:rPr>
          <w:rFonts w:ascii="Times New Roman" w:hAnsi="Times New Roman" w:cs="Times New Roman"/>
          <w:bCs/>
          <w:sz w:val="28"/>
          <w:szCs w:val="28"/>
          <w:lang w:val="en-US"/>
        </w:rPr>
        <w:t> </w:t>
      </w:r>
      <w:r w:rsidRPr="00C61473">
        <w:rPr>
          <w:rFonts w:ascii="Times New Roman" w:hAnsi="Times New Roman" w:cs="Times New Roman"/>
          <w:bCs/>
          <w:sz w:val="28"/>
          <w:szCs w:val="28"/>
          <w:lang w:val="uk-UA"/>
        </w:rPr>
        <w:t xml:space="preserve">В. </w:t>
      </w:r>
      <w:r w:rsidRPr="00C61473">
        <w:rPr>
          <w:rFonts w:ascii="Times New Roman" w:hAnsi="Times New Roman" w:cs="Times New Roman"/>
          <w:sz w:val="28"/>
          <w:szCs w:val="28"/>
          <w:lang w:val="uk-UA"/>
        </w:rPr>
        <w:t>Ультраструктурні зміни ендотеліоцитів капілярів м’язової тканини у хворих з хронічною ішемією кінцівок після трансплантації прогеніторних клітин фетальної печінки /</w:t>
      </w:r>
      <w:r w:rsidRPr="00C61473">
        <w:rPr>
          <w:rFonts w:ascii="Times New Roman" w:hAnsi="Times New Roman" w:cs="Times New Roman"/>
          <w:sz w:val="28"/>
          <w:szCs w:val="28"/>
          <w:lang w:val="en-US"/>
        </w:rPr>
        <w:t> </w:t>
      </w:r>
      <w:r w:rsidRPr="00C61473">
        <w:rPr>
          <w:rFonts w:ascii="Times New Roman" w:hAnsi="Times New Roman" w:cs="Times New Roman"/>
          <w:bCs/>
          <w:sz w:val="28"/>
          <w:szCs w:val="28"/>
          <w:lang w:val="uk-UA"/>
        </w:rPr>
        <w:t>Ю.</w:t>
      </w:r>
      <w:r w:rsidRPr="00C61473">
        <w:rPr>
          <w:rFonts w:ascii="Times New Roman" w:hAnsi="Times New Roman" w:cs="Times New Roman"/>
          <w:bCs/>
          <w:sz w:val="28"/>
          <w:szCs w:val="28"/>
          <w:lang w:val="en-US"/>
        </w:rPr>
        <w:t> </w:t>
      </w:r>
      <w:r w:rsidRPr="00C61473">
        <w:rPr>
          <w:rFonts w:ascii="Times New Roman" w:hAnsi="Times New Roman" w:cs="Times New Roman"/>
          <w:bCs/>
          <w:sz w:val="28"/>
          <w:szCs w:val="28"/>
          <w:lang w:val="uk-UA"/>
        </w:rPr>
        <w:t>В.</w:t>
      </w:r>
      <w:r w:rsidRPr="00C61473">
        <w:rPr>
          <w:rFonts w:ascii="Times New Roman" w:hAnsi="Times New Roman" w:cs="Times New Roman"/>
          <w:bCs/>
          <w:sz w:val="28"/>
          <w:szCs w:val="28"/>
          <w:lang w:val="en-US"/>
        </w:rPr>
        <w:t> </w:t>
      </w:r>
      <w:r w:rsidRPr="00C61473">
        <w:rPr>
          <w:rFonts w:ascii="Times New Roman" w:hAnsi="Times New Roman" w:cs="Times New Roman"/>
          <w:bCs/>
          <w:sz w:val="28"/>
          <w:szCs w:val="28"/>
          <w:lang w:val="uk-UA"/>
        </w:rPr>
        <w:t>Поляченко, Р.</w:t>
      </w:r>
      <w:r w:rsidRPr="00C61473">
        <w:rPr>
          <w:rFonts w:ascii="Times New Roman" w:hAnsi="Times New Roman" w:cs="Times New Roman"/>
          <w:bCs/>
          <w:sz w:val="28"/>
          <w:szCs w:val="28"/>
          <w:lang w:val="en-US"/>
        </w:rPr>
        <w:t> </w:t>
      </w:r>
      <w:r w:rsidRPr="00C61473">
        <w:rPr>
          <w:rFonts w:ascii="Times New Roman" w:hAnsi="Times New Roman" w:cs="Times New Roman"/>
          <w:bCs/>
          <w:sz w:val="28"/>
          <w:szCs w:val="28"/>
          <w:lang w:val="uk-UA"/>
        </w:rPr>
        <w:t>В.</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 xml:space="preserve"> Салютін</w:t>
      </w:r>
      <w:r w:rsidRPr="00C61473">
        <w:rPr>
          <w:rFonts w:ascii="Times New Roman" w:hAnsi="Times New Roman" w:cs="Times New Roman"/>
          <w:sz w:val="28"/>
          <w:szCs w:val="28"/>
          <w:lang w:val="uk-UA"/>
        </w:rPr>
        <w:t>// Клінічна хірургія. –2011. –№ 6. – С. 41–45.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rPr>
        <w:t>Предшественники эндотелиальных клеток 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дисфункция эндотелия у</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больных ишемической болезнью сердца и</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rPr>
        <w:t xml:space="preserve">сопутствующим сахарным диабетом. </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rPr>
        <w:t>М.М. Руда, Т.И. Арефьева, О.Н. Выборов и др</w:t>
      </w:r>
      <w:r w:rsidRPr="00C61473">
        <w:rPr>
          <w:rFonts w:ascii="Times New Roman" w:hAnsi="Times New Roman" w:cs="Times New Roman"/>
          <w:sz w:val="28"/>
          <w:szCs w:val="28"/>
        </w:rPr>
        <w:t xml:space="preserve"> </w:t>
      </w:r>
      <w:r w:rsidRPr="00C61473">
        <w:rPr>
          <w:rFonts w:ascii="Times New Roman" w:hAnsi="Times New Roman" w:cs="Times New Roman"/>
          <w:sz w:val="28"/>
          <w:szCs w:val="28"/>
          <w:lang w:val="uk-UA"/>
        </w:rPr>
        <w:t>//</w:t>
      </w:r>
      <w:r w:rsidRPr="00C61473">
        <w:rPr>
          <w:rFonts w:ascii="Times New Roman" w:hAnsi="Times New Roman" w:cs="Times New Roman"/>
          <w:sz w:val="28"/>
          <w:szCs w:val="28"/>
        </w:rPr>
        <w:t>Нефрология</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rPr>
        <w:t xml:space="preserve"> 2007</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rPr>
        <w:t>1</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С.</w:t>
      </w:r>
      <w:r w:rsidRPr="00C61473">
        <w:rPr>
          <w:rFonts w:ascii="Times New Roman" w:hAnsi="Times New Roman" w:cs="Times New Roman"/>
          <w:sz w:val="28"/>
          <w:szCs w:val="28"/>
        </w:rPr>
        <w:t>53–60.</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Савельев В.С.Критическая ишемия нижних конечностей / В.С. Савельев, В.М. Кошкин//– М., 1997. - 170 с.</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Сапун А. Л. Значення індивідуальних особливостей хірургічної анатомії вузлів симпатичного стовбура при виконанні поперекової симпатектомії / А. Л. Сапун, В. І. Ляховський // Клінічна хірургія. - 2006. - № 4-5. - С. 75</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Северина А.С. Система ангиогенеза в норме и при сахарном диабете./ А.С. Северина, М.В. Шестакова.// Сахарный диабет. – 2004. –№ 4. – С. 38.</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bCs/>
          <w:sz w:val="28"/>
          <w:szCs w:val="28"/>
        </w:rPr>
        <w:t>Смолянинов А.Б.</w:t>
      </w:r>
      <w:r w:rsidRPr="00C61473">
        <w:rPr>
          <w:rFonts w:ascii="Times New Roman" w:hAnsi="Times New Roman" w:cs="Times New Roman"/>
          <w:sz w:val="28"/>
          <w:szCs w:val="28"/>
        </w:rPr>
        <w:t xml:space="preserve"> Клеточные технологии в лечении терминальной стадии хронической ишемии нижних конечностей./</w:t>
      </w:r>
      <w:r w:rsidRPr="00C61473">
        <w:rPr>
          <w:rFonts w:ascii="Times New Roman" w:hAnsi="Times New Roman" w:cs="Times New Roman"/>
          <w:bCs/>
          <w:sz w:val="28"/>
          <w:szCs w:val="28"/>
        </w:rPr>
        <w:t xml:space="preserve"> А.Б. Смолянинов, Е.В. Пыхтин, Д.В. Булгин, М. Томонага.//</w:t>
      </w:r>
      <w:r w:rsidRPr="00C61473">
        <w:rPr>
          <w:rFonts w:ascii="Times New Roman" w:hAnsi="Times New Roman" w:cs="Times New Roman"/>
          <w:sz w:val="28"/>
          <w:szCs w:val="28"/>
        </w:rPr>
        <w:t xml:space="preserve"> Клеточная транспланталогия и тканевая инженерия.</w:t>
      </w:r>
      <w:r w:rsidRPr="00C61473">
        <w:rPr>
          <w:rFonts w:ascii="Times New Roman" w:hAnsi="Times New Roman" w:cs="Times New Roman"/>
          <w:sz w:val="28"/>
          <w:szCs w:val="28"/>
        </w:rPr>
        <w:noBreakHyphen/>
        <w:t xml:space="preserve"> 2007.</w:t>
      </w:r>
      <w:r w:rsidRPr="00C61473">
        <w:rPr>
          <w:rFonts w:ascii="Times New Roman" w:hAnsi="Times New Roman" w:cs="Times New Roman"/>
          <w:sz w:val="28"/>
          <w:szCs w:val="28"/>
        </w:rPr>
        <w:noBreakHyphen/>
        <w:t>№3(ІІ).</w:t>
      </w:r>
      <w:r w:rsidRPr="00C61473">
        <w:rPr>
          <w:rFonts w:ascii="Times New Roman" w:hAnsi="Times New Roman" w:cs="Times New Roman"/>
          <w:sz w:val="28"/>
          <w:szCs w:val="28"/>
        </w:rPr>
        <w:noBreakHyphen/>
        <w:t>С.40–46.</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 xml:space="preserve">Смолянинов А.Б. Современные биотехнологические центры клеточных и генных технологий и банки стволовых клеток // Технология чистоты. </w:t>
      </w:r>
      <w:r w:rsidRPr="00C61473">
        <w:rPr>
          <w:rFonts w:ascii="Times New Roman" w:hAnsi="Times New Roman" w:cs="Times New Roman"/>
          <w:sz w:val="28"/>
          <w:szCs w:val="28"/>
        </w:rPr>
        <w:noBreakHyphen/>
        <w:t>2006. - № 1,– С.4-5.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rPr>
        <w:t>Смолянинов А.Б. и соавт. Основы клеточной и генной терапии сердечно-сосудистых заболеваний. - М., 2005. - 192 с.</w:t>
      </w:r>
      <w:r w:rsidRPr="00C61473">
        <w:rPr>
          <w:rFonts w:ascii="Times New Roman" w:hAnsi="Times New Roman" w:cs="Times New Roman"/>
          <w:sz w:val="28"/>
          <w:szCs w:val="28"/>
          <w:shd w:val="clear" w:color="auto" w:fill="FFFFFF"/>
          <w:lang w:val="uk-UA"/>
        </w:rPr>
        <w:t xml:space="preserve"> </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uk-UA"/>
        </w:rPr>
        <w:lastRenderedPageBreak/>
        <w:t>Сравнительный анализ отдаленных результатов транслюминальной баллонной ангиопластики при лечении критической ишемии нижних конечностей в группах больных с сахарным диабетом и без сахарного диабета / М. Ю. Капутин, Д. В. Овчаренко, С. А. Платонов, С. П. Чистяков // Ангиология и сосудистая хирургия. — 2010. — № 3. — С. 41–46</w:t>
      </w:r>
    </w:p>
    <w:p w:rsidR="00F506C5" w:rsidRPr="00C61473"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rPr>
      </w:pPr>
      <w:r w:rsidRPr="00C61473">
        <w:rPr>
          <w:rFonts w:ascii="Times New Roman" w:hAnsi="Times New Roman" w:cs="Times New Roman"/>
          <w:sz w:val="28"/>
          <w:szCs w:val="28"/>
        </w:rPr>
        <w:t>Типовые формы дисфункции эндотелия / Н.Н. Петрищев, Л.В. Васина, Т.Д. Власов, Н.А. Гавришева, М.А. Меншутина // Клинико – лабораторный консилиум. – 2007. – № 18. – С. 31-35.</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rPr>
        <w:t>Титов В.Н. Анатомические и функциональные основы эндотелий-зависимой вазодилатации, оксид азота и эндотелин. / В.Н. Титов // Российский кардиологический журнал. – 2008. – № 1. – С. 71 – 85.</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lang w:val="uk-UA"/>
        </w:rPr>
        <w:t>Трансплантація прогеніторних клітин фетальної печінки як метод непрямої реваскуляризації у хворих з хронічною ішемією кінцівки / </w:t>
      </w:r>
      <w:r w:rsidRPr="00C61473">
        <w:rPr>
          <w:rFonts w:ascii="Times New Roman" w:hAnsi="Times New Roman" w:cs="Times New Roman"/>
          <w:bCs/>
          <w:sz w:val="28"/>
          <w:szCs w:val="28"/>
          <w:lang w:val="uk-UA"/>
        </w:rPr>
        <w:t>Ю. В. Поляченко, Р. В. Салютін, С. І. Мартиненко, С. С.</w:t>
      </w:r>
      <w:r w:rsidRPr="00C61473">
        <w:rPr>
          <w:rFonts w:ascii="Times New Roman" w:hAnsi="Times New Roman" w:cs="Times New Roman"/>
          <w:bCs/>
          <w:sz w:val="28"/>
          <w:szCs w:val="28"/>
        </w:rPr>
        <w:t> </w:t>
      </w:r>
      <w:r w:rsidRPr="00C61473">
        <w:rPr>
          <w:rFonts w:ascii="Times New Roman" w:hAnsi="Times New Roman" w:cs="Times New Roman"/>
          <w:bCs/>
          <w:sz w:val="28"/>
          <w:szCs w:val="28"/>
          <w:lang w:val="uk-UA"/>
        </w:rPr>
        <w:t>Паляниця</w:t>
      </w:r>
      <w:r w:rsidRPr="00C61473">
        <w:rPr>
          <w:rFonts w:ascii="Times New Roman" w:hAnsi="Times New Roman" w:cs="Times New Roman"/>
          <w:sz w:val="28"/>
          <w:szCs w:val="28"/>
          <w:lang w:val="uk-UA"/>
        </w:rPr>
        <w:t>// Вестник неотложной и восстановительной медицины. –2010. – № 4(11). – С.</w:t>
      </w:r>
      <w:r w:rsidRPr="00C61473">
        <w:rPr>
          <w:rFonts w:ascii="Times New Roman" w:hAnsi="Times New Roman" w:cs="Times New Roman"/>
          <w:sz w:val="28"/>
          <w:szCs w:val="28"/>
          <w:lang w:val="en-US"/>
        </w:rPr>
        <w:t> </w:t>
      </w:r>
      <w:r w:rsidRPr="00C61473">
        <w:rPr>
          <w:rFonts w:ascii="Times New Roman" w:hAnsi="Times New Roman" w:cs="Times New Roman"/>
          <w:sz w:val="28"/>
          <w:szCs w:val="28"/>
          <w:lang w:val="uk-UA"/>
        </w:rPr>
        <w:t>455–458.</w:t>
      </w:r>
      <w:r w:rsidRPr="00C61473">
        <w:rPr>
          <w:rFonts w:ascii="Times New Roman" w:hAnsi="Times New Roman" w:cs="Times New Roman"/>
          <w:sz w:val="28"/>
          <w:szCs w:val="28"/>
          <w:shd w:val="clear" w:color="auto" w:fill="FFFFFF"/>
          <w:lang w:val="uk-UA"/>
        </w:rPr>
        <w:t xml:space="preserve"> </w:t>
      </w:r>
    </w:p>
    <w:p w:rsidR="00F506C5" w:rsidRPr="00D7311B"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rPr>
      </w:pPr>
      <w:r w:rsidRPr="00C61473">
        <w:rPr>
          <w:rFonts w:ascii="Times New Roman" w:hAnsi="Times New Roman" w:cs="Times New Roman"/>
          <w:sz w:val="28"/>
          <w:szCs w:val="28"/>
          <w:shd w:val="clear" w:color="auto" w:fill="FFFFFF"/>
          <w:lang w:val="uk-UA"/>
        </w:rPr>
        <w:t xml:space="preserve">Целесообразность эндоваскулярной коррекции TASC D поражений у больных сахарным диабетом /О. А. Шумков, М. С. Любарский, В. В. Нимаев, М. Ю. Солуянов, И. А. Алтухов, М. А. Смагин // </w:t>
      </w:r>
      <w:r w:rsidRPr="00C61473">
        <w:rPr>
          <w:rFonts w:ascii="Times New Roman" w:hAnsi="Times New Roman" w:cs="Times New Roman"/>
          <w:sz w:val="28"/>
          <w:szCs w:val="28"/>
          <w:shd w:val="clear" w:color="auto" w:fill="FFFFFF"/>
        </w:rPr>
        <w:t xml:space="preserve">«Медицина и образование в Сибири».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shd w:val="clear" w:color="auto" w:fill="FFFFFF"/>
        </w:rPr>
        <w:t xml:space="preserve"> 2014.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shd w:val="clear" w:color="auto" w:fill="FFFFFF"/>
        </w:rPr>
        <w:t xml:space="preserve"> № 4.</w:t>
      </w:r>
      <w:r w:rsidRPr="00C61473">
        <w:rPr>
          <w:rFonts w:ascii="Times New Roman" w:hAnsi="Times New Roman" w:cs="Times New Roman"/>
          <w:sz w:val="28"/>
          <w:szCs w:val="28"/>
          <w:shd w:val="clear" w:color="auto" w:fill="FFFFFF"/>
          <w:lang w:val="uk-UA"/>
        </w:rPr>
        <w:t xml:space="preserve"> —С.</w:t>
      </w:r>
      <w:r w:rsidRPr="00C61473">
        <w:rPr>
          <w:rFonts w:ascii="Times New Roman" w:hAnsi="Times New Roman" w:cs="Times New Roman"/>
          <w:sz w:val="28"/>
          <w:szCs w:val="28"/>
          <w:shd w:val="clear" w:color="auto" w:fill="FFFFFF"/>
        </w:rPr>
        <w:t>34-39</w:t>
      </w:r>
    </w:p>
    <w:p w:rsidR="00F506C5" w:rsidRPr="00D7311B" w:rsidRDefault="00F506C5" w:rsidP="00B43186">
      <w:pPr>
        <w:pStyle w:val="ad"/>
        <w:numPr>
          <w:ilvl w:val="0"/>
          <w:numId w:val="1"/>
        </w:numPr>
        <w:spacing w:after="0" w:line="360" w:lineRule="auto"/>
        <w:ind w:left="-567" w:firstLine="567"/>
        <w:jc w:val="both"/>
        <w:outlineLvl w:val="0"/>
        <w:rPr>
          <w:rFonts w:ascii="Times New Roman" w:hAnsi="Times New Roman" w:cs="Times New Roman"/>
          <w:bCs/>
          <w:kern w:val="36"/>
          <w:sz w:val="28"/>
          <w:szCs w:val="28"/>
        </w:rPr>
      </w:pPr>
      <w:r w:rsidRPr="00D7311B">
        <w:rPr>
          <w:rFonts w:ascii="Times New Roman" w:hAnsi="Times New Roman" w:cs="Times New Roman"/>
          <w:bCs/>
          <w:kern w:val="36"/>
          <w:sz w:val="28"/>
          <w:szCs w:val="28"/>
        </w:rPr>
        <w:t xml:space="preserve">Черняк В. А. Хірургічне лікування критичної ішемії нижніх кінцівок / В. А. Черняк // Серце і судини. </w:t>
      </w:r>
      <w:r w:rsidRPr="00C61473">
        <w:rPr>
          <w:rFonts w:ascii="Times New Roman" w:hAnsi="Times New Roman" w:cs="Times New Roman"/>
          <w:sz w:val="28"/>
          <w:szCs w:val="28"/>
          <w:shd w:val="clear" w:color="auto" w:fill="FFFFFF"/>
          <w:lang w:val="uk-UA"/>
        </w:rPr>
        <w:t>—</w:t>
      </w:r>
      <w:r w:rsidRPr="00D7311B">
        <w:rPr>
          <w:rFonts w:ascii="Times New Roman" w:hAnsi="Times New Roman" w:cs="Times New Roman"/>
          <w:bCs/>
          <w:kern w:val="36"/>
          <w:sz w:val="28"/>
          <w:szCs w:val="28"/>
        </w:rPr>
        <w:t xml:space="preserve"> 2013.</w:t>
      </w:r>
      <w:r w:rsidRPr="00D7311B">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uk-UA"/>
        </w:rPr>
        <w:t>—</w:t>
      </w:r>
      <w:r w:rsidRPr="00D7311B">
        <w:rPr>
          <w:rFonts w:ascii="Times New Roman" w:hAnsi="Times New Roman" w:cs="Times New Roman"/>
          <w:bCs/>
          <w:kern w:val="36"/>
          <w:sz w:val="28"/>
          <w:szCs w:val="28"/>
        </w:rPr>
        <w:t xml:space="preserve">№ 1. </w:t>
      </w:r>
      <w:r w:rsidRPr="00C61473">
        <w:rPr>
          <w:rFonts w:ascii="Times New Roman" w:hAnsi="Times New Roman" w:cs="Times New Roman"/>
          <w:sz w:val="28"/>
          <w:szCs w:val="28"/>
          <w:shd w:val="clear" w:color="auto" w:fill="FFFFFF"/>
          <w:lang w:val="uk-UA"/>
        </w:rPr>
        <w:t>—</w:t>
      </w:r>
      <w:r w:rsidRPr="00D7311B">
        <w:rPr>
          <w:rFonts w:ascii="Times New Roman" w:hAnsi="Times New Roman" w:cs="Times New Roman"/>
          <w:bCs/>
          <w:kern w:val="36"/>
          <w:sz w:val="28"/>
          <w:szCs w:val="28"/>
        </w:rPr>
        <w:t xml:space="preserve"> С. 54-63. </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rPr>
      </w:pPr>
      <w:r w:rsidRPr="00D7311B">
        <w:rPr>
          <w:rFonts w:ascii="Times New Roman" w:hAnsi="Times New Roman" w:cs="Times New Roman"/>
          <w:sz w:val="28"/>
          <w:szCs w:val="28"/>
        </w:rPr>
        <w:t xml:space="preserve">Шкуропат В.М. Клініко-морфологічні паралелі при виборі способів хірургічного лікування хворих з хронічною критичною ішемією нижньої кінцівки / В.М. Шкуропат, І.В. Твердохліб, М.Ф. Дрюк // Морфологія. – 2011. – Т. V, № 3. – С. 79-84. </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rPr>
      </w:pPr>
      <w:r w:rsidRPr="00C61473">
        <w:rPr>
          <w:rFonts w:ascii="Times New Roman" w:hAnsi="Times New Roman" w:cs="Times New Roman"/>
          <w:sz w:val="28"/>
          <w:szCs w:val="28"/>
        </w:rPr>
        <w:t xml:space="preserve">Шкуропат В. М. Характеристика факторів VEGF і CD34 після хірургічного лікування хворих з хронічною ішемією нижньої кінцівки ІІІ ступеня / В. М. Шкуропат, І. В. Твердохліб, М. Ф. Дрюк // Морфологія. - 2010. - Т. 4, № 2. - С. 53-64. </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en-US"/>
        </w:rPr>
        <w:lastRenderedPageBreak/>
        <w:t>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diabetic</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foot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service</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established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by</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department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of</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vascular</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surgery</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an</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observational</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study</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Williams</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et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al</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Ann</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Vasc. Surg. — 2012. — Vol. 26, N 5. — Р. 700–706</w:t>
      </w:r>
      <w:r w:rsidRPr="00C61473">
        <w:rPr>
          <w:rFonts w:ascii="Times New Roman" w:hAnsi="Times New Roman" w:cs="Times New Roman"/>
          <w:sz w:val="28"/>
          <w:szCs w:val="28"/>
          <w:shd w:val="clear" w:color="auto" w:fill="FFFFFF"/>
          <w:lang w:val="uk-UA"/>
        </w:rPr>
        <w:t>.</w:t>
      </w:r>
    </w:p>
    <w:p w:rsidR="00F506C5"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A randomized, controlled pilot study of autologous CD34+ cell therapy for critical limb ischemia.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D.W.</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Losordo, M.R.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Kibbe, 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Mendelsohn, W.</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Marston, V.R.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Driver,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Sharafuddin et al</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Circ Cardiovasc Interv.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2012</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5:821–830.</w:t>
      </w:r>
    </w:p>
    <w:p w:rsidR="00F506C5" w:rsidRPr="00932174"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932174">
        <w:rPr>
          <w:rFonts w:ascii="Times New Roman" w:eastAsia="Times New Roman" w:hAnsi="Times New Roman"/>
          <w:sz w:val="28"/>
          <w:szCs w:val="28"/>
          <w:lang w:val="en-US"/>
        </w:rPr>
        <w:t xml:space="preserve">Abdi H., Béra M. Correspondence Analysis. In R. </w:t>
      </w:r>
      <w:r w:rsidRPr="00932174">
        <w:rPr>
          <w:rFonts w:ascii="Times New Roman" w:hAnsi="Times New Roman"/>
          <w:sz w:val="28"/>
          <w:szCs w:val="28"/>
          <w:lang w:val="en-US"/>
        </w:rPr>
        <w:t>Alhajj, J. Rokne(Eds.),</w:t>
      </w:r>
      <w:r w:rsidRPr="00932174">
        <w:rPr>
          <w:rStyle w:val="apple-converted-space"/>
          <w:rFonts w:ascii="Times New Roman" w:hAnsi="Times New Roman"/>
          <w:sz w:val="28"/>
          <w:szCs w:val="28"/>
          <w:lang w:val="en-US"/>
        </w:rPr>
        <w:t> </w:t>
      </w:r>
      <w:r w:rsidRPr="00932174">
        <w:rPr>
          <w:rFonts w:ascii="Times New Roman" w:hAnsi="Times New Roman"/>
          <w:iCs/>
          <w:sz w:val="28"/>
          <w:szCs w:val="28"/>
          <w:lang w:val="en-US"/>
        </w:rPr>
        <w:t>Encyclopedia of Social Networks and Mining.</w:t>
      </w:r>
      <w:r w:rsidRPr="00932174">
        <w:rPr>
          <w:rFonts w:ascii="Times New Roman" w:hAnsi="Times New Roman"/>
          <w:sz w:val="28"/>
          <w:szCs w:val="28"/>
          <w:lang w:val="en-US"/>
        </w:rPr>
        <w:t>NewYork: SpringerVerlag, 2014. pp. 275–284.</w:t>
      </w:r>
    </w:p>
    <w:p w:rsidR="00F506C5" w:rsidRPr="00C61473" w:rsidRDefault="00F506C5" w:rsidP="00B43186">
      <w:pPr>
        <w:pStyle w:val="ad"/>
        <w:numPr>
          <w:ilvl w:val="0"/>
          <w:numId w:val="1"/>
        </w:numPr>
        <w:spacing w:after="0" w:line="360" w:lineRule="auto"/>
        <w:ind w:left="-567" w:firstLine="567"/>
        <w:contextualSpacing w:val="0"/>
        <w:jc w:val="both"/>
        <w:outlineLvl w:val="0"/>
        <w:rPr>
          <w:rFonts w:ascii="Times New Roman" w:hAnsi="Times New Roman" w:cs="Times New Roman"/>
          <w:bCs/>
          <w:kern w:val="36"/>
          <w:sz w:val="28"/>
          <w:szCs w:val="28"/>
          <w:lang w:val="en-US"/>
        </w:rPr>
      </w:pPr>
      <w:r w:rsidRPr="00C61473">
        <w:rPr>
          <w:rFonts w:ascii="Times New Roman" w:hAnsi="Times New Roman" w:cs="Times New Roman"/>
          <w:sz w:val="28"/>
          <w:szCs w:val="28"/>
          <w:lang w:val="en-US"/>
        </w:rPr>
        <w:t>Abdulaziz</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Therapeutic</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angiogenesis</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using</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autologous</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bone</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marrow</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stromal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cells</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improved</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blood</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flow</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in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chronic</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limb</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ischemia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model</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Abdulaziz</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Ann.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Thorac.</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Surg</w:t>
      </w:r>
      <w:r w:rsidRPr="00C61473">
        <w:rPr>
          <w:rFonts w:ascii="Times New Roman" w:hAnsi="Times New Roman" w:cs="Times New Roman"/>
          <w:sz w:val="28"/>
          <w:szCs w:val="28"/>
          <w:lang w:val="uk-UA"/>
        </w:rPr>
        <w:t xml:space="preserve">. – 2003. – </w:t>
      </w:r>
      <w:r w:rsidRPr="00C61473">
        <w:rPr>
          <w:rFonts w:ascii="Times New Roman" w:hAnsi="Times New Roman" w:cs="Times New Roman"/>
          <w:sz w:val="28"/>
          <w:szCs w:val="28"/>
          <w:lang w:val="en-US"/>
        </w:rPr>
        <w:t>Vol</w:t>
      </w:r>
      <w:r w:rsidRPr="00C61473">
        <w:rPr>
          <w:rFonts w:ascii="Times New Roman" w:hAnsi="Times New Roman" w:cs="Times New Roman"/>
          <w:sz w:val="28"/>
          <w:szCs w:val="28"/>
          <w:lang w:val="uk-UA"/>
        </w:rPr>
        <w:t xml:space="preserve">. 75. – </w:t>
      </w:r>
      <w:r w:rsidRPr="00C61473">
        <w:rPr>
          <w:rFonts w:ascii="Times New Roman" w:hAnsi="Times New Roman" w:cs="Times New Roman"/>
          <w:sz w:val="28"/>
          <w:szCs w:val="28"/>
          <w:lang w:val="en-US"/>
        </w:rPr>
        <w:t>P</w:t>
      </w:r>
      <w:r w:rsidRPr="00C61473">
        <w:rPr>
          <w:rFonts w:ascii="Times New Roman" w:hAnsi="Times New Roman" w:cs="Times New Roman"/>
          <w:sz w:val="28"/>
          <w:szCs w:val="28"/>
          <w:lang w:val="uk-UA"/>
        </w:rPr>
        <w:t>. 204-209.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Adverse events during treatment of critical limb ischemia with autologous peripheral blood mononuclear cell implant</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lang w:val="en-US"/>
        </w:rPr>
        <w:t xml:space="preserve"> T.B</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 xml:space="preserve"> Jonsson, T.</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Larzon, B.</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Arfvidsson et al.</w:t>
      </w:r>
      <w:r w:rsidRPr="00C61473">
        <w:rPr>
          <w:rFonts w:ascii="Times New Roman" w:hAnsi="Times New Roman" w:cs="Times New Roman"/>
          <w:bCs/>
          <w:sz w:val="28"/>
          <w:szCs w:val="28"/>
          <w:lang w:val="uk-UA"/>
        </w:rPr>
        <w:t>//</w:t>
      </w:r>
      <w:r w:rsidRPr="00C61473">
        <w:rPr>
          <w:rFonts w:ascii="Times New Roman" w:hAnsi="Times New Roman" w:cs="Times New Roman"/>
          <w:sz w:val="28"/>
          <w:szCs w:val="28"/>
          <w:lang w:val="en-US"/>
        </w:rPr>
        <w:t xml:space="preserve"> Int. Angiol.,</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2012</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31(1)</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 xml:space="preserve"> Р.</w:t>
      </w:r>
      <w:r w:rsidRPr="00C61473">
        <w:rPr>
          <w:rFonts w:ascii="Times New Roman" w:hAnsi="Times New Roman" w:cs="Times New Roman"/>
          <w:sz w:val="28"/>
          <w:szCs w:val="28"/>
          <w:lang w:val="en-US"/>
        </w:rPr>
        <w:t>77–84.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Al-Khaldi A. Therapeutic angiogenesis using autologous bone marrow stromal cells: improved blood flow in a chronic limb ischemia model / A. Al-Khaldi // Ann. Thorac. Surg. – 2003. – Vol. 75, N 1. – P. 204-209. </w:t>
      </w:r>
    </w:p>
    <w:p w:rsidR="00F506C5" w:rsidRPr="00C61473" w:rsidRDefault="00F506C5" w:rsidP="00B43186">
      <w:pPr>
        <w:numPr>
          <w:ilvl w:val="0"/>
          <w:numId w:val="1"/>
        </w:numPr>
        <w:spacing w:after="0" w:line="360" w:lineRule="auto"/>
        <w:ind w:left="-567" w:firstLine="567"/>
        <w:jc w:val="both"/>
        <w:rPr>
          <w:rFonts w:ascii="Times New Roman" w:hAnsi="Times New Roman" w:cs="Times New Roman"/>
          <w:iCs/>
          <w:sz w:val="28"/>
          <w:szCs w:val="28"/>
          <w:lang w:val="en-US"/>
        </w:rPr>
      </w:pPr>
      <w:r w:rsidRPr="00C61473">
        <w:rPr>
          <w:rFonts w:ascii="Times New Roman" w:hAnsi="Times New Roman" w:cs="Times New Roman"/>
          <w:sz w:val="28"/>
          <w:szCs w:val="28"/>
          <w:lang w:val="en-US"/>
        </w:rPr>
        <w:t xml:space="preserve">An update on methods for revascularization and expansion of the TASC lesion classification to include below-the-knee arteries: a supplement to the Inter-Society Consensus for the Management of Peripheral Arterial Disease (TASC II).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TASC Steering Committee,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Jaff, C</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White et al.</w:t>
      </w:r>
      <w:r w:rsidRPr="00C61473">
        <w:rPr>
          <w:rFonts w:ascii="Times New Roman" w:hAnsi="Times New Roman" w:cs="Times New Roman"/>
          <w:iCs/>
          <w:sz w:val="28"/>
          <w:szCs w:val="28"/>
          <w:lang w:val="en-US"/>
        </w:rPr>
        <w:t xml:space="preserve"> </w:t>
      </w:r>
      <w:r w:rsidRPr="00C61473">
        <w:rPr>
          <w:rFonts w:ascii="Times New Roman" w:hAnsi="Times New Roman" w:cs="Times New Roman"/>
          <w:iCs/>
          <w:sz w:val="28"/>
          <w:szCs w:val="28"/>
          <w:lang w:val="uk-UA"/>
        </w:rPr>
        <w:t>//</w:t>
      </w:r>
      <w:r w:rsidRPr="00C61473">
        <w:rPr>
          <w:rStyle w:val="af9"/>
          <w:rFonts w:ascii="Times New Roman" w:hAnsi="Times New Roman" w:cs="Times New Roman"/>
          <w:i w:val="0"/>
          <w:sz w:val="28"/>
          <w:szCs w:val="28"/>
          <w:lang w:val="en-US"/>
        </w:rPr>
        <w:t>J Endovasc Ther</w:t>
      </w:r>
      <w:r w:rsidRPr="00C61473">
        <w:rPr>
          <w:rStyle w:val="af9"/>
          <w:rFonts w:ascii="Times New Roman" w:hAnsi="Times New Roman" w:cs="Times New Roman"/>
          <w:i w:val="0"/>
          <w:sz w:val="28"/>
          <w:szCs w:val="28"/>
          <w:lang w:val="uk-UA"/>
        </w:rPr>
        <w:t>. –</w:t>
      </w:r>
      <w:r w:rsidRPr="00C61473">
        <w:rPr>
          <w:rStyle w:val="af9"/>
          <w:rFonts w:ascii="Times New Roman" w:hAnsi="Times New Roman" w:cs="Times New Roman"/>
          <w:i w:val="0"/>
          <w:sz w:val="28"/>
          <w:szCs w:val="28"/>
          <w:lang w:val="en-US"/>
        </w:rPr>
        <w:t xml:space="preserve"> </w:t>
      </w:r>
      <w:r w:rsidRPr="00C61473">
        <w:rPr>
          <w:rFonts w:ascii="Times New Roman" w:hAnsi="Times New Roman" w:cs="Times New Roman"/>
          <w:sz w:val="28"/>
          <w:szCs w:val="28"/>
          <w:lang w:val="en-US"/>
        </w:rPr>
        <w:t>2015</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20</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465-</w:t>
      </w:r>
      <w:r w:rsidRPr="00C61473">
        <w:rPr>
          <w:rFonts w:ascii="Times New Roman" w:hAnsi="Times New Roman" w:cs="Times New Roman"/>
          <w:sz w:val="28"/>
          <w:szCs w:val="28"/>
          <w:lang w:val="uk-UA"/>
        </w:rPr>
        <w:t>4</w:t>
      </w:r>
      <w:r w:rsidRPr="00C61473">
        <w:rPr>
          <w:rFonts w:ascii="Times New Roman" w:hAnsi="Times New Roman" w:cs="Times New Roman"/>
          <w:sz w:val="28"/>
          <w:szCs w:val="28"/>
          <w:lang w:val="en-US"/>
        </w:rPr>
        <w:t>78.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Angiogenesis is by implantation of peripheral blood mononuclear cells and platelets into ischemic limbs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O.</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Iba et al. // Circulation. – 2002</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 xml:space="preserve">№106.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.2019-</w:t>
      </w:r>
      <w:r w:rsidRPr="00C61473">
        <w:rPr>
          <w:rFonts w:ascii="Times New Roman" w:hAnsi="Times New Roman" w:cs="Times New Roman"/>
          <w:sz w:val="28"/>
          <w:szCs w:val="28"/>
          <w:lang w:val="uk-UA"/>
        </w:rPr>
        <w:t>20</w:t>
      </w:r>
      <w:r w:rsidRPr="00C61473">
        <w:rPr>
          <w:rFonts w:ascii="Times New Roman" w:hAnsi="Times New Roman" w:cs="Times New Roman"/>
          <w:sz w:val="28"/>
          <w:szCs w:val="28"/>
          <w:lang w:val="en-US"/>
        </w:rPr>
        <w:t>25.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Angiogenic synergism, vascular stability and improvement of hind-limb ischemia by a combination of PDGF-BB and FGF-2 / R. Cao et al. // Nat. Med. – 2003. </w:t>
      </w:r>
      <w:r w:rsidRPr="00C61473">
        <w:rPr>
          <w:rFonts w:ascii="Times New Roman" w:hAnsi="Times New Roman" w:cs="Times New Roman"/>
          <w:sz w:val="28"/>
          <w:szCs w:val="28"/>
          <w:lang w:val="en-US"/>
        </w:rPr>
        <w:noBreakHyphen/>
        <w:t xml:space="preserve"> № 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.604-613.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Angiographic restenosis and its clinical impact after infrapopliteal angioplasty.</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O</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Iida, Y</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Soga, D. Kawasaki, K. Hirano, T. Yamaoka, K. Suzuki, Y. Miyashita, H. Yokoi, M. Takahara, M. Uematsu</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Eur J Vasc Endovasc Surg.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2012</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44</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425–431</w:t>
      </w:r>
      <w:r w:rsidRPr="00C61473">
        <w:rPr>
          <w:rFonts w:ascii="Times New Roman" w:hAnsi="Times New Roman" w:cs="Times New Roman"/>
          <w:sz w:val="28"/>
          <w:szCs w:val="28"/>
          <w:lang w:val="uk-UA"/>
        </w:rPr>
        <w:t>.</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Attanasio 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Therapeutic angiogenesis in the management of critical limb ischemia: current concepts and review.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Attanasio, J.Snell </w:t>
      </w:r>
      <w:r w:rsidRPr="00C61473">
        <w:rPr>
          <w:rFonts w:ascii="Times New Roman" w:hAnsi="Times New Roman" w:cs="Times New Roman"/>
          <w:sz w:val="28"/>
          <w:szCs w:val="28"/>
          <w:lang w:val="uk-UA"/>
        </w:rPr>
        <w:t>//</w:t>
      </w:r>
      <w:r w:rsidRPr="00C61473">
        <w:rPr>
          <w:rStyle w:val="af9"/>
          <w:rFonts w:ascii="Times New Roman" w:hAnsi="Times New Roman" w:cs="Times New Roman"/>
          <w:i w:val="0"/>
          <w:sz w:val="28"/>
          <w:szCs w:val="28"/>
          <w:lang w:val="en-US"/>
        </w:rPr>
        <w:t>Cardiol Rev</w:t>
      </w:r>
      <w:r w:rsidRPr="00C61473">
        <w:rPr>
          <w:rFonts w:ascii="Times New Roman" w:hAnsi="Times New Roman" w:cs="Times New Roman"/>
          <w:sz w:val="28"/>
          <w:szCs w:val="28"/>
          <w:lang w:val="en-US"/>
        </w:rPr>
        <w:t xml:space="preserve"> </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2009</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17</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115-</w:t>
      </w:r>
      <w:r w:rsidRPr="00C61473">
        <w:rPr>
          <w:rFonts w:ascii="Times New Roman" w:hAnsi="Times New Roman" w:cs="Times New Roman"/>
          <w:sz w:val="28"/>
          <w:szCs w:val="28"/>
          <w:lang w:val="uk-UA"/>
        </w:rPr>
        <w:t>1</w:t>
      </w:r>
      <w:r w:rsidRPr="00C61473">
        <w:rPr>
          <w:rFonts w:ascii="Times New Roman" w:hAnsi="Times New Roman" w:cs="Times New Roman"/>
          <w:sz w:val="28"/>
          <w:szCs w:val="28"/>
          <w:lang w:val="en-US"/>
        </w:rPr>
        <w:t>20.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Autologous bone marrow</w:t>
      </w:r>
      <w:r w:rsidRPr="00C61473">
        <w:rPr>
          <w:rFonts w:cs="Times New Roman"/>
          <w:sz w:val="28"/>
          <w:szCs w:val="28"/>
          <w:lang w:val="en-US"/>
        </w:rPr>
        <w:t>‐</w:t>
      </w:r>
      <w:r w:rsidRPr="00C61473">
        <w:rPr>
          <w:rFonts w:ascii="Times New Roman" w:hAnsi="Times New Roman" w:cs="Times New Roman"/>
          <w:sz w:val="28"/>
          <w:szCs w:val="28"/>
          <w:lang w:val="en-US"/>
        </w:rPr>
        <w:t>derived cell therapy in patients with critical limb ischemia: a meta</w:t>
      </w:r>
      <w:r w:rsidRPr="00C61473">
        <w:rPr>
          <w:rFonts w:cs="Times New Roman"/>
          <w:sz w:val="28"/>
          <w:szCs w:val="28"/>
          <w:lang w:val="en-US"/>
        </w:rPr>
        <w:t>‐</w:t>
      </w:r>
      <w:r w:rsidRPr="00C61473">
        <w:rPr>
          <w:rFonts w:ascii="Times New Roman" w:hAnsi="Times New Roman" w:cs="Times New Roman"/>
          <w:sz w:val="28"/>
          <w:szCs w:val="28"/>
          <w:lang w:val="en-US"/>
        </w:rPr>
        <w:t xml:space="preserve">analysis of randomized controlled clinical trials.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Geraa, R</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W</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Sprengers, Y</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Van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Graaf, C</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Peters, F</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L. Moll,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Verhaar.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Ann Surg.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2013</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258</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922–929.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Autologous bone marrow mononuclear cells transplant in patients with critical leg ischemia: preliminary clinical results. / M. Li, H. Zhou, X. Jin, M. Wang, , S. Zhang, L. Xu, // Exp Clin Transpl. . – 2013. - №11.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.435–439.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Autologous transplantation of peripheral blood stem cells as an effective therapeutic approach for severe arteriosclerosis obliterans of lower extremities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P.P.</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Huang et al. // Thromb. Haemost. – 2004</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91.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.606-</w:t>
      </w:r>
      <w:r w:rsidRPr="00C61473">
        <w:rPr>
          <w:rFonts w:ascii="Times New Roman" w:hAnsi="Times New Roman" w:cs="Times New Roman"/>
          <w:sz w:val="28"/>
          <w:szCs w:val="28"/>
          <w:lang w:val="uk-UA"/>
        </w:rPr>
        <w:t>60</w:t>
      </w:r>
      <w:r w:rsidRPr="00C61473">
        <w:rPr>
          <w:rFonts w:ascii="Times New Roman" w:hAnsi="Times New Roman" w:cs="Times New Roman"/>
          <w:sz w:val="28"/>
          <w:szCs w:val="28"/>
          <w:lang w:val="en-US"/>
        </w:rPr>
        <w:t>9.</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Application of Autologous Platelet-Rich Plasma to Enhance Wound Healing after Lower Limb Revascularization: A Case Series and Literature Review/ M. Massara, D. Barillà, G. De Caridi, R. Serra, A. Volpe, R. Surace, G. Foti, D. Marcuccio, G. Pucci, P. Volpe// Seminars in Vascular Surgery.- 2016</w:t>
      </w:r>
      <w:r w:rsidRPr="00C61473">
        <w:rPr>
          <w:rFonts w:ascii="Times New Roman" w:hAnsi="Times New Roman" w:cs="Times New Roman"/>
          <w:sz w:val="28"/>
          <w:szCs w:val="28"/>
          <w:lang w:val="uk-UA"/>
        </w:rPr>
        <w:t>.</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Baumgartner I. Management of peripheral vascular disease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I.</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Baumgartner, 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Schainfeld, 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Graziani // Annu. Rev. Med. – 2005,</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№56.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.249-272.</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Bilateral administration of autologous CD133+ cells in ambulatory patients with refractory critical limb ischemia: lessons learned from a pilot randomized, double blind, placebo controlled trial./ A.N. Raval, E.G. Schmuck, G. Tefera, C. Leitzke, Ark C. Vander, D. Hei et al // Cytotherapy. – 2014. - №16</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1720–1732.</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Biology of bone marrow-derived endothelial cell precursors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G.C.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Schatteman,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Dunnwald, 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Jiao et al.// Am. J. Physiol. Heart Circ. Physiol. – 2007</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 xml:space="preserve">№ 292.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w:t>
      </w:r>
      <w:r w:rsidRPr="00C61473">
        <w:rPr>
          <w:rFonts w:ascii="Times New Roman" w:hAnsi="Times New Roman" w:cs="Times New Roman"/>
          <w:sz w:val="28"/>
          <w:szCs w:val="28"/>
          <w:lang w:val="uk-UA"/>
        </w:rPr>
        <w:t>1</w:t>
      </w:r>
      <w:r w:rsidRPr="00C61473">
        <w:rPr>
          <w:rFonts w:ascii="Times New Roman" w:hAnsi="Times New Roman" w:cs="Times New Roman"/>
          <w:sz w:val="28"/>
          <w:szCs w:val="28"/>
          <w:lang w:val="en-US"/>
        </w:rPr>
        <w:t>-18.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Bone marrow derived cell therapy in critical limb ischemia: a meta</w:t>
      </w:r>
      <w:r w:rsidRPr="00C61473">
        <w:rPr>
          <w:rFonts w:cs="Times New Roman"/>
          <w:sz w:val="28"/>
          <w:szCs w:val="28"/>
          <w:lang w:val="en-US"/>
        </w:rPr>
        <w:t>‐</w:t>
      </w:r>
      <w:r w:rsidRPr="00C61473">
        <w:rPr>
          <w:rFonts w:ascii="Times New Roman" w:hAnsi="Times New Roman" w:cs="Times New Roman"/>
          <w:sz w:val="28"/>
          <w:szCs w:val="28"/>
          <w:lang w:val="en-US"/>
        </w:rPr>
        <w:t>analysis of randomized placebo controlled trials.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Peeters</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Weem,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Teraa, G</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Borst,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Verhaar, F</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Moll</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Eur J Vasc Endovasc Surg.</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2015</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50</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775–783.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Bone marrow does not contribute substantially to endothelial-cell replacement in transplant arteriosclerosis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J.L.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Hillebrands, F.A.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Klatter, W.D.</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Van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Dijk</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Rozing // Nat. Med. – 2002.</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8.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.194-195.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Bone marrow origin of endothelial progenitor cells responsible for postnatal vasculogenesis in physiological and pathological neovascularization / T. Asahara et al. // Circ. Res. – 1999.</w:t>
      </w:r>
      <w:r w:rsidRPr="00C61473">
        <w:rPr>
          <w:rFonts w:ascii="Times New Roman" w:hAnsi="Times New Roman" w:cs="Times New Roman"/>
          <w:sz w:val="28"/>
          <w:szCs w:val="28"/>
          <w:lang w:val="en-US"/>
        </w:rPr>
        <w:noBreakHyphen/>
        <w:t xml:space="preserve"> № 85.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.221-228.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Bypass versus Angioplasty in Severe Ischaemia of the Leg (BASIL) trial: health</w:t>
      </w:r>
      <w:r w:rsidRPr="00C61473">
        <w:rPr>
          <w:rFonts w:cs="Times New Roman"/>
          <w:sz w:val="28"/>
          <w:szCs w:val="28"/>
          <w:lang w:val="en-US"/>
        </w:rPr>
        <w:t>‐</w:t>
      </w:r>
      <w:r w:rsidRPr="00C61473">
        <w:rPr>
          <w:rFonts w:ascii="Times New Roman" w:hAnsi="Times New Roman" w:cs="Times New Roman"/>
          <w:sz w:val="28"/>
          <w:szCs w:val="28"/>
          <w:lang w:val="en-US"/>
        </w:rPr>
        <w:t>related quality of life outcomes, resource utilization, and cost</w:t>
      </w:r>
      <w:r w:rsidRPr="00C61473">
        <w:rPr>
          <w:rFonts w:cs="Times New Roman"/>
          <w:sz w:val="28"/>
          <w:szCs w:val="28"/>
          <w:lang w:val="en-US"/>
        </w:rPr>
        <w:t>‐</w:t>
      </w:r>
      <w:r w:rsidRPr="00C61473">
        <w:rPr>
          <w:rFonts w:ascii="Times New Roman" w:hAnsi="Times New Roman" w:cs="Times New Roman"/>
          <w:sz w:val="28"/>
          <w:szCs w:val="28"/>
          <w:lang w:val="en-US"/>
        </w:rPr>
        <w:t>effectiveness analysis. / J.F. Forbes, D.J. Adam, J. Bell, F.G. Fowkes, I. Gillespie, G.M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Raab, C</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V</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Ruckley, 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W</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Bradbury.//J Vasc Surg.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2010</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51</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43S–51S</w:t>
      </w:r>
      <w:r w:rsidRPr="00C61473">
        <w:rPr>
          <w:rFonts w:ascii="Times New Roman" w:hAnsi="Times New Roman" w:cs="Times New Roman"/>
          <w:sz w:val="28"/>
          <w:szCs w:val="28"/>
          <w:lang w:val="uk-UA"/>
        </w:rPr>
        <w:t>.</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Bypass surgery versus endovascular interventions in severe or critical limb ischemia. / A.M. Abu Dabrh, M.W. Steffen, N. Asi, C. Undavalli, Z. Wang, M.B. Elamin, M.S. Conte, M.H. Murad //J Vasc Surg. – 2016. - №63.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.244–253.</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Carmeliet P. Angiogenesis in health and disease. //Nat Med.- 2003.- № 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.653-660.</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Case series of patients with chronic foot ulcers treated with autologous platelet-rich plasma / R.R. Yotsu, S. Hagiwara, H. Okochi et al // J Dermatol. – 2015. - №42.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.288–295.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Castle J. Ultrasound-directed, site-specific gene delivery. / J. Castle, S.B.Feinstein.// Methods Mol Biol. – 2014. -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1141</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67-76.</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Cell therapy, a new standard in management of chronic critical limb ischemia and foot ulcer.</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w:t>
      </w:r>
      <w:r w:rsidRPr="00C61473">
        <w:rPr>
          <w:rFonts w:ascii="Times New Roman" w:hAnsi="Times New Roman" w:cs="Times New Roman"/>
          <w:bCs/>
          <w:sz w:val="28"/>
          <w:szCs w:val="28"/>
          <w:lang w:val="en-US"/>
        </w:rPr>
        <w:t>V</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Procházka, J</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 xml:space="preserve"> Gumulec, F.</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Jalůvka et al. </w:t>
      </w:r>
      <w:r w:rsidRPr="00C61473">
        <w:rPr>
          <w:rFonts w:ascii="Times New Roman" w:hAnsi="Times New Roman" w:cs="Times New Roman"/>
          <w:bCs/>
          <w:sz w:val="28"/>
          <w:szCs w:val="28"/>
          <w:lang w:val="uk-UA"/>
        </w:rPr>
        <w:t>//</w:t>
      </w:r>
      <w:r w:rsidRPr="00C61473">
        <w:rPr>
          <w:rFonts w:ascii="Times New Roman" w:hAnsi="Times New Roman" w:cs="Times New Roman"/>
          <w:sz w:val="28"/>
          <w:szCs w:val="28"/>
          <w:lang w:val="en-US"/>
        </w:rPr>
        <w:t>Cell Transplant</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2010</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19(11)</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Р.</w:t>
      </w:r>
      <w:r w:rsidRPr="00C61473">
        <w:rPr>
          <w:rFonts w:ascii="Times New Roman" w:hAnsi="Times New Roman" w:cs="Times New Roman"/>
          <w:sz w:val="28"/>
          <w:szCs w:val="28"/>
          <w:lang w:val="en-US"/>
        </w:rPr>
        <w:t>1413–1424.</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Chapter IV: treatment of critical limb ischaemia.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Setacci</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G</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Donato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Teraa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Moll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Ricco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Becker</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Robert</w:t>
      </w:r>
      <w:r w:rsidRPr="00C61473">
        <w:rPr>
          <w:rFonts w:cs="Times New Roman"/>
          <w:sz w:val="28"/>
          <w:szCs w:val="28"/>
          <w:lang w:val="uk-UA"/>
        </w:rPr>
        <w:t>‐</w:t>
      </w:r>
      <w:r w:rsidRPr="00C61473">
        <w:rPr>
          <w:rFonts w:ascii="Times New Roman" w:hAnsi="Times New Roman" w:cs="Times New Roman"/>
          <w:sz w:val="28"/>
          <w:szCs w:val="28"/>
          <w:lang w:val="en-US"/>
        </w:rPr>
        <w:t>Ebadi</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P</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Cao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Eckstein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P</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Rango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Diehm</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Schmidli</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Dick</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Davies</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Lepantalo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Apelqvist</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Eur</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Vasc</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Endovasc</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Surg</w:t>
      </w:r>
      <w:r w:rsidRPr="00C61473">
        <w:rPr>
          <w:rFonts w:ascii="Times New Roman" w:hAnsi="Times New Roman" w:cs="Times New Roman"/>
          <w:sz w:val="28"/>
          <w:szCs w:val="28"/>
          <w:lang w:val="uk-UA"/>
        </w:rPr>
        <w:t>. – 2011. - №.42(</w:t>
      </w:r>
      <w:r w:rsidRPr="00C61473">
        <w:rPr>
          <w:rFonts w:ascii="Times New Roman" w:hAnsi="Times New Roman" w:cs="Times New Roman"/>
          <w:sz w:val="28"/>
          <w:szCs w:val="28"/>
          <w:lang w:val="en-US"/>
        </w:rPr>
        <w:t>suppl</w:t>
      </w:r>
      <w:r w:rsidRPr="00C61473">
        <w:rPr>
          <w:rFonts w:ascii="Times New Roman" w:hAnsi="Times New Roman" w:cs="Times New Roman"/>
          <w:sz w:val="28"/>
          <w:szCs w:val="28"/>
          <w:lang w:val="uk-UA"/>
        </w:rPr>
        <w:t xml:space="preserve"> 2). – Р.</w:t>
      </w:r>
      <w:r w:rsidRPr="00C61473">
        <w:rPr>
          <w:rFonts w:ascii="Times New Roman" w:hAnsi="Times New Roman" w:cs="Times New Roman"/>
          <w:sz w:val="28"/>
          <w:szCs w:val="28"/>
          <w:lang w:val="en-US"/>
        </w:rPr>
        <w:t>S</w:t>
      </w:r>
      <w:r w:rsidRPr="00C61473">
        <w:rPr>
          <w:rFonts w:ascii="Times New Roman" w:hAnsi="Times New Roman" w:cs="Times New Roman"/>
          <w:sz w:val="28"/>
          <w:szCs w:val="28"/>
          <w:lang w:val="uk-UA"/>
        </w:rPr>
        <w:t>43–</w:t>
      </w:r>
      <w:r w:rsidRPr="00C61473">
        <w:rPr>
          <w:rFonts w:ascii="Times New Roman" w:hAnsi="Times New Roman" w:cs="Times New Roman"/>
          <w:sz w:val="28"/>
          <w:szCs w:val="28"/>
          <w:lang w:val="en-US"/>
        </w:rPr>
        <w:t>S</w:t>
      </w:r>
      <w:r w:rsidRPr="00C61473">
        <w:rPr>
          <w:rFonts w:ascii="Times New Roman" w:hAnsi="Times New Roman" w:cs="Times New Roman"/>
          <w:sz w:val="28"/>
          <w:szCs w:val="28"/>
          <w:lang w:val="uk-UA"/>
        </w:rPr>
        <w:t>59.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Clinical application of bone-marrow implantation in patients with arteriosclerosis obliterans, and the association between efficacy and the number of implanted bone-marrow cells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T.</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Saigawa,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Kato, T.</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Ozawa et al. // Circ. J. – 2004</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68.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.1189-</w:t>
      </w:r>
      <w:r w:rsidRPr="00C61473">
        <w:rPr>
          <w:rFonts w:ascii="Times New Roman" w:hAnsi="Times New Roman" w:cs="Times New Roman"/>
          <w:sz w:val="28"/>
          <w:szCs w:val="28"/>
          <w:lang w:val="uk-UA"/>
        </w:rPr>
        <w:t>11</w:t>
      </w:r>
      <w:r w:rsidRPr="00C61473">
        <w:rPr>
          <w:rFonts w:ascii="Times New Roman" w:hAnsi="Times New Roman" w:cs="Times New Roman"/>
          <w:sz w:val="28"/>
          <w:szCs w:val="28"/>
          <w:lang w:val="en-US"/>
        </w:rPr>
        <w:t>93.</w:t>
      </w:r>
    </w:p>
    <w:p w:rsidR="00F506C5" w:rsidRPr="00C61473" w:rsidRDefault="00F506C5" w:rsidP="00B43186">
      <w:pPr>
        <w:numPr>
          <w:ilvl w:val="0"/>
          <w:numId w:val="1"/>
        </w:numPr>
        <w:spacing w:after="0" w:line="360" w:lineRule="auto"/>
        <w:ind w:left="-567" w:firstLine="567"/>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Davies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G</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Critical limb ischemia: introduction.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G</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Davies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w:t>
      </w:r>
      <w:r w:rsidRPr="00C61473">
        <w:rPr>
          <w:rStyle w:val="af9"/>
          <w:rFonts w:ascii="Times New Roman" w:hAnsi="Times New Roman" w:cs="Times New Roman"/>
          <w:i w:val="0"/>
          <w:sz w:val="28"/>
          <w:szCs w:val="28"/>
          <w:lang w:val="en-US"/>
        </w:rPr>
        <w:t>Methodist Debakey Cardiovasc J</w:t>
      </w:r>
      <w:r w:rsidRPr="00C61473">
        <w:rPr>
          <w:rStyle w:val="af9"/>
          <w:rFonts w:ascii="Times New Roman" w:hAnsi="Times New Roman" w:cs="Times New Roman"/>
          <w:i w:val="0"/>
          <w:sz w:val="28"/>
          <w:szCs w:val="28"/>
          <w:lang w:val="uk-UA"/>
        </w:rPr>
        <w:t xml:space="preserve">. – </w:t>
      </w:r>
      <w:r w:rsidRPr="00C61473">
        <w:rPr>
          <w:rFonts w:ascii="Times New Roman" w:hAnsi="Times New Roman" w:cs="Times New Roman"/>
          <w:sz w:val="28"/>
          <w:szCs w:val="28"/>
          <w:lang w:val="en-US"/>
        </w:rPr>
        <w:t>2012</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8</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2.</w:t>
      </w:r>
    </w:p>
    <w:p w:rsidR="00F506C5" w:rsidRPr="00C61473" w:rsidRDefault="00F506C5" w:rsidP="00B43186">
      <w:pPr>
        <w:widowControl w:val="0"/>
        <w:numPr>
          <w:ilvl w:val="0"/>
          <w:numId w:val="1"/>
        </w:numPr>
        <w:shd w:val="clear" w:color="auto" w:fill="FFFFFF"/>
        <w:suppressAutoHyphens/>
        <w:spacing w:after="0" w:line="360" w:lineRule="auto"/>
        <w:ind w:left="-567" w:firstLine="567"/>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Davignon J. Role of endothelial dysfunction in atherosclerosis. / J. Davignon, P. Ganz // Circulation. – 2004. – №109.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 27 – 32.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Defining risks and predicting adverse events after lower extremity bypass for critical limb ischemia. / J.J. Siracuse, Z.S. Huang, H.L. Gill, I. Parrack, D.B. Schneider, P.H. Connolly, A.J. Meltzer// Vasc Health Risk Manag. – 2014. - №10.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.367–374</w:t>
      </w:r>
      <w:r w:rsidRPr="00C61473">
        <w:rPr>
          <w:rFonts w:ascii="Times New Roman" w:hAnsi="Times New Roman" w:cs="Times New Roman"/>
          <w:sz w:val="28"/>
          <w:szCs w:val="28"/>
          <w:lang w:val="uk-UA"/>
        </w:rPr>
        <w:t>.</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Diabetic foot ulcers: Part I. Pathophysiology and prevention / A. Alavi, R.G. Sibbald, D. Mayer, et al. // J Am Acad Dermatol. – 2014. - №70.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.11–18.</w:t>
      </w:r>
    </w:p>
    <w:p w:rsidR="00F506C5" w:rsidRPr="00C61473" w:rsidRDefault="00F506C5" w:rsidP="00B43186">
      <w:pPr>
        <w:widowControl w:val="0"/>
        <w:numPr>
          <w:ilvl w:val="0"/>
          <w:numId w:val="1"/>
        </w:numPr>
        <w:shd w:val="clear" w:color="auto" w:fill="FFFFFF"/>
        <w:suppressAutoHyphens/>
        <w:spacing w:after="0" w:line="360" w:lineRule="auto"/>
        <w:ind w:left="-567" w:firstLine="567"/>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Direct comparison of umbilical cord blood versus bone marrow-derived endothelial precursor cells in mediating neovascularization in response to vascular ischemia/ M.R. Finney, N.J. Greco, S.E. Haynesworth et al. // Biol. Blood Marrow Transpl. – 2006. </w:t>
      </w:r>
      <w:r w:rsidRPr="00C61473">
        <w:rPr>
          <w:rFonts w:ascii="Times New Roman" w:hAnsi="Times New Roman" w:cs="Times New Roman"/>
          <w:sz w:val="28"/>
          <w:szCs w:val="28"/>
          <w:lang w:val="en-US"/>
        </w:rPr>
        <w:noBreakHyphen/>
        <w:t xml:space="preserve"> № 12(5).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.585-93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Dong-Ik Kim Angiogenesis facilitated by autologous whole bone marrow stem cell transplantation for Buerger’s disease/ Kim Dong-Ik, Kim Mi-Jung, Joh Jin-Hyun // Stem Cells. – 2006.</w:t>
      </w:r>
      <w:r w:rsidRPr="00C61473">
        <w:rPr>
          <w:rFonts w:ascii="Times New Roman" w:hAnsi="Times New Roman" w:cs="Times New Roman"/>
          <w:sz w:val="28"/>
          <w:szCs w:val="28"/>
          <w:lang w:val="en-US"/>
        </w:rPr>
        <w:noBreakHyphen/>
        <w:t xml:space="preserve"> Vol. 24, №5. –P.1194-1200. </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Dormandly J.A.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Management of peripheral arterial disease. TASC Group. Trans Atlantic Inter-Society Consensus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J.A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 Dormandly, R.B.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Rotherford,  // J. Vasc. Surg. – 2000</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31.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.1-296.</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Effectiveness of platelet-rich plasma to enhance healing of diabetic foot ulcers in patients with concomitant peripheral arterial disease and critical limb ischemia./ N. Kontopodis, E. Tavlas, G. Papadopoulos et al// Int J Low Extrem Wounds. – 2015. - pii:1534734615575829.</w:t>
      </w:r>
    </w:p>
    <w:p w:rsidR="00F506C5" w:rsidRPr="0067010A"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Effect of fibroblast growth factor NV1FGF on amputation and death: a randomised placebo</w:t>
      </w:r>
      <w:r w:rsidRPr="00C61473">
        <w:rPr>
          <w:rFonts w:cs="Times New Roman"/>
          <w:sz w:val="28"/>
          <w:szCs w:val="28"/>
          <w:lang w:val="en-US"/>
        </w:rPr>
        <w:t>‐</w:t>
      </w:r>
      <w:r w:rsidRPr="00C61473">
        <w:rPr>
          <w:rFonts w:ascii="Times New Roman" w:hAnsi="Times New Roman" w:cs="Times New Roman"/>
          <w:sz w:val="28"/>
          <w:szCs w:val="28"/>
          <w:lang w:val="en-US"/>
        </w:rPr>
        <w:t xml:space="preserve">controlled trial of gene therapy in critical limb ischaemia.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lastRenderedPageBreak/>
        <w:t>J</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Belch, W</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Hiatt, I</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Baumgartner, I</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V</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Driver, S</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Nikol, 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Norgren, 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Van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Belle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Lancet.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2011</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377</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1929–1937</w:t>
      </w:r>
    </w:p>
    <w:p w:rsidR="00F506C5" w:rsidRPr="00932174"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932174">
        <w:rPr>
          <w:rFonts w:ascii="Times New Roman" w:hAnsi="Times New Roman" w:cs="Times New Roman"/>
          <w:sz w:val="28"/>
          <w:szCs w:val="28"/>
          <w:lang w:val="en-US"/>
        </w:rPr>
        <w:t xml:space="preserve">Effect of hypoxia-inducible factor-1alpha gene therapy on walking performance in patients with intermittent claudication. </w:t>
      </w:r>
      <w:hyperlink r:id="rId89" w:history="1">
        <w:r w:rsidRPr="00932174">
          <w:rPr>
            <w:rStyle w:val="aa"/>
            <w:rFonts w:ascii="Times New Roman" w:hAnsi="Times New Roman" w:cs="Times New Roman"/>
            <w:color w:val="auto"/>
            <w:sz w:val="28"/>
            <w:szCs w:val="28"/>
            <w:shd w:val="clear" w:color="auto" w:fill="FFFFFF"/>
            <w:lang w:val="en-US"/>
          </w:rPr>
          <w:t>Creager MA</w:t>
        </w:r>
      </w:hyperlink>
      <w:r w:rsidRPr="00932174">
        <w:rPr>
          <w:rFonts w:ascii="Times New Roman" w:hAnsi="Times New Roman" w:cs="Times New Roman"/>
          <w:sz w:val="28"/>
          <w:szCs w:val="28"/>
          <w:shd w:val="clear" w:color="auto" w:fill="FFFFFF"/>
          <w:vertAlign w:val="superscript"/>
          <w:lang w:val="en-US"/>
        </w:rPr>
        <w:t>1</w:t>
      </w:r>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0" w:history="1">
        <w:r w:rsidRPr="00932174">
          <w:rPr>
            <w:rStyle w:val="aa"/>
            <w:rFonts w:ascii="Times New Roman" w:hAnsi="Times New Roman" w:cs="Times New Roman"/>
            <w:color w:val="auto"/>
            <w:sz w:val="28"/>
            <w:szCs w:val="28"/>
            <w:shd w:val="clear" w:color="auto" w:fill="FFFFFF"/>
            <w:lang w:val="en-US"/>
          </w:rPr>
          <w:t>Olin JW</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1" w:history="1">
        <w:r w:rsidRPr="00932174">
          <w:rPr>
            <w:rStyle w:val="aa"/>
            <w:rFonts w:ascii="Times New Roman" w:hAnsi="Times New Roman" w:cs="Times New Roman"/>
            <w:color w:val="auto"/>
            <w:sz w:val="28"/>
            <w:szCs w:val="28"/>
            <w:shd w:val="clear" w:color="auto" w:fill="FFFFFF"/>
            <w:lang w:val="en-US"/>
          </w:rPr>
          <w:t>Belch JJ</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2" w:history="1">
        <w:r w:rsidRPr="00932174">
          <w:rPr>
            <w:rStyle w:val="aa"/>
            <w:rFonts w:ascii="Times New Roman" w:hAnsi="Times New Roman" w:cs="Times New Roman"/>
            <w:color w:val="auto"/>
            <w:sz w:val="28"/>
            <w:szCs w:val="28"/>
            <w:shd w:val="clear" w:color="auto" w:fill="FFFFFF"/>
            <w:lang w:val="en-US"/>
          </w:rPr>
          <w:t>Moneta GL</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3" w:history="1">
        <w:r w:rsidRPr="00932174">
          <w:rPr>
            <w:rStyle w:val="aa"/>
            <w:rFonts w:ascii="Times New Roman" w:hAnsi="Times New Roman" w:cs="Times New Roman"/>
            <w:color w:val="auto"/>
            <w:sz w:val="28"/>
            <w:szCs w:val="28"/>
            <w:shd w:val="clear" w:color="auto" w:fill="FFFFFF"/>
            <w:lang w:val="en-US"/>
          </w:rPr>
          <w:t>Henry TD</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4" w:history="1">
        <w:r w:rsidRPr="00932174">
          <w:rPr>
            <w:rStyle w:val="aa"/>
            <w:rFonts w:ascii="Times New Roman" w:hAnsi="Times New Roman" w:cs="Times New Roman"/>
            <w:color w:val="auto"/>
            <w:sz w:val="28"/>
            <w:szCs w:val="28"/>
            <w:shd w:val="clear" w:color="auto" w:fill="FFFFFF"/>
            <w:lang w:val="en-US"/>
          </w:rPr>
          <w:t>Rajagopalan S</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5" w:history="1">
        <w:r w:rsidRPr="00932174">
          <w:rPr>
            <w:rStyle w:val="aa"/>
            <w:rFonts w:ascii="Times New Roman" w:hAnsi="Times New Roman" w:cs="Times New Roman"/>
            <w:color w:val="auto"/>
            <w:sz w:val="28"/>
            <w:szCs w:val="28"/>
            <w:shd w:val="clear" w:color="auto" w:fill="FFFFFF"/>
            <w:lang w:val="en-US"/>
          </w:rPr>
          <w:t>Annex BH</w:t>
        </w:r>
      </w:hyperlink>
      <w:r w:rsidRPr="00932174">
        <w:rPr>
          <w:rFonts w:ascii="Times New Roman" w:hAnsi="Times New Roman" w:cs="Times New Roman"/>
          <w:sz w:val="28"/>
          <w:szCs w:val="28"/>
          <w:shd w:val="clear" w:color="auto" w:fill="FFFFFF"/>
          <w:lang w:val="en-US"/>
        </w:rPr>
        <w:t>,</w:t>
      </w:r>
      <w:r w:rsidRPr="00932174">
        <w:rPr>
          <w:rStyle w:val="apple-converted-space"/>
          <w:rFonts w:ascii="Times New Roman" w:hAnsi="Times New Roman" w:cs="Times New Roman"/>
          <w:sz w:val="28"/>
          <w:szCs w:val="28"/>
          <w:shd w:val="clear" w:color="auto" w:fill="FFFFFF"/>
          <w:lang w:val="en-US"/>
        </w:rPr>
        <w:t> </w:t>
      </w:r>
      <w:hyperlink r:id="rId96" w:history="1">
        <w:r w:rsidRPr="00932174">
          <w:rPr>
            <w:rStyle w:val="aa"/>
            <w:rFonts w:ascii="Times New Roman" w:hAnsi="Times New Roman" w:cs="Times New Roman"/>
            <w:color w:val="auto"/>
            <w:sz w:val="28"/>
            <w:szCs w:val="28"/>
            <w:shd w:val="clear" w:color="auto" w:fill="FFFFFF"/>
            <w:lang w:val="en-US"/>
          </w:rPr>
          <w:t>Hiatt WR</w:t>
        </w:r>
      </w:hyperlink>
      <w:r w:rsidRPr="00932174">
        <w:rPr>
          <w:rFonts w:ascii="Times New Roman" w:hAnsi="Times New Roman" w:cs="Times New Roman"/>
          <w:sz w:val="28"/>
          <w:szCs w:val="28"/>
          <w:lang w:val="en-US"/>
        </w:rPr>
        <w:t xml:space="preserve"> </w:t>
      </w:r>
      <w:hyperlink r:id="rId97" w:tooltip="Circulation." w:history="1">
        <w:r w:rsidRPr="00932174">
          <w:rPr>
            <w:rStyle w:val="aa"/>
            <w:rFonts w:ascii="Times New Roman" w:hAnsi="Times New Roman" w:cs="Times New Roman"/>
            <w:color w:val="auto"/>
            <w:sz w:val="28"/>
            <w:szCs w:val="28"/>
            <w:shd w:val="clear" w:color="auto" w:fill="FFFFFF"/>
            <w:lang w:val="en-US"/>
          </w:rPr>
          <w:t>Circulation.</w:t>
        </w:r>
      </w:hyperlink>
      <w:r w:rsidRPr="00932174">
        <w:rPr>
          <w:rStyle w:val="apple-converted-space"/>
          <w:rFonts w:ascii="Times New Roman" w:hAnsi="Times New Roman" w:cs="Times New Roman"/>
          <w:sz w:val="28"/>
          <w:szCs w:val="28"/>
          <w:shd w:val="clear" w:color="auto" w:fill="FFFFFF"/>
          <w:lang w:val="en-US"/>
        </w:rPr>
        <w:t> </w:t>
      </w:r>
      <w:r w:rsidRPr="00932174">
        <w:rPr>
          <w:rFonts w:ascii="Times New Roman" w:hAnsi="Times New Roman" w:cs="Times New Roman"/>
          <w:sz w:val="28"/>
          <w:szCs w:val="28"/>
          <w:shd w:val="clear" w:color="auto" w:fill="FFFFFF"/>
        </w:rPr>
        <w:t>2011 Oct 18;124(16):1765-73. doi: 10.1161/CIRCULATIONAHA.110.009407. Epub 2011 Sep 26.</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Effect of repetitive intra-arterial infusion of bone marrow mononuclear cells in patients with no-option limb ischemia: the randomized, double blind, placebo controlled JUVENTAS Trial.</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Teraa, R.W.</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Sprengers, R.E.G.</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Schutgens, I.C.M.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Slaper-Cortenbach, Y. Van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Graaf, 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Algra et al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Circulation.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2015</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131</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851–860.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Emmerich J. Current state and perspective on medical treatment of critical leg ischemia: Gene and cell therapy.</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Int. J. of Lower Extremity Wounds. – 2005</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4.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.234.</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shd w:val="clear" w:color="auto" w:fill="FFFFFF"/>
          <w:lang w:val="en-US"/>
        </w:rPr>
        <w:t>Endovascular interventions for Trans Atlantic Inter Society Consensus II C and D femoropopliteal lesions / M. Y. Yin et al. // Chin. Med. J. (Engl). — 2013. — Vol. 126, N 3. — P. 415–420.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Enhanced vascularization by controlled release of platelet-rich plasma impregnated in biodegradable gelatin hydrogel/ J. Kurita, M. Miyamoto, Y. Ishii. et al//Ann Thorac Surg.- 2011.- №92.-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.837–844.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Exercise training for claudication. / K. Stewart, W. Hiatt, J. Regensteiner, A. Hirsch //N Engl J Med. – 2002. - № 347(24). - 1941e1951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Farber A. The BEST</w:t>
      </w:r>
      <w:r w:rsidRPr="00C61473">
        <w:rPr>
          <w:rFonts w:cs="Times New Roman"/>
          <w:sz w:val="28"/>
          <w:szCs w:val="28"/>
          <w:lang w:val="en-US"/>
        </w:rPr>
        <w:t>‐</w:t>
      </w:r>
      <w:r w:rsidRPr="00C61473">
        <w:rPr>
          <w:rFonts w:ascii="Times New Roman" w:hAnsi="Times New Roman" w:cs="Times New Roman"/>
          <w:sz w:val="28"/>
          <w:szCs w:val="28"/>
          <w:lang w:val="en-US"/>
        </w:rPr>
        <w:t xml:space="preserve">CLI trial: a multidisciplinary effort to assess which therapy is best for patients with critical limb ischemia. / A. Farber, K. Rosenfield, M. Menard // Tech Vasc Interv Radiol. – 2014. - №17.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.221–224.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Folkman J. Angiogenesis in cancer, vascular, rheumatoid and other disease./ J. Folkman // - Nat. Med. – 1995.</w:t>
      </w:r>
      <w:r w:rsidRPr="00C61473">
        <w:rPr>
          <w:rFonts w:ascii="Times New Roman" w:hAnsi="Times New Roman" w:cs="Times New Roman"/>
          <w:sz w:val="28"/>
          <w:szCs w:val="28"/>
          <w:lang w:val="en-US"/>
        </w:rPr>
        <w:noBreakHyphen/>
        <w:t xml:space="preserve">№ 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.27-31.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Folkman J. Therapeutic angiogenesis in ischemic limbs/ J. Folkman // Circulation. – 1998.</w:t>
      </w:r>
      <w:r w:rsidRPr="00C61473">
        <w:rPr>
          <w:rFonts w:ascii="Times New Roman" w:hAnsi="Times New Roman" w:cs="Times New Roman"/>
          <w:sz w:val="28"/>
          <w:szCs w:val="28"/>
          <w:lang w:val="en-US"/>
        </w:rPr>
        <w:noBreakHyphen/>
        <w:t xml:space="preserve">№ 97.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 xml:space="preserve">.1108-1110. </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Functional small-diameter neovessels created using endothelial progenitor cells expanded ex vivo/ S. Kaushal et al. // Nat. Med. – 2001. </w:t>
      </w:r>
      <w:r w:rsidRPr="00C61473">
        <w:rPr>
          <w:rFonts w:ascii="Times New Roman" w:hAnsi="Times New Roman" w:cs="Times New Roman"/>
          <w:sz w:val="28"/>
          <w:szCs w:val="28"/>
          <w:lang w:val="en-US"/>
        </w:rPr>
        <w:noBreakHyphen/>
        <w:t xml:space="preserve"> № 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.1035-1040.</w:t>
      </w:r>
    </w:p>
    <w:p w:rsidR="00F506C5"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Frick M. Endothelial function: a surrogate endpoint in cardiovascular studies? / M. Frick, F. Weidinger // Curr Pharm Des. –2007. –№ 13(17).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 1741 – 1750</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en-US"/>
        </w:rPr>
      </w:pPr>
      <w:r w:rsidRPr="00C52679">
        <w:rPr>
          <w:rFonts w:ascii="Times New Roman" w:hAnsi="Times New Roman" w:cs="Times New Roman"/>
          <w:bCs/>
          <w:sz w:val="28"/>
          <w:szCs w:val="28"/>
          <w:lang w:val="en-US"/>
        </w:rPr>
        <w:t>Gabr H.</w:t>
      </w:r>
      <w:r w:rsidRPr="00C52679">
        <w:rPr>
          <w:rFonts w:ascii="Times New Roman" w:hAnsi="Times New Roman" w:cs="Times New Roman"/>
          <w:bCs/>
          <w:sz w:val="28"/>
          <w:szCs w:val="28"/>
          <w:lang w:val="uk-UA"/>
        </w:rPr>
        <w:t xml:space="preserve"> </w:t>
      </w:r>
      <w:r w:rsidRPr="00C52679">
        <w:rPr>
          <w:rFonts w:ascii="Times New Roman" w:hAnsi="Times New Roman" w:cs="Times New Roman"/>
          <w:sz w:val="28"/>
          <w:szCs w:val="28"/>
          <w:lang w:val="en-US"/>
        </w:rPr>
        <w:t>Limb salvage using intramuscular injection of</w:t>
      </w:r>
      <w:r w:rsidRPr="00C52679">
        <w:rPr>
          <w:rFonts w:ascii="Times New Roman" w:hAnsi="Times New Roman" w:cs="Times New Roman"/>
          <w:sz w:val="28"/>
          <w:szCs w:val="28"/>
          <w:lang w:val="uk-UA"/>
        </w:rPr>
        <w:t xml:space="preserve"> </w:t>
      </w:r>
      <w:r w:rsidRPr="00C52679">
        <w:rPr>
          <w:rFonts w:ascii="Times New Roman" w:hAnsi="Times New Roman" w:cs="Times New Roman"/>
          <w:sz w:val="28"/>
          <w:szCs w:val="28"/>
          <w:lang w:val="en-US"/>
        </w:rPr>
        <w:t>unfractionated autologous bone marrow mononuclear cells in critical limb ischemia: a</w:t>
      </w:r>
      <w:r w:rsidRPr="00C52679">
        <w:rPr>
          <w:rFonts w:ascii="Times New Roman" w:hAnsi="Times New Roman" w:cs="Times New Roman"/>
          <w:sz w:val="28"/>
          <w:szCs w:val="28"/>
          <w:lang w:val="uk-UA"/>
        </w:rPr>
        <w:t xml:space="preserve"> </w:t>
      </w:r>
      <w:r w:rsidRPr="00C52679">
        <w:rPr>
          <w:rFonts w:ascii="Times New Roman" w:hAnsi="Times New Roman" w:cs="Times New Roman"/>
          <w:sz w:val="28"/>
          <w:szCs w:val="28"/>
          <w:lang w:val="en-US"/>
        </w:rPr>
        <w:t xml:space="preserve">prospective pilot clinical trial. </w:t>
      </w:r>
      <w:r w:rsidRPr="00C52679">
        <w:rPr>
          <w:rFonts w:ascii="Times New Roman" w:hAnsi="Times New Roman" w:cs="Times New Roman"/>
          <w:sz w:val="28"/>
          <w:szCs w:val="28"/>
          <w:lang w:val="uk-UA"/>
        </w:rPr>
        <w:t>/</w:t>
      </w:r>
      <w:r w:rsidRPr="00C52679">
        <w:rPr>
          <w:rFonts w:ascii="Times New Roman" w:hAnsi="Times New Roman" w:cs="Times New Roman"/>
          <w:bCs/>
          <w:sz w:val="28"/>
          <w:szCs w:val="28"/>
          <w:lang w:val="en-US"/>
        </w:rPr>
        <w:t xml:space="preserve"> H.</w:t>
      </w:r>
      <w:r w:rsidRPr="00C52679">
        <w:rPr>
          <w:rFonts w:ascii="Times New Roman" w:hAnsi="Times New Roman" w:cs="Times New Roman"/>
          <w:bCs/>
          <w:sz w:val="28"/>
          <w:szCs w:val="28"/>
          <w:lang w:val="uk-UA"/>
        </w:rPr>
        <w:t> </w:t>
      </w:r>
      <w:r w:rsidRPr="00C52679">
        <w:rPr>
          <w:rFonts w:ascii="Times New Roman" w:hAnsi="Times New Roman" w:cs="Times New Roman"/>
          <w:bCs/>
          <w:sz w:val="28"/>
          <w:szCs w:val="28"/>
          <w:lang w:val="en-US"/>
        </w:rPr>
        <w:t>Gabr, A.</w:t>
      </w:r>
      <w:r w:rsidRPr="00C52679">
        <w:rPr>
          <w:rFonts w:ascii="Times New Roman" w:hAnsi="Times New Roman" w:cs="Times New Roman"/>
          <w:bCs/>
          <w:sz w:val="28"/>
          <w:szCs w:val="28"/>
          <w:lang w:val="uk-UA"/>
        </w:rPr>
        <w:t> </w:t>
      </w:r>
      <w:r w:rsidRPr="00C52679">
        <w:rPr>
          <w:rFonts w:ascii="Times New Roman" w:hAnsi="Times New Roman" w:cs="Times New Roman"/>
          <w:bCs/>
          <w:sz w:val="28"/>
          <w:szCs w:val="28"/>
          <w:lang w:val="en-US"/>
        </w:rPr>
        <w:t>Hedayet, U.</w:t>
      </w:r>
      <w:r w:rsidRPr="00C52679">
        <w:rPr>
          <w:rFonts w:ascii="Times New Roman" w:hAnsi="Times New Roman" w:cs="Times New Roman"/>
          <w:bCs/>
          <w:sz w:val="28"/>
          <w:szCs w:val="28"/>
          <w:lang w:val="uk-UA"/>
        </w:rPr>
        <w:t> </w:t>
      </w:r>
      <w:r w:rsidRPr="00C52679">
        <w:rPr>
          <w:rFonts w:ascii="Times New Roman" w:hAnsi="Times New Roman" w:cs="Times New Roman"/>
          <w:bCs/>
          <w:sz w:val="28"/>
          <w:szCs w:val="28"/>
          <w:lang w:val="en-US"/>
        </w:rPr>
        <w:t>Imam, M</w:t>
      </w:r>
      <w:r w:rsidRPr="00C52679">
        <w:rPr>
          <w:rFonts w:ascii="Times New Roman" w:hAnsi="Times New Roman" w:cs="Times New Roman"/>
          <w:bCs/>
          <w:sz w:val="28"/>
          <w:szCs w:val="28"/>
          <w:lang w:val="uk-UA"/>
        </w:rPr>
        <w:t>. </w:t>
      </w:r>
      <w:r w:rsidRPr="00C52679">
        <w:rPr>
          <w:rFonts w:ascii="Times New Roman" w:hAnsi="Times New Roman" w:cs="Times New Roman"/>
          <w:bCs/>
          <w:sz w:val="28"/>
          <w:szCs w:val="28"/>
          <w:lang w:val="en-US"/>
        </w:rPr>
        <w:t xml:space="preserve"> Nasser</w:t>
      </w:r>
      <w:r w:rsidRPr="00C52679">
        <w:rPr>
          <w:rFonts w:ascii="Times New Roman" w:hAnsi="Times New Roman" w:cs="Times New Roman"/>
          <w:bCs/>
          <w:sz w:val="28"/>
          <w:szCs w:val="28"/>
          <w:lang w:val="uk-UA"/>
        </w:rPr>
        <w:t xml:space="preserve"> </w:t>
      </w:r>
      <w:r w:rsidRPr="00C52679">
        <w:rPr>
          <w:rFonts w:ascii="Times New Roman" w:hAnsi="Times New Roman" w:cs="Times New Roman"/>
          <w:sz w:val="28"/>
          <w:szCs w:val="28"/>
          <w:lang w:val="uk-UA"/>
        </w:rPr>
        <w:t>//</w:t>
      </w:r>
      <w:r w:rsidRPr="00C52679">
        <w:rPr>
          <w:rFonts w:ascii="Times New Roman" w:hAnsi="Times New Roman" w:cs="Times New Roman"/>
          <w:sz w:val="28"/>
          <w:szCs w:val="28"/>
          <w:lang w:val="en-US"/>
        </w:rPr>
        <w:t>Exp. Clin. Transplant</w:t>
      </w:r>
      <w:r w:rsidRPr="00C52679">
        <w:rPr>
          <w:rFonts w:ascii="Times New Roman" w:hAnsi="Times New Roman" w:cs="Times New Roman"/>
          <w:sz w:val="28"/>
          <w:szCs w:val="28"/>
          <w:lang w:val="uk-UA"/>
        </w:rPr>
        <w:t>.</w:t>
      </w:r>
      <w:r w:rsidRPr="00C52679">
        <w:rPr>
          <w:rFonts w:ascii="Times New Roman" w:hAnsi="Times New Roman" w:cs="Times New Roman"/>
          <w:sz w:val="28"/>
          <w:szCs w:val="28"/>
          <w:lang w:val="uk-UA"/>
        </w:rPr>
        <w:noBreakHyphen/>
      </w:r>
      <w:r w:rsidRPr="00C52679">
        <w:rPr>
          <w:rFonts w:ascii="Times New Roman" w:hAnsi="Times New Roman" w:cs="Times New Roman"/>
          <w:sz w:val="28"/>
          <w:szCs w:val="28"/>
          <w:lang w:val="en-US"/>
        </w:rPr>
        <w:t>2011</w:t>
      </w:r>
      <w:r w:rsidRPr="00C52679">
        <w:rPr>
          <w:rFonts w:ascii="Times New Roman" w:hAnsi="Times New Roman" w:cs="Times New Roman"/>
          <w:sz w:val="28"/>
          <w:szCs w:val="28"/>
          <w:lang w:val="uk-UA"/>
        </w:rPr>
        <w:t>.</w:t>
      </w:r>
      <w:r w:rsidRPr="00C52679">
        <w:rPr>
          <w:rFonts w:ascii="Times New Roman" w:hAnsi="Times New Roman" w:cs="Times New Roman"/>
          <w:sz w:val="28"/>
          <w:szCs w:val="28"/>
          <w:lang w:val="uk-UA"/>
        </w:rPr>
        <w:noBreakHyphen/>
        <w:t>№</w:t>
      </w:r>
      <w:r w:rsidRPr="00C52679">
        <w:rPr>
          <w:rFonts w:ascii="Times New Roman" w:hAnsi="Times New Roman" w:cs="Times New Roman"/>
          <w:sz w:val="28"/>
          <w:szCs w:val="28"/>
          <w:lang w:val="en-US"/>
        </w:rPr>
        <w:t xml:space="preserve"> 9(3</w:t>
      </w:r>
      <w:r w:rsidRPr="00C52679">
        <w:rPr>
          <w:rFonts w:ascii="Times New Roman" w:hAnsi="Times New Roman" w:cs="Times New Roman"/>
          <w:sz w:val="28"/>
          <w:szCs w:val="28"/>
          <w:lang w:val="uk-UA"/>
        </w:rPr>
        <w:t>).</w:t>
      </w:r>
      <w:r w:rsidRPr="00C52679">
        <w:rPr>
          <w:rFonts w:ascii="Times New Roman" w:hAnsi="Times New Roman" w:cs="Times New Roman"/>
          <w:sz w:val="28"/>
          <w:szCs w:val="28"/>
          <w:lang w:val="uk-UA"/>
        </w:rPr>
        <w:noBreakHyphen/>
        <w:t>Р.</w:t>
      </w:r>
      <w:r w:rsidRPr="00C52679">
        <w:rPr>
          <w:rFonts w:ascii="Times New Roman" w:hAnsi="Times New Roman" w:cs="Times New Roman"/>
          <w:sz w:val="28"/>
          <w:szCs w:val="28"/>
          <w:lang w:val="en-US"/>
        </w:rPr>
        <w:t>197–202.</w:t>
      </w:r>
      <w:r w:rsidRPr="00C52679">
        <w:rPr>
          <w:rFonts w:ascii="Times New Roman" w:hAnsi="Times New Roman"/>
          <w:sz w:val="28"/>
          <w:szCs w:val="28"/>
          <w:lang w:val="uk-UA"/>
        </w:rPr>
        <w:t xml:space="preserve"> </w:t>
      </w:r>
    </w:p>
    <w:p w:rsidR="00F506C5" w:rsidRPr="00C52679" w:rsidRDefault="00F506C5" w:rsidP="00B43186">
      <w:pPr>
        <w:widowControl w:val="0"/>
        <w:numPr>
          <w:ilvl w:val="0"/>
          <w:numId w:val="1"/>
        </w:numPr>
        <w:suppressAutoHyphens/>
        <w:spacing w:after="0" w:line="360" w:lineRule="auto"/>
        <w:ind w:left="-567" w:firstLine="567"/>
        <w:jc w:val="both"/>
        <w:rPr>
          <w:rFonts w:ascii="Times New Roman" w:hAnsi="Times New Roman" w:cs="Times New Roman"/>
          <w:sz w:val="28"/>
          <w:szCs w:val="28"/>
          <w:lang w:val="en-US"/>
        </w:rPr>
      </w:pPr>
      <w:r w:rsidRPr="00C52679">
        <w:rPr>
          <w:rFonts w:ascii="Times New Roman" w:hAnsi="Times New Roman"/>
          <w:sz w:val="28"/>
          <w:szCs w:val="28"/>
          <w:lang w:val="uk-UA"/>
        </w:rPr>
        <w:t>Goni S.-K.T. The optimal method of obtaining PRP for treatment of chronic limb ischaemia. / S.-K.T. Goni // Abstract book of 8th International Scientific Interdisciplinary Conference for medical students and young scientist. – Kharkiv. – 2015. – Р. 110</w:t>
      </w:r>
    </w:p>
    <w:p w:rsidR="00F506C5" w:rsidRPr="00FC65F9"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0E3771">
        <w:rPr>
          <w:rFonts w:ascii="Times New Roman" w:hAnsi="Times New Roman"/>
          <w:sz w:val="28"/>
          <w:szCs w:val="28"/>
          <w:lang w:val="uk-UA"/>
        </w:rPr>
        <w:t xml:space="preserve">Goni S.-K.T. Plasmotherapy as an additional therapeutic method in surgical and non-surgical therapy of critical limb ischemia patients / S.-K.T. Goni, V.I. Sirikh, K.V. Poradiuk // Abstract book of 9th </w:t>
      </w:r>
      <w:r w:rsidRPr="00F834B7">
        <w:rPr>
          <w:rFonts w:ascii="Times New Roman" w:hAnsi="Times New Roman"/>
          <w:sz w:val="28"/>
          <w:szCs w:val="28"/>
          <w:lang w:val="uk-UA"/>
        </w:rPr>
        <w:t>International Scientific Interdisciplinary Conference for medical students and young scientist. –  Kharkiv. – 2016. – Р.401</w:t>
      </w:r>
      <w:r w:rsidRPr="000E3771">
        <w:rPr>
          <w:rFonts w:ascii="Times New Roman" w:hAnsi="Times New Roman"/>
          <w:sz w:val="28"/>
          <w:szCs w:val="28"/>
          <w:lang w:val="uk-UA"/>
        </w:rPr>
        <w:t>.</w:t>
      </w:r>
    </w:p>
    <w:p w:rsidR="00F506C5" w:rsidRPr="00932174"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932174">
        <w:rPr>
          <w:rFonts w:ascii="Times New Roman" w:hAnsi="Times New Roman"/>
          <w:iCs/>
          <w:sz w:val="28"/>
          <w:szCs w:val="28"/>
          <w:shd w:val="clear" w:color="auto" w:fill="FFFFFF"/>
          <w:lang w:val="en-US"/>
        </w:rPr>
        <w:t xml:space="preserve">Greenacre M. </w:t>
      </w:r>
      <w:r w:rsidRPr="00932174">
        <w:rPr>
          <w:rFonts w:ascii="Times New Roman" w:hAnsi="Times New Roman"/>
          <w:sz w:val="28"/>
          <w:szCs w:val="28"/>
          <w:shd w:val="clear" w:color="auto" w:fill="FFFFFF"/>
          <w:lang w:val="en-US"/>
        </w:rPr>
        <w:t>Correspondence Analysis in Practice, 2</w:t>
      </w:r>
      <w:r w:rsidRPr="00932174">
        <w:rPr>
          <w:rFonts w:ascii="Times New Roman" w:hAnsi="Times New Roman"/>
          <w:sz w:val="28"/>
          <w:szCs w:val="28"/>
          <w:shd w:val="clear" w:color="auto" w:fill="FFFFFF"/>
          <w:vertAlign w:val="superscript"/>
          <w:lang w:val="en-US"/>
        </w:rPr>
        <w:t>nd</w:t>
      </w:r>
      <w:r w:rsidRPr="00932174">
        <w:rPr>
          <w:rFonts w:ascii="Times New Roman" w:hAnsi="Times New Roman"/>
          <w:sz w:val="28"/>
          <w:szCs w:val="28"/>
          <w:shd w:val="clear" w:color="auto" w:fill="FFFFFF"/>
          <w:lang w:val="en-US"/>
        </w:rPr>
        <w:t xml:space="preserve"> edition</w:t>
      </w:r>
      <w:r w:rsidRPr="00932174">
        <w:rPr>
          <w:rFonts w:ascii="Times New Roman" w:hAnsi="Times New Roman"/>
          <w:iCs/>
          <w:sz w:val="28"/>
          <w:szCs w:val="28"/>
          <w:shd w:val="clear" w:color="auto" w:fill="FFFFFF"/>
          <w:lang w:val="en-US"/>
        </w:rPr>
        <w:t>. London: Chapman &amp; Hall/CRC, 2007. 274 p.</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Growing impact of restenosis on the surgical treatment of peripheral arterial disease./D.W. Jones, A. Schanzer, Y. Zhao, T.A. MacKenzie, B.W. Nolan, M.S. Conte, P.P. Goodney. //J Am Heart Assoc. – 2013. - №2. - e000345 </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Higashi Y. Autologous bone-marrow mononuclear cell implantation improves endothelium-dependent vasodilatation in patients with limb ischemia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Y.</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Higashi,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Kimura,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Hara // Circulation. – 200</w:t>
      </w:r>
      <w:r w:rsidRPr="00C61473">
        <w:rPr>
          <w:rFonts w:ascii="Times New Roman" w:hAnsi="Times New Roman" w:cs="Times New Roman"/>
          <w:sz w:val="28"/>
          <w:szCs w:val="28"/>
          <w:lang w:val="uk-UA"/>
        </w:rPr>
        <w:t xml:space="preserve">4.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№109.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.1215-</w:t>
      </w:r>
      <w:r w:rsidRPr="00C61473">
        <w:rPr>
          <w:rFonts w:ascii="Times New Roman" w:hAnsi="Times New Roman" w:cs="Times New Roman"/>
          <w:sz w:val="28"/>
          <w:szCs w:val="28"/>
          <w:lang w:val="uk-UA"/>
        </w:rPr>
        <w:t>12</w:t>
      </w:r>
      <w:r w:rsidRPr="00C61473">
        <w:rPr>
          <w:rFonts w:ascii="Times New Roman" w:hAnsi="Times New Roman" w:cs="Times New Roman"/>
          <w:sz w:val="28"/>
          <w:szCs w:val="28"/>
          <w:lang w:val="en-US"/>
        </w:rPr>
        <w:t>18.</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Human embryonic stem cell-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derived mesenchymal stromal cell transplantation in a rat hind limb injury model.</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lang w:val="en-US"/>
        </w:rPr>
        <w:t xml:space="preserve"> J.P.</w:t>
      </w:r>
      <w:r w:rsidRPr="00C61473">
        <w:rPr>
          <w:rFonts w:ascii="Times New Roman" w:hAnsi="Times New Roman" w:cs="Times New Roman"/>
          <w:sz w:val="28"/>
          <w:szCs w:val="28"/>
          <w:lang w:val="uk-UA"/>
        </w:rPr>
        <w:t> </w:t>
      </w:r>
      <w:r w:rsidRPr="00C61473">
        <w:rPr>
          <w:rFonts w:ascii="Times New Roman" w:hAnsi="Times New Roman" w:cs="Times New Roman"/>
          <w:bCs/>
          <w:sz w:val="28"/>
          <w:szCs w:val="28"/>
          <w:lang w:val="en-US"/>
        </w:rPr>
        <w:t>Laurila, L</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Laatikainen, M.D. Castellone</w:t>
      </w:r>
      <w:r w:rsidRPr="00C61473">
        <w:rPr>
          <w:rFonts w:ascii="Times New Roman" w:hAnsi="Times New Roman" w:cs="Times New Roman"/>
          <w:bCs/>
          <w:sz w:val="28"/>
          <w:szCs w:val="28"/>
          <w:lang w:val="uk-UA"/>
        </w:rPr>
        <w:t xml:space="preserve"> </w:t>
      </w:r>
      <w:r w:rsidRPr="00C61473">
        <w:rPr>
          <w:rFonts w:ascii="Times New Roman" w:hAnsi="Times New Roman" w:cs="Times New Roman"/>
          <w:bCs/>
          <w:sz w:val="28"/>
          <w:szCs w:val="28"/>
          <w:lang w:val="en-US"/>
        </w:rPr>
        <w:t>et</w:t>
      </w:r>
      <w:r w:rsidRPr="00C61473">
        <w:rPr>
          <w:rFonts w:ascii="Times New Roman" w:hAnsi="Times New Roman" w:cs="Times New Roman"/>
          <w:bCs/>
          <w:sz w:val="28"/>
          <w:szCs w:val="28"/>
          <w:lang w:val="uk-UA"/>
        </w:rPr>
        <w:t xml:space="preserve"> </w:t>
      </w:r>
      <w:r w:rsidRPr="00C61473">
        <w:rPr>
          <w:rFonts w:ascii="Times New Roman" w:hAnsi="Times New Roman" w:cs="Times New Roman"/>
          <w:bCs/>
          <w:sz w:val="28"/>
          <w:szCs w:val="28"/>
          <w:lang w:val="en-US"/>
        </w:rPr>
        <w:t>al.</w:t>
      </w:r>
      <w:r w:rsidRPr="00C61473">
        <w:rPr>
          <w:rFonts w:ascii="Times New Roman" w:hAnsi="Times New Roman" w:cs="Times New Roman"/>
          <w:bCs/>
          <w:sz w:val="28"/>
          <w:szCs w:val="28"/>
          <w:lang w:val="uk-UA"/>
        </w:rPr>
        <w:t xml:space="preserve">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Cytotherapy</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2009</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11(6)</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Р.</w:t>
      </w:r>
      <w:r w:rsidRPr="00C61473">
        <w:rPr>
          <w:rFonts w:ascii="Times New Roman" w:hAnsi="Times New Roman" w:cs="Times New Roman"/>
          <w:sz w:val="28"/>
          <w:szCs w:val="28"/>
          <w:lang w:val="en-US"/>
        </w:rPr>
        <w:t>726–737.</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Huskisson E</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 Measurement of pain.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 Huskisson E</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C.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Lancet</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1974</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2</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1127–</w:t>
      </w:r>
      <w:r w:rsidRPr="00C61473">
        <w:rPr>
          <w:rFonts w:ascii="Times New Roman" w:hAnsi="Times New Roman" w:cs="Times New Roman"/>
          <w:sz w:val="28"/>
          <w:szCs w:val="28"/>
          <w:lang w:val="uk-UA"/>
        </w:rPr>
        <w:t>11</w:t>
      </w:r>
      <w:r w:rsidRPr="00C61473">
        <w:rPr>
          <w:rFonts w:ascii="Times New Roman" w:hAnsi="Times New Roman" w:cs="Times New Roman"/>
          <w:sz w:val="28"/>
          <w:szCs w:val="28"/>
          <w:lang w:val="en-US"/>
        </w:rPr>
        <w:t>31.</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Hypoxic induction of vascular endothelial growth factor (VEGF) and angiogenesis in muscle by truncated peroxisome proliferator-activated receptor gamma coactivator (PGC)-1 </w:t>
      </w:r>
      <w:r w:rsidRPr="00C61473">
        <w:rPr>
          <w:rFonts w:ascii="Times New Roman" w:hAnsi="Times New Roman" w:cs="Times New Roman"/>
          <w:sz w:val="28"/>
          <w:szCs w:val="28"/>
        </w:rPr>
        <w:t>α</w:t>
      </w:r>
      <w:r w:rsidRPr="00C61473">
        <w:rPr>
          <w:rFonts w:ascii="Times New Roman" w:hAnsi="Times New Roman" w:cs="Times New Roman"/>
          <w:sz w:val="28"/>
          <w:szCs w:val="28"/>
          <w:lang w:val="en-US"/>
        </w:rPr>
        <w:t xml:space="preserve"> .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R</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Thom, G</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Rowe, C</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Jang, 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Safdar, Z</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Arany</w:t>
      </w:r>
      <w:r w:rsidRPr="00C61473">
        <w:rPr>
          <w:rFonts w:ascii="Times New Roman" w:hAnsi="Times New Roman" w:cs="Times New Roman"/>
          <w:iCs/>
          <w:sz w:val="28"/>
          <w:szCs w:val="28"/>
          <w:lang w:val="en-US"/>
        </w:rPr>
        <w:t>.</w:t>
      </w:r>
      <w:r w:rsidRPr="00C61473">
        <w:rPr>
          <w:rFonts w:ascii="Times New Roman" w:hAnsi="Times New Roman" w:cs="Times New Roman"/>
          <w:iCs/>
          <w:sz w:val="28"/>
          <w:szCs w:val="28"/>
          <w:lang w:val="uk-UA"/>
        </w:rPr>
        <w:t>//</w:t>
      </w:r>
      <w:r w:rsidRPr="00C61473">
        <w:rPr>
          <w:rFonts w:ascii="Times New Roman" w:hAnsi="Times New Roman" w:cs="Times New Roman"/>
          <w:iCs/>
          <w:sz w:val="28"/>
          <w:szCs w:val="28"/>
          <w:lang w:val="en-US"/>
        </w:rPr>
        <w:t xml:space="preserve"> </w:t>
      </w:r>
      <w:r w:rsidRPr="00C61473">
        <w:rPr>
          <w:rStyle w:val="af9"/>
          <w:rFonts w:ascii="Times New Roman" w:hAnsi="Times New Roman" w:cs="Times New Roman"/>
          <w:i w:val="0"/>
          <w:sz w:val="28"/>
          <w:szCs w:val="28"/>
          <w:lang w:val="en-US"/>
        </w:rPr>
        <w:t>J Biol Chem</w:t>
      </w:r>
      <w:r w:rsidRPr="00C61473">
        <w:rPr>
          <w:rFonts w:ascii="Times New Roman" w:hAnsi="Times New Roman" w:cs="Times New Roman"/>
          <w:sz w:val="28"/>
          <w:szCs w:val="28"/>
          <w:lang w:val="en-US"/>
        </w:rPr>
        <w:t xml:space="preserve">.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2014</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289</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8810-</w:t>
      </w:r>
      <w:r w:rsidRPr="00C61473">
        <w:rPr>
          <w:rFonts w:ascii="Times New Roman" w:hAnsi="Times New Roman" w:cs="Times New Roman"/>
          <w:sz w:val="28"/>
          <w:szCs w:val="28"/>
          <w:lang w:val="uk-UA"/>
        </w:rPr>
        <w:t>881</w:t>
      </w:r>
      <w:r w:rsidRPr="00C61473">
        <w:rPr>
          <w:rFonts w:ascii="Times New Roman" w:hAnsi="Times New Roman" w:cs="Times New Roman"/>
          <w:sz w:val="28"/>
          <w:szCs w:val="28"/>
          <w:lang w:val="en-US"/>
        </w:rPr>
        <w:t>7.</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Infrapopliteal angioplasty for critical limb ischemia: relation of TransAtlantic Inter SocietyConsensus class to outcome in 176 limbs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K</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Giles, F</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Pomposelli, T</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L</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Spence, 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D</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Hamdan, S.B. Blattman, H. Panossian, M.L. Schermerhorn.// J Vasc Surg. – 2008. - №48.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.128–136.</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 xml:space="preserve">Intraarterial administration of bone marrow mononuclear cells in patients with critical limb ischemia: a randomized-start, placebo-controlled pilot trial (PROVASA). </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lang w:val="en-US"/>
        </w:rPr>
        <w:t xml:space="preserve"> D.H.</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Walter, H.</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Krankenberg, J.O.</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 xml:space="preserve"> Balzer et al.</w:t>
      </w:r>
      <w:r w:rsidRPr="00C61473">
        <w:rPr>
          <w:rFonts w:ascii="Times New Roman" w:hAnsi="Times New Roman" w:cs="Times New Roman"/>
          <w:bCs/>
          <w:sz w:val="28"/>
          <w:szCs w:val="28"/>
          <w:lang w:val="uk-UA"/>
        </w:rPr>
        <w:t xml:space="preserve">// </w:t>
      </w:r>
      <w:r w:rsidRPr="00C61473">
        <w:rPr>
          <w:rFonts w:ascii="Times New Roman" w:hAnsi="Times New Roman" w:cs="Times New Roman"/>
          <w:sz w:val="28"/>
          <w:szCs w:val="28"/>
          <w:lang w:val="en-US"/>
        </w:rPr>
        <w:t>Circ. Cardiovasc. Interv.</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2011</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4(1)</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Р.</w:t>
      </w:r>
      <w:r w:rsidRPr="00C61473">
        <w:rPr>
          <w:rFonts w:ascii="Times New Roman" w:hAnsi="Times New Roman" w:cs="Times New Roman"/>
          <w:sz w:val="28"/>
          <w:szCs w:val="28"/>
          <w:lang w:val="en-US"/>
        </w:rPr>
        <w:t xml:space="preserve"> 26–37.</w:t>
      </w:r>
      <w:r w:rsidRPr="00C61473">
        <w:rPr>
          <w:rFonts w:ascii="Times New Roman" w:hAnsi="Times New Roman" w:cs="Times New Roman"/>
          <w:sz w:val="28"/>
          <w:szCs w:val="28"/>
          <w:lang w:val="uk-UA"/>
        </w:rPr>
        <w:t xml:space="preserve"> </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uk-UA"/>
        </w:rPr>
        <w:t>Inter-Society Consensus for the Management of Peripheral Arterial Disease (TASC II)</w:t>
      </w:r>
      <w:r w:rsidRPr="00C61473">
        <w:rPr>
          <w:rFonts w:ascii="Times New Roman" w:hAnsi="Times New Roman" w:cs="Times New Roman"/>
          <w:sz w:val="28"/>
          <w:szCs w:val="28"/>
          <w:lang w:val="en-US"/>
        </w:rPr>
        <w:t>/</w:t>
      </w:r>
      <w:r w:rsidRPr="00C61473">
        <w:rPr>
          <w:rFonts w:ascii="Times New Roman" w:hAnsi="Times New Roman" w:cs="Times New Roman"/>
          <w:sz w:val="28"/>
          <w:szCs w:val="28"/>
          <w:lang w:val="uk-UA"/>
        </w:rPr>
        <w:t xml:space="preserve">L. Norgren, W.R. Hiatt, J.A. Dormandy, M.R. Nehler, K.A. Harris, F.G.R. Fowkes, on behalf of the TASC II Working Group//– 2007. – </w:t>
      </w:r>
      <w:r w:rsidRPr="00C61473">
        <w:rPr>
          <w:rFonts w:ascii="Times New Roman" w:hAnsi="Times New Roman" w:cs="Times New Roman"/>
          <w:sz w:val="28"/>
          <w:szCs w:val="28"/>
          <w:lang w:val="en-US"/>
        </w:rPr>
        <w:t>Vol</w:t>
      </w:r>
      <w:r w:rsidRPr="00C61473">
        <w:rPr>
          <w:rFonts w:ascii="Times New Roman" w:hAnsi="Times New Roman" w:cs="Times New Roman"/>
          <w:sz w:val="28"/>
          <w:szCs w:val="28"/>
          <w:lang w:val="uk-UA"/>
        </w:rPr>
        <w:t xml:space="preserve">. 45. – </w:t>
      </w:r>
      <w:r w:rsidRPr="00C61473">
        <w:rPr>
          <w:rFonts w:ascii="Times New Roman" w:hAnsi="Times New Roman" w:cs="Times New Roman"/>
          <w:sz w:val="28"/>
          <w:szCs w:val="28"/>
          <w:lang w:val="en-US"/>
        </w:rPr>
        <w:t>P</w:t>
      </w:r>
      <w:r w:rsidRPr="00C61473">
        <w:rPr>
          <w:rFonts w:ascii="Times New Roman" w:hAnsi="Times New Roman" w:cs="Times New Roman"/>
          <w:sz w:val="28"/>
          <w:szCs w:val="28"/>
          <w:lang w:val="uk-UA"/>
        </w:rPr>
        <w:t>.5-67.</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Ischemia- and cytokine-induced mobilization of bone marrow-derived endothelial progenitor cells for neovascularization / T. Takahashi et al.// Nat. Med. – 1999. </w:t>
      </w:r>
      <w:r w:rsidRPr="00C61473">
        <w:rPr>
          <w:rFonts w:ascii="Times New Roman" w:hAnsi="Times New Roman" w:cs="Times New Roman"/>
          <w:sz w:val="28"/>
          <w:szCs w:val="28"/>
          <w:lang w:val="en-US"/>
        </w:rPr>
        <w:noBreakHyphen/>
        <w:t xml:space="preserve"> №5.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.434-438.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Khurana R. Insights from angiogenesis trials using fibroblast growth factor for advanced arteriosclerotic disease/ R. Khurana, M. Simons // Trends Cardiovasc. Med. – 2003.</w:t>
      </w:r>
      <w:r w:rsidRPr="00C61473">
        <w:rPr>
          <w:rFonts w:ascii="Times New Roman" w:hAnsi="Times New Roman" w:cs="Times New Roman"/>
          <w:sz w:val="28"/>
          <w:szCs w:val="28"/>
          <w:lang w:val="en-US"/>
        </w:rPr>
        <w:noBreakHyphen/>
        <w:t xml:space="preserve"> № 13.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.116-122.</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Kinnaird T.</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Bone marrow–derived cells for enhancing collateral development: Mechanisms, animal data, and initial clinical experiences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T.</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Kinnaird, 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Stabile, M.S.</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Burnett, S.E.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 Epstein // Circ. Res. – 2004</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 xml:space="preserve">№ 95.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.354-</w:t>
      </w:r>
      <w:r w:rsidRPr="00C61473">
        <w:rPr>
          <w:rFonts w:ascii="Times New Roman" w:hAnsi="Times New Roman" w:cs="Times New Roman"/>
          <w:sz w:val="28"/>
          <w:szCs w:val="28"/>
          <w:lang w:val="uk-UA"/>
        </w:rPr>
        <w:t>3</w:t>
      </w:r>
      <w:r w:rsidRPr="00C61473">
        <w:rPr>
          <w:rFonts w:ascii="Times New Roman" w:hAnsi="Times New Roman" w:cs="Times New Roman"/>
          <w:sz w:val="28"/>
          <w:szCs w:val="28"/>
          <w:lang w:val="en-US"/>
        </w:rPr>
        <w:t>62.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Ko 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Therapeutic angiogenesis for critical limb ischemia.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S</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Ko, D</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Bandyk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Semin Vasc Surg.</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2014</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27</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23–31.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Kudo T. The effectiveness of percutaneous transluminal angioplasty for the treatment of critical limb ischemia: a 10-year experience</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T.</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Kudo, F.A.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Chandra, S.S. </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Ahn // J. Vasc. Surg. – 2005</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41.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.423-35.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Limb rescue: a new autologous-peripheral blood mononuclear cells technology in critical limb ischemia and chronic ulcers.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Angelis, P.</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Gentile, 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Orlandi, I.</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Bocchini, 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Di</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Pasquali, 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Agovino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et 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Tissue Eng Part C Methods.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2015</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21</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423–435.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Local gene transfer and expression following intramuscular administration of FGF-1 plasmid DNA in patients with critical limb ischemia.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I</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Baumgartner, N</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Chronos, 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Comerota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et al.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Mol Ther</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 xml:space="preserve"> 2009</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17</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914-</w:t>
      </w:r>
      <w:r w:rsidRPr="00C61473">
        <w:rPr>
          <w:rFonts w:ascii="Times New Roman" w:hAnsi="Times New Roman" w:cs="Times New Roman"/>
          <w:sz w:val="28"/>
          <w:szCs w:val="28"/>
          <w:lang w:val="uk-UA"/>
        </w:rPr>
        <w:t>9</w:t>
      </w:r>
      <w:r w:rsidRPr="00C61473">
        <w:rPr>
          <w:rFonts w:ascii="Times New Roman" w:hAnsi="Times New Roman" w:cs="Times New Roman"/>
          <w:sz w:val="28"/>
          <w:szCs w:val="28"/>
          <w:lang w:val="en-US"/>
        </w:rPr>
        <w:t>21</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Long</w:t>
      </w:r>
      <w:r w:rsidRPr="00C61473">
        <w:rPr>
          <w:rFonts w:cs="Times New Roman"/>
          <w:sz w:val="28"/>
          <w:szCs w:val="28"/>
          <w:lang w:val="en-US"/>
        </w:rPr>
        <w:t>‐</w:t>
      </w:r>
      <w:r w:rsidRPr="00C61473">
        <w:rPr>
          <w:rFonts w:ascii="Times New Roman" w:hAnsi="Times New Roman" w:cs="Times New Roman"/>
          <w:sz w:val="28"/>
          <w:szCs w:val="28"/>
          <w:lang w:val="en-US"/>
        </w:rPr>
        <w:t>term limb salvage and survival after endovascular and open revascularization for critical limb ischemia after adoption of endovascular</w:t>
      </w:r>
      <w:r w:rsidRPr="00C61473">
        <w:rPr>
          <w:rFonts w:cs="Times New Roman"/>
          <w:sz w:val="28"/>
          <w:szCs w:val="28"/>
          <w:lang w:val="en-US"/>
        </w:rPr>
        <w:t>‐</w:t>
      </w:r>
      <w:r w:rsidRPr="00C61473">
        <w:rPr>
          <w:rFonts w:ascii="Times New Roman" w:hAnsi="Times New Roman" w:cs="Times New Roman"/>
          <w:sz w:val="28"/>
          <w:szCs w:val="28"/>
          <w:lang w:val="en-US"/>
        </w:rPr>
        <w:t>first approach by vascular surgeons. / H.H. Dosluoglu, P. Lall, L.M. Harris,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L. Dryjski //J Vasc Surg.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2012</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56</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361–371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Luttun A.Vascular progenitors: from biology to treatment/ A. Luttun, G. Carmeliet, P. Carmeliet // Trends Cardiovasc. Med. – 2002.</w:t>
      </w:r>
      <w:r w:rsidRPr="00C61473">
        <w:rPr>
          <w:rFonts w:ascii="Times New Roman" w:hAnsi="Times New Roman" w:cs="Times New Roman"/>
          <w:sz w:val="28"/>
          <w:szCs w:val="28"/>
          <w:lang w:val="en-US"/>
        </w:rPr>
        <w:noBreakHyphen/>
        <w:t xml:space="preserve"> №12.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.88-96.</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Management of patients with peripheral artery disease (Compilation of 2005 and 2011 ACCF/AHA Guideline Recommendations): a report of the American College of Cardiology Foundation/American Heart Association Task Force on Practice Guidelines.// J.L. Anderson, J.L. Halperin, N.M. Albert et al //Circulation.- 2013. - №127.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.1425–1443.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shd w:val="clear" w:color="auto" w:fill="FFFFFF"/>
          <w:lang w:val="en-US"/>
        </w:rPr>
        <w:t>Marx R.E. Platelet-reach plasma (PRP): what is PRP and what is not PRP? / R. E. Marx // Implant dentistry</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shd w:val="clear" w:color="auto" w:fill="FFFFFF"/>
          <w:lang w:val="en-US"/>
        </w:rPr>
        <w:t xml:space="preserve"> 2001.</w:t>
      </w:r>
      <w:r w:rsidRPr="00C61473">
        <w:rPr>
          <w:rFonts w:ascii="Times New Roman" w:hAnsi="Times New Roman" w:cs="Times New Roman"/>
          <w:sz w:val="28"/>
          <w:szCs w:val="28"/>
          <w:shd w:val="clear" w:color="auto" w:fill="FFFFFF"/>
          <w:lang w:val="en-US"/>
        </w:rPr>
        <w:noBreakHyphen/>
        <w:t xml:space="preserve"> №4 (10). – Р.</w:t>
      </w:r>
      <w:r w:rsidRPr="00C61473">
        <w:rPr>
          <w:rFonts w:ascii="Times New Roman" w:hAnsi="Times New Roman" w:cs="Times New Roman"/>
          <w:sz w:val="28"/>
          <w:szCs w:val="28"/>
          <w:lang w:val="en-US"/>
        </w:rPr>
        <w:t xml:space="preserve"> 225–228</w:t>
      </w:r>
    </w:p>
    <w:p w:rsidR="00F506C5" w:rsidRPr="00C61473" w:rsidRDefault="00F506C5" w:rsidP="00B43186">
      <w:pPr>
        <w:numPr>
          <w:ilvl w:val="0"/>
          <w:numId w:val="1"/>
        </w:numPr>
        <w:spacing w:after="0" w:line="360" w:lineRule="auto"/>
        <w:ind w:left="-567" w:firstLine="567"/>
        <w:jc w:val="both"/>
        <w:rPr>
          <w:rStyle w:val="ref-journal"/>
          <w:rFonts w:ascii="Times New Roman" w:hAnsi="Times New Roman" w:cs="Times New Roman"/>
          <w:sz w:val="28"/>
          <w:szCs w:val="28"/>
          <w:shd w:val="clear" w:color="auto" w:fill="FFFFFF"/>
          <w:lang w:val="en-US"/>
        </w:rPr>
      </w:pPr>
      <w:r w:rsidRPr="00C61473">
        <w:rPr>
          <w:rStyle w:val="apple-converted-space"/>
          <w:rFonts w:ascii="Times New Roman" w:hAnsi="Times New Roman" w:cs="Times New Roman"/>
          <w:sz w:val="28"/>
          <w:szCs w:val="28"/>
          <w:shd w:val="clear" w:color="auto" w:fill="FFFFFF"/>
          <w:lang w:val="en-US"/>
        </w:rPr>
        <w:t>Menard M</w:t>
      </w:r>
      <w:r w:rsidRPr="00D912CA">
        <w:rPr>
          <w:rStyle w:val="apple-converted-space"/>
          <w:rFonts w:ascii="Times New Roman" w:hAnsi="Times New Roman" w:cs="Times New Roman"/>
          <w:sz w:val="28"/>
          <w:szCs w:val="28"/>
          <w:shd w:val="clear" w:color="auto" w:fill="FFFFFF"/>
          <w:lang w:val="en-US"/>
        </w:rPr>
        <w:t>.</w:t>
      </w:r>
      <w:r w:rsidRPr="00C61473">
        <w:rPr>
          <w:rStyle w:val="apple-converted-space"/>
          <w:rFonts w:ascii="Times New Roman" w:hAnsi="Times New Roman" w:cs="Times New Roman"/>
          <w:sz w:val="28"/>
          <w:szCs w:val="28"/>
          <w:shd w:val="clear" w:color="auto" w:fill="FFFFFF"/>
          <w:lang w:val="en-US"/>
        </w:rPr>
        <w:t>T. The BEST-CLI trial: a multidisciplinary effort to assess whether surgical or endovascular therapy is better for patients with critical limb ischemia.</w:t>
      </w:r>
      <w:r w:rsidRPr="00D912CA">
        <w:rPr>
          <w:rStyle w:val="apple-converted-space"/>
          <w:rFonts w:ascii="Times New Roman" w:hAnsi="Times New Roman" w:cs="Times New Roman"/>
          <w:sz w:val="28"/>
          <w:szCs w:val="28"/>
          <w:shd w:val="clear" w:color="auto" w:fill="FFFFFF"/>
          <w:lang w:val="en-US"/>
        </w:rPr>
        <w:t>/</w:t>
      </w:r>
      <w:r w:rsidRPr="00C61473">
        <w:rPr>
          <w:rStyle w:val="apple-converted-space"/>
          <w:rFonts w:ascii="Times New Roman" w:hAnsi="Times New Roman" w:cs="Times New Roman"/>
          <w:sz w:val="28"/>
          <w:szCs w:val="28"/>
          <w:shd w:val="clear" w:color="auto" w:fill="FFFFFF"/>
          <w:lang w:val="en-US"/>
        </w:rPr>
        <w:t xml:space="preserve"> M</w:t>
      </w:r>
      <w:r w:rsidRPr="00C61473">
        <w:rPr>
          <w:rStyle w:val="apple-converted-space"/>
          <w:rFonts w:ascii="Times New Roman" w:hAnsi="Times New Roman" w:cs="Times New Roman"/>
          <w:sz w:val="28"/>
          <w:szCs w:val="28"/>
          <w:shd w:val="clear" w:color="auto" w:fill="FFFFFF"/>
        </w:rPr>
        <w:t>.</w:t>
      </w:r>
      <w:r w:rsidRPr="00C61473">
        <w:rPr>
          <w:rStyle w:val="apple-converted-space"/>
          <w:rFonts w:ascii="Times New Roman" w:hAnsi="Times New Roman" w:cs="Times New Roman"/>
          <w:sz w:val="28"/>
          <w:szCs w:val="28"/>
          <w:shd w:val="clear" w:color="auto" w:fill="FFFFFF"/>
          <w:lang w:val="en-US"/>
        </w:rPr>
        <w:t>T. Menard, A</w:t>
      </w:r>
      <w:r w:rsidRPr="00C61473">
        <w:rPr>
          <w:rStyle w:val="apple-converted-space"/>
          <w:rFonts w:ascii="Times New Roman" w:hAnsi="Times New Roman" w:cs="Times New Roman"/>
          <w:sz w:val="28"/>
          <w:szCs w:val="28"/>
          <w:shd w:val="clear" w:color="auto" w:fill="FFFFFF"/>
        </w:rPr>
        <w:t>. </w:t>
      </w:r>
      <w:r w:rsidRPr="00C61473">
        <w:rPr>
          <w:rStyle w:val="apple-converted-space"/>
          <w:rFonts w:ascii="Times New Roman" w:hAnsi="Times New Roman" w:cs="Times New Roman"/>
          <w:sz w:val="28"/>
          <w:szCs w:val="28"/>
          <w:shd w:val="clear" w:color="auto" w:fill="FFFFFF"/>
          <w:lang w:val="en-US"/>
        </w:rPr>
        <w:t xml:space="preserve">Farber </w:t>
      </w:r>
      <w:r w:rsidRPr="00C61473">
        <w:rPr>
          <w:rStyle w:val="apple-converted-space"/>
          <w:rFonts w:ascii="Times New Roman" w:hAnsi="Times New Roman" w:cs="Times New Roman"/>
          <w:sz w:val="28"/>
          <w:szCs w:val="28"/>
          <w:shd w:val="clear" w:color="auto" w:fill="FFFFFF"/>
        </w:rPr>
        <w:t>//</w:t>
      </w:r>
      <w:r w:rsidRPr="00C61473">
        <w:rPr>
          <w:rStyle w:val="apple-converted-space"/>
          <w:rFonts w:ascii="Times New Roman" w:hAnsi="Times New Roman" w:cs="Times New Roman"/>
          <w:sz w:val="28"/>
          <w:szCs w:val="28"/>
          <w:shd w:val="clear" w:color="auto" w:fill="FFFFFF"/>
          <w:lang w:val="en-US"/>
        </w:rPr>
        <w:t xml:space="preserve"> Semin Vasc Surg </w:t>
      </w:r>
      <w:r w:rsidRPr="00C61473">
        <w:rPr>
          <w:rStyle w:val="apple-converted-space"/>
          <w:rFonts w:ascii="Times New Roman" w:hAnsi="Times New Roman" w:cs="Times New Roman"/>
          <w:sz w:val="28"/>
          <w:szCs w:val="28"/>
          <w:shd w:val="clear" w:color="auto" w:fill="FFFFFF"/>
        </w:rPr>
        <w:t xml:space="preserve">. – </w:t>
      </w:r>
      <w:r w:rsidRPr="00C61473">
        <w:rPr>
          <w:rStyle w:val="apple-converted-space"/>
          <w:rFonts w:ascii="Times New Roman" w:hAnsi="Times New Roman" w:cs="Times New Roman"/>
          <w:sz w:val="28"/>
          <w:szCs w:val="28"/>
          <w:shd w:val="clear" w:color="auto" w:fill="FFFFFF"/>
          <w:lang w:val="en-US"/>
        </w:rPr>
        <w:t>2014</w:t>
      </w:r>
      <w:r w:rsidRPr="00C61473">
        <w:rPr>
          <w:rStyle w:val="apple-converted-space"/>
          <w:rFonts w:ascii="Times New Roman" w:hAnsi="Times New Roman" w:cs="Times New Roman"/>
          <w:sz w:val="28"/>
          <w:szCs w:val="28"/>
          <w:shd w:val="clear" w:color="auto" w:fill="FFFFFF"/>
        </w:rPr>
        <w:t>. - №</w:t>
      </w:r>
      <w:r w:rsidRPr="00C61473">
        <w:rPr>
          <w:rStyle w:val="apple-converted-space"/>
          <w:rFonts w:ascii="Times New Roman" w:hAnsi="Times New Roman" w:cs="Times New Roman"/>
          <w:sz w:val="28"/>
          <w:szCs w:val="28"/>
          <w:shd w:val="clear" w:color="auto" w:fill="FFFFFF"/>
          <w:lang w:val="en-US"/>
        </w:rPr>
        <w:t>27</w:t>
      </w:r>
      <w:r w:rsidRPr="00C61473">
        <w:rPr>
          <w:rStyle w:val="apple-converted-space"/>
          <w:rFonts w:ascii="Times New Roman" w:hAnsi="Times New Roman" w:cs="Times New Roman"/>
          <w:sz w:val="28"/>
          <w:szCs w:val="28"/>
          <w:shd w:val="clear" w:color="auto" w:fill="FFFFFF"/>
        </w:rPr>
        <w:t>. – Р.</w:t>
      </w:r>
      <w:r w:rsidRPr="00C61473">
        <w:rPr>
          <w:rStyle w:val="apple-converted-space"/>
          <w:rFonts w:ascii="Times New Roman" w:hAnsi="Times New Roman" w:cs="Times New Roman"/>
          <w:sz w:val="28"/>
          <w:szCs w:val="28"/>
          <w:shd w:val="clear" w:color="auto" w:fill="FFFFFF"/>
          <w:lang w:val="en-US"/>
        </w:rPr>
        <w:t>82-</w:t>
      </w:r>
      <w:r w:rsidRPr="00C61473">
        <w:rPr>
          <w:rStyle w:val="apple-converted-space"/>
          <w:rFonts w:ascii="Times New Roman" w:hAnsi="Times New Roman" w:cs="Times New Roman"/>
          <w:sz w:val="28"/>
          <w:szCs w:val="28"/>
          <w:shd w:val="clear" w:color="auto" w:fill="FFFFFF"/>
        </w:rPr>
        <w:t>8</w:t>
      </w:r>
      <w:r w:rsidRPr="00C61473">
        <w:rPr>
          <w:rStyle w:val="apple-converted-space"/>
          <w:rFonts w:ascii="Times New Roman" w:hAnsi="Times New Roman" w:cs="Times New Roman"/>
          <w:sz w:val="28"/>
          <w:szCs w:val="28"/>
          <w:shd w:val="clear" w:color="auto" w:fill="FFFFFF"/>
          <w:lang w:val="en-US"/>
        </w:rPr>
        <w:t>4.</w:t>
      </w:r>
    </w:p>
    <w:p w:rsidR="00F506C5" w:rsidRPr="00C61473" w:rsidRDefault="00F506C5" w:rsidP="00B43186">
      <w:pPr>
        <w:pStyle w:val="ad"/>
        <w:numPr>
          <w:ilvl w:val="0"/>
          <w:numId w:val="1"/>
        </w:numPr>
        <w:spacing w:after="0" w:line="360" w:lineRule="auto"/>
        <w:ind w:left="-567" w:right="141" w:firstLine="567"/>
        <w:contextualSpacing w:val="0"/>
        <w:jc w:val="both"/>
        <w:rPr>
          <w:rStyle w:val="mixed-citation"/>
          <w:rFonts w:ascii="Times New Roman" w:hAnsi="Times New Roman" w:cs="Times New Roman"/>
          <w:sz w:val="28"/>
          <w:szCs w:val="28"/>
          <w:lang w:val="en-US"/>
        </w:rPr>
      </w:pPr>
      <w:r w:rsidRPr="00C61473">
        <w:rPr>
          <w:rStyle w:val="ref-journal"/>
          <w:rFonts w:ascii="Times New Roman" w:hAnsi="Times New Roman" w:cs="Times New Roman"/>
          <w:sz w:val="28"/>
          <w:szCs w:val="28"/>
          <w:lang w:val="en-US"/>
        </w:rPr>
        <w:t>Mitogenic stimulation of human mesenchymal stem cells by platelet release suggest a mechanism for enhancement of bone repair by platelet concentrates</w:t>
      </w:r>
      <w:r w:rsidRPr="00C61473">
        <w:rPr>
          <w:rStyle w:val="mixed-citation"/>
          <w:rFonts w:ascii="Times New Roman" w:hAnsi="Times New Roman" w:cs="Times New Roman"/>
          <w:sz w:val="28"/>
          <w:szCs w:val="28"/>
          <w:lang w:val="en-US"/>
        </w:rPr>
        <w:t xml:space="preserve">. </w:t>
      </w:r>
      <w:r w:rsidRPr="00C61473">
        <w:rPr>
          <w:rStyle w:val="mixed-citation"/>
          <w:rFonts w:ascii="Times New Roman" w:hAnsi="Times New Roman" w:cs="Times New Roman"/>
          <w:sz w:val="28"/>
          <w:szCs w:val="28"/>
          <w:lang w:val="uk-UA"/>
        </w:rPr>
        <w:t>/</w:t>
      </w:r>
      <w:r w:rsidRPr="00C61473">
        <w:rPr>
          <w:rStyle w:val="mixed-citation"/>
          <w:rFonts w:ascii="Times New Roman" w:hAnsi="Times New Roman" w:cs="Times New Roman"/>
          <w:sz w:val="28"/>
          <w:szCs w:val="28"/>
          <w:lang w:val="en-US"/>
        </w:rPr>
        <w:t xml:space="preserve"> S</w:t>
      </w:r>
      <w:r w:rsidRPr="00C61473">
        <w:rPr>
          <w:rStyle w:val="mixed-citation"/>
          <w:rFonts w:ascii="Times New Roman" w:hAnsi="Times New Roman" w:cs="Times New Roman"/>
          <w:sz w:val="28"/>
          <w:szCs w:val="28"/>
          <w:lang w:val="uk-UA"/>
        </w:rPr>
        <w:t>.</w:t>
      </w:r>
      <w:r w:rsidRPr="00C61473">
        <w:rPr>
          <w:rStyle w:val="mixed-citation"/>
          <w:rFonts w:ascii="Times New Roman" w:hAnsi="Times New Roman" w:cs="Times New Roman"/>
          <w:sz w:val="28"/>
          <w:szCs w:val="28"/>
          <w:lang w:val="en-US"/>
        </w:rPr>
        <w:t>E</w:t>
      </w:r>
      <w:r w:rsidRPr="00C61473">
        <w:rPr>
          <w:rStyle w:val="mixed-citation"/>
          <w:rFonts w:ascii="Times New Roman" w:hAnsi="Times New Roman" w:cs="Times New Roman"/>
          <w:sz w:val="28"/>
          <w:szCs w:val="28"/>
          <w:lang w:val="uk-UA"/>
        </w:rPr>
        <w:t>. </w:t>
      </w:r>
      <w:r w:rsidRPr="00C61473">
        <w:rPr>
          <w:rStyle w:val="mixed-citation"/>
          <w:rFonts w:ascii="Times New Roman" w:hAnsi="Times New Roman" w:cs="Times New Roman"/>
          <w:sz w:val="28"/>
          <w:szCs w:val="28"/>
          <w:lang w:val="en-US"/>
        </w:rPr>
        <w:t>Haynesworth, S</w:t>
      </w:r>
      <w:r w:rsidRPr="00C61473">
        <w:rPr>
          <w:rStyle w:val="mixed-citation"/>
          <w:rFonts w:ascii="Times New Roman" w:hAnsi="Times New Roman" w:cs="Times New Roman"/>
          <w:sz w:val="28"/>
          <w:szCs w:val="28"/>
          <w:lang w:val="uk-UA"/>
        </w:rPr>
        <w:t>. </w:t>
      </w:r>
      <w:r w:rsidRPr="00C61473">
        <w:rPr>
          <w:rStyle w:val="mixed-citation"/>
          <w:rFonts w:ascii="Times New Roman" w:hAnsi="Times New Roman" w:cs="Times New Roman"/>
          <w:sz w:val="28"/>
          <w:szCs w:val="28"/>
          <w:lang w:val="en-US"/>
        </w:rPr>
        <w:t>Kadiyala, L</w:t>
      </w:r>
      <w:r w:rsidRPr="00C61473">
        <w:rPr>
          <w:rStyle w:val="mixed-citation"/>
          <w:rFonts w:ascii="Times New Roman" w:hAnsi="Times New Roman" w:cs="Times New Roman"/>
          <w:sz w:val="28"/>
          <w:szCs w:val="28"/>
          <w:lang w:val="uk-UA"/>
        </w:rPr>
        <w:t>.</w:t>
      </w:r>
      <w:r w:rsidRPr="00C61473">
        <w:rPr>
          <w:rStyle w:val="mixed-citation"/>
          <w:rFonts w:ascii="Times New Roman" w:hAnsi="Times New Roman" w:cs="Times New Roman"/>
          <w:sz w:val="28"/>
          <w:szCs w:val="28"/>
          <w:lang w:val="en-US"/>
        </w:rPr>
        <w:t>N</w:t>
      </w:r>
      <w:r w:rsidRPr="00C61473">
        <w:rPr>
          <w:rStyle w:val="mixed-citation"/>
          <w:rFonts w:ascii="Times New Roman" w:hAnsi="Times New Roman" w:cs="Times New Roman"/>
          <w:sz w:val="28"/>
          <w:szCs w:val="28"/>
          <w:lang w:val="uk-UA"/>
        </w:rPr>
        <w:t>. </w:t>
      </w:r>
      <w:r w:rsidRPr="00C61473">
        <w:rPr>
          <w:rStyle w:val="mixed-citation"/>
          <w:rFonts w:ascii="Times New Roman" w:hAnsi="Times New Roman" w:cs="Times New Roman"/>
          <w:sz w:val="28"/>
          <w:szCs w:val="28"/>
          <w:lang w:val="en-US"/>
        </w:rPr>
        <w:t>Liang, et al</w:t>
      </w:r>
      <w:r w:rsidRPr="00C61473">
        <w:rPr>
          <w:rStyle w:val="mixed-citation"/>
          <w:rFonts w:ascii="Times New Roman" w:hAnsi="Times New Roman" w:cs="Times New Roman"/>
          <w:sz w:val="28"/>
          <w:szCs w:val="28"/>
          <w:lang w:val="uk-UA"/>
        </w:rPr>
        <w:t>//</w:t>
      </w:r>
      <w:r w:rsidRPr="00C61473">
        <w:rPr>
          <w:rStyle w:val="mixed-citation"/>
          <w:rFonts w:ascii="Times New Roman" w:hAnsi="Times New Roman" w:cs="Times New Roman"/>
          <w:sz w:val="28"/>
          <w:szCs w:val="28"/>
          <w:lang w:val="en-US"/>
        </w:rPr>
        <w:t>Presented at the 48th Annual Meeting of the Orthopedic Research Society, Dallas, TX, February</w:t>
      </w:r>
      <w:r w:rsidRPr="00C61473">
        <w:rPr>
          <w:rStyle w:val="mixed-citation"/>
          <w:rFonts w:ascii="Times New Roman" w:hAnsi="Times New Roman" w:cs="Times New Roman"/>
          <w:sz w:val="28"/>
          <w:szCs w:val="28"/>
          <w:lang w:val="uk-UA"/>
        </w:rPr>
        <w:t>.</w:t>
      </w:r>
      <w:r w:rsidRPr="00C61473">
        <w:rPr>
          <w:rStyle w:val="mixed-citation"/>
          <w:rFonts w:ascii="Times New Roman" w:hAnsi="Times New Roman" w:cs="Times New Roman"/>
          <w:sz w:val="28"/>
          <w:szCs w:val="28"/>
          <w:lang w:val="uk-UA"/>
        </w:rPr>
        <w:noBreakHyphen/>
      </w:r>
      <w:r w:rsidRPr="00C61473">
        <w:rPr>
          <w:rStyle w:val="mixed-citation"/>
          <w:rFonts w:ascii="Times New Roman" w:hAnsi="Times New Roman" w:cs="Times New Roman"/>
          <w:sz w:val="28"/>
          <w:szCs w:val="28"/>
          <w:lang w:val="en-US"/>
        </w:rPr>
        <w:t>2002.</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Molecular evaluation of endothelial progenitor patients with ischemic limbs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Miyamoto et al. // Ather., Thromb., and Vasc. Biology. – 2004</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24.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.192-202.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en-US"/>
        </w:rPr>
        <w:lastRenderedPageBreak/>
        <w:t>Mortality</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after</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major</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amputation</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in</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diabetic</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patients</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with</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critical</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limb</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ischemia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who</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and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not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undergo</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previous</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peripheral</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revascularization</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Data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of</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cohort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study</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of</w:t>
      </w:r>
      <w:r w:rsidRPr="00C61473">
        <w:rPr>
          <w:rFonts w:ascii="Times New Roman" w:hAnsi="Times New Roman" w:cs="Times New Roman"/>
          <w:sz w:val="28"/>
          <w:szCs w:val="28"/>
          <w:shd w:val="clear" w:color="auto" w:fill="FFFFFF"/>
          <w:lang w:val="uk-UA"/>
        </w:rPr>
        <w:t xml:space="preserve"> 564 </w:t>
      </w:r>
      <w:r w:rsidRPr="00C61473">
        <w:rPr>
          <w:rFonts w:ascii="Times New Roman" w:hAnsi="Times New Roman" w:cs="Times New Roman"/>
          <w:sz w:val="28"/>
          <w:szCs w:val="28"/>
          <w:shd w:val="clear" w:color="auto" w:fill="FFFFFF"/>
          <w:lang w:val="en-US"/>
        </w:rPr>
        <w:t>consecutive</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diabetic</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patients</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E</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Faglia</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et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al</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J</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Diabetes</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Complications</w:t>
      </w:r>
      <w:r w:rsidRPr="00C61473">
        <w:rPr>
          <w:rFonts w:ascii="Times New Roman" w:hAnsi="Times New Roman" w:cs="Times New Roman"/>
          <w:sz w:val="28"/>
          <w:szCs w:val="28"/>
          <w:shd w:val="clear" w:color="auto" w:fill="FFFFFF"/>
          <w:lang w:val="uk-UA"/>
        </w:rPr>
        <w:t xml:space="preserve">. — 2010. — </w:t>
      </w:r>
      <w:r w:rsidRPr="00C61473">
        <w:rPr>
          <w:rFonts w:ascii="Times New Roman" w:hAnsi="Times New Roman" w:cs="Times New Roman"/>
          <w:sz w:val="28"/>
          <w:szCs w:val="28"/>
          <w:shd w:val="clear" w:color="auto" w:fill="FFFFFF"/>
          <w:lang w:val="en-US"/>
        </w:rPr>
        <w:t>Vol</w:t>
      </w:r>
      <w:r w:rsidRPr="00C61473">
        <w:rPr>
          <w:rFonts w:ascii="Times New Roman" w:hAnsi="Times New Roman" w:cs="Times New Roman"/>
          <w:sz w:val="28"/>
          <w:szCs w:val="28"/>
          <w:shd w:val="clear" w:color="auto" w:fill="FFFFFF"/>
          <w:lang w:val="uk-UA"/>
        </w:rPr>
        <w:t xml:space="preserve">. 24, </w:t>
      </w:r>
      <w:r w:rsidRPr="00C61473">
        <w:rPr>
          <w:rFonts w:ascii="Times New Roman" w:hAnsi="Times New Roman" w:cs="Times New Roman"/>
          <w:sz w:val="28"/>
          <w:szCs w:val="28"/>
          <w:shd w:val="clear" w:color="auto" w:fill="FFFFFF"/>
          <w:lang w:val="en-US"/>
        </w:rPr>
        <w:t>N</w:t>
      </w:r>
      <w:r w:rsidRPr="00C61473">
        <w:rPr>
          <w:rFonts w:ascii="Times New Roman" w:hAnsi="Times New Roman" w:cs="Times New Roman"/>
          <w:sz w:val="28"/>
          <w:szCs w:val="28"/>
          <w:shd w:val="clear" w:color="auto" w:fill="FFFFFF"/>
          <w:lang w:val="uk-UA"/>
        </w:rPr>
        <w:t xml:space="preserve"> 4. — </w:t>
      </w:r>
      <w:r w:rsidRPr="00C61473">
        <w:rPr>
          <w:rFonts w:ascii="Times New Roman" w:hAnsi="Times New Roman" w:cs="Times New Roman"/>
          <w:sz w:val="28"/>
          <w:szCs w:val="28"/>
          <w:shd w:val="clear" w:color="auto" w:fill="FFFFFF"/>
          <w:lang w:val="en-US"/>
        </w:rPr>
        <w:t>P</w:t>
      </w:r>
      <w:r w:rsidRPr="00C61473">
        <w:rPr>
          <w:rFonts w:ascii="Times New Roman" w:hAnsi="Times New Roman" w:cs="Times New Roman"/>
          <w:sz w:val="28"/>
          <w:szCs w:val="28"/>
          <w:shd w:val="clear" w:color="auto" w:fill="FFFFFF"/>
          <w:lang w:val="uk-UA"/>
        </w:rPr>
        <w:t xml:space="preserve">. 265–269., </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Multidisciplinary approach to the diagnosis and management of patients with peripheral arterial disease/ C.M. Walker , F.T. Bunch, N.G. Cavros, E.J. Dippel//Clinical Interventions In Aging. – 2015.- V 10.-</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 1147–1153</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Multidisciplinary care improves amputation</w:t>
      </w:r>
      <w:r w:rsidRPr="00C61473">
        <w:rPr>
          <w:rFonts w:cs="Times New Roman"/>
          <w:sz w:val="28"/>
          <w:szCs w:val="28"/>
          <w:lang w:val="en-US"/>
        </w:rPr>
        <w:t>‐</w:t>
      </w:r>
      <w:r w:rsidRPr="00C61473">
        <w:rPr>
          <w:rFonts w:ascii="Times New Roman" w:hAnsi="Times New Roman" w:cs="Times New Roman"/>
          <w:sz w:val="28"/>
          <w:szCs w:val="28"/>
          <w:lang w:val="en-US"/>
        </w:rPr>
        <w:t xml:space="preserve">free survival in patients with chronic critical limb ischemia. / J. Chung, J.G. Modrall, C. Ahn, L.A. Lavery, R.J. Valentine // J Vasc Surg.  – 2015. - №61.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.162–169</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 xml:space="preserve">Myoendothelial Differentiation of Human Umbilical Cord Blood–Derived Stem Cells in Ischemic Limb Tissues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Pesce, 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Orlandi, M.G.</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Iachininoto et al. // Circ. Res. – 2003</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93.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.51.</w:t>
      </w:r>
      <w:r w:rsidRPr="00C61473">
        <w:rPr>
          <w:rFonts w:ascii="Times New Roman" w:hAnsi="Times New Roman" w:cs="Times New Roman"/>
          <w:sz w:val="28"/>
          <w:szCs w:val="28"/>
          <w:shd w:val="clear" w:color="auto" w:fill="FFFFFF"/>
          <w:lang w:val="en-US"/>
        </w:rPr>
        <w:t xml:space="preserve"> </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Nakagami H.</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Novel autologous cell therapy in ischemic limb disease through growth factor secretion by cultured adipose tissue–derived stromal cells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Nakagami;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Maeda; 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Morishita // Arterioscler., Thromb., and Vasc. Biol. – 2005</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25.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.25-42.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Neovascularization capacity of mesenchymal stromal cells from critical limb ischemia patients is equivalent to healthy controls.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Gremmels,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Teraa, P</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Quax,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Den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Ouden, J</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O. Fledderus,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Verhaar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Mol Ther.</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2014</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22</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1960–1970.</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No difference in intra-arterial and intramuscular delivery of autologous bone marrow cells in patients with advanced critical limb ischemia.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Klepanec,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Mistrik, 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Altaner, M.</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Valachovicova, I.</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Olejarova, 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 xml:space="preserve">Slysko et al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Cell Transpl.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2012</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21</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1909–1918.</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en-US"/>
        </w:rPr>
        <w:t>Outcomes following infrapopliteal angioplasty for critical limb ischemia / R. C. Lo et al. // J. Vasc. Surg. — 2013. — Vol. 57, N 6. — P. 1455–1463</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t>Our treatment strategy for critical limb ischemia. / T.Yamada, K.Onishi, M.Utsunomiya et al // International Journal of Vascular Medicine.- 2013. - V 2013. - ID437471</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lang w:val="en-US"/>
        </w:rPr>
        <w:lastRenderedPageBreak/>
        <w:t xml:space="preserve">Palena L.M. The clinical utility of below-the-ankle angioplasty using “transmetatarsal artery access” in complex cases of CLI./ L.M. Palena, E. Brocco, M. Manzi//Catheter Cardiovasc Interv.- 2014. - №83.-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.123–129.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Pepper M.S. Manipulating angiogenesis. From basic science to the bedside / M.S. Pepper // Arterioscler. Thromb. Vasc. Biol. – 1997.</w:t>
      </w:r>
      <w:r w:rsidRPr="00C61473">
        <w:rPr>
          <w:rFonts w:ascii="Times New Roman" w:hAnsi="Times New Roman" w:cs="Times New Roman"/>
          <w:sz w:val="28"/>
          <w:szCs w:val="28"/>
        </w:rPr>
        <w:t xml:space="preserve"> </w:t>
      </w:r>
      <w:r w:rsidRPr="00C61473">
        <w:rPr>
          <w:rFonts w:ascii="Times New Roman" w:hAnsi="Times New Roman" w:cs="Times New Roman"/>
          <w:sz w:val="28"/>
          <w:szCs w:val="28"/>
        </w:rPr>
        <w:noBreakHyphen/>
      </w:r>
      <w:r w:rsidRPr="00C61473">
        <w:rPr>
          <w:rFonts w:ascii="Times New Roman" w:hAnsi="Times New Roman" w:cs="Times New Roman"/>
          <w:sz w:val="28"/>
          <w:szCs w:val="28"/>
          <w:lang w:val="en-US"/>
        </w:rPr>
        <w:t xml:space="preserve">№ 17.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.605-619.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Peripheral angioplasty as the first-choice revascularization procedure in diabetic patients with critical limb ischemia prospective study of 993 consecutive patients hospitalized and followed between 1999 and 2003 / E. Faglia, L. Dalla Paola et al. // Eur. J. Vasc. Endovasc. Surg. – 2005.</w:t>
      </w:r>
      <w:r w:rsidRPr="00C61473">
        <w:rPr>
          <w:rFonts w:ascii="Times New Roman" w:hAnsi="Times New Roman" w:cs="Times New Roman"/>
          <w:sz w:val="28"/>
          <w:szCs w:val="28"/>
          <w:lang w:val="en-US"/>
        </w:rPr>
        <w:noBreakHyphen/>
        <w:t xml:space="preserve"> №29.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.620-627.</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Platelet-rich plasma (PRP) promotes fetal mesenchymal stem/stromal cell migration and wound healing process./ M.G. Roubelakis, O. Trohatou, A. Roubelakis, E. Mili, I. Kalaitzopoulos, G. Papazoglou et al. // Stem Cell Rev. – 2014. - №10.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.417-428.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Prevention of limb amputation in patients with limbs ulcers by autologous peripheral blood mononuclear cell implantation.</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lang w:val="en-US"/>
        </w:rPr>
        <w:t xml:space="preserve"> A.</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Kawamura, T.</w:t>
      </w:r>
      <w:r w:rsidRPr="00C61473">
        <w:rPr>
          <w:rFonts w:ascii="Times New Roman" w:hAnsi="Times New Roman" w:cs="Times New Roman"/>
          <w:sz w:val="28"/>
          <w:szCs w:val="28"/>
          <w:lang w:val="uk-UA"/>
        </w:rPr>
        <w:t> </w:t>
      </w:r>
      <w:r w:rsidRPr="00C61473">
        <w:rPr>
          <w:rFonts w:ascii="Times New Roman" w:hAnsi="Times New Roman" w:cs="Times New Roman"/>
          <w:bCs/>
          <w:sz w:val="28"/>
          <w:szCs w:val="28"/>
          <w:lang w:val="en-US"/>
        </w:rPr>
        <w:t>Horie, I.</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Tsuda et al.</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Ther. Apher. Dial.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2005</w:t>
      </w:r>
      <w:r w:rsidRPr="00C61473">
        <w:rPr>
          <w:rFonts w:ascii="Times New Roman" w:hAnsi="Times New Roman" w:cs="Times New Roman"/>
          <w:sz w:val="28"/>
          <w:szCs w:val="28"/>
          <w:lang w:val="uk-UA"/>
        </w:rPr>
        <w:noBreakHyphen/>
        <w:t xml:space="preserve"> №</w:t>
      </w:r>
      <w:r w:rsidRPr="00C61473">
        <w:rPr>
          <w:rFonts w:ascii="Times New Roman" w:hAnsi="Times New Roman" w:cs="Times New Roman"/>
          <w:sz w:val="28"/>
          <w:szCs w:val="28"/>
          <w:lang w:val="en-US"/>
        </w:rPr>
        <w:t>9(1)</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Р.</w:t>
      </w:r>
      <w:r w:rsidRPr="00C61473">
        <w:rPr>
          <w:rFonts w:ascii="Times New Roman" w:hAnsi="Times New Roman" w:cs="Times New Roman"/>
          <w:sz w:val="28"/>
          <w:szCs w:val="28"/>
          <w:lang w:val="en-US"/>
        </w:rPr>
        <w:t xml:space="preserve"> 59–63.</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Prior failed ipsilateral percutaneous endovascular intervention in patients with critical limb ischemia predicts poor outcome after lower extremity bypass. / B.W. Nolan, R.R. De Martino, D.H. Stone, A. Schanzer, P.P. Goodney, D.W. Walsh, J.L. Cronenwett. // J Vasc Surg. – 2011. - №54.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.730–735</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Quality of life in patients with no-option critical limb ischemia underlines the need for new effective treatment./ R.W. Sprengers, M. Teraa, F.L. Moll, G.A. de Wit, Y.van der Graaf, , Verhaar, M.C.// J Vasc Surg. </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2010</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52</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843–849.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Regional angiogenesis with vascular endothelial growth factor in peripheral arterial disease: a phase II randomized, double-blind, controlled study of adenoviral delivery of vascular endothelial growth factor 121 in patients with disabling intermittent claudication. / S. Rajagopalan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 I. Mohler</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R. Lederman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 Mendelsohn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 Saucedo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 Goldman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et</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al</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Circulation.</w:t>
      </w:r>
      <w:r w:rsidRPr="00C61473">
        <w:rPr>
          <w:rFonts w:ascii="Times New Roman" w:hAnsi="Times New Roman" w:cs="Times New Roman"/>
          <w:sz w:val="28"/>
          <w:szCs w:val="28"/>
          <w:lang w:val="en-US"/>
        </w:rPr>
        <w:noBreakHyphen/>
        <w:t xml:space="preserve">2003. </w:t>
      </w:r>
      <w:r w:rsidRPr="00C61473">
        <w:rPr>
          <w:rFonts w:ascii="Times New Roman" w:hAnsi="Times New Roman" w:cs="Times New Roman"/>
          <w:sz w:val="28"/>
          <w:szCs w:val="28"/>
          <w:lang w:val="en-US"/>
        </w:rPr>
        <w:noBreakHyphen/>
        <w:t xml:space="preserve"> №108(16).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.1933-1938.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Risau W. Mechanisms of angiogenesis // Nature. – 1997.</w:t>
      </w:r>
      <w:r w:rsidRPr="00C61473">
        <w:rPr>
          <w:rFonts w:ascii="Times New Roman" w:hAnsi="Times New Roman" w:cs="Times New Roman"/>
          <w:sz w:val="28"/>
          <w:szCs w:val="28"/>
          <w:lang w:val="en-US"/>
        </w:rPr>
        <w:noBreakHyphen/>
        <w:t xml:space="preserve"> № 386.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.671-674.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Safety and effect of adipose tissue-derived stem cell implantation in patients with critical limb ischemia: 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pilot study. </w:t>
      </w:r>
      <w:r w:rsidRPr="00C61473">
        <w:rPr>
          <w:rFonts w:ascii="Times New Roman" w:hAnsi="Times New Roman" w:cs="Times New Roman"/>
          <w:sz w:val="28"/>
          <w:szCs w:val="28"/>
          <w:lang w:val="uk-UA"/>
        </w:rPr>
        <w:t>/</w:t>
      </w:r>
      <w:r w:rsidRPr="00C61473">
        <w:rPr>
          <w:rFonts w:ascii="Times New Roman" w:hAnsi="Times New Roman" w:cs="Times New Roman"/>
          <w:bCs/>
          <w:sz w:val="28"/>
          <w:szCs w:val="28"/>
          <w:lang w:val="en-US"/>
        </w:rPr>
        <w:t xml:space="preserve"> H.C.</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Lee, S.G.</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An</w:t>
      </w:r>
      <w:r w:rsidRPr="00C61473">
        <w:rPr>
          <w:rFonts w:ascii="Times New Roman" w:hAnsi="Times New Roman" w:cs="Times New Roman"/>
          <w:bCs/>
          <w:sz w:val="28"/>
          <w:szCs w:val="28"/>
          <w:lang w:val="uk-UA"/>
        </w:rPr>
        <w:t xml:space="preserve">, </w:t>
      </w:r>
      <w:r w:rsidRPr="00C61473">
        <w:rPr>
          <w:rFonts w:ascii="Times New Roman" w:hAnsi="Times New Roman" w:cs="Times New Roman"/>
          <w:bCs/>
          <w:sz w:val="28"/>
          <w:szCs w:val="28"/>
          <w:lang w:val="en-US"/>
        </w:rPr>
        <w:t xml:space="preserve">H.W. </w:t>
      </w:r>
      <w:r w:rsidRPr="00C61473">
        <w:rPr>
          <w:rFonts w:ascii="Times New Roman" w:hAnsi="Times New Roman" w:cs="Times New Roman"/>
          <w:bCs/>
          <w:sz w:val="28"/>
          <w:szCs w:val="28"/>
          <w:lang w:val="uk-UA"/>
        </w:rPr>
        <w:t> </w:t>
      </w:r>
      <w:r w:rsidRPr="00C61473">
        <w:rPr>
          <w:rFonts w:ascii="Times New Roman" w:hAnsi="Times New Roman" w:cs="Times New Roman"/>
          <w:bCs/>
          <w:sz w:val="28"/>
          <w:szCs w:val="28"/>
          <w:lang w:val="en-US"/>
        </w:rPr>
        <w:t>Lee et al. </w:t>
      </w:r>
      <w:r w:rsidRPr="00C61473">
        <w:rPr>
          <w:rFonts w:ascii="Times New Roman" w:hAnsi="Times New Roman" w:cs="Times New Roman"/>
          <w:bCs/>
          <w:sz w:val="28"/>
          <w:szCs w:val="28"/>
          <w:lang w:val="uk-UA"/>
        </w:rPr>
        <w:t>//</w:t>
      </w:r>
      <w:r w:rsidRPr="00C61473">
        <w:rPr>
          <w:rFonts w:ascii="Times New Roman" w:hAnsi="Times New Roman" w:cs="Times New Roman"/>
          <w:sz w:val="28"/>
          <w:szCs w:val="28"/>
          <w:lang w:val="en-US"/>
        </w:rPr>
        <w:t>Circ. J.,</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2012</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76(7)</w:t>
      </w:r>
      <w:r w:rsidRPr="00C61473">
        <w:rPr>
          <w:rFonts w:ascii="Times New Roman" w:hAnsi="Times New Roman" w:cs="Times New Roman"/>
          <w:sz w:val="28"/>
          <w:szCs w:val="28"/>
          <w:lang w:val="uk-UA"/>
        </w:rPr>
        <w:t>. –Р.</w:t>
      </w:r>
      <w:r w:rsidRPr="00C61473">
        <w:rPr>
          <w:rFonts w:ascii="Times New Roman" w:hAnsi="Times New Roman" w:cs="Times New Roman"/>
          <w:sz w:val="28"/>
          <w:szCs w:val="28"/>
          <w:lang w:val="en-US"/>
        </w:rPr>
        <w:t>1750–1760.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Sanders L.J. History of the team approach to amputation prevention: pioneers and milestones./L.J. Sanders, J.M.  Robbins, M.E. Edmonds //J Vasc Surg. – 2010. - №52(3 Suppl)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.3S–16S.</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Schainfeld R.M. Critical limb ischemia: nothing to give at the office? / R.M. Schainfeld, J.M. Isner // Ann. Intern. Med. – 1999.</w:t>
      </w:r>
      <w:r w:rsidRPr="00C61473">
        <w:rPr>
          <w:rFonts w:ascii="Times New Roman" w:hAnsi="Times New Roman" w:cs="Times New Roman"/>
          <w:sz w:val="28"/>
          <w:szCs w:val="28"/>
          <w:lang w:val="en-US"/>
        </w:rPr>
        <w:noBreakHyphen/>
        <w:t xml:space="preserve"> № 130.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.442-444.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Selective and sustained delivery of basic fibroblast growth factor (bFGF) for treatment of peripheral arterial disease: results of a phase I trial /Hashimoto, T., Koyama, H., Miyata, T. et al// Eur J Vasc Endovasc Surg..- 2009. – №.38.- P.71–75.</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shd w:val="clear" w:color="auto" w:fill="FFFFFF"/>
          <w:lang w:val="en-US"/>
        </w:rPr>
        <w:t xml:space="preserve">Sherbourne C.D.  Pain measures. Measuring functioning and well-being: The Medical Outcomes Study approach </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shd w:val="clear" w:color="auto" w:fill="FFFFFF"/>
          <w:lang w:val="en-US"/>
        </w:rPr>
        <w:t xml:space="preserve"> C.D.</w:t>
      </w:r>
      <w:r w:rsidRPr="00C61473">
        <w:rPr>
          <w:rFonts w:ascii="Times New Roman" w:hAnsi="Times New Roman" w:cs="Times New Roman"/>
          <w:sz w:val="28"/>
          <w:szCs w:val="28"/>
          <w:shd w:val="clear" w:color="auto" w:fill="FFFFFF"/>
          <w:lang w:val="uk-UA"/>
        </w:rPr>
        <w:t> </w:t>
      </w:r>
      <w:r w:rsidRPr="00C61473">
        <w:rPr>
          <w:rFonts w:ascii="Times New Roman" w:hAnsi="Times New Roman" w:cs="Times New Roman"/>
          <w:sz w:val="28"/>
          <w:szCs w:val="28"/>
          <w:shd w:val="clear" w:color="auto" w:fill="FFFFFF"/>
          <w:lang w:val="en-US"/>
        </w:rPr>
        <w:t>Sherbourne A.L.</w:t>
      </w:r>
      <w:r w:rsidRPr="00C61473">
        <w:rPr>
          <w:rFonts w:ascii="Times New Roman" w:hAnsi="Times New Roman" w:cs="Times New Roman"/>
          <w:sz w:val="28"/>
          <w:szCs w:val="28"/>
          <w:shd w:val="clear" w:color="auto" w:fill="FFFFFF"/>
          <w:lang w:val="uk-UA"/>
        </w:rPr>
        <w:t> </w:t>
      </w:r>
      <w:r w:rsidRPr="00C61473">
        <w:rPr>
          <w:rFonts w:ascii="Times New Roman" w:hAnsi="Times New Roman" w:cs="Times New Roman"/>
          <w:sz w:val="28"/>
          <w:szCs w:val="28"/>
          <w:shd w:val="clear" w:color="auto" w:fill="FFFFFF"/>
          <w:lang w:val="en-US"/>
        </w:rPr>
        <w:t>Stewart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J.E.</w:t>
      </w:r>
      <w:r w:rsidRPr="00C61473">
        <w:rPr>
          <w:rFonts w:ascii="Times New Roman" w:hAnsi="Times New Roman" w:cs="Times New Roman"/>
          <w:sz w:val="28"/>
          <w:szCs w:val="28"/>
          <w:shd w:val="clear" w:color="auto" w:fill="FFFFFF"/>
          <w:lang w:val="uk-UA"/>
        </w:rPr>
        <w:t> </w:t>
      </w:r>
      <w:r w:rsidRPr="00C61473">
        <w:rPr>
          <w:rFonts w:ascii="Times New Roman" w:hAnsi="Times New Roman" w:cs="Times New Roman"/>
          <w:sz w:val="28"/>
          <w:szCs w:val="28"/>
          <w:shd w:val="clear" w:color="auto" w:fill="FFFFFF"/>
          <w:lang w:val="en-US"/>
        </w:rPr>
        <w:t>War (eds.)</w:t>
      </w:r>
      <w:r w:rsidRPr="00C61473">
        <w:rPr>
          <w:rFonts w:ascii="Times New Roman" w:hAnsi="Times New Roman" w:cs="Times New Roman"/>
          <w:sz w:val="28"/>
          <w:szCs w:val="28"/>
          <w:shd w:val="clear" w:color="auto" w:fill="FFFFFF"/>
          <w:lang w:val="uk-UA"/>
        </w:rPr>
        <w:t>//</w:t>
      </w:r>
      <w:r w:rsidRPr="00C61473">
        <w:rPr>
          <w:rFonts w:ascii="Times New Roman" w:hAnsi="Times New Roman" w:cs="Times New Roman"/>
          <w:sz w:val="28"/>
          <w:szCs w:val="28"/>
          <w:shd w:val="clear" w:color="auto" w:fill="FFFFFF"/>
          <w:lang w:val="en-US"/>
        </w:rPr>
        <w:t xml:space="preserve">Durham, NC: Duke University Press </w:t>
      </w:r>
      <w:r w:rsidRPr="00C61473">
        <w:rPr>
          <w:rFonts w:ascii="Times New Roman" w:hAnsi="Times New Roman" w:cs="Times New Roman"/>
          <w:sz w:val="28"/>
          <w:szCs w:val="28"/>
          <w:shd w:val="clear" w:color="auto" w:fill="FFFFFF"/>
          <w:lang w:val="uk-UA"/>
        </w:rPr>
        <w:noBreakHyphen/>
      </w:r>
      <w:r w:rsidRPr="00C61473">
        <w:rPr>
          <w:rFonts w:ascii="Times New Roman" w:hAnsi="Times New Roman" w:cs="Times New Roman"/>
          <w:sz w:val="28"/>
          <w:szCs w:val="28"/>
          <w:shd w:val="clear" w:color="auto" w:fill="FFFFFF"/>
          <w:lang w:val="en-US"/>
        </w:rPr>
        <w:t xml:space="preserve">1992 </w:t>
      </w:r>
      <w:r w:rsidRPr="00C61473">
        <w:rPr>
          <w:rFonts w:ascii="Times New Roman" w:hAnsi="Times New Roman" w:cs="Times New Roman"/>
          <w:sz w:val="28"/>
          <w:szCs w:val="28"/>
          <w:shd w:val="clear" w:color="auto" w:fill="FFFFFF"/>
          <w:lang w:val="uk-UA"/>
        </w:rPr>
        <w:noBreakHyphen/>
        <w:t>Р</w:t>
      </w:r>
      <w:r w:rsidRPr="00C61473">
        <w:rPr>
          <w:rFonts w:ascii="Times New Roman" w:hAnsi="Times New Roman" w:cs="Times New Roman"/>
          <w:sz w:val="28"/>
          <w:szCs w:val="28"/>
          <w:shd w:val="clear" w:color="auto" w:fill="FFFFFF"/>
          <w:lang w:val="en-US"/>
        </w:rPr>
        <w:t xml:space="preserve"> 220-234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Socioeconomic and hospital-related predictors of amputation for critical limb ischemia./ A.J. Henry, N.D. Hevelone, M. Belkin, L.L. Nguyen.// J Vasc Surg. – 2011. - №53.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.330–339.</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START Trial: a pilot study on stimulation of arteriogenesis using subcutaneous application of granulocyte-macrophage-colony-stimulating factor as a new treatment for peripheral vascular disease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Van</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Royen, S.H.</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Schirmer, 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Atasever et al.// Circulation. – 2005</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112.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.1040-</w:t>
      </w:r>
      <w:r w:rsidRPr="00C61473">
        <w:rPr>
          <w:rFonts w:ascii="Times New Roman" w:hAnsi="Times New Roman" w:cs="Times New Roman"/>
          <w:sz w:val="28"/>
          <w:szCs w:val="28"/>
          <w:lang w:val="uk-UA"/>
        </w:rPr>
        <w:t>10</w:t>
      </w:r>
      <w:r w:rsidRPr="00C61473">
        <w:rPr>
          <w:rFonts w:ascii="Times New Roman" w:hAnsi="Times New Roman" w:cs="Times New Roman"/>
          <w:sz w:val="28"/>
          <w:szCs w:val="28"/>
          <w:lang w:val="en-US"/>
        </w:rPr>
        <w:t>4</w:t>
      </w:r>
      <w:r w:rsidRPr="00C61473">
        <w:rPr>
          <w:rFonts w:ascii="Times New Roman" w:hAnsi="Times New Roman" w:cs="Times New Roman"/>
          <w:sz w:val="28"/>
          <w:szCs w:val="28"/>
          <w:lang w:val="uk-UA"/>
        </w:rPr>
        <w:t>6</w:t>
      </w:r>
      <w:r w:rsidRPr="00C61473">
        <w:rPr>
          <w:rFonts w:ascii="Times New Roman" w:hAnsi="Times New Roman" w:cs="Times New Roman"/>
          <w:sz w:val="28"/>
          <w:szCs w:val="28"/>
          <w:lang w:val="en-US"/>
        </w:rPr>
        <w:t>.</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Stewart A.L. Tile MOS short-form General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Health Survey: reliability, validity in a patient population./ A.L. Stewart, R. D. Hays, J. E. Ware // Med</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Care .</w:t>
      </w:r>
      <w:r w:rsidRPr="00C61473">
        <w:rPr>
          <w:rFonts w:ascii="Times New Roman" w:hAnsi="Times New Roman" w:cs="Times New Roman"/>
          <w:sz w:val="28"/>
          <w:szCs w:val="28"/>
          <w:lang w:val="en-US"/>
        </w:rPr>
        <w:noBreakHyphen/>
        <w:t xml:space="preserve">1988. </w:t>
      </w:r>
      <w:r w:rsidRPr="00C61473">
        <w:rPr>
          <w:rFonts w:ascii="Times New Roman" w:hAnsi="Times New Roman" w:cs="Times New Roman"/>
          <w:sz w:val="28"/>
          <w:szCs w:val="28"/>
          <w:lang w:val="en-US"/>
        </w:rPr>
        <w:noBreakHyphen/>
        <w:t xml:space="preserve"> №26.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.724-735.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uk-UA"/>
        </w:rPr>
      </w:pPr>
      <w:r w:rsidRPr="00C61473">
        <w:rPr>
          <w:rFonts w:ascii="Times New Roman" w:hAnsi="Times New Roman" w:cs="Times New Roman"/>
          <w:sz w:val="28"/>
          <w:szCs w:val="28"/>
          <w:shd w:val="clear" w:color="auto" w:fill="FFFFFF"/>
          <w:lang w:val="en-US"/>
        </w:rPr>
        <w:t>Subintimal</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angioplasty</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and</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diabetic</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foot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revascularization</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C</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Pierret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et</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al</w:t>
      </w:r>
      <w:r w:rsidRPr="00C61473">
        <w:rPr>
          <w:rFonts w:ascii="Times New Roman" w:hAnsi="Times New Roman" w:cs="Times New Roman"/>
          <w:sz w:val="28"/>
          <w:szCs w:val="28"/>
          <w:shd w:val="clear" w:color="auto" w:fill="FFFFFF"/>
          <w:lang w:val="uk-UA"/>
        </w:rPr>
        <w:t xml:space="preserve">. // </w:t>
      </w:r>
      <w:r w:rsidRPr="00C61473">
        <w:rPr>
          <w:rFonts w:ascii="Times New Roman" w:hAnsi="Times New Roman" w:cs="Times New Roman"/>
          <w:sz w:val="28"/>
          <w:szCs w:val="28"/>
          <w:shd w:val="clear" w:color="auto" w:fill="FFFFFF"/>
          <w:lang w:val="en-US"/>
        </w:rPr>
        <w:t>Presse</w:t>
      </w:r>
      <w:r w:rsidRPr="00C61473">
        <w:rPr>
          <w:rFonts w:ascii="Times New Roman" w:hAnsi="Times New Roman" w:cs="Times New Roman"/>
          <w:sz w:val="28"/>
          <w:szCs w:val="28"/>
          <w:shd w:val="clear" w:color="auto" w:fill="FFFFFF"/>
          <w:lang w:val="uk-UA"/>
        </w:rPr>
        <w:t xml:space="preserve"> </w:t>
      </w:r>
      <w:r w:rsidRPr="00C61473">
        <w:rPr>
          <w:rFonts w:ascii="Times New Roman" w:hAnsi="Times New Roman" w:cs="Times New Roman"/>
          <w:sz w:val="28"/>
          <w:szCs w:val="28"/>
          <w:shd w:val="clear" w:color="auto" w:fill="FFFFFF"/>
          <w:lang w:val="en-US"/>
        </w:rPr>
        <w:t>Med</w:t>
      </w:r>
      <w:r w:rsidRPr="00C61473">
        <w:rPr>
          <w:rFonts w:ascii="Times New Roman" w:hAnsi="Times New Roman" w:cs="Times New Roman"/>
          <w:sz w:val="28"/>
          <w:szCs w:val="28"/>
          <w:shd w:val="clear" w:color="auto" w:fill="FFFFFF"/>
          <w:lang w:val="uk-UA"/>
        </w:rPr>
        <w:t xml:space="preserve">. — 2011. — </w:t>
      </w:r>
      <w:r w:rsidRPr="00C61473">
        <w:rPr>
          <w:rFonts w:ascii="Times New Roman" w:hAnsi="Times New Roman" w:cs="Times New Roman"/>
          <w:sz w:val="28"/>
          <w:szCs w:val="28"/>
          <w:shd w:val="clear" w:color="auto" w:fill="FFFFFF"/>
          <w:lang w:val="en-US"/>
        </w:rPr>
        <w:t>Vol</w:t>
      </w:r>
      <w:r w:rsidRPr="00C61473">
        <w:rPr>
          <w:rFonts w:ascii="Times New Roman" w:hAnsi="Times New Roman" w:cs="Times New Roman"/>
          <w:sz w:val="28"/>
          <w:szCs w:val="28"/>
          <w:shd w:val="clear" w:color="auto" w:fill="FFFFFF"/>
          <w:lang w:val="uk-UA"/>
        </w:rPr>
        <w:t xml:space="preserve">. 40, </w:t>
      </w:r>
      <w:r w:rsidRPr="00C61473">
        <w:rPr>
          <w:rFonts w:ascii="Times New Roman" w:hAnsi="Times New Roman" w:cs="Times New Roman"/>
          <w:sz w:val="28"/>
          <w:szCs w:val="28"/>
          <w:shd w:val="clear" w:color="auto" w:fill="FFFFFF"/>
          <w:lang w:val="en-US"/>
        </w:rPr>
        <w:t>N</w:t>
      </w:r>
      <w:r w:rsidRPr="00C61473">
        <w:rPr>
          <w:rFonts w:ascii="Times New Roman" w:hAnsi="Times New Roman" w:cs="Times New Roman"/>
          <w:sz w:val="28"/>
          <w:szCs w:val="28"/>
          <w:shd w:val="clear" w:color="auto" w:fill="FFFFFF"/>
          <w:lang w:val="uk-UA"/>
        </w:rPr>
        <w:t xml:space="preserve"> 1, </w:t>
      </w:r>
      <w:r w:rsidRPr="00C61473">
        <w:rPr>
          <w:rFonts w:ascii="Times New Roman" w:hAnsi="Times New Roman" w:cs="Times New Roman"/>
          <w:sz w:val="28"/>
          <w:szCs w:val="28"/>
          <w:shd w:val="clear" w:color="auto" w:fill="FFFFFF"/>
          <w:lang w:val="en-US"/>
        </w:rPr>
        <w:t>Pt</w:t>
      </w:r>
      <w:r w:rsidRPr="00C61473">
        <w:rPr>
          <w:rFonts w:ascii="Times New Roman" w:hAnsi="Times New Roman" w:cs="Times New Roman"/>
          <w:sz w:val="28"/>
          <w:szCs w:val="28"/>
          <w:shd w:val="clear" w:color="auto" w:fill="FFFFFF"/>
          <w:lang w:val="uk-UA"/>
        </w:rPr>
        <w:t xml:space="preserve">. 1. — </w:t>
      </w:r>
      <w:r w:rsidRPr="00C61473">
        <w:rPr>
          <w:rFonts w:ascii="Times New Roman" w:hAnsi="Times New Roman" w:cs="Times New Roman"/>
          <w:sz w:val="28"/>
          <w:szCs w:val="28"/>
          <w:shd w:val="clear" w:color="auto" w:fill="FFFFFF"/>
          <w:lang w:val="en-US"/>
        </w:rPr>
        <w:t>P</w:t>
      </w:r>
      <w:r w:rsidRPr="00C61473">
        <w:rPr>
          <w:rFonts w:ascii="Times New Roman" w:hAnsi="Times New Roman" w:cs="Times New Roman"/>
          <w:sz w:val="28"/>
          <w:szCs w:val="28"/>
          <w:shd w:val="clear" w:color="auto" w:fill="FFFFFF"/>
          <w:lang w:val="uk-UA"/>
        </w:rPr>
        <w:t>. 10–16..</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Successful stem cell therapy using umbilical cord blood-derived multi-potent stem cells for Buerger's disease and ischemic limb disease animal model / Kim Sung-Whan, Han Hoon, Chae Gue-Tae et al. // Stem Cells. – 2006. </w:t>
      </w:r>
      <w:r w:rsidRPr="00C61473">
        <w:rPr>
          <w:rFonts w:ascii="Times New Roman" w:hAnsi="Times New Roman" w:cs="Times New Roman"/>
          <w:sz w:val="28"/>
          <w:szCs w:val="28"/>
          <w:lang w:val="en-US"/>
        </w:rPr>
        <w:noBreakHyphen/>
        <w:t xml:space="preserve"> Vol.9, № 4.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.1128-34.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Systematic review of exercise training or percutaneous transluminal angioplasty for intermittent claudication / F.A. Frans, S. Bipat, J.A. Reekers et al.// Br J Surg. – 2012. - №99.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.16–28.</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eastAsia="TimesNewRomanPSMT" w:hAnsi="Times New Roman" w:cs="Times New Roman"/>
          <w:sz w:val="28"/>
          <w:szCs w:val="28"/>
          <w:lang w:val="uk-UA"/>
        </w:rPr>
      </w:pPr>
      <w:r w:rsidRPr="00C61473">
        <w:rPr>
          <w:rFonts w:ascii="Times New Roman" w:hAnsi="Times New Roman" w:cs="Times New Roman"/>
          <w:sz w:val="28"/>
          <w:szCs w:val="28"/>
          <w:lang w:val="en-US"/>
        </w:rPr>
        <w:t>The definition of critical ischemia of a limb /P. R. F. Bell [et al.] // Brit. J. Sur. – 1982. – Vol. 69,</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N 2. – P.</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eastAsia="TimesNewRomanPSMT" w:hAnsi="Times New Roman" w:cs="Times New Roman"/>
          <w:sz w:val="28"/>
          <w:szCs w:val="28"/>
          <w:lang w:val="uk-UA"/>
        </w:rPr>
      </w:pPr>
      <w:r w:rsidRPr="00C61473">
        <w:rPr>
          <w:rFonts w:ascii="Times New Roman" w:hAnsi="Times New Roman" w:cs="Times New Roman"/>
          <w:sz w:val="28"/>
          <w:szCs w:val="28"/>
          <w:lang w:val="en-US"/>
        </w:rPr>
        <w:t xml:space="preserve">The natural history of untreated severe or critical limb ischemia. / A.M. Abu Dabrh, M.W. Steffen, C. Undavalli, N. Asi, Z. Wang, M.B. Elamin, M.S. Conte, M.H. Murad// J Vasc Surg. – 2015. - №62.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.1642–1651.</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eastAsia="TimesNewRomanPSMT" w:hAnsi="Times New Roman" w:cs="Times New Roman"/>
          <w:sz w:val="28"/>
          <w:szCs w:val="28"/>
          <w:lang w:val="uk-UA"/>
        </w:rPr>
      </w:pPr>
      <w:r w:rsidRPr="00C61473">
        <w:rPr>
          <w:rFonts w:ascii="Times New Roman" w:hAnsi="Times New Roman" w:cs="Times New Roman"/>
          <w:sz w:val="28"/>
          <w:szCs w:val="28"/>
          <w:lang w:val="en-US"/>
        </w:rPr>
        <w:t xml:space="preserve">The next 10 years in the management of peripheral artery disease: perspectives from the ‘PAD 2009’ Conference. / L. Norgren, W.R. Hiatt, J.A. Dormandy, A.T. Hirsch, M.R. Jaff, C. Diehm, I. Baumgartner, J.J. Belch // Eur J Vasc Endovasc Surg. – 2010. - №40.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.375–380</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eastAsia="TimesNewRomanPSMT" w:hAnsi="Times New Roman" w:cs="Times New Roman"/>
          <w:sz w:val="28"/>
          <w:szCs w:val="28"/>
          <w:lang w:val="uk-UA"/>
        </w:rPr>
      </w:pPr>
      <w:r w:rsidRPr="00C61473">
        <w:rPr>
          <w:rFonts w:ascii="Times New Roman" w:hAnsi="Times New Roman" w:cs="Times New Roman"/>
          <w:sz w:val="28"/>
          <w:szCs w:val="28"/>
          <w:lang w:val="en-US"/>
        </w:rPr>
        <w:t xml:space="preserve">The ongoing battle between infrapopliteal angioplasty and bypass surgery for critical limb ischemia / K.B. Schamp, R. Meerwaldt, M.M. Reijnen, R.H. Geelkerken, C.J. Zeebregts //Ann Vasc Surg. – 2012 - №26.-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.1145–1153.</w:t>
      </w:r>
    </w:p>
    <w:p w:rsidR="00F506C5" w:rsidRPr="00C61473" w:rsidRDefault="00F506C5" w:rsidP="00B43186">
      <w:pPr>
        <w:pStyle w:val="ad"/>
        <w:numPr>
          <w:ilvl w:val="0"/>
          <w:numId w:val="1"/>
        </w:numPr>
        <w:spacing w:after="0" w:line="360" w:lineRule="auto"/>
        <w:ind w:left="-567" w:right="-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The role of amputation as an outcome measure in cellular therapy for critical limb ischemia: implications for clinical trial design</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E.</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Benoit, T.F</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Jr </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O’Donnell</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M.D. </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Iafrati et 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J. Transl. Med.</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2011</w:t>
      </w:r>
      <w:r w:rsidRPr="00C61473">
        <w:rPr>
          <w:rFonts w:ascii="Times New Roman" w:hAnsi="Times New Roman" w:cs="Times New Roman"/>
          <w:sz w:val="28"/>
          <w:szCs w:val="28"/>
          <w:lang w:val="uk-UA"/>
        </w:rPr>
        <w:noBreakHyphen/>
        <w:t>№</w:t>
      </w:r>
      <w:r w:rsidRPr="00C61473">
        <w:rPr>
          <w:rFonts w:ascii="Times New Roman" w:hAnsi="Times New Roman" w:cs="Times New Roman"/>
          <w:sz w:val="28"/>
          <w:szCs w:val="28"/>
          <w:lang w:val="en-US"/>
        </w:rPr>
        <w:t>9</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t>Р</w:t>
      </w:r>
      <w:r w:rsidRPr="00C61473">
        <w:rPr>
          <w:rFonts w:ascii="Times New Roman" w:hAnsi="Times New Roman" w:cs="Times New Roman"/>
          <w:sz w:val="28"/>
          <w:szCs w:val="28"/>
          <w:lang w:val="en-US"/>
        </w:rPr>
        <w:t xml:space="preserve"> 165</w:t>
      </w:r>
      <w:r w:rsidRPr="00C61473">
        <w:rPr>
          <w:rFonts w:ascii="Times New Roman" w:hAnsi="Times New Roman" w:cs="Times New Roman"/>
          <w:sz w:val="28"/>
          <w:szCs w:val="28"/>
          <w:lang w:val="uk-UA"/>
        </w:rPr>
        <w:t>-171</w:t>
      </w:r>
      <w:r w:rsidRPr="00C61473">
        <w:rPr>
          <w:rFonts w:ascii="Times New Roman" w:hAnsi="Times New Roman" w:cs="Times New Roman"/>
          <w:sz w:val="28"/>
          <w:szCs w:val="28"/>
          <w:lang w:val="en-US"/>
        </w:rPr>
        <w:t>.</w:t>
      </w:r>
    </w:p>
    <w:p w:rsidR="00F506C5" w:rsidRPr="00C61473" w:rsidRDefault="00F506C5" w:rsidP="00B43186">
      <w:pPr>
        <w:pStyle w:val="ad"/>
        <w:numPr>
          <w:ilvl w:val="0"/>
          <w:numId w:val="1"/>
        </w:numPr>
        <w:spacing w:after="0" w:line="360" w:lineRule="auto"/>
        <w:ind w:left="-567" w:right="-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Therapeutic angiogenesis in critical limb ischemia.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G</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O</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Ouma, B</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Zafrir, E</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R</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Mohler, M</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Y</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Flugelman.</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w:t>
      </w:r>
      <w:r w:rsidRPr="00C61473">
        <w:rPr>
          <w:rStyle w:val="af9"/>
          <w:rFonts w:ascii="Times New Roman" w:hAnsi="Times New Roman" w:cs="Times New Roman"/>
          <w:i w:val="0"/>
          <w:sz w:val="28"/>
          <w:szCs w:val="28"/>
          <w:lang w:val="en-US"/>
        </w:rPr>
        <w:t>Angiology</w:t>
      </w:r>
      <w:r w:rsidRPr="00C61473">
        <w:rPr>
          <w:rFonts w:ascii="Times New Roman" w:hAnsi="Times New Roman" w:cs="Times New Roman"/>
          <w:sz w:val="28"/>
          <w:szCs w:val="28"/>
          <w:lang w:val="uk-UA"/>
        </w:rPr>
        <w:t xml:space="preserve">. – </w:t>
      </w:r>
      <w:r w:rsidRPr="00C61473">
        <w:rPr>
          <w:rFonts w:ascii="Times New Roman" w:hAnsi="Times New Roman" w:cs="Times New Roman"/>
          <w:sz w:val="28"/>
          <w:szCs w:val="28"/>
          <w:lang w:val="en-US"/>
        </w:rPr>
        <w:t>2013</w:t>
      </w:r>
      <w:r w:rsidRPr="00C61473">
        <w:rPr>
          <w:rFonts w:ascii="Times New Roman" w:hAnsi="Times New Roman" w:cs="Times New Roman"/>
          <w:sz w:val="28"/>
          <w:szCs w:val="28"/>
          <w:lang w:val="uk-UA"/>
        </w:rPr>
        <w:t>. - №</w:t>
      </w:r>
      <w:r w:rsidRPr="00C61473">
        <w:rPr>
          <w:rFonts w:ascii="Times New Roman" w:hAnsi="Times New Roman" w:cs="Times New Roman"/>
          <w:sz w:val="28"/>
          <w:szCs w:val="28"/>
          <w:lang w:val="en-US"/>
        </w:rPr>
        <w:t>64</w:t>
      </w:r>
      <w:r w:rsidRPr="00C61473">
        <w:rPr>
          <w:rFonts w:ascii="Times New Roman" w:hAnsi="Times New Roman" w:cs="Times New Roman"/>
          <w:sz w:val="28"/>
          <w:szCs w:val="28"/>
          <w:lang w:val="uk-UA"/>
        </w:rPr>
        <w:t>. – Р.</w:t>
      </w:r>
      <w:r w:rsidRPr="00C61473">
        <w:rPr>
          <w:rFonts w:ascii="Times New Roman" w:hAnsi="Times New Roman" w:cs="Times New Roman"/>
          <w:sz w:val="28"/>
          <w:szCs w:val="28"/>
          <w:lang w:val="en-US"/>
        </w:rPr>
        <w:t>466-</w:t>
      </w:r>
      <w:r w:rsidRPr="00C61473">
        <w:rPr>
          <w:rFonts w:ascii="Times New Roman" w:hAnsi="Times New Roman" w:cs="Times New Roman"/>
          <w:sz w:val="28"/>
          <w:szCs w:val="28"/>
          <w:lang w:val="uk-UA"/>
        </w:rPr>
        <w:t>4</w:t>
      </w:r>
      <w:r w:rsidRPr="00C61473">
        <w:rPr>
          <w:rFonts w:ascii="Times New Roman" w:hAnsi="Times New Roman" w:cs="Times New Roman"/>
          <w:sz w:val="28"/>
          <w:szCs w:val="28"/>
          <w:lang w:val="en-US"/>
        </w:rPr>
        <w:t>80.</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Therapeutic angiogenesis with intramuscular NV1FGF improves amputation-free survival in patients with critical limb ischemia. / S. Nikol, I. Baumgartner, E. Van Belle et al.// </w:t>
      </w:r>
      <w:r w:rsidRPr="00C61473">
        <w:rPr>
          <w:rStyle w:val="af9"/>
          <w:rFonts w:ascii="Times New Roman" w:hAnsi="Times New Roman" w:cs="Times New Roman"/>
          <w:i w:val="0"/>
          <w:sz w:val="28"/>
          <w:szCs w:val="28"/>
          <w:lang w:val="en-US"/>
        </w:rPr>
        <w:t>Mol Ther</w:t>
      </w:r>
      <w:r w:rsidRPr="00C61473">
        <w:rPr>
          <w:rFonts w:ascii="Times New Roman" w:hAnsi="Times New Roman" w:cs="Times New Roman"/>
          <w:sz w:val="28"/>
          <w:szCs w:val="28"/>
          <w:lang w:val="en-US"/>
        </w:rPr>
        <w:t xml:space="preserve">. – 2008. - №16.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.972-978</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Therapeutic angiogenesis with recombinant fibroblast growth factor-2 for intermittent claudication (the TRAFFIC study): a randomised trial./ R. Lederman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F. Mendelsohn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R. Anderson</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J. Saucedo</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 Tenaglia</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et</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Lancet. </w:t>
      </w:r>
      <w:r w:rsidRPr="00C61473">
        <w:rPr>
          <w:rFonts w:ascii="Times New Roman" w:hAnsi="Times New Roman" w:cs="Times New Roman"/>
          <w:sz w:val="28"/>
          <w:szCs w:val="28"/>
          <w:lang w:val="en-US"/>
        </w:rPr>
        <w:noBreakHyphen/>
        <w:t>2002.</w:t>
      </w:r>
      <w:r w:rsidRPr="00C61473">
        <w:rPr>
          <w:rFonts w:ascii="Times New Roman" w:hAnsi="Times New Roman" w:cs="Times New Roman"/>
          <w:sz w:val="28"/>
          <w:szCs w:val="28"/>
        </w:rPr>
        <w:noBreakHyphen/>
        <w:t>№</w:t>
      </w:r>
      <w:r w:rsidRPr="00C61473">
        <w:rPr>
          <w:rFonts w:ascii="Times New Roman" w:hAnsi="Times New Roman" w:cs="Times New Roman"/>
          <w:sz w:val="28"/>
          <w:szCs w:val="28"/>
          <w:lang w:val="en-US"/>
        </w:rPr>
        <w:t>359(9323)</w:t>
      </w:r>
      <w:r w:rsidRPr="00C61473">
        <w:rPr>
          <w:rFonts w:ascii="Times New Roman" w:hAnsi="Times New Roman" w:cs="Times New Roman"/>
          <w:sz w:val="28"/>
          <w:szCs w:val="28"/>
        </w:rPr>
        <w:t>.</w:t>
      </w:r>
      <w:r w:rsidRPr="00C61473">
        <w:rPr>
          <w:rFonts w:ascii="Times New Roman" w:hAnsi="Times New Roman" w:cs="Times New Roman"/>
          <w:sz w:val="28"/>
          <w:szCs w:val="28"/>
        </w:rPr>
        <w:noBreakHyphen/>
        <w:t xml:space="preserve"> Р.</w:t>
      </w:r>
      <w:r w:rsidRPr="00C61473">
        <w:rPr>
          <w:rFonts w:ascii="Times New Roman" w:hAnsi="Times New Roman" w:cs="Times New Roman"/>
          <w:sz w:val="28"/>
          <w:szCs w:val="28"/>
          <w:lang w:val="en-US"/>
        </w:rPr>
        <w:t>2053</w:t>
      </w:r>
      <w:r w:rsidRPr="00C61473">
        <w:rPr>
          <w:rFonts w:ascii="Times New Roman" w:hAnsi="Times New Roman" w:cs="Times New Roman"/>
          <w:sz w:val="28"/>
          <w:szCs w:val="28"/>
        </w:rPr>
        <w:t>-</w:t>
      </w:r>
      <w:r w:rsidRPr="00C61473">
        <w:rPr>
          <w:rFonts w:ascii="Times New Roman" w:hAnsi="Times New Roman" w:cs="Times New Roman"/>
          <w:sz w:val="28"/>
          <w:szCs w:val="28"/>
          <w:lang w:val="en-US"/>
        </w:rPr>
        <w:t>2058.</w:t>
      </w:r>
    </w:p>
    <w:p w:rsidR="00F506C5" w:rsidRPr="00932174"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Therapeutical potential of autologous peripheral blood mononuclear cell transplantation in patients with type 2 diabetic critical limb ischemia.</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Ozturk, Y.</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Kucukardali, F.</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Tangi, A.</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Erikci, G.</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Uzun, C.</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Bashekim</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et al</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 xml:space="preserve"> J Diabetes </w:t>
      </w:r>
      <w:r w:rsidRPr="00932174">
        <w:rPr>
          <w:rFonts w:ascii="Times New Roman" w:hAnsi="Times New Roman" w:cs="Times New Roman"/>
          <w:sz w:val="28"/>
          <w:szCs w:val="28"/>
          <w:lang w:val="en-US"/>
        </w:rPr>
        <w:t xml:space="preserve">Complications. </w:t>
      </w:r>
      <w:r w:rsidRPr="00932174">
        <w:rPr>
          <w:rFonts w:ascii="Times New Roman" w:hAnsi="Times New Roman" w:cs="Times New Roman"/>
          <w:sz w:val="28"/>
          <w:szCs w:val="28"/>
          <w:lang w:val="uk-UA"/>
        </w:rPr>
        <w:t xml:space="preserve">– </w:t>
      </w:r>
      <w:r w:rsidRPr="00932174">
        <w:rPr>
          <w:rFonts w:ascii="Times New Roman" w:hAnsi="Times New Roman" w:cs="Times New Roman"/>
          <w:sz w:val="28"/>
          <w:szCs w:val="28"/>
          <w:lang w:val="en-US"/>
        </w:rPr>
        <w:t>2012</w:t>
      </w:r>
      <w:r w:rsidRPr="00932174">
        <w:rPr>
          <w:rFonts w:ascii="Times New Roman" w:hAnsi="Times New Roman" w:cs="Times New Roman"/>
          <w:sz w:val="28"/>
          <w:szCs w:val="28"/>
          <w:lang w:val="uk-UA"/>
        </w:rPr>
        <w:t>. - №</w:t>
      </w:r>
      <w:r w:rsidRPr="00932174">
        <w:rPr>
          <w:rFonts w:ascii="Times New Roman" w:hAnsi="Times New Roman" w:cs="Times New Roman"/>
          <w:sz w:val="28"/>
          <w:szCs w:val="28"/>
          <w:lang w:val="en-US"/>
        </w:rPr>
        <w:t>26</w:t>
      </w:r>
      <w:r w:rsidRPr="00932174">
        <w:rPr>
          <w:rFonts w:ascii="Times New Roman" w:hAnsi="Times New Roman" w:cs="Times New Roman"/>
          <w:sz w:val="28"/>
          <w:szCs w:val="28"/>
          <w:lang w:val="uk-UA"/>
        </w:rPr>
        <w:t>. – Р.</w:t>
      </w:r>
      <w:r w:rsidRPr="00932174">
        <w:rPr>
          <w:rFonts w:ascii="Times New Roman" w:hAnsi="Times New Roman" w:cs="Times New Roman"/>
          <w:sz w:val="28"/>
          <w:szCs w:val="28"/>
          <w:lang w:val="en-US"/>
        </w:rPr>
        <w:t>29–33.</w:t>
      </w:r>
    </w:p>
    <w:p w:rsidR="00F506C5" w:rsidRPr="00932174"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932174">
        <w:rPr>
          <w:rFonts w:ascii="Times New Roman" w:hAnsi="Times New Roman" w:cs="Times New Roman"/>
          <w:sz w:val="28"/>
          <w:szCs w:val="28"/>
          <w:lang w:val="en-US"/>
        </w:rPr>
        <w:t xml:space="preserve">Therapeutic angiogenesis for patients with limb ischaemia by autologous transplantation of bone-marrow cells: a pilot study and a randomised controlled trial. </w:t>
      </w:r>
      <w:hyperlink r:id="rId98" w:history="1">
        <w:r w:rsidRPr="00932174">
          <w:rPr>
            <w:rStyle w:val="aa"/>
            <w:rFonts w:ascii="Times New Roman" w:hAnsi="Times New Roman" w:cs="Times New Roman"/>
            <w:color w:val="auto"/>
            <w:sz w:val="28"/>
            <w:szCs w:val="28"/>
            <w:lang w:val="en-US"/>
          </w:rPr>
          <w:t>Tateishi-Yuyama E</w:t>
        </w:r>
      </w:hyperlink>
      <w:r w:rsidRPr="00932174">
        <w:rPr>
          <w:rFonts w:ascii="Times New Roman" w:hAnsi="Times New Roman" w:cs="Times New Roman"/>
          <w:sz w:val="28"/>
          <w:szCs w:val="28"/>
          <w:vertAlign w:val="superscript"/>
          <w:lang w:val="en-US"/>
        </w:rPr>
        <w:t>1</w:t>
      </w:r>
      <w:r w:rsidRPr="00932174">
        <w:rPr>
          <w:rFonts w:ascii="Times New Roman" w:hAnsi="Times New Roman" w:cs="Times New Roman"/>
          <w:sz w:val="28"/>
          <w:szCs w:val="28"/>
          <w:lang w:val="en-US"/>
        </w:rPr>
        <w:t>, </w:t>
      </w:r>
      <w:hyperlink r:id="rId99" w:history="1">
        <w:r w:rsidRPr="00932174">
          <w:rPr>
            <w:rStyle w:val="aa"/>
            <w:rFonts w:ascii="Times New Roman" w:hAnsi="Times New Roman" w:cs="Times New Roman"/>
            <w:color w:val="auto"/>
            <w:sz w:val="28"/>
            <w:szCs w:val="28"/>
            <w:lang w:val="en-US"/>
          </w:rPr>
          <w:t>Matsubara H</w:t>
        </w:r>
      </w:hyperlink>
      <w:r w:rsidRPr="00932174">
        <w:rPr>
          <w:rFonts w:ascii="Times New Roman" w:hAnsi="Times New Roman" w:cs="Times New Roman"/>
          <w:sz w:val="28"/>
          <w:szCs w:val="28"/>
          <w:lang w:val="en-US"/>
        </w:rPr>
        <w:t>, </w:t>
      </w:r>
      <w:hyperlink r:id="rId100" w:history="1">
        <w:r w:rsidRPr="00932174">
          <w:rPr>
            <w:rStyle w:val="aa"/>
            <w:rFonts w:ascii="Times New Roman" w:hAnsi="Times New Roman" w:cs="Times New Roman"/>
            <w:color w:val="auto"/>
            <w:sz w:val="28"/>
            <w:szCs w:val="28"/>
            <w:lang w:val="en-US"/>
          </w:rPr>
          <w:t>Murohara T</w:t>
        </w:r>
      </w:hyperlink>
      <w:r w:rsidRPr="00932174">
        <w:rPr>
          <w:rFonts w:ascii="Times New Roman" w:hAnsi="Times New Roman" w:cs="Times New Roman"/>
          <w:sz w:val="28"/>
          <w:szCs w:val="28"/>
          <w:lang w:val="en-US"/>
        </w:rPr>
        <w:t>, </w:t>
      </w:r>
      <w:hyperlink r:id="rId101" w:history="1">
        <w:r w:rsidRPr="00932174">
          <w:rPr>
            <w:rStyle w:val="aa"/>
            <w:rFonts w:ascii="Times New Roman" w:hAnsi="Times New Roman" w:cs="Times New Roman"/>
            <w:color w:val="auto"/>
            <w:sz w:val="28"/>
            <w:szCs w:val="28"/>
            <w:lang w:val="en-US"/>
          </w:rPr>
          <w:t>Ikeda U</w:t>
        </w:r>
      </w:hyperlink>
      <w:r w:rsidRPr="00932174">
        <w:rPr>
          <w:rFonts w:ascii="Times New Roman" w:hAnsi="Times New Roman" w:cs="Times New Roman"/>
          <w:sz w:val="28"/>
          <w:szCs w:val="28"/>
          <w:lang w:val="en-US"/>
        </w:rPr>
        <w:t>, </w:t>
      </w:r>
      <w:hyperlink r:id="rId102" w:history="1">
        <w:r w:rsidRPr="00932174">
          <w:rPr>
            <w:rStyle w:val="aa"/>
            <w:rFonts w:ascii="Times New Roman" w:hAnsi="Times New Roman" w:cs="Times New Roman"/>
            <w:color w:val="auto"/>
            <w:sz w:val="28"/>
            <w:szCs w:val="28"/>
            <w:lang w:val="en-US"/>
          </w:rPr>
          <w:t>Shintani S</w:t>
        </w:r>
      </w:hyperlink>
      <w:r w:rsidRPr="00932174">
        <w:rPr>
          <w:rFonts w:ascii="Times New Roman" w:hAnsi="Times New Roman" w:cs="Times New Roman"/>
          <w:sz w:val="28"/>
          <w:szCs w:val="28"/>
          <w:lang w:val="en-US"/>
        </w:rPr>
        <w:t>, </w:t>
      </w:r>
      <w:hyperlink r:id="rId103" w:history="1">
        <w:r w:rsidRPr="00932174">
          <w:rPr>
            <w:rStyle w:val="aa"/>
            <w:rFonts w:ascii="Times New Roman" w:hAnsi="Times New Roman" w:cs="Times New Roman"/>
            <w:color w:val="auto"/>
            <w:sz w:val="28"/>
            <w:szCs w:val="28"/>
            <w:lang w:val="en-US"/>
          </w:rPr>
          <w:t>Masaki H</w:t>
        </w:r>
      </w:hyperlink>
      <w:r w:rsidRPr="00932174">
        <w:rPr>
          <w:rFonts w:ascii="Times New Roman" w:hAnsi="Times New Roman" w:cs="Times New Roman"/>
          <w:sz w:val="28"/>
          <w:szCs w:val="28"/>
          <w:lang w:val="en-US"/>
        </w:rPr>
        <w:t>, </w:t>
      </w:r>
      <w:hyperlink r:id="rId104" w:history="1">
        <w:r w:rsidRPr="00932174">
          <w:rPr>
            <w:rStyle w:val="aa"/>
            <w:rFonts w:ascii="Times New Roman" w:hAnsi="Times New Roman" w:cs="Times New Roman"/>
            <w:color w:val="auto"/>
            <w:sz w:val="28"/>
            <w:szCs w:val="28"/>
            <w:lang w:val="en-US"/>
          </w:rPr>
          <w:t>Amano K</w:t>
        </w:r>
      </w:hyperlink>
      <w:r w:rsidRPr="00932174">
        <w:rPr>
          <w:rFonts w:ascii="Times New Roman" w:hAnsi="Times New Roman" w:cs="Times New Roman"/>
          <w:sz w:val="28"/>
          <w:szCs w:val="28"/>
          <w:lang w:val="en-US"/>
        </w:rPr>
        <w:t>, </w:t>
      </w:r>
      <w:hyperlink r:id="rId105" w:history="1">
        <w:r w:rsidRPr="00932174">
          <w:rPr>
            <w:rStyle w:val="aa"/>
            <w:rFonts w:ascii="Times New Roman" w:hAnsi="Times New Roman" w:cs="Times New Roman"/>
            <w:color w:val="auto"/>
            <w:sz w:val="28"/>
            <w:szCs w:val="28"/>
            <w:lang w:val="en-US"/>
          </w:rPr>
          <w:t>Kishimoto Y</w:t>
        </w:r>
      </w:hyperlink>
      <w:r w:rsidRPr="00932174">
        <w:rPr>
          <w:rFonts w:ascii="Times New Roman" w:hAnsi="Times New Roman" w:cs="Times New Roman"/>
          <w:sz w:val="28"/>
          <w:szCs w:val="28"/>
          <w:lang w:val="en-US"/>
        </w:rPr>
        <w:t>, </w:t>
      </w:r>
      <w:hyperlink r:id="rId106" w:history="1">
        <w:r w:rsidRPr="00932174">
          <w:rPr>
            <w:rStyle w:val="aa"/>
            <w:rFonts w:ascii="Times New Roman" w:hAnsi="Times New Roman" w:cs="Times New Roman"/>
            <w:color w:val="auto"/>
            <w:sz w:val="28"/>
            <w:szCs w:val="28"/>
            <w:lang w:val="en-US"/>
          </w:rPr>
          <w:t>Yoshimoto K</w:t>
        </w:r>
      </w:hyperlink>
      <w:r w:rsidRPr="00932174">
        <w:rPr>
          <w:rFonts w:ascii="Times New Roman" w:hAnsi="Times New Roman" w:cs="Times New Roman"/>
          <w:sz w:val="28"/>
          <w:szCs w:val="28"/>
          <w:lang w:val="en-US"/>
        </w:rPr>
        <w:t>, </w:t>
      </w:r>
      <w:hyperlink r:id="rId107" w:history="1">
        <w:r w:rsidRPr="00932174">
          <w:rPr>
            <w:rStyle w:val="aa"/>
            <w:rFonts w:ascii="Times New Roman" w:hAnsi="Times New Roman" w:cs="Times New Roman"/>
            <w:color w:val="auto"/>
            <w:sz w:val="28"/>
            <w:szCs w:val="28"/>
            <w:lang w:val="en-US"/>
          </w:rPr>
          <w:t>Akashi H</w:t>
        </w:r>
      </w:hyperlink>
      <w:r w:rsidRPr="00932174">
        <w:rPr>
          <w:rFonts w:ascii="Times New Roman" w:hAnsi="Times New Roman" w:cs="Times New Roman"/>
          <w:sz w:val="28"/>
          <w:szCs w:val="28"/>
          <w:lang w:val="en-US"/>
        </w:rPr>
        <w:t>, </w:t>
      </w:r>
      <w:hyperlink r:id="rId108" w:history="1">
        <w:r w:rsidRPr="00932174">
          <w:rPr>
            <w:rStyle w:val="aa"/>
            <w:rFonts w:ascii="Times New Roman" w:hAnsi="Times New Roman" w:cs="Times New Roman"/>
            <w:color w:val="auto"/>
            <w:sz w:val="28"/>
            <w:szCs w:val="28"/>
            <w:lang w:val="en-US"/>
          </w:rPr>
          <w:t>Shimada K</w:t>
        </w:r>
      </w:hyperlink>
      <w:r w:rsidRPr="00932174">
        <w:rPr>
          <w:rFonts w:ascii="Times New Roman" w:hAnsi="Times New Roman" w:cs="Times New Roman"/>
          <w:sz w:val="28"/>
          <w:szCs w:val="28"/>
          <w:lang w:val="en-US"/>
        </w:rPr>
        <w:t>, </w:t>
      </w:r>
      <w:hyperlink r:id="rId109" w:history="1">
        <w:r w:rsidRPr="00932174">
          <w:rPr>
            <w:rStyle w:val="aa"/>
            <w:rFonts w:ascii="Times New Roman" w:hAnsi="Times New Roman" w:cs="Times New Roman"/>
            <w:color w:val="auto"/>
            <w:sz w:val="28"/>
            <w:szCs w:val="28"/>
            <w:lang w:val="en-US"/>
          </w:rPr>
          <w:t>Iwasaka T</w:t>
        </w:r>
      </w:hyperlink>
      <w:r w:rsidRPr="00932174">
        <w:rPr>
          <w:rFonts w:ascii="Times New Roman" w:hAnsi="Times New Roman" w:cs="Times New Roman"/>
          <w:sz w:val="28"/>
          <w:szCs w:val="28"/>
          <w:lang w:val="en-US"/>
        </w:rPr>
        <w:t>, </w:t>
      </w:r>
      <w:hyperlink r:id="rId110" w:history="1">
        <w:r w:rsidRPr="00932174">
          <w:rPr>
            <w:rStyle w:val="aa"/>
            <w:rFonts w:ascii="Times New Roman" w:hAnsi="Times New Roman" w:cs="Times New Roman"/>
            <w:color w:val="auto"/>
            <w:sz w:val="28"/>
            <w:szCs w:val="28"/>
            <w:lang w:val="en-US"/>
          </w:rPr>
          <w:t>Imaizumi T</w:t>
        </w:r>
      </w:hyperlink>
      <w:r w:rsidRPr="00932174">
        <w:rPr>
          <w:rFonts w:ascii="Times New Roman" w:hAnsi="Times New Roman" w:cs="Times New Roman"/>
          <w:sz w:val="28"/>
          <w:szCs w:val="28"/>
          <w:lang w:val="en-US"/>
        </w:rPr>
        <w:t>; </w:t>
      </w:r>
      <w:hyperlink r:id="rId111" w:history="1">
        <w:r w:rsidRPr="00932174">
          <w:rPr>
            <w:rStyle w:val="aa"/>
            <w:rFonts w:ascii="Times New Roman" w:hAnsi="Times New Roman" w:cs="Times New Roman"/>
            <w:color w:val="auto"/>
            <w:sz w:val="28"/>
            <w:szCs w:val="28"/>
            <w:lang w:val="en-US"/>
          </w:rPr>
          <w:t>Therapeutic Angiogenesis using Cell Transplantation (TACT) Study Investigators</w:t>
        </w:r>
      </w:hyperlink>
      <w:r w:rsidRPr="00932174">
        <w:rPr>
          <w:rFonts w:ascii="Times New Roman" w:hAnsi="Times New Roman" w:cs="Times New Roman"/>
          <w:sz w:val="28"/>
          <w:szCs w:val="28"/>
          <w:lang w:val="en-US"/>
        </w:rPr>
        <w:t xml:space="preserve">. </w:t>
      </w:r>
      <w:hyperlink r:id="rId112" w:tooltip="Lancet (London, England)." w:history="1">
        <w:r w:rsidRPr="00932174">
          <w:rPr>
            <w:rStyle w:val="aa"/>
            <w:rFonts w:ascii="Times New Roman" w:hAnsi="Times New Roman" w:cs="Times New Roman"/>
            <w:color w:val="auto"/>
            <w:sz w:val="28"/>
            <w:szCs w:val="28"/>
            <w:shd w:val="clear" w:color="auto" w:fill="FFFFFF"/>
          </w:rPr>
          <w:t>Lancet.</w:t>
        </w:r>
      </w:hyperlink>
      <w:r w:rsidRPr="00932174">
        <w:rPr>
          <w:rFonts w:ascii="Times New Roman" w:hAnsi="Times New Roman" w:cs="Times New Roman"/>
          <w:sz w:val="28"/>
          <w:szCs w:val="28"/>
          <w:shd w:val="clear" w:color="auto" w:fill="FFFFFF"/>
        </w:rPr>
        <w:t> 2002 Aug 10;360(9331):427-35.</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 Treatment of a non-healing diabetic foot ulcer with platelet rich plasma / D.H. Suresh, S. Suryanarayan, S. Sarvajnamurthy, S. Puvvadi //J Cutan Aesthet Surg. – 2014. - №7.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.229-231.</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Treatment strategies for patients with peripheral artery disease. Comparative Effectiveness Review No. 118./ W.S. Jones, K.M. Schmit, S. Vemulapalli, S Subherwal, M.R. Patel, V. Hasselblad, B.L. Heidenfelder, M.M. Chobot, R. Posey, L. Wing, G.D. Sanders, R.J. Dolor // (Prepared by the Duke Evidence</w:t>
      </w:r>
      <w:r w:rsidRPr="00C61473">
        <w:rPr>
          <w:rFonts w:cs="Times New Roman"/>
          <w:sz w:val="28"/>
          <w:szCs w:val="28"/>
          <w:lang w:val="en-US"/>
        </w:rPr>
        <w:t>‐</w:t>
      </w:r>
      <w:r w:rsidRPr="00C61473">
        <w:rPr>
          <w:rFonts w:ascii="Times New Roman" w:hAnsi="Times New Roman" w:cs="Times New Roman"/>
          <w:sz w:val="28"/>
          <w:szCs w:val="28"/>
          <w:lang w:val="en-US"/>
        </w:rPr>
        <w:t>based Practice Center under Contract No. 290</w:t>
      </w:r>
      <w:r w:rsidRPr="00C61473">
        <w:rPr>
          <w:rFonts w:cs="Times New Roman"/>
          <w:sz w:val="28"/>
          <w:szCs w:val="28"/>
          <w:lang w:val="en-US"/>
        </w:rPr>
        <w:t>‐</w:t>
      </w:r>
      <w:r w:rsidRPr="00C61473">
        <w:rPr>
          <w:rFonts w:ascii="Times New Roman" w:hAnsi="Times New Roman" w:cs="Times New Roman"/>
          <w:sz w:val="28"/>
          <w:szCs w:val="28"/>
          <w:lang w:val="en-US"/>
        </w:rPr>
        <w:t>2007</w:t>
      </w:r>
      <w:r w:rsidRPr="00C61473">
        <w:rPr>
          <w:rFonts w:cs="Times New Roman"/>
          <w:sz w:val="28"/>
          <w:szCs w:val="28"/>
          <w:lang w:val="en-US"/>
        </w:rPr>
        <w:t>‐</w:t>
      </w:r>
      <w:r w:rsidRPr="00C61473">
        <w:rPr>
          <w:rFonts w:ascii="Times New Roman" w:hAnsi="Times New Roman" w:cs="Times New Roman"/>
          <w:sz w:val="28"/>
          <w:szCs w:val="28"/>
          <w:lang w:val="en-US"/>
        </w:rPr>
        <w:t>10066</w:t>
      </w:r>
      <w:r w:rsidRPr="00C61473">
        <w:rPr>
          <w:rFonts w:cs="Times New Roman"/>
          <w:sz w:val="28"/>
          <w:szCs w:val="28"/>
          <w:lang w:val="en-US"/>
        </w:rPr>
        <w:t>‐</w:t>
      </w:r>
      <w:r w:rsidRPr="00C61473">
        <w:rPr>
          <w:rFonts w:ascii="Times New Roman" w:hAnsi="Times New Roman" w:cs="Times New Roman"/>
          <w:sz w:val="28"/>
          <w:szCs w:val="28"/>
          <w:lang w:val="en-US"/>
        </w:rPr>
        <w:t>I.) AHRQ Publication No. 13</w:t>
      </w:r>
      <w:r w:rsidRPr="00C61473">
        <w:rPr>
          <w:rFonts w:cs="Times New Roman"/>
          <w:sz w:val="28"/>
          <w:szCs w:val="28"/>
          <w:lang w:val="en-US"/>
        </w:rPr>
        <w:t>‐</w:t>
      </w:r>
      <w:r w:rsidRPr="00C61473">
        <w:rPr>
          <w:rFonts w:ascii="Times New Roman" w:hAnsi="Times New Roman" w:cs="Times New Roman"/>
          <w:sz w:val="28"/>
          <w:szCs w:val="28"/>
          <w:lang w:val="en-US"/>
        </w:rPr>
        <w:t>EHC090</w:t>
      </w:r>
      <w:r w:rsidRPr="00C61473">
        <w:rPr>
          <w:rFonts w:cs="Times New Roman"/>
          <w:sz w:val="28"/>
          <w:szCs w:val="28"/>
          <w:lang w:val="en-US"/>
        </w:rPr>
        <w:t>‐</w:t>
      </w:r>
      <w:r w:rsidRPr="00C61473">
        <w:rPr>
          <w:rFonts w:ascii="Times New Roman" w:hAnsi="Times New Roman" w:cs="Times New Roman"/>
          <w:sz w:val="28"/>
          <w:szCs w:val="28"/>
          <w:lang w:val="en-US"/>
        </w:rPr>
        <w:t>EF. Rockville, MD:Agency for Healthcare Research and Quality. -  May 2013.</w:t>
      </w:r>
    </w:p>
    <w:p w:rsidR="00F506C5" w:rsidRPr="00C61473" w:rsidRDefault="00F506C5" w:rsidP="00B43186">
      <w:pPr>
        <w:numPr>
          <w:ilvl w:val="0"/>
          <w:numId w:val="1"/>
        </w:numPr>
        <w:spacing w:after="0" w:line="360" w:lineRule="auto"/>
        <w:ind w:left="-567" w:firstLine="567"/>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Treatment with intramuscular vascular endothelial growth factor gene compared with placebo for patients with diabetes mellitus and critical limb ischemia: a double-blind randomized trial./ Y.H. Kusumanto, V. van Weel, N.H. Mulder et al.// </w:t>
      </w:r>
      <w:r w:rsidRPr="00C61473">
        <w:rPr>
          <w:rStyle w:val="af9"/>
          <w:rFonts w:ascii="Times New Roman" w:hAnsi="Times New Roman" w:cs="Times New Roman"/>
          <w:i w:val="0"/>
          <w:sz w:val="28"/>
          <w:szCs w:val="28"/>
          <w:lang w:val="en-US"/>
        </w:rPr>
        <w:t>Hum Gene Ther</w:t>
      </w:r>
      <w:r w:rsidRPr="00C61473">
        <w:rPr>
          <w:rFonts w:ascii="Times New Roman" w:hAnsi="Times New Roman" w:cs="Times New Roman"/>
          <w:sz w:val="28"/>
          <w:szCs w:val="28"/>
          <w:lang w:val="en-US"/>
        </w:rPr>
        <w:t xml:space="preserve">. </w:t>
      </w:r>
      <w:r w:rsidRPr="007738BB">
        <w:rPr>
          <w:rFonts w:ascii="Times New Roman" w:hAnsi="Times New Roman" w:cs="Times New Roman"/>
          <w:sz w:val="28"/>
          <w:szCs w:val="28"/>
          <w:lang w:val="en-US"/>
        </w:rPr>
        <w:t xml:space="preserve">– </w:t>
      </w:r>
      <w:r w:rsidRPr="00C61473">
        <w:rPr>
          <w:rFonts w:ascii="Times New Roman" w:hAnsi="Times New Roman" w:cs="Times New Roman"/>
          <w:sz w:val="28"/>
          <w:szCs w:val="28"/>
          <w:lang w:val="en-US"/>
        </w:rPr>
        <w:t>2006</w:t>
      </w:r>
      <w:r w:rsidRPr="007738BB">
        <w:rPr>
          <w:rFonts w:ascii="Times New Roman" w:hAnsi="Times New Roman" w:cs="Times New Roman"/>
          <w:sz w:val="28"/>
          <w:szCs w:val="28"/>
          <w:lang w:val="en-US"/>
        </w:rPr>
        <w:t>. - №</w:t>
      </w:r>
      <w:r w:rsidRPr="00C61473">
        <w:rPr>
          <w:rFonts w:ascii="Times New Roman" w:hAnsi="Times New Roman" w:cs="Times New Roman"/>
          <w:sz w:val="28"/>
          <w:szCs w:val="28"/>
          <w:lang w:val="en-US"/>
        </w:rPr>
        <w:t>17</w:t>
      </w:r>
      <w:r w:rsidRPr="007738BB">
        <w:rPr>
          <w:rFonts w:ascii="Times New Roman" w:hAnsi="Times New Roman" w:cs="Times New Roman"/>
          <w:sz w:val="28"/>
          <w:szCs w:val="28"/>
          <w:lang w:val="en-US"/>
        </w:rPr>
        <w:t xml:space="preserve">. – </w:t>
      </w:r>
      <w:r w:rsidRPr="00C61473">
        <w:rPr>
          <w:rFonts w:ascii="Times New Roman" w:hAnsi="Times New Roman" w:cs="Times New Roman"/>
          <w:sz w:val="28"/>
          <w:szCs w:val="28"/>
        </w:rPr>
        <w:t>Р</w:t>
      </w:r>
      <w:r w:rsidRPr="007738BB">
        <w:rPr>
          <w:rFonts w:ascii="Times New Roman" w:hAnsi="Times New Roman" w:cs="Times New Roman"/>
          <w:sz w:val="28"/>
          <w:szCs w:val="28"/>
          <w:lang w:val="en-US"/>
        </w:rPr>
        <w:t>.</w:t>
      </w:r>
      <w:r w:rsidRPr="00C61473">
        <w:rPr>
          <w:rFonts w:ascii="Times New Roman" w:hAnsi="Times New Roman" w:cs="Times New Roman"/>
          <w:sz w:val="28"/>
          <w:szCs w:val="28"/>
          <w:lang w:val="en-US"/>
        </w:rPr>
        <w:t>683-</w:t>
      </w:r>
      <w:r w:rsidRPr="007738BB">
        <w:rPr>
          <w:rFonts w:ascii="Times New Roman" w:hAnsi="Times New Roman" w:cs="Times New Roman"/>
          <w:sz w:val="28"/>
          <w:szCs w:val="28"/>
          <w:lang w:val="en-US"/>
        </w:rPr>
        <w:t>6</w:t>
      </w:r>
      <w:r w:rsidRPr="00C61473">
        <w:rPr>
          <w:rFonts w:ascii="Times New Roman" w:hAnsi="Times New Roman" w:cs="Times New Roman"/>
          <w:sz w:val="28"/>
          <w:szCs w:val="28"/>
          <w:lang w:val="en-US"/>
        </w:rPr>
        <w:t>91.</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Unblinded pilot study of autologous transplantation of bone marrow mononuclears in patients with thromboangiitis obliterans </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en-US"/>
        </w:rPr>
        <w:t xml:space="preserve">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Miyamoto, K.</w:t>
      </w:r>
      <w:r w:rsidRPr="00C61473">
        <w:rPr>
          <w:rFonts w:ascii="Times New Roman" w:hAnsi="Times New Roman" w:cs="Times New Roman"/>
          <w:sz w:val="28"/>
          <w:szCs w:val="28"/>
          <w:lang w:val="uk-UA"/>
        </w:rPr>
        <w:t> </w:t>
      </w:r>
      <w:r w:rsidRPr="00C61473">
        <w:rPr>
          <w:rFonts w:ascii="Times New Roman" w:hAnsi="Times New Roman" w:cs="Times New Roman"/>
          <w:sz w:val="28"/>
          <w:szCs w:val="28"/>
          <w:lang w:val="en-US"/>
        </w:rPr>
        <w:t>Nishigami et al.// Circulation. – 2006</w:t>
      </w:r>
      <w:r w:rsidRPr="00C61473">
        <w:rPr>
          <w:rFonts w:ascii="Times New Roman" w:hAnsi="Times New Roman" w:cs="Times New Roman"/>
          <w:sz w:val="28"/>
          <w:szCs w:val="28"/>
          <w:lang w:val="uk-UA"/>
        </w:rPr>
        <w:t>.</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 xml:space="preserve"> № 114.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.2679-</w:t>
      </w:r>
      <w:r w:rsidRPr="00C61473">
        <w:rPr>
          <w:rFonts w:ascii="Times New Roman" w:hAnsi="Times New Roman" w:cs="Times New Roman"/>
          <w:sz w:val="28"/>
          <w:szCs w:val="28"/>
          <w:lang w:val="uk-UA"/>
        </w:rPr>
        <w:t>26</w:t>
      </w:r>
      <w:r w:rsidRPr="00C61473">
        <w:rPr>
          <w:rFonts w:ascii="Times New Roman" w:hAnsi="Times New Roman" w:cs="Times New Roman"/>
          <w:sz w:val="28"/>
          <w:szCs w:val="28"/>
          <w:lang w:val="en-US"/>
        </w:rPr>
        <w:t>84.</w:t>
      </w:r>
    </w:p>
    <w:p w:rsidR="00F506C5" w:rsidRPr="00C61473" w:rsidRDefault="00F506C5" w:rsidP="00B43186">
      <w:pPr>
        <w:pStyle w:val="ad"/>
        <w:numPr>
          <w:ilvl w:val="0"/>
          <w:numId w:val="1"/>
        </w:numPr>
        <w:spacing w:after="0" w:line="360" w:lineRule="auto"/>
        <w:ind w:left="-567" w:right="141"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Validating the SF-36 health survey questionnaire:</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a new outcome measure for primary care. / J.E. Brazier et al//Br Med J.</w:t>
      </w:r>
      <w:r w:rsidRPr="00C61473">
        <w:rPr>
          <w:rFonts w:ascii="Times New Roman" w:hAnsi="Times New Roman" w:cs="Times New Roman"/>
          <w:sz w:val="28"/>
          <w:szCs w:val="28"/>
          <w:lang w:val="en-US"/>
        </w:rPr>
        <w:noBreakHyphen/>
        <w:t xml:space="preserve">1992. </w:t>
      </w:r>
      <w:r w:rsidRPr="00C61473">
        <w:rPr>
          <w:rFonts w:ascii="Times New Roman" w:hAnsi="Times New Roman" w:cs="Times New Roman"/>
          <w:sz w:val="28"/>
          <w:szCs w:val="28"/>
          <w:lang w:val="en-US"/>
        </w:rPr>
        <w:noBreakHyphen/>
        <w:t xml:space="preserve"> №305.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.160-164.</w:t>
      </w:r>
    </w:p>
    <w:p w:rsidR="00F506C5" w:rsidRPr="00C61473" w:rsidRDefault="00F506C5" w:rsidP="00B43186">
      <w:pPr>
        <w:pStyle w:val="ad"/>
        <w:numPr>
          <w:ilvl w:val="0"/>
          <w:numId w:val="1"/>
        </w:numPr>
        <w:shd w:val="clear" w:color="auto" w:fill="FFFFFF"/>
        <w:spacing w:after="0" w:line="360" w:lineRule="auto"/>
        <w:ind w:left="-567" w:firstLine="567"/>
        <w:contextualSpacing w:val="0"/>
        <w:jc w:val="both"/>
        <w:textAlignment w:val="baseline"/>
        <w:rPr>
          <w:rFonts w:ascii="Times New Roman" w:hAnsi="Times New Roman" w:cs="Times New Roman"/>
          <w:sz w:val="28"/>
          <w:szCs w:val="28"/>
          <w:lang w:val="en-US"/>
        </w:rPr>
      </w:pPr>
      <w:r w:rsidRPr="00C61473">
        <w:rPr>
          <w:rFonts w:ascii="Times New Roman" w:hAnsi="Times New Roman" w:cs="Times New Roman"/>
          <w:sz w:val="28"/>
          <w:szCs w:val="28"/>
          <w:lang w:val="en-US"/>
        </w:rPr>
        <w:lastRenderedPageBreak/>
        <w:t xml:space="preserve">Variation in the use of lower extremity vascular procedures for critical limb ischemia/ P.P. Goodney, L.L. Travis, B.K. Nallamothu et al.//Circ Cardiovasc Qual Outcomes.- 2012. - №5.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.94–102.</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Villela D.L. Evidence on the use of platelet-rich plasma for diabetic ulcer: a systematic review. / D.L. Villela, V.L. Santos // Growth Factors. – 2010. - №28.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.111-116.</w:t>
      </w:r>
    </w:p>
    <w:p w:rsidR="00F506C5" w:rsidRPr="00C61473"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Ware J.E.The SF-36 Short Form health status</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en-US"/>
        </w:rPr>
        <w:t>survey 1, conceptual framework and item selection./ J. E. Ware, C. D. Sherbourne. // Med Care</w:t>
      </w:r>
      <w:r w:rsidRPr="00C61473">
        <w:rPr>
          <w:rFonts w:ascii="Times New Roman" w:hAnsi="Times New Roman" w:cs="Times New Roman"/>
          <w:sz w:val="28"/>
          <w:szCs w:val="28"/>
          <w:lang w:val="uk-UA"/>
        </w:rPr>
        <w:t xml:space="preserve"> .</w:t>
      </w:r>
      <w:r w:rsidRPr="00C61473">
        <w:rPr>
          <w:rFonts w:ascii="Times New Roman" w:hAnsi="Times New Roman" w:cs="Times New Roman"/>
          <w:sz w:val="28"/>
          <w:szCs w:val="28"/>
          <w:lang w:val="uk-UA"/>
        </w:rPr>
        <w:noBreakHyphen/>
      </w:r>
      <w:r w:rsidRPr="00C61473">
        <w:rPr>
          <w:rFonts w:ascii="Times New Roman" w:hAnsi="Times New Roman" w:cs="Times New Roman"/>
          <w:sz w:val="28"/>
          <w:szCs w:val="28"/>
          <w:lang w:val="en-US"/>
        </w:rPr>
        <w:t>1992.</w:t>
      </w:r>
      <w:r w:rsidRPr="00C61473">
        <w:rPr>
          <w:rFonts w:ascii="Times New Roman" w:hAnsi="Times New Roman" w:cs="Times New Roman"/>
          <w:sz w:val="28"/>
          <w:szCs w:val="28"/>
          <w:lang w:val="en-US"/>
        </w:rPr>
        <w:noBreakHyphen/>
        <w:t xml:space="preserve">№30. – </w:t>
      </w:r>
      <w:r w:rsidRPr="00C61473">
        <w:rPr>
          <w:rFonts w:ascii="Times New Roman" w:hAnsi="Times New Roman" w:cs="Times New Roman"/>
          <w:vanish/>
          <w:sz w:val="28"/>
          <w:szCs w:val="28"/>
        </w:rPr>
        <w:t>Р</w:t>
      </w:r>
      <w:r w:rsidRPr="00C61473">
        <w:rPr>
          <w:rFonts w:ascii="Times New Roman" w:hAnsi="Times New Roman" w:cs="Times New Roman"/>
          <w:vanish/>
          <w:sz w:val="28"/>
          <w:szCs w:val="28"/>
          <w:lang w:val="en-US"/>
        </w:rPr>
        <w:t>.</w:t>
      </w:r>
      <w:r w:rsidRPr="00C61473">
        <w:rPr>
          <w:rFonts w:ascii="Times New Roman" w:hAnsi="Times New Roman" w:cs="Times New Roman"/>
          <w:sz w:val="28"/>
          <w:szCs w:val="28"/>
          <w:lang w:val="en-US"/>
        </w:rPr>
        <w:t>473-483.</w:t>
      </w:r>
    </w:p>
    <w:p w:rsidR="00F506C5"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C61473">
        <w:rPr>
          <w:rFonts w:ascii="Times New Roman" w:hAnsi="Times New Roman" w:cs="Times New Roman"/>
          <w:sz w:val="28"/>
          <w:szCs w:val="28"/>
          <w:lang w:val="en-US"/>
        </w:rPr>
        <w:t xml:space="preserve">Worse limb prognosis for indirect versus direct endovascular revascularization only in patients with critical limb ischemia complicated with wound infection and diabetes mellitus.// O. Iida, M. Takahara, Y. Soga, Y. Yamauchi, K. Hirano, J. Tazaki et al.// Eur J Vasc Endovasc Surg. – 2013. - №46. – </w:t>
      </w:r>
      <w:r w:rsidRPr="00C61473">
        <w:rPr>
          <w:rFonts w:ascii="Times New Roman" w:hAnsi="Times New Roman" w:cs="Times New Roman"/>
          <w:sz w:val="28"/>
          <w:szCs w:val="28"/>
        </w:rPr>
        <w:t>Р</w:t>
      </w:r>
      <w:r w:rsidRPr="00C61473">
        <w:rPr>
          <w:rFonts w:ascii="Times New Roman" w:hAnsi="Times New Roman" w:cs="Times New Roman"/>
          <w:sz w:val="28"/>
          <w:szCs w:val="28"/>
          <w:lang w:val="en-US"/>
        </w:rPr>
        <w:t>.575-582.</w:t>
      </w:r>
    </w:p>
    <w:p w:rsidR="00F506C5" w:rsidRPr="00431481" w:rsidRDefault="00F506C5" w:rsidP="00B43186">
      <w:pPr>
        <w:pStyle w:val="ad"/>
        <w:numPr>
          <w:ilvl w:val="0"/>
          <w:numId w:val="1"/>
        </w:numPr>
        <w:spacing w:after="0" w:line="360" w:lineRule="auto"/>
        <w:ind w:left="-567" w:firstLine="567"/>
        <w:contextualSpacing w:val="0"/>
        <w:jc w:val="both"/>
        <w:rPr>
          <w:rFonts w:ascii="Times New Roman" w:hAnsi="Times New Roman" w:cs="Times New Roman"/>
          <w:sz w:val="28"/>
          <w:szCs w:val="28"/>
          <w:lang w:val="en-US"/>
        </w:rPr>
      </w:pPr>
      <w:r w:rsidRPr="00261193">
        <w:rPr>
          <w:rFonts w:ascii="Times New Roman" w:hAnsi="Times New Roman" w:cs="Times New Roman"/>
          <w:sz w:val="28"/>
          <w:szCs w:val="28"/>
          <w:lang w:val="en-US"/>
        </w:rPr>
        <w:t>Yancopoulos G.D. Vascular-specific growth factors and blood vessel formation / G.D. Yancopoulos // Nature. – 2000.</w:t>
      </w:r>
      <w:r w:rsidRPr="00261193">
        <w:rPr>
          <w:rFonts w:ascii="Times New Roman" w:hAnsi="Times New Roman" w:cs="Times New Roman"/>
          <w:sz w:val="28"/>
          <w:szCs w:val="28"/>
          <w:lang w:val="en-US"/>
        </w:rPr>
        <w:noBreakHyphen/>
        <w:t xml:space="preserve"> № 407. – </w:t>
      </w:r>
      <w:r w:rsidRPr="00261193">
        <w:rPr>
          <w:rFonts w:ascii="Times New Roman" w:hAnsi="Times New Roman" w:cs="Times New Roman"/>
          <w:sz w:val="28"/>
          <w:szCs w:val="28"/>
        </w:rPr>
        <w:t>Р</w:t>
      </w:r>
      <w:r w:rsidRPr="00261193">
        <w:rPr>
          <w:rFonts w:ascii="Times New Roman" w:hAnsi="Times New Roman" w:cs="Times New Roman"/>
          <w:sz w:val="28"/>
          <w:szCs w:val="28"/>
          <w:lang w:val="en-US"/>
        </w:rPr>
        <w:t>.242-248.</w:t>
      </w:r>
    </w:p>
    <w:p w:rsidR="00431481" w:rsidRDefault="00431481" w:rsidP="00284C57">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13CAE" w:rsidRDefault="00313CAE" w:rsidP="00313CA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313CAE" w:rsidRDefault="00313CAE" w:rsidP="00313CAE">
      <w:pPr>
        <w:spacing w:after="0" w:line="360" w:lineRule="auto"/>
        <w:ind w:left="-567" w:firstLine="568"/>
        <w:jc w:val="center"/>
        <w:rPr>
          <w:rFonts w:ascii="Times New Roman" w:hAnsi="Times New Roman" w:cs="Times New Roman"/>
          <w:b/>
          <w:sz w:val="28"/>
          <w:szCs w:val="28"/>
          <w:lang w:val="uk-UA"/>
        </w:rPr>
      </w:pPr>
      <w:r w:rsidRPr="00593901">
        <w:rPr>
          <w:rFonts w:ascii="Times New Roman" w:hAnsi="Times New Roman" w:cs="Times New Roman"/>
          <w:b/>
          <w:sz w:val="28"/>
          <w:szCs w:val="28"/>
          <w:lang w:val="uk-UA"/>
        </w:rPr>
        <w:t>СПИСОК ОПУБЛІКОВАНИХ ПРАЦЬ ЗА ТЕМОЮ ДИСЕРТАЦІЇ</w:t>
      </w:r>
    </w:p>
    <w:p w:rsidR="00A7695D" w:rsidRDefault="00A7695D" w:rsidP="00313CAE">
      <w:pPr>
        <w:spacing w:after="0" w:line="360" w:lineRule="auto"/>
        <w:ind w:left="-567" w:firstLine="568"/>
        <w:jc w:val="center"/>
        <w:rPr>
          <w:rFonts w:ascii="Times New Roman" w:hAnsi="Times New Roman" w:cs="Times New Roman"/>
          <w:b/>
          <w:sz w:val="28"/>
          <w:szCs w:val="28"/>
          <w:lang w:val="uk-UA"/>
        </w:rPr>
      </w:pPr>
    </w:p>
    <w:p w:rsidR="00A7695D" w:rsidRDefault="00A7695D" w:rsidP="00313CAE">
      <w:pPr>
        <w:spacing w:after="0" w:line="360" w:lineRule="auto"/>
        <w:ind w:left="-567" w:firstLine="568"/>
        <w:jc w:val="center"/>
        <w:rPr>
          <w:rFonts w:ascii="Times New Roman" w:hAnsi="Times New Roman" w:cs="Times New Roman"/>
          <w:b/>
          <w:sz w:val="28"/>
          <w:szCs w:val="28"/>
          <w:lang w:val="uk-UA"/>
        </w:rPr>
      </w:pPr>
    </w:p>
    <w:p w:rsidR="00A7695D" w:rsidRPr="00A7695D" w:rsidRDefault="00A7695D" w:rsidP="00A7695D">
      <w:pPr>
        <w:spacing w:after="0" w:line="360" w:lineRule="auto"/>
        <w:ind w:left="-567" w:firstLine="568"/>
        <w:rPr>
          <w:rFonts w:ascii="Times New Roman" w:hAnsi="Times New Roman" w:cs="Times New Roman"/>
          <w:b/>
          <w:sz w:val="28"/>
          <w:szCs w:val="28"/>
          <w:lang w:val="uk-UA"/>
        </w:rPr>
      </w:pPr>
      <w:r w:rsidRPr="00A7695D">
        <w:rPr>
          <w:rFonts w:ascii="Times New Roman" w:hAnsi="Times New Roman" w:cs="Times New Roman"/>
          <w:b/>
          <w:sz w:val="28"/>
          <w:szCs w:val="28"/>
          <w:lang w:val="uk-UA"/>
        </w:rPr>
        <w:t>Праці, в яких опубліковані основні результати  дисертації:</w:t>
      </w:r>
    </w:p>
    <w:p w:rsidR="00A7695D" w:rsidRPr="00B518BA" w:rsidRDefault="00A7695D" w:rsidP="006238D9">
      <w:pPr>
        <w:pStyle w:val="ad"/>
        <w:numPr>
          <w:ilvl w:val="0"/>
          <w:numId w:val="9"/>
        </w:numPr>
        <w:spacing w:after="0" w:line="360" w:lineRule="auto"/>
        <w:jc w:val="both"/>
        <w:rPr>
          <w:rFonts w:ascii="Times New Roman" w:hAnsi="Times New Roman" w:cs="Times New Roman"/>
          <w:sz w:val="28"/>
          <w:szCs w:val="28"/>
        </w:rPr>
      </w:pPr>
      <w:r w:rsidRPr="00B518BA">
        <w:rPr>
          <w:rFonts w:ascii="Times New Roman" w:hAnsi="Times New Roman" w:cs="Times New Roman"/>
          <w:sz w:val="28"/>
          <w:szCs w:val="28"/>
          <w:lang w:val="uk-UA"/>
        </w:rPr>
        <w:t>Гоні</w:t>
      </w:r>
      <w:r w:rsidRPr="00B518BA">
        <w:rPr>
          <w:rFonts w:ascii="Times New Roman" w:hAnsi="Times New Roman" w:cs="Times New Roman"/>
          <w:sz w:val="28"/>
          <w:szCs w:val="28"/>
        </w:rPr>
        <w:t> </w:t>
      </w:r>
      <w:r w:rsidRPr="00B518BA">
        <w:rPr>
          <w:rFonts w:ascii="Times New Roman" w:hAnsi="Times New Roman" w:cs="Times New Roman"/>
          <w:sz w:val="28"/>
          <w:szCs w:val="28"/>
          <w:lang w:val="uk-UA"/>
        </w:rPr>
        <w:t>С.-К.Т. Перші результати лікування хворих на хронічну критичну ішемію нижніх кінцівок із дистальною формою ураження методом стимуляції ангіогенезу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Криворучко, В.О.</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Прасол,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 xml:space="preserve">Гоні//Науковий вісник Ужгородського університету, серія «Медицина» -2015.- </w:t>
      </w:r>
      <w:r w:rsidRPr="00B518BA">
        <w:rPr>
          <w:rFonts w:ascii="Times New Roman" w:hAnsi="Times New Roman" w:cs="Times New Roman"/>
          <w:sz w:val="28"/>
          <w:szCs w:val="28"/>
        </w:rPr>
        <w:t>№2(52)- С.49-50. (дисертантом проведено збір та обробку матеріалів статті та підготовку статті до друку)</w:t>
      </w:r>
    </w:p>
    <w:p w:rsidR="00A7695D" w:rsidRPr="00B518BA" w:rsidRDefault="00A7695D" w:rsidP="006238D9">
      <w:pPr>
        <w:pStyle w:val="ad"/>
        <w:numPr>
          <w:ilvl w:val="0"/>
          <w:numId w:val="9"/>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t>Гоні С.-К.Т. Результати лікування хворих на хронічну критичну ішемію нижніх кінцівок/І.А.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Гоні, І.М.</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Лодяна// Науковий вісник Ужгородського університету, серія «Медицина» -2014.- №1(49)- С.115-117. (дисертантом проведено збір та обробку матеріалів статті та підготовку статті до друку)</w:t>
      </w:r>
    </w:p>
    <w:p w:rsidR="00A7695D" w:rsidRPr="00B518BA" w:rsidRDefault="00A7695D" w:rsidP="006238D9">
      <w:pPr>
        <w:pStyle w:val="ad"/>
        <w:numPr>
          <w:ilvl w:val="0"/>
          <w:numId w:val="9"/>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t>Гоні С.-К.Т. Хірургічне лікування хворих на критичну ішемію нижніх кінцівок залежно від спектру вегетуючої флори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Гоні,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І.М.</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Лодяна// Харківська хірургічна школа.- 2014.-№2(65).- С. 90-93. (дисертантом проведено збір та обробку матеріалів статті)</w:t>
      </w:r>
    </w:p>
    <w:p w:rsidR="00A7695D" w:rsidRPr="005C5977" w:rsidRDefault="00A7695D" w:rsidP="006238D9">
      <w:pPr>
        <w:pStyle w:val="ad"/>
        <w:numPr>
          <w:ilvl w:val="0"/>
          <w:numId w:val="9"/>
        </w:numPr>
        <w:spacing w:after="0" w:line="360" w:lineRule="auto"/>
        <w:ind w:left="-567" w:firstLine="568"/>
        <w:jc w:val="both"/>
        <w:rPr>
          <w:rFonts w:ascii="Times New Roman" w:hAnsi="Times New Roman" w:cs="Times New Roman"/>
          <w:sz w:val="28"/>
          <w:szCs w:val="28"/>
          <w:lang w:val="uk-UA"/>
        </w:rPr>
      </w:pPr>
      <w:r w:rsidRPr="00B518BA">
        <w:rPr>
          <w:rFonts w:ascii="Times New Roman" w:hAnsi="Times New Roman" w:cs="Times New Roman"/>
          <w:sz w:val="28"/>
          <w:szCs w:val="28"/>
        </w:rPr>
        <w:t>Гоні С.-К.Т.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rPr>
        <w:t xml:space="preserve">Гоні, // Харківська хірургічна школа.- 2016.-№3(78).- С. 94-96. </w:t>
      </w:r>
      <w:r w:rsidRPr="005C5977">
        <w:rPr>
          <w:rFonts w:ascii="Times New Roman" w:hAnsi="Times New Roman" w:cs="Times New Roman"/>
          <w:sz w:val="28"/>
          <w:szCs w:val="28"/>
        </w:rPr>
        <w:t xml:space="preserve"> </w:t>
      </w:r>
      <w:r>
        <w:rPr>
          <w:rFonts w:ascii="Times New Roman" w:hAnsi="Times New Roman" w:cs="Times New Roman"/>
          <w:sz w:val="28"/>
          <w:szCs w:val="28"/>
          <w:lang w:val="uk-UA"/>
        </w:rPr>
        <w:t xml:space="preserve">За матеріалами </w:t>
      </w:r>
      <w:r w:rsidRPr="00F42885">
        <w:rPr>
          <w:rFonts w:ascii="Times New Roman" w:hAnsi="Times New Roman"/>
          <w:sz w:val="28"/>
          <w:szCs w:val="28"/>
          <w:lang w:val="uk-UA"/>
        </w:rPr>
        <w:t>науково-практичн</w:t>
      </w:r>
      <w:r>
        <w:rPr>
          <w:rFonts w:ascii="Times New Roman" w:hAnsi="Times New Roman"/>
          <w:sz w:val="28"/>
          <w:szCs w:val="28"/>
          <w:lang w:val="uk-UA"/>
        </w:rPr>
        <w:t xml:space="preserve">ої </w:t>
      </w:r>
      <w:r w:rsidRPr="00F42885">
        <w:rPr>
          <w:rFonts w:ascii="Times New Roman" w:hAnsi="Times New Roman"/>
          <w:sz w:val="28"/>
          <w:szCs w:val="28"/>
          <w:lang w:val="uk-UA"/>
        </w:rPr>
        <w:t xml:space="preserve">конференції з міжнародною </w:t>
      </w:r>
      <w:r w:rsidRPr="005C5977">
        <w:rPr>
          <w:rFonts w:ascii="Times New Roman" w:hAnsi="Times New Roman"/>
          <w:sz w:val="28"/>
          <w:szCs w:val="28"/>
          <w:lang w:val="uk-UA"/>
        </w:rPr>
        <w:t>участю «Актуальні питання невідкладної хірургії» (м. Харків, 2016)</w:t>
      </w:r>
      <w:r w:rsidRPr="005C5977">
        <w:rPr>
          <w:rFonts w:ascii="Times New Roman" w:hAnsi="Times New Roman" w:cs="Times New Roman"/>
          <w:sz w:val="28"/>
          <w:szCs w:val="28"/>
          <w:lang w:val="uk-UA"/>
        </w:rPr>
        <w:t xml:space="preserve"> (дисертантом проведено збір та обробку матеріалів статті та підготовку статті до друку</w:t>
      </w:r>
      <w:r>
        <w:rPr>
          <w:rFonts w:ascii="Times New Roman" w:hAnsi="Times New Roman" w:cs="Times New Roman"/>
          <w:sz w:val="28"/>
          <w:szCs w:val="28"/>
          <w:lang w:val="uk-UA"/>
        </w:rPr>
        <w:t>, доповідь</w:t>
      </w:r>
      <w:r w:rsidRPr="005C5977">
        <w:rPr>
          <w:rFonts w:ascii="Times New Roman" w:hAnsi="Times New Roman" w:cs="Times New Roman"/>
          <w:sz w:val="28"/>
          <w:szCs w:val="28"/>
          <w:lang w:val="uk-UA"/>
        </w:rPr>
        <w:t>)</w:t>
      </w:r>
    </w:p>
    <w:p w:rsidR="00A7695D" w:rsidRPr="00B518BA" w:rsidRDefault="00A7695D" w:rsidP="006238D9">
      <w:pPr>
        <w:pStyle w:val="ad"/>
        <w:numPr>
          <w:ilvl w:val="0"/>
          <w:numId w:val="9"/>
        </w:numPr>
        <w:spacing w:after="0" w:line="360" w:lineRule="auto"/>
        <w:ind w:left="-567" w:firstLine="568"/>
        <w:jc w:val="both"/>
        <w:rPr>
          <w:rFonts w:ascii="Times New Roman" w:hAnsi="Times New Roman" w:cs="Times New Roman"/>
          <w:sz w:val="28"/>
          <w:szCs w:val="28"/>
        </w:rPr>
      </w:pPr>
      <w:r w:rsidRPr="00E44361">
        <w:rPr>
          <w:rFonts w:ascii="Times New Roman" w:hAnsi="Times New Roman" w:cs="Times New Roman"/>
          <w:sz w:val="28"/>
          <w:szCs w:val="28"/>
          <w:lang w:val="uk-UA"/>
        </w:rPr>
        <w:lastRenderedPageBreak/>
        <w:t xml:space="preserve">Гоні С.-К.Т. </w:t>
      </w:r>
      <w:r w:rsidRPr="00E44361">
        <w:rPr>
          <w:rFonts w:ascii="Times New Roman" w:hAnsi="Times New Roman" w:cs="Times New Roman"/>
          <w:bCs/>
          <w:sz w:val="28"/>
          <w:szCs w:val="28"/>
          <w:lang w:val="uk-UA"/>
        </w:rPr>
        <w:t>Показники дисфункції ендотелію у хворих на хронічну критичну ішемію нижніх кінцівок /</w:t>
      </w:r>
      <w:r w:rsidRPr="00E44361">
        <w:rPr>
          <w:rFonts w:ascii="Times New Roman" w:hAnsi="Times New Roman" w:cs="Times New Roman"/>
          <w:sz w:val="28"/>
          <w:szCs w:val="28"/>
          <w:lang w:val="uk-UA"/>
        </w:rPr>
        <w:t xml:space="preserve"> С.-К.Т.</w:t>
      </w:r>
      <w:r w:rsidRPr="00B518BA">
        <w:rPr>
          <w:rFonts w:ascii="Times New Roman" w:hAnsi="Times New Roman" w:cs="Times New Roman"/>
          <w:sz w:val="28"/>
          <w:szCs w:val="28"/>
          <w:lang w:val="en-US"/>
        </w:rPr>
        <w:t> </w:t>
      </w:r>
      <w:r w:rsidRPr="00E44361">
        <w:rPr>
          <w:rFonts w:ascii="Times New Roman" w:hAnsi="Times New Roman" w:cs="Times New Roman"/>
          <w:sz w:val="28"/>
          <w:szCs w:val="28"/>
          <w:lang w:val="uk-UA"/>
        </w:rPr>
        <w:t>Гоні //</w:t>
      </w:r>
      <w:r w:rsidRPr="00B518BA">
        <w:rPr>
          <w:rFonts w:ascii="Times New Roman" w:hAnsi="Times New Roman" w:cs="Times New Roman"/>
          <w:bCs/>
          <w:sz w:val="28"/>
          <w:szCs w:val="28"/>
          <w:lang w:val="en-US"/>
        </w:rPr>
        <w:t>Journal</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of</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Education</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Health</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and</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lang w:val="en-US"/>
        </w:rPr>
        <w:t>Sport</w:t>
      </w:r>
      <w:r w:rsidRPr="00E44361">
        <w:rPr>
          <w:rFonts w:ascii="Times New Roman" w:hAnsi="Times New Roman" w:cs="Times New Roman"/>
          <w:bCs/>
          <w:sz w:val="28"/>
          <w:szCs w:val="28"/>
          <w:lang w:val="uk-UA"/>
        </w:rPr>
        <w:t xml:space="preserve">.- </w:t>
      </w:r>
      <w:r w:rsidRPr="00B518BA">
        <w:rPr>
          <w:rFonts w:ascii="Times New Roman" w:hAnsi="Times New Roman" w:cs="Times New Roman"/>
          <w:bCs/>
          <w:sz w:val="28"/>
          <w:szCs w:val="28"/>
        </w:rPr>
        <w:t>2016.-№6(10).- Р.485-492. eISSN 2391-8306.</w:t>
      </w:r>
    </w:p>
    <w:p w:rsidR="00A7695D" w:rsidRPr="00B518BA" w:rsidRDefault="00A7695D" w:rsidP="006238D9">
      <w:pPr>
        <w:pStyle w:val="ad"/>
        <w:numPr>
          <w:ilvl w:val="0"/>
          <w:numId w:val="9"/>
        </w:numPr>
        <w:spacing w:after="0" w:line="360" w:lineRule="auto"/>
        <w:ind w:left="-567" w:firstLine="568"/>
        <w:jc w:val="both"/>
        <w:rPr>
          <w:rFonts w:ascii="Times New Roman" w:hAnsi="Times New Roman" w:cs="Times New Roman"/>
          <w:sz w:val="28"/>
          <w:szCs w:val="28"/>
        </w:rPr>
      </w:pPr>
      <w:r w:rsidRPr="00B518BA">
        <w:rPr>
          <w:rFonts w:ascii="Times New Roman" w:hAnsi="Times New Roman" w:cs="Times New Roman"/>
          <w:sz w:val="28"/>
          <w:szCs w:val="28"/>
        </w:rPr>
        <w:t>Гоні С.-К.Т. Сучасні методи стимуляції неоангіогенезу при хронічній критичній ішемії нижніх кінцівок /І.А.Криворучко, С.-К.Т.Гоні, І.М.Лодяна// Харківська хірургічна школа.- 2015.-№2(71).- С. 123-125. (дисертантом проведено збір та обробку матеріалів статті та підготовку статті до друку)</w:t>
      </w:r>
    </w:p>
    <w:p w:rsidR="00A7695D" w:rsidRPr="00B518BA" w:rsidRDefault="00A7695D"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hAnsi="Times New Roman" w:cs="Times New Roman"/>
          <w:sz w:val="28"/>
          <w:szCs w:val="28"/>
          <w:lang w:val="uk-UA"/>
        </w:rPr>
        <w:t>Гоні С.</w:t>
      </w:r>
      <w:r w:rsidRPr="00B518BA">
        <w:rPr>
          <w:rFonts w:ascii="Times New Roman" w:hAnsi="Times New Roman" w:cs="Times New Roman"/>
          <w:sz w:val="28"/>
          <w:szCs w:val="28"/>
          <w:lang w:val="en-US"/>
        </w:rPr>
        <w:t>K</w:t>
      </w:r>
      <w:r w:rsidRPr="00B518BA">
        <w:rPr>
          <w:rFonts w:ascii="Times New Roman" w:hAnsi="Times New Roman" w:cs="Times New Roman"/>
          <w:sz w:val="28"/>
          <w:szCs w:val="28"/>
          <w:lang w:val="uk-UA"/>
        </w:rPr>
        <w:t>. Т. Динаміка деяких показників дисфункції ендотелію у хворих за хронічної критичної ішемії тканин нижніх кінцівок залежно від проведеного лікування / І.А.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Криворучко, С.К.Т.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Гоні, С.А.Т.</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Гоні, С. А.</w:t>
      </w:r>
      <w:r w:rsidRPr="00B518BA">
        <w:rPr>
          <w:rFonts w:ascii="Times New Roman" w:hAnsi="Times New Roman" w:cs="Times New Roman"/>
          <w:sz w:val="28"/>
          <w:szCs w:val="28"/>
          <w:lang w:val="en-US"/>
        </w:rPr>
        <w:t> </w:t>
      </w:r>
      <w:r w:rsidRPr="00B518BA">
        <w:rPr>
          <w:rFonts w:ascii="Times New Roman" w:hAnsi="Times New Roman" w:cs="Times New Roman"/>
          <w:sz w:val="28"/>
          <w:szCs w:val="28"/>
          <w:lang w:val="uk-UA"/>
        </w:rPr>
        <w:t xml:space="preserve">Андреєщев // Клінічна хірургія.- </w:t>
      </w:r>
      <w:r w:rsidRPr="00B518BA">
        <w:rPr>
          <w:rFonts w:ascii="Times New Roman" w:hAnsi="Times New Roman" w:cs="Times New Roman"/>
          <w:sz w:val="28"/>
          <w:szCs w:val="28"/>
        </w:rPr>
        <w:t>201</w:t>
      </w:r>
      <w:r w:rsidRPr="00B518BA">
        <w:rPr>
          <w:rFonts w:ascii="Times New Roman" w:hAnsi="Times New Roman" w:cs="Times New Roman"/>
          <w:sz w:val="28"/>
          <w:szCs w:val="28"/>
          <w:lang w:val="uk-UA"/>
        </w:rPr>
        <w:t>7</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4</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900</w:t>
      </w:r>
      <w:r w:rsidRPr="00B518BA">
        <w:rPr>
          <w:rFonts w:ascii="Times New Roman" w:hAnsi="Times New Roman" w:cs="Times New Roman"/>
          <w:sz w:val="28"/>
          <w:szCs w:val="28"/>
        </w:rPr>
        <w:t xml:space="preserve">).- С. </w:t>
      </w:r>
      <w:r w:rsidRPr="00B518BA">
        <w:rPr>
          <w:rFonts w:ascii="Times New Roman" w:hAnsi="Times New Roman" w:cs="Times New Roman"/>
          <w:sz w:val="28"/>
          <w:szCs w:val="28"/>
          <w:lang w:val="uk-UA"/>
        </w:rPr>
        <w:t>35</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38</w:t>
      </w:r>
      <w:r w:rsidRPr="00B518BA">
        <w:rPr>
          <w:rFonts w:ascii="Times New Roman" w:hAnsi="Times New Roman" w:cs="Times New Roman"/>
          <w:sz w:val="28"/>
          <w:szCs w:val="28"/>
        </w:rPr>
        <w:t>.</w:t>
      </w:r>
      <w:r w:rsidRPr="00B518BA">
        <w:rPr>
          <w:rFonts w:ascii="Times New Roman" w:hAnsi="Times New Roman" w:cs="Times New Roman"/>
          <w:sz w:val="28"/>
          <w:szCs w:val="28"/>
          <w:lang w:val="uk-UA"/>
        </w:rPr>
        <w:t xml:space="preserve"> </w:t>
      </w:r>
      <w:r w:rsidRPr="00B518BA">
        <w:rPr>
          <w:rFonts w:ascii="Times New Roman" w:hAnsi="Times New Roman" w:cs="Times New Roman"/>
          <w:sz w:val="28"/>
          <w:szCs w:val="28"/>
        </w:rPr>
        <w:t>(дисертантом проведено збір та обробку матеріалів статті та підготовку статті до друку)</w:t>
      </w:r>
    </w:p>
    <w:p w:rsidR="00A7695D" w:rsidRPr="00A7695D" w:rsidRDefault="00A7695D" w:rsidP="00A7695D">
      <w:pPr>
        <w:spacing w:after="0" w:line="360" w:lineRule="auto"/>
        <w:ind w:left="-567" w:firstLine="568"/>
        <w:jc w:val="both"/>
        <w:rPr>
          <w:rFonts w:ascii="Times New Roman" w:eastAsia="Times New Roman" w:hAnsi="Times New Roman" w:cs="Times New Roman"/>
          <w:b/>
          <w:sz w:val="28"/>
          <w:szCs w:val="28"/>
          <w:lang w:val="uk-UA"/>
        </w:rPr>
      </w:pPr>
      <w:r w:rsidRPr="00A7695D">
        <w:rPr>
          <w:rFonts w:ascii="Times New Roman" w:hAnsi="Times New Roman" w:cs="Times New Roman"/>
          <w:b/>
          <w:sz w:val="28"/>
          <w:szCs w:val="28"/>
          <w:lang w:val="uk-UA"/>
        </w:rPr>
        <w:t>Праці, які засвідчують апробацію матеріалів дисертації:</w:t>
      </w:r>
    </w:p>
    <w:p w:rsidR="00A7695D" w:rsidRPr="00B518BA" w:rsidRDefault="00A7695D" w:rsidP="006238D9">
      <w:pPr>
        <w:numPr>
          <w:ilvl w:val="0"/>
          <w:numId w:val="9"/>
        </w:numPr>
        <w:spacing w:after="0" w:line="360" w:lineRule="auto"/>
        <w:ind w:left="-567" w:firstLine="568"/>
        <w:jc w:val="both"/>
        <w:rPr>
          <w:rFonts w:ascii="Times New Roman" w:eastAsia="Times New Roman" w:hAnsi="Times New Roman" w:cs="Times New Roman"/>
          <w:sz w:val="28"/>
          <w:szCs w:val="28"/>
          <w:lang w:val="en-US"/>
        </w:rPr>
      </w:pPr>
      <w:r w:rsidRPr="00B518BA">
        <w:rPr>
          <w:rFonts w:ascii="Times New Roman" w:eastAsia="Times New Roman" w:hAnsi="Times New Roman" w:cs="Times New Roman"/>
          <w:sz w:val="28"/>
          <w:szCs w:val="28"/>
          <w:lang w:val="en-US"/>
        </w:rPr>
        <w:t xml:space="preserve">Goni S.-K.T. The optimal method of obtaining PRP for treatment of chronic limb ischaemia. / S.-K.T. Goni // </w:t>
      </w:r>
      <w:r w:rsidRPr="00B518BA">
        <w:rPr>
          <w:rFonts w:ascii="Times New Roman" w:eastAsia="Times New Roman" w:hAnsi="Times New Roman" w:cs="Times New Roman"/>
          <w:sz w:val="28"/>
          <w:szCs w:val="28"/>
          <w:lang w:val="uk-UA"/>
        </w:rPr>
        <w:t>Abstract book of 8th International Scientific Interdisciplinary Conference for medical students and young scientist</w:t>
      </w:r>
      <w:r w:rsidRPr="00B518BA">
        <w:rPr>
          <w:rFonts w:ascii="Times New Roman" w:eastAsia="Times New Roman" w:hAnsi="Times New Roman" w:cs="Times New Roman"/>
          <w:sz w:val="28"/>
          <w:szCs w:val="28"/>
          <w:lang w:val="en-US"/>
        </w:rPr>
        <w:t xml:space="preserve"> Kharkiv.2015.- </w:t>
      </w:r>
      <w:r w:rsidRPr="00B518BA">
        <w:rPr>
          <w:rFonts w:ascii="Times New Roman" w:eastAsia="Times New Roman" w:hAnsi="Times New Roman" w:cs="Times New Roman"/>
          <w:sz w:val="28"/>
          <w:szCs w:val="28"/>
        </w:rPr>
        <w:t>Р</w:t>
      </w:r>
      <w:r w:rsidRPr="00B518BA">
        <w:rPr>
          <w:rFonts w:ascii="Times New Roman" w:eastAsia="Times New Roman" w:hAnsi="Times New Roman" w:cs="Times New Roman"/>
          <w:sz w:val="28"/>
          <w:szCs w:val="28"/>
          <w:lang w:val="en-US"/>
        </w:rPr>
        <w:t>.110</w:t>
      </w:r>
    </w:p>
    <w:p w:rsidR="006238D9" w:rsidRDefault="00A7695D"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en-US"/>
        </w:rPr>
        <w:t>Goni S.-K.T.</w:t>
      </w:r>
      <w:r w:rsidRPr="00B518BA">
        <w:rPr>
          <w:rFonts w:ascii="Times New Roman" w:eastAsia="Times New Roman" w:hAnsi="Times New Roman" w:cs="Times New Roman"/>
          <w:sz w:val="28"/>
          <w:szCs w:val="28"/>
          <w:lang w:val="uk-UA"/>
        </w:rPr>
        <w:t xml:space="preserve"> </w:t>
      </w:r>
      <w:r w:rsidRPr="00B518BA">
        <w:rPr>
          <w:rFonts w:ascii="Times New Roman" w:eastAsia="Times New Roman" w:hAnsi="Times New Roman" w:cs="Times New Roman"/>
          <w:sz w:val="28"/>
          <w:szCs w:val="28"/>
          <w:lang w:val="en-US"/>
        </w:rPr>
        <w:t>Plasmotherapy as an additional therapeutic method in surgical and non-surgical therapy of critical limb ischemia patients/ S.-K.T. Goni, V.I. Sirikh, K.V. Poradiuk  //</w:t>
      </w:r>
      <w:r w:rsidRPr="00B518BA">
        <w:rPr>
          <w:rFonts w:ascii="Times New Roman" w:eastAsia="Times New Roman" w:hAnsi="Times New Roman" w:cs="Times New Roman"/>
          <w:sz w:val="28"/>
          <w:szCs w:val="28"/>
          <w:lang w:val="uk-UA"/>
        </w:rPr>
        <w:t xml:space="preserve">Abstract book of </w:t>
      </w:r>
      <w:r w:rsidRPr="00B518BA">
        <w:rPr>
          <w:rFonts w:ascii="Times New Roman" w:eastAsia="Times New Roman" w:hAnsi="Times New Roman" w:cs="Times New Roman"/>
          <w:sz w:val="28"/>
          <w:szCs w:val="28"/>
          <w:lang w:val="en-US"/>
        </w:rPr>
        <w:t>9</w:t>
      </w:r>
      <w:r w:rsidRPr="00B518BA">
        <w:rPr>
          <w:rFonts w:ascii="Times New Roman" w:eastAsia="Times New Roman" w:hAnsi="Times New Roman" w:cs="Times New Roman"/>
          <w:sz w:val="28"/>
          <w:szCs w:val="28"/>
          <w:lang w:val="uk-UA"/>
        </w:rPr>
        <w:t xml:space="preserve"> th International Scientific Interdisciplinary Conference for medical students and young scientist</w:t>
      </w:r>
      <w:r w:rsidRPr="00B518BA">
        <w:rPr>
          <w:rFonts w:ascii="Times New Roman" w:eastAsia="Times New Roman" w:hAnsi="Times New Roman" w:cs="Times New Roman"/>
          <w:sz w:val="28"/>
          <w:szCs w:val="28"/>
          <w:lang w:val="en-US"/>
        </w:rPr>
        <w:t xml:space="preserve"> Kharkiv.2016.- </w:t>
      </w:r>
      <w:r w:rsidRPr="00B518BA">
        <w:rPr>
          <w:rFonts w:ascii="Times New Roman" w:eastAsia="Times New Roman" w:hAnsi="Times New Roman" w:cs="Times New Roman"/>
          <w:sz w:val="28"/>
          <w:szCs w:val="28"/>
        </w:rPr>
        <w:t>Р</w:t>
      </w:r>
      <w:r w:rsidRPr="00B518BA">
        <w:rPr>
          <w:rFonts w:ascii="Times New Roman" w:eastAsia="Times New Roman" w:hAnsi="Times New Roman" w:cs="Times New Roman"/>
          <w:sz w:val="28"/>
          <w:szCs w:val="28"/>
          <w:lang w:val="en-US"/>
        </w:rPr>
        <w:t>.401</w:t>
      </w:r>
      <w:r w:rsidRPr="00B518BA">
        <w:rPr>
          <w:rFonts w:ascii="Times New Roman" w:eastAsia="Times New Roman" w:hAnsi="Times New Roman" w:cs="Times New Roman"/>
          <w:sz w:val="28"/>
          <w:szCs w:val="28"/>
          <w:lang w:val="uk-UA"/>
        </w:rPr>
        <w:t xml:space="preserve"> </w:t>
      </w:r>
    </w:p>
    <w:p w:rsidR="006238D9" w:rsidRDefault="006238D9"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880319">
        <w:rPr>
          <w:rFonts w:ascii="Times New Roman" w:eastAsia="Times New Roman" w:hAnsi="Times New Roman" w:cs="Times New Roman"/>
          <w:sz w:val="28"/>
          <w:szCs w:val="28"/>
          <w:lang w:val="uk-UA"/>
        </w:rPr>
        <w:t xml:space="preserve">Гоні С.-К.Т. </w:t>
      </w:r>
      <w:r w:rsidRPr="00880319">
        <w:rPr>
          <w:rFonts w:ascii="Times New Roman" w:hAnsi="Times New Roman" w:cs="Times New Roman"/>
          <w:bCs/>
          <w:sz w:val="28"/>
          <w:szCs w:val="28"/>
          <w:lang w:val="en-US"/>
        </w:rPr>
        <w:t>C</w:t>
      </w:r>
      <w:r w:rsidRPr="00880319">
        <w:rPr>
          <w:rFonts w:ascii="Times New Roman" w:hAnsi="Times New Roman" w:cs="Times New Roman"/>
          <w:bCs/>
          <w:sz w:val="28"/>
          <w:szCs w:val="28"/>
          <w:lang w:val="uk-UA"/>
        </w:rPr>
        <w:t xml:space="preserve">посіб стимуляції неоангіогенезу при критичній ішемії нижніх кінцівок за допомогою збагаченої тромбоцитами </w:t>
      </w:r>
      <w:r>
        <w:rPr>
          <w:rFonts w:ascii="Times New Roman" w:hAnsi="Times New Roman" w:cs="Times New Roman"/>
          <w:bCs/>
          <w:sz w:val="28"/>
          <w:szCs w:val="28"/>
          <w:lang w:val="uk-UA"/>
        </w:rPr>
        <w:t>ауто</w:t>
      </w:r>
      <w:r w:rsidRPr="00880319">
        <w:rPr>
          <w:rFonts w:ascii="Times New Roman" w:hAnsi="Times New Roman" w:cs="Times New Roman"/>
          <w:bCs/>
          <w:sz w:val="28"/>
          <w:szCs w:val="28"/>
          <w:lang w:val="uk-UA"/>
        </w:rPr>
        <w:t xml:space="preserve">плазми / </w:t>
      </w:r>
      <w:r w:rsidRPr="00880319">
        <w:rPr>
          <w:rFonts w:ascii="Times New Roman" w:eastAsia="Times New Roman" w:hAnsi="Times New Roman" w:cs="Times New Roman"/>
          <w:sz w:val="28"/>
          <w:szCs w:val="28"/>
          <w:lang w:val="uk-UA"/>
        </w:rPr>
        <w:t>С.-К.Т.Гоні, І.А.Криворучко, В.О.Прасол, С.Н.Зюзько та ін.</w:t>
      </w:r>
      <w:r w:rsidRPr="00880319">
        <w:rPr>
          <w:rFonts w:ascii="Times New Roman" w:hAnsi="Times New Roman" w:cs="Times New Roman"/>
          <w:bCs/>
          <w:sz w:val="28"/>
          <w:szCs w:val="28"/>
          <w:lang w:val="uk-UA"/>
        </w:rPr>
        <w:t>//</w:t>
      </w:r>
      <w:r w:rsidRPr="00880319">
        <w:rPr>
          <w:rFonts w:ascii="Times New Roman" w:hAnsi="Times New Roman" w:cs="Times New Roman"/>
          <w:bCs/>
          <w:iCs/>
          <w:sz w:val="28"/>
          <w:szCs w:val="28"/>
          <w:lang w:val="uk-UA"/>
        </w:rPr>
        <w:t xml:space="preserve">Інформаційний лист </w:t>
      </w:r>
      <w:r w:rsidRPr="00880319">
        <w:rPr>
          <w:rFonts w:ascii="Times New Roman" w:eastAsia="TimesNewRomanPSMT" w:hAnsi="Times New Roman" w:cs="Times New Roman"/>
          <w:sz w:val="28"/>
          <w:szCs w:val="28"/>
          <w:lang w:val="uk-UA"/>
        </w:rPr>
        <w:t xml:space="preserve">про нововведення в сфері охорони здоров’я №110 – 2017, </w:t>
      </w:r>
      <w:r>
        <w:rPr>
          <w:rFonts w:ascii="Times New Roman" w:eastAsia="TimesNewRomanPSMT" w:hAnsi="Times New Roman" w:cs="Times New Roman"/>
          <w:sz w:val="28"/>
          <w:szCs w:val="28"/>
          <w:lang w:val="uk-UA"/>
        </w:rPr>
        <w:t xml:space="preserve">Київ, </w:t>
      </w:r>
      <w:r w:rsidRPr="00880319">
        <w:rPr>
          <w:rFonts w:ascii="Times New Roman" w:eastAsia="TimesNewRomanPSMT" w:hAnsi="Times New Roman" w:cs="Times New Roman"/>
          <w:sz w:val="28"/>
          <w:szCs w:val="28"/>
          <w:lang w:val="uk-UA"/>
        </w:rPr>
        <w:t>випуск 7 з проблеми «Хірургія»</w:t>
      </w:r>
    </w:p>
    <w:p w:rsidR="006238D9" w:rsidRPr="006720D2" w:rsidRDefault="006238D9"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6720D2">
        <w:rPr>
          <w:rFonts w:ascii="Times New Roman" w:eastAsia="Times New Roman" w:hAnsi="Times New Roman" w:cs="Times New Roman"/>
          <w:sz w:val="28"/>
          <w:szCs w:val="28"/>
          <w:lang w:val="uk-UA"/>
        </w:rPr>
        <w:t xml:space="preserve">Гоні С.-К.Т. </w:t>
      </w:r>
      <w:r w:rsidRPr="006720D2">
        <w:rPr>
          <w:rFonts w:ascii="Times New Roman" w:hAnsi="Times New Roman" w:cs="Times New Roman"/>
          <w:bCs/>
          <w:sz w:val="28"/>
          <w:szCs w:val="28"/>
          <w:lang w:val="uk-UA"/>
        </w:rPr>
        <w:t xml:space="preserve">Спосіб стимуляції неоангіогенезу в лікуванні ішемії кінцівок людини/ </w:t>
      </w:r>
      <w:r w:rsidRPr="006720D2">
        <w:rPr>
          <w:rFonts w:ascii="Times New Roman" w:eastAsia="Times New Roman" w:hAnsi="Times New Roman" w:cs="Times New Roman"/>
          <w:sz w:val="28"/>
          <w:szCs w:val="28"/>
          <w:lang w:val="uk-UA"/>
        </w:rPr>
        <w:t>С.-К.Т.Гоні, І.А.Криворучко, О.А Балач та ін..</w:t>
      </w:r>
      <w:r w:rsidRPr="006720D2">
        <w:rPr>
          <w:rFonts w:ascii="Times New Roman" w:hAnsi="Times New Roman" w:cs="Times New Roman"/>
          <w:bCs/>
          <w:sz w:val="28"/>
          <w:szCs w:val="28"/>
          <w:lang w:val="uk-UA"/>
        </w:rPr>
        <w:t>//</w:t>
      </w:r>
      <w:r w:rsidRPr="006720D2">
        <w:rPr>
          <w:rFonts w:ascii="Times New Roman" w:hAnsi="Times New Roman" w:cs="Times New Roman"/>
          <w:bCs/>
          <w:iCs/>
          <w:sz w:val="28"/>
          <w:szCs w:val="28"/>
          <w:lang w:val="uk-UA"/>
        </w:rPr>
        <w:t xml:space="preserve">Інформаційний лист </w:t>
      </w:r>
      <w:r w:rsidRPr="006720D2">
        <w:rPr>
          <w:rFonts w:ascii="Times New Roman" w:eastAsia="TimesNewRomanPSMT" w:hAnsi="Times New Roman" w:cs="Times New Roman"/>
          <w:sz w:val="28"/>
          <w:szCs w:val="28"/>
          <w:lang w:val="uk-UA"/>
        </w:rPr>
        <w:t xml:space="preserve">про нововведення в сфері охорони здоров’я №109 – 2017, </w:t>
      </w:r>
      <w:r>
        <w:rPr>
          <w:rFonts w:ascii="Times New Roman" w:eastAsia="TimesNewRomanPSMT" w:hAnsi="Times New Roman" w:cs="Times New Roman"/>
          <w:sz w:val="28"/>
          <w:szCs w:val="28"/>
          <w:lang w:val="uk-UA"/>
        </w:rPr>
        <w:t xml:space="preserve">Київ, </w:t>
      </w:r>
      <w:r w:rsidRPr="006720D2">
        <w:rPr>
          <w:rFonts w:ascii="Times New Roman" w:eastAsia="TimesNewRomanPSMT" w:hAnsi="Times New Roman" w:cs="Times New Roman"/>
          <w:sz w:val="28"/>
          <w:szCs w:val="28"/>
          <w:lang w:val="uk-UA"/>
        </w:rPr>
        <w:t>випуск 6 з проблеми «Хірургія»</w:t>
      </w:r>
    </w:p>
    <w:p w:rsidR="00A7695D" w:rsidRPr="00B518BA" w:rsidRDefault="00A7695D" w:rsidP="006238D9">
      <w:pPr>
        <w:spacing w:after="0" w:line="360" w:lineRule="auto"/>
        <w:jc w:val="both"/>
        <w:rPr>
          <w:rFonts w:ascii="Times New Roman" w:eastAsia="Times New Roman" w:hAnsi="Times New Roman" w:cs="Times New Roman"/>
          <w:sz w:val="28"/>
          <w:szCs w:val="28"/>
          <w:lang w:val="uk-UA"/>
        </w:rPr>
      </w:pPr>
    </w:p>
    <w:p w:rsidR="00A7695D" w:rsidRPr="00A7695D" w:rsidRDefault="00A7695D" w:rsidP="00A7695D">
      <w:pPr>
        <w:spacing w:after="0" w:line="360" w:lineRule="auto"/>
        <w:ind w:left="-567" w:firstLine="568"/>
        <w:jc w:val="both"/>
        <w:rPr>
          <w:rFonts w:ascii="Times New Roman" w:eastAsia="Times New Roman" w:hAnsi="Times New Roman" w:cs="Times New Roman"/>
          <w:b/>
          <w:sz w:val="28"/>
          <w:szCs w:val="28"/>
          <w:lang w:val="uk-UA"/>
        </w:rPr>
      </w:pPr>
      <w:r w:rsidRPr="00A7695D">
        <w:rPr>
          <w:rFonts w:ascii="Times New Roman" w:hAnsi="Times New Roman" w:cs="Times New Roman"/>
          <w:b/>
          <w:sz w:val="28"/>
          <w:szCs w:val="28"/>
          <w:lang w:val="uk-UA"/>
        </w:rPr>
        <w:t>Праці, які додатково відображають наукові результати дисертації:</w:t>
      </w:r>
    </w:p>
    <w:p w:rsidR="00A7695D" w:rsidRPr="00B518BA" w:rsidRDefault="00A7695D"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uk-UA"/>
        </w:rPr>
        <w:t xml:space="preserve">Гоні С.-К.Т. Спосіб стимуляції неоангіогенезу при критичній ішемії нижніх кінцівок за допомогою багатої тромбоцитами аутоплазми / С.-К.Т.Гоні, І.А.Криворучко, В.О.Прасол, С.Н.Зюзько та ін.// Патент України на корисну модель, № 111896, від 25.11.2016 </w:t>
      </w:r>
    </w:p>
    <w:p w:rsidR="00A7695D" w:rsidRDefault="00A7695D" w:rsidP="006238D9">
      <w:pPr>
        <w:numPr>
          <w:ilvl w:val="0"/>
          <w:numId w:val="9"/>
        </w:numPr>
        <w:spacing w:after="0" w:line="360" w:lineRule="auto"/>
        <w:ind w:left="-567" w:firstLine="568"/>
        <w:jc w:val="both"/>
        <w:rPr>
          <w:rFonts w:ascii="Times New Roman" w:eastAsia="Times New Roman" w:hAnsi="Times New Roman" w:cs="Times New Roman"/>
          <w:sz w:val="28"/>
          <w:szCs w:val="28"/>
          <w:lang w:val="uk-UA"/>
        </w:rPr>
      </w:pPr>
      <w:r w:rsidRPr="00B518BA">
        <w:rPr>
          <w:rFonts w:ascii="Times New Roman" w:eastAsia="Times New Roman" w:hAnsi="Times New Roman" w:cs="Times New Roman"/>
          <w:sz w:val="28"/>
          <w:szCs w:val="28"/>
          <w:lang w:val="uk-UA"/>
        </w:rPr>
        <w:t>Гоні С.-К.Т.  Спосіб стимуляції неоангіогенезу в лікуванні ішемії кінцівок людини / С.-К.Т.Гоні, І.А.Криворучко, О.А Балач та ін.// Патент України на корисну модель, № 111490 від 10.11.2016.</w:t>
      </w:r>
    </w:p>
    <w:p w:rsidR="00313CAE" w:rsidRPr="00A7695D" w:rsidRDefault="00313CAE" w:rsidP="00FB7D72">
      <w:pPr>
        <w:spacing w:after="0" w:line="360" w:lineRule="auto"/>
        <w:jc w:val="both"/>
        <w:rPr>
          <w:rFonts w:ascii="Times New Roman" w:eastAsia="Times New Roman" w:hAnsi="Times New Roman" w:cs="Times New Roman"/>
          <w:sz w:val="28"/>
          <w:szCs w:val="28"/>
          <w:lang w:val="uk-UA"/>
        </w:rPr>
      </w:pPr>
    </w:p>
    <w:p w:rsidR="00313CAE" w:rsidRDefault="00313CAE" w:rsidP="00313CA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13CAE" w:rsidRDefault="00313CAE" w:rsidP="00313CA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313CAE" w:rsidRPr="005E1CD1" w:rsidRDefault="00313CAE" w:rsidP="00313CAE">
      <w:pPr>
        <w:tabs>
          <w:tab w:val="left" w:pos="180"/>
          <w:tab w:val="left" w:pos="540"/>
          <w:tab w:val="left" w:pos="720"/>
        </w:tabs>
        <w:spacing w:after="0" w:line="360" w:lineRule="auto"/>
        <w:ind w:left="-567" w:firstLine="567"/>
        <w:jc w:val="right"/>
        <w:rPr>
          <w:rFonts w:ascii="Times New Roman" w:hAnsi="Times New Roman" w:cs="Times New Roman"/>
          <w:sz w:val="28"/>
          <w:szCs w:val="28"/>
          <w:lang w:val="uk-UA"/>
        </w:rPr>
      </w:pPr>
      <w:r w:rsidRPr="005E1CD1">
        <w:rPr>
          <w:rFonts w:ascii="Times New Roman" w:hAnsi="Times New Roman" w:cs="Times New Roman"/>
          <w:sz w:val="28"/>
          <w:szCs w:val="28"/>
        </w:rPr>
        <w:t xml:space="preserve">Таблиця </w:t>
      </w:r>
      <w:r>
        <w:rPr>
          <w:rFonts w:ascii="Times New Roman" w:hAnsi="Times New Roman" w:cs="Times New Roman"/>
          <w:sz w:val="28"/>
          <w:szCs w:val="28"/>
          <w:lang w:val="uk-UA"/>
        </w:rPr>
        <w:t>6</w:t>
      </w:r>
      <w:r w:rsidRPr="005E1CD1">
        <w:rPr>
          <w:rFonts w:ascii="Times New Roman" w:hAnsi="Times New Roman" w:cs="Times New Roman"/>
          <w:sz w:val="28"/>
          <w:szCs w:val="28"/>
        </w:rPr>
        <w:t>.</w:t>
      </w:r>
      <w:r>
        <w:rPr>
          <w:rFonts w:ascii="Times New Roman" w:hAnsi="Times New Roman" w:cs="Times New Roman"/>
          <w:sz w:val="28"/>
          <w:szCs w:val="28"/>
          <w:lang w:val="uk-UA"/>
        </w:rPr>
        <w:t>1</w:t>
      </w:r>
    </w:p>
    <w:p w:rsidR="00313CAE" w:rsidRPr="004A1376" w:rsidRDefault="00313CAE" w:rsidP="00313CAE">
      <w:pPr>
        <w:tabs>
          <w:tab w:val="left" w:pos="180"/>
          <w:tab w:val="left" w:pos="540"/>
          <w:tab w:val="left" w:pos="720"/>
        </w:tabs>
        <w:spacing w:after="0" w:line="360" w:lineRule="auto"/>
        <w:ind w:left="-567" w:firstLine="567"/>
        <w:jc w:val="center"/>
        <w:rPr>
          <w:rFonts w:ascii="Times New Roman" w:hAnsi="Times New Roman" w:cs="Times New Roman"/>
          <w:b/>
          <w:sz w:val="28"/>
          <w:szCs w:val="28"/>
          <w:lang w:val="uk-UA"/>
        </w:rPr>
      </w:pPr>
      <w:r w:rsidRPr="005E1CD1">
        <w:rPr>
          <w:rFonts w:ascii="Times New Roman" w:hAnsi="Times New Roman" w:cs="Times New Roman"/>
          <w:b/>
          <w:sz w:val="28"/>
          <w:szCs w:val="28"/>
          <w:lang w:val="uk-UA"/>
        </w:rPr>
        <w:t>Якість життя</w:t>
      </w:r>
      <w:r w:rsidRPr="005E1CD1">
        <w:rPr>
          <w:rFonts w:ascii="Times New Roman" w:hAnsi="Times New Roman" w:cs="Times New Roman"/>
          <w:b/>
          <w:sz w:val="28"/>
          <w:szCs w:val="28"/>
        </w:rPr>
        <w:t xml:space="preserve"> хворих на ХКІНК</w:t>
      </w:r>
      <w:r w:rsidRPr="005E1CD1">
        <w:rPr>
          <w:rFonts w:ascii="Times New Roman" w:hAnsi="Times New Roman" w:cs="Times New Roman"/>
          <w:b/>
          <w:sz w:val="28"/>
          <w:szCs w:val="28"/>
          <w:lang w:val="uk-UA"/>
        </w:rPr>
        <w:t xml:space="preserve"> у період</w:t>
      </w:r>
      <w:r w:rsidR="004A1376">
        <w:rPr>
          <w:rFonts w:ascii="Times New Roman" w:hAnsi="Times New Roman" w:cs="Times New Roman"/>
          <w:b/>
          <w:sz w:val="28"/>
          <w:szCs w:val="28"/>
          <w:lang w:val="uk-UA"/>
        </w:rPr>
        <w:t xml:space="preserve"> протягом 12 місяців</w:t>
      </w:r>
    </w:p>
    <w:tbl>
      <w:tblPr>
        <w:tblStyle w:val="ab"/>
        <w:tblW w:w="10065" w:type="dxa"/>
        <w:tblInd w:w="-459" w:type="dxa"/>
        <w:tblLayout w:type="fixed"/>
        <w:tblLook w:val="04A0"/>
      </w:tblPr>
      <w:tblGrid>
        <w:gridCol w:w="1560"/>
        <w:gridCol w:w="992"/>
        <w:gridCol w:w="1134"/>
        <w:gridCol w:w="992"/>
        <w:gridCol w:w="1134"/>
        <w:gridCol w:w="992"/>
        <w:gridCol w:w="993"/>
        <w:gridCol w:w="1134"/>
        <w:gridCol w:w="1134"/>
      </w:tblGrid>
      <w:tr w:rsidR="00313CAE" w:rsidRPr="004A1376" w:rsidTr="00932174">
        <w:trPr>
          <w:trHeight w:val="467"/>
        </w:trPr>
        <w:tc>
          <w:tcPr>
            <w:tcW w:w="1560" w:type="dxa"/>
            <w:vMerge w:val="restart"/>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p>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Показник</w:t>
            </w:r>
          </w:p>
        </w:tc>
        <w:tc>
          <w:tcPr>
            <w:tcW w:w="4252" w:type="dxa"/>
            <w:gridSpan w:val="4"/>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lang w:val="en-US"/>
              </w:rPr>
            </w:pPr>
            <w:r w:rsidRPr="004A1376">
              <w:rPr>
                <w:rFonts w:ascii="Times New Roman" w:hAnsi="Times New Roman" w:cs="Times New Roman"/>
                <w:sz w:val="28"/>
                <w:szCs w:val="28"/>
              </w:rPr>
              <w:t>Основна група</w:t>
            </w:r>
            <w:r w:rsidRPr="004A1376">
              <w:rPr>
                <w:rFonts w:ascii="Times New Roman" w:hAnsi="Times New Roman" w:cs="Times New Roman"/>
                <w:sz w:val="28"/>
                <w:szCs w:val="28"/>
                <w:lang w:val="en-US"/>
              </w:rPr>
              <w:t xml:space="preserve"> </w:t>
            </w:r>
          </w:p>
        </w:tc>
        <w:tc>
          <w:tcPr>
            <w:tcW w:w="4253" w:type="dxa"/>
            <w:gridSpan w:val="4"/>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lang w:val="en-US"/>
              </w:rPr>
            </w:pPr>
            <w:r w:rsidRPr="004A1376">
              <w:rPr>
                <w:rFonts w:ascii="Times New Roman" w:hAnsi="Times New Roman" w:cs="Times New Roman"/>
                <w:sz w:val="28"/>
                <w:szCs w:val="28"/>
              </w:rPr>
              <w:t>Група порівняння</w:t>
            </w:r>
            <w:r w:rsidRPr="004A1376">
              <w:rPr>
                <w:rFonts w:ascii="Times New Roman" w:hAnsi="Times New Roman" w:cs="Times New Roman"/>
                <w:sz w:val="28"/>
                <w:szCs w:val="28"/>
                <w:lang w:val="en-US"/>
              </w:rPr>
              <w:t xml:space="preserve"> </w:t>
            </w:r>
          </w:p>
        </w:tc>
      </w:tr>
      <w:tr w:rsidR="00313CAE" w:rsidRPr="004A1376" w:rsidTr="00932174">
        <w:trPr>
          <w:trHeight w:val="2824"/>
        </w:trPr>
        <w:tc>
          <w:tcPr>
            <w:tcW w:w="1560" w:type="dxa"/>
            <w:vMerge/>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p>
        </w:tc>
        <w:tc>
          <w:tcPr>
            <w:tcW w:w="992"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ЧБА </w:t>
            </w:r>
          </w:p>
        </w:tc>
        <w:tc>
          <w:tcPr>
            <w:tcW w:w="1134"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Відкрите втручання </w:t>
            </w:r>
          </w:p>
        </w:tc>
        <w:tc>
          <w:tcPr>
            <w:tcW w:w="992"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Консервативна терапія </w:t>
            </w:r>
          </w:p>
        </w:tc>
        <w:tc>
          <w:tcPr>
            <w:tcW w:w="1134"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Хімічна поперекова  симпатектомія </w:t>
            </w:r>
          </w:p>
        </w:tc>
        <w:tc>
          <w:tcPr>
            <w:tcW w:w="992"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ЧБА </w:t>
            </w:r>
          </w:p>
        </w:tc>
        <w:tc>
          <w:tcPr>
            <w:tcW w:w="993"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Відкрите втручання </w:t>
            </w:r>
          </w:p>
        </w:tc>
        <w:tc>
          <w:tcPr>
            <w:tcW w:w="1134" w:type="dxa"/>
            <w:textDirection w:val="btLr"/>
          </w:tcPr>
          <w:p w:rsidR="00313CAE" w:rsidRPr="004A1376" w:rsidRDefault="00313CAE" w:rsidP="00932174">
            <w:pPr>
              <w:tabs>
                <w:tab w:val="left" w:pos="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sz w:val="28"/>
                <w:szCs w:val="28"/>
              </w:rPr>
              <w:t xml:space="preserve">Консервативна терапія </w:t>
            </w:r>
          </w:p>
        </w:tc>
        <w:tc>
          <w:tcPr>
            <w:tcW w:w="1134" w:type="dxa"/>
            <w:textDirection w:val="btLr"/>
          </w:tcPr>
          <w:p w:rsidR="00313CAE" w:rsidRPr="004A1376" w:rsidRDefault="00313CAE" w:rsidP="00932174">
            <w:pPr>
              <w:tabs>
                <w:tab w:val="left" w:pos="180"/>
                <w:tab w:val="left" w:pos="540"/>
                <w:tab w:val="left" w:pos="720"/>
              </w:tabs>
              <w:spacing w:line="360" w:lineRule="auto"/>
              <w:ind w:left="33" w:right="113"/>
              <w:jc w:val="center"/>
              <w:rPr>
                <w:rFonts w:ascii="Times New Roman" w:hAnsi="Times New Roman" w:cs="Times New Roman"/>
                <w:sz w:val="28"/>
                <w:szCs w:val="28"/>
              </w:rPr>
            </w:pPr>
            <w:r w:rsidRPr="004A1376">
              <w:rPr>
                <w:rFonts w:ascii="Times New Roman" w:hAnsi="Times New Roman" w:cs="Times New Roman"/>
                <w:color w:val="000000" w:themeColor="text1"/>
                <w:sz w:val="28"/>
                <w:szCs w:val="28"/>
              </w:rPr>
              <w:t xml:space="preserve">Відкрита поперекова симпатектомія </w:t>
            </w:r>
          </w:p>
        </w:tc>
      </w:tr>
      <w:tr w:rsidR="00313CAE" w:rsidRPr="004A1376" w:rsidTr="00932174">
        <w:trPr>
          <w:trHeight w:val="887"/>
        </w:trPr>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1</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2</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3</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4</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5</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6</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7</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9</w:t>
            </w:r>
          </w:p>
        </w:tc>
      </w:tr>
      <w:tr w:rsidR="00313CAE" w:rsidRPr="004A1376" w:rsidTr="00932174">
        <w:trPr>
          <w:trHeight w:val="887"/>
        </w:trPr>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Кількість хворих</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23</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4</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24</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4</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11</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26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7</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Рівень болю до лікування</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5,68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2,1</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5,7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2,1</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5,3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2,6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5,5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2,4</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5,4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1,8</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5,8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color w:val="000000"/>
                <w:kern w:val="24"/>
                <w:sz w:val="28"/>
                <w:szCs w:val="28"/>
              </w:rPr>
            </w:pPr>
            <w:r w:rsidRPr="004A1376">
              <w:rPr>
                <w:rFonts w:ascii="Times New Roman" w:hAnsi="Times New Roman" w:cs="Times New Roman"/>
                <w:color w:val="000000"/>
                <w:kern w:val="24"/>
                <w:sz w:val="28"/>
                <w:szCs w:val="28"/>
              </w:rPr>
              <w:t xml:space="preserve">4,9 </w:t>
            </w:r>
          </w:p>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kern w:val="24"/>
                <w:sz w:val="28"/>
                <w:szCs w:val="28"/>
              </w:rPr>
              <w:t>2,9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color w:val="000000"/>
                <w:kern w:val="24"/>
                <w:sz w:val="28"/>
                <w:szCs w:val="28"/>
              </w:rPr>
            </w:pPr>
            <w:r w:rsidRPr="004A1376">
              <w:rPr>
                <w:rFonts w:ascii="Times New Roman" w:hAnsi="Times New Roman" w:cs="Times New Roman"/>
                <w:color w:val="000000"/>
                <w:kern w:val="24"/>
                <w:sz w:val="28"/>
                <w:szCs w:val="28"/>
              </w:rPr>
              <w:t xml:space="preserve">5,3 </w:t>
            </w: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kern w:val="24"/>
                <w:sz w:val="28"/>
                <w:szCs w:val="28"/>
              </w:rPr>
              <w:t>2,7</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Рівень болю після лікування</w:t>
            </w:r>
          </w:p>
        </w:tc>
        <w:tc>
          <w:tcPr>
            <w:tcW w:w="992"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1,1 </w:t>
            </w:r>
            <w:r w:rsidRPr="004A1376">
              <w:rPr>
                <w:rFonts w:ascii="Times New Roman" w:hAnsi="Times New Roman" w:cs="Times New Roman"/>
                <w:sz w:val="28"/>
                <w:szCs w:val="28"/>
                <w:u w:val="single"/>
              </w:rPr>
              <w:t>+</w:t>
            </w:r>
            <w:r w:rsidRPr="004A1376">
              <w:rPr>
                <w:rFonts w:ascii="Times New Roman" w:hAnsi="Times New Roman" w:cs="Times New Roman"/>
                <w:sz w:val="28"/>
                <w:szCs w:val="28"/>
                <w:lang w:val="en-US"/>
              </w:rPr>
              <w:t>0</w:t>
            </w:r>
            <w:r w:rsidRPr="004A1376">
              <w:rPr>
                <w:rFonts w:ascii="Times New Roman" w:hAnsi="Times New Roman" w:cs="Times New Roman"/>
                <w:sz w:val="28"/>
                <w:szCs w:val="28"/>
              </w:rPr>
              <w:t>,8</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3,2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2,5</w:t>
            </w:r>
          </w:p>
        </w:tc>
        <w:tc>
          <w:tcPr>
            <w:tcW w:w="992"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3,4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2,4</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3,2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2,1</w:t>
            </w:r>
          </w:p>
        </w:tc>
        <w:tc>
          <w:tcPr>
            <w:tcW w:w="992"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lang w:val="en-US"/>
              </w:rPr>
              <w:t>1</w:t>
            </w:r>
            <w:r w:rsidRPr="004A1376">
              <w:rPr>
                <w:rFonts w:ascii="Times New Roman" w:hAnsi="Times New Roman" w:cs="Times New Roman"/>
                <w:sz w:val="28"/>
                <w:szCs w:val="28"/>
              </w:rPr>
              <w:t xml:space="preserve">,9 </w:t>
            </w:r>
            <w:r w:rsidRPr="004A1376">
              <w:rPr>
                <w:rFonts w:ascii="Times New Roman" w:hAnsi="Times New Roman" w:cs="Times New Roman"/>
                <w:sz w:val="28"/>
                <w:szCs w:val="28"/>
                <w:u w:val="single"/>
              </w:rPr>
              <w:t>+</w:t>
            </w:r>
            <w:r w:rsidRPr="004A1376">
              <w:rPr>
                <w:rFonts w:ascii="Times New Roman" w:hAnsi="Times New Roman" w:cs="Times New Roman"/>
                <w:sz w:val="28"/>
                <w:szCs w:val="28"/>
                <w:lang w:val="en-US"/>
              </w:rPr>
              <w:t>0</w:t>
            </w:r>
            <w:r w:rsidRPr="004A1376">
              <w:rPr>
                <w:rFonts w:ascii="Times New Roman" w:hAnsi="Times New Roman" w:cs="Times New Roman"/>
                <w:sz w:val="28"/>
                <w:szCs w:val="28"/>
              </w:rPr>
              <w:t>,</w:t>
            </w:r>
            <w:r w:rsidRPr="004A1376">
              <w:rPr>
                <w:rFonts w:ascii="Times New Roman" w:hAnsi="Times New Roman" w:cs="Times New Roman"/>
                <w:sz w:val="28"/>
                <w:szCs w:val="28"/>
                <w:lang w:val="en-US"/>
              </w:rPr>
              <w:t>6</w:t>
            </w:r>
          </w:p>
        </w:tc>
        <w:tc>
          <w:tcPr>
            <w:tcW w:w="993"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3,3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2,6</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3,1</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2,5</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3,1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2,4</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ЯЖ до лікування (ФФ)</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31,15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8,9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28,45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8,6</w:t>
            </w:r>
          </w:p>
        </w:tc>
        <w:tc>
          <w:tcPr>
            <w:tcW w:w="992"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kern w:val="24"/>
                <w:sz w:val="28"/>
                <w:szCs w:val="28"/>
              </w:rPr>
              <w:t xml:space="preserve">31,21 </w:t>
            </w:r>
            <w:r w:rsidRPr="004A1376">
              <w:rPr>
                <w:sz w:val="28"/>
                <w:szCs w:val="28"/>
                <w:u w:val="single"/>
              </w:rPr>
              <w:t>+</w:t>
            </w:r>
            <w:r w:rsidRPr="004A1376">
              <w:rPr>
                <w:kern w:val="24"/>
                <w:sz w:val="28"/>
                <w:szCs w:val="28"/>
              </w:rPr>
              <w:t>8,7</w:t>
            </w:r>
          </w:p>
          <w:p w:rsidR="00313CAE" w:rsidRPr="004A1376" w:rsidRDefault="00313CAE" w:rsidP="00932174">
            <w:pPr>
              <w:ind w:left="33"/>
              <w:jc w:val="center"/>
              <w:rPr>
                <w:rFonts w:ascii="Times New Roman" w:hAnsi="Times New Roman" w:cs="Times New Roman"/>
                <w:sz w:val="28"/>
                <w:szCs w:val="28"/>
              </w:rPr>
            </w:pPr>
          </w:p>
        </w:tc>
        <w:tc>
          <w:tcPr>
            <w:tcW w:w="1134"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kern w:val="24"/>
                <w:sz w:val="28"/>
                <w:szCs w:val="28"/>
              </w:rPr>
              <w:t xml:space="preserve">29,25 </w:t>
            </w:r>
            <w:r w:rsidRPr="004A1376">
              <w:rPr>
                <w:sz w:val="28"/>
                <w:szCs w:val="28"/>
                <w:u w:val="single"/>
              </w:rPr>
              <w:t>+</w:t>
            </w:r>
            <w:r w:rsidRPr="004A1376">
              <w:rPr>
                <w:kern w:val="24"/>
                <w:sz w:val="28"/>
                <w:szCs w:val="28"/>
              </w:rPr>
              <w:t>6,7</w:t>
            </w:r>
          </w:p>
          <w:p w:rsidR="00313CAE" w:rsidRPr="004A1376" w:rsidRDefault="00313CAE" w:rsidP="00932174">
            <w:pPr>
              <w:ind w:left="33"/>
              <w:jc w:val="center"/>
              <w:rPr>
                <w:rFonts w:ascii="Times New Roman" w:hAnsi="Times New Roman" w:cs="Times New Roman"/>
                <w:sz w:val="28"/>
                <w:szCs w:val="28"/>
              </w:rPr>
            </w:pP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33,71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9,8</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31,4</w:t>
            </w:r>
            <w:r w:rsidRPr="004A1376">
              <w:rPr>
                <w:rFonts w:ascii="Times New Roman" w:hAnsi="Times New Roman" w:cs="Times New Roman"/>
                <w:color w:val="000000"/>
                <w:sz w:val="28"/>
                <w:szCs w:val="28"/>
                <w:u w:val="single"/>
              </w:rPr>
              <w:t xml:space="preserve"> +</w:t>
            </w:r>
            <w:r w:rsidRPr="004A1376">
              <w:rPr>
                <w:rFonts w:ascii="Times New Roman" w:hAnsi="Times New Roman" w:cs="Times New Roman"/>
                <w:color w:val="000000"/>
                <w:sz w:val="28"/>
                <w:szCs w:val="28"/>
              </w:rPr>
              <w:t>12,3</w:t>
            </w:r>
          </w:p>
        </w:tc>
        <w:tc>
          <w:tcPr>
            <w:tcW w:w="1134"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color w:val="000000"/>
                <w:kern w:val="24"/>
                <w:sz w:val="28"/>
                <w:szCs w:val="28"/>
              </w:rPr>
              <w:t>32,6</w:t>
            </w:r>
            <w:r w:rsidRPr="004A1376">
              <w:rPr>
                <w:color w:val="000000"/>
                <w:sz w:val="28"/>
                <w:szCs w:val="28"/>
                <w:u w:val="single"/>
              </w:rPr>
              <w:t>+</w:t>
            </w:r>
            <w:r w:rsidRPr="004A1376">
              <w:rPr>
                <w:color w:val="000000"/>
                <w:kern w:val="24"/>
                <w:sz w:val="28"/>
                <w:szCs w:val="28"/>
              </w:rPr>
              <w:t>8,9</w:t>
            </w:r>
          </w:p>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31,9 </w:t>
            </w: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sz w:val="28"/>
                <w:szCs w:val="28"/>
              </w:rPr>
              <w:t>10,3</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ЯЖ після лікування (ФФ)</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72,43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9,7</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64,61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11,4</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45,43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7,9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48,32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9,9</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73,8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12,9</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66,2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11,8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color w:val="000000"/>
                <w:kern w:val="24"/>
                <w:sz w:val="28"/>
                <w:szCs w:val="28"/>
              </w:rPr>
              <w:t>46,6</w:t>
            </w: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kern w:val="24"/>
                <w:sz w:val="28"/>
                <w:szCs w:val="28"/>
              </w:rPr>
              <w:t>9,6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48,2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11,4</w:t>
            </w:r>
          </w:p>
        </w:tc>
      </w:tr>
    </w:tbl>
    <w:p w:rsidR="00313CAE" w:rsidRPr="004A1376" w:rsidRDefault="00313CAE" w:rsidP="00313CAE">
      <w:pPr>
        <w:jc w:val="right"/>
        <w:rPr>
          <w:rFonts w:ascii="Times New Roman" w:hAnsi="Times New Roman" w:cs="Times New Roman"/>
          <w:sz w:val="28"/>
          <w:szCs w:val="28"/>
          <w:lang w:val="uk-UA"/>
        </w:rPr>
      </w:pPr>
      <w:r w:rsidRPr="004A1376">
        <w:rPr>
          <w:rFonts w:ascii="Times New Roman" w:hAnsi="Times New Roman" w:cs="Times New Roman"/>
        </w:rPr>
        <w:br w:type="page"/>
      </w:r>
      <w:r w:rsidRPr="004A1376">
        <w:rPr>
          <w:rFonts w:ascii="Times New Roman" w:hAnsi="Times New Roman" w:cs="Times New Roman"/>
          <w:sz w:val="28"/>
          <w:szCs w:val="28"/>
          <w:lang w:val="uk-UA"/>
        </w:rPr>
        <w:lastRenderedPageBreak/>
        <w:t>Продовження табл. 6.1</w:t>
      </w:r>
    </w:p>
    <w:tbl>
      <w:tblPr>
        <w:tblStyle w:val="ab"/>
        <w:tblW w:w="10065" w:type="dxa"/>
        <w:tblInd w:w="-459" w:type="dxa"/>
        <w:tblLayout w:type="fixed"/>
        <w:tblLook w:val="04A0"/>
      </w:tblPr>
      <w:tblGrid>
        <w:gridCol w:w="1560"/>
        <w:gridCol w:w="992"/>
        <w:gridCol w:w="1134"/>
        <w:gridCol w:w="992"/>
        <w:gridCol w:w="1134"/>
        <w:gridCol w:w="992"/>
        <w:gridCol w:w="993"/>
        <w:gridCol w:w="1134"/>
        <w:gridCol w:w="1134"/>
      </w:tblGrid>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1</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2</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3</w:t>
            </w:r>
          </w:p>
        </w:tc>
        <w:tc>
          <w:tcPr>
            <w:tcW w:w="992"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sz w:val="28"/>
                <w:szCs w:val="28"/>
              </w:rPr>
              <w:t>4</w:t>
            </w:r>
          </w:p>
        </w:tc>
        <w:tc>
          <w:tcPr>
            <w:tcW w:w="1134"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sz w:val="28"/>
                <w:szCs w:val="28"/>
              </w:rPr>
              <w:t>5</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6</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7</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9</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ЯЖ до лікування (ПФ)</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34,29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11,6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34,33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8,7</w:t>
            </w:r>
          </w:p>
        </w:tc>
        <w:tc>
          <w:tcPr>
            <w:tcW w:w="992"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kern w:val="24"/>
                <w:sz w:val="28"/>
                <w:szCs w:val="28"/>
              </w:rPr>
              <w:t xml:space="preserve">33,81 </w:t>
            </w:r>
            <w:r w:rsidRPr="004A1376">
              <w:rPr>
                <w:sz w:val="28"/>
                <w:szCs w:val="28"/>
                <w:u w:val="single"/>
              </w:rPr>
              <w:t>+</w:t>
            </w:r>
            <w:r w:rsidRPr="004A1376">
              <w:rPr>
                <w:kern w:val="24"/>
                <w:sz w:val="28"/>
                <w:szCs w:val="28"/>
              </w:rPr>
              <w:t>10,5</w:t>
            </w:r>
          </w:p>
        </w:tc>
        <w:tc>
          <w:tcPr>
            <w:tcW w:w="1134" w:type="dxa"/>
          </w:tcPr>
          <w:p w:rsidR="00313CAE" w:rsidRPr="004A1376" w:rsidRDefault="00313CAE" w:rsidP="00932174">
            <w:pPr>
              <w:pStyle w:val="a5"/>
              <w:tabs>
                <w:tab w:val="left" w:pos="715"/>
                <w:tab w:val="left" w:pos="867"/>
              </w:tabs>
              <w:spacing w:before="0" w:beforeAutospacing="0" w:after="0" w:afterAutospacing="0" w:line="276" w:lineRule="auto"/>
              <w:ind w:left="33" w:right="144"/>
              <w:jc w:val="center"/>
              <w:rPr>
                <w:sz w:val="28"/>
                <w:szCs w:val="28"/>
              </w:rPr>
            </w:pPr>
            <w:r w:rsidRPr="004A1376">
              <w:rPr>
                <w:kern w:val="24"/>
                <w:sz w:val="28"/>
                <w:szCs w:val="28"/>
              </w:rPr>
              <w:t xml:space="preserve">32,72 </w:t>
            </w:r>
            <w:r w:rsidRPr="004A1376">
              <w:rPr>
                <w:sz w:val="28"/>
                <w:szCs w:val="28"/>
                <w:u w:val="single"/>
              </w:rPr>
              <w:t>+</w:t>
            </w:r>
            <w:r w:rsidRPr="004A1376">
              <w:rPr>
                <w:kern w:val="24"/>
                <w:sz w:val="28"/>
                <w:szCs w:val="28"/>
              </w:rPr>
              <w:t>12,3</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28,82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9,3</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34,24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13,2</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color w:val="000000"/>
                <w:kern w:val="24"/>
                <w:sz w:val="28"/>
                <w:szCs w:val="28"/>
              </w:rPr>
              <w:t xml:space="preserve">36,13 </w:t>
            </w: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kern w:val="24"/>
                <w:sz w:val="28"/>
                <w:szCs w:val="28"/>
              </w:rPr>
              <w:t>9,8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38,22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11,2</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ЯЖ після лікування (ПФ)</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64,5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12,8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78,4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12,6</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47,43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11,9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54,7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11,2</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63,1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13,4</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77,56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12,4</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color w:val="000000"/>
                <w:kern w:val="24"/>
                <w:sz w:val="28"/>
                <w:szCs w:val="28"/>
              </w:rPr>
              <w:t xml:space="preserve">44,65 </w:t>
            </w:r>
            <w:r w:rsidRPr="004A1376">
              <w:rPr>
                <w:rFonts w:ascii="Times New Roman" w:hAnsi="Times New Roman" w:cs="Times New Roman"/>
                <w:color w:val="000000"/>
                <w:sz w:val="28"/>
                <w:szCs w:val="28"/>
                <w:u w:val="single"/>
              </w:rPr>
              <w:t>+</w:t>
            </w:r>
            <w:r w:rsidRPr="004A1376">
              <w:rPr>
                <w:rFonts w:ascii="Times New Roman" w:hAnsi="Times New Roman" w:cs="Times New Roman"/>
                <w:color w:val="000000"/>
                <w:kern w:val="24"/>
                <w:sz w:val="28"/>
                <w:szCs w:val="28"/>
              </w:rPr>
              <w:t>11,8</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48,58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12,4</w:t>
            </w:r>
          </w:p>
        </w:tc>
      </w:tr>
      <w:tr w:rsidR="00313CAE" w:rsidRPr="004A1376" w:rsidTr="00932174">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ДБХ  до лікування</w:t>
            </w:r>
          </w:p>
        </w:tc>
        <w:tc>
          <w:tcPr>
            <w:tcW w:w="992" w:type="dxa"/>
          </w:tcPr>
          <w:p w:rsidR="00313CAE" w:rsidRPr="004A1376" w:rsidRDefault="00313CAE" w:rsidP="00932174">
            <w:pPr>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86,8</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48,9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78,6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26,5</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73,3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20,6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84,7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14,6</w:t>
            </w:r>
          </w:p>
        </w:tc>
        <w:tc>
          <w:tcPr>
            <w:tcW w:w="992"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87,6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30,5</w:t>
            </w:r>
          </w:p>
        </w:tc>
        <w:tc>
          <w:tcPr>
            <w:tcW w:w="993"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74,3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24,6</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kern w:val="24"/>
                <w:sz w:val="28"/>
                <w:szCs w:val="28"/>
              </w:rPr>
              <w:t xml:space="preserve">76,4 </w:t>
            </w:r>
            <w:r w:rsidRPr="004A1376">
              <w:rPr>
                <w:rFonts w:ascii="Times New Roman" w:hAnsi="Times New Roman" w:cs="Times New Roman"/>
                <w:sz w:val="28"/>
                <w:szCs w:val="28"/>
                <w:u w:val="single"/>
              </w:rPr>
              <w:t>+</w:t>
            </w:r>
            <w:r w:rsidRPr="004A1376">
              <w:rPr>
                <w:rFonts w:ascii="Times New Roman" w:hAnsi="Times New Roman" w:cs="Times New Roman"/>
                <w:kern w:val="24"/>
                <w:sz w:val="28"/>
                <w:szCs w:val="28"/>
              </w:rPr>
              <w:t>27,9</w:t>
            </w:r>
          </w:p>
        </w:tc>
        <w:tc>
          <w:tcPr>
            <w:tcW w:w="1134" w:type="dxa"/>
          </w:tcPr>
          <w:p w:rsidR="00313CAE" w:rsidRPr="004A1376" w:rsidRDefault="00313CAE" w:rsidP="00932174">
            <w:pPr>
              <w:tabs>
                <w:tab w:val="left" w:pos="180"/>
                <w:tab w:val="left" w:pos="540"/>
                <w:tab w:val="left" w:pos="720"/>
              </w:tabs>
              <w:spacing w:line="360" w:lineRule="auto"/>
              <w:ind w:left="33"/>
              <w:jc w:val="center"/>
              <w:rPr>
                <w:rFonts w:ascii="Times New Roman" w:hAnsi="Times New Roman" w:cs="Times New Roman"/>
                <w:sz w:val="28"/>
                <w:szCs w:val="28"/>
              </w:rPr>
            </w:pPr>
            <w:r w:rsidRPr="004A1376">
              <w:rPr>
                <w:rFonts w:ascii="Times New Roman" w:hAnsi="Times New Roman" w:cs="Times New Roman"/>
                <w:sz w:val="28"/>
                <w:szCs w:val="28"/>
              </w:rPr>
              <w:t xml:space="preserve">70,4 </w:t>
            </w:r>
            <w:r w:rsidRPr="004A1376">
              <w:rPr>
                <w:rFonts w:ascii="Times New Roman" w:hAnsi="Times New Roman" w:cs="Times New Roman"/>
                <w:color w:val="000000"/>
                <w:sz w:val="28"/>
                <w:szCs w:val="28"/>
                <w:u w:val="single"/>
              </w:rPr>
              <w:t>+</w:t>
            </w:r>
            <w:r w:rsidRPr="004A1376">
              <w:rPr>
                <w:rFonts w:ascii="Times New Roman" w:hAnsi="Times New Roman" w:cs="Times New Roman"/>
                <w:sz w:val="28"/>
                <w:szCs w:val="28"/>
              </w:rPr>
              <w:t>24,6</w:t>
            </w:r>
          </w:p>
        </w:tc>
      </w:tr>
      <w:tr w:rsidR="00313CAE" w:rsidRPr="004A1376" w:rsidTr="00932174">
        <w:trPr>
          <w:trHeight w:val="1304"/>
        </w:trPr>
        <w:tc>
          <w:tcPr>
            <w:tcW w:w="1560" w:type="dxa"/>
          </w:tcPr>
          <w:p w:rsidR="00313CAE" w:rsidRPr="004A1376" w:rsidRDefault="00313CAE" w:rsidP="00932174">
            <w:pPr>
              <w:tabs>
                <w:tab w:val="left" w:pos="180"/>
                <w:tab w:val="left" w:pos="540"/>
                <w:tab w:val="left" w:pos="720"/>
              </w:tabs>
              <w:spacing w:line="360" w:lineRule="auto"/>
              <w:ind w:left="33"/>
              <w:rPr>
                <w:rFonts w:ascii="Times New Roman" w:hAnsi="Times New Roman" w:cs="Times New Roman"/>
                <w:sz w:val="28"/>
                <w:szCs w:val="28"/>
              </w:rPr>
            </w:pPr>
            <w:r w:rsidRPr="004A1376">
              <w:rPr>
                <w:rFonts w:ascii="Times New Roman" w:hAnsi="Times New Roman" w:cs="Times New Roman"/>
                <w:sz w:val="28"/>
                <w:szCs w:val="28"/>
              </w:rPr>
              <w:t>ДБХ  після лікування</w:t>
            </w:r>
          </w:p>
        </w:tc>
        <w:tc>
          <w:tcPr>
            <w:tcW w:w="992" w:type="dxa"/>
          </w:tcPr>
          <w:p w:rsidR="00313CAE" w:rsidRPr="004A1376" w:rsidRDefault="00313CAE" w:rsidP="00932174">
            <w:pPr>
              <w:jc w:val="center"/>
              <w:rPr>
                <w:rFonts w:ascii="Times New Roman" w:hAnsi="Times New Roman" w:cs="Times New Roman"/>
                <w:sz w:val="28"/>
                <w:szCs w:val="28"/>
              </w:rPr>
            </w:pPr>
            <w:r w:rsidRPr="004A1376">
              <w:rPr>
                <w:rFonts w:ascii="Times New Roman" w:hAnsi="Times New Roman" w:cs="Times New Roman"/>
                <w:sz w:val="28"/>
                <w:szCs w:val="28"/>
              </w:rPr>
              <w:t xml:space="preserve">378,6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120,4</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246,7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280,5</w:t>
            </w:r>
          </w:p>
        </w:tc>
        <w:tc>
          <w:tcPr>
            <w:tcW w:w="992"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94,6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48,6</w:t>
            </w:r>
          </w:p>
          <w:p w:rsidR="00313CAE" w:rsidRPr="004A1376" w:rsidRDefault="00313CAE" w:rsidP="00932174">
            <w:pPr>
              <w:jc w:val="center"/>
              <w:rPr>
                <w:rFonts w:ascii="Times New Roman" w:hAnsi="Times New Roman" w:cs="Times New Roman"/>
                <w:sz w:val="28"/>
                <w:szCs w:val="28"/>
              </w:rPr>
            </w:pP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lang w:val="en-US"/>
              </w:rPr>
              <w:t>97</w:t>
            </w:r>
            <w:r w:rsidRPr="004A1376">
              <w:rPr>
                <w:rFonts w:ascii="Times New Roman" w:hAnsi="Times New Roman" w:cs="Times New Roman"/>
                <w:sz w:val="28"/>
                <w:szCs w:val="28"/>
              </w:rPr>
              <w:t xml:space="preserve">,7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52,6</w:t>
            </w:r>
          </w:p>
          <w:p w:rsidR="00313CAE" w:rsidRPr="004A1376" w:rsidRDefault="00313CAE" w:rsidP="00932174">
            <w:pPr>
              <w:jc w:val="center"/>
              <w:rPr>
                <w:rFonts w:ascii="Times New Roman" w:hAnsi="Times New Roman" w:cs="Times New Roman"/>
                <w:sz w:val="28"/>
                <w:szCs w:val="28"/>
              </w:rPr>
            </w:pPr>
          </w:p>
        </w:tc>
        <w:tc>
          <w:tcPr>
            <w:tcW w:w="992"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400,5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140</w:t>
            </w:r>
          </w:p>
          <w:p w:rsidR="00313CAE" w:rsidRPr="004A1376" w:rsidRDefault="00313CAE" w:rsidP="00932174">
            <w:pPr>
              <w:jc w:val="center"/>
              <w:rPr>
                <w:rFonts w:ascii="Times New Roman" w:hAnsi="Times New Roman" w:cs="Times New Roman"/>
                <w:sz w:val="28"/>
                <w:szCs w:val="28"/>
              </w:rPr>
            </w:pPr>
          </w:p>
        </w:tc>
        <w:tc>
          <w:tcPr>
            <w:tcW w:w="993"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276,2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70,8</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97,3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36,9</w:t>
            </w:r>
          </w:p>
        </w:tc>
        <w:tc>
          <w:tcPr>
            <w:tcW w:w="1134" w:type="dxa"/>
          </w:tcPr>
          <w:p w:rsidR="00313CAE" w:rsidRPr="004A1376" w:rsidRDefault="00313CAE" w:rsidP="00932174">
            <w:pPr>
              <w:tabs>
                <w:tab w:val="left" w:pos="180"/>
                <w:tab w:val="left" w:pos="540"/>
                <w:tab w:val="left" w:pos="720"/>
              </w:tabs>
              <w:jc w:val="center"/>
              <w:rPr>
                <w:rFonts w:ascii="Times New Roman" w:hAnsi="Times New Roman" w:cs="Times New Roman"/>
                <w:sz w:val="28"/>
                <w:szCs w:val="28"/>
              </w:rPr>
            </w:pPr>
            <w:r w:rsidRPr="004A1376">
              <w:rPr>
                <w:rFonts w:ascii="Times New Roman" w:hAnsi="Times New Roman" w:cs="Times New Roman"/>
                <w:sz w:val="28"/>
                <w:szCs w:val="28"/>
              </w:rPr>
              <w:t xml:space="preserve">92,2 </w:t>
            </w:r>
            <w:r w:rsidRPr="004A1376">
              <w:rPr>
                <w:rFonts w:ascii="Times New Roman" w:hAnsi="Times New Roman" w:cs="Times New Roman"/>
                <w:sz w:val="28"/>
                <w:szCs w:val="28"/>
                <w:u w:val="single"/>
              </w:rPr>
              <w:t>+</w:t>
            </w:r>
            <w:r w:rsidRPr="004A1376">
              <w:rPr>
                <w:rFonts w:ascii="Times New Roman" w:hAnsi="Times New Roman" w:cs="Times New Roman"/>
                <w:sz w:val="28"/>
                <w:szCs w:val="28"/>
              </w:rPr>
              <w:t>43,5</w:t>
            </w:r>
          </w:p>
        </w:tc>
      </w:tr>
    </w:tbl>
    <w:p w:rsidR="00313CAE" w:rsidRPr="004A1376" w:rsidRDefault="00313CAE" w:rsidP="00313CAE">
      <w:pPr>
        <w:rPr>
          <w:rFonts w:ascii="Times New Roman" w:hAnsi="Times New Roman" w:cs="Times New Roman"/>
          <w:sz w:val="28"/>
          <w:szCs w:val="28"/>
          <w:lang w:val="uk-UA"/>
        </w:rPr>
      </w:pPr>
      <w:r w:rsidRPr="004A1376">
        <w:rPr>
          <w:rFonts w:ascii="Times New Roman" w:hAnsi="Times New Roman" w:cs="Times New Roman"/>
          <w:sz w:val="28"/>
          <w:szCs w:val="28"/>
          <w:lang w:val="uk-UA"/>
        </w:rPr>
        <w:br w:type="page"/>
      </w:r>
    </w:p>
    <w:p w:rsidR="00313CAE" w:rsidRDefault="00313CAE" w:rsidP="00313CAE">
      <w:pPr>
        <w:tabs>
          <w:tab w:val="left" w:pos="180"/>
          <w:tab w:val="left" w:pos="540"/>
          <w:tab w:val="left" w:pos="720"/>
        </w:tabs>
        <w:spacing w:after="0" w:line="360" w:lineRule="auto"/>
        <w:ind w:left="-567"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313CAE" w:rsidRPr="009064B5" w:rsidRDefault="00313CAE" w:rsidP="00313CAE">
      <w:pPr>
        <w:tabs>
          <w:tab w:val="left" w:pos="180"/>
          <w:tab w:val="left" w:pos="540"/>
          <w:tab w:val="left" w:pos="720"/>
        </w:tabs>
        <w:spacing w:after="0" w:line="360" w:lineRule="auto"/>
        <w:ind w:left="-567" w:firstLine="567"/>
        <w:jc w:val="right"/>
        <w:rPr>
          <w:rFonts w:ascii="Times New Roman" w:hAnsi="Times New Roman" w:cs="Times New Roman"/>
          <w:sz w:val="28"/>
          <w:szCs w:val="28"/>
          <w:lang w:val="uk-UA"/>
        </w:rPr>
      </w:pPr>
      <w:r w:rsidRPr="009064B5">
        <w:rPr>
          <w:rFonts w:ascii="Times New Roman" w:hAnsi="Times New Roman" w:cs="Times New Roman"/>
          <w:sz w:val="28"/>
          <w:szCs w:val="28"/>
          <w:lang w:val="uk-UA"/>
        </w:rPr>
        <w:t>Таблиця 6.3</w:t>
      </w:r>
    </w:p>
    <w:p w:rsidR="00313CAE" w:rsidRDefault="00313CAE" w:rsidP="00313CAE">
      <w:pPr>
        <w:tabs>
          <w:tab w:val="left" w:pos="180"/>
          <w:tab w:val="left" w:pos="540"/>
          <w:tab w:val="left" w:pos="720"/>
        </w:tabs>
        <w:spacing w:after="0" w:line="360" w:lineRule="auto"/>
        <w:ind w:left="-567" w:firstLine="567"/>
        <w:jc w:val="center"/>
        <w:rPr>
          <w:rFonts w:ascii="Times New Roman" w:hAnsi="Times New Roman" w:cs="Times New Roman"/>
          <w:sz w:val="28"/>
          <w:szCs w:val="28"/>
          <w:lang w:val="uk-UA"/>
        </w:rPr>
      </w:pPr>
      <w:r w:rsidRPr="009064B5">
        <w:rPr>
          <w:rFonts w:ascii="Times New Roman" w:hAnsi="Times New Roman" w:cs="Times New Roman"/>
          <w:sz w:val="28"/>
          <w:szCs w:val="28"/>
          <w:lang w:val="uk-UA"/>
        </w:rPr>
        <w:t>Якість життя хворих на ХКІНК у віддалений період після лікування</w:t>
      </w:r>
    </w:p>
    <w:p w:rsidR="00313CAE" w:rsidRPr="001F2C01" w:rsidRDefault="00313CAE" w:rsidP="00313CAE">
      <w:pPr>
        <w:tabs>
          <w:tab w:val="left" w:pos="180"/>
          <w:tab w:val="left" w:pos="540"/>
          <w:tab w:val="left" w:pos="720"/>
        </w:tabs>
        <w:spacing w:after="0" w:line="360" w:lineRule="auto"/>
        <w:ind w:left="-567" w:firstLine="567"/>
        <w:jc w:val="center"/>
        <w:rPr>
          <w:rFonts w:ascii="Times New Roman" w:hAnsi="Times New Roman" w:cs="Times New Roman"/>
          <w:sz w:val="28"/>
          <w:szCs w:val="28"/>
        </w:rPr>
      </w:pPr>
    </w:p>
    <w:tbl>
      <w:tblPr>
        <w:tblW w:w="10485" w:type="dxa"/>
        <w:tblInd w:w="-601" w:type="dxa"/>
        <w:tblLayout w:type="fixed"/>
        <w:tblCellMar>
          <w:left w:w="10" w:type="dxa"/>
          <w:right w:w="10" w:type="dxa"/>
        </w:tblCellMar>
        <w:tblLook w:val="0000"/>
      </w:tblPr>
      <w:tblGrid>
        <w:gridCol w:w="1379"/>
        <w:gridCol w:w="965"/>
        <w:gridCol w:w="966"/>
        <w:gridCol w:w="965"/>
        <w:gridCol w:w="1381"/>
        <w:gridCol w:w="1379"/>
        <w:gridCol w:w="1104"/>
        <w:gridCol w:w="1242"/>
        <w:gridCol w:w="1104"/>
      </w:tblGrid>
      <w:tr w:rsidR="00313CAE" w:rsidRPr="009064B5" w:rsidTr="00932174">
        <w:trPr>
          <w:trHeight w:val="1"/>
        </w:trPr>
        <w:tc>
          <w:tcPr>
            <w:tcW w:w="1379"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ind w:left="113" w:right="113"/>
              <w:jc w:val="center"/>
              <w:rPr>
                <w:rFonts w:ascii="Times New Roman" w:eastAsia="Times New Roman" w:hAnsi="Times New Roman" w:cs="Times New Roman"/>
                <w:sz w:val="28"/>
                <w:szCs w:val="28"/>
                <w:lang w:val="uk-UA"/>
              </w:rPr>
            </w:pPr>
          </w:p>
          <w:p w:rsidR="00313CAE" w:rsidRPr="009064B5" w:rsidRDefault="00313CAE" w:rsidP="00932174">
            <w:pPr>
              <w:tabs>
                <w:tab w:val="left" w:pos="180"/>
                <w:tab w:val="left" w:pos="540"/>
                <w:tab w:val="left" w:pos="720"/>
              </w:tabs>
              <w:ind w:left="113" w:right="113"/>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uk-UA"/>
              </w:rPr>
              <w:t>Показник</w:t>
            </w:r>
          </w:p>
        </w:tc>
        <w:tc>
          <w:tcPr>
            <w:tcW w:w="4277"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uk-UA"/>
              </w:rPr>
              <w:t>Основна група</w:t>
            </w:r>
          </w:p>
        </w:tc>
        <w:tc>
          <w:tcPr>
            <w:tcW w:w="4829"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ind w:right="1438"/>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uk-UA"/>
              </w:rPr>
              <w:t>Група порівняння</w:t>
            </w:r>
          </w:p>
        </w:tc>
      </w:tr>
      <w:tr w:rsidR="00313CAE" w:rsidRPr="009064B5" w:rsidTr="00932174">
        <w:trPr>
          <w:cantSplit/>
          <w:trHeight w:val="1856"/>
        </w:trPr>
        <w:tc>
          <w:tcPr>
            <w:tcW w:w="1379"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rPr>
                <w:rFonts w:ascii="Times New Roman" w:eastAsia="Calibri" w:hAnsi="Times New Roman" w:cs="Times New Roman"/>
                <w:sz w:val="28"/>
                <w:szCs w:val="28"/>
                <w:lang w:val="uk-UA"/>
              </w:rPr>
            </w:pP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uk-UA"/>
              </w:rPr>
              <w:t xml:space="preserve">ЧБА </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lang w:val="uk-UA"/>
              </w:rPr>
              <w:t>С</w:t>
            </w:r>
            <w:r w:rsidRPr="009064B5">
              <w:rPr>
                <w:rFonts w:ascii="Times New Roman" w:eastAsia="Times New Roman" w:hAnsi="Times New Roman" w:cs="Times New Roman"/>
                <w:sz w:val="28"/>
                <w:szCs w:val="28"/>
              </w:rPr>
              <w:t>ГШ</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Консервативна терапія </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Хімічна попере-кова  симпатектомія </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ЧБА </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08"/>
                <w:tab w:val="left" w:pos="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СГШ</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Консервативна терапія </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extDirection w:val="btL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Відкрита поперекова симпатектомія </w:t>
            </w:r>
          </w:p>
        </w:tc>
      </w:tr>
      <w:tr w:rsidR="00313CAE" w:rsidRPr="009064B5" w:rsidTr="00932174">
        <w:trPr>
          <w:trHeight w:val="565"/>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1</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2</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3</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4</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5</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6</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7</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9</w:t>
            </w:r>
          </w:p>
        </w:tc>
      </w:tr>
      <w:tr w:rsidR="00313CAE" w:rsidRPr="009064B5" w:rsidTr="00932174">
        <w:trPr>
          <w:trHeight w:val="565"/>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Кількість хворих</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23</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4</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23</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4</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11</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5</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24</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7</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РБ до лікування</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5,68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2,1</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2,1</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2,6</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4,9</w:t>
            </w:r>
          </w:p>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2,9</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2,7</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РБ після лікування</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1,1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0</w:t>
            </w:r>
            <w:r w:rsidRPr="009064B5">
              <w:rPr>
                <w:rFonts w:ascii="Times New Roman" w:eastAsia="Times New Roman" w:hAnsi="Times New Roman" w:cs="Times New Roman"/>
                <w:sz w:val="28"/>
                <w:szCs w:val="28"/>
              </w:rPr>
              <w:t>,8</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2,5</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2,1</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 xml:space="preserve">,9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0</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6*</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3,1</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2,5</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3,1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РБ через    6 міс.</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2</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0</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7</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1,8</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2,1</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2,0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2,2</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9</w:t>
            </w:r>
            <w:r w:rsidRPr="009064B5">
              <w:rPr>
                <w:rFonts w:ascii="Times New Roman" w:eastAsia="Times New Roman" w:hAnsi="Times New Roman" w:cs="Times New Roman"/>
                <w:sz w:val="28"/>
                <w:szCs w:val="28"/>
              </w:rPr>
              <w:t xml:space="preserve">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0</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4*</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1,9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1,5</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2,5</w:t>
            </w:r>
          </w:p>
        </w:tc>
      </w:tr>
      <w:tr w:rsidR="00313CAE" w:rsidRPr="009064B5" w:rsidTr="00932174">
        <w:trPr>
          <w:trHeight w:val="593"/>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РБ через   12 міс.</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8</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1</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2,0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2,8</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1,3</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1,8</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3</w:t>
            </w:r>
            <w:r w:rsidRPr="009064B5">
              <w:rPr>
                <w:rFonts w:ascii="Times New Roman" w:eastAsia="Times New Roman" w:hAnsi="Times New Roman" w:cs="Times New Roman"/>
                <w:sz w:val="28"/>
                <w:szCs w:val="28"/>
              </w:rPr>
              <w:t xml:space="preserve">,4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w:t>
            </w:r>
            <w:r w:rsidRPr="009064B5">
              <w:rPr>
                <w:rFonts w:ascii="Times New Roman" w:eastAsia="Times New Roman" w:hAnsi="Times New Roman" w:cs="Times New Roman"/>
                <w:sz w:val="28"/>
                <w:szCs w:val="28"/>
                <w:lang w:val="en-US"/>
              </w:rPr>
              <w:t>3*</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1,6</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2,7</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 ФФ до лікування</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31,2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8,9</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28,5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8,6</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31,2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8,7</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29,3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6,7</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33,7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31,4</w:t>
            </w:r>
            <w:r w:rsidRPr="009064B5">
              <w:rPr>
                <w:rFonts w:ascii="Times New Roman" w:eastAsia="Times New Roman" w:hAnsi="Times New Roman" w:cs="Times New Roman"/>
                <w:sz w:val="28"/>
                <w:szCs w:val="28"/>
                <w:u w:val="single"/>
              </w:rPr>
              <w:t xml:space="preserve"> +</w:t>
            </w:r>
            <w:r w:rsidRPr="009064B5">
              <w:rPr>
                <w:rFonts w:ascii="Times New Roman" w:eastAsia="Times New Roman" w:hAnsi="Times New Roman" w:cs="Times New Roman"/>
                <w:sz w:val="28"/>
                <w:szCs w:val="28"/>
              </w:rPr>
              <w:t>12,3</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32,6</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8,9</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31,9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10,3</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ФФ після лікування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72,4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9,7</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64,6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11,4</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45,4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7,9</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48,3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9,9</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73,8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12,9</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66,2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11,8</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46,6</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9,6</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48,2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11,4</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ФФ через  6 міс.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74,7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12,8</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66,2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9,6</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67,3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9,3</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64,3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7,2</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72,9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65,4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54,4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11,5*</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55,4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11,7</w:t>
            </w:r>
          </w:p>
        </w:tc>
      </w:tr>
    </w:tbl>
    <w:p w:rsidR="00313CAE" w:rsidRPr="001F2C01" w:rsidRDefault="00313CAE" w:rsidP="00313CAE">
      <w:pPr>
        <w:jc w:val="right"/>
        <w:rPr>
          <w:rFonts w:ascii="Times New Roman" w:hAnsi="Times New Roman" w:cs="Times New Roman"/>
          <w:sz w:val="28"/>
          <w:szCs w:val="28"/>
          <w:lang w:val="uk-UA"/>
        </w:rPr>
      </w:pPr>
      <w:r>
        <w:br w:type="page"/>
      </w:r>
      <w:r w:rsidRPr="001F2C01">
        <w:rPr>
          <w:rFonts w:ascii="Times New Roman" w:hAnsi="Times New Roman" w:cs="Times New Roman"/>
          <w:sz w:val="28"/>
          <w:szCs w:val="28"/>
        </w:rPr>
        <w:lastRenderedPageBreak/>
        <w:t>Продовження таблиц</w:t>
      </w:r>
      <w:r w:rsidRPr="001F2C01">
        <w:rPr>
          <w:rFonts w:ascii="Times New Roman" w:hAnsi="Times New Roman" w:cs="Times New Roman"/>
          <w:sz w:val="28"/>
          <w:szCs w:val="28"/>
          <w:lang w:val="uk-UA"/>
        </w:rPr>
        <w:t>і 6.3</w:t>
      </w:r>
    </w:p>
    <w:tbl>
      <w:tblPr>
        <w:tblW w:w="10485" w:type="dxa"/>
        <w:tblInd w:w="-601" w:type="dxa"/>
        <w:tblLayout w:type="fixed"/>
        <w:tblCellMar>
          <w:left w:w="10" w:type="dxa"/>
          <w:right w:w="10" w:type="dxa"/>
        </w:tblCellMar>
        <w:tblLook w:val="0000"/>
      </w:tblPr>
      <w:tblGrid>
        <w:gridCol w:w="1379"/>
        <w:gridCol w:w="965"/>
        <w:gridCol w:w="966"/>
        <w:gridCol w:w="965"/>
        <w:gridCol w:w="1381"/>
        <w:gridCol w:w="1379"/>
        <w:gridCol w:w="1104"/>
        <w:gridCol w:w="1242"/>
        <w:gridCol w:w="1104"/>
      </w:tblGrid>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ФФ через 12 міс.</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78,5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10,5</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69,8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10,9</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68,8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8,5</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62,8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9,8</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76,6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18,0</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52,8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7,8</w:t>
            </w:r>
            <w:r w:rsidRPr="009064B5">
              <w:rPr>
                <w:rFonts w:ascii="Times New Roman" w:eastAsia="Times New Roman" w:hAnsi="Times New Roman" w:cs="Times New Roman"/>
                <w:sz w:val="28"/>
                <w:szCs w:val="28"/>
                <w:lang w:val="en-US"/>
              </w:rPr>
              <w:t>*</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 xml:space="preserve">45,3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10,7</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53,2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11,8</w:t>
            </w:r>
          </w:p>
        </w:tc>
      </w:tr>
      <w:tr w:rsidR="00313CAE" w:rsidRPr="009064B5" w:rsidTr="00932174">
        <w:trPr>
          <w:trHeight w:val="894"/>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ПФ до лікування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34,3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11,6</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34,3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8,7</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33,8</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10,5</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32,7</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12,3</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28,8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9,3</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34,2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13,2</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36,1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38,2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11,2</w:t>
            </w:r>
          </w:p>
        </w:tc>
      </w:tr>
      <w:tr w:rsidR="00313CAE" w:rsidRPr="009064B5" w:rsidTr="00932174">
        <w:trPr>
          <w:trHeight w:val="864"/>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ПФ після лікування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64,5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12,8</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78,4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12,6</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47,4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11,9</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54,7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11,2</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63,1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13,4</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77,6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12,4</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44,7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48,6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12,4</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ПФ через  6 міс.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75,6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9,6</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65,6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10,4</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52,2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9,3</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46,2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5,6</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69,9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11,8</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67,8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16,4</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 xml:space="preserve">41,2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9,0*</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45,7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13,4</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ПФ через 12 міс. </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78,4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8</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2</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67,5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10,8</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61,2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7,9</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lang w:val="en-US"/>
              </w:rPr>
              <w:t>4</w:t>
            </w:r>
            <w:r w:rsidRPr="009064B5">
              <w:rPr>
                <w:rFonts w:ascii="Times New Roman" w:eastAsia="Times New Roman" w:hAnsi="Times New Roman" w:cs="Times New Roman"/>
                <w:sz w:val="28"/>
                <w:szCs w:val="28"/>
              </w:rPr>
              <w:t xml:space="preserve">8,2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9,4</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68,3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12,3</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64,9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ind w:right="144"/>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42,6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8,3</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4</w:t>
            </w:r>
            <w:r w:rsidRPr="009064B5">
              <w:rPr>
                <w:rFonts w:ascii="Times New Roman" w:eastAsia="Times New Roman" w:hAnsi="Times New Roman" w:cs="Times New Roman"/>
                <w:sz w:val="28"/>
                <w:szCs w:val="28"/>
                <w:lang w:val="en-US"/>
              </w:rPr>
              <w:t>6</w:t>
            </w:r>
            <w:r w:rsidRPr="009064B5">
              <w:rPr>
                <w:rFonts w:ascii="Times New Roman" w:eastAsia="Times New Roman" w:hAnsi="Times New Roman" w:cs="Times New Roman"/>
                <w:sz w:val="28"/>
                <w:szCs w:val="28"/>
              </w:rPr>
              <w:t xml:space="preserve">,9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14,6</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ДБХ до лікування</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86,9</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48,9</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78,6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26,5</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73,3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20,6</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84,7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14,6</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87,6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30,5</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74,3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76,4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27,9</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70,4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24,6</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ДБХ після лікування</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378,6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120,4</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246,7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280,5</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 xml:space="preserve">94,6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48,6</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en-US"/>
              </w:rPr>
              <w:t>97</w:t>
            </w:r>
            <w:r w:rsidRPr="009064B5">
              <w:rPr>
                <w:rFonts w:ascii="Times New Roman" w:eastAsia="Times New Roman" w:hAnsi="Times New Roman" w:cs="Times New Roman"/>
                <w:sz w:val="28"/>
                <w:szCs w:val="28"/>
              </w:rPr>
              <w:t xml:space="preserve">,7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52,6</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 xml:space="preserve">400,5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140</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276,2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70,8</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97,3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36,9</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92,2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43,5</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ДБХ через 6 міс.</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586,7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124,8</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lang w:val="en-US"/>
              </w:rPr>
              <w:t>2</w:t>
            </w:r>
            <w:r w:rsidRPr="009064B5">
              <w:rPr>
                <w:rFonts w:ascii="Times New Roman" w:eastAsia="Times New Roman" w:hAnsi="Times New Roman" w:cs="Times New Roman"/>
                <w:sz w:val="28"/>
                <w:szCs w:val="28"/>
              </w:rPr>
              <w:t xml:space="preserve">67,74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116,4</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lang w:val="en-US"/>
              </w:rPr>
              <w:t>2</w:t>
            </w:r>
            <w:r w:rsidRPr="009064B5">
              <w:rPr>
                <w:rFonts w:ascii="Times New Roman" w:eastAsia="Times New Roman" w:hAnsi="Times New Roman" w:cs="Times New Roman"/>
                <w:sz w:val="28"/>
                <w:szCs w:val="28"/>
              </w:rPr>
              <w:t xml:space="preserve">26,5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98</w:t>
            </w:r>
            <w:r w:rsidRPr="009064B5">
              <w:rPr>
                <w:rFonts w:ascii="Times New Roman" w:eastAsia="Times New Roman" w:hAnsi="Times New Roman" w:cs="Times New Roman"/>
                <w:sz w:val="28"/>
                <w:szCs w:val="28"/>
              </w:rPr>
              <w:t>,8</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125,5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70,8</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lang w:val="en-US"/>
              </w:rPr>
              <w:t>4</w:t>
            </w:r>
            <w:r w:rsidRPr="009064B5">
              <w:rPr>
                <w:rFonts w:ascii="Times New Roman" w:eastAsia="Times New Roman" w:hAnsi="Times New Roman" w:cs="Times New Roman"/>
                <w:sz w:val="28"/>
                <w:szCs w:val="28"/>
              </w:rPr>
              <w:t>44,</w:t>
            </w:r>
            <w:r w:rsidRPr="009064B5">
              <w:rPr>
                <w:rFonts w:ascii="Times New Roman" w:eastAsia="Times New Roman" w:hAnsi="Times New Roman" w:cs="Times New Roman"/>
                <w:sz w:val="28"/>
                <w:szCs w:val="28"/>
                <w:lang w:val="en-US"/>
              </w:rPr>
              <w:t>5</w:t>
            </w:r>
            <w:r w:rsidRPr="009064B5">
              <w:rPr>
                <w:rFonts w:ascii="Times New Roman" w:eastAsia="Times New Roman" w:hAnsi="Times New Roman" w:cs="Times New Roman"/>
                <w:sz w:val="28"/>
                <w:szCs w:val="28"/>
              </w:rPr>
              <w:t xml:space="preserve">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1</w:t>
            </w:r>
            <w:r w:rsidRPr="009064B5">
              <w:rPr>
                <w:rFonts w:ascii="Times New Roman" w:eastAsia="Times New Roman" w:hAnsi="Times New Roman" w:cs="Times New Roman"/>
                <w:sz w:val="28"/>
                <w:szCs w:val="28"/>
              </w:rPr>
              <w:t>3</w:t>
            </w:r>
            <w:r w:rsidRPr="009064B5">
              <w:rPr>
                <w:rFonts w:ascii="Times New Roman" w:eastAsia="Times New Roman" w:hAnsi="Times New Roman" w:cs="Times New Roman"/>
                <w:sz w:val="28"/>
                <w:szCs w:val="28"/>
                <w:lang w:val="en-US"/>
              </w:rPr>
              <w:t>3</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1*</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2</w:t>
            </w:r>
            <w:r w:rsidRPr="009064B5">
              <w:rPr>
                <w:rFonts w:ascii="Times New Roman" w:eastAsia="Times New Roman" w:hAnsi="Times New Roman" w:cs="Times New Roman"/>
                <w:sz w:val="28"/>
                <w:szCs w:val="28"/>
                <w:lang w:val="en-US"/>
              </w:rPr>
              <w:t>4</w:t>
            </w:r>
            <w:r w:rsidRPr="009064B5">
              <w:rPr>
                <w:rFonts w:ascii="Times New Roman" w:eastAsia="Times New Roman" w:hAnsi="Times New Roman" w:cs="Times New Roman"/>
                <w:sz w:val="28"/>
                <w:szCs w:val="28"/>
              </w:rPr>
              <w:t xml:space="preserve">2,4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145</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6</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778"/>
                <w:tab w:val="left" w:pos="867"/>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1</w:t>
            </w:r>
            <w:r w:rsidRPr="009064B5">
              <w:rPr>
                <w:rFonts w:ascii="Times New Roman" w:eastAsia="Times New Roman" w:hAnsi="Times New Roman" w:cs="Times New Roman"/>
                <w:sz w:val="28"/>
                <w:szCs w:val="28"/>
                <w:lang w:val="en-US"/>
              </w:rPr>
              <w:t>2</w:t>
            </w:r>
            <w:r w:rsidRPr="009064B5">
              <w:rPr>
                <w:rFonts w:ascii="Times New Roman" w:eastAsia="Times New Roman" w:hAnsi="Times New Roman" w:cs="Times New Roman"/>
                <w:sz w:val="28"/>
                <w:szCs w:val="28"/>
              </w:rPr>
              <w:t xml:space="preserve">4,2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85,5</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121,4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58,7</w:t>
            </w:r>
          </w:p>
        </w:tc>
      </w:tr>
      <w:tr w:rsidR="00313CAE" w:rsidRPr="009064B5" w:rsidTr="00932174">
        <w:trPr>
          <w:trHeight w:val="1"/>
        </w:trPr>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180"/>
                <w:tab w:val="left" w:pos="540"/>
                <w:tab w:val="left" w:pos="720"/>
              </w:tabs>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ДБХ через 12 міс.</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5</w:t>
            </w:r>
            <w:r w:rsidRPr="009064B5">
              <w:rPr>
                <w:rFonts w:ascii="Times New Roman" w:eastAsia="Times New Roman" w:hAnsi="Times New Roman" w:cs="Times New Roman"/>
                <w:sz w:val="28"/>
                <w:szCs w:val="28"/>
                <w:lang w:val="en-US"/>
              </w:rPr>
              <w:t>3</w:t>
            </w:r>
            <w:r w:rsidRPr="009064B5">
              <w:rPr>
                <w:rFonts w:ascii="Times New Roman" w:eastAsia="Times New Roman" w:hAnsi="Times New Roman" w:cs="Times New Roman"/>
                <w:sz w:val="28"/>
                <w:szCs w:val="28"/>
              </w:rPr>
              <w:t xml:space="preserve">5,6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7</w:t>
            </w:r>
            <w:r w:rsidRPr="009064B5">
              <w:rPr>
                <w:rFonts w:ascii="Times New Roman" w:eastAsia="Times New Roman" w:hAnsi="Times New Roman" w:cs="Times New Roman"/>
                <w:sz w:val="28"/>
                <w:szCs w:val="28"/>
              </w:rPr>
              <w:t>6,4</w:t>
            </w:r>
          </w:p>
        </w:tc>
        <w:tc>
          <w:tcPr>
            <w:tcW w:w="9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366,9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w:t>
            </w:r>
            <w:r w:rsidRPr="009064B5">
              <w:rPr>
                <w:rFonts w:ascii="Times New Roman" w:eastAsia="Times New Roman" w:hAnsi="Times New Roman" w:cs="Times New Roman"/>
                <w:sz w:val="28"/>
                <w:szCs w:val="28"/>
                <w:lang w:val="en-US"/>
              </w:rPr>
              <w:t>01</w:t>
            </w:r>
            <w:r w:rsidRPr="009064B5">
              <w:rPr>
                <w:rFonts w:ascii="Times New Roman" w:eastAsia="Times New Roman" w:hAnsi="Times New Roman" w:cs="Times New Roman"/>
                <w:sz w:val="28"/>
                <w:szCs w:val="28"/>
              </w:rPr>
              <w:t>,</w:t>
            </w:r>
            <w:r w:rsidRPr="009064B5">
              <w:rPr>
                <w:rFonts w:ascii="Times New Roman" w:eastAsia="Times New Roman" w:hAnsi="Times New Roman" w:cs="Times New Roman"/>
                <w:sz w:val="28"/>
                <w:szCs w:val="28"/>
                <w:lang w:val="en-US"/>
              </w:rPr>
              <w:t>3</w:t>
            </w:r>
          </w:p>
        </w:tc>
        <w:tc>
          <w:tcPr>
            <w:tcW w:w="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867"/>
              </w:tabs>
              <w:jc w:val="center"/>
              <w:rPr>
                <w:rFonts w:ascii="Times New Roman" w:eastAsia="Times New Roman" w:hAnsi="Times New Roman" w:cs="Times New Roman"/>
                <w:sz w:val="28"/>
                <w:szCs w:val="28"/>
                <w:lang w:val="en-US"/>
              </w:rPr>
            </w:pPr>
            <w:r w:rsidRPr="009064B5">
              <w:rPr>
                <w:rFonts w:ascii="Times New Roman" w:eastAsia="Times New Roman" w:hAnsi="Times New Roman" w:cs="Times New Roman"/>
                <w:sz w:val="28"/>
                <w:szCs w:val="28"/>
              </w:rPr>
              <w:t xml:space="preserve">218,4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9</w:t>
            </w:r>
            <w:r w:rsidRPr="009064B5">
              <w:rPr>
                <w:rFonts w:ascii="Times New Roman" w:eastAsia="Times New Roman" w:hAnsi="Times New Roman" w:cs="Times New Roman"/>
                <w:sz w:val="28"/>
                <w:szCs w:val="28"/>
              </w:rPr>
              <w:t>1,</w:t>
            </w:r>
            <w:r w:rsidRPr="009064B5">
              <w:rPr>
                <w:rFonts w:ascii="Times New Roman" w:eastAsia="Times New Roman" w:hAnsi="Times New Roman" w:cs="Times New Roman"/>
                <w:sz w:val="28"/>
                <w:szCs w:val="28"/>
                <w:lang w:val="en-US"/>
              </w:rPr>
              <w:t>7</w:t>
            </w:r>
          </w:p>
        </w:tc>
        <w:tc>
          <w:tcPr>
            <w:tcW w:w="13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lang w:val="en-US"/>
              </w:rPr>
              <w:t>97</w:t>
            </w:r>
            <w:r w:rsidRPr="009064B5">
              <w:rPr>
                <w:rFonts w:ascii="Times New Roman" w:eastAsia="Times New Roman" w:hAnsi="Times New Roman" w:cs="Times New Roman"/>
                <w:sz w:val="28"/>
                <w:szCs w:val="28"/>
              </w:rPr>
              <w:t xml:space="preserve">,4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lang w:val="en-US"/>
              </w:rPr>
              <w:t>4</w:t>
            </w:r>
            <w:r w:rsidRPr="009064B5">
              <w:rPr>
                <w:rFonts w:ascii="Times New Roman" w:eastAsia="Times New Roman" w:hAnsi="Times New Roman" w:cs="Times New Roman"/>
                <w:sz w:val="28"/>
                <w:szCs w:val="28"/>
              </w:rPr>
              <w:t>0,4</w:t>
            </w:r>
          </w:p>
        </w:tc>
        <w:tc>
          <w:tcPr>
            <w:tcW w:w="1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lang w:val="en-US"/>
              </w:rPr>
              <w:t>45</w:t>
            </w:r>
            <w:r w:rsidRPr="009064B5">
              <w:rPr>
                <w:rFonts w:ascii="Times New Roman" w:eastAsia="Times New Roman" w:hAnsi="Times New Roman" w:cs="Times New Roman"/>
                <w:sz w:val="28"/>
                <w:szCs w:val="28"/>
              </w:rPr>
              <w:t xml:space="preserve">3,5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70,8</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 xml:space="preserve">213,7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1</w:t>
            </w:r>
            <w:r w:rsidRPr="009064B5">
              <w:rPr>
                <w:rFonts w:ascii="Times New Roman" w:eastAsia="Times New Roman" w:hAnsi="Times New Roman" w:cs="Times New Roman"/>
                <w:sz w:val="28"/>
                <w:szCs w:val="28"/>
                <w:lang w:val="en-US"/>
              </w:rPr>
              <w:t>10,7*</w:t>
            </w:r>
          </w:p>
        </w:tc>
        <w:tc>
          <w:tcPr>
            <w:tcW w:w="124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tabs>
                <w:tab w:val="left" w:pos="715"/>
                <w:tab w:val="left" w:pos="745"/>
                <w:tab w:val="left" w:pos="867"/>
              </w:tabs>
              <w:jc w:val="center"/>
              <w:rPr>
                <w:rFonts w:ascii="Times New Roman" w:eastAsia="Times New Roman" w:hAnsi="Times New Roman" w:cs="Times New Roman"/>
                <w:sz w:val="28"/>
                <w:szCs w:val="28"/>
                <w:lang w:val="uk-UA"/>
              </w:rPr>
            </w:pPr>
            <w:r w:rsidRPr="009064B5">
              <w:rPr>
                <w:rFonts w:ascii="Times New Roman" w:eastAsia="Times New Roman" w:hAnsi="Times New Roman" w:cs="Times New Roman"/>
                <w:sz w:val="28"/>
                <w:szCs w:val="28"/>
              </w:rPr>
              <w:t>102,</w:t>
            </w:r>
            <w:r w:rsidRPr="009064B5">
              <w:rPr>
                <w:rFonts w:ascii="Times New Roman" w:eastAsia="Times New Roman" w:hAnsi="Times New Roman" w:cs="Times New Roman"/>
                <w:sz w:val="28"/>
                <w:szCs w:val="28"/>
                <w:lang w:val="en-US"/>
              </w:rPr>
              <w:t>8</w:t>
            </w:r>
            <w:r w:rsidRPr="009064B5">
              <w:rPr>
                <w:rFonts w:ascii="Times New Roman" w:eastAsia="Times New Roman" w:hAnsi="Times New Roman" w:cs="Times New Roman"/>
                <w:sz w:val="28"/>
                <w:szCs w:val="28"/>
              </w:rPr>
              <w:t xml:space="preserve">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80,6</w:t>
            </w:r>
            <w:r w:rsidRPr="009064B5">
              <w:rPr>
                <w:rFonts w:ascii="Times New Roman" w:eastAsia="Times New Roman" w:hAnsi="Times New Roman" w:cs="Times New Roman"/>
                <w:sz w:val="28"/>
                <w:szCs w:val="28"/>
                <w:lang w:val="en-US"/>
              </w:rPr>
              <w:t>*</w:t>
            </w:r>
          </w:p>
        </w:tc>
        <w:tc>
          <w:tcPr>
            <w:tcW w:w="11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3CAE" w:rsidRPr="009064B5" w:rsidRDefault="00313CAE" w:rsidP="00932174">
            <w:pPr>
              <w:jc w:val="center"/>
              <w:rPr>
                <w:rFonts w:ascii="Times New Roman" w:eastAsia="Times New Roman" w:hAnsi="Times New Roman" w:cs="Times New Roman"/>
                <w:sz w:val="28"/>
                <w:szCs w:val="28"/>
              </w:rPr>
            </w:pPr>
            <w:r w:rsidRPr="009064B5">
              <w:rPr>
                <w:rFonts w:ascii="Times New Roman" w:eastAsia="Times New Roman" w:hAnsi="Times New Roman" w:cs="Times New Roman"/>
                <w:sz w:val="28"/>
                <w:szCs w:val="28"/>
              </w:rPr>
              <w:t xml:space="preserve">89,7 </w:t>
            </w:r>
            <w:r w:rsidRPr="009064B5">
              <w:rPr>
                <w:rFonts w:ascii="Times New Roman" w:eastAsia="Times New Roman" w:hAnsi="Times New Roman" w:cs="Times New Roman"/>
                <w:sz w:val="28"/>
                <w:szCs w:val="28"/>
                <w:u w:val="single"/>
              </w:rPr>
              <w:t>+</w:t>
            </w:r>
            <w:r w:rsidRPr="009064B5">
              <w:rPr>
                <w:rFonts w:ascii="Times New Roman" w:eastAsia="Times New Roman" w:hAnsi="Times New Roman" w:cs="Times New Roman"/>
                <w:sz w:val="28"/>
                <w:szCs w:val="28"/>
              </w:rPr>
              <w:t>57,6</w:t>
            </w:r>
          </w:p>
        </w:tc>
      </w:tr>
    </w:tbl>
    <w:p w:rsidR="00313CAE" w:rsidRDefault="00313CAE" w:rsidP="00313CAE"/>
    <w:p w:rsidR="00431481" w:rsidRPr="00431481" w:rsidRDefault="00431481" w:rsidP="00431481">
      <w:pPr>
        <w:spacing w:after="0" w:line="360" w:lineRule="auto"/>
        <w:rPr>
          <w:rFonts w:ascii="Times New Roman" w:hAnsi="Times New Roman" w:cs="Times New Roman"/>
          <w:sz w:val="28"/>
          <w:szCs w:val="28"/>
          <w:lang w:val="uk-UA"/>
        </w:rPr>
      </w:pPr>
    </w:p>
    <w:p w:rsidR="0081447A" w:rsidRDefault="0081447A">
      <w:pPr>
        <w:rPr>
          <w:color w:val="000000"/>
          <w:sz w:val="28"/>
          <w:szCs w:val="28"/>
          <w:lang w:val="uk-UA"/>
        </w:rPr>
      </w:pPr>
      <w:r>
        <w:rPr>
          <w:color w:val="000000"/>
          <w:sz w:val="28"/>
          <w:szCs w:val="28"/>
          <w:lang w:val="uk-UA"/>
        </w:rPr>
        <w:br w:type="page"/>
      </w:r>
    </w:p>
    <w:p w:rsidR="003A6D02" w:rsidRPr="00882C57" w:rsidRDefault="00882C57" w:rsidP="00882C57">
      <w:pPr>
        <w:spacing w:after="0" w:line="360" w:lineRule="auto"/>
        <w:jc w:val="right"/>
        <w:rPr>
          <w:rFonts w:ascii="Times New Roman" w:hAnsi="Times New Roman" w:cs="Times New Roman"/>
          <w:color w:val="000000"/>
          <w:sz w:val="28"/>
          <w:szCs w:val="28"/>
          <w:lang w:val="uk-UA"/>
        </w:rPr>
      </w:pPr>
      <w:r w:rsidRPr="00882C57">
        <w:rPr>
          <w:rFonts w:ascii="Times New Roman" w:hAnsi="Times New Roman" w:cs="Times New Roman"/>
          <w:color w:val="000000"/>
          <w:sz w:val="28"/>
          <w:szCs w:val="28"/>
          <w:lang w:val="uk-UA"/>
        </w:rPr>
        <w:lastRenderedPageBreak/>
        <w:t>Додаток Г</w:t>
      </w:r>
    </w:p>
    <w:p w:rsidR="0081447A" w:rsidRPr="00882C57" w:rsidRDefault="00B87DBB" w:rsidP="00882C57">
      <w:pPr>
        <w:spacing w:after="0" w:line="360" w:lineRule="auto"/>
        <w:jc w:val="right"/>
        <w:rPr>
          <w:rFonts w:ascii="Times New Roman" w:hAnsi="Times New Roman" w:cs="Times New Roman"/>
          <w:color w:val="000000"/>
          <w:sz w:val="28"/>
          <w:szCs w:val="28"/>
          <w:lang w:val="en-US"/>
        </w:rPr>
      </w:pPr>
      <w:r>
        <w:rPr>
          <w:rFonts w:ascii="Times New Roman" w:hAnsi="Times New Roman" w:cs="Times New Roman"/>
          <w:noProof/>
          <w:color w:val="000000"/>
          <w:sz w:val="28"/>
          <w:szCs w:val="28"/>
        </w:rPr>
        <w:drawing>
          <wp:inline distT="0" distB="0" distL="0" distR="0">
            <wp:extent cx="6249592" cy="8623738"/>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13" cstate="print"/>
                    <a:srcRect/>
                    <a:stretch>
                      <a:fillRect/>
                    </a:stretch>
                  </pic:blipFill>
                  <pic:spPr bwMode="auto">
                    <a:xfrm>
                      <a:off x="0" y="0"/>
                      <a:ext cx="6265577" cy="8645795"/>
                    </a:xfrm>
                    <a:prstGeom prst="rect">
                      <a:avLst/>
                    </a:prstGeom>
                    <a:noFill/>
                    <a:ln w="9525">
                      <a:noFill/>
                      <a:miter lim="800000"/>
                      <a:headEnd/>
                      <a:tailEnd/>
                    </a:ln>
                  </pic:spPr>
                </pic:pic>
              </a:graphicData>
            </a:graphic>
          </wp:inline>
        </w:drawing>
      </w:r>
    </w:p>
    <w:p w:rsidR="00B87DBB" w:rsidRDefault="00B87DBB" w:rsidP="00B87DBB">
      <w:pPr>
        <w:tabs>
          <w:tab w:val="left" w:pos="-567"/>
        </w:tabs>
        <w:ind w:left="-709"/>
        <w:rPr>
          <w:color w:val="000000"/>
          <w:sz w:val="28"/>
          <w:szCs w:val="28"/>
          <w:lang w:val="uk-UA"/>
        </w:rPr>
      </w:pPr>
      <w:r>
        <w:rPr>
          <w:noProof/>
          <w:color w:val="000000"/>
          <w:sz w:val="28"/>
          <w:szCs w:val="28"/>
        </w:rPr>
        <w:drawing>
          <wp:inline distT="0" distB="0" distL="0" distR="0">
            <wp:extent cx="6552957" cy="8418787"/>
            <wp:effectExtent l="19050" t="0" r="243" b="0"/>
            <wp:docPr id="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4" cstate="print"/>
                    <a:srcRect/>
                    <a:stretch>
                      <a:fillRect/>
                    </a:stretch>
                  </pic:blipFill>
                  <pic:spPr bwMode="auto">
                    <a:xfrm>
                      <a:off x="0" y="0"/>
                      <a:ext cx="6555170" cy="8421630"/>
                    </a:xfrm>
                    <a:prstGeom prst="rect">
                      <a:avLst/>
                    </a:prstGeom>
                    <a:noFill/>
                    <a:ln w="9525">
                      <a:noFill/>
                      <a:miter lim="800000"/>
                      <a:headEnd/>
                      <a:tailEnd/>
                    </a:ln>
                  </pic:spPr>
                </pic:pic>
              </a:graphicData>
            </a:graphic>
          </wp:inline>
        </w:drawing>
      </w:r>
    </w:p>
    <w:p w:rsidR="0081447A" w:rsidRPr="00882C57" w:rsidRDefault="00B87DBB" w:rsidP="00B87DBB">
      <w:pPr>
        <w:tabs>
          <w:tab w:val="left" w:pos="-567"/>
        </w:tabs>
        <w:ind w:left="-709"/>
        <w:rPr>
          <w:color w:val="000000"/>
          <w:sz w:val="28"/>
          <w:szCs w:val="28"/>
        </w:rPr>
      </w:pPr>
      <w:r>
        <w:rPr>
          <w:noProof/>
          <w:color w:val="000000"/>
          <w:sz w:val="28"/>
          <w:szCs w:val="28"/>
        </w:rPr>
        <w:drawing>
          <wp:inline distT="0" distB="0" distL="0" distR="0">
            <wp:extent cx="6535358" cy="8749862"/>
            <wp:effectExtent l="19050" t="0" r="0" b="0"/>
            <wp:docPr id="6"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5" cstate="print"/>
                    <a:srcRect/>
                    <a:stretch>
                      <a:fillRect/>
                    </a:stretch>
                  </pic:blipFill>
                  <pic:spPr bwMode="auto">
                    <a:xfrm>
                      <a:off x="0" y="0"/>
                      <a:ext cx="6542439" cy="8759342"/>
                    </a:xfrm>
                    <a:prstGeom prst="rect">
                      <a:avLst/>
                    </a:prstGeom>
                    <a:noFill/>
                    <a:ln w="9525">
                      <a:noFill/>
                      <a:miter lim="800000"/>
                      <a:headEnd/>
                      <a:tailEnd/>
                    </a:ln>
                  </pic:spPr>
                </pic:pic>
              </a:graphicData>
            </a:graphic>
          </wp:inline>
        </w:drawing>
      </w:r>
      <w:r w:rsidR="0081447A" w:rsidRPr="00882C57">
        <w:rPr>
          <w:color w:val="000000"/>
          <w:sz w:val="28"/>
          <w:szCs w:val="28"/>
        </w:rPr>
        <w:br w:type="page"/>
      </w:r>
    </w:p>
    <w:p w:rsidR="0081447A" w:rsidRPr="00B87DBB" w:rsidRDefault="00B87DBB" w:rsidP="00B87DBB">
      <w:pPr>
        <w:spacing w:after="0" w:line="360" w:lineRule="auto"/>
        <w:jc w:val="right"/>
        <w:rPr>
          <w:rFonts w:ascii="Times New Roman" w:hAnsi="Times New Roman" w:cs="Times New Roman"/>
          <w:color w:val="000000"/>
          <w:sz w:val="28"/>
          <w:szCs w:val="28"/>
          <w:lang w:val="uk-UA"/>
        </w:rPr>
      </w:pPr>
      <w:r w:rsidRPr="00B87DBB">
        <w:rPr>
          <w:rFonts w:ascii="Times New Roman" w:hAnsi="Times New Roman" w:cs="Times New Roman"/>
          <w:color w:val="000000"/>
          <w:sz w:val="28"/>
          <w:szCs w:val="28"/>
          <w:lang w:val="uk-UA"/>
        </w:rPr>
        <w:lastRenderedPageBreak/>
        <w:t>Додаток Д</w:t>
      </w:r>
    </w:p>
    <w:p w:rsidR="0081447A" w:rsidRDefault="00B87DBB" w:rsidP="00B87DBB">
      <w:pPr>
        <w:spacing w:after="0" w:line="360" w:lineRule="auto"/>
        <w:ind w:left="-567" w:hanging="284"/>
        <w:jc w:val="center"/>
        <w:rPr>
          <w:color w:val="000000"/>
          <w:sz w:val="28"/>
          <w:szCs w:val="28"/>
          <w:lang w:val="uk-UA"/>
        </w:rPr>
      </w:pPr>
      <w:r>
        <w:rPr>
          <w:noProof/>
          <w:color w:val="000000"/>
          <w:sz w:val="28"/>
          <w:szCs w:val="28"/>
        </w:rPr>
        <w:drawing>
          <wp:inline distT="0" distB="0" distL="0" distR="0">
            <wp:extent cx="6241281" cy="8560676"/>
            <wp:effectExtent l="19050" t="0" r="7119" b="0"/>
            <wp:docPr id="7"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6" cstate="print"/>
                    <a:srcRect/>
                    <a:stretch>
                      <a:fillRect/>
                    </a:stretch>
                  </pic:blipFill>
                  <pic:spPr bwMode="auto">
                    <a:xfrm>
                      <a:off x="0" y="0"/>
                      <a:ext cx="6241218" cy="8560590"/>
                    </a:xfrm>
                    <a:prstGeom prst="rect">
                      <a:avLst/>
                    </a:prstGeom>
                    <a:noFill/>
                    <a:ln w="9525">
                      <a:noFill/>
                      <a:miter lim="800000"/>
                      <a:headEnd/>
                      <a:tailEnd/>
                    </a:ln>
                  </pic:spPr>
                </pic:pic>
              </a:graphicData>
            </a:graphic>
          </wp:inline>
        </w:drawing>
      </w:r>
    </w:p>
    <w:p w:rsidR="00B87DBB" w:rsidRDefault="00B87DBB" w:rsidP="00B87DBB">
      <w:pPr>
        <w:spacing w:after="0" w:line="360" w:lineRule="auto"/>
        <w:ind w:left="-567"/>
        <w:jc w:val="center"/>
        <w:rPr>
          <w:color w:val="000000"/>
          <w:sz w:val="28"/>
          <w:szCs w:val="28"/>
          <w:lang w:val="uk-UA"/>
        </w:rPr>
      </w:pPr>
      <w:r>
        <w:rPr>
          <w:noProof/>
          <w:color w:val="000000"/>
          <w:sz w:val="28"/>
          <w:szCs w:val="28"/>
        </w:rPr>
        <w:drawing>
          <wp:inline distT="0" distB="0" distL="0" distR="0">
            <wp:extent cx="6231295" cy="8907518"/>
            <wp:effectExtent l="19050" t="0" r="0" b="0"/>
            <wp:docPr id="8"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7" cstate="print"/>
                    <a:srcRect/>
                    <a:stretch>
                      <a:fillRect/>
                    </a:stretch>
                  </pic:blipFill>
                  <pic:spPr bwMode="auto">
                    <a:xfrm>
                      <a:off x="0" y="0"/>
                      <a:ext cx="6246463" cy="8929201"/>
                    </a:xfrm>
                    <a:prstGeom prst="rect">
                      <a:avLst/>
                    </a:prstGeom>
                    <a:noFill/>
                    <a:ln w="9525">
                      <a:noFill/>
                      <a:miter lim="800000"/>
                      <a:headEnd/>
                      <a:tailEnd/>
                    </a:ln>
                  </pic:spPr>
                </pic:pic>
              </a:graphicData>
            </a:graphic>
          </wp:inline>
        </w:drawing>
      </w:r>
    </w:p>
    <w:p w:rsidR="00B87DBB" w:rsidRDefault="00B87DBB" w:rsidP="00B87DBB">
      <w:pPr>
        <w:spacing w:after="0" w:line="360" w:lineRule="auto"/>
        <w:ind w:left="-567"/>
        <w:jc w:val="center"/>
        <w:rPr>
          <w:color w:val="000000"/>
          <w:sz w:val="28"/>
          <w:szCs w:val="28"/>
          <w:lang w:val="uk-UA"/>
        </w:rPr>
      </w:pPr>
      <w:r>
        <w:rPr>
          <w:noProof/>
          <w:color w:val="000000"/>
          <w:sz w:val="28"/>
          <w:szCs w:val="28"/>
        </w:rPr>
        <w:drawing>
          <wp:inline distT="0" distB="0" distL="0" distR="0">
            <wp:extent cx="6335929" cy="8923283"/>
            <wp:effectExtent l="19050" t="0" r="7721" b="0"/>
            <wp:docPr id="9"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cstate="print"/>
                    <a:srcRect/>
                    <a:stretch>
                      <a:fillRect/>
                    </a:stretch>
                  </pic:blipFill>
                  <pic:spPr bwMode="auto">
                    <a:xfrm>
                      <a:off x="0" y="0"/>
                      <a:ext cx="6344402" cy="8935217"/>
                    </a:xfrm>
                    <a:prstGeom prst="rect">
                      <a:avLst/>
                    </a:prstGeom>
                    <a:noFill/>
                    <a:ln w="9525">
                      <a:noFill/>
                      <a:miter lim="800000"/>
                      <a:headEnd/>
                      <a:tailEnd/>
                    </a:ln>
                  </pic:spPr>
                </pic:pic>
              </a:graphicData>
            </a:graphic>
          </wp:inline>
        </w:drawing>
      </w:r>
    </w:p>
    <w:p w:rsidR="00B87DBB" w:rsidRPr="00B87DBB" w:rsidRDefault="00B87DBB" w:rsidP="00B87DBB">
      <w:pPr>
        <w:spacing w:after="0" w:line="360" w:lineRule="auto"/>
        <w:ind w:left="-567"/>
        <w:jc w:val="center"/>
        <w:rPr>
          <w:color w:val="000000"/>
          <w:sz w:val="28"/>
          <w:szCs w:val="28"/>
          <w:lang w:val="uk-UA"/>
        </w:rPr>
      </w:pPr>
      <w:r>
        <w:rPr>
          <w:noProof/>
          <w:color w:val="000000"/>
          <w:sz w:val="28"/>
          <w:szCs w:val="28"/>
        </w:rPr>
        <w:drawing>
          <wp:inline distT="0" distB="0" distL="0" distR="0">
            <wp:extent cx="6414274" cy="9207062"/>
            <wp:effectExtent l="19050" t="0" r="5576" b="0"/>
            <wp:docPr id="1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19" cstate="print"/>
                    <a:srcRect/>
                    <a:stretch>
                      <a:fillRect/>
                    </a:stretch>
                  </pic:blipFill>
                  <pic:spPr bwMode="auto">
                    <a:xfrm>
                      <a:off x="0" y="0"/>
                      <a:ext cx="6418550" cy="9213200"/>
                    </a:xfrm>
                    <a:prstGeom prst="rect">
                      <a:avLst/>
                    </a:prstGeom>
                    <a:noFill/>
                    <a:ln w="9525">
                      <a:noFill/>
                      <a:miter lim="800000"/>
                      <a:headEnd/>
                      <a:tailEnd/>
                    </a:ln>
                  </pic:spPr>
                </pic:pic>
              </a:graphicData>
            </a:graphic>
          </wp:inline>
        </w:drawing>
      </w:r>
    </w:p>
    <w:p w:rsidR="00DA0A21" w:rsidRPr="00EA1E5C" w:rsidRDefault="00DA0A21" w:rsidP="00EA1E5C">
      <w:pPr>
        <w:jc w:val="right"/>
        <w:rPr>
          <w:rFonts w:ascii="Times New Roman" w:hAnsi="Times New Roman" w:cs="Times New Roman"/>
          <w:color w:val="000000"/>
          <w:sz w:val="28"/>
          <w:szCs w:val="28"/>
          <w:lang w:val="uk-UA"/>
        </w:rPr>
      </w:pPr>
      <w:r w:rsidRPr="00EA1E5C">
        <w:rPr>
          <w:rFonts w:ascii="Times New Roman" w:hAnsi="Times New Roman" w:cs="Times New Roman"/>
          <w:color w:val="000000"/>
          <w:sz w:val="28"/>
          <w:szCs w:val="28"/>
          <w:lang w:val="uk-UA"/>
        </w:rPr>
        <w:t xml:space="preserve">Додаток </w:t>
      </w:r>
      <w:r w:rsidR="00EA1E5C" w:rsidRPr="00EA1E5C">
        <w:rPr>
          <w:rFonts w:ascii="Times New Roman" w:hAnsi="Times New Roman" w:cs="Times New Roman"/>
          <w:color w:val="000000"/>
          <w:sz w:val="28"/>
          <w:szCs w:val="28"/>
          <w:lang w:val="uk-UA"/>
        </w:rPr>
        <w:t>Е</w:t>
      </w:r>
    </w:p>
    <w:p w:rsidR="00DA0A21" w:rsidRDefault="00DA0A21">
      <w:pPr>
        <w:rPr>
          <w:color w:val="000000"/>
          <w:sz w:val="28"/>
          <w:szCs w:val="28"/>
          <w:lang w:val="uk-UA"/>
        </w:rPr>
      </w:pPr>
    </w:p>
    <w:p w:rsidR="00EA1E5C" w:rsidRDefault="00EA1E5C">
      <w:pPr>
        <w:rPr>
          <w:color w:val="000000"/>
          <w:sz w:val="28"/>
          <w:szCs w:val="28"/>
          <w:lang w:val="uk-UA"/>
        </w:rPr>
      </w:pPr>
    </w:p>
    <w:p w:rsidR="0081447A" w:rsidRPr="00882C57" w:rsidRDefault="0081447A">
      <w:pPr>
        <w:rPr>
          <w:color w:val="000000"/>
          <w:sz w:val="28"/>
          <w:szCs w:val="28"/>
        </w:rPr>
      </w:pPr>
      <w:r w:rsidRPr="00882C57">
        <w:rPr>
          <w:color w:val="000000"/>
          <w:sz w:val="28"/>
          <w:szCs w:val="28"/>
        </w:rPr>
        <w:br w:type="page"/>
      </w:r>
    </w:p>
    <w:p w:rsidR="0081447A" w:rsidRPr="00882C57" w:rsidRDefault="0081447A" w:rsidP="003A6D02">
      <w:pPr>
        <w:spacing w:after="0" w:line="360" w:lineRule="auto"/>
        <w:jc w:val="center"/>
        <w:rPr>
          <w:color w:val="000000"/>
          <w:sz w:val="28"/>
          <w:szCs w:val="28"/>
        </w:rPr>
      </w:pPr>
    </w:p>
    <w:sectPr w:rsidR="0081447A" w:rsidRPr="00882C57" w:rsidSect="005E20E9">
      <w:headerReference w:type="default" r:id="rId12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0A21" w:rsidRDefault="00DA0A21" w:rsidP="005E04F7">
      <w:pPr>
        <w:spacing w:after="0" w:line="240" w:lineRule="auto"/>
      </w:pPr>
      <w:r>
        <w:separator/>
      </w:r>
    </w:p>
  </w:endnote>
  <w:endnote w:type="continuationSeparator" w:id="0">
    <w:p w:rsidR="00DA0A21" w:rsidRDefault="00DA0A21" w:rsidP="005E04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GaramondC-Light">
    <w:altName w:val="MS Mincho"/>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201" w:usb1="08070000" w:usb2="00000010" w:usb3="00000000" w:csb0="00020004" w:csb1="00000000"/>
  </w:font>
  <w:font w:name="Times New Roman CYR">
    <w:panose1 w:val="02020603050405020304"/>
    <w:charset w:val="CC"/>
    <w:family w:val="roman"/>
    <w:pitch w:val="variable"/>
    <w:sig w:usb0="20002A87" w:usb1="80000000" w:usb2="00000008" w:usb3="00000000" w:csb0="000001FF" w:csb1="00000000"/>
  </w:font>
  <w:font w:name="Arial CYR">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0A21" w:rsidRDefault="00DA0A21" w:rsidP="005E04F7">
      <w:pPr>
        <w:spacing w:after="0" w:line="240" w:lineRule="auto"/>
      </w:pPr>
      <w:r>
        <w:separator/>
      </w:r>
    </w:p>
  </w:footnote>
  <w:footnote w:type="continuationSeparator" w:id="0">
    <w:p w:rsidR="00DA0A21" w:rsidRDefault="00DA0A21" w:rsidP="005E04F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756516"/>
      <w:docPartObj>
        <w:docPartGallery w:val="Page Numbers (Top of Page)"/>
        <w:docPartUnique/>
      </w:docPartObj>
    </w:sdtPr>
    <w:sdtContent>
      <w:p w:rsidR="00DA0A21" w:rsidRDefault="00DA0A21">
        <w:pPr>
          <w:pStyle w:val="a3"/>
          <w:jc w:val="right"/>
        </w:pPr>
        <w:fldSimple w:instr=" PAGE   \* MERGEFORMAT ">
          <w:r w:rsidR="00EA1E5C">
            <w:rPr>
              <w:noProof/>
            </w:rPr>
            <w:t>198</w:t>
          </w:r>
        </w:fldSimple>
      </w:p>
    </w:sdtContent>
  </w:sdt>
  <w:p w:rsidR="00DA0A21" w:rsidRDefault="00DA0A2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E4C9F"/>
    <w:multiLevelType w:val="hybridMultilevel"/>
    <w:tmpl w:val="CB56179A"/>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nsid w:val="1DE349F6"/>
    <w:multiLevelType w:val="hybridMultilevel"/>
    <w:tmpl w:val="0C126CA4"/>
    <w:lvl w:ilvl="0" w:tplc="33F832F4">
      <w:start w:val="4"/>
      <w:numFmt w:val="bullet"/>
      <w:lvlText w:val="-"/>
      <w:lvlJc w:val="left"/>
      <w:pPr>
        <w:ind w:left="4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1F042145"/>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20BF7830"/>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4A154723"/>
    <w:multiLevelType w:val="hybridMultilevel"/>
    <w:tmpl w:val="7872202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4DDC3C61"/>
    <w:multiLevelType w:val="hybridMultilevel"/>
    <w:tmpl w:val="7CC2BEBE"/>
    <w:lvl w:ilvl="0" w:tplc="FE602ED8">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6">
    <w:nsid w:val="52777398"/>
    <w:multiLevelType w:val="hybridMultilevel"/>
    <w:tmpl w:val="CC9284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F5A275A"/>
    <w:multiLevelType w:val="hybridMultilevel"/>
    <w:tmpl w:val="C08C74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EB06919"/>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6"/>
  </w:num>
  <w:num w:numId="2">
    <w:abstractNumId w:val="0"/>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8"/>
  </w:num>
  <w:num w:numId="9">
    <w:abstractNumId w:val="3"/>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defaultTabStop w:val="708"/>
  <w:hyphenationZone w:val="425"/>
  <w:characterSpacingControl w:val="doNotCompress"/>
  <w:footnotePr>
    <w:footnote w:id="-1"/>
    <w:footnote w:id="0"/>
  </w:footnotePr>
  <w:endnotePr>
    <w:endnote w:id="-1"/>
    <w:endnote w:id="0"/>
  </w:endnotePr>
  <w:compat>
    <w:useFELayout/>
  </w:compat>
  <w:rsids>
    <w:rsidRoot w:val="000809FE"/>
    <w:rsid w:val="00012945"/>
    <w:rsid w:val="00017FD6"/>
    <w:rsid w:val="00037004"/>
    <w:rsid w:val="00055185"/>
    <w:rsid w:val="000809FE"/>
    <w:rsid w:val="000C1BF9"/>
    <w:rsid w:val="000D427B"/>
    <w:rsid w:val="00102A98"/>
    <w:rsid w:val="00111029"/>
    <w:rsid w:val="0011477B"/>
    <w:rsid w:val="001A0D1A"/>
    <w:rsid w:val="001A4C8B"/>
    <w:rsid w:val="001A5FEE"/>
    <w:rsid w:val="001B40A8"/>
    <w:rsid w:val="001B4A66"/>
    <w:rsid w:val="001C5285"/>
    <w:rsid w:val="001F3608"/>
    <w:rsid w:val="001F456F"/>
    <w:rsid w:val="00204FFD"/>
    <w:rsid w:val="00205E58"/>
    <w:rsid w:val="002111B6"/>
    <w:rsid w:val="0023113E"/>
    <w:rsid w:val="002329A0"/>
    <w:rsid w:val="002378E6"/>
    <w:rsid w:val="002411EC"/>
    <w:rsid w:val="00253B4F"/>
    <w:rsid w:val="002563B1"/>
    <w:rsid w:val="00275D27"/>
    <w:rsid w:val="00284C57"/>
    <w:rsid w:val="002959E7"/>
    <w:rsid w:val="002C416F"/>
    <w:rsid w:val="002D4251"/>
    <w:rsid w:val="002D4600"/>
    <w:rsid w:val="002D50FD"/>
    <w:rsid w:val="003041BE"/>
    <w:rsid w:val="00306F03"/>
    <w:rsid w:val="003104C4"/>
    <w:rsid w:val="00313CAE"/>
    <w:rsid w:val="0032795F"/>
    <w:rsid w:val="00334A52"/>
    <w:rsid w:val="0036340F"/>
    <w:rsid w:val="0037651A"/>
    <w:rsid w:val="00377249"/>
    <w:rsid w:val="00377D91"/>
    <w:rsid w:val="003A6D02"/>
    <w:rsid w:val="003B42D0"/>
    <w:rsid w:val="003C1D8C"/>
    <w:rsid w:val="003C3F49"/>
    <w:rsid w:val="003F3CA2"/>
    <w:rsid w:val="0040308E"/>
    <w:rsid w:val="004070F6"/>
    <w:rsid w:val="00431481"/>
    <w:rsid w:val="00454A41"/>
    <w:rsid w:val="00461312"/>
    <w:rsid w:val="00487043"/>
    <w:rsid w:val="004A1376"/>
    <w:rsid w:val="004A1899"/>
    <w:rsid w:val="004A56CA"/>
    <w:rsid w:val="004C4BD2"/>
    <w:rsid w:val="004C716F"/>
    <w:rsid w:val="00506D14"/>
    <w:rsid w:val="00511294"/>
    <w:rsid w:val="0051559B"/>
    <w:rsid w:val="0051672D"/>
    <w:rsid w:val="00542A45"/>
    <w:rsid w:val="00564FB6"/>
    <w:rsid w:val="005670A9"/>
    <w:rsid w:val="00571AC3"/>
    <w:rsid w:val="00572D30"/>
    <w:rsid w:val="00586691"/>
    <w:rsid w:val="005947C8"/>
    <w:rsid w:val="005A405B"/>
    <w:rsid w:val="005B0748"/>
    <w:rsid w:val="005B22BD"/>
    <w:rsid w:val="005C501F"/>
    <w:rsid w:val="005C5977"/>
    <w:rsid w:val="005D2B64"/>
    <w:rsid w:val="005D47EE"/>
    <w:rsid w:val="005E04F7"/>
    <w:rsid w:val="005E20E9"/>
    <w:rsid w:val="005E7CB7"/>
    <w:rsid w:val="006035E4"/>
    <w:rsid w:val="006049CC"/>
    <w:rsid w:val="00605234"/>
    <w:rsid w:val="00605742"/>
    <w:rsid w:val="00612363"/>
    <w:rsid w:val="006238D9"/>
    <w:rsid w:val="00624810"/>
    <w:rsid w:val="0063780A"/>
    <w:rsid w:val="006720D2"/>
    <w:rsid w:val="00681DE5"/>
    <w:rsid w:val="00683CC2"/>
    <w:rsid w:val="006869AC"/>
    <w:rsid w:val="006921FC"/>
    <w:rsid w:val="006A66F6"/>
    <w:rsid w:val="006B281D"/>
    <w:rsid w:val="006B2F66"/>
    <w:rsid w:val="006B706A"/>
    <w:rsid w:val="006C79E4"/>
    <w:rsid w:val="006D70B3"/>
    <w:rsid w:val="006E344B"/>
    <w:rsid w:val="006F2B6B"/>
    <w:rsid w:val="006F67A8"/>
    <w:rsid w:val="00703F00"/>
    <w:rsid w:val="00715662"/>
    <w:rsid w:val="0073468A"/>
    <w:rsid w:val="00736A48"/>
    <w:rsid w:val="007443D0"/>
    <w:rsid w:val="00744C97"/>
    <w:rsid w:val="00785A05"/>
    <w:rsid w:val="007A0FBC"/>
    <w:rsid w:val="007B3DF5"/>
    <w:rsid w:val="007B6252"/>
    <w:rsid w:val="007F670A"/>
    <w:rsid w:val="00803E73"/>
    <w:rsid w:val="0081447A"/>
    <w:rsid w:val="0084485C"/>
    <w:rsid w:val="00852F96"/>
    <w:rsid w:val="00865CB7"/>
    <w:rsid w:val="00880319"/>
    <w:rsid w:val="00882C57"/>
    <w:rsid w:val="00892223"/>
    <w:rsid w:val="008B12A6"/>
    <w:rsid w:val="008B60E1"/>
    <w:rsid w:val="008E3FC5"/>
    <w:rsid w:val="0091277D"/>
    <w:rsid w:val="00932174"/>
    <w:rsid w:val="009378D4"/>
    <w:rsid w:val="00953161"/>
    <w:rsid w:val="00967689"/>
    <w:rsid w:val="00981061"/>
    <w:rsid w:val="00986357"/>
    <w:rsid w:val="009A7051"/>
    <w:rsid w:val="00A01923"/>
    <w:rsid w:val="00A01A70"/>
    <w:rsid w:val="00A01E17"/>
    <w:rsid w:val="00A238B5"/>
    <w:rsid w:val="00A26D19"/>
    <w:rsid w:val="00A3565B"/>
    <w:rsid w:val="00A35F60"/>
    <w:rsid w:val="00A41A90"/>
    <w:rsid w:val="00A61C1B"/>
    <w:rsid w:val="00A74688"/>
    <w:rsid w:val="00A7695D"/>
    <w:rsid w:val="00A84006"/>
    <w:rsid w:val="00A873BF"/>
    <w:rsid w:val="00AA1C71"/>
    <w:rsid w:val="00AB479F"/>
    <w:rsid w:val="00AC0064"/>
    <w:rsid w:val="00AD6213"/>
    <w:rsid w:val="00AE08F1"/>
    <w:rsid w:val="00AF31CF"/>
    <w:rsid w:val="00B12F7A"/>
    <w:rsid w:val="00B21C52"/>
    <w:rsid w:val="00B3192E"/>
    <w:rsid w:val="00B32A75"/>
    <w:rsid w:val="00B43186"/>
    <w:rsid w:val="00B518BA"/>
    <w:rsid w:val="00B57072"/>
    <w:rsid w:val="00B62FDC"/>
    <w:rsid w:val="00B72BC5"/>
    <w:rsid w:val="00B765B0"/>
    <w:rsid w:val="00B87DBB"/>
    <w:rsid w:val="00BB510C"/>
    <w:rsid w:val="00BD69C3"/>
    <w:rsid w:val="00BF102F"/>
    <w:rsid w:val="00BF1599"/>
    <w:rsid w:val="00BF1BB6"/>
    <w:rsid w:val="00C03E66"/>
    <w:rsid w:val="00C17F38"/>
    <w:rsid w:val="00C32EDD"/>
    <w:rsid w:val="00C46EA8"/>
    <w:rsid w:val="00C47DFD"/>
    <w:rsid w:val="00C531BF"/>
    <w:rsid w:val="00C73898"/>
    <w:rsid w:val="00C75358"/>
    <w:rsid w:val="00C86A4F"/>
    <w:rsid w:val="00C938E4"/>
    <w:rsid w:val="00C96F3E"/>
    <w:rsid w:val="00CC3530"/>
    <w:rsid w:val="00CC3DA7"/>
    <w:rsid w:val="00CC4896"/>
    <w:rsid w:val="00CF3421"/>
    <w:rsid w:val="00CF7180"/>
    <w:rsid w:val="00D04731"/>
    <w:rsid w:val="00D147D9"/>
    <w:rsid w:val="00D14C03"/>
    <w:rsid w:val="00D1570A"/>
    <w:rsid w:val="00D17D60"/>
    <w:rsid w:val="00D322CC"/>
    <w:rsid w:val="00D46778"/>
    <w:rsid w:val="00D54668"/>
    <w:rsid w:val="00D639CA"/>
    <w:rsid w:val="00D851B9"/>
    <w:rsid w:val="00D85F09"/>
    <w:rsid w:val="00D86179"/>
    <w:rsid w:val="00DA0A21"/>
    <w:rsid w:val="00DB6897"/>
    <w:rsid w:val="00DB77EE"/>
    <w:rsid w:val="00DC39BD"/>
    <w:rsid w:val="00DD4F46"/>
    <w:rsid w:val="00DF231B"/>
    <w:rsid w:val="00E24BBF"/>
    <w:rsid w:val="00E336A7"/>
    <w:rsid w:val="00E44361"/>
    <w:rsid w:val="00E51323"/>
    <w:rsid w:val="00E565FC"/>
    <w:rsid w:val="00E57B70"/>
    <w:rsid w:val="00E6759F"/>
    <w:rsid w:val="00E847BD"/>
    <w:rsid w:val="00E950CB"/>
    <w:rsid w:val="00E96A96"/>
    <w:rsid w:val="00EA1E5C"/>
    <w:rsid w:val="00EC6814"/>
    <w:rsid w:val="00ED28F8"/>
    <w:rsid w:val="00EE413A"/>
    <w:rsid w:val="00EE5101"/>
    <w:rsid w:val="00EF1E8A"/>
    <w:rsid w:val="00F04D0A"/>
    <w:rsid w:val="00F20BA3"/>
    <w:rsid w:val="00F37E51"/>
    <w:rsid w:val="00F41BBF"/>
    <w:rsid w:val="00F506C5"/>
    <w:rsid w:val="00F64DC4"/>
    <w:rsid w:val="00F866DD"/>
    <w:rsid w:val="00F949EC"/>
    <w:rsid w:val="00F94D3B"/>
    <w:rsid w:val="00F9703A"/>
    <w:rsid w:val="00FB7D72"/>
    <w:rsid w:val="00FC5C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13">
      <o:colormenu v:ext="edit" strokecolor="none"/>
    </o:shapedefaults>
    <o:shapelayout v:ext="edit">
      <o:idmap v:ext="edit" data="1,2"/>
      <o:rules v:ext="edit">
        <o:r id="V:Rule49" type="connector" idref="#_x0000_s1930"/>
        <o:r id="V:Rule50" type="connector" idref="#_x0000_s1867"/>
        <o:r id="V:Rule51" type="connector" idref="#_x0000_s1917"/>
        <o:r id="V:Rule52" type="connector" idref="#_x0000_s2193"/>
        <o:r id="V:Rule53" type="connector" idref="#_x0000_s2188"/>
        <o:r id="V:Rule54" type="connector" idref="#_x0000_s1849"/>
        <o:r id="V:Rule55" type="connector" idref="#_x0000_s1918"/>
        <o:r id="V:Rule56" type="connector" idref="#_x0000_s1935"/>
        <o:r id="V:Rule57" type="connector" idref="#_x0000_s1869"/>
        <o:r id="V:Rule58" type="connector" idref="#_x0000_s1842"/>
        <o:r id="V:Rule59" type="connector" idref="#_x0000_s2181"/>
        <o:r id="V:Rule60" type="connector" idref="#_x0000_s1841"/>
        <o:r id="V:Rule61" type="connector" idref="#_x0000_s1927"/>
        <o:r id="V:Rule62" type="connector" idref="#_x0000_s1845"/>
        <o:r id="V:Rule63" type="connector" idref="#_x0000_s1926"/>
        <o:r id="V:Rule64" type="connector" idref="#_x0000_s1933"/>
        <o:r id="V:Rule65" type="connector" idref="#_x0000_s2194"/>
        <o:r id="V:Rule66" type="connector" idref="#_x0000_s1916"/>
        <o:r id="V:Rule67" type="connector" idref="#_x0000_s1852"/>
        <o:r id="V:Rule68" type="connector" idref="#_x0000_s1850"/>
        <o:r id="V:Rule69" type="connector" idref="#_x0000_s1871"/>
        <o:r id="V:Rule70" type="connector" idref="#_x0000_s2187"/>
        <o:r id="V:Rule71" type="connector" idref="#_x0000_s1843"/>
        <o:r id="V:Rule72" type="connector" idref="#_x0000_s1931"/>
        <o:r id="V:Rule73" type="connector" idref="#_x0000_s2180"/>
        <o:r id="V:Rule74" type="connector" idref="#_x0000_s1868"/>
        <o:r id="V:Rule75" type="connector" idref="#_x0000_s1844"/>
        <o:r id="V:Rule76" type="connector" idref="#_x0000_s1928"/>
        <o:r id="V:Rule77" type="connector" idref="#_x0000_s1875"/>
        <o:r id="V:Rule78" type="connector" idref="#_x0000_s1929"/>
        <o:r id="V:Rule79" type="connector" idref="#_x0000_s1870"/>
        <o:r id="V:Rule80" type="connector" idref="#_x0000_s1915"/>
        <o:r id="V:Rule81" type="connector" idref="#_x0000_s1932"/>
        <o:r id="V:Rule82" type="connector" idref="#_x0000_s1872"/>
        <o:r id="V:Rule83" type="connector" idref="#_x0000_s1848"/>
        <o:r id="V:Rule84" type="connector" idref="#_x0000_s2179"/>
        <o:r id="V:Rule85" type="connector" idref="#_x0000_s1873"/>
        <o:r id="V:Rule86" type="connector" idref="#_x0000_s1914"/>
        <o:r id="V:Rule87" type="connector" idref="#_x0000_s2178"/>
        <o:r id="V:Rule88" type="connector" idref="#_x0000_s1874"/>
        <o:r id="V:Rule89" type="connector" idref="#_x0000_s2190"/>
        <o:r id="V:Rule90" type="connector" idref="#_x0000_s2177"/>
        <o:r id="V:Rule91" type="connector" idref="#_x0000_s1934"/>
        <o:r id="V:Rule92" type="connector" idref="#_x0000_s1846"/>
        <o:r id="V:Rule93" type="connector" idref="#_x0000_s2189"/>
        <o:r id="V:Rule94" type="connector" idref="#_x0000_s1919"/>
        <o:r id="V:Rule95" type="connector" idref="#_x0000_s1847"/>
        <o:r id="V:Rule96" type="connector" idref="#_x0000_s18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lock Text" w:uiPriority="0"/>
    <w:lsdException w:name="Strong" w:semiHidden="0" w:unhideWhenUsed="0" w:qFormat="1"/>
    <w:lsdException w:name="Emphasis" w:semiHidden="0" w:uiPriority="0" w:unhideWhenUsed="0" w:qFormat="1"/>
    <w:lsdException w:name="Plain Text"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20E9"/>
  </w:style>
  <w:style w:type="paragraph" w:styleId="1">
    <w:name w:val="heading 1"/>
    <w:basedOn w:val="a"/>
    <w:next w:val="a"/>
    <w:link w:val="10"/>
    <w:uiPriority w:val="99"/>
    <w:qFormat/>
    <w:rsid w:val="00377D91"/>
    <w:pPr>
      <w:keepNext/>
      <w:spacing w:before="240" w:after="60" w:line="240" w:lineRule="auto"/>
      <w:outlineLvl w:val="0"/>
    </w:pPr>
    <w:rPr>
      <w:rFonts w:ascii="Arial" w:eastAsia="Times New Roman" w:hAnsi="Arial" w:cs="Arial"/>
      <w:b/>
      <w:bCs/>
      <w:kern w:val="32"/>
      <w:sz w:val="32"/>
      <w:szCs w:val="32"/>
      <w:lang w:val="uk-UA"/>
    </w:rPr>
  </w:style>
  <w:style w:type="paragraph" w:styleId="2">
    <w:name w:val="heading 2"/>
    <w:basedOn w:val="a"/>
    <w:next w:val="a"/>
    <w:link w:val="20"/>
    <w:uiPriority w:val="99"/>
    <w:qFormat/>
    <w:rsid w:val="00377D91"/>
    <w:pPr>
      <w:keepNext/>
      <w:spacing w:before="240" w:after="60" w:line="240" w:lineRule="auto"/>
      <w:outlineLvl w:val="1"/>
    </w:pPr>
    <w:rPr>
      <w:rFonts w:ascii="Arial" w:eastAsia="Times New Roman" w:hAnsi="Arial" w:cs="Arial"/>
      <w:b/>
      <w:bCs/>
      <w:i/>
      <w:iCs/>
      <w:sz w:val="28"/>
      <w:szCs w:val="28"/>
      <w:lang w:val="uk-UA"/>
    </w:rPr>
  </w:style>
  <w:style w:type="paragraph" w:styleId="5">
    <w:name w:val="heading 5"/>
    <w:basedOn w:val="a"/>
    <w:next w:val="a"/>
    <w:link w:val="50"/>
    <w:qFormat/>
    <w:rsid w:val="00377D91"/>
    <w:pPr>
      <w:spacing w:before="240" w:after="60" w:line="240" w:lineRule="auto"/>
      <w:outlineLvl w:val="4"/>
    </w:pPr>
    <w:rPr>
      <w:rFonts w:ascii="Times New Roman" w:eastAsia="Times New Roman" w:hAnsi="Times New Roman" w:cs="Times New Roman"/>
      <w:b/>
      <w:bCs/>
      <w:i/>
      <w:iCs/>
      <w:sz w:val="26"/>
      <w:szCs w:val="26"/>
      <w:lang w:val="uk-UA"/>
    </w:rPr>
  </w:style>
  <w:style w:type="paragraph" w:styleId="6">
    <w:name w:val="heading 6"/>
    <w:basedOn w:val="a"/>
    <w:next w:val="a"/>
    <w:link w:val="60"/>
    <w:qFormat/>
    <w:rsid w:val="00377D91"/>
    <w:pPr>
      <w:spacing w:before="240" w:after="60" w:line="240" w:lineRule="auto"/>
      <w:outlineLvl w:val="5"/>
    </w:pPr>
    <w:rPr>
      <w:rFonts w:ascii="Times New Roman" w:eastAsia="Times New Roman" w:hAnsi="Times New Roman" w:cs="Times New Roman"/>
      <w:b/>
      <w:bCs/>
      <w:lang w:val="uk-UA"/>
    </w:rPr>
  </w:style>
  <w:style w:type="paragraph" w:styleId="7">
    <w:name w:val="heading 7"/>
    <w:basedOn w:val="a"/>
    <w:next w:val="a"/>
    <w:link w:val="70"/>
    <w:qFormat/>
    <w:rsid w:val="00377D91"/>
    <w:pPr>
      <w:keepNext/>
      <w:tabs>
        <w:tab w:val="left" w:pos="0"/>
      </w:tabs>
      <w:spacing w:after="0" w:line="240" w:lineRule="auto"/>
      <w:ind w:right="-851"/>
      <w:jc w:val="center"/>
      <w:outlineLvl w:val="6"/>
    </w:pPr>
    <w:rPr>
      <w:rFonts w:ascii="Times New Roman" w:eastAsia="Times New Roman" w:hAnsi="Times New Roman" w:cs="Times New Roman"/>
      <w:kern w:val="28"/>
      <w:sz w:val="28"/>
      <w:szCs w:val="20"/>
    </w:rPr>
  </w:style>
  <w:style w:type="paragraph" w:styleId="9">
    <w:name w:val="heading 9"/>
    <w:basedOn w:val="a"/>
    <w:next w:val="a"/>
    <w:link w:val="90"/>
    <w:uiPriority w:val="9"/>
    <w:semiHidden/>
    <w:unhideWhenUsed/>
    <w:qFormat/>
    <w:rsid w:val="00377D91"/>
    <w:pPr>
      <w:keepNext/>
      <w:keepLines/>
      <w:spacing w:before="200" w:after="0"/>
      <w:outlineLvl w:val="8"/>
    </w:pPr>
    <w:rPr>
      <w:rFonts w:asciiTheme="majorHAnsi" w:eastAsiaTheme="majorEastAsia" w:hAnsiTheme="majorHAnsi" w:cstheme="majorBidi"/>
      <w:i/>
      <w:iCs/>
      <w:color w:val="404040" w:themeColor="text1" w:themeTint="BF"/>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77D91"/>
    <w:rPr>
      <w:rFonts w:ascii="Arial" w:eastAsia="Times New Roman" w:hAnsi="Arial" w:cs="Arial"/>
      <w:b/>
      <w:bCs/>
      <w:kern w:val="32"/>
      <w:sz w:val="32"/>
      <w:szCs w:val="32"/>
      <w:lang w:val="uk-UA"/>
    </w:rPr>
  </w:style>
  <w:style w:type="character" w:customStyle="1" w:styleId="20">
    <w:name w:val="Заголовок 2 Знак"/>
    <w:basedOn w:val="a0"/>
    <w:link w:val="2"/>
    <w:uiPriority w:val="99"/>
    <w:rsid w:val="00377D91"/>
    <w:rPr>
      <w:rFonts w:ascii="Arial" w:eastAsia="Times New Roman" w:hAnsi="Arial" w:cs="Arial"/>
      <w:b/>
      <w:bCs/>
      <w:i/>
      <w:iCs/>
      <w:sz w:val="28"/>
      <w:szCs w:val="28"/>
      <w:lang w:val="uk-UA"/>
    </w:rPr>
  </w:style>
  <w:style w:type="character" w:customStyle="1" w:styleId="50">
    <w:name w:val="Заголовок 5 Знак"/>
    <w:basedOn w:val="a0"/>
    <w:link w:val="5"/>
    <w:rsid w:val="00377D91"/>
    <w:rPr>
      <w:rFonts w:ascii="Times New Roman" w:eastAsia="Times New Roman" w:hAnsi="Times New Roman" w:cs="Times New Roman"/>
      <w:b/>
      <w:bCs/>
      <w:i/>
      <w:iCs/>
      <w:sz w:val="26"/>
      <w:szCs w:val="26"/>
      <w:lang w:val="uk-UA"/>
    </w:rPr>
  </w:style>
  <w:style w:type="character" w:customStyle="1" w:styleId="60">
    <w:name w:val="Заголовок 6 Знак"/>
    <w:basedOn w:val="a0"/>
    <w:link w:val="6"/>
    <w:rsid w:val="00377D91"/>
    <w:rPr>
      <w:rFonts w:ascii="Times New Roman" w:eastAsia="Times New Roman" w:hAnsi="Times New Roman" w:cs="Times New Roman"/>
      <w:b/>
      <w:bCs/>
      <w:lang w:val="uk-UA"/>
    </w:rPr>
  </w:style>
  <w:style w:type="character" w:customStyle="1" w:styleId="70">
    <w:name w:val="Заголовок 7 Знак"/>
    <w:basedOn w:val="a0"/>
    <w:link w:val="7"/>
    <w:rsid w:val="00377D91"/>
    <w:rPr>
      <w:rFonts w:ascii="Times New Roman" w:eastAsia="Times New Roman" w:hAnsi="Times New Roman" w:cs="Times New Roman"/>
      <w:kern w:val="28"/>
      <w:sz w:val="28"/>
      <w:szCs w:val="20"/>
    </w:rPr>
  </w:style>
  <w:style w:type="character" w:customStyle="1" w:styleId="90">
    <w:name w:val="Заголовок 9 Знак"/>
    <w:basedOn w:val="a0"/>
    <w:link w:val="9"/>
    <w:uiPriority w:val="9"/>
    <w:semiHidden/>
    <w:rsid w:val="00377D91"/>
    <w:rPr>
      <w:rFonts w:asciiTheme="majorHAnsi" w:eastAsiaTheme="majorEastAsia" w:hAnsiTheme="majorHAnsi" w:cstheme="majorBidi"/>
      <w:i/>
      <w:iCs/>
      <w:color w:val="404040" w:themeColor="text1" w:themeTint="BF"/>
      <w:sz w:val="20"/>
      <w:szCs w:val="20"/>
      <w:lang w:val="uk-UA" w:eastAsia="uk-UA"/>
    </w:rPr>
  </w:style>
  <w:style w:type="paragraph" w:styleId="a3">
    <w:name w:val="header"/>
    <w:basedOn w:val="a"/>
    <w:link w:val="a4"/>
    <w:uiPriority w:val="99"/>
    <w:rsid w:val="000809FE"/>
    <w:pPr>
      <w:tabs>
        <w:tab w:val="center" w:pos="4677"/>
        <w:tab w:val="right" w:pos="9355"/>
      </w:tabs>
      <w:spacing w:after="0" w:line="240" w:lineRule="auto"/>
    </w:pPr>
    <w:rPr>
      <w:rFonts w:ascii="Times New Roman" w:eastAsia="Times New Roman" w:hAnsi="Times New Roman" w:cs="Times New Roman"/>
      <w:sz w:val="24"/>
      <w:szCs w:val="24"/>
      <w:lang w:val="uk-UA"/>
    </w:rPr>
  </w:style>
  <w:style w:type="character" w:customStyle="1" w:styleId="a4">
    <w:name w:val="Верхний колонтитул Знак"/>
    <w:basedOn w:val="a0"/>
    <w:link w:val="a3"/>
    <w:uiPriority w:val="99"/>
    <w:rsid w:val="000809FE"/>
    <w:rPr>
      <w:rFonts w:ascii="Times New Roman" w:eastAsia="Times New Roman" w:hAnsi="Times New Roman" w:cs="Times New Roman"/>
      <w:sz w:val="24"/>
      <w:szCs w:val="24"/>
      <w:lang w:val="uk-UA"/>
    </w:rPr>
  </w:style>
  <w:style w:type="paragraph" w:styleId="21">
    <w:name w:val="Body Text Indent 2"/>
    <w:basedOn w:val="a"/>
    <w:link w:val="22"/>
    <w:unhideWhenUsed/>
    <w:rsid w:val="000809FE"/>
    <w:pPr>
      <w:spacing w:after="120" w:line="480" w:lineRule="auto"/>
      <w:ind w:left="283"/>
    </w:pPr>
    <w:rPr>
      <w:lang w:val="uk-UA" w:eastAsia="uk-UA"/>
    </w:rPr>
  </w:style>
  <w:style w:type="character" w:customStyle="1" w:styleId="22">
    <w:name w:val="Основной текст с отступом 2 Знак"/>
    <w:basedOn w:val="a0"/>
    <w:link w:val="21"/>
    <w:rsid w:val="000809FE"/>
    <w:rPr>
      <w:lang w:val="uk-UA" w:eastAsia="uk-UA"/>
    </w:rPr>
  </w:style>
  <w:style w:type="paragraph" w:styleId="a5">
    <w:name w:val="Normal (Web)"/>
    <w:basedOn w:val="a"/>
    <w:uiPriority w:val="99"/>
    <w:rsid w:val="000809FE"/>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ody Text"/>
    <w:basedOn w:val="a"/>
    <w:link w:val="a7"/>
    <w:rsid w:val="000809FE"/>
    <w:pPr>
      <w:spacing w:after="120" w:line="240" w:lineRule="auto"/>
    </w:pPr>
    <w:rPr>
      <w:rFonts w:ascii="Times New Roman" w:eastAsia="Times New Roman" w:hAnsi="Times New Roman" w:cs="Times New Roman"/>
      <w:sz w:val="24"/>
      <w:szCs w:val="24"/>
      <w:lang w:val="uk-UA"/>
    </w:rPr>
  </w:style>
  <w:style w:type="character" w:customStyle="1" w:styleId="a7">
    <w:name w:val="Основной текст Знак"/>
    <w:basedOn w:val="a0"/>
    <w:link w:val="a6"/>
    <w:rsid w:val="000809FE"/>
    <w:rPr>
      <w:rFonts w:ascii="Times New Roman" w:eastAsia="Times New Roman" w:hAnsi="Times New Roman" w:cs="Times New Roman"/>
      <w:sz w:val="24"/>
      <w:szCs w:val="24"/>
      <w:lang w:val="uk-UA"/>
    </w:rPr>
  </w:style>
  <w:style w:type="paragraph" w:styleId="a8">
    <w:name w:val="Body Text Indent"/>
    <w:basedOn w:val="a"/>
    <w:link w:val="a9"/>
    <w:rsid w:val="000809FE"/>
    <w:pPr>
      <w:spacing w:after="120" w:line="240" w:lineRule="auto"/>
      <w:ind w:left="283"/>
    </w:pPr>
    <w:rPr>
      <w:rFonts w:ascii="Times New Roman" w:eastAsia="Times New Roman" w:hAnsi="Times New Roman" w:cs="Times New Roman"/>
      <w:sz w:val="24"/>
      <w:szCs w:val="24"/>
      <w:lang w:val="uk-UA"/>
    </w:rPr>
  </w:style>
  <w:style w:type="character" w:customStyle="1" w:styleId="a9">
    <w:name w:val="Основной текст с отступом Знак"/>
    <w:basedOn w:val="a0"/>
    <w:link w:val="a8"/>
    <w:rsid w:val="000809FE"/>
    <w:rPr>
      <w:rFonts w:ascii="Times New Roman" w:eastAsia="Times New Roman" w:hAnsi="Times New Roman" w:cs="Times New Roman"/>
      <w:sz w:val="24"/>
      <w:szCs w:val="24"/>
      <w:lang w:val="uk-UA"/>
    </w:rPr>
  </w:style>
  <w:style w:type="character" w:styleId="aa">
    <w:name w:val="Hyperlink"/>
    <w:basedOn w:val="a0"/>
    <w:uiPriority w:val="99"/>
    <w:rsid w:val="000809FE"/>
    <w:rPr>
      <w:strike w:val="0"/>
      <w:dstrike w:val="0"/>
      <w:color w:val="0000FF"/>
      <w:u w:val="none"/>
      <w:effect w:val="none"/>
    </w:rPr>
  </w:style>
  <w:style w:type="character" w:customStyle="1" w:styleId="hps">
    <w:name w:val="hps"/>
    <w:rsid w:val="000809FE"/>
  </w:style>
  <w:style w:type="table" w:styleId="ab">
    <w:name w:val="Table Grid"/>
    <w:basedOn w:val="a1"/>
    <w:uiPriority w:val="59"/>
    <w:rsid w:val="000809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No Spacing"/>
    <w:uiPriority w:val="1"/>
    <w:qFormat/>
    <w:rsid w:val="000809FE"/>
    <w:pPr>
      <w:spacing w:after="0" w:line="240" w:lineRule="auto"/>
    </w:pPr>
    <w:rPr>
      <w:rFonts w:ascii="Times New Roman" w:eastAsia="Times New Roman" w:hAnsi="Times New Roman" w:cs="Times New Roman"/>
      <w:sz w:val="24"/>
      <w:szCs w:val="24"/>
    </w:rPr>
  </w:style>
  <w:style w:type="paragraph" w:styleId="ad">
    <w:name w:val="List Paragraph"/>
    <w:basedOn w:val="a"/>
    <w:uiPriority w:val="99"/>
    <w:qFormat/>
    <w:rsid w:val="000809FE"/>
    <w:pPr>
      <w:ind w:left="720"/>
      <w:contextualSpacing/>
    </w:pPr>
  </w:style>
  <w:style w:type="paragraph" w:customStyle="1" w:styleId="rvps7">
    <w:name w:val="rvps7"/>
    <w:basedOn w:val="a"/>
    <w:rsid w:val="000809F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0"/>
    <w:rsid w:val="000809FE"/>
  </w:style>
  <w:style w:type="paragraph" w:customStyle="1" w:styleId="rvps2">
    <w:name w:val="rvps2"/>
    <w:basedOn w:val="a"/>
    <w:rsid w:val="000809F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0809FE"/>
  </w:style>
  <w:style w:type="paragraph" w:customStyle="1" w:styleId="Default">
    <w:name w:val="Default"/>
    <w:rsid w:val="00967689"/>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e">
    <w:name w:val="Balloon Text"/>
    <w:basedOn w:val="a"/>
    <w:link w:val="af"/>
    <w:uiPriority w:val="99"/>
    <w:semiHidden/>
    <w:unhideWhenUsed/>
    <w:rsid w:val="0096768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67689"/>
    <w:rPr>
      <w:rFonts w:ascii="Tahoma" w:hAnsi="Tahoma" w:cs="Tahoma"/>
      <w:sz w:val="16"/>
      <w:szCs w:val="16"/>
    </w:rPr>
  </w:style>
  <w:style w:type="character" w:customStyle="1" w:styleId="search-hl">
    <w:name w:val="search-hl"/>
    <w:basedOn w:val="a0"/>
    <w:rsid w:val="00012945"/>
  </w:style>
  <w:style w:type="paragraph" w:styleId="af0">
    <w:name w:val="Plain Text"/>
    <w:basedOn w:val="a"/>
    <w:link w:val="af1"/>
    <w:unhideWhenUsed/>
    <w:rsid w:val="006921FC"/>
    <w:pPr>
      <w:spacing w:after="0" w:line="240" w:lineRule="auto"/>
    </w:pPr>
    <w:rPr>
      <w:rFonts w:ascii="Courier New" w:eastAsia="Times New Roman" w:hAnsi="Courier New" w:cs="Times New Roman"/>
      <w:sz w:val="20"/>
      <w:szCs w:val="20"/>
    </w:rPr>
  </w:style>
  <w:style w:type="character" w:customStyle="1" w:styleId="af1">
    <w:name w:val="Текст Знак"/>
    <w:basedOn w:val="a0"/>
    <w:link w:val="af0"/>
    <w:rsid w:val="006921FC"/>
    <w:rPr>
      <w:rFonts w:ascii="Courier New" w:eastAsia="Times New Roman" w:hAnsi="Courier New" w:cs="Times New Roman"/>
      <w:sz w:val="20"/>
      <w:szCs w:val="20"/>
    </w:rPr>
  </w:style>
  <w:style w:type="paragraph" w:styleId="23">
    <w:name w:val="Body Text 2"/>
    <w:basedOn w:val="a"/>
    <w:link w:val="24"/>
    <w:rsid w:val="00377D91"/>
    <w:pPr>
      <w:spacing w:after="120" w:line="480" w:lineRule="auto"/>
    </w:pPr>
    <w:rPr>
      <w:rFonts w:ascii="Times New Roman" w:eastAsia="Times New Roman" w:hAnsi="Times New Roman" w:cs="Times New Roman"/>
      <w:sz w:val="24"/>
      <w:szCs w:val="24"/>
      <w:lang w:val="uk-UA"/>
    </w:rPr>
  </w:style>
  <w:style w:type="character" w:customStyle="1" w:styleId="24">
    <w:name w:val="Основной текст 2 Знак"/>
    <w:basedOn w:val="a0"/>
    <w:link w:val="23"/>
    <w:rsid w:val="00377D91"/>
    <w:rPr>
      <w:rFonts w:ascii="Times New Roman" w:eastAsia="Times New Roman" w:hAnsi="Times New Roman" w:cs="Times New Roman"/>
      <w:sz w:val="24"/>
      <w:szCs w:val="24"/>
      <w:lang w:val="uk-UA"/>
    </w:rPr>
  </w:style>
  <w:style w:type="paragraph" w:styleId="af2">
    <w:name w:val="footer"/>
    <w:basedOn w:val="a"/>
    <w:link w:val="af3"/>
    <w:uiPriority w:val="99"/>
    <w:rsid w:val="00377D91"/>
    <w:pPr>
      <w:tabs>
        <w:tab w:val="center" w:pos="4677"/>
        <w:tab w:val="right" w:pos="9355"/>
      </w:tabs>
      <w:spacing w:after="0" w:line="240" w:lineRule="auto"/>
    </w:pPr>
    <w:rPr>
      <w:rFonts w:ascii="Times New Roman" w:eastAsia="Times New Roman" w:hAnsi="Times New Roman" w:cs="Times New Roman"/>
      <w:sz w:val="24"/>
      <w:szCs w:val="24"/>
      <w:lang w:val="uk-UA"/>
    </w:rPr>
  </w:style>
  <w:style w:type="character" w:customStyle="1" w:styleId="af3">
    <w:name w:val="Нижний колонтитул Знак"/>
    <w:basedOn w:val="a0"/>
    <w:link w:val="af2"/>
    <w:uiPriority w:val="99"/>
    <w:rsid w:val="00377D91"/>
    <w:rPr>
      <w:rFonts w:ascii="Times New Roman" w:eastAsia="Times New Roman" w:hAnsi="Times New Roman" w:cs="Times New Roman"/>
      <w:sz w:val="24"/>
      <w:szCs w:val="24"/>
      <w:lang w:val="uk-UA"/>
    </w:rPr>
  </w:style>
  <w:style w:type="paragraph" w:styleId="af4">
    <w:name w:val="Title"/>
    <w:basedOn w:val="a"/>
    <w:link w:val="af5"/>
    <w:qFormat/>
    <w:rsid w:val="00377D91"/>
    <w:pPr>
      <w:autoSpaceDE w:val="0"/>
      <w:autoSpaceDN w:val="0"/>
      <w:spacing w:after="0" w:line="240" w:lineRule="auto"/>
      <w:jc w:val="center"/>
    </w:pPr>
    <w:rPr>
      <w:rFonts w:ascii="Times New Roman" w:eastAsia="Times New Roman" w:hAnsi="Times New Roman" w:cs="Times New Roman"/>
      <w:b/>
      <w:bCs/>
      <w:sz w:val="32"/>
      <w:szCs w:val="32"/>
      <w:lang w:val="uk-UA"/>
    </w:rPr>
  </w:style>
  <w:style w:type="character" w:customStyle="1" w:styleId="af5">
    <w:name w:val="Название Знак"/>
    <w:basedOn w:val="a0"/>
    <w:link w:val="af4"/>
    <w:rsid w:val="00377D91"/>
    <w:rPr>
      <w:rFonts w:ascii="Times New Roman" w:eastAsia="Times New Roman" w:hAnsi="Times New Roman" w:cs="Times New Roman"/>
      <w:b/>
      <w:bCs/>
      <w:sz w:val="32"/>
      <w:szCs w:val="32"/>
      <w:lang w:val="uk-UA"/>
    </w:rPr>
  </w:style>
  <w:style w:type="paragraph" w:styleId="af6">
    <w:name w:val="Block Text"/>
    <w:basedOn w:val="a"/>
    <w:rsid w:val="00377D91"/>
    <w:pPr>
      <w:tabs>
        <w:tab w:val="left" w:pos="0"/>
      </w:tabs>
      <w:spacing w:after="0" w:line="240" w:lineRule="auto"/>
      <w:ind w:left="113" w:right="57" w:firstLine="607"/>
      <w:jc w:val="both"/>
    </w:pPr>
    <w:rPr>
      <w:rFonts w:ascii="Times New Roman" w:eastAsia="Times New Roman" w:hAnsi="Times New Roman" w:cs="Times New Roman"/>
      <w:kern w:val="28"/>
      <w:sz w:val="28"/>
      <w:szCs w:val="20"/>
    </w:rPr>
  </w:style>
  <w:style w:type="paragraph" w:customStyle="1" w:styleId="af7">
    <w:name w:val="Глава"/>
    <w:basedOn w:val="a6"/>
    <w:rsid w:val="00377D91"/>
    <w:pPr>
      <w:spacing w:after="0" w:line="360" w:lineRule="auto"/>
      <w:ind w:left="1843" w:hanging="1276"/>
    </w:pPr>
    <w:rPr>
      <w:smallCaps/>
      <w:spacing w:val="20"/>
      <w:sz w:val="28"/>
      <w:szCs w:val="20"/>
      <w:lang w:val="ru-RU"/>
    </w:rPr>
  </w:style>
  <w:style w:type="character" w:styleId="af8">
    <w:name w:val="Strong"/>
    <w:basedOn w:val="a0"/>
    <w:uiPriority w:val="99"/>
    <w:qFormat/>
    <w:rsid w:val="00377D91"/>
    <w:rPr>
      <w:b/>
      <w:bCs/>
    </w:rPr>
  </w:style>
  <w:style w:type="character" w:styleId="af9">
    <w:name w:val="Emphasis"/>
    <w:basedOn w:val="a0"/>
    <w:qFormat/>
    <w:rsid w:val="00377D91"/>
    <w:rPr>
      <w:i/>
      <w:iCs/>
    </w:rPr>
  </w:style>
  <w:style w:type="character" w:styleId="HTML">
    <w:name w:val="HTML Typewriter"/>
    <w:basedOn w:val="a0"/>
    <w:rsid w:val="00377D91"/>
    <w:rPr>
      <w:rFonts w:ascii="Courier New" w:eastAsia="Times New Roman" w:hAnsi="Courier New" w:cs="Courier New" w:hint="default"/>
      <w:sz w:val="20"/>
      <w:szCs w:val="20"/>
    </w:rPr>
  </w:style>
  <w:style w:type="character" w:styleId="afa">
    <w:name w:val="page number"/>
    <w:basedOn w:val="a0"/>
    <w:rsid w:val="00377D91"/>
  </w:style>
  <w:style w:type="character" w:customStyle="1" w:styleId="tableref">
    <w:name w:val="tableref"/>
    <w:basedOn w:val="a0"/>
    <w:rsid w:val="00377D91"/>
  </w:style>
  <w:style w:type="paragraph" w:styleId="3">
    <w:name w:val="Body Text 3"/>
    <w:basedOn w:val="a"/>
    <w:link w:val="30"/>
    <w:uiPriority w:val="99"/>
    <w:semiHidden/>
    <w:unhideWhenUsed/>
    <w:rsid w:val="00377D91"/>
    <w:pPr>
      <w:spacing w:after="120"/>
    </w:pPr>
    <w:rPr>
      <w:sz w:val="16"/>
      <w:szCs w:val="16"/>
      <w:lang w:val="uk-UA" w:eastAsia="uk-UA"/>
    </w:rPr>
  </w:style>
  <w:style w:type="character" w:customStyle="1" w:styleId="30">
    <w:name w:val="Основной текст 3 Знак"/>
    <w:basedOn w:val="a0"/>
    <w:link w:val="3"/>
    <w:uiPriority w:val="99"/>
    <w:semiHidden/>
    <w:rsid w:val="00377D91"/>
    <w:rPr>
      <w:sz w:val="16"/>
      <w:szCs w:val="16"/>
      <w:lang w:val="uk-UA" w:eastAsia="uk-UA"/>
    </w:rPr>
  </w:style>
  <w:style w:type="character" w:styleId="afb">
    <w:name w:val="Book Title"/>
    <w:basedOn w:val="a0"/>
    <w:uiPriority w:val="33"/>
    <w:qFormat/>
    <w:rsid w:val="00377D91"/>
    <w:rPr>
      <w:b/>
      <w:bCs/>
      <w:smallCaps/>
      <w:spacing w:val="5"/>
    </w:rPr>
  </w:style>
  <w:style w:type="character" w:customStyle="1" w:styleId="apple-style-span">
    <w:name w:val="apple-style-span"/>
    <w:basedOn w:val="a0"/>
    <w:rsid w:val="00377D91"/>
  </w:style>
  <w:style w:type="character" w:styleId="afc">
    <w:name w:val="Placeholder Text"/>
    <w:basedOn w:val="a0"/>
    <w:uiPriority w:val="99"/>
    <w:semiHidden/>
    <w:rsid w:val="00377D91"/>
    <w:rPr>
      <w:color w:val="808080"/>
    </w:rPr>
  </w:style>
  <w:style w:type="paragraph" w:customStyle="1" w:styleId="11">
    <w:name w:val="Обычный1"/>
    <w:rsid w:val="00377D91"/>
    <w:pPr>
      <w:widowControl w:val="0"/>
      <w:spacing w:after="0" w:line="320" w:lineRule="auto"/>
      <w:ind w:firstLine="420"/>
      <w:jc w:val="both"/>
    </w:pPr>
    <w:rPr>
      <w:rFonts w:ascii="Times New Roman" w:eastAsia="Times New Roman" w:hAnsi="Times New Roman" w:cs="Times New Roman"/>
      <w:snapToGrid w:val="0"/>
      <w:sz w:val="18"/>
      <w:szCs w:val="20"/>
    </w:rPr>
  </w:style>
  <w:style w:type="character" w:customStyle="1" w:styleId="mixed-citation">
    <w:name w:val="mixed-citation"/>
    <w:basedOn w:val="a0"/>
    <w:uiPriority w:val="99"/>
    <w:rsid w:val="00377D91"/>
  </w:style>
  <w:style w:type="character" w:customStyle="1" w:styleId="ref-journal">
    <w:name w:val="ref-journal"/>
    <w:basedOn w:val="a0"/>
    <w:uiPriority w:val="99"/>
    <w:rsid w:val="00377D91"/>
  </w:style>
  <w:style w:type="character" w:customStyle="1" w:styleId="shorttext">
    <w:name w:val="short_text"/>
    <w:basedOn w:val="a0"/>
    <w:rsid w:val="00055185"/>
  </w:style>
  <w:style w:type="paragraph" w:styleId="HTML0">
    <w:name w:val="HTML Preformatted"/>
    <w:basedOn w:val="a"/>
    <w:link w:val="HTML1"/>
    <w:uiPriority w:val="99"/>
    <w:semiHidden/>
    <w:rsid w:val="00D46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D46778"/>
    <w:rPr>
      <w:rFonts w:ascii="Courier New" w:eastAsia="Times New Roman" w:hAnsi="Courier New" w:cs="Courier New"/>
      <w:sz w:val="20"/>
      <w:szCs w:val="20"/>
    </w:rPr>
  </w:style>
  <w:style w:type="character" w:customStyle="1" w:styleId="reference">
    <w:name w:val="reference"/>
    <w:basedOn w:val="a0"/>
    <w:uiPriority w:val="99"/>
    <w:rsid w:val="00D46778"/>
  </w:style>
  <w:style w:type="character" w:customStyle="1" w:styleId="refauthors">
    <w:name w:val="refauthors"/>
    <w:basedOn w:val="a0"/>
    <w:uiPriority w:val="99"/>
    <w:rsid w:val="00D46778"/>
  </w:style>
  <w:style w:type="character" w:customStyle="1" w:styleId="reftitle">
    <w:name w:val="reftitle"/>
    <w:basedOn w:val="a0"/>
    <w:uiPriority w:val="99"/>
    <w:rsid w:val="00D46778"/>
  </w:style>
  <w:style w:type="character" w:customStyle="1" w:styleId="refseriestitle">
    <w:name w:val="refseriestitle"/>
    <w:basedOn w:val="a0"/>
    <w:uiPriority w:val="99"/>
    <w:rsid w:val="00D46778"/>
  </w:style>
  <w:style w:type="character" w:customStyle="1" w:styleId="refseriesdate">
    <w:name w:val="refseriesdate"/>
    <w:basedOn w:val="a0"/>
    <w:uiPriority w:val="99"/>
    <w:rsid w:val="00D46778"/>
  </w:style>
  <w:style w:type="character" w:customStyle="1" w:styleId="refseriesvolume">
    <w:name w:val="refseriesvolume"/>
    <w:basedOn w:val="a0"/>
    <w:uiPriority w:val="99"/>
    <w:rsid w:val="00D46778"/>
  </w:style>
  <w:style w:type="character" w:customStyle="1" w:styleId="refpages">
    <w:name w:val="refpages"/>
    <w:basedOn w:val="a0"/>
    <w:uiPriority w:val="99"/>
    <w:rsid w:val="00D46778"/>
  </w:style>
  <w:style w:type="character" w:customStyle="1" w:styleId="refcomment">
    <w:name w:val="refcomment"/>
    <w:basedOn w:val="a0"/>
    <w:uiPriority w:val="99"/>
    <w:rsid w:val="00D46778"/>
  </w:style>
  <w:style w:type="paragraph" w:customStyle="1" w:styleId="reftext">
    <w:name w:val="reftext"/>
    <w:basedOn w:val="a"/>
    <w:uiPriority w:val="99"/>
    <w:rsid w:val="00D4677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name-surname">
    <w:name w:val="cit-name-surname"/>
    <w:basedOn w:val="a0"/>
    <w:uiPriority w:val="99"/>
    <w:rsid w:val="00D46778"/>
  </w:style>
  <w:style w:type="character" w:customStyle="1" w:styleId="cit-name-given-names">
    <w:name w:val="cit-name-given-names"/>
    <w:basedOn w:val="a0"/>
    <w:uiPriority w:val="99"/>
    <w:rsid w:val="00D46778"/>
  </w:style>
  <w:style w:type="character" w:customStyle="1" w:styleId="cit-article-title">
    <w:name w:val="cit-article-title"/>
    <w:basedOn w:val="a0"/>
    <w:uiPriority w:val="99"/>
    <w:rsid w:val="00D46778"/>
  </w:style>
  <w:style w:type="character" w:customStyle="1" w:styleId="cit-pub-date">
    <w:name w:val="cit-pub-date"/>
    <w:basedOn w:val="a0"/>
    <w:uiPriority w:val="99"/>
    <w:rsid w:val="00D46778"/>
  </w:style>
  <w:style w:type="character" w:customStyle="1" w:styleId="cit-vol">
    <w:name w:val="cit-vol"/>
    <w:basedOn w:val="a0"/>
    <w:uiPriority w:val="99"/>
    <w:rsid w:val="00D46778"/>
  </w:style>
  <w:style w:type="character" w:customStyle="1" w:styleId="cit-fpage">
    <w:name w:val="cit-fpage"/>
    <w:basedOn w:val="a0"/>
    <w:uiPriority w:val="99"/>
    <w:rsid w:val="00D46778"/>
  </w:style>
  <w:style w:type="character" w:customStyle="1" w:styleId="cit-lpage">
    <w:name w:val="cit-lpage"/>
    <w:basedOn w:val="a0"/>
    <w:uiPriority w:val="99"/>
    <w:rsid w:val="00D46778"/>
  </w:style>
  <w:style w:type="character" w:customStyle="1" w:styleId="cit-publ-loc">
    <w:name w:val="cit-publ-loc"/>
    <w:basedOn w:val="a0"/>
    <w:uiPriority w:val="99"/>
    <w:rsid w:val="00D46778"/>
  </w:style>
  <w:style w:type="character" w:customStyle="1" w:styleId="cit-publ-name">
    <w:name w:val="cit-publ-name"/>
    <w:basedOn w:val="a0"/>
    <w:uiPriority w:val="99"/>
    <w:rsid w:val="00D46778"/>
  </w:style>
  <w:style w:type="character" w:customStyle="1" w:styleId="cit-pub-id-scheme">
    <w:name w:val="cit-pub-id-scheme"/>
    <w:basedOn w:val="a0"/>
    <w:uiPriority w:val="99"/>
    <w:rsid w:val="00D46778"/>
  </w:style>
  <w:style w:type="character" w:customStyle="1" w:styleId="cit-pub-id">
    <w:name w:val="cit-pub-id"/>
    <w:basedOn w:val="a0"/>
    <w:uiPriority w:val="99"/>
    <w:rsid w:val="00D46778"/>
  </w:style>
  <w:style w:type="character" w:customStyle="1" w:styleId="cit-issue">
    <w:name w:val="cit-issue"/>
    <w:basedOn w:val="a0"/>
    <w:uiPriority w:val="99"/>
    <w:rsid w:val="00D46778"/>
  </w:style>
</w:styles>
</file>

<file path=word/webSettings.xml><?xml version="1.0" encoding="utf-8"?>
<w:webSettings xmlns:r="http://schemas.openxmlformats.org/officeDocument/2006/relationships" xmlns:w="http://schemas.openxmlformats.org/wordprocessingml/2006/main">
  <w:divs>
    <w:div w:id="788208809">
      <w:bodyDiv w:val="1"/>
      <w:marLeft w:val="0"/>
      <w:marRight w:val="0"/>
      <w:marTop w:val="0"/>
      <w:marBottom w:val="0"/>
      <w:divBdr>
        <w:top w:val="none" w:sz="0" w:space="0" w:color="auto"/>
        <w:left w:val="none" w:sz="0" w:space="0" w:color="auto"/>
        <w:bottom w:val="none" w:sz="0" w:space="0" w:color="auto"/>
        <w:right w:val="none" w:sz="0" w:space="0" w:color="auto"/>
      </w:divBdr>
    </w:div>
    <w:div w:id="1091126952">
      <w:bodyDiv w:val="1"/>
      <w:marLeft w:val="0"/>
      <w:marRight w:val="0"/>
      <w:marTop w:val="0"/>
      <w:marBottom w:val="0"/>
      <w:divBdr>
        <w:top w:val="none" w:sz="0" w:space="0" w:color="auto"/>
        <w:left w:val="none" w:sz="0" w:space="0" w:color="auto"/>
        <w:bottom w:val="none" w:sz="0" w:space="0" w:color="auto"/>
        <w:right w:val="none" w:sz="0" w:space="0" w:color="auto"/>
      </w:divBdr>
    </w:div>
    <w:div w:id="1199397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117" Type="http://schemas.openxmlformats.org/officeDocument/2006/relationships/image" Target="media/image42.png"/><Relationship Id="rId21" Type="http://schemas.openxmlformats.org/officeDocument/2006/relationships/image" Target="media/image11.jpeg"/><Relationship Id="rId42" Type="http://schemas.openxmlformats.org/officeDocument/2006/relationships/oleObject" Target="embeddings/oleObject1.bin"/><Relationship Id="rId47" Type="http://schemas.openxmlformats.org/officeDocument/2006/relationships/image" Target="media/image29.emf"/><Relationship Id="rId63" Type="http://schemas.openxmlformats.org/officeDocument/2006/relationships/chart" Target="charts/chart4.xml"/><Relationship Id="rId68" Type="http://schemas.openxmlformats.org/officeDocument/2006/relationships/oleObject" Target="embeddings/oleObject10.bin"/><Relationship Id="rId84" Type="http://schemas.openxmlformats.org/officeDocument/2006/relationships/chart" Target="charts/chart21.xml"/><Relationship Id="rId89" Type="http://schemas.openxmlformats.org/officeDocument/2006/relationships/hyperlink" Target="https://www.ncbi.nlm.nih.gov/pubmed/?term=Creager%20MA%5BAuthor%5D&amp;cauthor=true&amp;cauthor_uid=21947297" TargetMode="External"/><Relationship Id="rId112" Type="http://schemas.openxmlformats.org/officeDocument/2006/relationships/hyperlink" Target="https://www.ncbi.nlm.nih.gov/pubmed/12241713" TargetMode="External"/><Relationship Id="rId16" Type="http://schemas.openxmlformats.org/officeDocument/2006/relationships/image" Target="media/image6.jpeg"/><Relationship Id="rId107" Type="http://schemas.openxmlformats.org/officeDocument/2006/relationships/hyperlink" Target="https://www.ncbi.nlm.nih.gov/pubmed/?term=Akashi%20H%5BAuthor%5D&amp;cauthor=true&amp;cauthor_uid=12241713" TargetMode="External"/><Relationship Id="rId11" Type="http://schemas.openxmlformats.org/officeDocument/2006/relationships/image" Target="media/image2.png"/><Relationship Id="rId32" Type="http://schemas.openxmlformats.org/officeDocument/2006/relationships/image" Target="media/image22.png"/><Relationship Id="rId37" Type="http://schemas.openxmlformats.org/officeDocument/2006/relationships/diagramLayout" Target="diagrams/layout1.xml"/><Relationship Id="rId53" Type="http://schemas.openxmlformats.org/officeDocument/2006/relationships/image" Target="media/image32.emf"/><Relationship Id="rId58" Type="http://schemas.openxmlformats.org/officeDocument/2006/relationships/chart" Target="charts/chart1.xml"/><Relationship Id="rId74" Type="http://schemas.openxmlformats.org/officeDocument/2006/relationships/chart" Target="charts/chart11.xml"/><Relationship Id="rId79" Type="http://schemas.openxmlformats.org/officeDocument/2006/relationships/chart" Target="charts/chart16.xml"/><Relationship Id="rId102" Type="http://schemas.openxmlformats.org/officeDocument/2006/relationships/hyperlink" Target="https://www.ncbi.nlm.nih.gov/pubmed/?term=Shintani%20S%5BAuthor%5D&amp;cauthor=true&amp;cauthor_uid=12241713" TargetMode="External"/><Relationship Id="rId5" Type="http://schemas.openxmlformats.org/officeDocument/2006/relationships/webSettings" Target="webSettings.xml"/><Relationship Id="rId61" Type="http://schemas.openxmlformats.org/officeDocument/2006/relationships/chart" Target="charts/chart2.xml"/><Relationship Id="rId82" Type="http://schemas.openxmlformats.org/officeDocument/2006/relationships/chart" Target="charts/chart19.xml"/><Relationship Id="rId90" Type="http://schemas.openxmlformats.org/officeDocument/2006/relationships/hyperlink" Target="https://www.ncbi.nlm.nih.gov/pubmed/?term=Olin%20JW%5BAuthor%5D&amp;cauthor=true&amp;cauthor_uid=21947297" TargetMode="External"/><Relationship Id="rId95" Type="http://schemas.openxmlformats.org/officeDocument/2006/relationships/hyperlink" Target="https://www.ncbi.nlm.nih.gov/pubmed/?term=Annex%20BH%5BAuthor%5D&amp;cauthor=true&amp;cauthor_uid=21947297"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emf"/><Relationship Id="rId43" Type="http://schemas.openxmlformats.org/officeDocument/2006/relationships/image" Target="media/image27.emf"/><Relationship Id="rId48" Type="http://schemas.openxmlformats.org/officeDocument/2006/relationships/oleObject" Target="embeddings/oleObject4.bin"/><Relationship Id="rId56" Type="http://schemas.openxmlformats.org/officeDocument/2006/relationships/image" Target="media/image34.emf"/><Relationship Id="rId64" Type="http://schemas.openxmlformats.org/officeDocument/2006/relationships/chart" Target="charts/chart5.xml"/><Relationship Id="rId69" Type="http://schemas.openxmlformats.org/officeDocument/2006/relationships/chart" Target="charts/chart6.xml"/><Relationship Id="rId77" Type="http://schemas.openxmlformats.org/officeDocument/2006/relationships/chart" Target="charts/chart14.xml"/><Relationship Id="rId100" Type="http://schemas.openxmlformats.org/officeDocument/2006/relationships/hyperlink" Target="https://www.ncbi.nlm.nih.gov/pubmed/?term=Murohara%20T%5BAuthor%5D&amp;cauthor=true&amp;cauthor_uid=12241713" TargetMode="External"/><Relationship Id="rId105" Type="http://schemas.openxmlformats.org/officeDocument/2006/relationships/hyperlink" Target="https://www.ncbi.nlm.nih.gov/pubmed/?term=Kishimoto%20Y%5BAuthor%5D&amp;cauthor=true&amp;cauthor_uid=12241713" TargetMode="External"/><Relationship Id="rId113" Type="http://schemas.openxmlformats.org/officeDocument/2006/relationships/image" Target="media/image38.png"/><Relationship Id="rId118" Type="http://schemas.openxmlformats.org/officeDocument/2006/relationships/image" Target="media/image43.png"/><Relationship Id="rId8" Type="http://schemas.openxmlformats.org/officeDocument/2006/relationships/hyperlink" Target="http://znate.ru/docs/2937/0/1/index.html" TargetMode="External"/><Relationship Id="rId51" Type="http://schemas.openxmlformats.org/officeDocument/2006/relationships/image" Target="media/image31.emf"/><Relationship Id="rId72" Type="http://schemas.openxmlformats.org/officeDocument/2006/relationships/chart" Target="charts/chart9.xml"/><Relationship Id="rId80" Type="http://schemas.openxmlformats.org/officeDocument/2006/relationships/chart" Target="charts/chart17.xml"/><Relationship Id="rId85" Type="http://schemas.openxmlformats.org/officeDocument/2006/relationships/chart" Target="charts/chart22.xml"/><Relationship Id="rId93" Type="http://schemas.openxmlformats.org/officeDocument/2006/relationships/hyperlink" Target="https://www.ncbi.nlm.nih.gov/pubmed/?term=Henry%20TD%5BAuthor%5D&amp;cauthor=true&amp;cauthor_uid=21947297" TargetMode="External"/><Relationship Id="rId98" Type="http://schemas.openxmlformats.org/officeDocument/2006/relationships/hyperlink" Target="https://www.ncbi.nlm.nih.gov/pubmed/?term=Tateishi-Yuyama%20E%5BAuthor%5D&amp;cauthor=true&amp;cauthor_uid=12241713" TargetMode="External"/><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_____Microsoft_Office_Excel_97-20032.xls"/><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diagramQuickStyle" Target="diagrams/quickStyle1.xml"/><Relationship Id="rId46" Type="http://schemas.openxmlformats.org/officeDocument/2006/relationships/oleObject" Target="embeddings/oleObject3.bin"/><Relationship Id="rId59" Type="http://schemas.openxmlformats.org/officeDocument/2006/relationships/image" Target="media/image35.emf"/><Relationship Id="rId67" Type="http://schemas.openxmlformats.org/officeDocument/2006/relationships/image" Target="media/image37.emf"/><Relationship Id="rId103" Type="http://schemas.openxmlformats.org/officeDocument/2006/relationships/hyperlink" Target="https://www.ncbi.nlm.nih.gov/pubmed/?term=Masaki%20H%5BAuthor%5D&amp;cauthor=true&amp;cauthor_uid=12241713" TargetMode="External"/><Relationship Id="rId108" Type="http://schemas.openxmlformats.org/officeDocument/2006/relationships/hyperlink" Target="https://www.ncbi.nlm.nih.gov/pubmed/?term=Shimada%20K%5BAuthor%5D&amp;cauthor=true&amp;cauthor_uid=12241713" TargetMode="External"/><Relationship Id="rId116" Type="http://schemas.openxmlformats.org/officeDocument/2006/relationships/image" Target="media/image41.png"/><Relationship Id="rId20" Type="http://schemas.openxmlformats.org/officeDocument/2006/relationships/image" Target="media/image10.jpeg"/><Relationship Id="rId41" Type="http://schemas.openxmlformats.org/officeDocument/2006/relationships/image" Target="media/image26.emf"/><Relationship Id="rId54" Type="http://schemas.openxmlformats.org/officeDocument/2006/relationships/oleObject" Target="embeddings/oleObject7.bin"/><Relationship Id="rId62" Type="http://schemas.openxmlformats.org/officeDocument/2006/relationships/chart" Target="charts/chart3.xml"/><Relationship Id="rId70" Type="http://schemas.openxmlformats.org/officeDocument/2006/relationships/chart" Target="charts/chart7.xml"/><Relationship Id="rId75" Type="http://schemas.openxmlformats.org/officeDocument/2006/relationships/chart" Target="charts/chart12.xml"/><Relationship Id="rId83" Type="http://schemas.openxmlformats.org/officeDocument/2006/relationships/chart" Target="charts/chart20.xml"/><Relationship Id="rId88" Type="http://schemas.openxmlformats.org/officeDocument/2006/relationships/chart" Target="charts/chart25.xml"/><Relationship Id="rId91" Type="http://schemas.openxmlformats.org/officeDocument/2006/relationships/hyperlink" Target="https://www.ncbi.nlm.nih.gov/pubmed/?term=Belch%20JJ%5BAuthor%5D&amp;cauthor=true&amp;cauthor_uid=21947297" TargetMode="External"/><Relationship Id="rId96" Type="http://schemas.openxmlformats.org/officeDocument/2006/relationships/hyperlink" Target="https://www.ncbi.nlm.nih.gov/pubmed/?term=Hiatt%20WR%5BAuthor%5D&amp;cauthor=true&amp;cauthor_uid=21947297" TargetMode="External"/><Relationship Id="rId111" Type="http://schemas.openxmlformats.org/officeDocument/2006/relationships/hyperlink" Target="https://www.ncbi.nlm.nih.gov/pubmed/?term=Therapeutic%20Angiogenesis%20using%20Cell%20Transplantation%20(TACT)%20Study%20Investigators%5BCorporate%20Author%5D"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diagramData" Target="diagrams/data1.xml"/><Relationship Id="rId49" Type="http://schemas.openxmlformats.org/officeDocument/2006/relationships/image" Target="media/image30.emf"/><Relationship Id="rId57" Type="http://schemas.openxmlformats.org/officeDocument/2006/relationships/oleObject" Target="embeddings/oleObject8.bin"/><Relationship Id="rId106" Type="http://schemas.openxmlformats.org/officeDocument/2006/relationships/hyperlink" Target="https://www.ncbi.nlm.nih.gov/pubmed/?term=Yoshimoto%20K%5BAuthor%5D&amp;cauthor=true&amp;cauthor_uid=12241713" TargetMode="External"/><Relationship Id="rId114" Type="http://schemas.openxmlformats.org/officeDocument/2006/relationships/image" Target="media/image39.png"/><Relationship Id="rId119" Type="http://schemas.openxmlformats.org/officeDocument/2006/relationships/image" Target="media/image44.png"/><Relationship Id="rId10" Type="http://schemas.openxmlformats.org/officeDocument/2006/relationships/oleObject" Target="embeddings/_____Microsoft_Office_Excel_97-20031.xls"/><Relationship Id="rId31" Type="http://schemas.openxmlformats.org/officeDocument/2006/relationships/image" Target="media/image21.png"/><Relationship Id="rId44" Type="http://schemas.openxmlformats.org/officeDocument/2006/relationships/oleObject" Target="embeddings/oleObject2.bin"/><Relationship Id="rId52" Type="http://schemas.openxmlformats.org/officeDocument/2006/relationships/oleObject" Target="embeddings/oleObject6.bin"/><Relationship Id="rId60" Type="http://schemas.openxmlformats.org/officeDocument/2006/relationships/oleObject" Target="embeddings/_____Microsoft_Office_Excel_97-20033.xls"/><Relationship Id="rId65" Type="http://schemas.openxmlformats.org/officeDocument/2006/relationships/image" Target="media/image36.emf"/><Relationship Id="rId73" Type="http://schemas.openxmlformats.org/officeDocument/2006/relationships/chart" Target="charts/chart10.xml"/><Relationship Id="rId78" Type="http://schemas.openxmlformats.org/officeDocument/2006/relationships/chart" Target="charts/chart15.xml"/><Relationship Id="rId81" Type="http://schemas.openxmlformats.org/officeDocument/2006/relationships/chart" Target="charts/chart18.xml"/><Relationship Id="rId86" Type="http://schemas.openxmlformats.org/officeDocument/2006/relationships/chart" Target="charts/chart23.xml"/><Relationship Id="rId94" Type="http://schemas.openxmlformats.org/officeDocument/2006/relationships/hyperlink" Target="https://www.ncbi.nlm.nih.gov/pubmed/?term=Rajagopalan%20S%5BAuthor%5D&amp;cauthor=true&amp;cauthor_uid=21947297" TargetMode="External"/><Relationship Id="rId99" Type="http://schemas.openxmlformats.org/officeDocument/2006/relationships/hyperlink" Target="https://www.ncbi.nlm.nih.gov/pubmed/?term=Matsubara%20H%5BAuthor%5D&amp;cauthor=true&amp;cauthor_uid=12241713" TargetMode="External"/><Relationship Id="rId101" Type="http://schemas.openxmlformats.org/officeDocument/2006/relationships/hyperlink" Target="https://www.ncbi.nlm.nih.gov/pubmed/?term=Ikeda%20U%5BAuthor%5D&amp;cauthor=true&amp;cauthor_uid=12241713" TargetMode="External"/><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diagramColors" Target="diagrams/colors1.xml"/><Relationship Id="rId109" Type="http://schemas.openxmlformats.org/officeDocument/2006/relationships/hyperlink" Target="https://www.ncbi.nlm.nih.gov/pubmed/?term=Iwasaka%20T%5BAuthor%5D&amp;cauthor=true&amp;cauthor_uid=12241713" TargetMode="External"/><Relationship Id="rId34" Type="http://schemas.openxmlformats.org/officeDocument/2006/relationships/image" Target="media/image24.png"/><Relationship Id="rId50" Type="http://schemas.openxmlformats.org/officeDocument/2006/relationships/oleObject" Target="embeddings/oleObject5.bin"/><Relationship Id="rId55" Type="http://schemas.openxmlformats.org/officeDocument/2006/relationships/image" Target="media/image33.png"/><Relationship Id="rId76" Type="http://schemas.openxmlformats.org/officeDocument/2006/relationships/chart" Target="charts/chart13.xml"/><Relationship Id="rId97" Type="http://schemas.openxmlformats.org/officeDocument/2006/relationships/hyperlink" Target="https://www.ncbi.nlm.nih.gov/pubmed/21947297" TargetMode="External"/><Relationship Id="rId104" Type="http://schemas.openxmlformats.org/officeDocument/2006/relationships/hyperlink" Target="https://www.ncbi.nlm.nih.gov/pubmed/?term=Amano%20K%5BAuthor%5D&amp;cauthor=true&amp;cauthor_uid=12241713" TargetMode="External"/><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chart" Target="charts/chart8.xml"/><Relationship Id="rId92" Type="http://schemas.openxmlformats.org/officeDocument/2006/relationships/hyperlink" Target="https://www.ncbi.nlm.nih.gov/pubmed/?term=Moneta%20GL%5BAuthor%5D&amp;cauthor=true&amp;cauthor_uid=21947297" TargetMode="External"/><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png"/><Relationship Id="rId40" Type="http://schemas.microsoft.com/office/2007/relationships/diagramDrawing" Target="diagrams/drawing1.xml"/><Relationship Id="rId45" Type="http://schemas.openxmlformats.org/officeDocument/2006/relationships/image" Target="media/image28.emf"/><Relationship Id="rId66" Type="http://schemas.openxmlformats.org/officeDocument/2006/relationships/oleObject" Target="embeddings/oleObject9.bin"/><Relationship Id="rId87" Type="http://schemas.openxmlformats.org/officeDocument/2006/relationships/chart" Target="charts/chart24.xml"/><Relationship Id="rId110" Type="http://schemas.openxmlformats.org/officeDocument/2006/relationships/hyperlink" Target="https://www.ncbi.nlm.nih.gov/pubmed/?term=Imaizumi%20T%5BAuthor%5D&amp;cauthor=true&amp;cauthor_uid=12241713" TargetMode="External"/><Relationship Id="rId115" Type="http://schemas.openxmlformats.org/officeDocument/2006/relationships/image" Target="media/image40.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Microsoft_Office_Excel2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ІІІ ступiнь ішемії</c:v>
                </c:pt>
              </c:strCache>
            </c:strRef>
          </c:tx>
          <c:cat>
            <c:strRef>
              <c:f>Лист1!$A$2:$A$4</c:f>
              <c:strCache>
                <c:ptCount val="3"/>
                <c:pt idx="0">
                  <c:v>Вихідний рівень</c:v>
                </c:pt>
                <c:pt idx="1">
                  <c:v>6 місяців</c:v>
                </c:pt>
                <c:pt idx="2">
                  <c:v>12 місяців</c:v>
                </c:pt>
              </c:strCache>
            </c:strRef>
          </c:cat>
          <c:val>
            <c:numRef>
              <c:f>Лист1!$B$2:$B$4</c:f>
              <c:numCache>
                <c:formatCode>General</c:formatCode>
                <c:ptCount val="3"/>
                <c:pt idx="0">
                  <c:v>7.6</c:v>
                </c:pt>
                <c:pt idx="1">
                  <c:v>6.5</c:v>
                </c:pt>
                <c:pt idx="2">
                  <c:v>6.2</c:v>
                </c:pt>
              </c:numCache>
            </c:numRef>
          </c:val>
        </c:ser>
        <c:ser>
          <c:idx val="1"/>
          <c:order val="1"/>
          <c:tx>
            <c:strRef>
              <c:f>Лист1!$C$1</c:f>
              <c:strCache>
                <c:ptCount val="1"/>
                <c:pt idx="0">
                  <c:v>IV ступiнь ішемії</c:v>
                </c:pt>
              </c:strCache>
            </c:strRef>
          </c:tx>
          <c:cat>
            <c:strRef>
              <c:f>Лист1!$A$2:$A$4</c:f>
              <c:strCache>
                <c:ptCount val="3"/>
                <c:pt idx="0">
                  <c:v>Вихідний рівень</c:v>
                </c:pt>
                <c:pt idx="1">
                  <c:v>6 місяців</c:v>
                </c:pt>
                <c:pt idx="2">
                  <c:v>12 місяців</c:v>
                </c:pt>
              </c:strCache>
            </c:strRef>
          </c:cat>
          <c:val>
            <c:numRef>
              <c:f>Лист1!$C$2:$C$4</c:f>
              <c:numCache>
                <c:formatCode>General</c:formatCode>
                <c:ptCount val="3"/>
                <c:pt idx="0">
                  <c:v>7.8</c:v>
                </c:pt>
                <c:pt idx="1">
                  <c:v>6.6</c:v>
                </c:pt>
                <c:pt idx="2">
                  <c:v>6.5</c:v>
                </c:pt>
              </c:numCache>
            </c:numRef>
          </c:val>
        </c:ser>
        <c:ser>
          <c:idx val="2"/>
          <c:order val="2"/>
          <c:tx>
            <c:strRef>
              <c:f>Лист1!$D$1</c:f>
              <c:strCache>
                <c:ptCount val="1"/>
                <c:pt idx="0">
                  <c:v>з ЦД</c:v>
                </c:pt>
              </c:strCache>
            </c:strRef>
          </c:tx>
          <c:cat>
            <c:strRef>
              <c:f>Лист1!$A$2:$A$4</c:f>
              <c:strCache>
                <c:ptCount val="3"/>
                <c:pt idx="0">
                  <c:v>Вихідний рівень</c:v>
                </c:pt>
                <c:pt idx="1">
                  <c:v>6 місяців</c:v>
                </c:pt>
                <c:pt idx="2">
                  <c:v>12 місяців</c:v>
                </c:pt>
              </c:strCache>
            </c:strRef>
          </c:cat>
          <c:val>
            <c:numRef>
              <c:f>Лист1!$D$2:$D$4</c:f>
              <c:numCache>
                <c:formatCode>General</c:formatCode>
                <c:ptCount val="3"/>
                <c:pt idx="0">
                  <c:v>8.3000000000000007</c:v>
                </c:pt>
                <c:pt idx="1">
                  <c:v>6.8</c:v>
                </c:pt>
                <c:pt idx="2">
                  <c:v>6.7</c:v>
                </c:pt>
              </c:numCache>
            </c:numRef>
          </c:val>
        </c:ser>
        <c:ser>
          <c:idx val="3"/>
          <c:order val="3"/>
          <c:tx>
            <c:strRef>
              <c:f>Лист1!$E$1</c:f>
              <c:strCache>
                <c:ptCount val="1"/>
                <c:pt idx="0">
                  <c:v>без ЦД</c:v>
                </c:pt>
              </c:strCache>
            </c:strRef>
          </c:tx>
          <c:cat>
            <c:strRef>
              <c:f>Лист1!$A$2:$A$4</c:f>
              <c:strCache>
                <c:ptCount val="3"/>
                <c:pt idx="0">
                  <c:v>Вихідний рівень</c:v>
                </c:pt>
                <c:pt idx="1">
                  <c:v>6 місяців</c:v>
                </c:pt>
                <c:pt idx="2">
                  <c:v>12 місяців</c:v>
                </c:pt>
              </c:strCache>
            </c:strRef>
          </c:cat>
          <c:val>
            <c:numRef>
              <c:f>Лист1!$E$2:$E$4</c:f>
              <c:numCache>
                <c:formatCode>General</c:formatCode>
                <c:ptCount val="3"/>
                <c:pt idx="0">
                  <c:v>7.4</c:v>
                </c:pt>
                <c:pt idx="1">
                  <c:v>6.3</c:v>
                </c:pt>
                <c:pt idx="2">
                  <c:v>6.1</c:v>
                </c:pt>
              </c:numCache>
            </c:numRef>
          </c:val>
        </c:ser>
        <c:marker val="1"/>
        <c:axId val="71147520"/>
        <c:axId val="71149056"/>
      </c:lineChart>
      <c:catAx>
        <c:axId val="71147520"/>
        <c:scaling>
          <c:orientation val="minMax"/>
        </c:scaling>
        <c:axPos val="b"/>
        <c:numFmt formatCode="General" sourceLinked="1"/>
        <c:tickLblPos val="nextTo"/>
        <c:txPr>
          <a:bodyPr/>
          <a:lstStyle/>
          <a:p>
            <a:pPr>
              <a:defRPr lang="ru-RU" sz="992">
                <a:latin typeface="Times New Roman" pitchFamily="18" charset="0"/>
                <a:cs typeface="Times New Roman" pitchFamily="18" charset="0"/>
              </a:defRPr>
            </a:pPr>
            <a:endParaRPr lang="ru-RU"/>
          </a:p>
        </c:txPr>
        <c:crossAx val="71149056"/>
        <c:crosses val="autoZero"/>
        <c:auto val="1"/>
        <c:lblAlgn val="ctr"/>
        <c:lblOffset val="100"/>
      </c:catAx>
      <c:valAx>
        <c:axId val="71149056"/>
        <c:scaling>
          <c:orientation val="minMax"/>
        </c:scaling>
        <c:axPos val="l"/>
        <c:majorGridlines/>
        <c:numFmt formatCode="General" sourceLinked="1"/>
        <c:tickLblPos val="nextTo"/>
        <c:txPr>
          <a:bodyPr/>
          <a:lstStyle/>
          <a:p>
            <a:pPr>
              <a:defRPr lang="ru-RU" sz="992">
                <a:latin typeface="Times New Roman" pitchFamily="18" charset="0"/>
                <a:cs typeface="Times New Roman" pitchFamily="18" charset="0"/>
              </a:defRPr>
            </a:pPr>
            <a:endParaRPr lang="ru-RU"/>
          </a:p>
        </c:txPr>
        <c:crossAx val="71147520"/>
        <c:crosses val="autoZero"/>
        <c:crossBetween val="between"/>
      </c:valAx>
    </c:plotArea>
    <c:legend>
      <c:legendPos val="r"/>
      <c:txPr>
        <a:bodyPr/>
        <a:lstStyle/>
        <a:p>
          <a:pPr>
            <a:defRPr lang="ru-RU" sz="992">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566508126789286"/>
          <c:y val="5.6114755845302539E-2"/>
          <c:w val="0.84433491873210931"/>
          <c:h val="0.48379140148022953"/>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5.7</c:v>
                </c:pt>
                <c:pt idx="1">
                  <c:v>3.2</c:v>
                </c:pt>
                <c:pt idx="2">
                  <c:v>2.2000000000000002</c:v>
                </c:pt>
                <c:pt idx="3">
                  <c:v>2</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5.8</c:v>
                </c:pt>
                <c:pt idx="1">
                  <c:v>3.3</c:v>
                </c:pt>
                <c:pt idx="2">
                  <c:v>1.9000000000000001</c:v>
                </c:pt>
                <c:pt idx="3">
                  <c:v>2.4</c:v>
                </c:pt>
              </c:numCache>
            </c:numRef>
          </c:val>
        </c:ser>
        <c:marker val="1"/>
        <c:axId val="74488064"/>
        <c:axId val="74498048"/>
      </c:lineChart>
      <c:catAx>
        <c:axId val="74488064"/>
        <c:scaling>
          <c:orientation val="minMax"/>
        </c:scaling>
        <c:axPos val="b"/>
        <c:numFmt formatCode="General" sourceLinked="1"/>
        <c:tickLblPos val="nextTo"/>
        <c:spPr>
          <a:ln>
            <a:noFill/>
          </a:ln>
        </c:spPr>
        <c:txPr>
          <a:bodyPr/>
          <a:lstStyle/>
          <a:p>
            <a:pPr>
              <a:defRPr lang="ru-RU" sz="1400">
                <a:latin typeface="Times New Roman" pitchFamily="18" charset="0"/>
                <a:cs typeface="Times New Roman" pitchFamily="18" charset="0"/>
              </a:defRPr>
            </a:pPr>
            <a:endParaRPr lang="ru-RU"/>
          </a:p>
        </c:txPr>
        <c:crossAx val="74498048"/>
        <c:crosses val="autoZero"/>
        <c:auto val="1"/>
        <c:lblAlgn val="ctr"/>
        <c:lblOffset val="100"/>
      </c:catAx>
      <c:valAx>
        <c:axId val="74498048"/>
        <c:scaling>
          <c:orientation val="minMax"/>
        </c:scaling>
        <c:axPos val="l"/>
        <c:majorGridlines/>
        <c:numFmt formatCode="General" sourceLinked="1"/>
        <c:tickLblPos val="nextTo"/>
        <c:txPr>
          <a:bodyPr/>
          <a:lstStyle/>
          <a:p>
            <a:pPr>
              <a:defRPr lang="ru-RU" sz="1200">
                <a:latin typeface="Times New Roman" pitchFamily="18" charset="0"/>
                <a:cs typeface="Times New Roman" pitchFamily="18" charset="0"/>
              </a:defRPr>
            </a:pPr>
            <a:endParaRPr lang="ru-RU"/>
          </a:p>
        </c:txPr>
        <c:crossAx val="74488064"/>
        <c:crosses val="autoZero"/>
        <c:crossBetween val="between"/>
      </c:valAx>
    </c:plotArea>
    <c:plotVisOnly val="1"/>
    <c:dispBlanksAs val="gap"/>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81231568198044"/>
          <c:y val="5.9803307792093134E-2"/>
          <c:w val="0.85187684318020063"/>
          <c:h val="0.49173349431322605"/>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5.5</c:v>
                </c:pt>
                <c:pt idx="1">
                  <c:v>3.2</c:v>
                </c:pt>
                <c:pt idx="2">
                  <c:v>2</c:v>
                </c:pt>
                <c:pt idx="3">
                  <c:v>2.2000000000000002</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5.3</c:v>
                </c:pt>
                <c:pt idx="1">
                  <c:v>3.1</c:v>
                </c:pt>
                <c:pt idx="2">
                  <c:v>2.4</c:v>
                </c:pt>
                <c:pt idx="3">
                  <c:v>2.8</c:v>
                </c:pt>
              </c:numCache>
            </c:numRef>
          </c:val>
        </c:ser>
        <c:marker val="1"/>
        <c:axId val="74657152"/>
        <c:axId val="74658944"/>
      </c:lineChart>
      <c:catAx>
        <c:axId val="74657152"/>
        <c:scaling>
          <c:orientation val="minMax"/>
        </c:scaling>
        <c:axPos val="b"/>
        <c:numFmt formatCode="General" sourceLinked="1"/>
        <c:tickLblPos val="nextTo"/>
        <c:txPr>
          <a:bodyPr/>
          <a:lstStyle/>
          <a:p>
            <a:pPr>
              <a:defRPr lang="ru-RU" sz="1401">
                <a:latin typeface="Times New Roman" pitchFamily="18" charset="0"/>
                <a:cs typeface="Times New Roman" pitchFamily="18" charset="0"/>
              </a:defRPr>
            </a:pPr>
            <a:endParaRPr lang="ru-RU"/>
          </a:p>
        </c:txPr>
        <c:crossAx val="74658944"/>
        <c:crosses val="autoZero"/>
        <c:auto val="1"/>
        <c:lblAlgn val="ctr"/>
        <c:lblOffset val="100"/>
      </c:catAx>
      <c:valAx>
        <c:axId val="74658944"/>
        <c:scaling>
          <c:orientation val="minMax"/>
        </c:scaling>
        <c:axPos val="l"/>
        <c:majorGridlines/>
        <c:numFmt formatCode="General" sourceLinked="1"/>
        <c:tickLblPos val="nextTo"/>
        <c:txPr>
          <a:bodyPr/>
          <a:lstStyle/>
          <a:p>
            <a:pPr>
              <a:defRPr lang="ru-RU" sz="1401">
                <a:latin typeface="Times New Roman" pitchFamily="18" charset="0"/>
                <a:cs typeface="Times New Roman" pitchFamily="18" charset="0"/>
              </a:defRPr>
            </a:pPr>
            <a:endParaRPr lang="ru-RU"/>
          </a:p>
        </c:txPr>
        <c:crossAx val="74657152"/>
        <c:crosses val="autoZero"/>
        <c:crossBetween val="between"/>
      </c:valAx>
    </c:plotArea>
    <c:legend>
      <c:legendPos val="r"/>
      <c:layout>
        <c:manualLayout>
          <c:xMode val="edge"/>
          <c:yMode val="edge"/>
          <c:x val="0.44681578519499343"/>
          <c:y val="4.1511811023622072E-2"/>
          <c:w val="0.54833530764406668"/>
          <c:h val="0.17435883014623224"/>
        </c:manualLayout>
      </c:layout>
      <c:txPr>
        <a:bodyPr/>
        <a:lstStyle/>
        <a:p>
          <a:pPr>
            <a:defRPr lang="ru-RU" sz="1401">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038305814734396"/>
          <c:y val="7.0209844267451665E-2"/>
          <c:w val="0.82382166982304383"/>
          <c:h val="0.47015245437622777"/>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5.3</c:v>
                </c:pt>
                <c:pt idx="1">
                  <c:v>3.4</c:v>
                </c:pt>
                <c:pt idx="2">
                  <c:v>2.2999999999999998</c:v>
                </c:pt>
                <c:pt idx="3">
                  <c:v>2.4</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4.9000000000000004</c:v>
                </c:pt>
                <c:pt idx="1">
                  <c:v>3.1</c:v>
                </c:pt>
                <c:pt idx="2">
                  <c:v>2.9</c:v>
                </c:pt>
                <c:pt idx="3">
                  <c:v>3.5</c:v>
                </c:pt>
              </c:numCache>
            </c:numRef>
          </c:val>
        </c:ser>
        <c:marker val="1"/>
        <c:axId val="74708096"/>
        <c:axId val="74709632"/>
      </c:lineChart>
      <c:catAx>
        <c:axId val="74708096"/>
        <c:scaling>
          <c:orientation val="minMax"/>
        </c:scaling>
        <c:axPos val="b"/>
        <c:numFmt formatCode="General" sourceLinked="1"/>
        <c:tickLblPos val="nextTo"/>
        <c:spPr>
          <a:ln>
            <a:noFill/>
          </a:ln>
        </c:spPr>
        <c:txPr>
          <a:bodyPr/>
          <a:lstStyle/>
          <a:p>
            <a:pPr>
              <a:defRPr lang="ru-RU" sz="1399">
                <a:latin typeface="Times New Roman" pitchFamily="18" charset="0"/>
                <a:cs typeface="Times New Roman" pitchFamily="18" charset="0"/>
              </a:defRPr>
            </a:pPr>
            <a:endParaRPr lang="ru-RU"/>
          </a:p>
        </c:txPr>
        <c:crossAx val="74709632"/>
        <c:crosses val="autoZero"/>
        <c:auto val="1"/>
        <c:lblAlgn val="ctr"/>
        <c:lblOffset val="100"/>
      </c:catAx>
      <c:valAx>
        <c:axId val="74709632"/>
        <c:scaling>
          <c:orientation val="minMax"/>
        </c:scaling>
        <c:axPos val="l"/>
        <c:majorGridlines/>
        <c:numFmt formatCode="General" sourceLinked="1"/>
        <c:tickLblPos val="nextTo"/>
        <c:txPr>
          <a:bodyPr/>
          <a:lstStyle/>
          <a:p>
            <a:pPr>
              <a:defRPr lang="ru-RU" sz="1599">
                <a:latin typeface="Times New Roman" pitchFamily="18" charset="0"/>
                <a:cs typeface="Times New Roman" pitchFamily="18" charset="0"/>
              </a:defRPr>
            </a:pPr>
            <a:endParaRPr lang="ru-RU"/>
          </a:p>
        </c:txPr>
        <c:crossAx val="74708096"/>
        <c:crosses val="autoZero"/>
        <c:crossBetween val="between"/>
      </c:valAx>
    </c:plotArea>
    <c:plotVisOnly val="1"/>
    <c:dispBlanksAs val="gap"/>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5.5</c:v>
                </c:pt>
                <c:pt idx="1">
                  <c:v>3.2</c:v>
                </c:pt>
                <c:pt idx="2">
                  <c:v>2</c:v>
                </c:pt>
                <c:pt idx="3">
                  <c:v>2.2000000000000002</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5.3</c:v>
                </c:pt>
                <c:pt idx="1">
                  <c:v>3.1</c:v>
                </c:pt>
                <c:pt idx="2">
                  <c:v>2.4</c:v>
                </c:pt>
                <c:pt idx="3">
                  <c:v>2.8</c:v>
                </c:pt>
              </c:numCache>
            </c:numRef>
          </c:val>
        </c:ser>
        <c:marker val="1"/>
        <c:axId val="74815744"/>
        <c:axId val="74817536"/>
      </c:lineChart>
      <c:catAx>
        <c:axId val="74815744"/>
        <c:scaling>
          <c:orientation val="minMax"/>
        </c:scaling>
        <c:axPos val="b"/>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4817536"/>
        <c:crosses val="autoZero"/>
        <c:auto val="1"/>
        <c:lblAlgn val="ctr"/>
        <c:lblOffset val="100"/>
      </c:catAx>
      <c:valAx>
        <c:axId val="74817536"/>
        <c:scaling>
          <c:orientation val="minMax"/>
        </c:scaling>
        <c:axPos val="l"/>
        <c:majorGridlines/>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4815744"/>
        <c:crosses val="autoZero"/>
        <c:crossBetween val="between"/>
      </c:valAx>
    </c:plotArea>
    <c:plotVisOnly val="1"/>
    <c:dispBlanksAs val="gap"/>
  </c:chart>
  <c:spPr>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263052969180317"/>
          <c:y val="5.9803307792092981E-2"/>
          <c:w val="0.80979446003281663"/>
          <c:h val="0.45640855400014796"/>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0.00</c:formatCode>
                <c:ptCount val="4"/>
                <c:pt idx="0" formatCode="General">
                  <c:v>31.150000000000031</c:v>
                </c:pt>
                <c:pt idx="1">
                  <c:v>72.430000000000007</c:v>
                </c:pt>
                <c:pt idx="2" formatCode="General">
                  <c:v>74.69</c:v>
                </c:pt>
                <c:pt idx="3" formatCode="General">
                  <c:v>78.47</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33.21</c:v>
                </c:pt>
                <c:pt idx="1">
                  <c:v>73.8</c:v>
                </c:pt>
                <c:pt idx="2">
                  <c:v>72.900000000000006</c:v>
                </c:pt>
                <c:pt idx="3">
                  <c:v>76.599999999999994</c:v>
                </c:pt>
              </c:numCache>
            </c:numRef>
          </c:val>
        </c:ser>
        <c:marker val="1"/>
        <c:axId val="74976640"/>
        <c:axId val="74978432"/>
      </c:lineChart>
      <c:catAx>
        <c:axId val="74976640"/>
        <c:scaling>
          <c:orientation val="minMax"/>
        </c:scaling>
        <c:axPos val="b"/>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4978432"/>
        <c:crosses val="autoZero"/>
        <c:auto val="1"/>
        <c:lblAlgn val="ctr"/>
        <c:lblOffset val="100"/>
      </c:catAx>
      <c:valAx>
        <c:axId val="74978432"/>
        <c:scaling>
          <c:orientation val="minMax"/>
        </c:scaling>
        <c:axPos val="l"/>
        <c:majorGridlines/>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4976640"/>
        <c:crosses val="autoZero"/>
        <c:crossBetween val="between"/>
      </c:valAx>
    </c:plotArea>
    <c:legend>
      <c:legendPos val="r"/>
      <c:layout>
        <c:manualLayout>
          <c:xMode val="edge"/>
          <c:yMode val="edge"/>
          <c:x val="0.44681559005751242"/>
          <c:y val="0.78437115289414461"/>
          <c:w val="0.54833526686907164"/>
          <c:h val="0.17894434014253649"/>
        </c:manualLayout>
      </c:layout>
      <c:txPr>
        <a:bodyPr/>
        <a:lstStyle/>
        <a:p>
          <a:pPr>
            <a:defRPr lang="ru-RU" sz="1396">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28.45</c:v>
                </c:pt>
                <c:pt idx="1">
                  <c:v>64.61</c:v>
                </c:pt>
                <c:pt idx="2">
                  <c:v>66.239999999999995</c:v>
                </c:pt>
                <c:pt idx="3">
                  <c:v>69.819999999999993</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31.4</c:v>
                </c:pt>
                <c:pt idx="1">
                  <c:v>66.2</c:v>
                </c:pt>
                <c:pt idx="2">
                  <c:v>65.430000000000007</c:v>
                </c:pt>
                <c:pt idx="3">
                  <c:v>52.8</c:v>
                </c:pt>
              </c:numCache>
            </c:numRef>
          </c:val>
        </c:ser>
        <c:marker val="1"/>
        <c:axId val="75175040"/>
        <c:axId val="75176576"/>
      </c:lineChart>
      <c:catAx>
        <c:axId val="75175040"/>
        <c:scaling>
          <c:orientation val="minMax"/>
        </c:scaling>
        <c:axPos val="b"/>
        <c:numFmt formatCode="General" sourceLinked="1"/>
        <c:tickLblPos val="nextTo"/>
        <c:spPr>
          <a:ln>
            <a:noFill/>
          </a:ln>
        </c:spPr>
        <c:txPr>
          <a:bodyPr/>
          <a:lstStyle/>
          <a:p>
            <a:pPr>
              <a:defRPr lang="ru-RU" sz="1398">
                <a:latin typeface="Times New Roman" pitchFamily="18" charset="0"/>
                <a:cs typeface="Times New Roman" pitchFamily="18" charset="0"/>
              </a:defRPr>
            </a:pPr>
            <a:endParaRPr lang="ru-RU"/>
          </a:p>
        </c:txPr>
        <c:crossAx val="75176576"/>
        <c:crosses val="autoZero"/>
        <c:auto val="1"/>
        <c:lblAlgn val="ctr"/>
        <c:lblOffset val="100"/>
      </c:catAx>
      <c:valAx>
        <c:axId val="75176576"/>
        <c:scaling>
          <c:orientation val="minMax"/>
        </c:scaling>
        <c:axPos val="l"/>
        <c:majorGridlines/>
        <c:numFmt formatCode="General" sourceLinked="1"/>
        <c:tickLblPos val="nextTo"/>
        <c:txPr>
          <a:bodyPr/>
          <a:lstStyle/>
          <a:p>
            <a:pPr>
              <a:defRPr lang="ru-RU" sz="1198">
                <a:latin typeface="Times New Roman" pitchFamily="18" charset="0"/>
                <a:cs typeface="Times New Roman" pitchFamily="18" charset="0"/>
              </a:defRPr>
            </a:pPr>
            <a:endParaRPr lang="ru-RU"/>
          </a:p>
        </c:txPr>
        <c:crossAx val="75175040"/>
        <c:crosses val="autoZero"/>
        <c:crossBetween val="between"/>
      </c:valAx>
    </c:plotArea>
    <c:plotVisOnly val="1"/>
    <c:dispBlanksAs val="gap"/>
  </c:chart>
  <c:spPr>
    <a:ln>
      <a:no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038319655000809"/>
          <c:y val="6.7315383808550094E-2"/>
          <c:w val="0.82382166982304383"/>
          <c:h val="0.47015245437622777"/>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31.2</c:v>
                </c:pt>
                <c:pt idx="1">
                  <c:v>45.43</c:v>
                </c:pt>
                <c:pt idx="2">
                  <c:v>67.31</c:v>
                </c:pt>
                <c:pt idx="3">
                  <c:v>68.84</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32.6</c:v>
                </c:pt>
                <c:pt idx="1">
                  <c:v>46.6</c:v>
                </c:pt>
                <c:pt idx="2">
                  <c:v>54.4</c:v>
                </c:pt>
                <c:pt idx="3">
                  <c:v>45.32</c:v>
                </c:pt>
              </c:numCache>
            </c:numRef>
          </c:val>
        </c:ser>
        <c:marker val="1"/>
        <c:axId val="75208960"/>
        <c:axId val="75210752"/>
      </c:lineChart>
      <c:catAx>
        <c:axId val="75208960"/>
        <c:scaling>
          <c:orientation val="minMax"/>
        </c:scaling>
        <c:axPos val="b"/>
        <c:numFmt formatCode="General" sourceLinked="1"/>
        <c:tickLblPos val="nextTo"/>
        <c:spPr>
          <a:ln>
            <a:noFill/>
          </a:ln>
        </c:spPr>
        <c:txPr>
          <a:bodyPr/>
          <a:lstStyle/>
          <a:p>
            <a:pPr>
              <a:defRPr lang="ru-RU" sz="1396">
                <a:latin typeface="Times New Roman" pitchFamily="18" charset="0"/>
                <a:cs typeface="Times New Roman" pitchFamily="18" charset="0"/>
              </a:defRPr>
            </a:pPr>
            <a:endParaRPr lang="ru-RU"/>
          </a:p>
        </c:txPr>
        <c:crossAx val="75210752"/>
        <c:crosses val="autoZero"/>
        <c:auto val="1"/>
        <c:lblAlgn val="ctr"/>
        <c:lblOffset val="100"/>
      </c:catAx>
      <c:valAx>
        <c:axId val="75210752"/>
        <c:scaling>
          <c:orientation val="minMax"/>
        </c:scaling>
        <c:axPos val="l"/>
        <c:majorGridlines/>
        <c:numFmt formatCode="General" sourceLinked="1"/>
        <c:tickLblPos val="nextTo"/>
        <c:txPr>
          <a:bodyPr/>
          <a:lstStyle/>
          <a:p>
            <a:pPr>
              <a:defRPr lang="ru-RU" sz="1595">
                <a:latin typeface="Times New Roman" pitchFamily="18" charset="0"/>
                <a:cs typeface="Times New Roman" pitchFamily="18" charset="0"/>
              </a:defRPr>
            </a:pPr>
            <a:endParaRPr lang="ru-RU"/>
          </a:p>
        </c:txPr>
        <c:crossAx val="75208960"/>
        <c:crosses val="autoZero"/>
        <c:crossBetween val="between"/>
      </c:valAx>
    </c:plotArea>
    <c:plotVisOnly val="1"/>
    <c:dispBlanksAs val="gap"/>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29.25</c:v>
                </c:pt>
                <c:pt idx="1">
                  <c:v>48.32</c:v>
                </c:pt>
                <c:pt idx="2">
                  <c:v>64.31</c:v>
                </c:pt>
                <c:pt idx="3">
                  <c:v>62.839999999999996</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31.9</c:v>
                </c:pt>
                <c:pt idx="1">
                  <c:v>48.2</c:v>
                </c:pt>
                <c:pt idx="2">
                  <c:v>55.4</c:v>
                </c:pt>
                <c:pt idx="3">
                  <c:v>53.2</c:v>
                </c:pt>
              </c:numCache>
            </c:numRef>
          </c:val>
        </c:ser>
        <c:marker val="1"/>
        <c:axId val="75230592"/>
        <c:axId val="75232384"/>
      </c:lineChart>
      <c:catAx>
        <c:axId val="75230592"/>
        <c:scaling>
          <c:orientation val="minMax"/>
        </c:scaling>
        <c:axPos val="b"/>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5232384"/>
        <c:crosses val="autoZero"/>
        <c:auto val="1"/>
        <c:lblAlgn val="ctr"/>
        <c:lblOffset val="100"/>
      </c:catAx>
      <c:valAx>
        <c:axId val="75232384"/>
        <c:scaling>
          <c:orientation val="minMax"/>
        </c:scaling>
        <c:axPos val="l"/>
        <c:majorGridlines/>
        <c:numFmt formatCode="General" sourceLinked="1"/>
        <c:tickLblPos val="nextTo"/>
        <c:txPr>
          <a:bodyPr/>
          <a:lstStyle/>
          <a:p>
            <a:pPr>
              <a:defRPr lang="ru-RU" sz="1396">
                <a:latin typeface="Times New Roman" pitchFamily="18" charset="0"/>
                <a:cs typeface="Times New Roman" pitchFamily="18" charset="0"/>
              </a:defRPr>
            </a:pPr>
            <a:endParaRPr lang="ru-RU"/>
          </a:p>
        </c:txPr>
        <c:crossAx val="75230592"/>
        <c:crosses val="autoZero"/>
        <c:crossBetween val="between"/>
      </c:valAx>
    </c:plotArea>
    <c:plotVisOnly val="1"/>
    <c:dispBlanksAs val="gap"/>
  </c:chart>
  <c:spPr>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263052969180317"/>
          <c:y val="3.6913685847870192E-2"/>
          <c:w val="0.80979446003281663"/>
          <c:h val="0.51567409947179565"/>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34.290000000000013</c:v>
                </c:pt>
                <c:pt idx="1">
                  <c:v>64.5</c:v>
                </c:pt>
                <c:pt idx="2">
                  <c:v>75.64</c:v>
                </c:pt>
                <c:pt idx="3">
                  <c:v>78.400000000000006</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28.82</c:v>
                </c:pt>
                <c:pt idx="1">
                  <c:v>63.1</c:v>
                </c:pt>
                <c:pt idx="2">
                  <c:v>69.86999999999999</c:v>
                </c:pt>
                <c:pt idx="3">
                  <c:v>68.3</c:v>
                </c:pt>
              </c:numCache>
            </c:numRef>
          </c:val>
        </c:ser>
        <c:marker val="1"/>
        <c:axId val="75293056"/>
        <c:axId val="75294592"/>
      </c:lineChart>
      <c:catAx>
        <c:axId val="75293056"/>
        <c:scaling>
          <c:orientation val="minMax"/>
        </c:scaling>
        <c:axPos val="b"/>
        <c:numFmt formatCode="General" sourceLinked="1"/>
        <c:tickLblPos val="nextTo"/>
        <c:txPr>
          <a:bodyPr/>
          <a:lstStyle/>
          <a:p>
            <a:pPr>
              <a:defRPr lang="ru-RU" sz="1397">
                <a:latin typeface="Times New Roman" pitchFamily="18" charset="0"/>
                <a:cs typeface="Times New Roman" pitchFamily="18" charset="0"/>
              </a:defRPr>
            </a:pPr>
            <a:endParaRPr lang="ru-RU"/>
          </a:p>
        </c:txPr>
        <c:crossAx val="75294592"/>
        <c:crosses val="autoZero"/>
        <c:auto val="1"/>
        <c:lblAlgn val="ctr"/>
        <c:lblOffset val="100"/>
      </c:catAx>
      <c:valAx>
        <c:axId val="75294592"/>
        <c:scaling>
          <c:orientation val="minMax"/>
        </c:scaling>
        <c:axPos val="l"/>
        <c:majorGridlines/>
        <c:numFmt formatCode="General" sourceLinked="1"/>
        <c:tickLblPos val="nextTo"/>
        <c:txPr>
          <a:bodyPr/>
          <a:lstStyle/>
          <a:p>
            <a:pPr>
              <a:defRPr lang="ru-RU" sz="1397">
                <a:latin typeface="Times New Roman" pitchFamily="18" charset="0"/>
                <a:cs typeface="Times New Roman" pitchFamily="18" charset="0"/>
              </a:defRPr>
            </a:pPr>
            <a:endParaRPr lang="ru-RU"/>
          </a:p>
        </c:txPr>
        <c:crossAx val="75293056"/>
        <c:crosses val="autoZero"/>
        <c:crossBetween val="between"/>
      </c:valAx>
    </c:plotArea>
    <c:legend>
      <c:legendPos val="r"/>
      <c:layout>
        <c:manualLayout>
          <c:xMode val="edge"/>
          <c:yMode val="edge"/>
          <c:x val="0.44681559005751242"/>
          <c:y val="0.82105565985746443"/>
          <c:w val="0.54833526686907164"/>
          <c:h val="0.17894434014253649"/>
        </c:manualLayout>
      </c:layout>
      <c:txPr>
        <a:bodyPr/>
        <a:lstStyle/>
        <a:p>
          <a:pPr>
            <a:defRPr lang="ru-RU" sz="1397">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106304967255998"/>
          <c:y val="3.1640302155317671E-2"/>
          <c:w val="0.80299834101443102"/>
          <c:h val="0.52094748316434791"/>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34.33</c:v>
                </c:pt>
                <c:pt idx="1">
                  <c:v>78.400000000000006</c:v>
                </c:pt>
                <c:pt idx="2">
                  <c:v>65.569999999999993</c:v>
                </c:pt>
                <c:pt idx="3">
                  <c:v>67.5</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34.24</c:v>
                </c:pt>
                <c:pt idx="1">
                  <c:v>77.56</c:v>
                </c:pt>
                <c:pt idx="2">
                  <c:v>67.739999999999995</c:v>
                </c:pt>
                <c:pt idx="3">
                  <c:v>64.900000000000006</c:v>
                </c:pt>
              </c:numCache>
            </c:numRef>
          </c:val>
        </c:ser>
        <c:marker val="1"/>
        <c:axId val="75532160"/>
        <c:axId val="75533696"/>
      </c:lineChart>
      <c:catAx>
        <c:axId val="75532160"/>
        <c:scaling>
          <c:orientation val="minMax"/>
        </c:scaling>
        <c:axPos val="b"/>
        <c:numFmt formatCode="General" sourceLinked="1"/>
        <c:tickLblPos val="nextTo"/>
        <c:spPr>
          <a:ln>
            <a:noFill/>
          </a:ln>
        </c:spPr>
        <c:txPr>
          <a:bodyPr/>
          <a:lstStyle/>
          <a:p>
            <a:pPr>
              <a:defRPr lang="ru-RU" sz="1398">
                <a:latin typeface="Times New Roman" pitchFamily="18" charset="0"/>
                <a:cs typeface="Times New Roman" pitchFamily="18" charset="0"/>
              </a:defRPr>
            </a:pPr>
            <a:endParaRPr lang="ru-RU"/>
          </a:p>
        </c:txPr>
        <c:crossAx val="75533696"/>
        <c:crosses val="autoZero"/>
        <c:auto val="1"/>
        <c:lblAlgn val="ctr"/>
        <c:lblOffset val="100"/>
      </c:catAx>
      <c:valAx>
        <c:axId val="75533696"/>
        <c:scaling>
          <c:orientation val="minMax"/>
        </c:scaling>
        <c:axPos val="l"/>
        <c:majorGridlines/>
        <c:numFmt formatCode="General" sourceLinked="1"/>
        <c:tickLblPos val="nextTo"/>
        <c:txPr>
          <a:bodyPr/>
          <a:lstStyle/>
          <a:p>
            <a:pPr>
              <a:defRPr lang="ru-RU" sz="1198">
                <a:latin typeface="Times New Roman" pitchFamily="18" charset="0"/>
                <a:cs typeface="Times New Roman" pitchFamily="18" charset="0"/>
              </a:defRPr>
            </a:pPr>
            <a:endParaRPr lang="ru-RU"/>
          </a:p>
        </c:txPr>
        <c:crossAx val="75532160"/>
        <c:crosses val="autoZero"/>
        <c:crossBetween val="between"/>
      </c:valAx>
    </c:plotArea>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9633027522936005E-2"/>
          <c:y val="4.4910179640718584E-2"/>
          <c:w val="0.56146772032709358"/>
          <c:h val="0.68693278100899158"/>
        </c:manualLayout>
      </c:layout>
      <c:lineChart>
        <c:grouping val="standard"/>
        <c:ser>
          <c:idx val="0"/>
          <c:order val="0"/>
          <c:tx>
            <c:strRef>
              <c:f>Лист1!$B$1</c:f>
              <c:strCache>
                <c:ptCount val="1"/>
                <c:pt idx="0">
                  <c:v>Загальногруповий показник</c:v>
                </c:pt>
              </c:strCache>
            </c:strRef>
          </c:tx>
          <c:cat>
            <c:strRef>
              <c:f>Лист1!$A$2:$A$4</c:f>
              <c:strCache>
                <c:ptCount val="3"/>
                <c:pt idx="0">
                  <c:v>Вихідний рівень</c:v>
                </c:pt>
                <c:pt idx="1">
                  <c:v>6 місяців</c:v>
                </c:pt>
                <c:pt idx="2">
                  <c:v>12 місяців</c:v>
                </c:pt>
              </c:strCache>
            </c:strRef>
          </c:cat>
          <c:val>
            <c:numRef>
              <c:f>Лист1!$B$2:$B$4</c:f>
              <c:numCache>
                <c:formatCode>General</c:formatCode>
                <c:ptCount val="3"/>
                <c:pt idx="0">
                  <c:v>8.427999999999999</c:v>
                </c:pt>
                <c:pt idx="1">
                  <c:v>5.6929999999999854</c:v>
                </c:pt>
                <c:pt idx="2">
                  <c:v>5.8569999999999975</c:v>
                </c:pt>
              </c:numCache>
            </c:numRef>
          </c:val>
        </c:ser>
        <c:ser>
          <c:idx val="1"/>
          <c:order val="1"/>
          <c:tx>
            <c:strRef>
              <c:f>Лист1!$C$1</c:f>
              <c:strCache>
                <c:ptCount val="1"/>
                <c:pt idx="0">
                  <c:v> ІІІ ступінь ішемії</c:v>
                </c:pt>
              </c:strCache>
            </c:strRef>
          </c:tx>
          <c:cat>
            <c:strRef>
              <c:f>Лист1!$A$2:$A$4</c:f>
              <c:strCache>
                <c:ptCount val="3"/>
                <c:pt idx="0">
                  <c:v>Вихідний рівень</c:v>
                </c:pt>
                <c:pt idx="1">
                  <c:v>6 місяців</c:v>
                </c:pt>
                <c:pt idx="2">
                  <c:v>12 місяців</c:v>
                </c:pt>
              </c:strCache>
            </c:strRef>
          </c:cat>
          <c:val>
            <c:numRef>
              <c:f>Лист1!$C$2:$C$4</c:f>
              <c:numCache>
                <c:formatCode>General</c:formatCode>
                <c:ptCount val="3"/>
                <c:pt idx="0">
                  <c:v>8.69</c:v>
                </c:pt>
                <c:pt idx="1">
                  <c:v>6.1</c:v>
                </c:pt>
                <c:pt idx="2">
                  <c:v>5.8780000000000001</c:v>
                </c:pt>
              </c:numCache>
            </c:numRef>
          </c:val>
        </c:ser>
        <c:ser>
          <c:idx val="2"/>
          <c:order val="2"/>
          <c:tx>
            <c:strRef>
              <c:f>Лист1!$D$1</c:f>
              <c:strCache>
                <c:ptCount val="1"/>
                <c:pt idx="0">
                  <c:v>IV ступінь ішемії</c:v>
                </c:pt>
              </c:strCache>
            </c:strRef>
          </c:tx>
          <c:cat>
            <c:strRef>
              <c:f>Лист1!$A$2:$A$4</c:f>
              <c:strCache>
                <c:ptCount val="3"/>
                <c:pt idx="0">
                  <c:v>Вихідний рівень</c:v>
                </c:pt>
                <c:pt idx="1">
                  <c:v>6 місяців</c:v>
                </c:pt>
                <c:pt idx="2">
                  <c:v>12 місяців</c:v>
                </c:pt>
              </c:strCache>
            </c:strRef>
          </c:cat>
          <c:val>
            <c:numRef>
              <c:f>Лист1!$D$2:$D$4</c:f>
              <c:numCache>
                <c:formatCode>General</c:formatCode>
                <c:ptCount val="3"/>
                <c:pt idx="0">
                  <c:v>8.3390000000000004</c:v>
                </c:pt>
                <c:pt idx="1">
                  <c:v>5.5</c:v>
                </c:pt>
                <c:pt idx="2">
                  <c:v>5.758</c:v>
                </c:pt>
              </c:numCache>
            </c:numRef>
          </c:val>
        </c:ser>
        <c:ser>
          <c:idx val="3"/>
          <c:order val="3"/>
          <c:tx>
            <c:strRef>
              <c:f>Лист1!$E$1</c:f>
              <c:strCache>
                <c:ptCount val="1"/>
                <c:pt idx="0">
                  <c:v>з ЦД</c:v>
                </c:pt>
              </c:strCache>
            </c:strRef>
          </c:tx>
          <c:cat>
            <c:strRef>
              <c:f>Лист1!$A$2:$A$4</c:f>
              <c:strCache>
                <c:ptCount val="3"/>
                <c:pt idx="0">
                  <c:v>Вихідний рівень</c:v>
                </c:pt>
                <c:pt idx="1">
                  <c:v>6 місяців</c:v>
                </c:pt>
                <c:pt idx="2">
                  <c:v>12 місяців</c:v>
                </c:pt>
              </c:strCache>
            </c:strRef>
          </c:cat>
          <c:val>
            <c:numRef>
              <c:f>Лист1!$E$2:$E$4</c:f>
              <c:numCache>
                <c:formatCode>General</c:formatCode>
                <c:ptCount val="3"/>
                <c:pt idx="0">
                  <c:v>8.1670000000000016</c:v>
                </c:pt>
                <c:pt idx="1">
                  <c:v>6.133</c:v>
                </c:pt>
                <c:pt idx="2">
                  <c:v>4.8249999999999842</c:v>
                </c:pt>
              </c:numCache>
            </c:numRef>
          </c:val>
        </c:ser>
        <c:ser>
          <c:idx val="4"/>
          <c:order val="4"/>
          <c:tx>
            <c:strRef>
              <c:f>Лист1!$F$1</c:f>
              <c:strCache>
                <c:ptCount val="1"/>
                <c:pt idx="0">
                  <c:v>без ЦД</c:v>
                </c:pt>
              </c:strCache>
            </c:strRef>
          </c:tx>
          <c:cat>
            <c:strRef>
              <c:f>Лист1!$A$2:$A$4</c:f>
              <c:strCache>
                <c:ptCount val="3"/>
                <c:pt idx="0">
                  <c:v>Вихідний рівень</c:v>
                </c:pt>
                <c:pt idx="1">
                  <c:v>6 місяців</c:v>
                </c:pt>
                <c:pt idx="2">
                  <c:v>12 місяців</c:v>
                </c:pt>
              </c:strCache>
            </c:strRef>
          </c:cat>
          <c:val>
            <c:numRef>
              <c:f>Лист1!$F$2:$F$4</c:f>
              <c:numCache>
                <c:formatCode>General</c:formatCode>
                <c:ptCount val="3"/>
                <c:pt idx="0">
                  <c:v>8.6120000000000001</c:v>
                </c:pt>
                <c:pt idx="1">
                  <c:v>6.1249999999999813</c:v>
                </c:pt>
                <c:pt idx="2">
                  <c:v>6.6310000000000002</c:v>
                </c:pt>
              </c:numCache>
            </c:numRef>
          </c:val>
        </c:ser>
        <c:marker val="1"/>
        <c:axId val="67633152"/>
        <c:axId val="67634688"/>
      </c:lineChart>
      <c:catAx>
        <c:axId val="67633152"/>
        <c:scaling>
          <c:orientation val="minMax"/>
        </c:scaling>
        <c:axPos val="b"/>
        <c:numFmt formatCode="General" sourceLinked="1"/>
        <c:tickLblPos val="nextTo"/>
        <c:txPr>
          <a:bodyPr/>
          <a:lstStyle/>
          <a:p>
            <a:pPr>
              <a:defRPr lang="ru-RU" sz="1400">
                <a:latin typeface="Times New Roman" pitchFamily="18" charset="0"/>
                <a:cs typeface="Times New Roman" pitchFamily="18" charset="0"/>
              </a:defRPr>
            </a:pPr>
            <a:endParaRPr lang="ru-RU"/>
          </a:p>
        </c:txPr>
        <c:crossAx val="67634688"/>
        <c:crosses val="autoZero"/>
        <c:auto val="1"/>
        <c:lblAlgn val="ctr"/>
        <c:lblOffset val="100"/>
      </c:catAx>
      <c:valAx>
        <c:axId val="67634688"/>
        <c:scaling>
          <c:orientation val="minMax"/>
        </c:scaling>
        <c:axPos val="l"/>
        <c:majorGridlines/>
        <c:numFmt formatCode="General" sourceLinked="1"/>
        <c:tickLblPos val="nextTo"/>
        <c:txPr>
          <a:bodyPr/>
          <a:lstStyle/>
          <a:p>
            <a:pPr>
              <a:defRPr lang="ru-RU" sz="1400">
                <a:latin typeface="Times New Roman" pitchFamily="18" charset="0"/>
                <a:cs typeface="Times New Roman" pitchFamily="18" charset="0"/>
              </a:defRPr>
            </a:pPr>
            <a:endParaRPr lang="ru-RU"/>
          </a:p>
        </c:txPr>
        <c:crossAx val="67633152"/>
        <c:crosses val="autoZero"/>
        <c:crossBetween val="between"/>
      </c:valAx>
    </c:plotArea>
    <c:legend>
      <c:legendPos val="r"/>
      <c:layout>
        <c:manualLayout>
          <c:xMode val="edge"/>
          <c:yMode val="edge"/>
          <c:x val="0.63471012752619571"/>
          <c:y val="0.16238816190469019"/>
          <c:w val="0.35306761163281647"/>
          <c:h val="0.55178476920028396"/>
        </c:manualLayout>
      </c:layout>
      <c:txPr>
        <a:bodyPr/>
        <a:lstStyle/>
        <a:p>
          <a:pPr>
            <a:defRPr lang="ru-RU" sz="1400">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038319655000817"/>
          <c:y val="6.7315383808550094E-2"/>
          <c:w val="0.82382166982304383"/>
          <c:h val="0.43143187029655988"/>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33.800000000000004</c:v>
                </c:pt>
                <c:pt idx="1">
                  <c:v>47.43</c:v>
                </c:pt>
                <c:pt idx="2">
                  <c:v>52.2</c:v>
                </c:pt>
                <c:pt idx="3">
                  <c:v>61.230000000000011</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36.130000000000003</c:v>
                </c:pt>
                <c:pt idx="1">
                  <c:v>44.65</c:v>
                </c:pt>
                <c:pt idx="2">
                  <c:v>43.24</c:v>
                </c:pt>
                <c:pt idx="3">
                  <c:v>42.57</c:v>
                </c:pt>
              </c:numCache>
            </c:numRef>
          </c:val>
        </c:ser>
        <c:marker val="1"/>
        <c:axId val="75660288"/>
        <c:axId val="75670272"/>
      </c:lineChart>
      <c:catAx>
        <c:axId val="75660288"/>
        <c:scaling>
          <c:orientation val="minMax"/>
        </c:scaling>
        <c:axPos val="b"/>
        <c:numFmt formatCode="General" sourceLinked="1"/>
        <c:tickLblPos val="nextTo"/>
        <c:spPr>
          <a:ln>
            <a:noFill/>
          </a:ln>
        </c:spPr>
        <c:txPr>
          <a:bodyPr/>
          <a:lstStyle/>
          <a:p>
            <a:pPr>
              <a:defRPr lang="ru-RU" sz="1399">
                <a:latin typeface="Times New Roman" pitchFamily="18" charset="0"/>
                <a:cs typeface="Times New Roman" pitchFamily="18" charset="0"/>
              </a:defRPr>
            </a:pPr>
            <a:endParaRPr lang="ru-RU"/>
          </a:p>
        </c:txPr>
        <c:crossAx val="75670272"/>
        <c:crosses val="autoZero"/>
        <c:auto val="1"/>
        <c:lblAlgn val="ctr"/>
        <c:lblOffset val="100"/>
      </c:catAx>
      <c:valAx>
        <c:axId val="75670272"/>
        <c:scaling>
          <c:orientation val="minMax"/>
        </c:scaling>
        <c:axPos val="l"/>
        <c:majorGridlines/>
        <c:numFmt formatCode="General" sourceLinked="1"/>
        <c:tickLblPos val="nextTo"/>
        <c:txPr>
          <a:bodyPr/>
          <a:lstStyle/>
          <a:p>
            <a:pPr>
              <a:defRPr lang="ru-RU" sz="1598">
                <a:latin typeface="Times New Roman" pitchFamily="18" charset="0"/>
                <a:cs typeface="Times New Roman" pitchFamily="18" charset="0"/>
              </a:defRPr>
            </a:pPr>
            <a:endParaRPr lang="ru-RU"/>
          </a:p>
        </c:txPr>
        <c:crossAx val="75660288"/>
        <c:crosses val="autoZero"/>
        <c:crossBetween val="between"/>
      </c:valAx>
    </c:plotArea>
    <c:plotVisOnly val="1"/>
    <c:dispBlanksAs val="gap"/>
  </c:chart>
  <c:spPr>
    <a:ln>
      <a:noFill/>
    </a:ln>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442177811949806"/>
          <c:y val="6.1131652057676712E-2"/>
          <c:w val="0.79955818125636169"/>
          <c:h val="0.43116622981041924"/>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32.720000000000013</c:v>
                </c:pt>
                <c:pt idx="1">
                  <c:v>54.7</c:v>
                </c:pt>
                <c:pt idx="2">
                  <c:v>54.2</c:v>
                </c:pt>
                <c:pt idx="3">
                  <c:v>58.230000000000011</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38.220000000000013</c:v>
                </c:pt>
                <c:pt idx="1">
                  <c:v>48.58</c:v>
                </c:pt>
                <c:pt idx="2">
                  <c:v>45.74</c:v>
                </c:pt>
                <c:pt idx="3">
                  <c:v>43.9</c:v>
                </c:pt>
              </c:numCache>
            </c:numRef>
          </c:val>
        </c:ser>
        <c:marker val="1"/>
        <c:axId val="75760000"/>
        <c:axId val="75761536"/>
      </c:lineChart>
      <c:catAx>
        <c:axId val="75760000"/>
        <c:scaling>
          <c:orientation val="minMax"/>
        </c:scaling>
        <c:axPos val="b"/>
        <c:numFmt formatCode="General" sourceLinked="1"/>
        <c:tickLblPos val="nextTo"/>
        <c:txPr>
          <a:bodyPr/>
          <a:lstStyle/>
          <a:p>
            <a:pPr>
              <a:defRPr lang="ru-RU" sz="1400">
                <a:latin typeface="Times New Roman" pitchFamily="18" charset="0"/>
                <a:cs typeface="Times New Roman" pitchFamily="18" charset="0"/>
              </a:defRPr>
            </a:pPr>
            <a:endParaRPr lang="ru-RU"/>
          </a:p>
        </c:txPr>
        <c:crossAx val="75761536"/>
        <c:crosses val="autoZero"/>
        <c:auto val="1"/>
        <c:lblAlgn val="ctr"/>
        <c:lblOffset val="100"/>
      </c:catAx>
      <c:valAx>
        <c:axId val="75761536"/>
        <c:scaling>
          <c:orientation val="minMax"/>
        </c:scaling>
        <c:axPos val="l"/>
        <c:majorGridlines/>
        <c:numFmt formatCode="General" sourceLinked="1"/>
        <c:tickLblPos val="nextTo"/>
        <c:txPr>
          <a:bodyPr/>
          <a:lstStyle/>
          <a:p>
            <a:pPr>
              <a:defRPr lang="ru-RU" sz="1400">
                <a:latin typeface="Times New Roman" pitchFamily="18" charset="0"/>
                <a:cs typeface="Times New Roman" pitchFamily="18" charset="0"/>
              </a:defRPr>
            </a:pPr>
            <a:endParaRPr lang="ru-RU"/>
          </a:p>
        </c:txPr>
        <c:crossAx val="75760000"/>
        <c:crosses val="autoZero"/>
        <c:crossBetween val="between"/>
      </c:valAx>
    </c:plotArea>
    <c:plotVisOnly val="1"/>
    <c:dispBlanksAs val="gap"/>
  </c:chart>
  <c:spPr>
    <a:ln>
      <a:noFill/>
    </a:ln>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263052969180317"/>
          <c:y val="3.6913685847870192E-2"/>
          <c:w val="0.80979446003281663"/>
          <c:h val="0.51567409947179565"/>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86.86999999999999</c:v>
                </c:pt>
                <c:pt idx="1">
                  <c:v>378.6</c:v>
                </c:pt>
                <c:pt idx="2">
                  <c:v>586.70000000000005</c:v>
                </c:pt>
                <c:pt idx="3">
                  <c:v>585.6</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87.6</c:v>
                </c:pt>
                <c:pt idx="1">
                  <c:v>400.5</c:v>
                </c:pt>
                <c:pt idx="2">
                  <c:v>544.29999999999995</c:v>
                </c:pt>
                <c:pt idx="3">
                  <c:v>523.5</c:v>
                </c:pt>
              </c:numCache>
            </c:numRef>
          </c:val>
        </c:ser>
        <c:marker val="1"/>
        <c:axId val="75966336"/>
        <c:axId val="75967872"/>
      </c:lineChart>
      <c:catAx>
        <c:axId val="75966336"/>
        <c:scaling>
          <c:orientation val="minMax"/>
        </c:scaling>
        <c:axPos val="b"/>
        <c:numFmt formatCode="General" sourceLinked="1"/>
        <c:tickLblPos val="nextTo"/>
        <c:txPr>
          <a:bodyPr/>
          <a:lstStyle/>
          <a:p>
            <a:pPr>
              <a:defRPr lang="ru-RU" sz="1397">
                <a:latin typeface="Times New Roman" pitchFamily="18" charset="0"/>
                <a:cs typeface="Times New Roman" pitchFamily="18" charset="0"/>
              </a:defRPr>
            </a:pPr>
            <a:endParaRPr lang="ru-RU"/>
          </a:p>
        </c:txPr>
        <c:crossAx val="75967872"/>
        <c:crosses val="autoZero"/>
        <c:auto val="1"/>
        <c:lblAlgn val="ctr"/>
        <c:lblOffset val="100"/>
      </c:catAx>
      <c:valAx>
        <c:axId val="75967872"/>
        <c:scaling>
          <c:orientation val="minMax"/>
        </c:scaling>
        <c:axPos val="l"/>
        <c:majorGridlines/>
        <c:numFmt formatCode="General" sourceLinked="1"/>
        <c:tickLblPos val="nextTo"/>
        <c:txPr>
          <a:bodyPr/>
          <a:lstStyle/>
          <a:p>
            <a:pPr>
              <a:defRPr lang="ru-RU" sz="1397">
                <a:latin typeface="Times New Roman" pitchFamily="18" charset="0"/>
                <a:cs typeface="Times New Roman" pitchFamily="18" charset="0"/>
              </a:defRPr>
            </a:pPr>
            <a:endParaRPr lang="ru-RU"/>
          </a:p>
        </c:txPr>
        <c:crossAx val="75966336"/>
        <c:crosses val="autoZero"/>
        <c:crossBetween val="between"/>
      </c:valAx>
    </c:plotArea>
    <c:legend>
      <c:legendPos val="r"/>
      <c:layout>
        <c:manualLayout>
          <c:xMode val="edge"/>
          <c:yMode val="edge"/>
          <c:x val="0.44681559005751242"/>
          <c:y val="0.82105565985746443"/>
          <c:w val="0.54833526686907164"/>
          <c:h val="0.17894434014253649"/>
        </c:manualLayout>
      </c:layout>
      <c:txPr>
        <a:bodyPr/>
        <a:lstStyle/>
        <a:p>
          <a:pPr>
            <a:defRPr lang="ru-RU" sz="1397">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637502610148257"/>
          <c:y val="5.4568057340329913E-2"/>
          <c:w val="0.79031112967216055"/>
          <c:h val="0.49801972797933847"/>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78.599999999999994</c:v>
                </c:pt>
                <c:pt idx="1">
                  <c:v>246.7</c:v>
                </c:pt>
                <c:pt idx="2">
                  <c:v>167.73999999999998</c:v>
                </c:pt>
                <c:pt idx="3">
                  <c:v>366.9</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74.3</c:v>
                </c:pt>
                <c:pt idx="1">
                  <c:v>276.2</c:v>
                </c:pt>
                <c:pt idx="2">
                  <c:v>232.4</c:v>
                </c:pt>
                <c:pt idx="3">
                  <c:v>213.7</c:v>
                </c:pt>
              </c:numCache>
            </c:numRef>
          </c:val>
        </c:ser>
        <c:marker val="1"/>
        <c:axId val="75996544"/>
        <c:axId val="75998336"/>
      </c:lineChart>
      <c:catAx>
        <c:axId val="75996544"/>
        <c:scaling>
          <c:orientation val="minMax"/>
        </c:scaling>
        <c:axPos val="b"/>
        <c:numFmt formatCode="General" sourceLinked="1"/>
        <c:tickLblPos val="nextTo"/>
        <c:spPr>
          <a:ln>
            <a:noFill/>
          </a:ln>
        </c:spPr>
        <c:txPr>
          <a:bodyPr/>
          <a:lstStyle/>
          <a:p>
            <a:pPr>
              <a:defRPr lang="ru-RU" sz="1398">
                <a:latin typeface="Times New Roman" pitchFamily="18" charset="0"/>
                <a:cs typeface="Times New Roman" pitchFamily="18" charset="0"/>
              </a:defRPr>
            </a:pPr>
            <a:endParaRPr lang="ru-RU"/>
          </a:p>
        </c:txPr>
        <c:crossAx val="75998336"/>
        <c:crosses val="autoZero"/>
        <c:auto val="1"/>
        <c:lblAlgn val="ctr"/>
        <c:lblOffset val="100"/>
      </c:catAx>
      <c:valAx>
        <c:axId val="75998336"/>
        <c:scaling>
          <c:orientation val="minMax"/>
        </c:scaling>
        <c:axPos val="l"/>
        <c:majorGridlines/>
        <c:numFmt formatCode="General" sourceLinked="1"/>
        <c:tickLblPos val="nextTo"/>
        <c:txPr>
          <a:bodyPr/>
          <a:lstStyle/>
          <a:p>
            <a:pPr>
              <a:defRPr lang="ru-RU" sz="1198">
                <a:latin typeface="Times New Roman" pitchFamily="18" charset="0"/>
                <a:cs typeface="Times New Roman" pitchFamily="18" charset="0"/>
              </a:defRPr>
            </a:pPr>
            <a:endParaRPr lang="ru-RU"/>
          </a:p>
        </c:txPr>
        <c:crossAx val="75996544"/>
        <c:crosses val="autoZero"/>
        <c:crossBetween val="between"/>
      </c:valAx>
    </c:plotArea>
    <c:plotVisOnly val="1"/>
    <c:dispBlanksAs val="gap"/>
  </c:chart>
  <c:spPr>
    <a:ln>
      <a:noFill/>
    </a:ln>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038319655000826"/>
          <c:y val="6.7315383808550094E-2"/>
          <c:w val="0.82382166982304383"/>
          <c:h val="0.47015245437622777"/>
        </c:manualLayout>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73.3</c:v>
                </c:pt>
                <c:pt idx="1">
                  <c:v>94.6</c:v>
                </c:pt>
                <c:pt idx="2">
                  <c:v>126.5</c:v>
                </c:pt>
                <c:pt idx="3">
                  <c:v>218.4</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76.400000000000006</c:v>
                </c:pt>
                <c:pt idx="1">
                  <c:v>97.3</c:v>
                </c:pt>
                <c:pt idx="2">
                  <c:v>104.2</c:v>
                </c:pt>
                <c:pt idx="3">
                  <c:v>102.4</c:v>
                </c:pt>
              </c:numCache>
            </c:numRef>
          </c:val>
        </c:ser>
        <c:marker val="1"/>
        <c:axId val="76014336"/>
        <c:axId val="76015872"/>
      </c:lineChart>
      <c:catAx>
        <c:axId val="76014336"/>
        <c:scaling>
          <c:orientation val="minMax"/>
        </c:scaling>
        <c:axPos val="b"/>
        <c:numFmt formatCode="General" sourceLinked="1"/>
        <c:tickLblPos val="nextTo"/>
        <c:spPr>
          <a:ln>
            <a:noFill/>
          </a:ln>
        </c:spPr>
        <c:txPr>
          <a:bodyPr/>
          <a:lstStyle/>
          <a:p>
            <a:pPr>
              <a:defRPr lang="ru-RU" sz="1399">
                <a:latin typeface="Times New Roman" pitchFamily="18" charset="0"/>
                <a:cs typeface="Times New Roman" pitchFamily="18" charset="0"/>
              </a:defRPr>
            </a:pPr>
            <a:endParaRPr lang="ru-RU"/>
          </a:p>
        </c:txPr>
        <c:crossAx val="76015872"/>
        <c:crosses val="autoZero"/>
        <c:auto val="1"/>
        <c:lblAlgn val="ctr"/>
        <c:lblOffset val="100"/>
      </c:catAx>
      <c:valAx>
        <c:axId val="76015872"/>
        <c:scaling>
          <c:orientation val="minMax"/>
        </c:scaling>
        <c:axPos val="l"/>
        <c:majorGridlines/>
        <c:numFmt formatCode="General" sourceLinked="1"/>
        <c:tickLblPos val="nextTo"/>
        <c:txPr>
          <a:bodyPr/>
          <a:lstStyle/>
          <a:p>
            <a:pPr>
              <a:defRPr lang="ru-RU" sz="1599">
                <a:latin typeface="Times New Roman" pitchFamily="18" charset="0"/>
                <a:cs typeface="Times New Roman" pitchFamily="18" charset="0"/>
              </a:defRPr>
            </a:pPr>
            <a:endParaRPr lang="ru-RU"/>
          </a:p>
        </c:txPr>
        <c:crossAx val="76014336"/>
        <c:crosses val="autoZero"/>
        <c:crossBetween val="between"/>
      </c:valAx>
    </c:plotArea>
    <c:plotVisOnly val="1"/>
    <c:dispBlanksAs val="gap"/>
  </c:chart>
  <c:spPr>
    <a:ln>
      <a:noFill/>
    </a:ln>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Основна група</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Лист1!$B$2:$B$5</c:f>
              <c:numCache>
                <c:formatCode>General</c:formatCode>
                <c:ptCount val="4"/>
                <c:pt idx="0">
                  <c:v>84.7</c:v>
                </c:pt>
                <c:pt idx="1">
                  <c:v>120.7</c:v>
                </c:pt>
                <c:pt idx="2">
                  <c:v>125.5</c:v>
                </c:pt>
                <c:pt idx="3">
                  <c:v>130.4</c:v>
                </c:pt>
              </c:numCache>
            </c:numRef>
          </c:val>
        </c:ser>
        <c:ser>
          <c:idx val="1"/>
          <c:order val="1"/>
          <c:tx>
            <c:strRef>
              <c:f>Лист1!$C$1</c:f>
              <c:strCache>
                <c:ptCount val="1"/>
                <c:pt idx="0">
                  <c:v>Група порівняння</c:v>
                </c:pt>
              </c:strCache>
            </c:strRef>
          </c:tx>
          <c:cat>
            <c:strRef>
              <c:f>Лист1!$A$2:$A$5</c:f>
              <c:strCache>
                <c:ptCount val="4"/>
                <c:pt idx="0">
                  <c:v>до лікування</c:v>
                </c:pt>
                <c:pt idx="1">
                  <c:v>після лікування </c:v>
                </c:pt>
                <c:pt idx="2">
                  <c:v>6 місяців</c:v>
                </c:pt>
                <c:pt idx="3">
                  <c:v>12 місяців</c:v>
                </c:pt>
              </c:strCache>
            </c:strRef>
          </c:cat>
          <c:val>
            <c:numRef>
              <c:f>Лист1!$C$2:$C$5</c:f>
              <c:numCache>
                <c:formatCode>General</c:formatCode>
                <c:ptCount val="4"/>
                <c:pt idx="0">
                  <c:v>70.400000000000006</c:v>
                </c:pt>
                <c:pt idx="1">
                  <c:v>92.2</c:v>
                </c:pt>
                <c:pt idx="2">
                  <c:v>121.4</c:v>
                </c:pt>
                <c:pt idx="3">
                  <c:v>89.7</c:v>
                </c:pt>
              </c:numCache>
            </c:numRef>
          </c:val>
        </c:ser>
        <c:marker val="1"/>
        <c:axId val="76289920"/>
        <c:axId val="76291456"/>
      </c:lineChart>
      <c:catAx>
        <c:axId val="76289920"/>
        <c:scaling>
          <c:orientation val="minMax"/>
        </c:scaling>
        <c:axPos val="b"/>
        <c:numFmt formatCode="General" sourceLinked="1"/>
        <c:tickLblPos val="nextTo"/>
        <c:txPr>
          <a:bodyPr/>
          <a:lstStyle/>
          <a:p>
            <a:pPr>
              <a:defRPr lang="ru-RU" sz="1400">
                <a:latin typeface="Times New Roman" pitchFamily="18" charset="0"/>
                <a:cs typeface="Times New Roman" pitchFamily="18" charset="0"/>
              </a:defRPr>
            </a:pPr>
            <a:endParaRPr lang="ru-RU"/>
          </a:p>
        </c:txPr>
        <c:crossAx val="76291456"/>
        <c:crosses val="autoZero"/>
        <c:auto val="1"/>
        <c:lblAlgn val="ctr"/>
        <c:lblOffset val="100"/>
      </c:catAx>
      <c:valAx>
        <c:axId val="76291456"/>
        <c:scaling>
          <c:orientation val="minMax"/>
        </c:scaling>
        <c:axPos val="l"/>
        <c:majorGridlines/>
        <c:numFmt formatCode="General" sourceLinked="1"/>
        <c:tickLblPos val="nextTo"/>
        <c:txPr>
          <a:bodyPr/>
          <a:lstStyle/>
          <a:p>
            <a:pPr>
              <a:defRPr lang="ru-RU" sz="1400">
                <a:latin typeface="Times New Roman" pitchFamily="18" charset="0"/>
                <a:cs typeface="Times New Roman" pitchFamily="18" charset="0"/>
              </a:defRPr>
            </a:pPr>
            <a:endParaRPr lang="ru-RU"/>
          </a:p>
        </c:txPr>
        <c:crossAx val="76289920"/>
        <c:crosses val="autoZero"/>
        <c:crossBetween val="between"/>
      </c:val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3301111153281754E-2"/>
          <c:y val="4.0703052728954671E-2"/>
          <c:w val="0.61370931368698556"/>
          <c:h val="0.74928430967581461"/>
        </c:manualLayout>
      </c:layout>
      <c:lineChart>
        <c:grouping val="standard"/>
        <c:ser>
          <c:idx val="0"/>
          <c:order val="0"/>
          <c:tx>
            <c:strRef>
              <c:f>Лист1!$B$1</c:f>
              <c:strCache>
                <c:ptCount val="1"/>
                <c:pt idx="0">
                  <c:v>Загальногруповий показник</c:v>
                </c:pt>
              </c:strCache>
            </c:strRef>
          </c:tx>
          <c:cat>
            <c:strRef>
              <c:f>Лист1!$A$2:$A$4</c:f>
              <c:strCache>
                <c:ptCount val="3"/>
                <c:pt idx="0">
                  <c:v>Вихідний рівень</c:v>
                </c:pt>
                <c:pt idx="1">
                  <c:v>6 місяців</c:v>
                </c:pt>
                <c:pt idx="2">
                  <c:v>12 місяців</c:v>
                </c:pt>
              </c:strCache>
            </c:strRef>
          </c:cat>
          <c:val>
            <c:numRef>
              <c:f>Лист1!$B$2:$B$4</c:f>
              <c:numCache>
                <c:formatCode>General</c:formatCode>
                <c:ptCount val="3"/>
                <c:pt idx="0">
                  <c:v>4.859</c:v>
                </c:pt>
                <c:pt idx="1">
                  <c:v>4.1569999999999965</c:v>
                </c:pt>
                <c:pt idx="2">
                  <c:v>4.45</c:v>
                </c:pt>
              </c:numCache>
            </c:numRef>
          </c:val>
        </c:ser>
        <c:ser>
          <c:idx val="1"/>
          <c:order val="1"/>
          <c:tx>
            <c:strRef>
              <c:f>Лист1!$C$1</c:f>
              <c:strCache>
                <c:ptCount val="1"/>
                <c:pt idx="0">
                  <c:v> ІІІ ступiнь ішемії</c:v>
                </c:pt>
              </c:strCache>
            </c:strRef>
          </c:tx>
          <c:cat>
            <c:strRef>
              <c:f>Лист1!$A$2:$A$4</c:f>
              <c:strCache>
                <c:ptCount val="3"/>
                <c:pt idx="0">
                  <c:v>Вихідний рівень</c:v>
                </c:pt>
                <c:pt idx="1">
                  <c:v>6 місяців</c:v>
                </c:pt>
                <c:pt idx="2">
                  <c:v>12 місяців</c:v>
                </c:pt>
              </c:strCache>
            </c:strRef>
          </c:cat>
          <c:val>
            <c:numRef>
              <c:f>Лист1!$C$2:$C$4</c:f>
              <c:numCache>
                <c:formatCode>General</c:formatCode>
                <c:ptCount val="3"/>
                <c:pt idx="0">
                  <c:v>5.3599999999999985</c:v>
                </c:pt>
                <c:pt idx="1">
                  <c:v>4.4109999999999996</c:v>
                </c:pt>
                <c:pt idx="2">
                  <c:v>4.4889999999999999</c:v>
                </c:pt>
              </c:numCache>
            </c:numRef>
          </c:val>
        </c:ser>
        <c:ser>
          <c:idx val="2"/>
          <c:order val="2"/>
          <c:tx>
            <c:strRef>
              <c:f>Лист1!$D$1</c:f>
              <c:strCache>
                <c:ptCount val="1"/>
                <c:pt idx="0">
                  <c:v>IV ступінь ішемії</c:v>
                </c:pt>
              </c:strCache>
            </c:strRef>
          </c:tx>
          <c:cat>
            <c:strRef>
              <c:f>Лист1!$A$2:$A$4</c:f>
              <c:strCache>
                <c:ptCount val="3"/>
                <c:pt idx="0">
                  <c:v>Вихідний рівень</c:v>
                </c:pt>
                <c:pt idx="1">
                  <c:v>6 місяців</c:v>
                </c:pt>
                <c:pt idx="2">
                  <c:v>12 місяців</c:v>
                </c:pt>
              </c:strCache>
            </c:strRef>
          </c:cat>
          <c:val>
            <c:numRef>
              <c:f>Лист1!$D$2:$D$4</c:f>
              <c:numCache>
                <c:formatCode>General</c:formatCode>
                <c:ptCount val="3"/>
                <c:pt idx="0">
                  <c:v>4.59</c:v>
                </c:pt>
                <c:pt idx="1">
                  <c:v>4.0369999999999999</c:v>
                </c:pt>
                <c:pt idx="2">
                  <c:v>4.4320000000000004</c:v>
                </c:pt>
              </c:numCache>
            </c:numRef>
          </c:val>
        </c:ser>
        <c:ser>
          <c:idx val="3"/>
          <c:order val="3"/>
          <c:tx>
            <c:strRef>
              <c:f>Лист1!$E$1</c:f>
              <c:strCache>
                <c:ptCount val="1"/>
                <c:pt idx="0">
                  <c:v>з ЦД</c:v>
                </c:pt>
              </c:strCache>
            </c:strRef>
          </c:tx>
          <c:cat>
            <c:strRef>
              <c:f>Лист1!$A$2:$A$4</c:f>
              <c:strCache>
                <c:ptCount val="3"/>
                <c:pt idx="0">
                  <c:v>Вихідний рівень</c:v>
                </c:pt>
                <c:pt idx="1">
                  <c:v>6 місяців</c:v>
                </c:pt>
                <c:pt idx="2">
                  <c:v>12 місяців</c:v>
                </c:pt>
              </c:strCache>
            </c:strRef>
          </c:cat>
          <c:val>
            <c:numRef>
              <c:f>Лист1!$E$2:$E$4</c:f>
              <c:numCache>
                <c:formatCode>General</c:formatCode>
                <c:ptCount val="3"/>
                <c:pt idx="0">
                  <c:v>4.6419999999999995</c:v>
                </c:pt>
                <c:pt idx="1">
                  <c:v>4</c:v>
                </c:pt>
                <c:pt idx="2">
                  <c:v>4.0010000000000003</c:v>
                </c:pt>
              </c:numCache>
            </c:numRef>
          </c:val>
        </c:ser>
        <c:ser>
          <c:idx val="4"/>
          <c:order val="4"/>
          <c:tx>
            <c:strRef>
              <c:f>Лист1!$F$1</c:f>
              <c:strCache>
                <c:ptCount val="1"/>
                <c:pt idx="0">
                  <c:v>без ЦД</c:v>
                </c:pt>
              </c:strCache>
            </c:strRef>
          </c:tx>
          <c:cat>
            <c:strRef>
              <c:f>Лист1!$A$2:$A$4</c:f>
              <c:strCache>
                <c:ptCount val="3"/>
                <c:pt idx="0">
                  <c:v>Вихідний рівень</c:v>
                </c:pt>
                <c:pt idx="1">
                  <c:v>6 місяців</c:v>
                </c:pt>
                <c:pt idx="2">
                  <c:v>12 місяців</c:v>
                </c:pt>
              </c:strCache>
            </c:strRef>
          </c:cat>
          <c:val>
            <c:numRef>
              <c:f>Лист1!$F$2:$F$4</c:f>
              <c:numCache>
                <c:formatCode>General</c:formatCode>
                <c:ptCount val="3"/>
                <c:pt idx="0">
                  <c:v>5.0119999999999996</c:v>
                </c:pt>
                <c:pt idx="1">
                  <c:v>4.2750000000000004</c:v>
                </c:pt>
                <c:pt idx="2">
                  <c:v>4.7809999999999997</c:v>
                </c:pt>
              </c:numCache>
            </c:numRef>
          </c:val>
        </c:ser>
        <c:marker val="1"/>
        <c:axId val="67670016"/>
        <c:axId val="67671552"/>
      </c:lineChart>
      <c:catAx>
        <c:axId val="67670016"/>
        <c:scaling>
          <c:orientation val="minMax"/>
        </c:scaling>
        <c:axPos val="b"/>
        <c:numFmt formatCode="General" sourceLinked="1"/>
        <c:tickLblPos val="nextTo"/>
        <c:txPr>
          <a:bodyPr/>
          <a:lstStyle/>
          <a:p>
            <a:pPr>
              <a:defRPr lang="ru-RU" sz="1400">
                <a:latin typeface="Times New Roman" pitchFamily="18" charset="0"/>
                <a:cs typeface="Times New Roman" pitchFamily="18" charset="0"/>
              </a:defRPr>
            </a:pPr>
            <a:endParaRPr lang="ru-RU"/>
          </a:p>
        </c:txPr>
        <c:crossAx val="67671552"/>
        <c:crosses val="autoZero"/>
        <c:auto val="1"/>
        <c:lblAlgn val="ctr"/>
        <c:lblOffset val="100"/>
      </c:catAx>
      <c:valAx>
        <c:axId val="67671552"/>
        <c:scaling>
          <c:orientation val="minMax"/>
        </c:scaling>
        <c:axPos val="l"/>
        <c:majorGridlines/>
        <c:numFmt formatCode="General" sourceLinked="1"/>
        <c:tickLblPos val="nextTo"/>
        <c:txPr>
          <a:bodyPr/>
          <a:lstStyle/>
          <a:p>
            <a:pPr>
              <a:defRPr lang="ru-RU" sz="1400">
                <a:latin typeface="Times New Roman" pitchFamily="18" charset="0"/>
                <a:cs typeface="Times New Roman" pitchFamily="18" charset="0"/>
              </a:defRPr>
            </a:pPr>
            <a:endParaRPr lang="ru-RU"/>
          </a:p>
        </c:txPr>
        <c:crossAx val="67670016"/>
        <c:crosses val="autoZero"/>
        <c:crossBetween val="between"/>
      </c:valAx>
    </c:plotArea>
    <c:legend>
      <c:legendPos val="r"/>
      <c:txPr>
        <a:bodyPr/>
        <a:lstStyle/>
        <a:p>
          <a:pPr>
            <a:defRPr lang="ru-RU" sz="1400">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Контрольна гомілка</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Лист1!$B$2:$B$5</c:f>
              <c:numCache>
                <c:formatCode>General</c:formatCode>
                <c:ptCount val="4"/>
                <c:pt idx="0">
                  <c:v>34.200000000000003</c:v>
                </c:pt>
                <c:pt idx="1">
                  <c:v>35.790000000000013</c:v>
                </c:pt>
                <c:pt idx="2">
                  <c:v>35.300000000000004</c:v>
                </c:pt>
                <c:pt idx="3">
                  <c:v>35.9</c:v>
                </c:pt>
              </c:numCache>
            </c:numRef>
          </c:val>
        </c:ser>
        <c:ser>
          <c:idx val="1"/>
          <c:order val="1"/>
          <c:tx>
            <c:strRef>
              <c:f>Лист1!$C$1</c:f>
              <c:strCache>
                <c:ptCount val="1"/>
                <c:pt idx="0">
                  <c:v>Хвора гомілка</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Лист1!$C$2:$C$5</c:f>
              <c:numCache>
                <c:formatCode>General</c:formatCode>
                <c:ptCount val="4"/>
                <c:pt idx="0">
                  <c:v>35.300000000000004</c:v>
                </c:pt>
                <c:pt idx="1">
                  <c:v>35.6</c:v>
                </c:pt>
                <c:pt idx="2">
                  <c:v>35.700000000000003</c:v>
                </c:pt>
                <c:pt idx="3">
                  <c:v>35.700000000000003</c:v>
                </c:pt>
              </c:numCache>
            </c:numRef>
          </c:val>
        </c:ser>
        <c:ser>
          <c:idx val="2"/>
          <c:order val="2"/>
          <c:tx>
            <c:strRef>
              <c:f>Лист1!$D$1</c:f>
              <c:strCache>
                <c:ptCount val="1"/>
                <c:pt idx="0">
                  <c:v>Контрольна ступня</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Лист1!$D$2:$D$5</c:f>
              <c:numCache>
                <c:formatCode>General</c:formatCode>
                <c:ptCount val="4"/>
                <c:pt idx="0">
                  <c:v>33.700000000000003</c:v>
                </c:pt>
                <c:pt idx="1">
                  <c:v>34.700000000000003</c:v>
                </c:pt>
                <c:pt idx="2">
                  <c:v>34.1</c:v>
                </c:pt>
                <c:pt idx="3">
                  <c:v>34.4</c:v>
                </c:pt>
              </c:numCache>
            </c:numRef>
          </c:val>
        </c:ser>
        <c:ser>
          <c:idx val="3"/>
          <c:order val="3"/>
          <c:tx>
            <c:strRef>
              <c:f>Лист1!$E$1</c:f>
              <c:strCache>
                <c:ptCount val="1"/>
                <c:pt idx="0">
                  <c:v>Хвора ступня</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Лист1!$E$2:$E$5</c:f>
              <c:numCache>
                <c:formatCode>General</c:formatCode>
                <c:ptCount val="4"/>
                <c:pt idx="0">
                  <c:v>34.4</c:v>
                </c:pt>
                <c:pt idx="1">
                  <c:v>34.82</c:v>
                </c:pt>
                <c:pt idx="2">
                  <c:v>34.300000000000004</c:v>
                </c:pt>
                <c:pt idx="3">
                  <c:v>34.4</c:v>
                </c:pt>
              </c:numCache>
            </c:numRef>
          </c:val>
        </c:ser>
        <c:marker val="1"/>
        <c:axId val="67824640"/>
        <c:axId val="73548544"/>
      </c:lineChart>
      <c:catAx>
        <c:axId val="67824640"/>
        <c:scaling>
          <c:orientation val="minMax"/>
        </c:scaling>
        <c:axPos val="b"/>
        <c:numFmt formatCode="General" sourceLinked="1"/>
        <c:tickLblPos val="nextTo"/>
        <c:txPr>
          <a:bodyPr/>
          <a:lstStyle/>
          <a:p>
            <a:pPr>
              <a:defRPr lang="ru-RU"/>
            </a:pPr>
            <a:endParaRPr lang="ru-RU"/>
          </a:p>
        </c:txPr>
        <c:crossAx val="73548544"/>
        <c:crosses val="autoZero"/>
        <c:auto val="1"/>
        <c:lblAlgn val="ctr"/>
        <c:lblOffset val="100"/>
      </c:catAx>
      <c:valAx>
        <c:axId val="73548544"/>
        <c:scaling>
          <c:orientation val="minMax"/>
        </c:scaling>
        <c:axPos val="l"/>
        <c:majorGridlines/>
        <c:numFmt formatCode="General" sourceLinked="1"/>
        <c:tickLblPos val="nextTo"/>
        <c:txPr>
          <a:bodyPr/>
          <a:lstStyle/>
          <a:p>
            <a:pPr>
              <a:defRPr lang="ru-RU"/>
            </a:pPr>
            <a:endParaRPr lang="ru-RU"/>
          </a:p>
        </c:txPr>
        <c:crossAx val="67824640"/>
        <c:crosses val="autoZero"/>
        <c:crossBetween val="between"/>
      </c:valAx>
    </c:plotArea>
    <c:legend>
      <c:legendPos val="r"/>
      <c:txPr>
        <a:bodyPr/>
        <a:lstStyle/>
        <a:p>
          <a:pPr>
            <a:defRPr lang="ru-RU"/>
          </a:pPr>
          <a:endParaRPr lang="ru-RU"/>
        </a:p>
      </c:txPr>
    </c:legend>
    <c:plotVisOnly val="1"/>
    <c:dispBlanksAs val="gap"/>
  </c:chart>
  <c:spPr>
    <a:ln>
      <a:noFill/>
    </a:ln>
  </c:spPr>
  <c:txPr>
    <a:bodyPr/>
    <a:lstStyle/>
    <a:p>
      <a:pPr>
        <a:defRPr sz="1398">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Хворі з консервативною терапією</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Лист1!$B$2:$B$5</c:f>
              <c:numCache>
                <c:formatCode>General</c:formatCode>
                <c:ptCount val="4"/>
                <c:pt idx="0">
                  <c:v>27</c:v>
                </c:pt>
                <c:pt idx="1">
                  <c:v>41</c:v>
                </c:pt>
                <c:pt idx="2">
                  <c:v>40.33</c:v>
                </c:pt>
                <c:pt idx="3">
                  <c:v>37</c:v>
                </c:pt>
              </c:numCache>
            </c:numRef>
          </c:val>
        </c:ser>
        <c:ser>
          <c:idx val="1"/>
          <c:order val="1"/>
          <c:tx>
            <c:strRef>
              <c:f>Лист1!$C$1</c:f>
              <c:strCache>
                <c:ptCount val="1"/>
                <c:pt idx="0">
                  <c:v>Хворі з ЧБА</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Лист1!$C$2:$C$5</c:f>
              <c:numCache>
                <c:formatCode>General</c:formatCode>
                <c:ptCount val="4"/>
                <c:pt idx="0">
                  <c:v>24.75</c:v>
                </c:pt>
                <c:pt idx="1">
                  <c:v>62.5</c:v>
                </c:pt>
                <c:pt idx="2">
                  <c:v>56.75</c:v>
                </c:pt>
                <c:pt idx="3">
                  <c:v>57</c:v>
                </c:pt>
              </c:numCache>
            </c:numRef>
          </c:val>
        </c:ser>
        <c:ser>
          <c:idx val="2"/>
          <c:order val="2"/>
          <c:tx>
            <c:strRef>
              <c:f>Лист1!$D$1</c:f>
              <c:strCache>
                <c:ptCount val="1"/>
                <c:pt idx="0">
                  <c:v>Хворі з СГШ</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Лист1!$D$2:$D$5</c:f>
              <c:numCache>
                <c:formatCode>General</c:formatCode>
                <c:ptCount val="4"/>
                <c:pt idx="0">
                  <c:v>24</c:v>
                </c:pt>
                <c:pt idx="1">
                  <c:v>42.5</c:v>
                </c:pt>
                <c:pt idx="2">
                  <c:v>38</c:v>
                </c:pt>
                <c:pt idx="3">
                  <c:v>41</c:v>
                </c:pt>
              </c:numCache>
            </c:numRef>
          </c:val>
        </c:ser>
        <c:ser>
          <c:idx val="3"/>
          <c:order val="3"/>
          <c:tx>
            <c:strRef>
              <c:f>Лист1!$E$1</c:f>
              <c:strCache>
                <c:ptCount val="1"/>
                <c:pt idx="0">
                  <c:v>Хворі з симпатектомією</c:v>
                </c:pt>
              </c:strCache>
            </c:strRef>
          </c:tx>
          <c:cat>
            <c:strRef>
              <c:f>Лист1!$A$2:$A$5</c:f>
              <c:strCache>
                <c:ptCount val="4"/>
                <c:pt idx="0">
                  <c:v>до лікування</c:v>
                </c:pt>
                <c:pt idx="1">
                  <c:v>після лікування</c:v>
                </c:pt>
                <c:pt idx="2">
                  <c:v>6 місяців</c:v>
                </c:pt>
                <c:pt idx="3">
                  <c:v>12 місяців</c:v>
                </c:pt>
              </c:strCache>
            </c:strRef>
          </c:cat>
          <c:val>
            <c:numRef>
              <c:f>Лист1!$E$2:$E$5</c:f>
              <c:numCache>
                <c:formatCode>General</c:formatCode>
                <c:ptCount val="4"/>
                <c:pt idx="0">
                  <c:v>26</c:v>
                </c:pt>
                <c:pt idx="1">
                  <c:v>48</c:v>
                </c:pt>
                <c:pt idx="2">
                  <c:v>38.5</c:v>
                </c:pt>
                <c:pt idx="3">
                  <c:v>37</c:v>
                </c:pt>
              </c:numCache>
            </c:numRef>
          </c:val>
        </c:ser>
        <c:marker val="1"/>
        <c:axId val="73587328"/>
        <c:axId val="73593216"/>
      </c:lineChart>
      <c:catAx>
        <c:axId val="73587328"/>
        <c:scaling>
          <c:orientation val="minMax"/>
        </c:scaling>
        <c:axPos val="b"/>
        <c:numFmt formatCode="General" sourceLinked="1"/>
        <c:tickLblPos val="nextTo"/>
        <c:txPr>
          <a:bodyPr/>
          <a:lstStyle/>
          <a:p>
            <a:pPr>
              <a:defRPr lang="ru-RU"/>
            </a:pPr>
            <a:endParaRPr lang="ru-RU"/>
          </a:p>
        </c:txPr>
        <c:crossAx val="73593216"/>
        <c:crosses val="autoZero"/>
        <c:auto val="1"/>
        <c:lblAlgn val="ctr"/>
        <c:lblOffset val="100"/>
      </c:catAx>
      <c:valAx>
        <c:axId val="73593216"/>
        <c:scaling>
          <c:orientation val="minMax"/>
        </c:scaling>
        <c:axPos val="l"/>
        <c:majorGridlines/>
        <c:numFmt formatCode="General" sourceLinked="1"/>
        <c:tickLblPos val="nextTo"/>
        <c:txPr>
          <a:bodyPr/>
          <a:lstStyle/>
          <a:p>
            <a:pPr>
              <a:defRPr lang="ru-RU"/>
            </a:pPr>
            <a:endParaRPr lang="ru-RU"/>
          </a:p>
        </c:txPr>
        <c:crossAx val="73587328"/>
        <c:crosses val="autoZero"/>
        <c:crossBetween val="between"/>
      </c:valAx>
    </c:plotArea>
    <c:legend>
      <c:legendPos val="r"/>
      <c:txPr>
        <a:bodyPr/>
        <a:lstStyle/>
        <a:p>
          <a:pPr>
            <a:defRPr lang="ru-RU"/>
          </a:pPr>
          <a:endParaRPr lang="ru-RU"/>
        </a:p>
      </c:txPr>
    </c:legend>
    <c:plotVisOnly val="1"/>
    <c:dispBlanksAs val="gap"/>
  </c:chart>
  <c:spPr>
    <a:ln>
      <a:noFill/>
    </a:ln>
  </c:spPr>
  <c:txPr>
    <a:bodyPr/>
    <a:lstStyle/>
    <a:p>
      <a:pPr>
        <a:defRPr sz="1398">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hPercent val="106"/>
      <c:depthPercent val="100"/>
      <c:rAngAx val="1"/>
    </c:view3D>
    <c:floor>
      <c:spPr>
        <a:solidFill>
          <a:srgbClr val="C0C0C0"/>
        </a:solidFill>
        <a:ln w="3175">
          <a:solidFill>
            <a:srgbClr val="000000"/>
          </a:solidFill>
          <a:prstDash val="solid"/>
        </a:ln>
      </c:spPr>
    </c:floor>
    <c:sideWall>
      <c:spPr>
        <a:solidFill>
          <a:srgbClr val="FFFFFF"/>
        </a:solidFill>
        <a:ln w="25400">
          <a:noFill/>
        </a:ln>
      </c:spPr>
    </c:sideWall>
    <c:backWall>
      <c:spPr>
        <a:solidFill>
          <a:srgbClr val="FFFFFF"/>
        </a:solidFill>
        <a:ln w="25400">
          <a:noFill/>
        </a:ln>
      </c:spPr>
    </c:backWall>
    <c:plotArea>
      <c:layout>
        <c:manualLayout>
          <c:layoutTarget val="inner"/>
          <c:xMode val="edge"/>
          <c:yMode val="edge"/>
          <c:x val="5.7887477952207937E-2"/>
          <c:y val="6.2723066519978804E-2"/>
          <c:w val="0.66014234875444844"/>
          <c:h val="0.83410138248849175"/>
        </c:manualLayout>
      </c:layout>
      <c:bar3DChart>
        <c:barDir val="col"/>
        <c:grouping val="clustered"/>
        <c:ser>
          <c:idx val="0"/>
          <c:order val="0"/>
          <c:tx>
            <c:strRef>
              <c:f>Sheet1!$B$1</c:f>
              <c:strCache>
                <c:ptCount val="1"/>
                <c:pt idx="0">
                  <c:v>III ст., консервативна терапія</c:v>
                </c:pt>
              </c:strCache>
            </c:strRef>
          </c:tx>
          <c:spPr>
            <a:solidFill>
              <a:srgbClr val="000000"/>
            </a:solidFill>
            <a:ln w="12646">
              <a:solidFill>
                <a:srgbClr val="000000"/>
              </a:solidFill>
              <a:prstDash val="solid"/>
            </a:ln>
          </c:spPr>
          <c:cat>
            <c:strRef>
              <c:f>Sheet1!$A$2:$A$4</c:f>
              <c:strCache>
                <c:ptCount val="3"/>
                <c:pt idx="0">
                  <c:v>вихідні дані</c:v>
                </c:pt>
                <c:pt idx="1">
                  <c:v>6 міс</c:v>
                </c:pt>
                <c:pt idx="2">
                  <c:v>12 міс</c:v>
                </c:pt>
              </c:strCache>
            </c:strRef>
          </c:cat>
          <c:val>
            <c:numRef>
              <c:f>Sheet1!$B$2:$B$4</c:f>
              <c:numCache>
                <c:formatCode>General</c:formatCode>
                <c:ptCount val="3"/>
                <c:pt idx="0">
                  <c:v>8.3000000000000007</c:v>
                </c:pt>
                <c:pt idx="1">
                  <c:v>5.9</c:v>
                </c:pt>
                <c:pt idx="2">
                  <c:v>5.9</c:v>
                </c:pt>
              </c:numCache>
            </c:numRef>
          </c:val>
        </c:ser>
        <c:ser>
          <c:idx val="1"/>
          <c:order val="1"/>
          <c:tx>
            <c:strRef>
              <c:f>Sheet1!$C$1</c:f>
              <c:strCache>
                <c:ptCount val="1"/>
                <c:pt idx="0">
                  <c:v>III ст., ЧБА</c:v>
                </c:pt>
              </c:strCache>
            </c:strRef>
          </c:tx>
          <c:spPr>
            <a:pattFill prst="wdUpDiag">
              <a:fgClr>
                <a:srgbClr val="808080"/>
              </a:fgClr>
              <a:bgClr>
                <a:srgbClr val="FFFFFF"/>
              </a:bgClr>
            </a:pattFill>
            <a:ln w="12646">
              <a:solidFill>
                <a:srgbClr val="000000"/>
              </a:solidFill>
              <a:prstDash val="solid"/>
            </a:ln>
          </c:spPr>
          <c:cat>
            <c:strRef>
              <c:f>Sheet1!$A$2:$A$4</c:f>
              <c:strCache>
                <c:ptCount val="3"/>
                <c:pt idx="0">
                  <c:v>вихідні дані</c:v>
                </c:pt>
                <c:pt idx="1">
                  <c:v>6 міс</c:v>
                </c:pt>
                <c:pt idx="2">
                  <c:v>12 міс</c:v>
                </c:pt>
              </c:strCache>
            </c:strRef>
          </c:cat>
          <c:val>
            <c:numRef>
              <c:f>Sheet1!$C$2:$C$4</c:f>
              <c:numCache>
                <c:formatCode>General</c:formatCode>
                <c:ptCount val="3"/>
                <c:pt idx="0">
                  <c:v>8.5</c:v>
                </c:pt>
                <c:pt idx="1">
                  <c:v>6.6</c:v>
                </c:pt>
                <c:pt idx="2">
                  <c:v>6.5</c:v>
                </c:pt>
              </c:numCache>
            </c:numRef>
          </c:val>
        </c:ser>
        <c:ser>
          <c:idx val="2"/>
          <c:order val="2"/>
          <c:tx>
            <c:strRef>
              <c:f>Sheet1!$D$1</c:f>
              <c:strCache>
                <c:ptCount val="1"/>
                <c:pt idx="0">
                  <c:v>IV ст., консервативна терапія</c:v>
                </c:pt>
              </c:strCache>
            </c:strRef>
          </c:tx>
          <c:spPr>
            <a:pattFill prst="dkHorz">
              <a:fgClr>
                <a:srgbClr val="808080"/>
              </a:fgClr>
              <a:bgClr>
                <a:srgbClr val="FFFFFF"/>
              </a:bgClr>
            </a:pattFill>
            <a:ln w="12646">
              <a:solidFill>
                <a:srgbClr val="000000"/>
              </a:solidFill>
              <a:prstDash val="solid"/>
            </a:ln>
          </c:spPr>
          <c:cat>
            <c:strRef>
              <c:f>Sheet1!$A$2:$A$4</c:f>
              <c:strCache>
                <c:ptCount val="3"/>
                <c:pt idx="0">
                  <c:v>вихідні дані</c:v>
                </c:pt>
                <c:pt idx="1">
                  <c:v>6 міс</c:v>
                </c:pt>
                <c:pt idx="2">
                  <c:v>12 міс</c:v>
                </c:pt>
              </c:strCache>
            </c:strRef>
          </c:cat>
          <c:val>
            <c:numRef>
              <c:f>Sheet1!$D$2:$D$4</c:f>
              <c:numCache>
                <c:formatCode>General</c:formatCode>
                <c:ptCount val="3"/>
                <c:pt idx="0">
                  <c:v>7.1</c:v>
                </c:pt>
                <c:pt idx="1">
                  <c:v>6.4</c:v>
                </c:pt>
                <c:pt idx="2">
                  <c:v>6.9</c:v>
                </c:pt>
              </c:numCache>
            </c:numRef>
          </c:val>
        </c:ser>
        <c:ser>
          <c:idx val="3"/>
          <c:order val="3"/>
          <c:tx>
            <c:strRef>
              <c:f>Sheet1!$E$1</c:f>
              <c:strCache>
                <c:ptCount val="1"/>
                <c:pt idx="0">
                  <c:v>IV cт., ЧБА</c:v>
                </c:pt>
              </c:strCache>
            </c:strRef>
          </c:tx>
          <c:spPr>
            <a:solidFill>
              <a:srgbClr val="FFFFFF"/>
            </a:solidFill>
            <a:ln w="12646">
              <a:solidFill>
                <a:srgbClr val="000000"/>
              </a:solidFill>
              <a:prstDash val="solid"/>
            </a:ln>
          </c:spPr>
          <c:cat>
            <c:strRef>
              <c:f>Sheet1!$A$2:$A$4</c:f>
              <c:strCache>
                <c:ptCount val="3"/>
                <c:pt idx="0">
                  <c:v>вихідні дані</c:v>
                </c:pt>
                <c:pt idx="1">
                  <c:v>6 міс</c:v>
                </c:pt>
                <c:pt idx="2">
                  <c:v>12 міс</c:v>
                </c:pt>
              </c:strCache>
            </c:strRef>
          </c:cat>
          <c:val>
            <c:numRef>
              <c:f>Sheet1!$E$2:$E$4</c:f>
              <c:numCache>
                <c:formatCode>General</c:formatCode>
                <c:ptCount val="3"/>
                <c:pt idx="0">
                  <c:v>9</c:v>
                </c:pt>
                <c:pt idx="1">
                  <c:v>5.4</c:v>
                </c:pt>
                <c:pt idx="2">
                  <c:v>5.6</c:v>
                </c:pt>
              </c:numCache>
            </c:numRef>
          </c:val>
        </c:ser>
        <c:ser>
          <c:idx val="4"/>
          <c:order val="4"/>
          <c:tx>
            <c:strRef>
              <c:f>Sheet1!$F$1</c:f>
              <c:strCache>
                <c:ptCount val="1"/>
                <c:pt idx="0">
                  <c:v>IV cт., СГШ</c:v>
                </c:pt>
              </c:strCache>
            </c:strRef>
          </c:tx>
          <c:spPr>
            <a:pattFill prst="lgCheck">
              <a:fgClr>
                <a:srgbClr val="808080"/>
              </a:fgClr>
              <a:bgClr>
                <a:srgbClr val="FFFFFF"/>
              </a:bgClr>
            </a:pattFill>
            <a:ln w="12646">
              <a:solidFill>
                <a:srgbClr val="000000"/>
              </a:solidFill>
              <a:prstDash val="solid"/>
            </a:ln>
          </c:spPr>
          <c:cat>
            <c:strRef>
              <c:f>Sheet1!$A$2:$A$4</c:f>
              <c:strCache>
                <c:ptCount val="3"/>
                <c:pt idx="0">
                  <c:v>вихідні дані</c:v>
                </c:pt>
                <c:pt idx="1">
                  <c:v>6 міс</c:v>
                </c:pt>
                <c:pt idx="2">
                  <c:v>12 міс</c:v>
                </c:pt>
              </c:strCache>
            </c:strRef>
          </c:cat>
          <c:val>
            <c:numRef>
              <c:f>Sheet1!$F$2:$F$4</c:f>
              <c:numCache>
                <c:formatCode>General</c:formatCode>
                <c:ptCount val="3"/>
                <c:pt idx="0">
                  <c:v>8.7000000000000011</c:v>
                </c:pt>
                <c:pt idx="1">
                  <c:v>3.7</c:v>
                </c:pt>
                <c:pt idx="2">
                  <c:v>3.6</c:v>
                </c:pt>
              </c:numCache>
            </c:numRef>
          </c:val>
        </c:ser>
        <c:gapDepth val="0"/>
        <c:shape val="box"/>
        <c:axId val="74007296"/>
        <c:axId val="74008832"/>
        <c:axId val="0"/>
      </c:bar3DChart>
      <c:catAx>
        <c:axId val="74007296"/>
        <c:scaling>
          <c:orientation val="minMax"/>
        </c:scaling>
        <c:axPos val="b"/>
        <c:majorGridlines>
          <c:spPr>
            <a:ln w="3162">
              <a:solidFill>
                <a:srgbClr val="000000"/>
              </a:solidFill>
              <a:prstDash val="solid"/>
            </a:ln>
          </c:spPr>
        </c:majorGridlines>
        <c:numFmt formatCode="General" sourceLinked="1"/>
        <c:tickLblPos val="low"/>
        <c:spPr>
          <a:ln w="3162">
            <a:solidFill>
              <a:srgbClr val="000000"/>
            </a:solidFill>
            <a:prstDash val="solid"/>
          </a:ln>
        </c:spPr>
        <c:txPr>
          <a:bodyPr rot="0" vert="horz"/>
          <a:lstStyle/>
          <a:p>
            <a:pPr>
              <a:defRPr sz="1397" b="0" i="0" u="none" strike="noStrike" baseline="0">
                <a:solidFill>
                  <a:srgbClr val="000000"/>
                </a:solidFill>
                <a:latin typeface="Times New Roman"/>
                <a:ea typeface="Times New Roman"/>
                <a:cs typeface="Times New Roman"/>
              </a:defRPr>
            </a:pPr>
            <a:endParaRPr lang="ru-RU"/>
          </a:p>
        </c:txPr>
        <c:crossAx val="74008832"/>
        <c:crosses val="autoZero"/>
        <c:auto val="1"/>
        <c:lblAlgn val="ctr"/>
        <c:lblOffset val="100"/>
        <c:tickLblSkip val="1"/>
        <c:tickMarkSkip val="1"/>
      </c:catAx>
      <c:valAx>
        <c:axId val="74008832"/>
        <c:scaling>
          <c:orientation val="minMax"/>
        </c:scaling>
        <c:axPos val="l"/>
        <c:majorGridlines>
          <c:spPr>
            <a:ln w="3162">
              <a:solidFill>
                <a:srgbClr val="000000"/>
              </a:solidFill>
              <a:prstDash val="solid"/>
            </a:ln>
          </c:spPr>
        </c:majorGridlines>
        <c:numFmt formatCode="General" sourceLinked="1"/>
        <c:tickLblPos val="nextTo"/>
        <c:spPr>
          <a:ln w="3162">
            <a:solidFill>
              <a:srgbClr val="000000"/>
            </a:solidFill>
            <a:prstDash val="solid"/>
          </a:ln>
        </c:spPr>
        <c:txPr>
          <a:bodyPr rot="0" vert="horz"/>
          <a:lstStyle/>
          <a:p>
            <a:pPr>
              <a:defRPr sz="1397" b="0" i="0" u="none" strike="noStrike" baseline="0">
                <a:solidFill>
                  <a:srgbClr val="000000"/>
                </a:solidFill>
                <a:latin typeface="Times New Roman"/>
                <a:ea typeface="Times New Roman"/>
                <a:cs typeface="Times New Roman"/>
              </a:defRPr>
            </a:pPr>
            <a:endParaRPr lang="ru-RU"/>
          </a:p>
        </c:txPr>
        <c:crossAx val="74007296"/>
        <c:crosses val="autoZero"/>
        <c:crossBetween val="between"/>
      </c:valAx>
      <c:spPr>
        <a:solidFill>
          <a:srgbClr val="FFFFFF"/>
        </a:solidFill>
        <a:ln w="25291">
          <a:noFill/>
        </a:ln>
      </c:spPr>
    </c:plotArea>
    <c:legend>
      <c:legendPos val="r"/>
      <c:layout>
        <c:manualLayout>
          <c:xMode val="edge"/>
          <c:yMode val="edge"/>
          <c:x val="0.73843410123007669"/>
          <c:y val="0"/>
          <c:w val="0.26156589876992331"/>
          <c:h val="0.91448394585780413"/>
        </c:manualLayout>
      </c:layout>
      <c:spPr>
        <a:noFill/>
        <a:ln w="3162">
          <a:noFill/>
          <a:prstDash val="solid"/>
        </a:ln>
      </c:spPr>
      <c:txPr>
        <a:bodyPr/>
        <a:lstStyle/>
        <a:p>
          <a:pPr>
            <a:defRPr lang="ru-RU" sz="1279"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397" b="0" i="0" u="none" strike="noStrike" baseline="0">
          <a:solidFill>
            <a:srgbClr val="000000"/>
          </a:solidFill>
          <a:latin typeface="Times New Roman"/>
          <a:ea typeface="Times New Roman"/>
          <a:cs typeface="Times New Roman"/>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view3D>
      <c:hPercent val="106"/>
      <c:depthPercent val="100"/>
      <c:rAngAx val="1"/>
    </c:view3D>
    <c:floor>
      <c:spPr>
        <a:solidFill>
          <a:srgbClr val="C0C0C0"/>
        </a:solidFill>
        <a:ln w="3175">
          <a:solidFill>
            <a:srgbClr val="000000"/>
          </a:solidFill>
          <a:prstDash val="solid"/>
        </a:ln>
      </c:spPr>
    </c:floor>
    <c:sideWall>
      <c:spPr>
        <a:solidFill>
          <a:srgbClr val="FFFFFF"/>
        </a:solidFill>
        <a:ln w="25400">
          <a:noFill/>
        </a:ln>
      </c:spPr>
    </c:sideWall>
    <c:backWall>
      <c:spPr>
        <a:solidFill>
          <a:srgbClr val="FFFFFF"/>
        </a:solidFill>
        <a:ln w="25400">
          <a:noFill/>
        </a:ln>
      </c:spPr>
    </c:backWall>
    <c:plotArea>
      <c:layout>
        <c:manualLayout>
          <c:layoutTarget val="inner"/>
          <c:xMode val="edge"/>
          <c:yMode val="edge"/>
          <c:x val="5.1601423487544477E-2"/>
          <c:y val="5.0691244239631728E-2"/>
          <c:w val="0.66014234875444844"/>
          <c:h val="0.83410138248849131"/>
        </c:manualLayout>
      </c:layout>
      <c:bar3DChart>
        <c:barDir val="col"/>
        <c:grouping val="clustered"/>
        <c:ser>
          <c:idx val="0"/>
          <c:order val="0"/>
          <c:tx>
            <c:strRef>
              <c:f>Sheet1!$B$1</c:f>
              <c:strCache>
                <c:ptCount val="1"/>
                <c:pt idx="0">
                  <c:v>III ст., консервативна терапія</c:v>
                </c:pt>
              </c:strCache>
            </c:strRef>
          </c:tx>
          <c:spPr>
            <a:solidFill>
              <a:srgbClr val="000000"/>
            </a:solidFill>
            <a:ln w="12695">
              <a:solidFill>
                <a:srgbClr val="000000"/>
              </a:solidFill>
              <a:prstDash val="solid"/>
            </a:ln>
          </c:spPr>
          <c:cat>
            <c:strRef>
              <c:f>Sheet1!$A$2:$A$4</c:f>
              <c:strCache>
                <c:ptCount val="3"/>
                <c:pt idx="0">
                  <c:v>вихідні дані</c:v>
                </c:pt>
                <c:pt idx="1">
                  <c:v>6 міс</c:v>
                </c:pt>
                <c:pt idx="2">
                  <c:v>12 міс</c:v>
                </c:pt>
              </c:strCache>
            </c:strRef>
          </c:cat>
          <c:val>
            <c:numRef>
              <c:f>Sheet1!$B$2:$B$4</c:f>
              <c:numCache>
                <c:formatCode>General</c:formatCode>
                <c:ptCount val="3"/>
                <c:pt idx="0">
                  <c:v>5</c:v>
                </c:pt>
                <c:pt idx="1">
                  <c:v>4</c:v>
                </c:pt>
                <c:pt idx="2">
                  <c:v>4.3</c:v>
                </c:pt>
              </c:numCache>
            </c:numRef>
          </c:val>
        </c:ser>
        <c:ser>
          <c:idx val="1"/>
          <c:order val="1"/>
          <c:tx>
            <c:strRef>
              <c:f>Sheet1!$C$1</c:f>
              <c:strCache>
                <c:ptCount val="1"/>
                <c:pt idx="0">
                  <c:v>III ст., ЧБА</c:v>
                </c:pt>
              </c:strCache>
            </c:strRef>
          </c:tx>
          <c:spPr>
            <a:pattFill prst="wdUpDiag">
              <a:fgClr>
                <a:srgbClr val="808080"/>
              </a:fgClr>
              <a:bgClr>
                <a:srgbClr val="FFFFFF"/>
              </a:bgClr>
            </a:pattFill>
            <a:ln w="12695">
              <a:solidFill>
                <a:srgbClr val="000000"/>
              </a:solidFill>
              <a:prstDash val="solid"/>
            </a:ln>
          </c:spPr>
          <c:cat>
            <c:strRef>
              <c:f>Sheet1!$A$2:$A$4</c:f>
              <c:strCache>
                <c:ptCount val="3"/>
                <c:pt idx="0">
                  <c:v>вихідні дані</c:v>
                </c:pt>
                <c:pt idx="1">
                  <c:v>6 міс</c:v>
                </c:pt>
                <c:pt idx="2">
                  <c:v>12 міс</c:v>
                </c:pt>
              </c:strCache>
            </c:strRef>
          </c:cat>
          <c:val>
            <c:numRef>
              <c:f>Sheet1!$C$2:$C$4</c:f>
              <c:numCache>
                <c:formatCode>General</c:formatCode>
                <c:ptCount val="3"/>
                <c:pt idx="0">
                  <c:v>6.1</c:v>
                </c:pt>
                <c:pt idx="1">
                  <c:v>5.6</c:v>
                </c:pt>
                <c:pt idx="2">
                  <c:v>5</c:v>
                </c:pt>
              </c:numCache>
            </c:numRef>
          </c:val>
        </c:ser>
        <c:ser>
          <c:idx val="2"/>
          <c:order val="2"/>
          <c:tx>
            <c:strRef>
              <c:f>Sheet1!$D$1</c:f>
              <c:strCache>
                <c:ptCount val="1"/>
                <c:pt idx="0">
                  <c:v>IV ст., консервативна терапія</c:v>
                </c:pt>
              </c:strCache>
            </c:strRef>
          </c:tx>
          <c:spPr>
            <a:pattFill prst="dkHorz">
              <a:fgClr>
                <a:srgbClr val="808080"/>
              </a:fgClr>
              <a:bgClr>
                <a:srgbClr val="FFFFFF"/>
              </a:bgClr>
            </a:pattFill>
            <a:ln w="12695">
              <a:solidFill>
                <a:srgbClr val="000000"/>
              </a:solidFill>
              <a:prstDash val="solid"/>
            </a:ln>
          </c:spPr>
          <c:cat>
            <c:strRef>
              <c:f>Sheet1!$A$2:$A$4</c:f>
              <c:strCache>
                <c:ptCount val="3"/>
                <c:pt idx="0">
                  <c:v>вихідні дані</c:v>
                </c:pt>
                <c:pt idx="1">
                  <c:v>6 міс</c:v>
                </c:pt>
                <c:pt idx="2">
                  <c:v>12 міс</c:v>
                </c:pt>
              </c:strCache>
            </c:strRef>
          </c:cat>
          <c:val>
            <c:numRef>
              <c:f>Sheet1!$D$2:$D$4</c:f>
              <c:numCache>
                <c:formatCode>General</c:formatCode>
                <c:ptCount val="3"/>
                <c:pt idx="0">
                  <c:v>3.8</c:v>
                </c:pt>
                <c:pt idx="1">
                  <c:v>4.3</c:v>
                </c:pt>
                <c:pt idx="2">
                  <c:v>4.8</c:v>
                </c:pt>
              </c:numCache>
            </c:numRef>
          </c:val>
        </c:ser>
        <c:ser>
          <c:idx val="3"/>
          <c:order val="3"/>
          <c:tx>
            <c:strRef>
              <c:f>Sheet1!$E$1</c:f>
              <c:strCache>
                <c:ptCount val="1"/>
                <c:pt idx="0">
                  <c:v>IV cт., ЧБА</c:v>
                </c:pt>
              </c:strCache>
            </c:strRef>
          </c:tx>
          <c:spPr>
            <a:solidFill>
              <a:srgbClr val="FFFFFF"/>
            </a:solidFill>
            <a:ln w="12695">
              <a:solidFill>
                <a:srgbClr val="000000"/>
              </a:solidFill>
              <a:prstDash val="solid"/>
            </a:ln>
          </c:spPr>
          <c:cat>
            <c:strRef>
              <c:f>Sheet1!$A$2:$A$4</c:f>
              <c:strCache>
                <c:ptCount val="3"/>
                <c:pt idx="0">
                  <c:v>вихідні дані</c:v>
                </c:pt>
                <c:pt idx="1">
                  <c:v>6 міс</c:v>
                </c:pt>
                <c:pt idx="2">
                  <c:v>12 міс</c:v>
                </c:pt>
              </c:strCache>
            </c:strRef>
          </c:cat>
          <c:val>
            <c:numRef>
              <c:f>Sheet1!$E$2:$E$4</c:f>
              <c:numCache>
                <c:formatCode>General</c:formatCode>
                <c:ptCount val="3"/>
                <c:pt idx="0">
                  <c:v>5</c:v>
                </c:pt>
                <c:pt idx="1">
                  <c:v>3.9</c:v>
                </c:pt>
                <c:pt idx="2">
                  <c:v>4.0999999999999996</c:v>
                </c:pt>
              </c:numCache>
            </c:numRef>
          </c:val>
        </c:ser>
        <c:ser>
          <c:idx val="4"/>
          <c:order val="4"/>
          <c:tx>
            <c:strRef>
              <c:f>Sheet1!$F$1</c:f>
              <c:strCache>
                <c:ptCount val="1"/>
                <c:pt idx="0">
                  <c:v>IV cт., СГШ</c:v>
                </c:pt>
              </c:strCache>
            </c:strRef>
          </c:tx>
          <c:spPr>
            <a:pattFill prst="lgCheck">
              <a:fgClr>
                <a:srgbClr val="808080"/>
              </a:fgClr>
              <a:bgClr>
                <a:srgbClr val="FFFFFF"/>
              </a:bgClr>
            </a:pattFill>
            <a:ln w="12695">
              <a:solidFill>
                <a:srgbClr val="000000"/>
              </a:solidFill>
              <a:prstDash val="solid"/>
            </a:ln>
          </c:spPr>
          <c:cat>
            <c:strRef>
              <c:f>Sheet1!$A$2:$A$4</c:f>
              <c:strCache>
                <c:ptCount val="3"/>
                <c:pt idx="0">
                  <c:v>вихідні дані</c:v>
                </c:pt>
                <c:pt idx="1">
                  <c:v>6 міс</c:v>
                </c:pt>
                <c:pt idx="2">
                  <c:v>12 міс</c:v>
                </c:pt>
              </c:strCache>
            </c:strRef>
          </c:cat>
          <c:val>
            <c:numRef>
              <c:f>Sheet1!$F$2:$F$4</c:f>
              <c:numCache>
                <c:formatCode>General</c:formatCode>
                <c:ptCount val="3"/>
                <c:pt idx="0">
                  <c:v>5.2</c:v>
                </c:pt>
                <c:pt idx="1">
                  <c:v>3.4</c:v>
                </c:pt>
                <c:pt idx="2">
                  <c:v>3.2</c:v>
                </c:pt>
              </c:numCache>
            </c:numRef>
          </c:val>
        </c:ser>
        <c:gapDepth val="0"/>
        <c:shape val="box"/>
        <c:axId val="74048640"/>
        <c:axId val="74050176"/>
        <c:axId val="0"/>
      </c:bar3DChart>
      <c:catAx>
        <c:axId val="74048640"/>
        <c:scaling>
          <c:orientation val="minMax"/>
        </c:scaling>
        <c:axPos val="b"/>
        <c:majorGridlines>
          <c:spPr>
            <a:ln w="3175">
              <a:solidFill>
                <a:srgbClr val="000000"/>
              </a:solidFill>
              <a:prstDash val="solid"/>
            </a:ln>
          </c:spPr>
        </c:majorGridlines>
        <c:numFmt formatCode="General" sourceLinked="1"/>
        <c:tickLblPos val="low"/>
        <c:spPr>
          <a:ln w="3175">
            <a:solidFill>
              <a:srgbClr val="000000"/>
            </a:solidFill>
            <a:prstDash val="solid"/>
          </a:ln>
        </c:spPr>
        <c:txPr>
          <a:bodyPr rot="0" vert="horz"/>
          <a:lstStyle/>
          <a:p>
            <a:pPr>
              <a:defRPr sz="1401" b="0" i="0" u="none" strike="noStrike" baseline="0">
                <a:solidFill>
                  <a:srgbClr val="000000"/>
                </a:solidFill>
                <a:latin typeface="Times New Roman"/>
                <a:ea typeface="Times New Roman"/>
                <a:cs typeface="Times New Roman"/>
              </a:defRPr>
            </a:pPr>
            <a:endParaRPr lang="ru-RU"/>
          </a:p>
        </c:txPr>
        <c:crossAx val="74050176"/>
        <c:crosses val="autoZero"/>
        <c:auto val="1"/>
        <c:lblAlgn val="ctr"/>
        <c:lblOffset val="100"/>
        <c:tickLblSkip val="1"/>
        <c:tickMarkSkip val="1"/>
      </c:catAx>
      <c:valAx>
        <c:axId val="740501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401" b="0" i="0" u="none" strike="noStrike" baseline="0">
                <a:solidFill>
                  <a:srgbClr val="000000"/>
                </a:solidFill>
                <a:latin typeface="Times New Roman"/>
                <a:ea typeface="Times New Roman"/>
                <a:cs typeface="Times New Roman"/>
              </a:defRPr>
            </a:pPr>
            <a:endParaRPr lang="ru-RU"/>
          </a:p>
        </c:txPr>
        <c:crossAx val="74048640"/>
        <c:crosses val="autoZero"/>
        <c:crossBetween val="between"/>
      </c:valAx>
      <c:spPr>
        <a:solidFill>
          <a:srgbClr val="FFFFFF"/>
        </a:solidFill>
        <a:ln w="25391">
          <a:noFill/>
        </a:ln>
      </c:spPr>
    </c:plotArea>
    <c:legend>
      <c:legendPos val="r"/>
      <c:layout>
        <c:manualLayout>
          <c:xMode val="edge"/>
          <c:yMode val="edge"/>
          <c:x val="0.73843408611356764"/>
          <c:y val="0"/>
          <c:w val="0.26156591388643236"/>
          <c:h val="0.86635942920928155"/>
        </c:manualLayout>
      </c:layout>
      <c:spPr>
        <a:noFill/>
        <a:ln w="3175">
          <a:noFill/>
          <a:prstDash val="solid"/>
        </a:ln>
      </c:spPr>
      <c:txPr>
        <a:bodyPr/>
        <a:lstStyle/>
        <a:p>
          <a:pPr>
            <a:defRPr lang="ru-RU" sz="1284" b="0" i="0" u="none" strike="noStrike" baseline="0">
              <a:ln w="3175">
                <a:noFill/>
              </a:ln>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1" b="0" i="0" u="none" strike="noStrike" baseline="0">
          <a:solidFill>
            <a:srgbClr val="000000"/>
          </a:solidFill>
          <a:latin typeface="Times New Roman"/>
          <a:ea typeface="Times New Roman"/>
          <a:cs typeface="Times New Roman"/>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ru-RU"/>
            </a:pPr>
            <a:r>
              <a:rPr lang="ru-RU" sz="1400" b="0">
                <a:latin typeface="Times New Roman" pitchFamily="18" charset="0"/>
                <a:cs typeface="Times New Roman" pitchFamily="18" charset="0"/>
              </a:rPr>
              <a:t>Результат</a:t>
            </a:r>
            <a:r>
              <a:rPr lang="ru-RU" sz="1400" b="0" baseline="0">
                <a:latin typeface="Times New Roman" pitchFamily="18" charset="0"/>
                <a:cs typeface="Times New Roman" pitchFamily="18" charset="0"/>
              </a:rPr>
              <a:t> через 1 рік </a:t>
            </a:r>
          </a:p>
          <a:p>
            <a:pPr>
              <a:defRPr lang="ru-RU"/>
            </a:pPr>
            <a:r>
              <a:rPr lang="ru-RU" sz="1400" b="0" baseline="0">
                <a:latin typeface="Times New Roman" pitchFamily="18" charset="0"/>
                <a:cs typeface="Times New Roman" pitchFamily="18" charset="0"/>
              </a:rPr>
              <a:t>основна група</a:t>
            </a:r>
            <a:endParaRPr lang="ru-RU" sz="1400" b="0">
              <a:latin typeface="Times New Roman" pitchFamily="18" charset="0"/>
              <a:cs typeface="Times New Roman" pitchFamily="18" charset="0"/>
            </a:endParaRPr>
          </a:p>
        </c:rich>
      </c:tx>
      <c:layout>
        <c:manualLayout>
          <c:xMode val="edge"/>
          <c:yMode val="edge"/>
          <c:x val="0.22692446835565458"/>
          <c:y val="0"/>
        </c:manualLayout>
      </c:layout>
    </c:title>
    <c:plotArea>
      <c:layout>
        <c:manualLayout>
          <c:layoutTarget val="inner"/>
          <c:xMode val="edge"/>
          <c:yMode val="edge"/>
          <c:x val="0.15208608556651773"/>
          <c:y val="0.14045031147650028"/>
          <c:w val="0.60164227117565661"/>
          <c:h val="0.55984805994942144"/>
        </c:manualLayout>
      </c:layout>
      <c:pieChart>
        <c:varyColors val="1"/>
        <c:ser>
          <c:idx val="0"/>
          <c:order val="0"/>
          <c:tx>
            <c:strRef>
              <c:f>Лист1!$B$1</c:f>
              <c:strCache>
                <c:ptCount val="1"/>
                <c:pt idx="0">
                  <c:v>Лікування</c:v>
                </c:pt>
              </c:strCache>
            </c:strRef>
          </c:tx>
          <c:explosion val="9"/>
          <c:dPt>
            <c:idx val="0"/>
            <c:explosion val="0"/>
          </c:dPt>
          <c:dPt>
            <c:idx val="3"/>
            <c:explosion val="15"/>
          </c:dPt>
          <c:cat>
            <c:strRef>
              <c:f>Лист1!$A$2:$A$5</c:f>
              <c:strCache>
                <c:ptCount val="4"/>
                <c:pt idx="0">
                  <c:v>Купіювання ХКІНК</c:v>
                </c:pt>
                <c:pt idx="1">
                  <c:v>ХКІНК</c:v>
                </c:pt>
                <c:pt idx="2">
                  <c:v>Живі з ампутованою кінцівкою</c:v>
                </c:pt>
                <c:pt idx="3">
                  <c:v>Померли</c:v>
                </c:pt>
              </c:strCache>
            </c:strRef>
          </c:cat>
          <c:val>
            <c:numRef>
              <c:f>Лист1!$B$2:$B$5</c:f>
              <c:numCache>
                <c:formatCode>General</c:formatCode>
                <c:ptCount val="4"/>
                <c:pt idx="0">
                  <c:v>27</c:v>
                </c:pt>
                <c:pt idx="1">
                  <c:v>26</c:v>
                </c:pt>
                <c:pt idx="2">
                  <c:v>1</c:v>
                </c:pt>
                <c:pt idx="3">
                  <c:v>1</c:v>
                </c:pt>
              </c:numCache>
            </c:numRef>
          </c:val>
        </c:ser>
        <c:firstSliceAng val="0"/>
      </c:pieChart>
    </c:plotArea>
    <c:legend>
      <c:legendPos val="r"/>
      <c:layout>
        <c:manualLayout>
          <c:xMode val="edge"/>
          <c:yMode val="edge"/>
          <c:x val="3.0763854518185231E-2"/>
          <c:y val="0.75704348368865848"/>
          <c:w val="0.9081638467843115"/>
          <c:h val="0.24295651631134499"/>
        </c:manualLayout>
      </c:layout>
      <c:txPr>
        <a:bodyPr/>
        <a:lstStyle/>
        <a:p>
          <a:pPr>
            <a:defRPr lang="ru-RU" sz="1400">
              <a:latin typeface="Times New Roman" pitchFamily="18" charset="0"/>
              <a:cs typeface="Times New Roman" pitchFamily="18" charset="0"/>
            </a:defRPr>
          </a:pPr>
          <a:endParaRPr lang="ru-RU"/>
        </a:p>
      </c:txPr>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ru-RU"/>
            </a:pPr>
            <a:r>
              <a:rPr lang="ru-RU" sz="1400" b="0">
                <a:latin typeface="Times New Roman" pitchFamily="18" charset="0"/>
                <a:cs typeface="Times New Roman" pitchFamily="18" charset="0"/>
              </a:rPr>
              <a:t>Результат через 1 рік</a:t>
            </a:r>
          </a:p>
          <a:p>
            <a:pPr>
              <a:defRPr lang="ru-RU"/>
            </a:pPr>
            <a:r>
              <a:rPr lang="ru-RU" sz="1400" b="0">
                <a:latin typeface="Times New Roman" pitchFamily="18" charset="0"/>
                <a:cs typeface="Times New Roman" pitchFamily="18" charset="0"/>
              </a:rPr>
              <a:t>група порівняння</a:t>
            </a:r>
          </a:p>
        </c:rich>
      </c:tx>
      <c:layout>
        <c:manualLayout>
          <c:xMode val="edge"/>
          <c:yMode val="edge"/>
          <c:x val="0.22462120568007263"/>
          <c:y val="0"/>
        </c:manualLayout>
      </c:layout>
    </c:title>
    <c:plotArea>
      <c:layout>
        <c:manualLayout>
          <c:layoutTarget val="inner"/>
          <c:xMode val="edge"/>
          <c:yMode val="edge"/>
          <c:x val="0.20716474743290494"/>
          <c:y val="0.13503547044533609"/>
          <c:w val="0.64055092263337476"/>
          <c:h val="0.58192491533740842"/>
        </c:manualLayout>
      </c:layout>
      <c:pieChart>
        <c:varyColors val="1"/>
        <c:ser>
          <c:idx val="0"/>
          <c:order val="0"/>
          <c:tx>
            <c:strRef>
              <c:f>Лист1!$B$1</c:f>
              <c:strCache>
                <c:ptCount val="1"/>
                <c:pt idx="0">
                  <c:v>результат чере 1 рік</c:v>
                </c:pt>
              </c:strCache>
            </c:strRef>
          </c:tx>
          <c:explosion val="10"/>
          <c:dPt>
            <c:idx val="0"/>
            <c:explosion val="4"/>
          </c:dPt>
          <c:dPt>
            <c:idx val="1"/>
            <c:explosion val="6"/>
          </c:dPt>
          <c:cat>
            <c:strRef>
              <c:f>Лист1!$A$2:$A$5</c:f>
              <c:strCache>
                <c:ptCount val="4"/>
                <c:pt idx="0">
                  <c:v>Купірування ХКІНК</c:v>
                </c:pt>
                <c:pt idx="1">
                  <c:v>ХКІНК</c:v>
                </c:pt>
                <c:pt idx="2">
                  <c:v>Живі з ампутованою кінцівкою</c:v>
                </c:pt>
                <c:pt idx="3">
                  <c:v>Померли</c:v>
                </c:pt>
              </c:strCache>
            </c:strRef>
          </c:cat>
          <c:val>
            <c:numRef>
              <c:f>Лист1!$B$2:$B$5</c:f>
              <c:numCache>
                <c:formatCode>General</c:formatCode>
                <c:ptCount val="4"/>
                <c:pt idx="0">
                  <c:v>15</c:v>
                </c:pt>
                <c:pt idx="1">
                  <c:v>27</c:v>
                </c:pt>
                <c:pt idx="2">
                  <c:v>5</c:v>
                </c:pt>
                <c:pt idx="3">
                  <c:v>3</c:v>
                </c:pt>
              </c:numCache>
            </c:numRef>
          </c:val>
        </c:ser>
        <c:firstSliceAng val="0"/>
      </c:pieChart>
    </c:plotArea>
    <c:legend>
      <c:legendPos val="r"/>
      <c:layout>
        <c:manualLayout>
          <c:xMode val="edge"/>
          <c:yMode val="edge"/>
          <c:x val="0"/>
          <c:y val="0.7273558615592457"/>
          <c:w val="0.89068670943158934"/>
          <c:h val="0.27110809550061488"/>
        </c:manualLayout>
      </c:layout>
      <c:txPr>
        <a:bodyPr/>
        <a:lstStyle/>
        <a:p>
          <a:pPr>
            <a:defRPr lang="ru-RU" sz="1400">
              <a:latin typeface="Times New Roman" pitchFamily="18" charset="0"/>
              <a:cs typeface="Times New Roman" pitchFamily="18" charset="0"/>
            </a:defRPr>
          </a:pPr>
          <a:endParaRPr lang="ru-RU"/>
        </a:p>
      </c:txPr>
    </c:legend>
    <c:plotVisOnly val="1"/>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EA81776-B8B2-456B-AD2F-FE4D973651E8}" type="doc">
      <dgm:prSet loTypeId="urn:microsoft.com/office/officeart/2005/8/layout/chevron2" loCatId="list" qsTypeId="urn:microsoft.com/office/officeart/2005/8/quickstyle/simple3" qsCatId="simple" csTypeId="urn:microsoft.com/office/officeart/2005/8/colors/accent1_2" csCatId="accent1" phldr="1"/>
      <dgm:spPr/>
      <dgm:t>
        <a:bodyPr/>
        <a:lstStyle/>
        <a:p>
          <a:endParaRPr lang="uk-UA"/>
        </a:p>
      </dgm:t>
    </dgm:pt>
    <dgm:pt modelId="{155E0855-4A23-4BC5-A86B-7326CC9A24AA}">
      <dgm:prSet phldrT="[Текст]" custT="1"/>
      <dgm:spPr/>
      <dgm:t>
        <a:bodyPr/>
        <a:lstStyle/>
        <a:p>
          <a:r>
            <a:rPr lang="uk-UA" sz="1400">
              <a:latin typeface="Times New Roman" pitchFamily="18" charset="0"/>
              <a:cs typeface="Times New Roman" pitchFamily="18" charset="0"/>
            </a:rPr>
            <a:t>Хворі на ХКІНК</a:t>
          </a:r>
          <a:endParaRPr lang="uk-UA" sz="1400"/>
        </a:p>
      </dgm:t>
    </dgm:pt>
    <dgm:pt modelId="{FEA5C6F3-B677-43B9-9686-2D8712871092}" type="parTrans" cxnId="{ACD1A07C-0192-416D-B89D-D952E911EEE6}">
      <dgm:prSet/>
      <dgm:spPr/>
      <dgm:t>
        <a:bodyPr/>
        <a:lstStyle/>
        <a:p>
          <a:endParaRPr lang="uk-UA"/>
        </a:p>
      </dgm:t>
    </dgm:pt>
    <dgm:pt modelId="{35620B38-94EF-4885-BF76-E875C85A18C7}" type="sibTrans" cxnId="{ACD1A07C-0192-416D-B89D-D952E911EEE6}">
      <dgm:prSet/>
      <dgm:spPr/>
      <dgm:t>
        <a:bodyPr/>
        <a:lstStyle/>
        <a:p>
          <a:endParaRPr lang="uk-UA"/>
        </a:p>
      </dgm:t>
    </dgm:pt>
    <dgm:pt modelId="{2DEBEB82-0F9D-4073-A707-E6C420985B87}">
      <dgm:prSet phldrT="[Текст]" custT="1"/>
      <dgm:spPr>
        <a:solidFill>
          <a:schemeClr val="tx2">
            <a:lumMod val="20000"/>
            <a:lumOff val="80000"/>
            <a:alpha val="90000"/>
          </a:schemeClr>
        </a:solidFill>
      </dgm:spPr>
      <dgm:t>
        <a:bodyPr/>
        <a:lstStyle/>
        <a:p>
          <a:r>
            <a:rPr lang="uk-UA" sz="1400">
              <a:latin typeface="Times New Roman" pitchFamily="18" charset="0"/>
              <a:cs typeface="Times New Roman" pitchFamily="18" charset="0"/>
            </a:rPr>
            <a:t>Виявлення клінічних проявів ХКІНК на основі фізикального обстеження </a:t>
          </a:r>
          <a:endParaRPr lang="uk-UA" sz="1400"/>
        </a:p>
      </dgm:t>
    </dgm:pt>
    <dgm:pt modelId="{DF99198B-581F-40BB-9D70-509FE2D13E29}" type="parTrans" cxnId="{49A1B90E-449A-4A04-85A0-818E8F887216}">
      <dgm:prSet/>
      <dgm:spPr/>
      <dgm:t>
        <a:bodyPr/>
        <a:lstStyle/>
        <a:p>
          <a:endParaRPr lang="uk-UA"/>
        </a:p>
      </dgm:t>
    </dgm:pt>
    <dgm:pt modelId="{D141C812-3C1F-4EA4-9964-A510519C95C9}" type="sibTrans" cxnId="{49A1B90E-449A-4A04-85A0-818E8F887216}">
      <dgm:prSet/>
      <dgm:spPr/>
      <dgm:t>
        <a:bodyPr/>
        <a:lstStyle/>
        <a:p>
          <a:endParaRPr lang="uk-UA"/>
        </a:p>
      </dgm:t>
    </dgm:pt>
    <dgm:pt modelId="{9C9722A5-B749-47E8-8572-9DB21C5BE4EE}">
      <dgm:prSet phldrT="[Текст]" custT="1"/>
      <dgm:spPr>
        <a:solidFill>
          <a:schemeClr val="tx2">
            <a:lumMod val="20000"/>
            <a:lumOff val="80000"/>
            <a:alpha val="90000"/>
          </a:schemeClr>
        </a:solidFill>
      </dgm:spPr>
      <dgm:t>
        <a:bodyPr/>
        <a:lstStyle/>
        <a:p>
          <a:r>
            <a:rPr lang="uk-UA" sz="1400">
              <a:latin typeface="Times New Roman" pitchFamily="18" charset="0"/>
              <a:cs typeface="Times New Roman" pitchFamily="18" charset="0"/>
            </a:rPr>
            <a:t>УЗДГ-дослідження та визначення форми ураження судин нижніх кінцівок</a:t>
          </a:r>
          <a:endParaRPr lang="uk-UA" sz="1400"/>
        </a:p>
      </dgm:t>
    </dgm:pt>
    <dgm:pt modelId="{7731FF8C-6932-47C0-9743-50F9F7EBA55D}" type="parTrans" cxnId="{782E5C19-70E2-46D6-8B51-EE564AC9B0A2}">
      <dgm:prSet/>
      <dgm:spPr/>
      <dgm:t>
        <a:bodyPr/>
        <a:lstStyle/>
        <a:p>
          <a:endParaRPr lang="uk-UA"/>
        </a:p>
      </dgm:t>
    </dgm:pt>
    <dgm:pt modelId="{507F96DC-559A-44F5-B0AC-EF2E7BEFE9E4}" type="sibTrans" cxnId="{782E5C19-70E2-46D6-8B51-EE564AC9B0A2}">
      <dgm:prSet/>
      <dgm:spPr/>
      <dgm:t>
        <a:bodyPr/>
        <a:lstStyle/>
        <a:p>
          <a:endParaRPr lang="uk-UA"/>
        </a:p>
      </dgm:t>
    </dgm:pt>
    <dgm:pt modelId="{1C552980-BC7F-48EE-A14D-C5BD736808AB}">
      <dgm:prSet phldrT="[Текст]" custT="1"/>
      <dgm:spPr/>
      <dgm:t>
        <a:bodyPr/>
        <a:lstStyle/>
        <a:p>
          <a:r>
            <a:rPr lang="ru-RU" sz="1400">
              <a:latin typeface="Times New Roman" pitchFamily="18" charset="0"/>
              <a:cs typeface="Times New Roman" pitchFamily="18" charset="0"/>
            </a:rPr>
            <a:t>Оцінка тяжкості ішемії </a:t>
          </a:r>
          <a:endParaRPr lang="uk-UA" sz="1400"/>
        </a:p>
      </dgm:t>
    </dgm:pt>
    <dgm:pt modelId="{1391AAD6-4392-4170-8FA6-B6DA46DB1D29}" type="parTrans" cxnId="{620BF123-8E85-4D9D-B915-34BA3F0DE75F}">
      <dgm:prSet/>
      <dgm:spPr/>
      <dgm:t>
        <a:bodyPr/>
        <a:lstStyle/>
        <a:p>
          <a:endParaRPr lang="uk-UA"/>
        </a:p>
      </dgm:t>
    </dgm:pt>
    <dgm:pt modelId="{3D0D4FF3-3BA1-4818-9720-586CABB2C315}" type="sibTrans" cxnId="{620BF123-8E85-4D9D-B915-34BA3F0DE75F}">
      <dgm:prSet/>
      <dgm:spPr/>
      <dgm:t>
        <a:bodyPr/>
        <a:lstStyle/>
        <a:p>
          <a:endParaRPr lang="uk-UA"/>
        </a:p>
      </dgm:t>
    </dgm:pt>
    <dgm:pt modelId="{05E6596E-AE64-41F6-90FE-F6893B3F51CF}">
      <dgm:prSet phldrT="[Текст]"/>
      <dgm:spPr>
        <a:solidFill>
          <a:schemeClr val="tx2">
            <a:lumMod val="20000"/>
            <a:lumOff val="80000"/>
            <a:alpha val="90000"/>
          </a:schemeClr>
        </a:solidFill>
      </dgm:spPr>
      <dgm:t>
        <a:bodyPr/>
        <a:lstStyle/>
        <a:p>
          <a:r>
            <a:rPr lang="ru-RU">
              <a:latin typeface="Times New Roman" pitchFamily="18" charset="0"/>
              <a:cs typeface="Times New Roman" pitchFamily="18" charset="0"/>
            </a:rPr>
            <a:t>Визначення температурного режиму гомілок</a:t>
          </a:r>
          <a:endParaRPr lang="uk-UA"/>
        </a:p>
      </dgm:t>
    </dgm:pt>
    <dgm:pt modelId="{1674B236-C12A-4F29-9A1B-3F27D844F68B}" type="parTrans" cxnId="{7E6F5AC5-084D-4C36-B302-75E81CB01AB5}">
      <dgm:prSet/>
      <dgm:spPr/>
      <dgm:t>
        <a:bodyPr/>
        <a:lstStyle/>
        <a:p>
          <a:endParaRPr lang="uk-UA"/>
        </a:p>
      </dgm:t>
    </dgm:pt>
    <dgm:pt modelId="{A90CF27C-6CE0-4D7F-AF33-F5DC0089CCB5}" type="sibTrans" cxnId="{7E6F5AC5-084D-4C36-B302-75E81CB01AB5}">
      <dgm:prSet/>
      <dgm:spPr/>
      <dgm:t>
        <a:bodyPr/>
        <a:lstStyle/>
        <a:p>
          <a:endParaRPr lang="uk-UA"/>
        </a:p>
      </dgm:t>
    </dgm:pt>
    <dgm:pt modelId="{DEDECFAD-3A5E-44DD-947E-97764A40F40F}">
      <dgm:prSet phldrT="[Текст]" custT="1"/>
      <dgm:spPr/>
      <dgm:t>
        <a:bodyPr/>
        <a:lstStyle/>
        <a:p>
          <a:r>
            <a:rPr lang="uk-UA" sz="1400">
              <a:latin typeface="Times New Roman" pitchFamily="18" charset="0"/>
              <a:cs typeface="Times New Roman" pitchFamily="18" charset="0"/>
            </a:rPr>
            <a:t>Ангіо-графічне дослід-ження або КТ у судинному режимі</a:t>
          </a:r>
        </a:p>
      </dgm:t>
    </dgm:pt>
    <dgm:pt modelId="{0FCCD1A0-6DB6-4110-8912-A9EC013A547A}" type="parTrans" cxnId="{47141053-2B15-4D55-B139-1D4B5BDAFC8C}">
      <dgm:prSet/>
      <dgm:spPr/>
      <dgm:t>
        <a:bodyPr/>
        <a:lstStyle/>
        <a:p>
          <a:endParaRPr lang="uk-UA"/>
        </a:p>
      </dgm:t>
    </dgm:pt>
    <dgm:pt modelId="{8677A1A1-93A3-4E4A-B9AE-488FBABAAB5B}" type="sibTrans" cxnId="{47141053-2B15-4D55-B139-1D4B5BDAFC8C}">
      <dgm:prSet/>
      <dgm:spPr/>
      <dgm:t>
        <a:bodyPr/>
        <a:lstStyle/>
        <a:p>
          <a:endParaRPr lang="uk-UA"/>
        </a:p>
      </dgm:t>
    </dgm:pt>
    <dgm:pt modelId="{74365B42-E8DC-4D69-9D40-0F0178A43CED}">
      <dgm:prSet phldrT="[Текст]"/>
      <dgm:spPr>
        <a:solidFill>
          <a:schemeClr val="tx2">
            <a:lumMod val="20000"/>
            <a:lumOff val="80000"/>
            <a:alpha val="90000"/>
          </a:schemeClr>
        </a:solidFill>
      </dgm:spPr>
      <dgm:t>
        <a:bodyPr/>
        <a:lstStyle/>
        <a:p>
          <a:r>
            <a:rPr lang="ru-RU">
              <a:latin typeface="Times New Roman" pitchFamily="18" charset="0"/>
              <a:cs typeface="Times New Roman" pitchFamily="18" charset="0"/>
            </a:rPr>
            <a:t>Визначення типу ураження артерій та с</a:t>
          </a:r>
          <a:r>
            <a:rPr lang="uk-UA">
              <a:latin typeface="Times New Roman" pitchFamily="18" charset="0"/>
              <a:cs typeface="Times New Roman" pitchFamily="18" charset="0"/>
            </a:rPr>
            <a:t>тану шляхів відтоку</a:t>
          </a:r>
          <a:r>
            <a:rPr lang="ru-RU">
              <a:latin typeface="Times New Roman" pitchFamily="18" charset="0"/>
              <a:cs typeface="Times New Roman" pitchFamily="18" charset="0"/>
            </a:rPr>
            <a:t> за R. Rutherford</a:t>
          </a:r>
          <a:endParaRPr lang="uk-UA"/>
        </a:p>
      </dgm:t>
    </dgm:pt>
    <dgm:pt modelId="{A2B3D871-C113-422C-A51B-C4FF83C08048}" type="parTrans" cxnId="{07D14146-5C01-4B0A-B136-399EA0FC8AA4}">
      <dgm:prSet/>
      <dgm:spPr/>
      <dgm:t>
        <a:bodyPr/>
        <a:lstStyle/>
        <a:p>
          <a:endParaRPr lang="uk-UA"/>
        </a:p>
      </dgm:t>
    </dgm:pt>
    <dgm:pt modelId="{7DDE8FAC-1ECC-41C4-8238-ADF03B58F4E5}" type="sibTrans" cxnId="{07D14146-5C01-4B0A-B136-399EA0FC8AA4}">
      <dgm:prSet/>
      <dgm:spPr/>
      <dgm:t>
        <a:bodyPr/>
        <a:lstStyle/>
        <a:p>
          <a:endParaRPr lang="uk-UA"/>
        </a:p>
      </dgm:t>
    </dgm:pt>
    <dgm:pt modelId="{A8CAD187-1D73-4135-B39C-A36029BFBAA1}">
      <dgm:prSet phldrT="[Текст]"/>
      <dgm:spPr>
        <a:solidFill>
          <a:schemeClr val="tx2">
            <a:lumMod val="20000"/>
            <a:lumOff val="80000"/>
            <a:alpha val="90000"/>
          </a:schemeClr>
        </a:solidFill>
      </dgm:spPr>
      <dgm:t>
        <a:bodyPr/>
        <a:lstStyle/>
        <a:p>
          <a:r>
            <a:rPr lang="uk-UA">
              <a:latin typeface="Times New Roman" pitchFamily="18" charset="0"/>
              <a:cs typeface="Times New Roman" pitchFamily="18" charset="0"/>
            </a:rPr>
            <a:t>Визначення тактики та прогноз лікування хворого</a:t>
          </a:r>
        </a:p>
      </dgm:t>
    </dgm:pt>
    <dgm:pt modelId="{D579F43E-D33A-42AB-88AD-65B5CA24D961}" type="parTrans" cxnId="{9054F905-BE7C-40FD-95E8-7879333F6446}">
      <dgm:prSet/>
      <dgm:spPr/>
      <dgm:t>
        <a:bodyPr/>
        <a:lstStyle/>
        <a:p>
          <a:endParaRPr lang="uk-UA"/>
        </a:p>
      </dgm:t>
    </dgm:pt>
    <dgm:pt modelId="{16900BBE-D8D0-457E-A0B7-55F35CFC4880}" type="sibTrans" cxnId="{9054F905-BE7C-40FD-95E8-7879333F6446}">
      <dgm:prSet/>
      <dgm:spPr/>
      <dgm:t>
        <a:bodyPr/>
        <a:lstStyle/>
        <a:p>
          <a:endParaRPr lang="uk-UA"/>
        </a:p>
      </dgm:t>
    </dgm:pt>
    <dgm:pt modelId="{D6471552-4B6C-46B0-A916-709A415DD339}">
      <dgm:prSet phldrT="[Текст]"/>
      <dgm:spPr>
        <a:solidFill>
          <a:schemeClr val="tx2">
            <a:lumMod val="20000"/>
            <a:lumOff val="80000"/>
            <a:alpha val="90000"/>
          </a:schemeClr>
        </a:solidFill>
      </dgm:spPr>
      <dgm:t>
        <a:bodyPr/>
        <a:lstStyle/>
        <a:p>
          <a:r>
            <a:rPr lang="ru-RU">
              <a:latin typeface="Times New Roman" pitchFamily="18" charset="0"/>
              <a:cs typeface="Times New Roman" pitchFamily="18" charset="0"/>
            </a:rPr>
            <a:t>Визначення tcpO2 у тканинах ступні хворої кінцівки  </a:t>
          </a:r>
          <a:endParaRPr lang="uk-UA"/>
        </a:p>
      </dgm:t>
    </dgm:pt>
    <dgm:pt modelId="{833BE21C-2AE6-4FCD-817D-C54D04B777A3}" type="parTrans" cxnId="{47FE5D4E-E9D6-47A8-8C64-EBDED623FFCB}">
      <dgm:prSet/>
      <dgm:spPr/>
      <dgm:t>
        <a:bodyPr/>
        <a:lstStyle/>
        <a:p>
          <a:endParaRPr lang="uk-UA"/>
        </a:p>
      </dgm:t>
    </dgm:pt>
    <dgm:pt modelId="{863082D7-BFE6-4DD0-82B3-F7EABDD45EBF}" type="sibTrans" cxnId="{47FE5D4E-E9D6-47A8-8C64-EBDED623FFCB}">
      <dgm:prSet/>
      <dgm:spPr/>
      <dgm:t>
        <a:bodyPr/>
        <a:lstStyle/>
        <a:p>
          <a:endParaRPr lang="uk-UA"/>
        </a:p>
      </dgm:t>
    </dgm:pt>
    <dgm:pt modelId="{30C16048-D5A0-4154-A4E5-330291DA299C}" type="pres">
      <dgm:prSet presAssocID="{FEA81776-B8B2-456B-AD2F-FE4D973651E8}" presName="linearFlow" presStyleCnt="0">
        <dgm:presLayoutVars>
          <dgm:dir/>
          <dgm:animLvl val="lvl"/>
          <dgm:resizeHandles val="exact"/>
        </dgm:presLayoutVars>
      </dgm:prSet>
      <dgm:spPr/>
      <dgm:t>
        <a:bodyPr/>
        <a:lstStyle/>
        <a:p>
          <a:endParaRPr lang="uk-UA"/>
        </a:p>
      </dgm:t>
    </dgm:pt>
    <dgm:pt modelId="{E936FD40-8D2A-4AC8-B415-CFB4E9634DA7}" type="pres">
      <dgm:prSet presAssocID="{155E0855-4A23-4BC5-A86B-7326CC9A24AA}" presName="composite" presStyleCnt="0"/>
      <dgm:spPr/>
    </dgm:pt>
    <dgm:pt modelId="{3B03CBD4-E53E-4B9B-B054-EBCFBFE95B84}" type="pres">
      <dgm:prSet presAssocID="{155E0855-4A23-4BC5-A86B-7326CC9A24AA}" presName="parentText" presStyleLbl="alignNode1" presStyleIdx="0" presStyleCnt="3">
        <dgm:presLayoutVars>
          <dgm:chMax val="1"/>
          <dgm:bulletEnabled val="1"/>
        </dgm:presLayoutVars>
      </dgm:prSet>
      <dgm:spPr/>
      <dgm:t>
        <a:bodyPr/>
        <a:lstStyle/>
        <a:p>
          <a:endParaRPr lang="uk-UA"/>
        </a:p>
      </dgm:t>
    </dgm:pt>
    <dgm:pt modelId="{03BBD97F-CCB8-40A5-B35E-B3EC1AAFBE6F}" type="pres">
      <dgm:prSet presAssocID="{155E0855-4A23-4BC5-A86B-7326CC9A24AA}" presName="descendantText" presStyleLbl="alignAcc1" presStyleIdx="0" presStyleCnt="3" custScaleY="122285">
        <dgm:presLayoutVars>
          <dgm:bulletEnabled val="1"/>
        </dgm:presLayoutVars>
      </dgm:prSet>
      <dgm:spPr/>
      <dgm:t>
        <a:bodyPr/>
        <a:lstStyle/>
        <a:p>
          <a:endParaRPr lang="uk-UA"/>
        </a:p>
      </dgm:t>
    </dgm:pt>
    <dgm:pt modelId="{D1B19A80-9B61-4516-94F1-34E6C99E0EE4}" type="pres">
      <dgm:prSet presAssocID="{35620B38-94EF-4885-BF76-E875C85A18C7}" presName="sp" presStyleCnt="0"/>
      <dgm:spPr/>
    </dgm:pt>
    <dgm:pt modelId="{B62C6A1F-7FFE-46A1-8460-EC24158A067F}" type="pres">
      <dgm:prSet presAssocID="{1C552980-BC7F-48EE-A14D-C5BD736808AB}" presName="composite" presStyleCnt="0"/>
      <dgm:spPr/>
    </dgm:pt>
    <dgm:pt modelId="{ACCBE7A4-2CEF-4937-A60A-22EE1467ADFD}" type="pres">
      <dgm:prSet presAssocID="{1C552980-BC7F-48EE-A14D-C5BD736808AB}" presName="parentText" presStyleLbl="alignNode1" presStyleIdx="1" presStyleCnt="3" custScaleY="116692" custLinFactNeighborY="4084">
        <dgm:presLayoutVars>
          <dgm:chMax val="1"/>
          <dgm:bulletEnabled val="1"/>
        </dgm:presLayoutVars>
      </dgm:prSet>
      <dgm:spPr/>
      <dgm:t>
        <a:bodyPr/>
        <a:lstStyle/>
        <a:p>
          <a:endParaRPr lang="uk-UA"/>
        </a:p>
      </dgm:t>
    </dgm:pt>
    <dgm:pt modelId="{7D939308-0E37-425D-B48D-989E66844A99}" type="pres">
      <dgm:prSet presAssocID="{1C552980-BC7F-48EE-A14D-C5BD736808AB}" presName="descendantText" presStyleLbl="alignAcc1" presStyleIdx="1" presStyleCnt="3">
        <dgm:presLayoutVars>
          <dgm:bulletEnabled val="1"/>
        </dgm:presLayoutVars>
      </dgm:prSet>
      <dgm:spPr/>
      <dgm:t>
        <a:bodyPr/>
        <a:lstStyle/>
        <a:p>
          <a:endParaRPr lang="uk-UA"/>
        </a:p>
      </dgm:t>
    </dgm:pt>
    <dgm:pt modelId="{19959BF5-CA12-42D0-BD28-04643924754E}" type="pres">
      <dgm:prSet presAssocID="{3D0D4FF3-3BA1-4818-9720-586CABB2C315}" presName="sp" presStyleCnt="0"/>
      <dgm:spPr/>
    </dgm:pt>
    <dgm:pt modelId="{86B49FB9-11A3-46FF-B31D-1FAB340B6B40}" type="pres">
      <dgm:prSet presAssocID="{DEDECFAD-3A5E-44DD-947E-97764A40F40F}" presName="composite" presStyleCnt="0"/>
      <dgm:spPr/>
    </dgm:pt>
    <dgm:pt modelId="{D70CFC1F-9D0C-44C1-9F35-50686D37E01B}" type="pres">
      <dgm:prSet presAssocID="{DEDECFAD-3A5E-44DD-947E-97764A40F40F}" presName="parentText" presStyleLbl="alignNode1" presStyleIdx="2" presStyleCnt="3" custScaleY="182200">
        <dgm:presLayoutVars>
          <dgm:chMax val="1"/>
          <dgm:bulletEnabled val="1"/>
        </dgm:presLayoutVars>
      </dgm:prSet>
      <dgm:spPr/>
      <dgm:t>
        <a:bodyPr/>
        <a:lstStyle/>
        <a:p>
          <a:endParaRPr lang="uk-UA"/>
        </a:p>
      </dgm:t>
    </dgm:pt>
    <dgm:pt modelId="{285EB7B2-E27E-4B33-BC2A-75A28BFDE66D}" type="pres">
      <dgm:prSet presAssocID="{DEDECFAD-3A5E-44DD-947E-97764A40F40F}" presName="descendantText" presStyleLbl="alignAcc1" presStyleIdx="2" presStyleCnt="3">
        <dgm:presLayoutVars>
          <dgm:bulletEnabled val="1"/>
        </dgm:presLayoutVars>
      </dgm:prSet>
      <dgm:spPr/>
      <dgm:t>
        <a:bodyPr/>
        <a:lstStyle/>
        <a:p>
          <a:endParaRPr lang="uk-UA"/>
        </a:p>
      </dgm:t>
    </dgm:pt>
  </dgm:ptLst>
  <dgm:cxnLst>
    <dgm:cxn modelId="{07D14146-5C01-4B0A-B136-399EA0FC8AA4}" srcId="{DEDECFAD-3A5E-44DD-947E-97764A40F40F}" destId="{74365B42-E8DC-4D69-9D40-0F0178A43CED}" srcOrd="0" destOrd="0" parTransId="{A2B3D871-C113-422C-A51B-C4FF83C08048}" sibTransId="{7DDE8FAC-1ECC-41C4-8238-ADF03B58F4E5}"/>
    <dgm:cxn modelId="{782E5C19-70E2-46D6-8B51-EE564AC9B0A2}" srcId="{155E0855-4A23-4BC5-A86B-7326CC9A24AA}" destId="{9C9722A5-B749-47E8-8572-9DB21C5BE4EE}" srcOrd="1" destOrd="0" parTransId="{7731FF8C-6932-47C0-9743-50F9F7EBA55D}" sibTransId="{507F96DC-559A-44F5-B0AC-EF2E7BEFE9E4}"/>
    <dgm:cxn modelId="{EDAE7BD5-CC4C-4329-B8C7-AAFA1D13E557}" type="presOf" srcId="{FEA81776-B8B2-456B-AD2F-FE4D973651E8}" destId="{30C16048-D5A0-4154-A4E5-330291DA299C}" srcOrd="0" destOrd="0" presId="urn:microsoft.com/office/officeart/2005/8/layout/chevron2"/>
    <dgm:cxn modelId="{933E55EE-E2B6-4932-BD5C-3A7E36E93236}" type="presOf" srcId="{74365B42-E8DC-4D69-9D40-0F0178A43CED}" destId="{285EB7B2-E27E-4B33-BC2A-75A28BFDE66D}" srcOrd="0" destOrd="0" presId="urn:microsoft.com/office/officeart/2005/8/layout/chevron2"/>
    <dgm:cxn modelId="{9B6CF72B-4DE3-486B-8707-7DE978B4770E}" type="presOf" srcId="{DEDECFAD-3A5E-44DD-947E-97764A40F40F}" destId="{D70CFC1F-9D0C-44C1-9F35-50686D37E01B}" srcOrd="0" destOrd="0" presId="urn:microsoft.com/office/officeart/2005/8/layout/chevron2"/>
    <dgm:cxn modelId="{260951ED-7C3A-4D3D-95BD-47F95AFF663C}" type="presOf" srcId="{A8CAD187-1D73-4135-B39C-A36029BFBAA1}" destId="{285EB7B2-E27E-4B33-BC2A-75A28BFDE66D}" srcOrd="0" destOrd="1" presId="urn:microsoft.com/office/officeart/2005/8/layout/chevron2"/>
    <dgm:cxn modelId="{47141053-2B15-4D55-B139-1D4B5BDAFC8C}" srcId="{FEA81776-B8B2-456B-AD2F-FE4D973651E8}" destId="{DEDECFAD-3A5E-44DD-947E-97764A40F40F}" srcOrd="2" destOrd="0" parTransId="{0FCCD1A0-6DB6-4110-8912-A9EC013A547A}" sibTransId="{8677A1A1-93A3-4E4A-B9AE-488FBABAAB5B}"/>
    <dgm:cxn modelId="{91259CE8-C9A8-46CC-85AA-9C831BB5E6A5}" type="presOf" srcId="{9C9722A5-B749-47E8-8572-9DB21C5BE4EE}" destId="{03BBD97F-CCB8-40A5-B35E-B3EC1AAFBE6F}" srcOrd="0" destOrd="1" presId="urn:microsoft.com/office/officeart/2005/8/layout/chevron2"/>
    <dgm:cxn modelId="{49A1B90E-449A-4A04-85A0-818E8F887216}" srcId="{155E0855-4A23-4BC5-A86B-7326CC9A24AA}" destId="{2DEBEB82-0F9D-4073-A707-E6C420985B87}" srcOrd="0" destOrd="0" parTransId="{DF99198B-581F-40BB-9D70-509FE2D13E29}" sibTransId="{D141C812-3C1F-4EA4-9964-A510519C95C9}"/>
    <dgm:cxn modelId="{7E6F5AC5-084D-4C36-B302-75E81CB01AB5}" srcId="{1C552980-BC7F-48EE-A14D-C5BD736808AB}" destId="{05E6596E-AE64-41F6-90FE-F6893B3F51CF}" srcOrd="0" destOrd="0" parTransId="{1674B236-C12A-4F29-9A1B-3F27D844F68B}" sibTransId="{A90CF27C-6CE0-4D7F-AF33-F5DC0089CCB5}"/>
    <dgm:cxn modelId="{620BF123-8E85-4D9D-B915-34BA3F0DE75F}" srcId="{FEA81776-B8B2-456B-AD2F-FE4D973651E8}" destId="{1C552980-BC7F-48EE-A14D-C5BD736808AB}" srcOrd="1" destOrd="0" parTransId="{1391AAD6-4392-4170-8FA6-B6DA46DB1D29}" sibTransId="{3D0D4FF3-3BA1-4818-9720-586CABB2C315}"/>
    <dgm:cxn modelId="{6E5EEB84-5F46-40C0-8BA2-E487FBCB029A}" type="presOf" srcId="{1C552980-BC7F-48EE-A14D-C5BD736808AB}" destId="{ACCBE7A4-2CEF-4937-A60A-22EE1467ADFD}" srcOrd="0" destOrd="0" presId="urn:microsoft.com/office/officeart/2005/8/layout/chevron2"/>
    <dgm:cxn modelId="{ACB6EC58-B9A7-46B8-AA33-4F356D8D12A5}" type="presOf" srcId="{05E6596E-AE64-41F6-90FE-F6893B3F51CF}" destId="{7D939308-0E37-425D-B48D-989E66844A99}" srcOrd="0" destOrd="0" presId="urn:microsoft.com/office/officeart/2005/8/layout/chevron2"/>
    <dgm:cxn modelId="{47FE5D4E-E9D6-47A8-8C64-EBDED623FFCB}" srcId="{1C552980-BC7F-48EE-A14D-C5BD736808AB}" destId="{D6471552-4B6C-46B0-A916-709A415DD339}" srcOrd="1" destOrd="0" parTransId="{833BE21C-2AE6-4FCD-817D-C54D04B777A3}" sibTransId="{863082D7-BFE6-4DD0-82B3-F7EABDD45EBF}"/>
    <dgm:cxn modelId="{4B340C4A-CBC5-4C3D-AB18-F1ACE29E3BBA}" type="presOf" srcId="{2DEBEB82-0F9D-4073-A707-E6C420985B87}" destId="{03BBD97F-CCB8-40A5-B35E-B3EC1AAFBE6F}" srcOrd="0" destOrd="0" presId="urn:microsoft.com/office/officeart/2005/8/layout/chevron2"/>
    <dgm:cxn modelId="{672372E4-D222-4FEE-8204-CF78C7F3C04F}" type="presOf" srcId="{D6471552-4B6C-46B0-A916-709A415DD339}" destId="{7D939308-0E37-425D-B48D-989E66844A99}" srcOrd="0" destOrd="1" presId="urn:microsoft.com/office/officeart/2005/8/layout/chevron2"/>
    <dgm:cxn modelId="{ACD1A07C-0192-416D-B89D-D952E911EEE6}" srcId="{FEA81776-B8B2-456B-AD2F-FE4D973651E8}" destId="{155E0855-4A23-4BC5-A86B-7326CC9A24AA}" srcOrd="0" destOrd="0" parTransId="{FEA5C6F3-B677-43B9-9686-2D8712871092}" sibTransId="{35620B38-94EF-4885-BF76-E875C85A18C7}"/>
    <dgm:cxn modelId="{9054F905-BE7C-40FD-95E8-7879333F6446}" srcId="{DEDECFAD-3A5E-44DD-947E-97764A40F40F}" destId="{A8CAD187-1D73-4135-B39C-A36029BFBAA1}" srcOrd="1" destOrd="0" parTransId="{D579F43E-D33A-42AB-88AD-65B5CA24D961}" sibTransId="{16900BBE-D8D0-457E-A0B7-55F35CFC4880}"/>
    <dgm:cxn modelId="{729FBE89-8FFE-408A-B37B-5080A9A739D7}" type="presOf" srcId="{155E0855-4A23-4BC5-A86B-7326CC9A24AA}" destId="{3B03CBD4-E53E-4B9B-B054-EBCFBFE95B84}" srcOrd="0" destOrd="0" presId="urn:microsoft.com/office/officeart/2005/8/layout/chevron2"/>
    <dgm:cxn modelId="{AEB74FF2-81BC-4CBE-BBA3-D563F1A3452C}" type="presParOf" srcId="{30C16048-D5A0-4154-A4E5-330291DA299C}" destId="{E936FD40-8D2A-4AC8-B415-CFB4E9634DA7}" srcOrd="0" destOrd="0" presId="urn:microsoft.com/office/officeart/2005/8/layout/chevron2"/>
    <dgm:cxn modelId="{844CCFBC-A286-4E6B-946D-CC7DAD1CBEB8}" type="presParOf" srcId="{E936FD40-8D2A-4AC8-B415-CFB4E9634DA7}" destId="{3B03CBD4-E53E-4B9B-B054-EBCFBFE95B84}" srcOrd="0" destOrd="0" presId="urn:microsoft.com/office/officeart/2005/8/layout/chevron2"/>
    <dgm:cxn modelId="{20018C8E-2F15-4417-996E-7EA11BBD7897}" type="presParOf" srcId="{E936FD40-8D2A-4AC8-B415-CFB4E9634DA7}" destId="{03BBD97F-CCB8-40A5-B35E-B3EC1AAFBE6F}" srcOrd="1" destOrd="0" presId="urn:microsoft.com/office/officeart/2005/8/layout/chevron2"/>
    <dgm:cxn modelId="{3AA94BB5-7980-4F64-9DB1-3CDA3614F539}" type="presParOf" srcId="{30C16048-D5A0-4154-A4E5-330291DA299C}" destId="{D1B19A80-9B61-4516-94F1-34E6C99E0EE4}" srcOrd="1" destOrd="0" presId="urn:microsoft.com/office/officeart/2005/8/layout/chevron2"/>
    <dgm:cxn modelId="{4E8F5FC3-6777-4956-B0B5-8D75B287F10F}" type="presParOf" srcId="{30C16048-D5A0-4154-A4E5-330291DA299C}" destId="{B62C6A1F-7FFE-46A1-8460-EC24158A067F}" srcOrd="2" destOrd="0" presId="urn:microsoft.com/office/officeart/2005/8/layout/chevron2"/>
    <dgm:cxn modelId="{D7DCAFD5-4EEC-4327-9760-8D267A6BD13D}" type="presParOf" srcId="{B62C6A1F-7FFE-46A1-8460-EC24158A067F}" destId="{ACCBE7A4-2CEF-4937-A60A-22EE1467ADFD}" srcOrd="0" destOrd="0" presId="urn:microsoft.com/office/officeart/2005/8/layout/chevron2"/>
    <dgm:cxn modelId="{F0C36626-9E9E-41FF-8801-6EB464DB32E5}" type="presParOf" srcId="{B62C6A1F-7FFE-46A1-8460-EC24158A067F}" destId="{7D939308-0E37-425D-B48D-989E66844A99}" srcOrd="1" destOrd="0" presId="urn:microsoft.com/office/officeart/2005/8/layout/chevron2"/>
    <dgm:cxn modelId="{C8627522-5797-4B2C-ACDC-550CF2A70649}" type="presParOf" srcId="{30C16048-D5A0-4154-A4E5-330291DA299C}" destId="{19959BF5-CA12-42D0-BD28-04643924754E}" srcOrd="3" destOrd="0" presId="urn:microsoft.com/office/officeart/2005/8/layout/chevron2"/>
    <dgm:cxn modelId="{4E97F74C-B6E6-4CD6-84B3-7D7C3BC67669}" type="presParOf" srcId="{30C16048-D5A0-4154-A4E5-330291DA299C}" destId="{86B49FB9-11A3-46FF-B31D-1FAB340B6B40}" srcOrd="4" destOrd="0" presId="urn:microsoft.com/office/officeart/2005/8/layout/chevron2"/>
    <dgm:cxn modelId="{FA1859E0-4872-462C-B485-7C49752DA803}" type="presParOf" srcId="{86B49FB9-11A3-46FF-B31D-1FAB340B6B40}" destId="{D70CFC1F-9D0C-44C1-9F35-50686D37E01B}" srcOrd="0" destOrd="0" presId="urn:microsoft.com/office/officeart/2005/8/layout/chevron2"/>
    <dgm:cxn modelId="{F06680FB-1A64-4808-978B-33FBB572B04B}" type="presParOf" srcId="{86B49FB9-11A3-46FF-B31D-1FAB340B6B40}" destId="{285EB7B2-E27E-4B33-BC2A-75A28BFDE66D}" srcOrd="1" destOrd="0" presId="urn:microsoft.com/office/officeart/2005/8/layout/chevron2"/>
  </dgm:cxnLst>
  <dgm:bg/>
  <dgm:whole/>
  <dgm:extLst>
    <a:ext uri="http://schemas.microsoft.com/office/drawing/2008/diagram">
      <dsp:dataModelExt xmlns:dsp="http://schemas.microsoft.com/office/drawing/2008/diagram" xmlns="" relId="rId4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B03CBD4-E53E-4B9B-B054-EBCFBFE95B84}">
      <dsp:nvSpPr>
        <dsp:cNvPr id="0" name=""/>
        <dsp:cNvSpPr/>
      </dsp:nvSpPr>
      <dsp:spPr>
        <a:xfrm rot="5400000">
          <a:off x="-163229" y="249693"/>
          <a:ext cx="1088199" cy="761739"/>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Хворі на ХКІНК</a:t>
          </a:r>
          <a:endParaRPr lang="uk-UA" sz="1400" kern="1200"/>
        </a:p>
      </dsp:txBody>
      <dsp:txXfrm rot="5400000">
        <a:off x="-163229" y="249693"/>
        <a:ext cx="1088199" cy="761739"/>
      </dsp:txXfrm>
    </dsp:sp>
    <dsp:sp modelId="{03BBD97F-CCB8-40A5-B35E-B3EC1AAFBE6F}">
      <dsp:nvSpPr>
        <dsp:cNvPr id="0" name=""/>
        <dsp:cNvSpPr/>
      </dsp:nvSpPr>
      <dsp:spPr>
        <a:xfrm rot="5400000">
          <a:off x="2314258" y="-1544869"/>
          <a:ext cx="864958" cy="3969996"/>
        </a:xfrm>
        <a:prstGeom prst="round2SameRect">
          <a:avLst/>
        </a:prstGeom>
        <a:solidFill>
          <a:schemeClr val="tx2">
            <a:lumMod val="20000"/>
            <a:lumOff val="80000"/>
            <a:alpha val="9000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Виявлення клінічних проявів ХКІНК на основі фізикального обстеження </a:t>
          </a:r>
          <a:endParaRPr lang="uk-UA" sz="1400" kern="1200"/>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УЗДГ-дослідження та визначення форми ураження судин нижніх кінцівок</a:t>
          </a:r>
          <a:endParaRPr lang="uk-UA" sz="1400" kern="1200"/>
        </a:p>
      </dsp:txBody>
      <dsp:txXfrm rot="5400000">
        <a:off x="2314258" y="-1544869"/>
        <a:ext cx="864958" cy="3969996"/>
      </dsp:txXfrm>
    </dsp:sp>
    <dsp:sp modelId="{ACCBE7A4-2CEF-4937-A60A-22EE1467ADFD}">
      <dsp:nvSpPr>
        <dsp:cNvPr id="0" name=""/>
        <dsp:cNvSpPr/>
      </dsp:nvSpPr>
      <dsp:spPr>
        <a:xfrm rot="5400000">
          <a:off x="-254051" y="1332834"/>
          <a:ext cx="1269841" cy="761739"/>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Оцінка тяжкості ішемії </a:t>
          </a:r>
          <a:endParaRPr lang="uk-UA" sz="1400" kern="1200"/>
        </a:p>
      </dsp:txBody>
      <dsp:txXfrm rot="5400000">
        <a:off x="-254051" y="1332834"/>
        <a:ext cx="1269841" cy="761739"/>
      </dsp:txXfrm>
    </dsp:sp>
    <dsp:sp modelId="{7D939308-0E37-425D-B48D-989E66844A99}">
      <dsp:nvSpPr>
        <dsp:cNvPr id="0" name=""/>
        <dsp:cNvSpPr/>
      </dsp:nvSpPr>
      <dsp:spPr>
        <a:xfrm rot="5400000">
          <a:off x="2773942" y="-887040"/>
          <a:ext cx="707329" cy="4731736"/>
        </a:xfrm>
        <a:prstGeom prst="round2SameRect">
          <a:avLst/>
        </a:prstGeom>
        <a:solidFill>
          <a:schemeClr val="tx2">
            <a:lumMod val="20000"/>
            <a:lumOff val="80000"/>
            <a:alpha val="9000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Визначення температурного режиму гомілок</a:t>
          </a:r>
          <a:endParaRPr lang="uk-UA" sz="1400" kern="1200"/>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Визначення tcpO2 у тканинах ступні хворої кінцівки  </a:t>
          </a:r>
          <a:endParaRPr lang="uk-UA" sz="1400" kern="1200"/>
        </a:p>
      </dsp:txBody>
      <dsp:txXfrm rot="5400000">
        <a:off x="2773942" y="-887040"/>
        <a:ext cx="707329" cy="4731736"/>
      </dsp:txXfrm>
    </dsp:sp>
    <dsp:sp modelId="{D70CFC1F-9D0C-44C1-9F35-50686D37E01B}">
      <dsp:nvSpPr>
        <dsp:cNvPr id="0" name=""/>
        <dsp:cNvSpPr/>
      </dsp:nvSpPr>
      <dsp:spPr>
        <a:xfrm rot="5400000">
          <a:off x="-610479" y="2774341"/>
          <a:ext cx="1982699" cy="761739"/>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Ангіо-графічне дослід-ження або КТ у судинному режимі</a:t>
          </a:r>
        </a:p>
      </dsp:txBody>
      <dsp:txXfrm rot="5400000">
        <a:off x="-610479" y="2774341"/>
        <a:ext cx="1982699" cy="761739"/>
      </dsp:txXfrm>
    </dsp:sp>
    <dsp:sp modelId="{285EB7B2-E27E-4B33-BC2A-75A28BFDE66D}">
      <dsp:nvSpPr>
        <dsp:cNvPr id="0" name=""/>
        <dsp:cNvSpPr/>
      </dsp:nvSpPr>
      <dsp:spPr>
        <a:xfrm rot="5400000">
          <a:off x="2773942" y="598908"/>
          <a:ext cx="707329" cy="4731736"/>
        </a:xfrm>
        <a:prstGeom prst="round2SameRect">
          <a:avLst/>
        </a:prstGeom>
        <a:solidFill>
          <a:schemeClr val="tx2">
            <a:lumMod val="20000"/>
            <a:lumOff val="80000"/>
            <a:alpha val="9000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Визначення типу ураження артерій та с</a:t>
          </a:r>
          <a:r>
            <a:rPr lang="uk-UA" sz="1400" kern="1200">
              <a:latin typeface="Times New Roman" pitchFamily="18" charset="0"/>
              <a:cs typeface="Times New Roman" pitchFamily="18" charset="0"/>
            </a:rPr>
            <a:t>тану шляхів відтоку</a:t>
          </a:r>
          <a:r>
            <a:rPr lang="ru-RU" sz="1400" kern="1200">
              <a:latin typeface="Times New Roman" pitchFamily="18" charset="0"/>
              <a:cs typeface="Times New Roman" pitchFamily="18" charset="0"/>
            </a:rPr>
            <a:t> за R. Rutherford</a:t>
          </a:r>
          <a:endParaRPr lang="uk-UA" sz="1400" kern="1200"/>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Визначення тактики та прогноз лікування хворого</a:t>
          </a:r>
        </a:p>
      </dsp:txBody>
      <dsp:txXfrm rot="5400000">
        <a:off x="2773942" y="598908"/>
        <a:ext cx="707329" cy="4731736"/>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2BD3C9-B84D-4B1F-90F7-64EC9E4F3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200</Pages>
  <Words>45171</Words>
  <Characters>257478</Characters>
  <Application>Microsoft Office Word</Application>
  <DocSecurity>0</DocSecurity>
  <Lines>2145</Lines>
  <Paragraphs>604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katalina</dc:creator>
  <cp:lastModifiedBy>1</cp:lastModifiedBy>
  <cp:revision>2</cp:revision>
  <cp:lastPrinted>2018-04-16T06:23:00Z</cp:lastPrinted>
  <dcterms:created xsi:type="dcterms:W3CDTF">2018-04-16T13:25:00Z</dcterms:created>
  <dcterms:modified xsi:type="dcterms:W3CDTF">2018-04-16T13:25:00Z</dcterms:modified>
</cp:coreProperties>
</file>