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Каліновська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О. І.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 xml:space="preserve">кандидат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медичних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наук, доцент, доцент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>Старкова І. В.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 xml:space="preserve">кандидат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медичних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наук, доцент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Граділь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О. Г.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 xml:space="preserve">кандидат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медичних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наук,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асистент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="002E4A71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="002E4A71">
        <w:rPr>
          <w:rFonts w:ascii="Times New Roman" w:hAnsi="Times New Roman" w:cs="Times New Roman"/>
          <w:b/>
          <w:sz w:val="28"/>
          <w:szCs w:val="28"/>
        </w:rPr>
        <w:t xml:space="preserve"> №</w:t>
      </w:r>
      <w:r w:rsidRPr="002E4A71">
        <w:rPr>
          <w:rFonts w:ascii="Times New Roman" w:hAnsi="Times New Roman" w:cs="Times New Roman"/>
          <w:b/>
          <w:sz w:val="28"/>
          <w:szCs w:val="28"/>
        </w:rPr>
        <w:t>2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>Романенко А. О.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асистент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>Коновал А. О.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 xml:space="preserve">кандидат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медичних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наук,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асистент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кафедри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акушерства та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гінекології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№ 2</w:t>
      </w:r>
    </w:p>
    <w:p w:rsidR="004156C8" w:rsidRPr="002E4A71" w:rsidRDefault="004156C8" w:rsidP="00962718">
      <w:pPr>
        <w:spacing w:line="36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Харківський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 м.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Харків</w:t>
      </w:r>
      <w:proofErr w:type="spellEnd"/>
      <w:r w:rsidRPr="002E4A71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b/>
          <w:sz w:val="28"/>
          <w:szCs w:val="28"/>
        </w:rPr>
        <w:t>Україна</w:t>
      </w:r>
      <w:proofErr w:type="spellEnd"/>
    </w:p>
    <w:p w:rsidR="002E4A71" w:rsidRDefault="002E4A71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156C8" w:rsidRPr="002E4A71" w:rsidRDefault="004156C8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4A71">
        <w:rPr>
          <w:rFonts w:ascii="Times New Roman" w:hAnsi="Times New Roman" w:cs="Times New Roman"/>
          <w:b/>
          <w:sz w:val="28"/>
          <w:szCs w:val="28"/>
        </w:rPr>
        <w:t>ЛАБОРАТОРНА ДІАГНОСТИКА: ЛАНКИ ПАТОГЕНЕЗУ САЛЬПІНГООФОРИТУ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малого тазу (у тому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масштабами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поширеності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60-65% в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гінекологічної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ваності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[1, с. 65-66, 3 с. 193] і є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причин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фертильного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[4, с. 399].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поширені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патогенезу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висхідний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флорою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тракту;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низхідний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– через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екстрагенітальних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вогнищ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лімфогенним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гематогенним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шляхом [8, с. 585-587].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будь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запального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з’ясування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ініціюючого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мікробного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фактора. Як правило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викликається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мікст-інфекцією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передаються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статевим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шляхом. Але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провідна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lastRenderedPageBreak/>
        <w:t>належить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інфекційним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агентам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адаптаційних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резервів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[2, с. 756-757].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клініко-лабораторних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загально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біохімічних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імуноферментних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) як ланок патогенезу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відстежували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лабораторні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у 30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18-45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25,4 ± 9,5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встановленим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діагнозом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дітородного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необтяженим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анамнезом по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захворюванням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малого тазу.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Бактеріологічне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виділень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шийного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каналу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уретри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виявило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переважання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асоційованих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складно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якийсь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визначальний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вид.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Частіше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виявлялися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Escherichia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coli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Gardnerella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vaginalis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(по 30%) (табл. 1).</w:t>
      </w:r>
    </w:p>
    <w:p w:rsidR="002E4A71" w:rsidRPr="002E4A71" w:rsidRDefault="002E4A71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підтверджують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той факт,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малого таза є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переважання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мікст-інфекцій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в себе 2-6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</w:t>
      </w:r>
    </w:p>
    <w:p w:rsidR="002E4A71" w:rsidRDefault="002E4A71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Одним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ключових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ланок патогенезу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вторинний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імунодефіцитний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стан: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різко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підвищується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змішаних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анаеробно-аеробних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асоціацій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умовно-патогенних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мікроорга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нізмів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висхідного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</w:t>
      </w:r>
    </w:p>
    <w:p w:rsidR="00962718" w:rsidRPr="002E4A71" w:rsidRDefault="0096271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роль в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хронічних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придатків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аутоімунним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процесам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[5, с. 269].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теперіш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патологія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аутоімунного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ґенезу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рідко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враховується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прове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денні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[3, с. 193].</w:t>
      </w:r>
    </w:p>
    <w:p w:rsidR="00962718" w:rsidRDefault="0096271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надається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цитокінам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вагомими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лабораторні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імуноглобуліни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класу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G і М, ІЛ-8, ЦВК, СРБ [6, с. 987].</w:t>
      </w:r>
    </w:p>
    <w:p w:rsidR="00962718" w:rsidRDefault="0096271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4156C8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lastRenderedPageBreak/>
        <w:t>Таблиця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962718" w:rsidRPr="00962718" w:rsidRDefault="00962718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бактер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ологічного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407"/>
        <w:gridCol w:w="3407"/>
      </w:tblGrid>
      <w:tr w:rsidR="002E4A71" w:rsidRPr="002E4A71">
        <w:tblPrEx>
          <w:tblCellMar>
            <w:top w:w="0" w:type="dxa"/>
            <w:bottom w:w="0" w:type="dxa"/>
          </w:tblCellMar>
        </w:tblPrEx>
        <w:trPr>
          <w:trHeight w:val="133"/>
        </w:trPr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Тип </w:t>
            </w:r>
            <w:proofErr w:type="spellStart"/>
            <w:r w:rsidRPr="002E4A7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збудника</w:t>
            </w:r>
            <w:proofErr w:type="spellEnd"/>
            <w:r w:rsidRPr="002E4A7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E4A7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Кількість</w:t>
            </w:r>
            <w:proofErr w:type="spellEnd"/>
            <w:r w:rsidRPr="002E4A7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* </w:t>
            </w:r>
          </w:p>
        </w:tc>
      </w:tr>
      <w:tr w:rsidR="002E4A71" w:rsidRPr="002E4A71">
        <w:tblPrEx>
          <w:tblCellMar>
            <w:top w:w="0" w:type="dxa"/>
            <w:bottom w:w="0" w:type="dxa"/>
          </w:tblCellMar>
        </w:tblPrEx>
        <w:trPr>
          <w:trHeight w:val="1861"/>
        </w:trPr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Bacteroides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fragilis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Escherichia coli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Gardnerella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vaginalis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Klebsiella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Neisseria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gonorrhoeae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Peptostreptococcus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anaerobius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Peptostreptococcus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intermedius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Pr. Vulgaris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Streptococcus Epidermidis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Streptococcus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pyogenes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>Trichomonas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>vaginalis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6 (9,5%)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9 (14,3%)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9 (14,3%)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2 (3,2%)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6 (9,5%)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4 (6,3%)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4 (6,3%)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5 (7,9%)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2 (3,2%)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1 (1,6%) </w:t>
            </w:r>
          </w:p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7 (11,1%) </w:t>
            </w:r>
          </w:p>
        </w:tc>
      </w:tr>
      <w:tr w:rsidR="002E4A71" w:rsidRPr="002E4A71">
        <w:tblPrEx>
          <w:tblCellMar>
            <w:top w:w="0" w:type="dxa"/>
            <w:bottom w:w="0" w:type="dxa"/>
          </w:tblCellMar>
        </w:tblPrEx>
        <w:trPr>
          <w:trHeight w:val="136"/>
        </w:trPr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>Зростання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>немає</w:t>
            </w:r>
            <w:proofErr w:type="spellEnd"/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407" w:type="dxa"/>
          </w:tcPr>
          <w:p w:rsidR="002E4A71" w:rsidRPr="002E4A71" w:rsidRDefault="002E4A71" w:rsidP="00962718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2E4A71">
              <w:rPr>
                <w:rFonts w:ascii="Times New Roman" w:hAnsi="Times New Roman" w:cs="Times New Roman"/>
                <w:sz w:val="28"/>
                <w:szCs w:val="28"/>
              </w:rPr>
              <w:t xml:space="preserve">8 (12,7%) </w:t>
            </w:r>
          </w:p>
        </w:tc>
      </w:tr>
    </w:tbl>
    <w:p w:rsidR="004156C8" w:rsidRPr="00B22024" w:rsidRDefault="004156C8" w:rsidP="00962718">
      <w:pPr>
        <w:spacing w:line="360" w:lineRule="auto"/>
        <w:contextualSpacing/>
        <w:rPr>
          <w:rFonts w:ascii="Times New Roman" w:hAnsi="Times New Roman" w:cs="Times New Roman"/>
          <w:i/>
          <w:sz w:val="26"/>
          <w:szCs w:val="26"/>
        </w:rPr>
      </w:pPr>
      <w:proofErr w:type="spellStart"/>
      <w:proofErr w:type="gramStart"/>
      <w:r w:rsidRPr="00B22024">
        <w:rPr>
          <w:rFonts w:ascii="Times New Roman" w:hAnsi="Times New Roman" w:cs="Times New Roman"/>
          <w:i/>
          <w:sz w:val="26"/>
          <w:szCs w:val="26"/>
        </w:rPr>
        <w:t>Примітка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>:*</w:t>
      </w:r>
      <w:proofErr w:type="gram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Відзначено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поєднання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різних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збудників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, тому за 100% нами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було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прийнято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загальну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кількість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випадків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визначення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sz w:val="26"/>
          <w:szCs w:val="26"/>
        </w:rPr>
        <w:t>мікробного</w:t>
      </w:r>
      <w:proofErr w:type="spellEnd"/>
      <w:r w:rsidRPr="00B22024">
        <w:rPr>
          <w:rFonts w:ascii="Times New Roman" w:hAnsi="Times New Roman" w:cs="Times New Roman"/>
          <w:i/>
          <w:sz w:val="26"/>
          <w:szCs w:val="26"/>
        </w:rPr>
        <w:t xml:space="preserve"> агенту.</w:t>
      </w:r>
    </w:p>
    <w:p w:rsidR="00962718" w:rsidRDefault="0096271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маркерами запального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в тканинах і органах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вважаються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ІЛ-1, ІЛ-6, ІЛ-10, ФНП.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диференціально-діагностичний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критерій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: при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значенні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альфа-2-макроглобуліну (МГ)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лактоферину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(ЛФ) ≥ 1,4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виключається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наяв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ність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гнійно-некротичної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деструкції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рекомендуються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консервативні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центральним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медіатором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є ІЛ-1,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ІЛ-2,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та ІЛ-6,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підсилює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макрофагів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Т- і В-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лімфоцитів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[7, с. 11].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інфекційно-запальних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відводиться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вільно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радикального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та антиоксидантного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lastRenderedPageBreak/>
        <w:t>захисту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[3, с. 193; 5, с. 270].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тривала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перекисного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мембранних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структур,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ресинтезу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АТФ,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накопиченню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перекисної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денатурації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</w:t>
      </w:r>
    </w:p>
    <w:p w:rsidR="00962718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диференціальної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статевих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протеолітичної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перитонеальній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рідині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(табл. 2).</w:t>
      </w:r>
    </w:p>
    <w:p w:rsidR="00962718" w:rsidRDefault="0096271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4156C8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2</w:t>
      </w:r>
    </w:p>
    <w:p w:rsidR="00962718" w:rsidRPr="00962718" w:rsidRDefault="00962718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Показники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рівня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імуноглобулінів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та СРБ у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пацієнтів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основної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контрольної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груп</w:t>
      </w:r>
      <w:proofErr w:type="spellEnd"/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1984"/>
        <w:gridCol w:w="1559"/>
        <w:gridCol w:w="1701"/>
        <w:gridCol w:w="1641"/>
      </w:tblGrid>
      <w:tr w:rsidR="002E4A71" w:rsidTr="00962718">
        <w:tblPrEx>
          <w:tblCellMar>
            <w:top w:w="0" w:type="dxa"/>
            <w:bottom w:w="0" w:type="dxa"/>
          </w:tblCellMar>
        </w:tblPrEx>
        <w:trPr>
          <w:trHeight w:val="530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Найменування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показників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Група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контролю </w:t>
            </w:r>
          </w:p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n = 10 </w:t>
            </w:r>
          </w:p>
        </w:tc>
        <w:tc>
          <w:tcPr>
            <w:tcW w:w="4901" w:type="dxa"/>
            <w:gridSpan w:val="3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Ступінь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тяжкості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гострого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сальпінгоофориту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</w:p>
        </w:tc>
        <w:tc>
          <w:tcPr>
            <w:tcW w:w="4901" w:type="dxa"/>
            <w:gridSpan w:val="3"/>
          </w:tcPr>
          <w:p w:rsidR="002E4A71" w:rsidRDefault="00962718" w:rsidP="00962718">
            <w:pPr>
              <w:pStyle w:val="Default"/>
              <w:tabs>
                <w:tab w:val="left" w:pos="1515"/>
              </w:tabs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Легка</w:t>
            </w:r>
            <w:r>
              <w:rPr>
                <w:sz w:val="28"/>
                <w:szCs w:val="28"/>
              </w:rPr>
              <w:tab/>
            </w:r>
            <w:proofErr w:type="spellStart"/>
            <w:r>
              <w:rPr>
                <w:sz w:val="28"/>
                <w:szCs w:val="28"/>
              </w:rPr>
              <w:t>Середня</w:t>
            </w:r>
            <w:proofErr w:type="spellEnd"/>
            <w:r>
              <w:rPr>
                <w:sz w:val="28"/>
                <w:szCs w:val="28"/>
              </w:rPr>
              <w:t xml:space="preserve">            Тяжка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127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Ig</w:t>
            </w:r>
            <w:proofErr w:type="spellEnd"/>
            <w:r>
              <w:rPr>
                <w:sz w:val="28"/>
                <w:szCs w:val="28"/>
              </w:rPr>
              <w:t xml:space="preserve"> А, г / л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1,89 ± 0,09 </w:t>
            </w:r>
          </w:p>
        </w:tc>
        <w:tc>
          <w:tcPr>
            <w:tcW w:w="1559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2,23 ± 0,07* </w:t>
            </w:r>
          </w:p>
        </w:tc>
        <w:tc>
          <w:tcPr>
            <w:tcW w:w="170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2,20 ± 0,07* </w:t>
            </w:r>
          </w:p>
        </w:tc>
        <w:tc>
          <w:tcPr>
            <w:tcW w:w="164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2,31 ± 0,04* 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127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Ig</w:t>
            </w:r>
            <w:proofErr w:type="spellEnd"/>
            <w:r>
              <w:rPr>
                <w:sz w:val="28"/>
                <w:szCs w:val="28"/>
              </w:rPr>
              <w:t xml:space="preserve"> G, г / л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11,52 ± 0,47 </w:t>
            </w:r>
          </w:p>
        </w:tc>
        <w:tc>
          <w:tcPr>
            <w:tcW w:w="1559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12,69 ± 0,62* </w:t>
            </w:r>
          </w:p>
        </w:tc>
        <w:tc>
          <w:tcPr>
            <w:tcW w:w="170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15,34 ± 0,61* </w:t>
            </w:r>
          </w:p>
        </w:tc>
        <w:tc>
          <w:tcPr>
            <w:tcW w:w="164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19,39 ± 0,81* 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127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Ig</w:t>
            </w:r>
            <w:proofErr w:type="spellEnd"/>
            <w:r>
              <w:rPr>
                <w:sz w:val="28"/>
                <w:szCs w:val="28"/>
              </w:rPr>
              <w:t xml:space="preserve"> М, г / л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1,28 ± 0,05 </w:t>
            </w:r>
          </w:p>
        </w:tc>
        <w:tc>
          <w:tcPr>
            <w:tcW w:w="1559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2,26 ± 0,7* </w:t>
            </w:r>
          </w:p>
        </w:tc>
        <w:tc>
          <w:tcPr>
            <w:tcW w:w="170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2,47 ± 0,03* </w:t>
            </w:r>
          </w:p>
        </w:tc>
        <w:tc>
          <w:tcPr>
            <w:tcW w:w="164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2,58 ± 0,03* 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127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ЦІК, </w:t>
            </w:r>
            <w:proofErr w:type="spellStart"/>
            <w:r>
              <w:rPr>
                <w:sz w:val="28"/>
                <w:szCs w:val="28"/>
              </w:rPr>
              <w:t>умов.од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39,8 ± 5,04 </w:t>
            </w:r>
          </w:p>
        </w:tc>
        <w:tc>
          <w:tcPr>
            <w:tcW w:w="1559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48,34 ± 2,46* </w:t>
            </w:r>
          </w:p>
        </w:tc>
        <w:tc>
          <w:tcPr>
            <w:tcW w:w="170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61,7 ± 2,7* </w:t>
            </w:r>
          </w:p>
        </w:tc>
        <w:tc>
          <w:tcPr>
            <w:tcW w:w="164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68,26 ± 1,81 </w:t>
            </w:r>
          </w:p>
        </w:tc>
      </w:tr>
      <w:tr w:rsidR="002E4A71" w:rsidTr="00962718">
        <w:tblPrEx>
          <w:tblCellMar>
            <w:top w:w="0" w:type="dxa"/>
            <w:bottom w:w="0" w:type="dxa"/>
          </w:tblCellMar>
        </w:tblPrEx>
        <w:trPr>
          <w:trHeight w:val="127"/>
        </w:trPr>
        <w:tc>
          <w:tcPr>
            <w:tcW w:w="2235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СРБ, мг / л </w:t>
            </w:r>
          </w:p>
        </w:tc>
        <w:tc>
          <w:tcPr>
            <w:tcW w:w="1984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4,45 ± 0,74 </w:t>
            </w:r>
          </w:p>
        </w:tc>
        <w:tc>
          <w:tcPr>
            <w:tcW w:w="1559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16,22 ± 0,64* </w:t>
            </w:r>
          </w:p>
        </w:tc>
        <w:tc>
          <w:tcPr>
            <w:tcW w:w="170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21,66 ± 1,25* </w:t>
            </w:r>
          </w:p>
        </w:tc>
        <w:tc>
          <w:tcPr>
            <w:tcW w:w="1641" w:type="dxa"/>
          </w:tcPr>
          <w:p w:rsidR="002E4A71" w:rsidRDefault="002E4A71" w:rsidP="00962718">
            <w:pPr>
              <w:pStyle w:val="Default"/>
              <w:contextualSpacing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29,11 ± 1,39* </w:t>
            </w:r>
          </w:p>
        </w:tc>
      </w:tr>
    </w:tbl>
    <w:p w:rsidR="002E4A71" w:rsidRPr="002E4A71" w:rsidRDefault="002E4A71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4156C8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протизапальних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протизапальні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про-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протиза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окислювальна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ферментів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антиоксидантної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продукту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деградації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малонового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діальдегіду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сальпінгоофоритом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є одними з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патогенетичних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ланок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запального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lastRenderedPageBreak/>
        <w:t>формуванні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імуноглобулінів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гострої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(табл. 3).</w:t>
      </w:r>
    </w:p>
    <w:p w:rsidR="00B22024" w:rsidRDefault="00B22024" w:rsidP="00B22024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Таблиця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</w:t>
      </w:r>
    </w:p>
    <w:p w:rsidR="00B22024" w:rsidRPr="00B22024" w:rsidRDefault="00B22024" w:rsidP="00B22024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2024">
        <w:rPr>
          <w:rFonts w:ascii="Times New Roman" w:hAnsi="Times New Roman" w:cs="Times New Roman"/>
          <w:b/>
          <w:sz w:val="28"/>
          <w:szCs w:val="28"/>
          <w:lang w:val="uk-UA"/>
        </w:rPr>
        <w:t>Показники вільно-радикальних реакцій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60"/>
        <w:gridCol w:w="1559"/>
        <w:gridCol w:w="1322"/>
        <w:gridCol w:w="1847"/>
        <w:gridCol w:w="1847"/>
      </w:tblGrid>
      <w:tr w:rsidR="00B22024" w:rsidTr="00B22024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b/>
                <w:bCs/>
                <w:sz w:val="27"/>
                <w:szCs w:val="27"/>
              </w:rPr>
              <w:t>Найменування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  <w:proofErr w:type="spellStart"/>
            <w:r>
              <w:rPr>
                <w:b/>
                <w:bCs/>
                <w:sz w:val="27"/>
                <w:szCs w:val="27"/>
              </w:rPr>
              <w:t>показників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b/>
                <w:bCs/>
                <w:sz w:val="27"/>
                <w:szCs w:val="27"/>
              </w:rPr>
              <w:t>Група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  <w:proofErr w:type="spellStart"/>
            <w:r>
              <w:rPr>
                <w:b/>
                <w:bCs/>
                <w:sz w:val="27"/>
                <w:szCs w:val="27"/>
              </w:rPr>
              <w:t>контролюn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= 10 </w:t>
            </w:r>
          </w:p>
        </w:tc>
        <w:tc>
          <w:tcPr>
            <w:tcW w:w="5016" w:type="dxa"/>
            <w:gridSpan w:val="3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b/>
                <w:bCs/>
                <w:sz w:val="27"/>
                <w:szCs w:val="27"/>
              </w:rPr>
              <w:t>Ступінь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  <w:proofErr w:type="spellStart"/>
            <w:r>
              <w:rPr>
                <w:b/>
                <w:bCs/>
                <w:sz w:val="27"/>
                <w:szCs w:val="27"/>
              </w:rPr>
              <w:t>тяжкості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  <w:proofErr w:type="spellStart"/>
            <w:r>
              <w:rPr>
                <w:b/>
                <w:bCs/>
                <w:sz w:val="27"/>
                <w:szCs w:val="27"/>
              </w:rPr>
              <w:t>гострого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  <w:proofErr w:type="spellStart"/>
            <w:r>
              <w:rPr>
                <w:b/>
                <w:bCs/>
                <w:sz w:val="27"/>
                <w:szCs w:val="27"/>
              </w:rPr>
              <w:t>сальпінгоофориту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275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</w:p>
        </w:tc>
        <w:tc>
          <w:tcPr>
            <w:tcW w:w="5016" w:type="dxa"/>
            <w:gridSpan w:val="3"/>
          </w:tcPr>
          <w:p w:rsidR="00B22024" w:rsidRPr="00B22024" w:rsidRDefault="00B22024">
            <w:pPr>
              <w:pStyle w:val="Default"/>
              <w:rPr>
                <w:sz w:val="27"/>
                <w:szCs w:val="27"/>
                <w:lang w:val="uk-UA"/>
              </w:rPr>
            </w:pPr>
            <w:r>
              <w:rPr>
                <w:sz w:val="27"/>
                <w:szCs w:val="27"/>
                <w:lang w:val="uk-UA"/>
              </w:rPr>
              <w:t>Легка              Середня              Тяжка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sz w:val="27"/>
                <w:szCs w:val="27"/>
              </w:rPr>
              <w:t>Малоновий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альдегід</w:t>
            </w:r>
            <w:proofErr w:type="spellEnd"/>
            <w:r>
              <w:rPr>
                <w:sz w:val="27"/>
                <w:szCs w:val="27"/>
              </w:rPr>
              <w:t xml:space="preserve">, (МДА), </w:t>
            </w:r>
            <w:proofErr w:type="spellStart"/>
            <w:r>
              <w:rPr>
                <w:sz w:val="27"/>
                <w:szCs w:val="27"/>
              </w:rPr>
              <w:t>нмоль</w:t>
            </w:r>
            <w:proofErr w:type="spellEnd"/>
            <w:r>
              <w:rPr>
                <w:sz w:val="27"/>
                <w:szCs w:val="27"/>
              </w:rPr>
              <w:t xml:space="preserve">/л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2,99 ± 0,33 </w:t>
            </w:r>
          </w:p>
        </w:tc>
        <w:tc>
          <w:tcPr>
            <w:tcW w:w="1322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4,45±0,63*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5,61±0,65*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6,57±0,61* 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sz w:val="27"/>
                <w:szCs w:val="27"/>
              </w:rPr>
              <w:t>Загальна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антиокислювальна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активність</w:t>
            </w:r>
            <w:proofErr w:type="spellEnd"/>
            <w:r>
              <w:rPr>
                <w:sz w:val="27"/>
                <w:szCs w:val="27"/>
              </w:rPr>
              <w:t xml:space="preserve">, (ЗАА), </w:t>
            </w:r>
            <w:proofErr w:type="spellStart"/>
            <w:r>
              <w:rPr>
                <w:sz w:val="27"/>
                <w:szCs w:val="27"/>
              </w:rPr>
              <w:t>ммоль</w:t>
            </w:r>
            <w:proofErr w:type="spellEnd"/>
            <w:r>
              <w:rPr>
                <w:sz w:val="27"/>
                <w:szCs w:val="27"/>
              </w:rPr>
              <w:t xml:space="preserve">/л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1,5±0,11 </w:t>
            </w:r>
          </w:p>
        </w:tc>
        <w:tc>
          <w:tcPr>
            <w:tcW w:w="1322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1,51±0,15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1,28±0,08*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1,0±0,17* 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122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Каталаза, кат/л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87,2 ± 0,78 </w:t>
            </w:r>
          </w:p>
        </w:tc>
        <w:tc>
          <w:tcPr>
            <w:tcW w:w="1322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86,9 ± 0,59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80,6 ± 0,99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79,6±0,85* 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sz w:val="27"/>
                <w:szCs w:val="27"/>
              </w:rPr>
              <w:t>Супероксіддисмутаза</w:t>
            </w:r>
            <w:proofErr w:type="spellEnd"/>
            <w:r>
              <w:rPr>
                <w:sz w:val="27"/>
                <w:szCs w:val="27"/>
              </w:rPr>
              <w:t xml:space="preserve"> (СОД), умов. од.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12,5 ± 0,91 </w:t>
            </w:r>
          </w:p>
        </w:tc>
        <w:tc>
          <w:tcPr>
            <w:tcW w:w="1322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32,4 ± 0,71*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45,1 ± 0,85*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54,3±1,24* </w:t>
            </w:r>
          </w:p>
        </w:tc>
      </w:tr>
      <w:tr w:rsidR="00B22024" w:rsidTr="00B22024">
        <w:tblPrEx>
          <w:tblCellMar>
            <w:top w:w="0" w:type="dxa"/>
            <w:bottom w:w="0" w:type="dxa"/>
          </w:tblCellMar>
        </w:tblPrEx>
        <w:trPr>
          <w:trHeight w:val="432"/>
        </w:trPr>
        <w:tc>
          <w:tcPr>
            <w:tcW w:w="2660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proofErr w:type="spellStart"/>
            <w:r>
              <w:rPr>
                <w:sz w:val="27"/>
                <w:szCs w:val="27"/>
              </w:rPr>
              <w:t>Глутатионпероксидаза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сироватки</w:t>
            </w:r>
            <w:proofErr w:type="spellEnd"/>
            <w:r>
              <w:rPr>
                <w:sz w:val="27"/>
                <w:szCs w:val="27"/>
              </w:rPr>
              <w:t xml:space="preserve">, </w:t>
            </w:r>
            <w:proofErr w:type="spellStart"/>
            <w:r>
              <w:rPr>
                <w:sz w:val="27"/>
                <w:szCs w:val="27"/>
              </w:rPr>
              <w:t>mcmol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of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  <w:proofErr w:type="spellStart"/>
            <w:r>
              <w:rPr>
                <w:sz w:val="27"/>
                <w:szCs w:val="27"/>
              </w:rPr>
              <w:t>glutathione</w:t>
            </w:r>
            <w:proofErr w:type="spellEnd"/>
            <w:r>
              <w:rPr>
                <w:sz w:val="27"/>
                <w:szCs w:val="27"/>
              </w:rPr>
              <w:t>/</w:t>
            </w:r>
            <w:proofErr w:type="spellStart"/>
            <w:r>
              <w:rPr>
                <w:sz w:val="27"/>
                <w:szCs w:val="27"/>
              </w:rPr>
              <w:t>min</w:t>
            </w:r>
            <w:proofErr w:type="spellEnd"/>
            <w:r>
              <w:rPr>
                <w:sz w:val="27"/>
                <w:szCs w:val="27"/>
              </w:rPr>
              <w:t xml:space="preserve"> </w:t>
            </w:r>
          </w:p>
        </w:tc>
        <w:tc>
          <w:tcPr>
            <w:tcW w:w="1559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38,6±0,57 </w:t>
            </w:r>
          </w:p>
        </w:tc>
        <w:tc>
          <w:tcPr>
            <w:tcW w:w="1322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41,26 ± 1,85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46,9 ± 1,12 </w:t>
            </w:r>
          </w:p>
        </w:tc>
        <w:tc>
          <w:tcPr>
            <w:tcW w:w="1847" w:type="dxa"/>
          </w:tcPr>
          <w:p w:rsidR="00B22024" w:rsidRDefault="00B22024">
            <w:pPr>
              <w:pStyle w:val="Default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55,4±0,62* </w:t>
            </w:r>
          </w:p>
        </w:tc>
      </w:tr>
    </w:tbl>
    <w:p w:rsidR="00962718" w:rsidRPr="00B22024" w:rsidRDefault="00B22024" w:rsidP="00B22024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proofErr w:type="spellStart"/>
      <w:r w:rsidRPr="00B22024">
        <w:rPr>
          <w:rFonts w:ascii="Times New Roman" w:hAnsi="Times New Roman" w:cs="Times New Roman"/>
          <w:i/>
          <w:iCs/>
          <w:sz w:val="26"/>
          <w:szCs w:val="26"/>
        </w:rPr>
        <w:t>Примітка</w:t>
      </w:r>
      <w:proofErr w:type="spellEnd"/>
      <w:r w:rsidRPr="00B22024">
        <w:rPr>
          <w:rFonts w:ascii="Times New Roman" w:hAnsi="Times New Roman" w:cs="Times New Roman"/>
          <w:i/>
          <w:iCs/>
          <w:sz w:val="26"/>
          <w:szCs w:val="26"/>
        </w:rPr>
        <w:t xml:space="preserve">: * – </w:t>
      </w:r>
      <w:proofErr w:type="spellStart"/>
      <w:r w:rsidRPr="00B22024">
        <w:rPr>
          <w:rFonts w:ascii="Times New Roman" w:hAnsi="Times New Roman" w:cs="Times New Roman"/>
          <w:i/>
          <w:iCs/>
          <w:sz w:val="26"/>
          <w:szCs w:val="26"/>
        </w:rPr>
        <w:t>достовірність</w:t>
      </w:r>
      <w:proofErr w:type="spellEnd"/>
      <w:r w:rsidRPr="00B22024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proofErr w:type="spellStart"/>
      <w:r w:rsidRPr="00B22024">
        <w:rPr>
          <w:rFonts w:ascii="Times New Roman" w:hAnsi="Times New Roman" w:cs="Times New Roman"/>
          <w:i/>
          <w:iCs/>
          <w:sz w:val="26"/>
          <w:szCs w:val="26"/>
        </w:rPr>
        <w:t>відмінностей</w:t>
      </w:r>
      <w:proofErr w:type="spellEnd"/>
      <w:r w:rsidRPr="00B22024">
        <w:rPr>
          <w:rFonts w:ascii="Times New Roman" w:hAnsi="Times New Roman" w:cs="Times New Roman"/>
          <w:i/>
          <w:iCs/>
          <w:sz w:val="26"/>
          <w:szCs w:val="26"/>
        </w:rPr>
        <w:t xml:space="preserve"> з контролем, р </w:t>
      </w:r>
      <w:proofErr w:type="gramStart"/>
      <w:r w:rsidRPr="00B22024">
        <w:rPr>
          <w:rFonts w:ascii="Times New Roman" w:hAnsi="Times New Roman" w:cs="Times New Roman"/>
          <w:i/>
          <w:iCs/>
          <w:sz w:val="26"/>
          <w:szCs w:val="26"/>
        </w:rPr>
        <w:t>&lt; 0</w:t>
      </w:r>
      <w:proofErr w:type="gramEnd"/>
      <w:r w:rsidRPr="00B22024">
        <w:rPr>
          <w:rFonts w:ascii="Times New Roman" w:hAnsi="Times New Roman" w:cs="Times New Roman"/>
          <w:i/>
          <w:iCs/>
          <w:sz w:val="26"/>
          <w:szCs w:val="26"/>
        </w:rPr>
        <w:t>,05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2E4A71">
        <w:rPr>
          <w:rFonts w:ascii="Times New Roman" w:hAnsi="Times New Roman" w:cs="Times New Roman"/>
          <w:sz w:val="28"/>
          <w:szCs w:val="28"/>
        </w:rPr>
        <w:t>Таким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чином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про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те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при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запальних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малого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таза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у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в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проявам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синдрому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запальної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охоплюють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на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поглибленого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обсте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ження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та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в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схемах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сальпінгоофориту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адекватної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патогенетичної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одужання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24" w:rsidRDefault="00B22024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156C8" w:rsidRPr="00962718" w:rsidRDefault="004156C8" w:rsidP="00962718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962718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Список </w:t>
      </w:r>
      <w:proofErr w:type="spellStart"/>
      <w:r w:rsidRPr="00962718">
        <w:rPr>
          <w:rFonts w:ascii="Times New Roman" w:hAnsi="Times New Roman" w:cs="Times New Roman"/>
          <w:b/>
          <w:sz w:val="28"/>
          <w:szCs w:val="28"/>
        </w:rPr>
        <w:t>літератури</w:t>
      </w:r>
      <w:proofErr w:type="spellEnd"/>
      <w:r w:rsidRPr="00962718">
        <w:rPr>
          <w:rFonts w:ascii="Times New Roman" w:hAnsi="Times New Roman" w:cs="Times New Roman"/>
          <w:b/>
          <w:sz w:val="28"/>
          <w:szCs w:val="28"/>
        </w:rPr>
        <w:t>: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Агарков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Н.М., Яковлев А.П., Иванов А.В.,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Мишустин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Н.В. </w:t>
      </w:r>
      <w:proofErr w:type="spellStart"/>
      <w:proofErr w:type="gramStart"/>
      <w:r w:rsidRPr="002E4A71">
        <w:rPr>
          <w:rFonts w:ascii="Times New Roman" w:hAnsi="Times New Roman" w:cs="Times New Roman"/>
          <w:sz w:val="28"/>
          <w:szCs w:val="28"/>
        </w:rPr>
        <w:t>Многокри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териальная</w:t>
      </w:r>
      <w:proofErr w:type="spellEnd"/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 математическая оценка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андиоксидатной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системы для диагностики острого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сальпингоофорита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// Международный журнал экспериментального образования. – 2013. – № 10-1. – С. 65-69.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Будник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И.В., Новиков А. В., Иванов В.А. Оценка влияния </w:t>
      </w:r>
      <w:proofErr w:type="spellStart"/>
      <w:proofErr w:type="gramStart"/>
      <w:r w:rsidRPr="002E4A71">
        <w:rPr>
          <w:rFonts w:ascii="Times New Roman" w:hAnsi="Times New Roman" w:cs="Times New Roman"/>
          <w:sz w:val="28"/>
          <w:szCs w:val="28"/>
        </w:rPr>
        <w:t>заболе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ваний</w:t>
      </w:r>
      <w:proofErr w:type="spellEnd"/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, передающихся половым путем, на частоту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сальпингоофорита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. Системный анализ и управление в биомедицинских системах. 2011; 10(4): 756 – 8.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3. Виноградова О.П. Компоненты антиоксидантной защиты при </w:t>
      </w:r>
      <w:proofErr w:type="gramStart"/>
      <w:r w:rsidRPr="002E4A71">
        <w:rPr>
          <w:rFonts w:ascii="Times New Roman" w:hAnsi="Times New Roman" w:cs="Times New Roman"/>
          <w:sz w:val="28"/>
          <w:szCs w:val="28"/>
        </w:rPr>
        <w:t>воспали- тельных</w:t>
      </w:r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 заболеваниях органов малого таза в гинекологии [Текст] / О.П. Виноградова, М.Н. Кузнецова // Мать и дитя: Матер. VII </w:t>
      </w:r>
      <w:proofErr w:type="spellStart"/>
      <w:proofErr w:type="gramStart"/>
      <w:r w:rsidRPr="002E4A71">
        <w:rPr>
          <w:rFonts w:ascii="Times New Roman" w:hAnsi="Times New Roman" w:cs="Times New Roman"/>
          <w:sz w:val="28"/>
          <w:szCs w:val="28"/>
        </w:rPr>
        <w:t>Регио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нального</w:t>
      </w:r>
      <w:proofErr w:type="spellEnd"/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 научного форума. – </w:t>
      </w:r>
      <w:proofErr w:type="gramStart"/>
      <w:r w:rsidRPr="002E4A71">
        <w:rPr>
          <w:rFonts w:ascii="Times New Roman" w:hAnsi="Times New Roman" w:cs="Times New Roman"/>
          <w:sz w:val="28"/>
          <w:szCs w:val="28"/>
        </w:rPr>
        <w:t>Геленджик ,</w:t>
      </w:r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 2014. – С. 192-193.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Каганова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М.А. Диагностические критерии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хронизации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острого </w:t>
      </w:r>
      <w:proofErr w:type="spellStart"/>
      <w:proofErr w:type="gramStart"/>
      <w:r w:rsidRPr="002E4A71">
        <w:rPr>
          <w:rFonts w:ascii="Times New Roman" w:hAnsi="Times New Roman" w:cs="Times New Roman"/>
          <w:sz w:val="28"/>
          <w:szCs w:val="28"/>
        </w:rPr>
        <w:t>воспа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ления</w:t>
      </w:r>
      <w:proofErr w:type="spellEnd"/>
      <w:proofErr w:type="gramEnd"/>
      <w:r w:rsidRPr="002E4A71">
        <w:rPr>
          <w:rFonts w:ascii="Times New Roman" w:hAnsi="Times New Roman" w:cs="Times New Roman"/>
          <w:sz w:val="28"/>
          <w:szCs w:val="28"/>
        </w:rPr>
        <w:t xml:space="preserve"> придатков матки [Текст] / М.А.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Каганова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Е.П.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Шатунова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>, Л.В. Лимарева // Мать и дитя: матер. ХIIV Всероссийского научного форума. – М., 2016. – С. 399.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2E4A71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Столярова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У. В. Особенности иммунных и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оксидантных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нарушений у больных с воспалительными заболеваниями органов малого таза [Текст] / У. В.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Столярова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, И. Е. Рогожина, Н. Ф. </w:t>
      </w:r>
      <w:proofErr w:type="spellStart"/>
      <w:r w:rsidRPr="002E4A71">
        <w:rPr>
          <w:rFonts w:ascii="Times New Roman" w:hAnsi="Times New Roman" w:cs="Times New Roman"/>
          <w:sz w:val="28"/>
          <w:szCs w:val="28"/>
        </w:rPr>
        <w:t>Хворостухина</w:t>
      </w:r>
      <w:proofErr w:type="spellEnd"/>
      <w:r w:rsidRPr="002E4A71">
        <w:rPr>
          <w:rFonts w:ascii="Times New Roman" w:hAnsi="Times New Roman" w:cs="Times New Roman"/>
          <w:sz w:val="28"/>
          <w:szCs w:val="28"/>
        </w:rPr>
        <w:t xml:space="preserve"> и др. // Мать и дитя: Матер. 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V </w:t>
      </w:r>
      <w:r w:rsidRPr="002E4A71">
        <w:rPr>
          <w:rFonts w:ascii="Times New Roman" w:hAnsi="Times New Roman" w:cs="Times New Roman"/>
          <w:sz w:val="28"/>
          <w:szCs w:val="28"/>
        </w:rPr>
        <w:t>Регионального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научного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E4A71">
        <w:rPr>
          <w:rFonts w:ascii="Times New Roman" w:hAnsi="Times New Roman" w:cs="Times New Roman"/>
          <w:sz w:val="28"/>
          <w:szCs w:val="28"/>
        </w:rPr>
        <w:t>форума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2E4A71">
        <w:rPr>
          <w:rFonts w:ascii="Times New Roman" w:hAnsi="Times New Roman" w:cs="Times New Roman"/>
          <w:sz w:val="28"/>
          <w:szCs w:val="28"/>
        </w:rPr>
        <w:t>Геленджик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, 2011. – </w:t>
      </w:r>
      <w:r w:rsidRPr="002E4A71">
        <w:rPr>
          <w:rFonts w:ascii="Times New Roman" w:hAnsi="Times New Roman" w:cs="Times New Roman"/>
          <w:sz w:val="28"/>
          <w:szCs w:val="28"/>
        </w:rPr>
        <w:t>С</w:t>
      </w:r>
      <w:r w:rsidRPr="002E4A71">
        <w:rPr>
          <w:rFonts w:ascii="Times New Roman" w:hAnsi="Times New Roman" w:cs="Times New Roman"/>
          <w:sz w:val="28"/>
          <w:szCs w:val="28"/>
          <w:lang w:val="en-US"/>
        </w:rPr>
        <w:t>. 269-270.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2E4A71">
        <w:rPr>
          <w:rFonts w:ascii="Times New Roman" w:hAnsi="Times New Roman" w:cs="Times New Roman"/>
          <w:sz w:val="28"/>
          <w:szCs w:val="28"/>
          <w:lang w:val="en-US"/>
        </w:rPr>
        <w:t>6. Hartog J.E. Serological markers of persistent C. trachomatis infections in women with tubal factor subfertility / J.E. Hartog, J.A. Land, F.R.M. Stassen, A.G.H. Kessels et al. // Hum. Reprod. – 2005. – vol. 20. – p. 986-990.</w:t>
      </w:r>
    </w:p>
    <w:p w:rsidR="004156C8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7. Interleukin 8 (IL-8) -a universal biomarker/ A. Shahzad, </w:t>
      </w:r>
      <w:proofErr w:type="gramStart"/>
      <w:r w:rsidRPr="002E4A71">
        <w:rPr>
          <w:rFonts w:ascii="Times New Roman" w:hAnsi="Times New Roman" w:cs="Times New Roman"/>
          <w:sz w:val="28"/>
          <w:szCs w:val="28"/>
          <w:lang w:val="en-US"/>
        </w:rPr>
        <w:t>M.Knapp</w:t>
      </w:r>
      <w:proofErr w:type="gramEnd"/>
      <w:r w:rsidRPr="002E4A71">
        <w:rPr>
          <w:rFonts w:ascii="Times New Roman" w:hAnsi="Times New Roman" w:cs="Times New Roman"/>
          <w:sz w:val="28"/>
          <w:szCs w:val="28"/>
          <w:lang w:val="en-US"/>
        </w:rPr>
        <w:t>, I. Lang, G. Kohler // Inter. Arch. Med. – 2010. – № 3. – P. 11.</w:t>
      </w:r>
    </w:p>
    <w:p w:rsidR="00B608A9" w:rsidRPr="002E4A71" w:rsidRDefault="004156C8" w:rsidP="00962718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en-US"/>
        </w:rPr>
      </w:pPr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8. Ness R.B. A cluster analysis of bacterial vaginosis – associated </w:t>
      </w:r>
      <w:proofErr w:type="spellStart"/>
      <w:r w:rsidRPr="002E4A71">
        <w:rPr>
          <w:rFonts w:ascii="Times New Roman" w:hAnsi="Times New Roman" w:cs="Times New Roman"/>
          <w:sz w:val="28"/>
          <w:szCs w:val="28"/>
          <w:lang w:val="en-US"/>
        </w:rPr>
        <w:t>microflore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E4A71">
        <w:rPr>
          <w:rFonts w:ascii="Times New Roman" w:hAnsi="Times New Roman" w:cs="Times New Roman"/>
          <w:sz w:val="28"/>
          <w:szCs w:val="28"/>
          <w:lang w:val="en-US"/>
        </w:rPr>
        <w:t>pelvicinflammatori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 xml:space="preserve"> disease / R. B. Ness, K.E. Kip, S.L. Hillier et al. // Am. J. </w:t>
      </w:r>
      <w:proofErr w:type="spellStart"/>
      <w:r w:rsidRPr="002E4A71">
        <w:rPr>
          <w:rFonts w:ascii="Times New Roman" w:hAnsi="Times New Roman" w:cs="Times New Roman"/>
          <w:sz w:val="28"/>
          <w:szCs w:val="28"/>
          <w:lang w:val="en-US"/>
        </w:rPr>
        <w:t>Epidemol</w:t>
      </w:r>
      <w:proofErr w:type="spellEnd"/>
      <w:r w:rsidRPr="002E4A71">
        <w:rPr>
          <w:rFonts w:ascii="Times New Roman" w:hAnsi="Times New Roman" w:cs="Times New Roman"/>
          <w:sz w:val="28"/>
          <w:szCs w:val="28"/>
          <w:lang w:val="en-US"/>
        </w:rPr>
        <w:t>. – 2005. – vol. 162, № 6. – p. 585-590.</w:t>
      </w:r>
    </w:p>
    <w:sectPr w:rsidR="00B608A9" w:rsidRPr="002E4A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B2A"/>
    <w:rsid w:val="002E4A71"/>
    <w:rsid w:val="004156C8"/>
    <w:rsid w:val="004D103C"/>
    <w:rsid w:val="004F6B2A"/>
    <w:rsid w:val="008A706D"/>
    <w:rsid w:val="00962718"/>
    <w:rsid w:val="00B22024"/>
    <w:rsid w:val="00B60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48AB7"/>
  <w15:chartTrackingRefBased/>
  <w15:docId w15:val="{2460E2F2-7629-4AB0-9E8E-233890EBD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E4A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1344</Words>
  <Characters>7661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2019-09-26T07:25:00Z</dcterms:created>
  <dcterms:modified xsi:type="dcterms:W3CDTF">2019-09-26T07:25:00Z</dcterms:modified>
</cp:coreProperties>
</file>