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1149" w:rsidRPr="00901149" w:rsidRDefault="00901149" w:rsidP="0090114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01149">
        <w:rPr>
          <w:rFonts w:ascii="Times New Roman" w:hAnsi="Times New Roman" w:cs="Times New Roman"/>
          <w:b/>
          <w:sz w:val="28"/>
          <w:szCs w:val="28"/>
        </w:rPr>
        <w:t>ОСОБЛИВОСТІ ЛІКУВАННЯ МИГОТЛИВОЇ АРИТМІЇ У ХВОРИХ НА</w:t>
      </w:r>
      <w:r w:rsidR="006548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bookmarkStart w:id="0" w:name="_GoBack"/>
      <w:bookmarkEnd w:id="0"/>
      <w:r w:rsidRPr="00901149">
        <w:rPr>
          <w:rFonts w:ascii="Times New Roman" w:hAnsi="Times New Roman" w:cs="Times New Roman"/>
          <w:b/>
          <w:sz w:val="28"/>
          <w:szCs w:val="28"/>
        </w:rPr>
        <w:t>ІШЕМІЧНУ ХВОРОБУ СЕРЦЯ ТА ЦУКРОВИЙ ДІАБЕТ</w:t>
      </w:r>
    </w:p>
    <w:p w:rsidR="00901149" w:rsidRPr="00901149" w:rsidRDefault="00901149" w:rsidP="0090114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01149">
        <w:rPr>
          <w:rFonts w:ascii="Times New Roman" w:hAnsi="Times New Roman" w:cs="Times New Roman"/>
          <w:b/>
          <w:sz w:val="28"/>
          <w:szCs w:val="28"/>
        </w:rPr>
        <w:t>К.мед.н</w:t>
      </w:r>
      <w:proofErr w:type="spellEnd"/>
      <w:r w:rsidRPr="00901149">
        <w:rPr>
          <w:rFonts w:ascii="Times New Roman" w:hAnsi="Times New Roman" w:cs="Times New Roman"/>
          <w:b/>
          <w:sz w:val="28"/>
          <w:szCs w:val="28"/>
        </w:rPr>
        <w:t xml:space="preserve">., доц. </w:t>
      </w:r>
      <w:proofErr w:type="spellStart"/>
      <w:r w:rsidRPr="00901149">
        <w:rPr>
          <w:rFonts w:ascii="Times New Roman" w:hAnsi="Times New Roman" w:cs="Times New Roman"/>
          <w:b/>
          <w:sz w:val="28"/>
          <w:szCs w:val="28"/>
        </w:rPr>
        <w:t>Латогуз</w:t>
      </w:r>
      <w:proofErr w:type="spellEnd"/>
      <w:r w:rsidRPr="00901149">
        <w:rPr>
          <w:rFonts w:ascii="Times New Roman" w:hAnsi="Times New Roman" w:cs="Times New Roman"/>
          <w:b/>
          <w:sz w:val="28"/>
          <w:szCs w:val="28"/>
        </w:rPr>
        <w:t xml:space="preserve"> С. І.</w:t>
      </w:r>
    </w:p>
    <w:p w:rsidR="00901149" w:rsidRDefault="00901149" w:rsidP="00901149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01149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</w:p>
    <w:p w:rsidR="00901149" w:rsidRPr="00901149" w:rsidRDefault="00901149" w:rsidP="0090114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01149" w:rsidRPr="00901149" w:rsidRDefault="00901149" w:rsidP="0063626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1149">
        <w:rPr>
          <w:rFonts w:ascii="Times New Roman" w:hAnsi="Times New Roman" w:cs="Times New Roman"/>
          <w:b/>
          <w:sz w:val="28"/>
          <w:szCs w:val="28"/>
        </w:rPr>
        <w:t>Вступ.</w:t>
      </w:r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Дистрофічні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серцевому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м'язі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(ЦД)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передсердь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шлуночків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. Не дивно,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миготлива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</w:rPr>
        <w:t>аритмія</w:t>
      </w:r>
      <w:proofErr w:type="spellEnd"/>
      <w:r w:rsidRPr="00901149">
        <w:rPr>
          <w:rFonts w:ascii="Times New Roman" w:hAnsi="Times New Roman" w:cs="Times New Roman"/>
          <w:sz w:val="28"/>
          <w:szCs w:val="28"/>
        </w:rPr>
        <w:t xml:space="preserve"> (МА), друга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>за частотою порушення серцевого ритму (близько 40 % всіх порушень ритму) після екстрасистолії,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може ускладнювати перебіг діабетичної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кардіоміопатії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1149" w:rsidRPr="00901149" w:rsidRDefault="00901149" w:rsidP="0063626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1149">
        <w:rPr>
          <w:rFonts w:ascii="Times New Roman" w:hAnsi="Times New Roman" w:cs="Times New Roman"/>
          <w:b/>
          <w:sz w:val="28"/>
          <w:szCs w:val="28"/>
          <w:lang w:val="uk-UA"/>
        </w:rPr>
        <w:t>Мета.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особливості лікування миготливої аритмії у хворих на ішемічну хворобу серця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>та цукровий діабет.</w:t>
      </w:r>
    </w:p>
    <w:p w:rsidR="00901149" w:rsidRPr="00901149" w:rsidRDefault="00901149" w:rsidP="0063626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1149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методи.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Нами вивчена ефективність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аміодарону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у 34 хворих на ішемічну хворобу серця (ІХС), які страждають пароксизмальною або стійкою формою МА. Серед них 11 пацієнтів (32,4 %)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>страждали ЦД. Обстежені пацієнти страждали стенокардією напруги II-IIIФК. Вік хворих склав від 43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>59 років. Хворі були розділені на 2 групи: 1 групу склали 16 хворих на ІХС і МА, 2 групу – 18 хворих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ІХС, які страждають ЦД 2 типу і МА. При проведенні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кардіоверсії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аміодарон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вводили в/в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струменево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дозі 300-450 мг протягом 10 хв., добова доза до 1200 мг. Потім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аміодарон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>призначали в дозі по 200 мг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>3 рази на добу протягом 5-8 днів, потім по 200 мг 2 рази на добу на протязі 7 днів.</w:t>
      </w:r>
    </w:p>
    <w:p w:rsidR="00901149" w:rsidRDefault="00901149" w:rsidP="0063626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1149">
        <w:rPr>
          <w:rFonts w:ascii="Times New Roman" w:hAnsi="Times New Roman" w:cs="Times New Roman"/>
          <w:b/>
          <w:sz w:val="28"/>
          <w:szCs w:val="28"/>
          <w:lang w:val="uk-UA"/>
        </w:rPr>
        <w:t>Результати.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Аналіз результатів лікування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аміодароном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показав, що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кардіоверсія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була успішніше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>13 хворих (81,3 %) 1 групи, і у 11 хворих (61,1 %) 2 групи.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01149" w:rsidRPr="00901149" w:rsidRDefault="00901149" w:rsidP="0063626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На тлі лікування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аміодароном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як в 1, так і в 2 групах хворих спостерігалося зниження частоти та інтенсивності нападів стенокардії, зменшення споживання кількості таблеток нітрогліцерину протягом доби.</w:t>
      </w:r>
    </w:p>
    <w:p w:rsidR="00901149" w:rsidRPr="00901149" w:rsidRDefault="00901149" w:rsidP="0063626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01149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</w:p>
    <w:p w:rsidR="00901149" w:rsidRPr="00901149" w:rsidRDefault="00901149" w:rsidP="006362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114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Аміодарон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має виражений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антиаритмічний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ефект у більшості хворих миготливою аритмією,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>страждають як ішемічною хворобою серця, так і ішемічною хворобою серця в поєднанні з цукровим діабетом 2 типу.</w:t>
      </w:r>
    </w:p>
    <w:p w:rsidR="00901149" w:rsidRPr="00901149" w:rsidRDefault="00901149" w:rsidP="006362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2. Профілактичний прийом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аміодарону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з метою попередження рецидивів фібриляції передсердь виявляється менш ефективним у хворих з супутнім цукровим діабетом II типу.</w:t>
      </w:r>
    </w:p>
    <w:p w:rsidR="00246F34" w:rsidRPr="00901149" w:rsidRDefault="00901149" w:rsidP="0063626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3. Для більш вираженого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протиаритмічного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ефекту при цукровому діабеті слід поєднувати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аміодарон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ренітеком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лозартаном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1149">
        <w:rPr>
          <w:rFonts w:ascii="Times New Roman" w:hAnsi="Times New Roman" w:cs="Times New Roman"/>
          <w:sz w:val="28"/>
          <w:szCs w:val="28"/>
          <w:lang w:val="uk-UA"/>
        </w:rPr>
        <w:t>апровелем</w:t>
      </w:r>
      <w:proofErr w:type="spellEnd"/>
      <w:r w:rsidRPr="00901149">
        <w:rPr>
          <w:rFonts w:ascii="Times New Roman" w:hAnsi="Times New Roman" w:cs="Times New Roman"/>
          <w:sz w:val="28"/>
          <w:szCs w:val="28"/>
          <w:lang w:val="uk-UA"/>
        </w:rPr>
        <w:t xml:space="preserve">, а також препаратами калію. </w:t>
      </w:r>
      <w:r w:rsidRPr="00901149">
        <w:rPr>
          <w:rFonts w:ascii="Times New Roman" w:hAnsi="Times New Roman" w:cs="Times New Roman"/>
          <w:sz w:val="28"/>
          <w:szCs w:val="28"/>
          <w:lang w:val="uk-UA"/>
        </w:rPr>
        <w:cr/>
      </w:r>
    </w:p>
    <w:sectPr w:rsidR="00246F34" w:rsidRPr="009011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CD3"/>
    <w:rsid w:val="00246F34"/>
    <w:rsid w:val="0063626E"/>
    <w:rsid w:val="006548B9"/>
    <w:rsid w:val="00901149"/>
    <w:rsid w:val="00B22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97BE0"/>
  <w15:chartTrackingRefBased/>
  <w15:docId w15:val="{8C4B40B5-FC9C-4DAD-AA4C-326512AA5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329</Words>
  <Characters>1877</Characters>
  <Application>Microsoft Office Word</Application>
  <DocSecurity>0</DocSecurity>
  <Lines>15</Lines>
  <Paragraphs>4</Paragraphs>
  <ScaleCrop>false</ScaleCrop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2019-06-05T21:43:00Z</dcterms:created>
  <dcterms:modified xsi:type="dcterms:W3CDTF">2019-06-05T21:46:00Z</dcterms:modified>
</cp:coreProperties>
</file>