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line="360" w:lineRule="auto"/>
        <w:jc w:val="right"/>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Д. В. Дюрба</w:t>
      </w:r>
    </w:p>
    <w:p w:rsidR="00000000" w:rsidDel="00000000" w:rsidP="00000000" w:rsidRDefault="00000000" w:rsidRPr="00000000" w14:paraId="00000002">
      <w:pPr>
        <w:shd w:fill="ffffff" w:val="clear"/>
        <w:spacing w:line="360" w:lineRule="auto"/>
        <w:jc w:val="center"/>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Переваги роботи з сервісом quizlet під час викладання курсу «латинська мова та медична термінологія»</w:t>
      </w:r>
    </w:p>
    <w:p w:rsidR="00000000" w:rsidDel="00000000" w:rsidP="00000000" w:rsidRDefault="00000000" w:rsidRPr="00000000" w14:paraId="00000003">
      <w:pPr>
        <w:spacing w:line="360" w:lineRule="auto"/>
        <w:ind w:left="0" w:firstLine="720"/>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Сучасне інформаційне суспільство вимагає від закладів вищої освіти готувати не просто вузькокваліфікованих фахівців, а усебічно розвинених спеціалістів. Невід’ємною частиною роботи викладача із сучасними студентами є уміння поєднувати традиційні педагогічні технології з інноваційними, а також поглиблення процесу викладання шляхом використання мультимедійних засобів навчання. Онлайн-платформа Quizlet – це інтерактивний сервіс, спрямований на вивчення лексики різними мовами шляхом створення наборів карток зі словами і визначеннями, об’єднаних в модулі, папки чи курси. </w:t>
      </w:r>
    </w:p>
    <w:p w:rsidR="00000000" w:rsidDel="00000000" w:rsidP="00000000" w:rsidRDefault="00000000" w:rsidRPr="00000000" w14:paraId="00000004">
      <w:p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Користувачі сайту Quizlet можуть працювати у кількох різних режимах, що не лише якісно впливають на процес запам’ятовування слів, а й урізноманітнює його, роблячи цікавішим. До того ж, платформа дає можливість зареєстрованому користувачеві відслідковувати власний прогрес у вивченні модулів. Серед режимів, що пропонує сайт, є такі, що перевіряють навички перекладу, сприйняття на слух, письма, завчання слів у формі навчальних ігор.</w:t>
      </w:r>
    </w:p>
    <w:p w:rsidR="00000000" w:rsidDel="00000000" w:rsidP="00000000" w:rsidRDefault="00000000" w:rsidRPr="00000000" w14:paraId="00000005">
      <w:p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Викладачами кафедри латинської мови та медичної термінології було сформовано на сервісі кілька курсів різними мовами для різних спеціальностей, що містять лексичні мінімуми тем, які студенти мають опанувати протягом курсу «Латинська мова та медична термінологія». Після кількох років роботи з додатком під час навчальних занять, зокрема і в дистанційному форматі, ми можемо виділити такі позитивні аспекти.</w:t>
      </w:r>
    </w:p>
    <w:p w:rsidR="00000000" w:rsidDel="00000000" w:rsidP="00000000" w:rsidRDefault="00000000" w:rsidRPr="00000000" w14:paraId="00000006">
      <w:pPr>
        <w:numPr>
          <w:ilvl w:val="0"/>
          <w:numId w:val="2"/>
        </w:num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Завдяки роботі із сервісом відбувається постійна зорова стимуляція, переключення уваги та пришвидшення динаміки навчального процесу.</w:t>
      </w:r>
    </w:p>
    <w:p w:rsidR="00000000" w:rsidDel="00000000" w:rsidP="00000000" w:rsidRDefault="00000000" w:rsidRPr="00000000" w14:paraId="00000007">
      <w:pPr>
        <w:numPr>
          <w:ilvl w:val="0"/>
          <w:numId w:val="2"/>
        </w:num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Унаслідок задіювання різних каналів сприйняття інформації, стимулюється розвиток пам’яті та уважності.</w:t>
      </w:r>
    </w:p>
    <w:p w:rsidR="00000000" w:rsidDel="00000000" w:rsidP="00000000" w:rsidRDefault="00000000" w:rsidRPr="00000000" w14:paraId="00000008">
      <w:pPr>
        <w:numPr>
          <w:ilvl w:val="0"/>
          <w:numId w:val="2"/>
        </w:num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Студентам значно цікавіше і продуктивніше вивчати лексику саме через інтерактивну взаємодію, адже вони не залишаються сам на сам із незнайомим матеріалом, а можуть самостійно оцінювати власні знання і ступінь підготовки.</w:t>
      </w:r>
    </w:p>
    <w:p w:rsidR="00000000" w:rsidDel="00000000" w:rsidP="00000000" w:rsidRDefault="00000000" w:rsidRPr="00000000" w14:paraId="00000009">
      <w:pPr>
        <w:numPr>
          <w:ilvl w:val="0"/>
          <w:numId w:val="2"/>
        </w:num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Ігрові режими мають в основі психологію гри, компонент змагання, чи то із абстрактним опонентом, чи то із суперниками, що також вивчають модуль, чи то у змаганнях між командами, онлайн чи офлайн.</w:t>
      </w:r>
    </w:p>
    <w:p w:rsidR="00000000" w:rsidDel="00000000" w:rsidP="00000000" w:rsidRDefault="00000000" w:rsidRPr="00000000" w14:paraId="0000000A">
      <w:p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Серед негативних аспектів роботи із додатком можна виділити залежність від якості Інтернет-з’єднання та можливість прокрастинації при самостійній роботі із додатком, адже студенти, знаючи, що можуть навчатися у будь-який момент за заздалегідь підготовленими викладачами модулями, можуть відкладати цей процес. Проте, на нашу думку, ці аспекти актуальні для онлайн-навчання загалом, а не лише у роботі із сервісом Quizlet.</w:t>
      </w:r>
    </w:p>
    <w:p w:rsidR="00000000" w:rsidDel="00000000" w:rsidP="00000000" w:rsidRDefault="00000000" w:rsidRPr="00000000" w14:paraId="0000000B">
      <w:p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Таким чином, ми можемо упевнено заявити, що використання онлайн-платформи Quizlet під час вивчення лексики з дисципліни «Латинська мова та медична термінологія» сприяє поглибленню продуктивності роботи і комунікації студентів і викладачів. Також використання Quizlet стимулює досягнення навчальних цілей та створенню позитивної атмосфери на заняттях.</w:t>
      </w:r>
    </w:p>
    <w:p w:rsidR="00000000" w:rsidDel="00000000" w:rsidP="00000000" w:rsidRDefault="00000000" w:rsidRPr="00000000" w14:paraId="0000000C">
      <w:pPr>
        <w:spacing w:line="360" w:lineRule="auto"/>
        <w:ind w:firstLine="426"/>
        <w:jc w:val="center"/>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Список використаних джерел:</w:t>
      </w:r>
    </w:p>
    <w:p w:rsidR="00000000" w:rsidDel="00000000" w:rsidP="00000000" w:rsidRDefault="00000000" w:rsidRPr="00000000" w14:paraId="0000000D">
      <w:pPr>
        <w:numPr>
          <w:ilvl w:val="0"/>
          <w:numId w:val="1"/>
        </w:numPr>
        <w:spacing w:line="360" w:lineRule="auto"/>
        <w:ind w:left="284"/>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Kolodny L. Quizlet Raises $12 Million to Take Its Popular Study Tools International [електронний ресурс] // The Wall Street Journal. 2015. November 23. URL: https://www.wsj.com/articles/BL-VCDB-18176 (дата звернення: 9.04.2021).</w:t>
      </w:r>
    </w:p>
    <w:p w:rsidR="00000000" w:rsidDel="00000000" w:rsidP="00000000" w:rsidRDefault="00000000" w:rsidRPr="00000000" w14:paraId="0000000E">
      <w:pPr>
        <w:numPr>
          <w:ilvl w:val="0"/>
          <w:numId w:val="1"/>
        </w:numPr>
        <w:spacing w:line="360" w:lineRule="auto"/>
        <w:ind w:left="284"/>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Комарницька О. М. Особливості застосування мобільних технологій у навчанні. Матеріали Міжнародної науковопрактичної конференції «Новітні інформаційно-комунікаційні технології в навчальному процесі: актуальні проблеми»: (Тернопіль, 30 листопада 2016 року), 2016. С. 3–8.</w:t>
      </w:r>
    </w:p>
    <w:p w:rsidR="00000000" w:rsidDel="00000000" w:rsidP="00000000" w:rsidRDefault="00000000" w:rsidRPr="00000000" w14:paraId="0000000F">
      <w:pPr>
        <w:numPr>
          <w:ilvl w:val="0"/>
          <w:numId w:val="1"/>
        </w:numPr>
        <w:spacing w:line="360" w:lineRule="auto"/>
        <w:ind w:left="284"/>
        <w:jc w:val="both"/>
        <w:rPr>
          <w:rFonts w:ascii="Times New Roman" w:cs="Times New Roman" w:eastAsia="Times New Roman" w:hAnsi="Times New Roman"/>
          <w:color w:val="111111"/>
          <w:sz w:val="28"/>
          <w:szCs w:val="28"/>
          <w:highlight w:val="white"/>
        </w:rPr>
      </w:pPr>
      <w:r w:rsidDel="00000000" w:rsidR="00000000" w:rsidRPr="00000000">
        <w:rPr>
          <w:rFonts w:ascii="Times New Roman" w:cs="Times New Roman" w:eastAsia="Times New Roman" w:hAnsi="Times New Roman"/>
          <w:color w:val="111111"/>
          <w:sz w:val="28"/>
          <w:szCs w:val="28"/>
          <w:highlight w:val="white"/>
          <w:rtl w:val="0"/>
        </w:rPr>
        <w:t xml:space="preserve">Кушнір А. С. Застосування онлайн-сервісів як запорука підвищення пізнавального інтересу до вивчення іноземних мов / А. С. Кушнір // Фізико-математична освіта. - 2019. - Вип. 1. - С. 95-101. - Режим доступу: http://nbuv.gov.ua/UJRN/fmo_2019_1_17.</w:t>
      </w:r>
    </w:p>
    <w:p w:rsidR="00000000" w:rsidDel="00000000" w:rsidP="00000000" w:rsidRDefault="00000000" w:rsidRPr="00000000" w14:paraId="00000010">
      <w:pPr>
        <w:spacing w:line="360" w:lineRule="auto"/>
        <w:ind w:firstLine="426"/>
        <w:jc w:val="both"/>
        <w:rPr>
          <w:rFonts w:ascii="Times New Roman" w:cs="Times New Roman" w:eastAsia="Times New Roman" w:hAnsi="Times New Roman"/>
          <w:b w:val="1"/>
          <w:color w:val="111111"/>
          <w:sz w:val="19"/>
          <w:szCs w:val="19"/>
          <w:highlight w:val="white"/>
        </w:rPr>
      </w:pPr>
      <w:r w:rsidDel="00000000" w:rsidR="00000000" w:rsidRPr="00000000">
        <w:rPr>
          <w:rtl w:val="0"/>
        </w:rPr>
      </w:r>
    </w:p>
    <w:p w:rsidR="00000000" w:rsidDel="00000000" w:rsidP="00000000" w:rsidRDefault="00000000" w:rsidRPr="00000000" w14:paraId="00000011">
      <w:pPr>
        <w:spacing w:line="360" w:lineRule="auto"/>
        <w:ind w:firstLine="426"/>
        <w:jc w:val="both"/>
        <w:rPr>
          <w:rFonts w:ascii="Times New Roman" w:cs="Times New Roman" w:eastAsia="Times New Roman" w:hAnsi="Times New Roman"/>
          <w:b w:val="1"/>
          <w:color w:val="111111"/>
          <w:sz w:val="19"/>
          <w:szCs w:val="19"/>
          <w:highlight w:val="white"/>
        </w:rPr>
      </w:pPr>
      <w:r w:rsidDel="00000000" w:rsidR="00000000" w:rsidRPr="00000000">
        <w:rPr>
          <w:rtl w:val="0"/>
        </w:rPr>
      </w:r>
    </w:p>
    <w:p w:rsidR="00000000" w:rsidDel="00000000" w:rsidP="00000000" w:rsidRDefault="00000000" w:rsidRPr="00000000" w14:paraId="00000012">
      <w:pPr>
        <w:spacing w:line="360" w:lineRule="auto"/>
        <w:ind w:left="0" w:firstLine="0"/>
        <w:jc w:val="both"/>
        <w:rPr>
          <w:rFonts w:ascii="Times New Roman" w:cs="Times New Roman" w:eastAsia="Times New Roman" w:hAnsi="Times New Roman"/>
          <w:color w:val="111111"/>
          <w:sz w:val="28"/>
          <w:szCs w:val="28"/>
          <w:highlight w:val="white"/>
        </w:rPr>
      </w:pPr>
      <w:r w:rsidDel="00000000" w:rsidR="00000000" w:rsidRPr="00000000">
        <w:rPr>
          <w:rtl w:val="0"/>
        </w:rPr>
      </w:r>
    </w:p>
    <w:p w:rsidR="00000000" w:rsidDel="00000000" w:rsidP="00000000" w:rsidRDefault="00000000" w:rsidRPr="00000000" w14:paraId="00000013">
      <w:pPr>
        <w:spacing w:line="360" w:lineRule="auto"/>
        <w:ind w:firstLine="426"/>
        <w:jc w:val="both"/>
        <w:rPr>
          <w:rFonts w:ascii="Times New Roman" w:cs="Times New Roman" w:eastAsia="Times New Roman" w:hAnsi="Times New Roman"/>
          <w:color w:val="111111"/>
          <w:sz w:val="28"/>
          <w:szCs w:val="28"/>
          <w:highlight w:val="white"/>
        </w:rPr>
      </w:pPr>
      <w:r w:rsidDel="00000000" w:rsidR="00000000" w:rsidRPr="00000000">
        <w:rPr>
          <w:rtl w:val="0"/>
        </w:rPr>
      </w:r>
    </w:p>
    <w:p w:rsidR="00000000" w:rsidDel="00000000" w:rsidP="00000000" w:rsidRDefault="00000000" w:rsidRPr="00000000" w14:paraId="00000014">
      <w:pPr>
        <w:spacing w:line="360" w:lineRule="auto"/>
        <w:jc w:val="both"/>
        <w:rPr>
          <w:rFonts w:ascii="Times New Roman" w:cs="Times New Roman" w:eastAsia="Times New Roman" w:hAnsi="Times New Roman"/>
          <w:color w:val="111111"/>
          <w:sz w:val="19"/>
          <w:szCs w:val="19"/>
          <w:highlight w:val="white"/>
        </w:rPr>
      </w:pPr>
      <w:r w:rsidDel="00000000" w:rsidR="00000000" w:rsidRPr="00000000">
        <w:rPr>
          <w:rtl w:val="0"/>
        </w:rPr>
      </w:r>
    </w:p>
    <w:p w:rsidR="00000000" w:rsidDel="00000000" w:rsidP="00000000" w:rsidRDefault="00000000" w:rsidRPr="00000000" w14:paraId="00000015">
      <w:pPr>
        <w:spacing w:line="360" w:lineRule="auto"/>
        <w:jc w:val="both"/>
        <w:rPr>
          <w:rFonts w:ascii="Times New Roman" w:cs="Times New Roman" w:eastAsia="Times New Roman" w:hAnsi="Times New Roman"/>
          <w:color w:val="111111"/>
          <w:sz w:val="28"/>
          <w:szCs w:val="28"/>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70" w:hanging="360"/>
      </w:pPr>
      <w:rPr/>
    </w:lvl>
    <w:lvl w:ilvl="1">
      <w:start w:val="1"/>
      <w:numFmt w:val="lowerLetter"/>
      <w:lvlText w:val="%2."/>
      <w:lvlJc w:val="left"/>
      <w:pPr>
        <w:ind w:left="1866" w:hanging="360"/>
      </w:pPr>
      <w:rPr/>
    </w:lvl>
    <w:lvl w:ilvl="2">
      <w:start w:val="1"/>
      <w:numFmt w:val="lowerRoman"/>
      <w:lvlText w:val="%3."/>
      <w:lvlJc w:val="right"/>
      <w:pPr>
        <w:ind w:left="2586" w:hanging="180"/>
      </w:pPr>
      <w:rPr/>
    </w:lvl>
    <w:lvl w:ilvl="3">
      <w:start w:val="1"/>
      <w:numFmt w:val="decimal"/>
      <w:lvlText w:val="%4."/>
      <w:lvlJc w:val="left"/>
      <w:pPr>
        <w:ind w:left="3306" w:hanging="360"/>
      </w:pPr>
      <w:rPr/>
    </w:lvl>
    <w:lvl w:ilvl="4">
      <w:start w:val="1"/>
      <w:numFmt w:val="lowerLetter"/>
      <w:lvlText w:val="%5."/>
      <w:lvlJc w:val="left"/>
      <w:pPr>
        <w:ind w:left="4026" w:hanging="360"/>
      </w:pPr>
      <w:rPr/>
    </w:lvl>
    <w:lvl w:ilvl="5">
      <w:start w:val="1"/>
      <w:numFmt w:val="lowerRoman"/>
      <w:lvlText w:val="%6."/>
      <w:lvlJc w:val="right"/>
      <w:pPr>
        <w:ind w:left="4746" w:hanging="180"/>
      </w:pPr>
      <w:rPr/>
    </w:lvl>
    <w:lvl w:ilvl="6">
      <w:start w:val="1"/>
      <w:numFmt w:val="decimal"/>
      <w:lvlText w:val="%7."/>
      <w:lvlJc w:val="left"/>
      <w:pPr>
        <w:ind w:left="5466" w:hanging="360"/>
      </w:pPr>
      <w:rPr/>
    </w:lvl>
    <w:lvl w:ilvl="7">
      <w:start w:val="1"/>
      <w:numFmt w:val="lowerLetter"/>
      <w:lvlText w:val="%8."/>
      <w:lvlJc w:val="left"/>
      <w:pPr>
        <w:ind w:left="6186" w:hanging="360"/>
      </w:pPr>
      <w:rPr/>
    </w:lvl>
    <w:lvl w:ilvl="8">
      <w:start w:val="1"/>
      <w:numFmt w:val="lowerRoman"/>
      <w:lvlText w:val="%9."/>
      <w:lvlJc w:val="right"/>
      <w:pPr>
        <w:ind w:left="6906" w:hanging="180"/>
      </w:pPr>
      <w:rPr/>
    </w:lvl>
  </w:abstractNum>
  <w:abstractNum w:abstractNumId="2">
    <w:lvl w:ilvl="0">
      <w:start w:val="1"/>
      <w:numFmt w:val="decimal"/>
      <w:lvlText w:val="%1."/>
      <w:lvlJc w:val="left"/>
      <w:pPr>
        <w:ind w:left="644" w:hanging="359.99999999999994"/>
      </w:pPr>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