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74C06" w:rsidRPr="001B6AC9" w:rsidRDefault="00474C06" w:rsidP="00474C06">
      <w:pPr>
        <w:pStyle w:val="a3"/>
        <w:spacing w:before="0" w:beforeAutospacing="0" w:after="0" w:afterAutospacing="0"/>
        <w:jc w:val="center"/>
        <w:rPr>
          <w:b/>
          <w:sz w:val="28"/>
          <w:szCs w:val="28"/>
          <w:lang w:val="en-US"/>
        </w:rPr>
      </w:pPr>
      <w:proofErr w:type="spellStart"/>
      <w:r w:rsidRPr="001B6AC9">
        <w:rPr>
          <w:b/>
          <w:sz w:val="28"/>
          <w:szCs w:val="28"/>
          <w:lang w:val="uk-UA"/>
        </w:rPr>
        <w:t>Лапшина</w:t>
      </w:r>
      <w:proofErr w:type="spellEnd"/>
      <w:r w:rsidRPr="001B6AC9">
        <w:rPr>
          <w:b/>
          <w:sz w:val="28"/>
          <w:szCs w:val="28"/>
          <w:lang w:val="uk-UA"/>
        </w:rPr>
        <w:t xml:space="preserve"> І.О.</w:t>
      </w:r>
    </w:p>
    <w:p w:rsidR="00474C06" w:rsidRPr="001B6AC9" w:rsidRDefault="00474C06" w:rsidP="00474C06">
      <w:pPr>
        <w:jc w:val="center"/>
        <w:rPr>
          <w:b/>
          <w:sz w:val="28"/>
          <w:szCs w:val="28"/>
          <w:lang w:val="uk-UA"/>
        </w:rPr>
      </w:pPr>
      <w:r w:rsidRPr="001B6AC9">
        <w:rPr>
          <w:b/>
          <w:sz w:val="28"/>
          <w:szCs w:val="28"/>
          <w:lang w:val="uk-UA"/>
        </w:rPr>
        <w:t>ННМК «УК» ХНМУ</w:t>
      </w:r>
    </w:p>
    <w:p w:rsidR="005A1AA5" w:rsidRPr="001B6AC9" w:rsidRDefault="005A1AA5" w:rsidP="005A1AA5">
      <w:pPr>
        <w:jc w:val="center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b/>
          <w:color w:val="333333"/>
          <w:sz w:val="28"/>
          <w:szCs w:val="28"/>
          <w:shd w:val="clear" w:color="auto" w:fill="FFFFFF"/>
        </w:rPr>
        <w:t xml:space="preserve">2-Х </w:t>
      </w:r>
      <w:proofErr w:type="gramStart"/>
      <w:r w:rsidRPr="001B6AC9">
        <w:rPr>
          <w:b/>
          <w:color w:val="333333"/>
          <w:sz w:val="28"/>
          <w:szCs w:val="28"/>
          <w:shd w:val="clear" w:color="auto" w:fill="FFFFFF"/>
        </w:rPr>
        <w:t>Р</w:t>
      </w:r>
      <w:proofErr w:type="gramEnd"/>
      <w:r w:rsidRPr="001B6AC9">
        <w:rPr>
          <w:b/>
          <w:color w:val="333333"/>
          <w:sz w:val="28"/>
          <w:szCs w:val="28"/>
          <w:shd w:val="clear" w:color="auto" w:fill="FFFFFF"/>
        </w:rPr>
        <w:t>ІЧНИЙ КАТАМНЕЗ ПАЦІЄНТІВ НА МОЗКОВИЙ ІНСУЛЬТ</w:t>
      </w:r>
      <w:r w:rsidRPr="001B6AC9">
        <w:rPr>
          <w:b/>
          <w:color w:val="333333"/>
          <w:sz w:val="28"/>
          <w:szCs w:val="28"/>
          <w:shd w:val="clear" w:color="auto" w:fill="FFFFFF"/>
          <w:lang w:val="uk-UA"/>
        </w:rPr>
        <w:t xml:space="preserve"> (МІ)</w:t>
      </w:r>
      <w:r w:rsidRPr="001B6AC9">
        <w:rPr>
          <w:b/>
          <w:color w:val="333333"/>
          <w:sz w:val="28"/>
          <w:szCs w:val="28"/>
          <w:shd w:val="clear" w:color="auto" w:fill="FFFFFF"/>
        </w:rPr>
        <w:t xml:space="preserve"> ТА ТРАНЗІТОРНІ ІШЕМІЧНІ АТАКИ</w:t>
      </w:r>
      <w:r w:rsidRPr="001B6AC9">
        <w:rPr>
          <w:b/>
          <w:color w:val="333333"/>
          <w:sz w:val="28"/>
          <w:szCs w:val="28"/>
          <w:shd w:val="clear" w:color="auto" w:fill="FFFFFF"/>
          <w:lang w:val="uk-UA"/>
        </w:rPr>
        <w:t xml:space="preserve"> (</w:t>
      </w:r>
      <w:proofErr w:type="spellStart"/>
      <w:r w:rsidRPr="001B6AC9">
        <w:rPr>
          <w:b/>
          <w:color w:val="333333"/>
          <w:sz w:val="28"/>
          <w:szCs w:val="28"/>
          <w:shd w:val="clear" w:color="auto" w:fill="FFFFFF"/>
          <w:lang w:val="uk-UA"/>
        </w:rPr>
        <w:t>ТІА</w:t>
      </w:r>
      <w:proofErr w:type="spellEnd"/>
      <w:r w:rsidRPr="001B6AC9">
        <w:rPr>
          <w:b/>
          <w:color w:val="333333"/>
          <w:sz w:val="28"/>
          <w:szCs w:val="28"/>
          <w:shd w:val="clear" w:color="auto" w:fill="FFFFFF"/>
          <w:lang w:val="uk-UA"/>
        </w:rPr>
        <w:t>)</w:t>
      </w:r>
      <w:r w:rsidRPr="001B6AC9">
        <w:rPr>
          <w:b/>
          <w:color w:val="333333"/>
          <w:sz w:val="28"/>
          <w:szCs w:val="28"/>
          <w:shd w:val="clear" w:color="auto" w:fill="FFFFFF"/>
        </w:rPr>
        <w:t xml:space="preserve"> АТЕРОТРОМБОТИЧНОГО ГЕНЕЗУ.</w:t>
      </w:r>
      <w:r w:rsidRPr="001B6AC9">
        <w:rPr>
          <w:color w:val="333333"/>
          <w:sz w:val="28"/>
          <w:szCs w:val="28"/>
          <w:shd w:val="clear" w:color="auto" w:fill="FFFFFF"/>
        </w:rPr>
        <w:t xml:space="preserve"> 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>Для оцінки прогнозу серцево-судинних захворювань при атеротромбозі було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проведене динамічне спостереження за хворими на атеротромбоз.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Під нашим спостереженням, упродовж двох років, перебувало 30 пацієнтів (20 чоловіків і 10 жінок) з церебральними проявами атеротромбозу. Із них у 20 (14 чоловіків і 6 жінок) в анамнезі був ішемічний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атеротромботичний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мозковий інсульт (МІ), 10 (6 чоловіків, 4 жінки) -  перенесли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ТІА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>. Давнина цих церебральних катастроф була до 1 року. 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>Упродовж всього спостереження стежили за клінічними проявами захворювання, спостерігали за ускладненнями. На кожному етапі спостереження (кожні півроку) всім хворим проводилос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>я клінічне обстеження. 20 пацієнтам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на МІ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оцінювали функціональний стан та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здатність до самообслуговування за індексом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Бартеля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, а також ступінь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інвалідизації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за шкалою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Ренкіна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>. 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Після першого року спостереження всіх пацієнтів було поділено на дві групи: пацієнти I групи (16 хворих, з яких 11 перенесли МІ, 5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ТІА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), постійно приймали препарати, спрямовані на запобігання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атеротромботичним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подіям (аспірин 100 мг або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клопідогрел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75 мг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>)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. Пацієнти цієї групи контролювали цифри артеріального тиску (АТ), систематично вживали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антигіперте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>нзивні</w:t>
      </w:r>
      <w:proofErr w:type="spellEnd"/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препарати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, стежили за рівнем загального холестерину,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тригліцеридів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, приймали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гиполіпідемічну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терапію. 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Пацієнти ІІ групи (14 хворих, з яких 9 перенесли МІ, 5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ТІА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),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антиагрегантну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терапію приймали нерегулярно або не приймали її взагалі, АТ контролювали не систематично,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антигіпертензивні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препарати вживали епізодично, не стежили за рі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>внем холестерину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. 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У динаміці, через два роки спостереження, у хворих І групи, які стежили за станом свого здоров’я,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вираженість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таких церебральних неврологічних симптомів, як головний біль, запаморочення, нестабільність цифр АТ, хиткість при ходінні, порушення мови були значно менше виражені як якісно, так і кількісно у порівнянні з пацієнтами ІІ групи. </w:t>
      </w:r>
      <w:r w:rsidRPr="001B6AC9">
        <w:rPr>
          <w:color w:val="333333"/>
          <w:sz w:val="28"/>
          <w:szCs w:val="28"/>
          <w:lang w:val="uk-UA"/>
        </w:rPr>
        <w:br/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Індекс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Бартеля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у пацієнтів І групи був у межах 80,3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0338FD">
        <w:rPr>
          <w:sz w:val="28"/>
          <w:szCs w:val="28"/>
          <w:lang w:val="uk-UA"/>
        </w:rPr>
        <w:t xml:space="preserve">±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2,5 бали, у пацієнтів ІІ групи 78,3 </w:t>
      </w:r>
      <w:r w:rsidR="000338FD">
        <w:rPr>
          <w:sz w:val="28"/>
          <w:szCs w:val="28"/>
          <w:lang w:val="uk-UA"/>
        </w:rPr>
        <w:t xml:space="preserve">±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2,8 бали. У пацієнтів І групи він виріс у порівнянні з першим етапом на 24,9 бала, у пацієнтів ІІ групи на 22,9 бала. </w:t>
      </w:r>
      <w:r w:rsidRPr="001B6AC9">
        <w:rPr>
          <w:color w:val="333333"/>
          <w:sz w:val="28"/>
          <w:szCs w:val="28"/>
          <w:lang w:val="uk-UA"/>
        </w:rPr>
        <w:br/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За шкалою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Ренкіна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рівень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інвалідизації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на першому році спостереження у хворих з МІ склав 3,4</w:t>
      </w:r>
      <w:r w:rsidR="000338FD">
        <w:rPr>
          <w:sz w:val="28"/>
          <w:szCs w:val="28"/>
          <w:lang w:val="uk-UA"/>
        </w:rPr>
        <w:t xml:space="preserve">±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0,2 бали, через 2 роки він дорівнював у пацієнтів І групи 2,0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0338FD">
        <w:rPr>
          <w:sz w:val="28"/>
          <w:szCs w:val="28"/>
          <w:lang w:val="uk-UA"/>
        </w:rPr>
        <w:t xml:space="preserve">±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0,3 бали, у пацієнтів ІІ групи 2,2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</w:t>
      </w:r>
      <w:r w:rsidR="000338FD">
        <w:rPr>
          <w:sz w:val="28"/>
          <w:szCs w:val="28"/>
          <w:lang w:val="uk-UA"/>
        </w:rPr>
        <w:t xml:space="preserve">±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0,3 бали. 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Таким чином, протягом усього періоду спостереження у пацієнтів обох груп відзначалося поліпшення функціонального стану та зменшення ступеня їх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інвалідизації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, що характеризувалося зменшенням балів за шкалою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Ренкіна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і збільшенням показників за індексом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Бартеля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>. Проте, у пацієнтів І групи вони були більш вираженими.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lastRenderedPageBreak/>
        <w:t xml:space="preserve"> Упродовж дворічного спостереження в жодного з пацієнтів І групи не було зафіксовано повторних гострих судинних порушень,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атеротромботичного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ґенезу, тоді як у 5 (35,7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%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пацієнтів ІІ групи (2 чоловіки і 3 жінки) зафіксовані повторні гострі судинні порушення, що у 3 (21,4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%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випадків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>)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закінчилося фатально. У 4 (28,6 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% 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>хворих розвинувся повторний мозковий інсульт, у 1 (7,1</w:t>
      </w:r>
      <w:r w:rsidR="000338FD">
        <w:rPr>
          <w:color w:val="333333"/>
          <w:sz w:val="28"/>
          <w:szCs w:val="28"/>
          <w:shd w:val="clear" w:color="auto" w:fill="FFFFFF"/>
          <w:lang w:val="uk-UA"/>
        </w:rPr>
        <w:t xml:space="preserve"> %)</w:t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пацієнта інфаркт міокарда. </w:t>
      </w:r>
    </w:p>
    <w:p w:rsidR="005A1AA5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Серцево-судинні епізоди розвинулися у тих хворих, у яких було 2 і більше факторів ризику, найчастіше це були: артеріальна гіпертензія, цукровий діабет, куріння, абдомінальний тип ожиріння. </w:t>
      </w:r>
      <w:r w:rsidRPr="001B6AC9">
        <w:rPr>
          <w:color w:val="333333"/>
          <w:sz w:val="28"/>
          <w:szCs w:val="28"/>
          <w:lang w:val="uk-UA"/>
        </w:rPr>
        <w:br/>
      </w:r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Необхідно відзначити, що на розвиток повторних серцево-судинних епізодів впливають лікувальні заходи, які здійснюються в межах вторинної профілактики.  </w:t>
      </w:r>
    </w:p>
    <w:p w:rsidR="00583251" w:rsidRPr="001B6AC9" w:rsidRDefault="005A1AA5" w:rsidP="005A1AA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  <w:r w:rsidRPr="001B6AC9">
        <w:rPr>
          <w:color w:val="333333"/>
          <w:sz w:val="28"/>
          <w:szCs w:val="28"/>
          <w:shd w:val="clear" w:color="auto" w:fill="FFFFFF"/>
          <w:lang w:val="uk-UA"/>
        </w:rPr>
        <w:t>Наше спостереження за групою з 30 хворих показало, що призначення адекватної медикаментозної терапії (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антиагреганти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,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гиполіпідемічні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та </w:t>
      </w:r>
      <w:proofErr w:type="spellStart"/>
      <w:r w:rsidRPr="001B6AC9">
        <w:rPr>
          <w:color w:val="333333"/>
          <w:sz w:val="28"/>
          <w:szCs w:val="28"/>
          <w:shd w:val="clear" w:color="auto" w:fill="FFFFFF"/>
          <w:lang w:val="uk-UA"/>
        </w:rPr>
        <w:t>антигіпертензивні</w:t>
      </w:r>
      <w:proofErr w:type="spellEnd"/>
      <w:r w:rsidRPr="001B6AC9">
        <w:rPr>
          <w:color w:val="333333"/>
          <w:sz w:val="28"/>
          <w:szCs w:val="28"/>
          <w:shd w:val="clear" w:color="auto" w:fill="FFFFFF"/>
          <w:lang w:val="uk-UA"/>
        </w:rPr>
        <w:t xml:space="preserve"> засоби) впливає на частоту розвитку серцево-судинних ускладнень.</w:t>
      </w:r>
    </w:p>
    <w:p w:rsidR="00633805" w:rsidRPr="001B6AC9" w:rsidRDefault="00633805">
      <w:pPr>
        <w:ind w:firstLine="708"/>
        <w:jc w:val="both"/>
        <w:rPr>
          <w:color w:val="333333"/>
          <w:sz w:val="28"/>
          <w:szCs w:val="28"/>
          <w:shd w:val="clear" w:color="auto" w:fill="FFFFFF"/>
          <w:lang w:val="uk-UA"/>
        </w:rPr>
      </w:pPr>
    </w:p>
    <w:sectPr w:rsidR="00633805" w:rsidRPr="001B6AC9" w:rsidSect="0058325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474C06"/>
    <w:rsid w:val="00027D2A"/>
    <w:rsid w:val="000338FD"/>
    <w:rsid w:val="001B6AC9"/>
    <w:rsid w:val="001E6749"/>
    <w:rsid w:val="003E1F3F"/>
    <w:rsid w:val="00474C06"/>
    <w:rsid w:val="00583251"/>
    <w:rsid w:val="005A1AA5"/>
    <w:rsid w:val="00633805"/>
    <w:rsid w:val="00766288"/>
    <w:rsid w:val="00AC3A64"/>
    <w:rsid w:val="00AD343A"/>
    <w:rsid w:val="00CD766D"/>
    <w:rsid w:val="00DF2A5B"/>
    <w:rsid w:val="00E241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74C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3">
    <w:name w:val="Body Text 3"/>
    <w:basedOn w:val="a"/>
    <w:link w:val="30"/>
    <w:rsid w:val="00474C06"/>
    <w:pPr>
      <w:spacing w:after="120"/>
    </w:pPr>
    <w:rPr>
      <w:sz w:val="16"/>
      <w:szCs w:val="16"/>
    </w:rPr>
  </w:style>
  <w:style w:type="character" w:customStyle="1" w:styleId="30">
    <w:name w:val="Основной текст 3 Знак"/>
    <w:basedOn w:val="a0"/>
    <w:link w:val="3"/>
    <w:rsid w:val="00474C06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3">
    <w:name w:val="Normal (Web)"/>
    <w:basedOn w:val="a"/>
    <w:rsid w:val="00474C06"/>
    <w:pPr>
      <w:spacing w:before="100" w:beforeAutospacing="1" w:after="100" w:afterAutospacing="1"/>
    </w:pPr>
    <w:rPr>
      <w:rFonts w:eastAsia="PMingLiU"/>
      <w:sz w:val="24"/>
      <w:szCs w:val="24"/>
      <w:lang w:eastAsia="zh-T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2</Pages>
  <Words>555</Words>
  <Characters>3168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3716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Admin</cp:lastModifiedBy>
  <cp:revision>7</cp:revision>
  <dcterms:created xsi:type="dcterms:W3CDTF">2018-03-06T10:50:00Z</dcterms:created>
  <dcterms:modified xsi:type="dcterms:W3CDTF">2018-03-06T12:35:00Z</dcterms:modified>
</cp:coreProperties>
</file>