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5235" w:rsidRPr="002C5235" w:rsidRDefault="002C5235" w:rsidP="002C5235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val="uk-UA"/>
        </w:rPr>
      </w:pPr>
      <w:r w:rsidRPr="002C5235">
        <w:rPr>
          <w:rFonts w:ascii="Times New Roman" w:eastAsia="Calibri" w:hAnsi="Times New Roman" w:cs="Times New Roman"/>
          <w:b/>
          <w:color w:val="000000"/>
          <w:sz w:val="28"/>
          <w:szCs w:val="28"/>
          <w:lang w:val="uk-UA"/>
        </w:rPr>
        <w:t>МОРФОФУНКЦІОНАЛЬНИЙ СТАН СУДИН ГОЛОВНОГО МОЗКУ У ЩУРІВ З ДЕМЕНЦІЄЮ АЛЬЦГЕЙМЕРОВСЬКОГО ТИПУ СУДИННОГО ПОХОДЖЕННЯ</w:t>
      </w:r>
    </w:p>
    <w:p w:rsidR="002C5235" w:rsidRPr="002C5235" w:rsidRDefault="002C5235" w:rsidP="002C5235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val="uk-UA"/>
        </w:rPr>
      </w:pPr>
      <w:r w:rsidRPr="002C5235">
        <w:rPr>
          <w:rFonts w:ascii="Times New Roman" w:eastAsia="Calibri" w:hAnsi="Times New Roman" w:cs="Times New Roman"/>
          <w:b/>
          <w:color w:val="000000"/>
          <w:sz w:val="28"/>
          <w:szCs w:val="28"/>
          <w:lang w:val="uk-UA"/>
        </w:rPr>
        <w:t xml:space="preserve">Лук’янова Є.М., </w:t>
      </w:r>
      <w:proofErr w:type="spellStart"/>
      <w:r w:rsidRPr="002C5235">
        <w:rPr>
          <w:rFonts w:ascii="Times New Roman" w:eastAsia="Calibri" w:hAnsi="Times New Roman" w:cs="Times New Roman"/>
          <w:b/>
          <w:color w:val="000000"/>
          <w:sz w:val="28"/>
          <w:szCs w:val="28"/>
          <w:lang w:val="uk-UA"/>
        </w:rPr>
        <w:t>Губіна-Вакулік</w:t>
      </w:r>
      <w:proofErr w:type="spellEnd"/>
      <w:r w:rsidRPr="002C5235">
        <w:rPr>
          <w:rFonts w:ascii="Times New Roman" w:eastAsia="Calibri" w:hAnsi="Times New Roman" w:cs="Times New Roman"/>
          <w:b/>
          <w:color w:val="000000"/>
          <w:sz w:val="28"/>
          <w:szCs w:val="28"/>
          <w:lang w:val="uk-UA"/>
        </w:rPr>
        <w:t xml:space="preserve"> Г.І., Горбач Т.В.</w:t>
      </w:r>
    </w:p>
    <w:p w:rsidR="002C5235" w:rsidRPr="002C5235" w:rsidRDefault="002C5235" w:rsidP="002C5235">
      <w:pPr>
        <w:spacing w:after="0" w:line="240" w:lineRule="auto"/>
        <w:jc w:val="center"/>
        <w:rPr>
          <w:rFonts w:ascii="Times New Roman" w:eastAsia="Calibri" w:hAnsi="Times New Roman" w:cs="Times New Roman"/>
          <w:i/>
          <w:color w:val="000000"/>
          <w:sz w:val="28"/>
          <w:szCs w:val="28"/>
          <w:lang w:val="uk-UA"/>
        </w:rPr>
      </w:pPr>
      <w:r w:rsidRPr="002C5235">
        <w:rPr>
          <w:rFonts w:ascii="Times New Roman" w:eastAsia="Calibri" w:hAnsi="Times New Roman" w:cs="Times New Roman"/>
          <w:i/>
          <w:color w:val="000000"/>
          <w:sz w:val="28"/>
          <w:szCs w:val="28"/>
          <w:lang w:val="uk-UA"/>
        </w:rPr>
        <w:t xml:space="preserve">Харківський національний медичний університет, </w:t>
      </w:r>
      <w:proofErr w:type="spellStart"/>
      <w:r w:rsidRPr="002C5235">
        <w:rPr>
          <w:rFonts w:ascii="Times New Roman" w:eastAsia="Calibri" w:hAnsi="Times New Roman" w:cs="Times New Roman"/>
          <w:i/>
          <w:color w:val="000000"/>
          <w:sz w:val="28"/>
          <w:szCs w:val="28"/>
          <w:lang w:val="uk-UA"/>
        </w:rPr>
        <w:t>м.Харків</w:t>
      </w:r>
      <w:proofErr w:type="spellEnd"/>
      <w:r w:rsidRPr="002C5235">
        <w:rPr>
          <w:rFonts w:ascii="Times New Roman" w:eastAsia="Calibri" w:hAnsi="Times New Roman" w:cs="Times New Roman"/>
          <w:i/>
          <w:color w:val="000000"/>
          <w:sz w:val="28"/>
          <w:szCs w:val="28"/>
          <w:lang w:val="uk-UA"/>
        </w:rPr>
        <w:t>, Україна</w:t>
      </w:r>
    </w:p>
    <w:p w:rsidR="002C5235" w:rsidRPr="002C5235" w:rsidRDefault="002C5235" w:rsidP="002C523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uk-UA"/>
        </w:rPr>
      </w:pPr>
      <w:hyperlink r:id="rId5" w:history="1">
        <w:r w:rsidRPr="002C5235">
          <w:rPr>
            <w:rFonts w:ascii="Times New Roman" w:eastAsia="Calibri" w:hAnsi="Times New Roman" w:cs="Times New Roman"/>
            <w:sz w:val="28"/>
            <w:szCs w:val="28"/>
            <w:lang w:val="en-US"/>
          </w:rPr>
          <w:t>zeekmail</w:t>
        </w:r>
        <w:r w:rsidRPr="002C5235">
          <w:rPr>
            <w:rFonts w:ascii="Times New Roman" w:eastAsia="Calibri" w:hAnsi="Times New Roman" w:cs="Times New Roman"/>
            <w:sz w:val="28"/>
            <w:szCs w:val="28"/>
            <w:lang w:val="uk-UA"/>
          </w:rPr>
          <w:t>@</w:t>
        </w:r>
        <w:r w:rsidRPr="002C5235">
          <w:rPr>
            <w:rFonts w:ascii="Times New Roman" w:eastAsia="Calibri" w:hAnsi="Times New Roman" w:cs="Times New Roman"/>
            <w:sz w:val="28"/>
            <w:szCs w:val="28"/>
            <w:lang w:val="en-US"/>
          </w:rPr>
          <w:t>ukr</w:t>
        </w:r>
        <w:r w:rsidRPr="002C5235">
          <w:rPr>
            <w:rFonts w:ascii="Times New Roman" w:eastAsia="Calibri" w:hAnsi="Times New Roman" w:cs="Times New Roman"/>
            <w:sz w:val="28"/>
            <w:szCs w:val="28"/>
            <w:lang w:val="uk-UA"/>
          </w:rPr>
          <w:t>.</w:t>
        </w:r>
        <w:r w:rsidRPr="002C5235">
          <w:rPr>
            <w:rFonts w:ascii="Times New Roman" w:eastAsia="Calibri" w:hAnsi="Times New Roman" w:cs="Times New Roman"/>
            <w:sz w:val="28"/>
            <w:szCs w:val="28"/>
            <w:lang w:val="en-US"/>
          </w:rPr>
          <w:t>net</w:t>
        </w:r>
      </w:hyperlink>
    </w:p>
    <w:p w:rsidR="002C5235" w:rsidRPr="002C5235" w:rsidRDefault="002C5235" w:rsidP="002C5235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</w:pPr>
    </w:p>
    <w:p w:rsidR="002C5235" w:rsidRPr="002C5235" w:rsidRDefault="002C5235" w:rsidP="002C523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FF0000"/>
          <w:sz w:val="28"/>
          <w:szCs w:val="28"/>
          <w:lang w:val="uk-UA"/>
        </w:rPr>
      </w:pPr>
      <w:r w:rsidRPr="002C5235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На даний час вважається, що хвороба Альцгеймера (деменція </w:t>
      </w:r>
      <w:proofErr w:type="spellStart"/>
      <w:r w:rsidRPr="002C5235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альцгеймеровського</w:t>
      </w:r>
      <w:proofErr w:type="spellEnd"/>
      <w:r w:rsidRPr="002C5235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типу) має </w:t>
      </w:r>
      <w:proofErr w:type="spellStart"/>
      <w:r w:rsidRPr="002C5235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мультифакторіальну</w:t>
      </w:r>
      <w:proofErr w:type="spellEnd"/>
      <w:r w:rsidRPr="002C5235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природу. Основною гіпотезою розвитку вважається гіпотеза </w:t>
      </w:r>
      <w:proofErr w:type="spellStart"/>
      <w:r w:rsidRPr="002C5235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амілоїдного</w:t>
      </w:r>
      <w:proofErr w:type="spellEnd"/>
      <w:r w:rsidRPr="002C5235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каскаду (</w:t>
      </w:r>
      <w:proofErr w:type="spellStart"/>
      <w:r w:rsidRPr="002C5235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Hardy</w:t>
      </w:r>
      <w:proofErr w:type="spellEnd"/>
      <w:r w:rsidRPr="002C5235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J., 1992). Інша гіпотеза, судинна, передбачає, що початковим пусковим фактором є судинна </w:t>
      </w:r>
      <w:proofErr w:type="spellStart"/>
      <w:r w:rsidRPr="002C5235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гіпоперфузія</w:t>
      </w:r>
      <w:proofErr w:type="spellEnd"/>
      <w:r w:rsidRPr="002C5235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, яка тягне за собою </w:t>
      </w:r>
      <w:proofErr w:type="spellStart"/>
      <w:r w:rsidRPr="002C5235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нейродегенерацію</w:t>
      </w:r>
      <w:proofErr w:type="spellEnd"/>
      <w:r w:rsidRPr="002C5235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(</w:t>
      </w:r>
      <w:proofErr w:type="spellStart"/>
      <w:r w:rsidRPr="002C5235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Fratiglioni</w:t>
      </w:r>
      <w:proofErr w:type="spellEnd"/>
      <w:r w:rsidRPr="002C5235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L., 2000). Останнім часом вчені все більше приділяють увагу ролі пошкодження та </w:t>
      </w:r>
      <w:proofErr w:type="spellStart"/>
      <w:r w:rsidRPr="002C5235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дисфункції</w:t>
      </w:r>
      <w:proofErr w:type="spellEnd"/>
      <w:r w:rsidRPr="002C5235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ендотелію  в прогресуванні хвороби Альцгеймера та можливості застосування нових методів корекції цього захворювання. Існуючі в даний час стратегії терапевтичного впливу при прогресуючих </w:t>
      </w:r>
      <w:proofErr w:type="spellStart"/>
      <w:r w:rsidRPr="002C5235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нейродегенеративних</w:t>
      </w:r>
      <w:proofErr w:type="spellEnd"/>
      <w:r w:rsidRPr="002C5235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захворюваннях включають препарати різних фармакологічних груп, які в більшості випадків не спроможні зупинити прогресування процесу ушкодження мозку. Відомо, що для лікування деяких судинних хвороб, </w:t>
      </w:r>
      <w:proofErr w:type="spellStart"/>
      <w:r w:rsidRPr="002C5235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нейродегенеративних</w:t>
      </w:r>
      <w:proofErr w:type="spellEnd"/>
      <w:r w:rsidRPr="002C5235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захворювань, таких як хвороба Паркінсона, розсіяний склероз останнім часом в світі успішно застосовують </w:t>
      </w:r>
      <w:proofErr w:type="spellStart"/>
      <w:r w:rsidRPr="002C5235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мезенхімальні</w:t>
      </w:r>
      <w:proofErr w:type="spellEnd"/>
      <w:r w:rsidRPr="002C5235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стовбурові клітини з червоного кісткового мозку (</w:t>
      </w:r>
      <w:proofErr w:type="spellStart"/>
      <w:r w:rsidRPr="002C5235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Tankovich</w:t>
      </w:r>
      <w:proofErr w:type="spellEnd"/>
      <w:r w:rsidRPr="002C5235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N., 2016). Однак проблема застосування стовбурових клітин для запобігання прогресування та лікування деменції </w:t>
      </w:r>
      <w:proofErr w:type="spellStart"/>
      <w:r w:rsidRPr="002C5235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альцгеймеровського</w:t>
      </w:r>
      <w:proofErr w:type="spellEnd"/>
      <w:r w:rsidRPr="002C5235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типу вивчена недостатньо. Також відкритими залишаються питання морфологічних змін судин головного мозку, тобто морфологічного аспекту патогенезу, у щурів при моделюванні деменції </w:t>
      </w:r>
      <w:proofErr w:type="spellStart"/>
      <w:r w:rsidRPr="002C5235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альцгеймеровського</w:t>
      </w:r>
      <w:proofErr w:type="spellEnd"/>
      <w:r w:rsidRPr="002C5235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типу.</w:t>
      </w:r>
    </w:p>
    <w:p w:rsidR="002C5235" w:rsidRPr="002C5235" w:rsidRDefault="002C5235" w:rsidP="002C523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</w:pPr>
      <w:r w:rsidRPr="002C5235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Мета: вивчити </w:t>
      </w:r>
      <w:proofErr w:type="spellStart"/>
      <w:r w:rsidRPr="002C5235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морфофункціональний</w:t>
      </w:r>
      <w:proofErr w:type="spellEnd"/>
      <w:r w:rsidRPr="002C5235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стан судин головного мозку у щурів із змодельованою деменцією </w:t>
      </w:r>
      <w:proofErr w:type="spellStart"/>
      <w:r w:rsidRPr="002C5235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альцгеймеровського</w:t>
      </w:r>
      <w:proofErr w:type="spellEnd"/>
      <w:r w:rsidRPr="002C5235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типу судинного походження та вплив стовбурових клітин на регенерацію судин.</w:t>
      </w:r>
    </w:p>
    <w:p w:rsidR="002C5235" w:rsidRPr="002C5235" w:rsidRDefault="002C5235" w:rsidP="002C523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</w:pPr>
      <w:r w:rsidRPr="002C5235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Матеріали і методи. Експеримент був проведений за участю 24 щурів-самців популяції </w:t>
      </w:r>
      <w:r w:rsidRPr="002C5235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WAG</w:t>
      </w:r>
      <w:r w:rsidRPr="002C523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2C5235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масою 180-250г. Були сформовані 3 групи по 8 щурів у кожній. Щури гр. </w:t>
      </w:r>
      <w:proofErr w:type="gramStart"/>
      <w:r w:rsidRPr="002C5235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N</w:t>
      </w:r>
      <w:r w:rsidRPr="002C5235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2</w:t>
      </w:r>
      <w:r w:rsidRPr="002C5235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W</w:t>
      </w:r>
      <w:r w:rsidRPr="002C5235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(</w:t>
      </w:r>
      <w:r w:rsidRPr="002C5235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nitrite</w:t>
      </w:r>
      <w:r w:rsidRPr="002C5235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2 </w:t>
      </w:r>
      <w:r w:rsidRPr="002C5235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weeks</w:t>
      </w:r>
      <w:r w:rsidRPr="002C5235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) отримували внутрішньочеревні ін’єкції водного розчину нітриту натрію в дозі 50мг/кг впродовж 14 днів.</w:t>
      </w:r>
      <w:proofErr w:type="gramEnd"/>
      <w:r w:rsidRPr="002C5235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Щурам гр. </w:t>
      </w:r>
      <w:proofErr w:type="gramStart"/>
      <w:r w:rsidRPr="002C5235">
        <w:rPr>
          <w:rFonts w:ascii="Times New Roman" w:eastAsia="Calibri" w:hAnsi="Times New Roman" w:cs="Times New Roman"/>
          <w:sz w:val="28"/>
          <w:szCs w:val="28"/>
          <w:lang w:val="en-US"/>
        </w:rPr>
        <w:t>NSC</w:t>
      </w:r>
      <w:r w:rsidRPr="002C5235">
        <w:rPr>
          <w:rFonts w:ascii="Times New Roman" w:eastAsia="Calibri" w:hAnsi="Times New Roman" w:cs="Times New Roman"/>
          <w:sz w:val="28"/>
          <w:szCs w:val="28"/>
          <w:lang w:val="uk-UA"/>
        </w:rPr>
        <w:t>2</w:t>
      </w:r>
      <w:r w:rsidRPr="002C5235">
        <w:rPr>
          <w:rFonts w:ascii="Times New Roman" w:eastAsia="Calibri" w:hAnsi="Times New Roman" w:cs="Times New Roman"/>
          <w:sz w:val="28"/>
          <w:szCs w:val="28"/>
          <w:lang w:val="en-US"/>
        </w:rPr>
        <w:t>W</w:t>
      </w:r>
      <w:r w:rsidRPr="002C523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(</w:t>
      </w:r>
      <w:r w:rsidRPr="002C5235">
        <w:rPr>
          <w:rFonts w:ascii="Times New Roman" w:eastAsia="Calibri" w:hAnsi="Times New Roman" w:cs="Times New Roman"/>
          <w:sz w:val="28"/>
          <w:szCs w:val="28"/>
          <w:lang w:val="en-US"/>
        </w:rPr>
        <w:t>nitrite</w:t>
      </w:r>
      <w:r w:rsidRPr="002C523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Pr="002C5235">
        <w:rPr>
          <w:rFonts w:ascii="Times New Roman" w:eastAsia="Calibri" w:hAnsi="Times New Roman" w:cs="Times New Roman"/>
          <w:sz w:val="28"/>
          <w:szCs w:val="28"/>
          <w:lang w:val="en-US"/>
        </w:rPr>
        <w:t>stem</w:t>
      </w:r>
      <w:r w:rsidRPr="002C523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Pr="002C5235">
        <w:rPr>
          <w:rFonts w:ascii="Times New Roman" w:eastAsia="Calibri" w:hAnsi="Times New Roman" w:cs="Times New Roman"/>
          <w:sz w:val="28"/>
          <w:szCs w:val="28"/>
          <w:lang w:val="en-US"/>
        </w:rPr>
        <w:t>cells</w:t>
      </w:r>
      <w:r w:rsidRPr="002C523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2 </w:t>
      </w:r>
      <w:r w:rsidRPr="002C5235">
        <w:rPr>
          <w:rFonts w:ascii="Times New Roman" w:eastAsia="Calibri" w:hAnsi="Times New Roman" w:cs="Times New Roman"/>
          <w:sz w:val="28"/>
          <w:szCs w:val="28"/>
          <w:lang w:val="en-US"/>
        </w:rPr>
        <w:t>weeks</w:t>
      </w:r>
      <w:r w:rsidRPr="002C523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) після 14-денного внутрішньочеревного введення водного розчину нітриту натрію в дозі 50 мг/кг були проведені внутрішньовенні </w:t>
      </w:r>
      <w:proofErr w:type="spellStart"/>
      <w:r w:rsidRPr="002C5235">
        <w:rPr>
          <w:rFonts w:ascii="Times New Roman" w:eastAsia="Calibri" w:hAnsi="Times New Roman" w:cs="Times New Roman"/>
          <w:sz w:val="28"/>
          <w:szCs w:val="28"/>
          <w:lang w:val="uk-UA"/>
        </w:rPr>
        <w:t>їн’єкції</w:t>
      </w:r>
      <w:proofErr w:type="spellEnd"/>
      <w:r w:rsidRPr="002C523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C5235">
        <w:rPr>
          <w:rFonts w:ascii="Times New Roman" w:eastAsia="Calibri" w:hAnsi="Times New Roman" w:cs="Times New Roman"/>
          <w:sz w:val="28"/>
          <w:szCs w:val="28"/>
          <w:lang w:val="uk-UA"/>
        </w:rPr>
        <w:t>мезенхімальних</w:t>
      </w:r>
      <w:proofErr w:type="spellEnd"/>
      <w:r w:rsidRPr="002C523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стовбурових клітин в дозі 500000 клітин на одного щура.</w:t>
      </w:r>
      <w:proofErr w:type="gramEnd"/>
      <w:r w:rsidRPr="002C523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Щури групи контролю (</w:t>
      </w:r>
      <w:r w:rsidRPr="002C5235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CG</w:t>
      </w:r>
      <w:r w:rsidRPr="002C5235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(</w:t>
      </w:r>
      <w:r w:rsidRPr="002C5235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control</w:t>
      </w:r>
      <w:r w:rsidRPr="002C5235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</w:t>
      </w:r>
      <w:r w:rsidRPr="002C5235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group</w:t>
      </w:r>
      <w:r w:rsidRPr="002C5235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)) отримували внутрішньочеревні та внутрішньовенні ін’єкції фізіологічного розчину замість нітриту натрію і стовбурових клітин в ті ж самі терміни. Тварини усіх груп були виведені з експерименту одночасно, через 14 днів після введення стовбурових клітин. Морфологічне дослідження тканин головного мозку виконували на бінокулярному мікроскопі </w:t>
      </w:r>
      <w:proofErr w:type="spellStart"/>
      <w:r w:rsidRPr="002C5235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Axiostar</w:t>
      </w:r>
      <w:proofErr w:type="spellEnd"/>
      <w:r w:rsidRPr="002C5235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2C5235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plus</w:t>
      </w:r>
      <w:proofErr w:type="spellEnd"/>
      <w:r w:rsidRPr="002C5235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(</w:t>
      </w:r>
      <w:proofErr w:type="spellStart"/>
      <w:r w:rsidRPr="002C5235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Zeiss</w:t>
      </w:r>
      <w:proofErr w:type="spellEnd"/>
      <w:r w:rsidRPr="002C5235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, ФРН)</w:t>
      </w:r>
      <w:r w:rsidRPr="002C5235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 xml:space="preserve"> </w:t>
      </w:r>
      <w:r w:rsidRPr="002C5235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з цифровою камерою </w:t>
      </w:r>
      <w:proofErr w:type="spellStart"/>
      <w:r w:rsidRPr="002C5235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ProgRes</w:t>
      </w:r>
      <w:proofErr w:type="spellEnd"/>
      <w:r w:rsidRPr="002C5235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C 10 </w:t>
      </w:r>
      <w:proofErr w:type="spellStart"/>
      <w:r w:rsidRPr="002C5235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Plus</w:t>
      </w:r>
      <w:proofErr w:type="spellEnd"/>
      <w:r w:rsidRPr="002C5235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(ФРН). Пошкодження судин вивчали на гістологічних зрізах, забарвлених </w:t>
      </w:r>
      <w:proofErr w:type="spellStart"/>
      <w:r w:rsidRPr="002C5235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конго</w:t>
      </w:r>
      <w:proofErr w:type="spellEnd"/>
      <w:r w:rsidRPr="002C5235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</w:t>
      </w:r>
      <w:r w:rsidRPr="002C5235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lastRenderedPageBreak/>
        <w:t xml:space="preserve">червоним (реєстрували появу інтенсивно </w:t>
      </w:r>
      <w:proofErr w:type="spellStart"/>
      <w:r w:rsidRPr="002C5235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конго-позитивних</w:t>
      </w:r>
      <w:proofErr w:type="spellEnd"/>
      <w:r w:rsidRPr="002C5235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мас в стінці артерій)  та </w:t>
      </w:r>
      <w:proofErr w:type="spellStart"/>
      <w:r w:rsidRPr="002C5235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галоціанін-хромовими</w:t>
      </w:r>
      <w:proofErr w:type="spellEnd"/>
      <w:r w:rsidRPr="002C5235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галунами за методом </w:t>
      </w:r>
      <w:proofErr w:type="spellStart"/>
      <w:r w:rsidRPr="002C5235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Ейнарсона</w:t>
      </w:r>
      <w:proofErr w:type="spellEnd"/>
      <w:r w:rsidRPr="002C5235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(оцінювали зміни кількості </w:t>
      </w:r>
      <w:proofErr w:type="spellStart"/>
      <w:r w:rsidRPr="002C5235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ендотеліоцитів</w:t>
      </w:r>
      <w:proofErr w:type="spellEnd"/>
      <w:r w:rsidRPr="002C5235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і </w:t>
      </w:r>
      <w:proofErr w:type="spellStart"/>
      <w:r w:rsidRPr="002C5235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перицитів</w:t>
      </w:r>
      <w:proofErr w:type="spellEnd"/>
      <w:r w:rsidRPr="002C5235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на площі </w:t>
      </w:r>
      <w:proofErr w:type="spellStart"/>
      <w:r w:rsidRPr="002C5235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мікрофотографіїї</w:t>
      </w:r>
      <w:proofErr w:type="spellEnd"/>
      <w:r w:rsidRPr="002C5235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при збільшенні в 400 разів, вимірювали оптичну щільність ядер </w:t>
      </w:r>
      <w:proofErr w:type="spellStart"/>
      <w:r w:rsidRPr="002C5235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ендотеліоцитів</w:t>
      </w:r>
      <w:proofErr w:type="spellEnd"/>
      <w:r w:rsidRPr="002C5235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для виявлення змін в стані хроматину). Для підтвердження розвитку </w:t>
      </w:r>
      <w:proofErr w:type="spellStart"/>
      <w:r w:rsidRPr="002C5235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дисфункції</w:t>
      </w:r>
      <w:proofErr w:type="spellEnd"/>
      <w:r w:rsidRPr="002C5235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та пошкодження ендотелію вимірювали вміст фактору фон </w:t>
      </w:r>
      <w:proofErr w:type="spellStart"/>
      <w:r w:rsidRPr="002C5235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Віллебранда</w:t>
      </w:r>
      <w:proofErr w:type="spellEnd"/>
      <w:r w:rsidRPr="002C5235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(</w:t>
      </w:r>
      <w:proofErr w:type="spellStart"/>
      <w:r w:rsidRPr="002C5235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vWF</w:t>
      </w:r>
      <w:proofErr w:type="spellEnd"/>
      <w:r w:rsidRPr="002C5235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, %) в сироватці крові фотометричним методом. Статистичну обробку проводили, використовуючи непараметричний критерій </w:t>
      </w:r>
      <w:proofErr w:type="spellStart"/>
      <w:r w:rsidRPr="002C5235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Манна-Уітні</w:t>
      </w:r>
      <w:proofErr w:type="spellEnd"/>
      <w:r w:rsidRPr="002C5235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.</w:t>
      </w:r>
    </w:p>
    <w:p w:rsidR="002C5235" w:rsidRPr="002C5235" w:rsidRDefault="002C5235" w:rsidP="002C523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</w:pPr>
      <w:r w:rsidRPr="002C5235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Результати. Було виявлено, що у щурів гр. </w:t>
      </w:r>
      <w:proofErr w:type="gramStart"/>
      <w:r w:rsidRPr="002C5235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CG</w:t>
      </w:r>
      <w:r w:rsidRPr="002C5235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забарвлення мікропрепаратів </w:t>
      </w:r>
      <w:proofErr w:type="spellStart"/>
      <w:r w:rsidRPr="002C5235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конго</w:t>
      </w:r>
      <w:proofErr w:type="spellEnd"/>
      <w:r w:rsidRPr="002C5235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червоним вказує на відсутність гомогенних, щільних, </w:t>
      </w:r>
      <w:proofErr w:type="spellStart"/>
      <w:r w:rsidRPr="002C5235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конгофільних</w:t>
      </w:r>
      <w:proofErr w:type="spellEnd"/>
      <w:r w:rsidRPr="002C5235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мас як в </w:t>
      </w:r>
      <w:proofErr w:type="spellStart"/>
      <w:r w:rsidRPr="002C5235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нейропілі</w:t>
      </w:r>
      <w:proofErr w:type="spellEnd"/>
      <w:r w:rsidRPr="002C5235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, так і в стінці артерій.</w:t>
      </w:r>
      <w:proofErr w:type="gramEnd"/>
      <w:r w:rsidRPr="002C5235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Тоді як у щурів обох основних груп </w:t>
      </w:r>
      <w:proofErr w:type="spellStart"/>
      <w:r w:rsidRPr="002C5235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конгофільні</w:t>
      </w:r>
      <w:proofErr w:type="spellEnd"/>
      <w:r w:rsidRPr="002C5235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маси виявлялись </w:t>
      </w:r>
      <w:proofErr w:type="spellStart"/>
      <w:r w:rsidRPr="002C5235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субендотеліально</w:t>
      </w:r>
      <w:proofErr w:type="spellEnd"/>
      <w:r w:rsidRPr="002C5235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в артеріях головного мозку на його поверхні і де-не-де в більш мілких артеріях, які проходять в тканині головного мозку. Тобто одержано доказ розвитку в головному мозку патології </w:t>
      </w:r>
      <w:proofErr w:type="spellStart"/>
      <w:r w:rsidRPr="002C5235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альцеймеровського</w:t>
      </w:r>
      <w:proofErr w:type="spellEnd"/>
      <w:r w:rsidRPr="002C5235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типу в експерименті.</w:t>
      </w:r>
    </w:p>
    <w:p w:rsidR="002C5235" w:rsidRPr="002C5235" w:rsidRDefault="002C5235" w:rsidP="002C523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</w:pPr>
      <w:r w:rsidRPr="002C5235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Підрахунок кількості </w:t>
      </w:r>
      <w:proofErr w:type="spellStart"/>
      <w:r w:rsidRPr="002C5235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ендотеліоцитів</w:t>
      </w:r>
      <w:proofErr w:type="spellEnd"/>
      <w:r w:rsidRPr="002C5235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та </w:t>
      </w:r>
      <w:proofErr w:type="spellStart"/>
      <w:r w:rsidRPr="002C5235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перицитів</w:t>
      </w:r>
      <w:proofErr w:type="spellEnd"/>
      <w:r w:rsidRPr="002C5235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в стінці капілярів на площі фотознімку при збільшенні мікроскопу в 400 разів показав, що у щурів гр. </w:t>
      </w:r>
      <w:r w:rsidRPr="002C5235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CG</w:t>
      </w:r>
      <w:r w:rsidRPr="002C5235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співвідношення кількості </w:t>
      </w:r>
      <w:proofErr w:type="spellStart"/>
      <w:r w:rsidRPr="002C5235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ендотеліоцитів</w:t>
      </w:r>
      <w:proofErr w:type="spellEnd"/>
      <w:r w:rsidRPr="002C5235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до кількості </w:t>
      </w:r>
      <w:proofErr w:type="spellStart"/>
      <w:r w:rsidRPr="002C5235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перицитів</w:t>
      </w:r>
      <w:proofErr w:type="spellEnd"/>
      <w:r w:rsidRPr="002C5235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становить від 3:1 до 1</w:t>
      </w:r>
      <w:proofErr w:type="gramStart"/>
      <w:r w:rsidRPr="002C5235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,5:1</w:t>
      </w:r>
      <w:proofErr w:type="gramEnd"/>
      <w:r w:rsidRPr="002C5235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, тобто домінують </w:t>
      </w:r>
      <w:proofErr w:type="spellStart"/>
      <w:r w:rsidRPr="002C5235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ендотеліоцити</w:t>
      </w:r>
      <w:proofErr w:type="spellEnd"/>
      <w:r w:rsidRPr="002C5235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. Напроти, в гр. </w:t>
      </w:r>
      <w:r w:rsidRPr="002C5235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N</w:t>
      </w:r>
      <w:r w:rsidRPr="002C5235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2</w:t>
      </w:r>
      <w:r w:rsidRPr="002C5235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W</w:t>
      </w:r>
      <w:r w:rsidRPr="002C5235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домінують </w:t>
      </w:r>
      <w:proofErr w:type="spellStart"/>
      <w:r w:rsidRPr="002C5235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перицити</w:t>
      </w:r>
      <w:proofErr w:type="spellEnd"/>
      <w:r w:rsidRPr="002C5235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над </w:t>
      </w:r>
      <w:proofErr w:type="spellStart"/>
      <w:r w:rsidRPr="002C5235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ендотеліоцитами</w:t>
      </w:r>
      <w:proofErr w:type="spellEnd"/>
      <w:r w:rsidRPr="002C5235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в співвідношенні 1:1</w:t>
      </w:r>
      <w:proofErr w:type="gramStart"/>
      <w:r w:rsidRPr="002C5235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,5</w:t>
      </w:r>
      <w:proofErr w:type="gramEnd"/>
      <w:r w:rsidRPr="002C5235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-2, що свідчить про пошкодження </w:t>
      </w:r>
      <w:proofErr w:type="spellStart"/>
      <w:r w:rsidRPr="002C5235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ендотеліального</w:t>
      </w:r>
      <w:proofErr w:type="spellEnd"/>
      <w:r w:rsidRPr="002C5235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шару під дією нітриту натрію та компенсаторне зміцнення стінки капілярів </w:t>
      </w:r>
      <w:proofErr w:type="spellStart"/>
      <w:r w:rsidRPr="002C5235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проліферуючими</w:t>
      </w:r>
      <w:proofErr w:type="spellEnd"/>
      <w:r w:rsidRPr="002C5235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2C5235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перицитами</w:t>
      </w:r>
      <w:proofErr w:type="spellEnd"/>
      <w:r w:rsidRPr="002C5235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у відповідь на </w:t>
      </w:r>
      <w:proofErr w:type="spellStart"/>
      <w:r w:rsidRPr="002C5235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пошкодшення</w:t>
      </w:r>
      <w:proofErr w:type="spellEnd"/>
      <w:r w:rsidRPr="002C5235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ендотелію.</w:t>
      </w:r>
    </w:p>
    <w:p w:rsidR="002C5235" w:rsidRPr="002C5235" w:rsidRDefault="002C5235" w:rsidP="002C523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</w:pPr>
      <w:r w:rsidRPr="002C5235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Ці морфологічні зміни корелюють з достовірним збільшенням вмісту в крові </w:t>
      </w:r>
      <w:proofErr w:type="spellStart"/>
      <w:r w:rsidRPr="002C5235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vWF</w:t>
      </w:r>
      <w:proofErr w:type="spellEnd"/>
      <w:r w:rsidRPr="002C5235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в гр. </w:t>
      </w:r>
      <w:r w:rsidRPr="002C5235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N</w:t>
      </w:r>
      <w:r w:rsidRPr="002C5235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2</w:t>
      </w:r>
      <w:r w:rsidRPr="002C5235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W</w:t>
      </w:r>
      <w:r w:rsidRPr="002C5235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майже в 1</w:t>
      </w:r>
      <w:proofErr w:type="gramStart"/>
      <w:r w:rsidRPr="002C5235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,4</w:t>
      </w:r>
      <w:proofErr w:type="gramEnd"/>
      <w:r w:rsidRPr="002C5235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рази в порівнянні з гр. </w:t>
      </w:r>
      <w:proofErr w:type="gramStart"/>
      <w:r w:rsidRPr="002C5235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CG</w:t>
      </w:r>
      <w:r w:rsidRPr="002C5235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.</w:t>
      </w:r>
      <w:proofErr w:type="gramEnd"/>
    </w:p>
    <w:p w:rsidR="002C5235" w:rsidRPr="002C5235" w:rsidRDefault="002C5235" w:rsidP="002C523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</w:pPr>
      <w:r w:rsidRPr="002C5235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Оптична щільність ядер </w:t>
      </w:r>
      <w:proofErr w:type="spellStart"/>
      <w:r w:rsidRPr="002C5235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ендотеліоцитів</w:t>
      </w:r>
      <w:proofErr w:type="spellEnd"/>
      <w:r w:rsidRPr="002C5235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, вимірювана на мікропрепаратах, пофарбованих за </w:t>
      </w:r>
      <w:proofErr w:type="spellStart"/>
      <w:r w:rsidRPr="002C5235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Ейнарсоном</w:t>
      </w:r>
      <w:proofErr w:type="spellEnd"/>
      <w:r w:rsidRPr="002C5235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, в гр. </w:t>
      </w:r>
      <w:r w:rsidRPr="002C5235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CG</w:t>
      </w:r>
      <w:r w:rsidRPr="002C5235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і </w:t>
      </w:r>
      <w:r w:rsidRPr="002C5235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N</w:t>
      </w:r>
      <w:r w:rsidRPr="002C5235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2</w:t>
      </w:r>
      <w:r w:rsidRPr="002C5235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W</w:t>
      </w:r>
      <w:r w:rsidRPr="002C5235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однакова, що свідчить про те, що через 14 днів після завершення маніпуляцій може відбутися повне дозрівання клітин </w:t>
      </w:r>
      <w:proofErr w:type="spellStart"/>
      <w:r w:rsidRPr="002C5235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регенеруючого</w:t>
      </w:r>
      <w:proofErr w:type="spellEnd"/>
      <w:r w:rsidRPr="002C5235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ендотелію, і ступінь дисперсності хроматину в обох групах практично однакова.</w:t>
      </w:r>
    </w:p>
    <w:p w:rsidR="002C5235" w:rsidRPr="002C5235" w:rsidRDefault="002C5235" w:rsidP="002C523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</w:pPr>
      <w:r w:rsidRPr="002C5235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Цікаво, що в гр. </w:t>
      </w:r>
      <w:r w:rsidRPr="002C5235">
        <w:rPr>
          <w:rFonts w:ascii="Times New Roman" w:eastAsia="Calibri" w:hAnsi="Times New Roman" w:cs="Times New Roman"/>
          <w:sz w:val="28"/>
          <w:szCs w:val="28"/>
          <w:lang w:val="en-US"/>
        </w:rPr>
        <w:t>NSC</w:t>
      </w:r>
      <w:r w:rsidRPr="002C5235">
        <w:rPr>
          <w:rFonts w:ascii="Times New Roman" w:eastAsia="Calibri" w:hAnsi="Times New Roman" w:cs="Times New Roman"/>
          <w:sz w:val="28"/>
          <w:szCs w:val="28"/>
          <w:lang w:val="uk-UA"/>
        </w:rPr>
        <w:t>2</w:t>
      </w:r>
      <w:r w:rsidRPr="002C5235">
        <w:rPr>
          <w:rFonts w:ascii="Times New Roman" w:eastAsia="Calibri" w:hAnsi="Times New Roman" w:cs="Times New Roman"/>
          <w:sz w:val="28"/>
          <w:szCs w:val="28"/>
          <w:lang w:val="en-US"/>
        </w:rPr>
        <w:t>W</w:t>
      </w:r>
      <w:r w:rsidRPr="002C5235">
        <w:rPr>
          <w:rFonts w:ascii="Times New Roman" w:eastAsia="Calibri" w:hAnsi="Times New Roman" w:cs="Times New Roman"/>
          <w:sz w:val="28"/>
          <w:szCs w:val="28"/>
          <w:lang w:val="uk-UA"/>
        </w:rPr>
        <w:t>, тобто</w:t>
      </w:r>
      <w:r w:rsidRPr="002C5235">
        <w:rPr>
          <w:rFonts w:ascii="Times New Roman" w:eastAsia="Calibri" w:hAnsi="Times New Roman" w:cs="Times New Roman"/>
          <w:color w:val="FF0000"/>
          <w:sz w:val="28"/>
          <w:szCs w:val="28"/>
          <w:lang w:val="uk-UA"/>
        </w:rPr>
        <w:t xml:space="preserve"> </w:t>
      </w:r>
      <w:r w:rsidRPr="002C5235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після введення стовбурових клітин тваринам із змодельованою хворобою Альцгеймера, оптична щільність ядер </w:t>
      </w:r>
      <w:proofErr w:type="spellStart"/>
      <w:r w:rsidRPr="002C5235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ендотеліоцитів</w:t>
      </w:r>
      <w:proofErr w:type="spellEnd"/>
      <w:r w:rsidRPr="002C5235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виявилась зменшеною в 1</w:t>
      </w:r>
      <w:proofErr w:type="gramStart"/>
      <w:r w:rsidRPr="002C5235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,5</w:t>
      </w:r>
      <w:proofErr w:type="gramEnd"/>
      <w:r w:rsidRPr="002C5235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рази, що демонструє активний </w:t>
      </w:r>
      <w:proofErr w:type="spellStart"/>
      <w:r w:rsidRPr="002C5235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морфофункціональний</w:t>
      </w:r>
      <w:proofErr w:type="spellEnd"/>
      <w:r w:rsidRPr="002C5235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стан «молодих» клітин. Це супроводжується перевагою кількості </w:t>
      </w:r>
      <w:proofErr w:type="spellStart"/>
      <w:r w:rsidRPr="002C5235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ендотеліоцитів</w:t>
      </w:r>
      <w:proofErr w:type="spellEnd"/>
      <w:r w:rsidRPr="002C5235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над </w:t>
      </w:r>
      <w:proofErr w:type="spellStart"/>
      <w:r w:rsidRPr="002C5235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перицитами</w:t>
      </w:r>
      <w:proofErr w:type="spellEnd"/>
      <w:r w:rsidRPr="002C5235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, недостовірно значущим зменшенням концентрації </w:t>
      </w:r>
      <w:proofErr w:type="spellStart"/>
      <w:r w:rsidRPr="002C5235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vWF</w:t>
      </w:r>
      <w:proofErr w:type="spellEnd"/>
      <w:r w:rsidRPr="002C5235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в 1,2 рази в гр.</w:t>
      </w:r>
      <w:r w:rsidRPr="002C5235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NSC</w:t>
      </w:r>
      <w:r w:rsidRPr="002C5235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2</w:t>
      </w:r>
      <w:r w:rsidRPr="002C5235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W</w:t>
      </w:r>
      <w:r w:rsidRPr="002C5235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в порівнянні з гр. </w:t>
      </w:r>
      <w:proofErr w:type="gramStart"/>
      <w:r w:rsidRPr="002C5235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N</w:t>
      </w:r>
      <w:r w:rsidRPr="002C5235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2</w:t>
      </w:r>
      <w:r w:rsidRPr="002C5235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W</w:t>
      </w:r>
      <w:r w:rsidRPr="002C5235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, що відображає суттєвий регенераторний ефект стовбурових клітин щодо ураженого нітритом натрію ендотелію капілярів.</w:t>
      </w:r>
      <w:proofErr w:type="gramEnd"/>
      <w:r w:rsidRPr="002C5235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  </w:t>
      </w:r>
    </w:p>
    <w:p w:rsidR="002C5235" w:rsidRPr="002C5235" w:rsidRDefault="002C5235" w:rsidP="002C523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</w:pPr>
      <w:r w:rsidRPr="002C5235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Висновки. У щурів шляхом курсового введення розчину нітриту натрію змодельована </w:t>
      </w:r>
      <w:proofErr w:type="spellStart"/>
      <w:r w:rsidRPr="002C5235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деменціія</w:t>
      </w:r>
      <w:proofErr w:type="spellEnd"/>
      <w:r w:rsidRPr="002C5235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2C5235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альцгеймеровського</w:t>
      </w:r>
      <w:proofErr w:type="spellEnd"/>
      <w:r w:rsidRPr="002C5235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типу (накопичення амілоїду) при пошкодженні ендотелію судин. Виявлено зменшення  кількості </w:t>
      </w:r>
      <w:proofErr w:type="spellStart"/>
      <w:r w:rsidRPr="002C5235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ендотеліоцитів</w:t>
      </w:r>
      <w:proofErr w:type="spellEnd"/>
      <w:r w:rsidRPr="002C5235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з компенсаторним збільшенням кількості </w:t>
      </w:r>
      <w:proofErr w:type="spellStart"/>
      <w:r w:rsidRPr="002C5235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перицитів</w:t>
      </w:r>
      <w:proofErr w:type="spellEnd"/>
      <w:r w:rsidRPr="002C5235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в стінці капілярів. Одночасно розвивається </w:t>
      </w:r>
      <w:proofErr w:type="spellStart"/>
      <w:r w:rsidRPr="002C5235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ендотеліальна</w:t>
      </w:r>
      <w:proofErr w:type="spellEnd"/>
      <w:r w:rsidRPr="002C5235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2C5235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дисфункція</w:t>
      </w:r>
      <w:proofErr w:type="spellEnd"/>
      <w:r w:rsidRPr="002C5235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, яка супроводжується збільшенням концентрації фактору фон </w:t>
      </w:r>
      <w:proofErr w:type="spellStart"/>
      <w:r w:rsidRPr="002C5235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Віллебранду</w:t>
      </w:r>
      <w:proofErr w:type="spellEnd"/>
      <w:r w:rsidRPr="002C5235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в </w:t>
      </w:r>
      <w:r w:rsidRPr="002C5235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lastRenderedPageBreak/>
        <w:t xml:space="preserve">сироватці крові. Введення стовбурових клітин обумовлює покращення регенерації ендотелію капілярів. </w:t>
      </w:r>
    </w:p>
    <w:p w:rsidR="00070223" w:rsidRDefault="00070223">
      <w:bookmarkStart w:id="0" w:name="_GoBack"/>
      <w:bookmarkEnd w:id="0"/>
    </w:p>
    <w:sectPr w:rsidR="000702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698F"/>
    <w:rsid w:val="00070223"/>
    <w:rsid w:val="002C5235"/>
    <w:rsid w:val="005B6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615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zeekmail@ukr.ne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891</Words>
  <Characters>5082</Characters>
  <Application>Microsoft Office Word</Application>
  <DocSecurity>0</DocSecurity>
  <Lines>42</Lines>
  <Paragraphs>11</Paragraphs>
  <ScaleCrop>false</ScaleCrop>
  <Company>Krokoz™</Company>
  <LinksUpToDate>false</LinksUpToDate>
  <CharactersWithSpaces>5962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</dc:creator>
  <cp:keywords/>
  <dc:description/>
  <cp:lastModifiedBy>Виктор</cp:lastModifiedBy>
  <cp:revision>2</cp:revision>
  <dcterms:created xsi:type="dcterms:W3CDTF">2020-10-02T15:22:00Z</dcterms:created>
  <dcterms:modified xsi:type="dcterms:W3CDTF">2020-10-02T15:22:00Z</dcterms:modified>
</cp:coreProperties>
</file>