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39F7" w:rsidRPr="007139F7" w:rsidRDefault="0087139E" w:rsidP="007139F7">
      <w:pPr>
        <w:spacing w:after="160" w:line="360" w:lineRule="auto"/>
        <w:jc w:val="center"/>
        <w:rPr>
          <w:rFonts w:eastAsia="Calibri" w:cs="Times New Roman"/>
          <w:sz w:val="28"/>
          <w:szCs w:val="28"/>
        </w:rPr>
      </w:pPr>
      <w:r>
        <w:rPr>
          <w:noProof/>
          <w:lang w:val="ru-RU" w:eastAsia="ru-RU"/>
        </w:rPr>
        <mc:AlternateContent>
          <mc:Choice Requires="wps">
            <w:drawing>
              <wp:anchor distT="0" distB="0" distL="114300" distR="114300" simplePos="0" relativeHeight="251663360" behindDoc="0" locked="0" layoutInCell="1" allowOverlap="1">
                <wp:simplePos x="0" y="0"/>
                <wp:positionH relativeFrom="column">
                  <wp:posOffset>5967095</wp:posOffset>
                </wp:positionH>
                <wp:positionV relativeFrom="paragraph">
                  <wp:posOffset>-524510</wp:posOffset>
                </wp:positionV>
                <wp:extent cx="428625" cy="2028825"/>
                <wp:effectExtent l="0" t="0" r="0" b="0"/>
                <wp:wrapNone/>
                <wp:docPr id="33" name="Пол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8625" cy="2028825"/>
                        </a:xfrm>
                        <a:prstGeom prst="rect">
                          <a:avLst/>
                        </a:prstGeom>
                        <a:solidFill>
                          <a:sysClr val="window" lastClr="FFFFFF"/>
                        </a:solidFill>
                        <a:ln w="6350">
                          <a:noFill/>
                        </a:ln>
                        <a:effectLst/>
                      </wps:spPr>
                      <wps:txbx>
                        <w:txbxContent>
                          <w:p w:rsidR="00536D58" w:rsidRDefault="00536D58" w:rsidP="007139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33" o:spid="_x0000_s1026" type="#_x0000_t202" style="position:absolute;left:0;text-align:left;margin-left:469.85pt;margin-top:-41.3pt;width:33.75pt;height:15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" fillcolor="window" stroked="f" strokeweight=".5pt">
                <v:path arrowok="t"/>
                <v:textbox>
                  <w:txbxContent>
                    <w:p w:rsidR="00536D58" w:rsidRDefault="00536D58" w:rsidP="007139F7"/>
                  </w:txbxContent>
                </v:textbox>
              </v:shape>
            </w:pict>
          </mc:Fallback>
        </mc:AlternateContent>
      </w:r>
      <w:r w:rsidR="007139F7" w:rsidRPr="007139F7">
        <w:rPr>
          <w:rFonts w:eastAsia="Calibri" w:cs="Times New Roman"/>
          <w:sz w:val="28"/>
          <w:szCs w:val="28"/>
        </w:rPr>
        <w:t>МІНІСТЕРСТВО ОХОРОНИ ЗДОРОВ’Я УКРАЇНИ</w:t>
      </w:r>
      <w:r w:rsidR="007139F7" w:rsidRPr="007139F7">
        <w:rPr>
          <w:rFonts w:eastAsia="Calibri" w:cs="Times New Roman"/>
          <w:sz w:val="28"/>
          <w:szCs w:val="28"/>
        </w:rPr>
        <w:br/>
        <w:t>ХАРКІВСЬКИЙ НАЦІОНАЛЬНИЙ МЕДИЧНИЙ УНІВЕРСИТЕТ</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Кваліфікаційна наукова</w:t>
      </w:r>
    </w:p>
    <w:p w:rsidR="007139F7" w:rsidRPr="007139F7" w:rsidRDefault="007139F7" w:rsidP="007139F7">
      <w:pPr>
        <w:tabs>
          <w:tab w:val="center" w:pos="4818"/>
          <w:tab w:val="right" w:pos="9637"/>
        </w:tabs>
        <w:spacing w:after="160" w:line="360" w:lineRule="auto"/>
        <w:rPr>
          <w:rFonts w:eastAsia="Calibri" w:cs="Times New Roman"/>
          <w:sz w:val="28"/>
          <w:szCs w:val="28"/>
        </w:rPr>
      </w:pPr>
      <w:r w:rsidRPr="007139F7">
        <w:rPr>
          <w:rFonts w:eastAsia="Calibri" w:cs="Times New Roman"/>
          <w:sz w:val="28"/>
          <w:szCs w:val="28"/>
        </w:rPr>
        <w:tab/>
        <w:t>праця на правах рукопису</w:t>
      </w:r>
      <w:r w:rsidRPr="007139F7">
        <w:rPr>
          <w:rFonts w:eastAsia="Calibri" w:cs="Times New Roman"/>
          <w:sz w:val="28"/>
          <w:szCs w:val="28"/>
        </w:rPr>
        <w:tab/>
      </w:r>
    </w:p>
    <w:p w:rsidR="007139F7" w:rsidRPr="007139F7" w:rsidRDefault="007139F7" w:rsidP="007139F7">
      <w:pPr>
        <w:spacing w:after="160" w:line="360" w:lineRule="auto"/>
        <w:jc w:val="center"/>
        <w:rPr>
          <w:rFonts w:eastAsia="Calibri" w:cs="Times New Roman"/>
          <w:sz w:val="28"/>
          <w:szCs w:val="28"/>
        </w:rPr>
      </w:pP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КРИНИЧКО ЛЕОНІД РОМАНОВИЧ</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УДК: 351.77:616.314–053.2+577.118</w:t>
      </w:r>
    </w:p>
    <w:p w:rsidR="007139F7" w:rsidRPr="007139F7" w:rsidRDefault="007139F7" w:rsidP="007139F7">
      <w:pPr>
        <w:spacing w:after="160" w:line="360" w:lineRule="auto"/>
        <w:jc w:val="center"/>
        <w:rPr>
          <w:rFonts w:eastAsia="Calibri" w:cs="Times New Roman"/>
          <w:sz w:val="28"/>
          <w:szCs w:val="28"/>
        </w:rPr>
      </w:pP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ДИСЕРТАЦІЯ</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ВДОСКОНАЛЕННЯ ІНТРА- ТА ПІСЛЯОПЕРАЦІЙНОЇ ПРОФІЛАКТИКИ УТВОРЕННЯ ПАТОЛОГІЧНИХ РУБЦІВ ШКІРИ ПРИ ХІРУРГІЧНОМУ ЛІКУВАННІ КІСТ ШИЇ ЕМБРІОНАЛЬНОГО ПОХОДЖЕННЯ</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14.01.22 — стоматологія</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Охорона здоров’я</w:t>
      </w:r>
    </w:p>
    <w:p w:rsidR="007139F7" w:rsidRPr="007139F7" w:rsidRDefault="007139F7" w:rsidP="007139F7">
      <w:pPr>
        <w:spacing w:after="160" w:line="360" w:lineRule="auto"/>
        <w:jc w:val="center"/>
        <w:rPr>
          <w:rFonts w:eastAsia="Calibri" w:cs="Times New Roman"/>
          <w:sz w:val="28"/>
          <w:szCs w:val="28"/>
        </w:rPr>
      </w:pP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Подається на здобуття наукового ступеня</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кандидата медичних наук (доктора філософії)</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___________________________</w:t>
      </w: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 xml:space="preserve">Науковий керівник: Григоров Сергій Миколайович, </w:t>
      </w:r>
      <w:r w:rsidRPr="007139F7">
        <w:rPr>
          <w:rFonts w:eastAsia="Calibri" w:cs="Times New Roman"/>
          <w:sz w:val="28"/>
          <w:szCs w:val="28"/>
        </w:rPr>
        <w:br/>
        <w:t>доктор медичних наук, професор</w:t>
      </w:r>
    </w:p>
    <w:p w:rsidR="007139F7" w:rsidRPr="007139F7" w:rsidRDefault="007139F7" w:rsidP="007139F7">
      <w:pPr>
        <w:spacing w:after="160" w:line="360" w:lineRule="auto"/>
        <w:jc w:val="center"/>
        <w:rPr>
          <w:rFonts w:eastAsia="Calibri" w:cs="Times New Roman"/>
          <w:sz w:val="28"/>
          <w:szCs w:val="28"/>
        </w:rPr>
      </w:pPr>
    </w:p>
    <w:p w:rsidR="007139F7" w:rsidRPr="007139F7" w:rsidRDefault="007139F7" w:rsidP="007139F7">
      <w:pPr>
        <w:spacing w:after="160" w:line="360" w:lineRule="auto"/>
        <w:jc w:val="center"/>
        <w:rPr>
          <w:rFonts w:eastAsia="Calibri" w:cs="Times New Roman"/>
          <w:sz w:val="28"/>
          <w:szCs w:val="28"/>
        </w:rPr>
      </w:pPr>
      <w:r w:rsidRPr="007139F7">
        <w:rPr>
          <w:rFonts w:eastAsia="Calibri" w:cs="Times New Roman"/>
          <w:sz w:val="28"/>
          <w:szCs w:val="28"/>
        </w:rPr>
        <w:t>Харків, 2019</w:t>
      </w:r>
    </w:p>
    <w:p w:rsidR="007139F7" w:rsidRPr="007139F7" w:rsidRDefault="007139F7" w:rsidP="007139F7">
      <w:pPr>
        <w:spacing w:after="160" w:line="259" w:lineRule="auto"/>
        <w:jc w:val="center"/>
        <w:rPr>
          <w:rFonts w:eastAsia="Calibri" w:cs="Times New Roman"/>
          <w:b/>
          <w:sz w:val="28"/>
          <w:szCs w:val="28"/>
        </w:rPr>
        <w:sectPr w:rsidR="007139F7" w:rsidRPr="007139F7" w:rsidSect="00E1448E">
          <w:headerReference w:type="default" r:id="rId8"/>
          <w:pgSz w:w="11906" w:h="16838"/>
          <w:pgMar w:top="1134" w:right="851" w:bottom="1134" w:left="1418" w:header="709" w:footer="709" w:gutter="0"/>
          <w:cols w:space="708"/>
          <w:docGrid w:linePitch="360"/>
        </w:sectPr>
      </w:pPr>
    </w:p>
    <w:p w:rsidR="007139F7" w:rsidRPr="007139F7" w:rsidRDefault="007139F7" w:rsidP="007139F7">
      <w:pPr>
        <w:spacing w:after="160" w:line="259" w:lineRule="auto"/>
        <w:jc w:val="center"/>
        <w:rPr>
          <w:rFonts w:eastAsia="Calibri" w:cs="Times New Roman"/>
          <w:b/>
          <w:sz w:val="28"/>
          <w:szCs w:val="28"/>
        </w:rPr>
      </w:pPr>
      <w:bookmarkStart w:id="0" w:name="_Toc504823684"/>
      <w:r w:rsidRPr="007139F7">
        <w:rPr>
          <w:rFonts w:eastAsia="Calibri" w:cs="Times New Roman"/>
          <w:b/>
          <w:sz w:val="28"/>
          <w:szCs w:val="28"/>
        </w:rPr>
        <w:lastRenderedPageBreak/>
        <w:t>АНОТАЦІЯ</w:t>
      </w:r>
      <w:bookmarkEnd w:id="0"/>
    </w:p>
    <w:p w:rsidR="007139F7" w:rsidRPr="007139F7" w:rsidRDefault="007139F7" w:rsidP="007139F7">
      <w:pPr>
        <w:spacing w:after="160" w:line="259" w:lineRule="auto"/>
        <w:rPr>
          <w:rFonts w:eastAsia="Calibri" w:cs="Times New Roman"/>
          <w:sz w:val="28"/>
          <w:szCs w:val="28"/>
        </w:rPr>
      </w:pPr>
    </w:p>
    <w:p w:rsidR="007139F7" w:rsidRPr="007139F7" w:rsidRDefault="007139F7" w:rsidP="007139F7">
      <w:pPr>
        <w:spacing w:after="160" w:line="259" w:lineRule="auto"/>
        <w:rPr>
          <w:rFonts w:eastAsia="Calibri" w:cs="Times New Roman"/>
          <w:sz w:val="28"/>
          <w:szCs w:val="28"/>
        </w:rPr>
      </w:pP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i/>
          <w:sz w:val="28"/>
          <w:szCs w:val="28"/>
        </w:rPr>
        <w:t>Криничко Л.Р.</w:t>
      </w:r>
      <w:r w:rsidRPr="007139F7">
        <w:rPr>
          <w:rFonts w:eastAsia="Calibri" w:cs="Times New Roman"/>
          <w:sz w:val="28"/>
          <w:szCs w:val="28"/>
        </w:rPr>
        <w:t xml:space="preserve"> Вдосконалення інтра- та післяопераційної профілактики утворення патологічних рубців шкіри при хірургічному лікуванні кіст шиї ембріонального походження</w:t>
      </w:r>
    </w:p>
    <w:p w:rsidR="007139F7" w:rsidRPr="007139F7" w:rsidRDefault="007139F7" w:rsidP="007139F7">
      <w:pPr>
        <w:spacing w:after="160" w:line="360" w:lineRule="auto"/>
        <w:ind w:firstLine="709"/>
        <w:jc w:val="both"/>
        <w:rPr>
          <w:rFonts w:eastAsia="Calibri" w:cs="Times New Roman"/>
          <w:b/>
          <w:sz w:val="28"/>
          <w:szCs w:val="28"/>
        </w:rPr>
      </w:pPr>
      <w:r w:rsidRPr="007139F7">
        <w:rPr>
          <w:rFonts w:eastAsia="Calibri" w:cs="Times New Roman"/>
          <w:sz w:val="28"/>
          <w:szCs w:val="28"/>
        </w:rPr>
        <w:t xml:space="preserve"> Дисертація на здобуття наукового ступеня кандидата медичних наук (доктора філософії) за спеціальністю 14.01.22 – стоматологія (охорона здоров'я). –</w:t>
      </w:r>
      <w:r w:rsidRPr="007139F7">
        <w:rPr>
          <w:rFonts w:eastAsia="Calibri" w:cs="Times New Roman"/>
          <w:b/>
          <w:sz w:val="28"/>
          <w:szCs w:val="28"/>
        </w:rPr>
        <w:t xml:space="preserve"> </w:t>
      </w:r>
      <w:r w:rsidRPr="007139F7">
        <w:rPr>
          <w:rFonts w:eastAsia="Calibri" w:cs="Times New Roman"/>
          <w:sz w:val="28"/>
          <w:szCs w:val="28"/>
        </w:rPr>
        <w:t>Харківський національний медичний університет, м. Харків, 201</w:t>
      </w:r>
      <w:r w:rsidR="00A0087E">
        <w:rPr>
          <w:rFonts w:eastAsia="Calibri" w:cs="Times New Roman"/>
          <w:sz w:val="28"/>
          <w:szCs w:val="28"/>
        </w:rPr>
        <w:t>9</w:t>
      </w:r>
      <w:r w:rsidRPr="007139F7">
        <w:rPr>
          <w:rFonts w:eastAsia="Calibri" w:cs="Times New Roman"/>
          <w:sz w:val="28"/>
          <w:szCs w:val="28"/>
        </w:rPr>
        <w:t>.</w:t>
      </w:r>
    </w:p>
    <w:p w:rsidR="007139F7" w:rsidRPr="007139F7" w:rsidRDefault="007139F7" w:rsidP="007139F7">
      <w:pPr>
        <w:spacing w:after="160" w:line="360" w:lineRule="auto"/>
        <w:ind w:firstLine="709"/>
        <w:jc w:val="both"/>
        <w:rPr>
          <w:rFonts w:eastAsia="Calibri" w:cs="Times New Roman"/>
          <w:b/>
          <w:sz w:val="28"/>
          <w:szCs w:val="28"/>
        </w:rPr>
      </w:pPr>
      <w:r w:rsidRPr="007139F7">
        <w:rPr>
          <w:rFonts w:eastAsia="Calibri" w:cs="Times New Roman"/>
          <w:sz w:val="28"/>
          <w:szCs w:val="28"/>
        </w:rPr>
        <w:t>В дисертаційній роботі представлено вирішення актуальної задачі сучасної хірургічної стоматології, а саме підвищенню ефективності профілактики утворення післяопераційних патологічних рубців шкіри у хворих на кісти шиї ембріонального походження шляхом інтраопераційного застосування PRF-згустків в комбінації з антиоксидантами в післяопераційному періоді.</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На мікроскопічному рівні досліджено фіброархітектоніку післяопераційних рубцевозмінених тканин шкіри за умов застосування класичної та авторської методик профілактики.</w:t>
      </w: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sz w:val="28"/>
          <w:szCs w:val="28"/>
        </w:rPr>
        <w:t>Доповнено наукові дані щодо патогенетичних аспектів профілактики утворення патологічних рубців монотерапією та комбінованого застосування фібринових мембран, отриманих із збагаченої тромбоцитами плазми крові та церулоплазміну.</w:t>
      </w: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sz w:val="28"/>
          <w:szCs w:val="28"/>
        </w:rPr>
        <w:t>Проведено аналіз впливу на показники продукції активних форм оксигену, пероксидного окиснення ліпідів, вільнорадикального окислення білків, регенераторних процесів, запалення, мікробного обсіменіння та неспецифічного імунітету в залежності від обраної методики інтра- та післяопераційної профілактики.</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lastRenderedPageBreak/>
        <w:t>Вивчено впив на механізм та якість формування післяопераційного рубця фібринових мембран, отриманих із збагаченої тромбоцитами плазми крові та церулоплазміну при монотерапії та їх комбінованому застосуванні.</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Розроблено алгоритми інтра- та постопераційної профілактики утворення патологічних рубців шкіри при хірургічному лікування хворих на кісти шиї ембріонального походження. Вивчення механізму утворення патологічних рубців у різних ділянках шкіри шиї дозволяє більш широко застосовувати нові методики інтра- та післяопераційної профілактики.</w:t>
      </w: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sz w:val="28"/>
          <w:szCs w:val="28"/>
        </w:rPr>
        <w:t>Створена морфологічна, імуногістохімічна та біохімічна доказова база ефективності комбінованого застосування фібринових мембран, отриманих із збагаченої тромбоцитами плазми крові та церулоплазміну.</w:t>
      </w: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sz w:val="28"/>
          <w:szCs w:val="28"/>
        </w:rPr>
        <w:t>Розроблений спосіб інтра- та післяопераційної профілактики утворення патологічних рубцевозмінених тканин шкіри при лікування хворих на кісти шиї ембріонального походження дозволяє підвищити їх ефективність з отриманням оптимального функціонального та косметичного результату.</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 xml:space="preserve">Доведено, що в групі де пацієнтам проводилася комбінована профілактика PRF-згустком та церулоплазміном, отримані найкращі функціональні та естетичні результати. При аналізі динаміки змін показника П1 в 2 групі хворих на 3 місяць спостереження вірогідність утворення нормотрофічного рубця встановлено у 70% із всіх пацієнтів, на 12 місяць ознак келоїдизації не виявлено, а у 85% спостерігався нормотрофічний рубець. </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 xml:space="preserve">Ефективність запропонованої методики нами підтверджена при дослідженні динаміки клінічних змін показників П2 та П3 на 6 місяць та їх невеликі зміни протягом всього подальшого періоду спостереження, а при аналізі показника П4 – 9 місяць післяопераційного періоду: на напруженість рубця скаржилися 15% пацієнтів, скарг на біль, печію та свербіж не відзначався. Зміни показника П5 свідчать про збільшення кількості пацієнтів з ознакою малої площі рубцевозмінених тканин протягом всього періоду </w:t>
      </w:r>
      <w:r w:rsidRPr="007139F7">
        <w:rPr>
          <w:rFonts w:eastAsia="Calibri" w:cs="Times New Roman"/>
          <w:sz w:val="28"/>
          <w:szCs w:val="28"/>
        </w:rPr>
        <w:lastRenderedPageBreak/>
        <w:t>спостереження з повною відсутністю пацієнтів з ознаками великої площі, що підкреслює перевагу проведеної авторської методики профілактики над класичною. При аналізі цифрових термометричних показників пацієнтів 2 групи слід звернути увагу на найвищі показники температури в усіх ділянках рубцевозмінених тканин в середньому на 0,8±0,5 °С (p&lt;0.05), що пов’язано із застосуванням пацієнтам цієї групи церулоплазміну, який суттєво покращує реґіонарну мікроциркуляцію.</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Встановлено, що при поєднаному застосуванні PRF-згустка та церулоплазміна морфологічна картина візуалізує ефективність проведеної профілактики на 6 місяць післяопераційного періоду: сполучнотканинні сосочки не відрізняються від таких в інтактній дермі, розташовані між ними епітеліальні пласти характеризуються мономорфною картиною і відносно однаковими розмірами. Пучки колагенових волокон розташовуються переважно перпендикулярно до покривного епітелію, а в середніх і базальних відділах – паралельно. Реакція з антитілами до білку Кі - 67, виявляла проліферативну активність в 20% епітеліальних клітин базального шару епідермісу і відсутність такої в клітинах сполучнотканинного рубця. На 12 місяць пучки колагенових волокон післяопераційного рубця за тинкторіальними характеристиками і метричними показниками практично не відрізнялися від таких в незміненій дермі, що є доказом ефективності запропонованого методу профілактики.</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Доведено, що у пацієнтів, яким під час оперативного втручання введено PRF-згусток, а на післяопераційному етапі було засто</w:t>
      </w:r>
      <w:r w:rsidR="00BE51DF">
        <w:rPr>
          <w:rFonts w:eastAsia="Calibri" w:cs="Times New Roman"/>
          <w:sz w:val="28"/>
          <w:szCs w:val="28"/>
        </w:rPr>
        <w:t>совано церулоплазмін</w:t>
      </w:r>
      <w:r w:rsidRPr="007139F7">
        <w:rPr>
          <w:rFonts w:eastAsia="Calibri" w:cs="Times New Roman"/>
          <w:sz w:val="28"/>
          <w:szCs w:val="28"/>
        </w:rPr>
        <w:t xml:space="preserve">, концентрація ДК через 3 місяці спостереження була достовірно зменшувалася на 38,6 % , через 6 – на 25,3 % і через 9– на 13,0 %, стосовно даних третьої групи. Концентрація ТБК-АП через 3 місяці спостереження достовірно зменшується на 35,1 %, через 6– на 27,7 % і через 9 – 8,7 на %. Вміст 2,4-динітрофенілгідразонів, що визначалися при 370 нм через 3 місяці спостереження є меншим на 43,3 %, через 6 – на 38,6 % і через 9 – на 21,8 %, </w:t>
      </w:r>
      <w:r w:rsidRPr="007139F7">
        <w:rPr>
          <w:rFonts w:eastAsia="Calibri" w:cs="Times New Roman"/>
          <w:sz w:val="28"/>
          <w:szCs w:val="28"/>
        </w:rPr>
        <w:lastRenderedPageBreak/>
        <w:t xml:space="preserve">стосовно даних 3-ої групи. Також в цій групі встановлені найнижчі показники ОМБ: у 3 місяці даний показник перевищував показник інтактної групи на 60,0 %, через 6– на 20,0 % і через 9– на 6,5 %. </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Встановлено, що у пацієнтів 2 групи активність СОД через 3 місяці спостереження був достовірно меншою на 24,6 %, через 6 – на 16,7 % і через 9 – на 14,7 %, стосовно даних 3-ої групи. У пацієнтів 1-ої і 3-ої груп через 12 місяців спостереження активність СОД практично не відрізнялася. У пацієнтів 1 групи відсоток АФО через 3 місяці спостереження був достовірно меншим на 26,6 % , через 6 – на 10,9 % і через 9 – на 12,2 %, стосовно даних пацієнтів контрольної групи. В 2 групі концентрація ГПЛ через 3 місяці спостереження фіксувалася достовірно меншою на 39,0 % , через 6 – на 19,7 % і через 9 – на 9,2 %, стосовно даних 3-ої групи, що свідчить про ефективність застосування авторської методики.</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Аналіз отриманих клінічних, морфологічних та біохімічних даних доводить, що комбіноване застосування PRF-згустку на інтраопераційному етапі профілактики та церулоплазміну на післяопераційному, на відміну від монотерапії фібриновими мембранами, отриманих із збагаченої тромбоцитами плазми крові приводить до кращого як функціонального, так і естетичного результату, що суттєво покращує якість життя пацієнтів у ранньому та пізньому післяопераційному періодах.</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Для інтра- та постопераційної профілактики утворення патологічних рубцевозмінених тканин у хворих на кісти ембріонального походження рекомендується застосування фібринових мембран (PRF-згустків), отриманих із збагаченої тромбоцитами плазми крові в комбінації з церулоплазміном.</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На етапі інтраопераційної профілактики під час проведення оперативного втручання рекомендується введення PRF-мембран в глибокі (в ділянці тіла під’язикової кістки при видаленні серединних кіст та судинно-</w:t>
      </w:r>
      <w:r w:rsidRPr="007139F7">
        <w:rPr>
          <w:rFonts w:eastAsia="Calibri" w:cs="Times New Roman"/>
          <w:sz w:val="28"/>
          <w:szCs w:val="28"/>
        </w:rPr>
        <w:lastRenderedPageBreak/>
        <w:t>нервового пучка – при видалення бічних кіст) та поверхневі шари операційної рани (під шар гіподерми).</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На етапі постопераційної профілактики церулоплазмін застосовується у вигляді розчину (рН 6,5-7,5), який готують із ліофілізованого порошку. Вводиться внутрішньорубцево із розрахунку 0,2 мл препарату на кожний 1 см рубцевозміненої тканини на 3-й місяць післяопераційного періоду. На 9 місяць препарат уводиться в рубцевозмінені тканини шляхом електрофорезу в тій же концентрації. Для введення вміст одного флакона розводиться у 10 мл ізотонічного розчину натрію хлориду.</w:t>
      </w:r>
    </w:p>
    <w:p w:rsidR="007139F7" w:rsidRPr="007139F7" w:rsidRDefault="007139F7" w:rsidP="007139F7">
      <w:pPr>
        <w:spacing w:after="160" w:line="360" w:lineRule="auto"/>
        <w:ind w:firstLine="708"/>
        <w:jc w:val="both"/>
        <w:rPr>
          <w:rFonts w:eastAsia="Calibri" w:cs="Times New Roman"/>
          <w:sz w:val="28"/>
          <w:szCs w:val="28"/>
        </w:rPr>
      </w:pPr>
      <w:r w:rsidRPr="007139F7">
        <w:rPr>
          <w:rFonts w:eastAsia="Calibri" w:cs="Times New Roman"/>
          <w:sz w:val="28"/>
          <w:szCs w:val="28"/>
        </w:rPr>
        <w:t>Для контролю динаміки рубцювання операційних ран рекомендуємо на 3, 6, 9 та 12 місяць післяопераційного періоду проводити клінічну оцінку стану рубцевозмінених тканин враховуючі наступні параметри: тип, консистенція, колір, чутливість та площа рубця.</w:t>
      </w:r>
    </w:p>
    <w:p w:rsidR="007139F7" w:rsidRPr="007139F7" w:rsidRDefault="007139F7" w:rsidP="007139F7">
      <w:pPr>
        <w:spacing w:after="160" w:line="360" w:lineRule="auto"/>
        <w:ind w:firstLine="709"/>
        <w:jc w:val="both"/>
        <w:rPr>
          <w:rFonts w:eastAsia="Calibri" w:cs="Times New Roman"/>
          <w:sz w:val="28"/>
          <w:szCs w:val="28"/>
        </w:rPr>
      </w:pPr>
      <w:r w:rsidRPr="007139F7">
        <w:rPr>
          <w:rFonts w:eastAsia="Calibri" w:cs="Times New Roman"/>
          <w:b/>
          <w:sz w:val="28"/>
          <w:szCs w:val="28"/>
        </w:rPr>
        <w:t xml:space="preserve">Ключові слова: </w:t>
      </w:r>
      <w:r w:rsidRPr="007139F7">
        <w:rPr>
          <w:rFonts w:eastAsia="Calibri" w:cs="Times New Roman"/>
          <w:sz w:val="28"/>
          <w:szCs w:val="28"/>
        </w:rPr>
        <w:t>серединна кіста шиї, бічна кіста шиї, нормотрофічний рубець, патологічний рубець, збагачена тромбоцитами плазма крові, церулоплазмін, профілактика.</w:t>
      </w:r>
    </w:p>
    <w:p w:rsidR="007139F7" w:rsidRPr="007139F7" w:rsidRDefault="007139F7" w:rsidP="007139F7">
      <w:pPr>
        <w:spacing w:after="160" w:line="259" w:lineRule="auto"/>
        <w:rPr>
          <w:rFonts w:eastAsia="Calibri" w:cs="Times New Roman"/>
          <w:b/>
          <w:sz w:val="28"/>
          <w:szCs w:val="28"/>
        </w:rPr>
      </w:pPr>
      <w:r w:rsidRPr="007139F7">
        <w:rPr>
          <w:rFonts w:eastAsia="Calibri" w:cs="Times New Roman"/>
          <w:b/>
          <w:sz w:val="28"/>
          <w:szCs w:val="28"/>
        </w:rPr>
        <w:br w:type="page"/>
      </w:r>
    </w:p>
    <w:p w:rsidR="007139F7" w:rsidRPr="007139F7" w:rsidRDefault="007139F7" w:rsidP="007139F7">
      <w:pPr>
        <w:spacing w:after="160" w:line="360" w:lineRule="auto"/>
        <w:jc w:val="center"/>
        <w:rPr>
          <w:rFonts w:eastAsia="Calibri" w:cs="Times New Roman"/>
          <w:b/>
          <w:sz w:val="28"/>
          <w:szCs w:val="28"/>
        </w:rPr>
      </w:pPr>
      <w:r w:rsidRPr="007139F7">
        <w:rPr>
          <w:rFonts w:eastAsia="Calibri" w:cs="Times New Roman"/>
          <w:b/>
          <w:sz w:val="28"/>
          <w:szCs w:val="28"/>
        </w:rPr>
        <w:lastRenderedPageBreak/>
        <w:t>ANNOTATION</w:t>
      </w:r>
    </w:p>
    <w:p w:rsidR="007139F7" w:rsidRPr="007139F7" w:rsidRDefault="007139F7" w:rsidP="007139F7">
      <w:pPr>
        <w:spacing w:after="160" w:line="360" w:lineRule="auto"/>
        <w:jc w:val="center"/>
        <w:rPr>
          <w:rFonts w:eastAsia="Calibri" w:cs="Times New Roman"/>
          <w:b/>
          <w:sz w:val="28"/>
          <w:szCs w:val="28"/>
        </w:rPr>
      </w:pP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Krinichko L.R. The improvement of intra- and postoperative prevention of the formation of pathological scars at surgical treatment of neck cysts of embryonic origin.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Dissertation for the degree of a candidate of medical sciences (doctor of philosophy) in specialty 14.01.22 - stomatology (health care). - Kharkiv National Medical University, Kharkiv, 201</w:t>
      </w:r>
      <w:r w:rsidR="00A0087E" w:rsidRPr="008B2675">
        <w:rPr>
          <w:rFonts w:eastAsia="Calibri" w:cs="Times New Roman"/>
          <w:sz w:val="28"/>
          <w:szCs w:val="28"/>
        </w:rPr>
        <w:t>9</w:t>
      </w:r>
      <w:r w:rsidRPr="008B2675">
        <w:rPr>
          <w:rFonts w:eastAsia="Calibri" w:cs="Times New Roman"/>
          <w:sz w:val="28"/>
          <w:szCs w:val="28"/>
        </w:rPr>
        <w:t>.</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is presented in the dissertation the solution of the actual problem of modern stomatology, namely, the increase of the effectiveness of prevention of the formation of postoperative pathological scars of the skin at patients with neck cysts of embryonic origin by the intraoperative application of PRF-bundles in combination with antioxidants in the postoperative period.</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The fibroarchitectonics of postoperative scar tissue of the skin was studied at the microscopic level under conditions of classical and authoritative methods of prevention.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was supplemented the scientific data on the pathogenetic aspects of the prevention of pathological scar formation in monotherapy and the combined use of fibrin membranes derived from platelet-rich fibrin and ceruloplasmin.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was carried out the analysis of the influence on the indices of active forms of oxygen, lipid peroxide oxidation, free radical protein oxidation, regenerative processes, inflammation, microbial contamination and nonspecific immunity, depending on the chosen method of intra-and postoperative prophylaxis.</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was studied the effect of influence of fibrin membranes obtained from platelet-rich fibrin of blood plasma and ceruloplasmin in monotherapy and their combined use on the mechanism and quality of the formation of postoperative scars.</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lastRenderedPageBreak/>
        <w:t>It was developed the algorithm of intra- and postoperative prevention of the formation of pathological scars of the skin in the surgical treatment of patients with neck cysts of embryonic origin. The study of the mechanism of the formation of pathological scarring in different parts of the skin of the neck allows for the wider use of new methods of intra- and postoperative prophylaxis.</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The morphological, immunohistochemical and biochemical evidence base of the effectiveness of combined use of fibrin membranes derived from platelet-rich fibrin and ceruloplasmin was created.</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The developed method of intra- and postoperative prevention of the formation of pathologic scar tissue of the skin in the treatment of patients with cysts of the embryonic origin allows to increase its quality with the obtaining of optimal functional and cosmetic result.</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was proved that in the group where patients get the combined prevention with PRF-clot and ceruloplasmin, the best functional and aesthetic results were obtained. During the analyze of the dynamics of changes in the index P1 in 2 groups of patients on 3 months of observation, the probability of formation of normotrophic scar was established in 14 (70%) patients, on 12 months no signs of keloidization were detected, and in 17 (85%) (p &lt;0.01) patients there was a normophytic scar.</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 xml:space="preserve">The effectiveness of the proposed method was confirmed by the study of the dynamics of clinical changes of the parameters P2 and P3 on 6 months and their small changes throughout the subsequent follow-up period, and in the analysis of P4 - 9 months postoperative period: 3 patients (15%) complainted on tension of scar; it was no complains on pain, heartburn and itching. Changes in the P5 index indicated an increase in the number of patients with a sign of a small area throughout the observation period with a complete absence of patients with signs of a large area, which underlines the advantage of the author's methodology of prevention over the classical. During the analyzis of the digital thermometric parameters of patients in 2 groups, attention should be paid to the highest temperature indices in all areas of </w:t>
      </w:r>
      <w:r w:rsidRPr="008B2675">
        <w:rPr>
          <w:rFonts w:eastAsia="Calibri" w:cs="Times New Roman"/>
          <w:sz w:val="28"/>
          <w:szCs w:val="28"/>
        </w:rPr>
        <w:lastRenderedPageBreak/>
        <w:t>scar tissue in an average of 0.8 ± 0.5 ° C (p &lt;0.05), which is associated with the use of patients in this group of ceruloplasmin, which substantially improves microcirculation at the injection site.</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was established that at the combined use of PRF-clot and ceruloplasmin application, the morphological picture visualizes the effectiveness of the prophylaxis performed at 6 months post-operative period: connective tissue papilla does not visually differ from those in intact dermis, the epithelial lay between them is characterized by a monomorphic pattern and relatively similar sizes. Bundles of collagen fibers are located predominantly perpendicular to the capillary epithelium, in the middle and basal sections - in parallel. A reaction with antibodies to the Ki</w:t>
      </w:r>
      <w:r w:rsidRPr="008B2675">
        <w:rPr>
          <w:rFonts w:eastAsia="Calibri" w:cs="Times New Roman"/>
          <w:sz w:val="28"/>
          <w:szCs w:val="28"/>
        </w:rPr>
        <w:noBreakHyphen/>
        <w:t>67 protein was performed, detecting proliferative activity in 20% of the epithelial cells of the basal layer of the epidermis and practically complete absence of such in the cells of the connective tissue scar. At 12 months, the bundles of collagen fibers of postoperative scar under tinctorial characteristics and metric indices practically was not different from those in the unchanged dermis, which is evidence of the effectiveness of the proposed method of prevention.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It has been proved that in patients who received a PRF-clot during the surgery, and at the postoperative stage the drug "Biocerulin" was used, the concentration of DC after 3 months of observation was significantly reduced on 38.6%, after 6 months - on 25.3 % and in 9 months - on 13.0%, in relation to data of the third group. The concentration of TBK-AP in 3 months of observation was significantly reduced on 35.1%, after 6 months - on 27.7% and 9 months later - on 8.7%. The content of 2,4-dinitrophenylhydrazones, determined at 370 nm after 3 months of observation, is significantly lower on 43.3%, after 6 months - on 38.6%, and after 9 months - on 21.8%, in comparison to the data of the 3rd groups. Also, in this group the lowest indicators of OMB were established: for 3 months this indicator exceeds the indicator of intact group on 60.0%, in 6 months - on 20.0% and in 9 months - on 6.5%.</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lastRenderedPageBreak/>
        <w:t>It was established that in patients of 2 groups the activity of SOD after 3 months of observation was significantly lower on 24.6%, after 6 months - on 16.7%, and after 9 months - on 14.7%, in comparison to the data of the third group. In patients in the 1st and 3rd groups, after 12 months of observation, SOD activity practically was not different. In patients of 1 group, the percentage of AFP after 3 months of observation was significantly lower on 26.6%, after 6 months - on 10.9% and 9 months later - on 12.2%, in comparison  to the data of patients of the control group. In 2 group , the concentration of HPL after 3 months of observation was fixed significantly lower on 39.0%, after 6 months - on 19.7% and 9 months later - on 9.2%, comparatively to data of the third group, indicating the effectiveness of the application author's technique.</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An analysis of the clinical, morphological and biochemical obtained data shows that the combined use of PRF-clot at the intraoperative stage of prophylaxis and ceruloplasmin at the postoperative, in contrast to monotherapy with fibrin membranes, obtained from platelet-rich fibrin results in a better both functional and aesthetic result substantially improves the quality of life of patients in the early and late postoperative periods.</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The use of fibrin membranes (PRF-bundles) obtained from blood platelet-rich fibrin in combination with ceruloplasmin is recommended for intra- and postoperative prophylaxis of the formation of pathological scar tissue in patients with cysts of embryonic origin.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At the stage of intraoperative prophylaxis during the surgical intervention, it is recommended to introduce PRF membranes into deep (in the area of the body of the hyoid bone at removing of medial cysts and in the area of the vascular nerve beam – in case of removing of lateral cysts) and into the superficial layers of the surgical wound (under the layer of hypodermis).</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 xml:space="preserve">At the stage of postoperative prophylaxis ceruloplasmin was used in the form of a solution (pH 6.5-7.5), which was prepared from the freeze-dried powder. It is </w:t>
      </w:r>
      <w:r w:rsidRPr="008B2675">
        <w:rPr>
          <w:rFonts w:eastAsia="Calibri" w:cs="Times New Roman"/>
          <w:sz w:val="28"/>
          <w:szCs w:val="28"/>
        </w:rPr>
        <w:lastRenderedPageBreak/>
        <w:t>injected intraperitoneally from the calculation of 0.2 ml of the drug for every 1 cm of scarred hemorrhagic tissue for the 3rd month of the postoperative period. At 9 months, the drug is introduced into the scarred tissues by electrophoresis at the same concentration. To enter the content of one vial is diluted in 10 ml of isotonic sodium chloride solution.</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sz w:val="28"/>
          <w:szCs w:val="28"/>
        </w:rPr>
        <w:t>In order to control the dynamics of scarring of surgical wounds, we recommend to conduct a clinical evaluation of the condition of the scar tissue, taking into account the following parameters: type, consistency, color, sensitivity and area of the scar at the 3, 6, 9, and 12 months of the postoperative period.</w:t>
      </w:r>
    </w:p>
    <w:p w:rsidR="007139F7" w:rsidRPr="008B2675" w:rsidRDefault="007139F7" w:rsidP="007139F7">
      <w:pPr>
        <w:shd w:val="clear" w:color="auto" w:fill="FFFFFF"/>
        <w:spacing w:after="160" w:line="360" w:lineRule="auto"/>
        <w:ind w:firstLine="709"/>
        <w:jc w:val="both"/>
        <w:rPr>
          <w:rFonts w:eastAsia="Calibri" w:cs="Times New Roman"/>
          <w:sz w:val="28"/>
          <w:szCs w:val="28"/>
        </w:rPr>
      </w:pPr>
      <w:r w:rsidRPr="008B2675">
        <w:rPr>
          <w:rFonts w:eastAsia="Calibri" w:cs="Times New Roman"/>
          <w:b/>
          <w:sz w:val="28"/>
          <w:szCs w:val="28"/>
        </w:rPr>
        <w:t>Key words</w:t>
      </w:r>
      <w:r w:rsidRPr="008B2675">
        <w:rPr>
          <w:rFonts w:eastAsia="Calibri" w:cs="Times New Roman"/>
          <w:sz w:val="28"/>
          <w:szCs w:val="28"/>
        </w:rPr>
        <w:t>: medial cyst of the neck, lateral cyst of the neck, normotrophic scar, pathological scar, platelet-rich plasma, ceruloplasmin, prophylaxis.</w:t>
      </w:r>
    </w:p>
    <w:p w:rsidR="007139F7" w:rsidRPr="007139F7" w:rsidRDefault="007139F7" w:rsidP="007139F7">
      <w:pPr>
        <w:spacing w:after="160" w:line="259" w:lineRule="auto"/>
        <w:ind w:firstLine="709"/>
        <w:rPr>
          <w:rFonts w:eastAsia="Calibri" w:cs="Times New Roman"/>
          <w:sz w:val="28"/>
          <w:szCs w:val="28"/>
        </w:rPr>
      </w:pPr>
    </w:p>
    <w:p w:rsidR="007139F7" w:rsidRPr="00BE51DF" w:rsidRDefault="007139F7" w:rsidP="007139F7">
      <w:pPr>
        <w:spacing w:after="160" w:line="360" w:lineRule="auto"/>
        <w:ind w:firstLine="709"/>
        <w:jc w:val="both"/>
        <w:rPr>
          <w:rFonts w:eastAsia="Calibri" w:cs="Times New Roman"/>
          <w:b/>
          <w:sz w:val="28"/>
          <w:szCs w:val="28"/>
        </w:rPr>
      </w:pPr>
      <w:r w:rsidRPr="00BE51DF">
        <w:rPr>
          <w:rFonts w:eastAsia="Calibri" w:cs="Times New Roman"/>
          <w:b/>
          <w:sz w:val="28"/>
          <w:szCs w:val="28"/>
        </w:rPr>
        <w:t>СПИСОК ОПУБЛІКОВАНИХ ПРАЦЬ ЗА ТЕМОЮ ДИСЕРТАЦІЇ</w:t>
      </w:r>
    </w:p>
    <w:p w:rsidR="008D6962" w:rsidRPr="00F4664E" w:rsidRDefault="000C1A2F" w:rsidP="007139F7">
      <w:pPr>
        <w:numPr>
          <w:ilvl w:val="0"/>
          <w:numId w:val="1"/>
        </w:numPr>
        <w:spacing w:after="0" w:line="360" w:lineRule="auto"/>
        <w:contextualSpacing/>
        <w:jc w:val="both"/>
        <w:rPr>
          <w:rFonts w:eastAsia="Times New Roman" w:cs="Times New Roman"/>
          <w:sz w:val="28"/>
          <w:szCs w:val="28"/>
          <w:lang w:eastAsia="uk-UA"/>
        </w:rPr>
      </w:pPr>
      <w:r w:rsidRPr="00F4664E">
        <w:rPr>
          <w:rFonts w:eastAsia="Calibri" w:cs="Times New Roman"/>
          <w:b/>
          <w:sz w:val="28"/>
          <w:szCs w:val="28"/>
          <w:lang w:val="en-US"/>
        </w:rPr>
        <w:t>Krinichko L.R.</w:t>
      </w:r>
      <w:r w:rsidRPr="00F4664E">
        <w:rPr>
          <w:rFonts w:eastAsia="Calibri" w:cs="Times New Roman"/>
          <w:sz w:val="28"/>
          <w:szCs w:val="28"/>
          <w:lang w:val="en-US"/>
        </w:rPr>
        <w:t xml:space="preserve"> </w:t>
      </w:r>
      <w:r w:rsidR="00A870A8" w:rsidRPr="00F4664E">
        <w:rPr>
          <w:rFonts w:eastAsia="Calibri" w:cs="Times New Roman"/>
          <w:sz w:val="28"/>
          <w:szCs w:val="28"/>
          <w:lang w:val="en-US"/>
        </w:rPr>
        <w:t>Dynamics of changes of proteins free-radial oxidation, regenerator processes, microbial distribution and non-specific immunity in the gomogenates of scar tissues at different stages of the postoperative period</w:t>
      </w:r>
      <w:r w:rsidRPr="00F4664E">
        <w:rPr>
          <w:rFonts w:eastAsia="Calibri" w:cs="Times New Roman"/>
          <w:sz w:val="28"/>
          <w:szCs w:val="28"/>
          <w:lang w:val="en-US"/>
        </w:rPr>
        <w:t xml:space="preserve"> / </w:t>
      </w:r>
      <w:r w:rsidRPr="00F4664E">
        <w:rPr>
          <w:rFonts w:eastAsia="Calibri" w:cs="Times New Roman"/>
          <w:b/>
          <w:sz w:val="28"/>
          <w:szCs w:val="28"/>
          <w:lang w:val="en-US"/>
        </w:rPr>
        <w:t>L.R. Krinichko</w:t>
      </w:r>
      <w:r w:rsidRPr="00F4664E">
        <w:rPr>
          <w:rFonts w:eastAsia="Calibri" w:cs="Times New Roman"/>
          <w:sz w:val="28"/>
          <w:szCs w:val="28"/>
          <w:lang w:val="en-US"/>
        </w:rPr>
        <w:t xml:space="preserve">, S.M. Grigorov // </w:t>
      </w:r>
      <w:r w:rsidR="00812EE8" w:rsidRPr="00F4664E">
        <w:rPr>
          <w:rFonts w:eastAsia="Calibri" w:cs="Times New Roman"/>
          <w:sz w:val="28"/>
          <w:szCs w:val="28"/>
        </w:rPr>
        <w:t>Проблеми екології та медицини. – 2018. – Т. 22 (№3-4). – С. </w:t>
      </w:r>
      <w:r w:rsidR="00262E2E" w:rsidRPr="00F4664E">
        <w:rPr>
          <w:rFonts w:eastAsia="Calibri" w:cs="Times New Roman"/>
          <w:sz w:val="28"/>
          <w:szCs w:val="28"/>
        </w:rPr>
        <w:t>3-6.</w:t>
      </w:r>
    </w:p>
    <w:p w:rsidR="002D0787" w:rsidRPr="00F4664E" w:rsidRDefault="00262E2E" w:rsidP="007139F7">
      <w:pPr>
        <w:numPr>
          <w:ilvl w:val="0"/>
          <w:numId w:val="1"/>
        </w:numPr>
        <w:spacing w:after="0" w:line="360" w:lineRule="auto"/>
        <w:contextualSpacing/>
        <w:jc w:val="both"/>
        <w:rPr>
          <w:rFonts w:eastAsia="Times New Roman" w:cs="Times New Roman"/>
          <w:sz w:val="28"/>
          <w:szCs w:val="28"/>
          <w:lang w:eastAsia="uk-UA"/>
        </w:rPr>
      </w:pPr>
      <w:r w:rsidRPr="00F4664E">
        <w:rPr>
          <w:rFonts w:eastAsia="Calibri" w:cs="Times New Roman"/>
          <w:sz w:val="28"/>
          <w:szCs w:val="28"/>
        </w:rPr>
        <w:t xml:space="preserve">Визначення розбіжностей продукції активних форм оксисену та вмісту </w:t>
      </w:r>
      <w:r w:rsidR="000C6ABB" w:rsidRPr="00F4664E">
        <w:rPr>
          <w:rFonts w:eastAsia="Calibri" w:cs="Times New Roman"/>
          <w:sz w:val="28"/>
          <w:szCs w:val="28"/>
        </w:rPr>
        <w:t xml:space="preserve">гідропероксидів </w:t>
      </w:r>
      <w:r w:rsidR="007416E3" w:rsidRPr="00F4664E">
        <w:rPr>
          <w:rFonts w:eastAsia="Calibri" w:cs="Times New Roman"/>
          <w:sz w:val="28"/>
          <w:szCs w:val="28"/>
        </w:rPr>
        <w:t xml:space="preserve">ліпідів а гомогенатах рубцевозмінених тканин в різні терміни післяопераційного періоду </w:t>
      </w:r>
      <w:r w:rsidR="006D7CC4" w:rsidRPr="00F4664E">
        <w:rPr>
          <w:rFonts w:eastAsia="Calibri" w:cs="Times New Roman"/>
          <w:sz w:val="28"/>
          <w:szCs w:val="28"/>
        </w:rPr>
        <w:t xml:space="preserve">/ </w:t>
      </w:r>
      <w:r w:rsidR="006D7CC4" w:rsidRPr="00F4664E">
        <w:rPr>
          <w:rFonts w:eastAsia="Calibri" w:cs="Times New Roman"/>
          <w:b/>
          <w:sz w:val="28"/>
          <w:szCs w:val="28"/>
        </w:rPr>
        <w:t>Л.Р. Криничко</w:t>
      </w:r>
      <w:r w:rsidR="006D7CC4" w:rsidRPr="00F4664E">
        <w:rPr>
          <w:rFonts w:eastAsia="Calibri" w:cs="Times New Roman"/>
          <w:sz w:val="28"/>
          <w:szCs w:val="28"/>
        </w:rPr>
        <w:t>, К.П. Локес, С.О. Ставицький</w:t>
      </w:r>
      <w:r w:rsidR="00F4664E" w:rsidRPr="00F4664E">
        <w:rPr>
          <w:rFonts w:eastAsia="Calibri" w:cs="Times New Roman"/>
          <w:sz w:val="28"/>
          <w:szCs w:val="28"/>
        </w:rPr>
        <w:t>,</w:t>
      </w:r>
      <w:r w:rsidR="006D7CC4" w:rsidRPr="00F4664E">
        <w:rPr>
          <w:rFonts w:eastAsia="Calibri" w:cs="Times New Roman"/>
          <w:sz w:val="28"/>
          <w:szCs w:val="28"/>
        </w:rPr>
        <w:t xml:space="preserve"> </w:t>
      </w:r>
      <w:r w:rsidR="00F4664E" w:rsidRPr="00F4664E">
        <w:rPr>
          <w:sz w:val="28"/>
          <w:szCs w:val="28"/>
        </w:rPr>
        <w:t xml:space="preserve">Григоров С.М., Волошина Л. І. </w:t>
      </w:r>
      <w:r w:rsidR="006D7CC4" w:rsidRPr="00F4664E">
        <w:rPr>
          <w:rFonts w:eastAsia="Times New Roman" w:cs="Times New Roman"/>
          <w:sz w:val="28"/>
          <w:szCs w:val="28"/>
          <w:lang w:eastAsia="uk-UA"/>
        </w:rPr>
        <w:t xml:space="preserve">// </w:t>
      </w:r>
      <w:r w:rsidR="00072F70" w:rsidRPr="00F4664E">
        <w:rPr>
          <w:rFonts w:eastAsia="Times New Roman" w:cs="Times New Roman"/>
          <w:sz w:val="28"/>
          <w:szCs w:val="28"/>
          <w:lang w:eastAsia="uk-UA"/>
        </w:rPr>
        <w:t>Вісник проблем біології і медицини. – 2018. – Bип. 4 (146</w:t>
      </w:r>
      <w:r w:rsidR="002D0787" w:rsidRPr="00F4664E">
        <w:rPr>
          <w:rFonts w:eastAsia="Times New Roman" w:cs="Times New Roman"/>
          <w:sz w:val="28"/>
          <w:szCs w:val="28"/>
          <w:lang w:eastAsia="uk-UA"/>
        </w:rPr>
        <w:t>). – С. 95-</w:t>
      </w:r>
      <w:r w:rsidR="00072F70" w:rsidRPr="00F4664E">
        <w:rPr>
          <w:rFonts w:eastAsia="Times New Roman" w:cs="Times New Roman"/>
          <w:sz w:val="28"/>
          <w:szCs w:val="28"/>
          <w:lang w:eastAsia="uk-UA"/>
        </w:rPr>
        <w:t>9</w:t>
      </w:r>
      <w:r w:rsidR="002D0787" w:rsidRPr="00F4664E">
        <w:rPr>
          <w:rFonts w:eastAsia="Times New Roman" w:cs="Times New Roman"/>
          <w:sz w:val="28"/>
          <w:szCs w:val="28"/>
          <w:lang w:eastAsia="uk-UA"/>
        </w:rPr>
        <w:t>8.</w:t>
      </w:r>
    </w:p>
    <w:p w:rsidR="00932579" w:rsidRPr="00F4664E" w:rsidRDefault="002D0787" w:rsidP="007139F7">
      <w:pPr>
        <w:numPr>
          <w:ilvl w:val="0"/>
          <w:numId w:val="1"/>
        </w:numPr>
        <w:spacing w:after="0" w:line="360" w:lineRule="auto"/>
        <w:contextualSpacing/>
        <w:jc w:val="both"/>
        <w:rPr>
          <w:rFonts w:eastAsia="Times New Roman" w:cs="Times New Roman"/>
          <w:sz w:val="28"/>
          <w:szCs w:val="20"/>
          <w:lang w:eastAsia="uk-UA"/>
        </w:rPr>
      </w:pPr>
      <w:r w:rsidRPr="00F4664E">
        <w:rPr>
          <w:rFonts w:eastAsia="Times New Roman" w:cs="Times New Roman"/>
          <w:b/>
          <w:sz w:val="28"/>
          <w:szCs w:val="20"/>
          <w:lang w:eastAsia="uk-UA"/>
        </w:rPr>
        <w:t>Криничко Л.Р.</w:t>
      </w:r>
      <w:r w:rsidRPr="00F4664E">
        <w:rPr>
          <w:rFonts w:eastAsia="Times New Roman" w:cs="Times New Roman"/>
          <w:sz w:val="28"/>
          <w:szCs w:val="20"/>
          <w:lang w:eastAsia="uk-UA"/>
        </w:rPr>
        <w:t xml:space="preserve"> Особливості морфологічної будови рубцевозмінених тканин шкіри при хірургічному </w:t>
      </w:r>
      <w:r w:rsidR="003A6425" w:rsidRPr="00F4664E">
        <w:rPr>
          <w:rFonts w:eastAsia="Times New Roman" w:cs="Times New Roman"/>
          <w:sz w:val="28"/>
          <w:szCs w:val="20"/>
          <w:lang w:eastAsia="uk-UA"/>
        </w:rPr>
        <w:t>лікуванні</w:t>
      </w:r>
      <w:r w:rsidR="00541021" w:rsidRPr="00F4664E">
        <w:rPr>
          <w:rFonts w:eastAsia="Times New Roman" w:cs="Times New Roman"/>
          <w:sz w:val="28"/>
          <w:szCs w:val="20"/>
          <w:lang w:eastAsia="uk-UA"/>
        </w:rPr>
        <w:t xml:space="preserve"> кіст шиї ембріонального походження на 6, 9 та 12 місяць післяопераційного періоду / </w:t>
      </w:r>
      <w:r w:rsidR="00541021" w:rsidRPr="00F4664E">
        <w:rPr>
          <w:rFonts w:eastAsia="Times New Roman" w:cs="Times New Roman"/>
          <w:b/>
          <w:sz w:val="28"/>
          <w:szCs w:val="20"/>
          <w:lang w:eastAsia="uk-UA"/>
        </w:rPr>
        <w:t>Л.Р. Криничко</w:t>
      </w:r>
      <w:r w:rsidR="00541021" w:rsidRPr="00F4664E">
        <w:rPr>
          <w:rFonts w:eastAsia="Times New Roman" w:cs="Times New Roman"/>
          <w:sz w:val="28"/>
          <w:szCs w:val="20"/>
          <w:lang w:eastAsia="uk-UA"/>
        </w:rPr>
        <w:t xml:space="preserve"> // </w:t>
      </w:r>
      <w:r w:rsidR="00932579" w:rsidRPr="00F4664E">
        <w:rPr>
          <w:rFonts w:eastAsia="Times New Roman" w:cs="Times New Roman"/>
          <w:sz w:val="28"/>
          <w:szCs w:val="20"/>
          <w:lang w:eastAsia="uk-UA"/>
        </w:rPr>
        <w:t xml:space="preserve">Актуальні проблеми сучасної медицини : Вісник УМСА. – 2018. – Т. 18., Вип. </w:t>
      </w:r>
      <w:r w:rsidR="000E6FB8" w:rsidRPr="00F4664E">
        <w:rPr>
          <w:rFonts w:eastAsia="Times New Roman" w:cs="Times New Roman"/>
          <w:sz w:val="28"/>
          <w:szCs w:val="20"/>
          <w:lang w:eastAsia="uk-UA"/>
        </w:rPr>
        <w:t>3 (63). – С. 219</w:t>
      </w:r>
      <w:r w:rsidR="00932579" w:rsidRPr="00F4664E">
        <w:rPr>
          <w:rFonts w:eastAsia="Times New Roman" w:cs="Times New Roman"/>
          <w:sz w:val="28"/>
          <w:szCs w:val="20"/>
          <w:lang w:eastAsia="uk-UA"/>
        </w:rPr>
        <w:t>-2</w:t>
      </w:r>
      <w:r w:rsidR="000E6FB8" w:rsidRPr="00F4664E">
        <w:rPr>
          <w:rFonts w:eastAsia="Times New Roman" w:cs="Times New Roman"/>
          <w:sz w:val="28"/>
          <w:szCs w:val="20"/>
          <w:lang w:eastAsia="uk-UA"/>
        </w:rPr>
        <w:t>22</w:t>
      </w:r>
      <w:r w:rsidR="00932579" w:rsidRPr="00F4664E">
        <w:rPr>
          <w:rFonts w:eastAsia="Times New Roman" w:cs="Times New Roman"/>
          <w:sz w:val="28"/>
          <w:szCs w:val="20"/>
          <w:lang w:eastAsia="uk-UA"/>
        </w:rPr>
        <w:t>.</w:t>
      </w:r>
    </w:p>
    <w:p w:rsidR="007139F7" w:rsidRPr="00F4664E" w:rsidRDefault="007139F7" w:rsidP="007139F7">
      <w:pPr>
        <w:numPr>
          <w:ilvl w:val="0"/>
          <w:numId w:val="1"/>
        </w:numPr>
        <w:spacing w:after="0" w:line="360" w:lineRule="auto"/>
        <w:contextualSpacing/>
        <w:jc w:val="both"/>
        <w:rPr>
          <w:rFonts w:eastAsia="Times New Roman" w:cs="Times New Roman"/>
          <w:sz w:val="28"/>
          <w:szCs w:val="20"/>
          <w:lang w:eastAsia="uk-UA"/>
        </w:rPr>
      </w:pPr>
      <w:r w:rsidRPr="00F4664E">
        <w:rPr>
          <w:rFonts w:eastAsia="Times New Roman" w:cs="Times New Roman"/>
          <w:sz w:val="28"/>
          <w:szCs w:val="20"/>
          <w:lang w:eastAsia="uk-UA"/>
        </w:rPr>
        <w:lastRenderedPageBreak/>
        <w:t xml:space="preserve">Аналіз динаміки клінічних змін рубцевозмінених тканин після хірургічного лікування бранхіогенних кіст у хронологічному аспекті / </w:t>
      </w:r>
      <w:r w:rsidRPr="00F4664E">
        <w:rPr>
          <w:rFonts w:eastAsia="Times New Roman" w:cs="Times New Roman"/>
          <w:sz w:val="28"/>
          <w:szCs w:val="28"/>
          <w:lang w:eastAsia="uk-UA"/>
        </w:rPr>
        <w:t xml:space="preserve">С.М. Григоров, </w:t>
      </w:r>
      <w:r w:rsidRPr="00F4664E">
        <w:rPr>
          <w:rFonts w:eastAsia="Times New Roman" w:cs="Times New Roman"/>
          <w:b/>
          <w:sz w:val="28"/>
          <w:szCs w:val="28"/>
          <w:lang w:eastAsia="uk-UA"/>
        </w:rPr>
        <w:t>Л.Р. Криничко</w:t>
      </w:r>
      <w:r w:rsidRPr="00F4664E">
        <w:rPr>
          <w:rFonts w:eastAsia="Times New Roman" w:cs="Times New Roman"/>
          <w:sz w:val="28"/>
          <w:szCs w:val="28"/>
          <w:lang w:eastAsia="uk-UA"/>
        </w:rPr>
        <w:t>, С.О. Ставицький</w:t>
      </w:r>
      <w:r w:rsidR="00F4664E" w:rsidRPr="00F4664E">
        <w:rPr>
          <w:rFonts w:eastAsia="Times New Roman" w:cs="Times New Roman"/>
          <w:sz w:val="28"/>
          <w:szCs w:val="28"/>
          <w:lang w:eastAsia="uk-UA"/>
        </w:rPr>
        <w:t>,</w:t>
      </w:r>
      <w:r w:rsidRPr="00F4664E">
        <w:rPr>
          <w:rFonts w:eastAsia="Times New Roman" w:cs="Times New Roman"/>
          <w:sz w:val="28"/>
          <w:szCs w:val="28"/>
          <w:lang w:eastAsia="uk-UA"/>
        </w:rPr>
        <w:t xml:space="preserve"> </w:t>
      </w:r>
      <w:r w:rsidR="00F4664E" w:rsidRPr="00F4664E">
        <w:rPr>
          <w:sz w:val="28"/>
          <w:szCs w:val="28"/>
        </w:rPr>
        <w:t>Бойко І. В., Труфанова В.П</w:t>
      </w:r>
      <w:r w:rsidR="00F4664E" w:rsidRPr="00F4664E">
        <w:t>.</w:t>
      </w:r>
      <w:r w:rsidRPr="00F4664E">
        <w:rPr>
          <w:rFonts w:eastAsia="Times New Roman" w:cs="Times New Roman"/>
          <w:sz w:val="28"/>
          <w:szCs w:val="20"/>
          <w:lang w:eastAsia="uk-UA"/>
        </w:rPr>
        <w:t>// Клінічна хірургія. – 2018. – Т. 85 (№6). – С. 33-35.</w:t>
      </w:r>
    </w:p>
    <w:p w:rsidR="007139F7" w:rsidRPr="00F4664E" w:rsidRDefault="007139F7" w:rsidP="007139F7">
      <w:pPr>
        <w:numPr>
          <w:ilvl w:val="0"/>
          <w:numId w:val="1"/>
        </w:numPr>
        <w:spacing w:after="0" w:line="360" w:lineRule="auto"/>
        <w:contextualSpacing/>
        <w:jc w:val="both"/>
        <w:rPr>
          <w:rFonts w:eastAsia="Times New Roman" w:cs="Times New Roman"/>
          <w:sz w:val="28"/>
          <w:szCs w:val="20"/>
          <w:lang w:eastAsia="uk-UA"/>
        </w:rPr>
      </w:pPr>
      <w:r w:rsidRPr="00F4664E">
        <w:rPr>
          <w:rFonts w:eastAsia="Times New Roman" w:cs="Times New Roman"/>
          <w:sz w:val="28"/>
          <w:szCs w:val="20"/>
          <w:lang w:eastAsia="uk-UA"/>
        </w:rPr>
        <w:t xml:space="preserve">The Dynamics of Changes of Indicators of Products of Peroxide Lipid Oxidation in the Homogenates of Scarring Tissues in Different Terms of the Postoperative Period / </w:t>
      </w:r>
      <w:r w:rsidRPr="00F4664E">
        <w:rPr>
          <w:rFonts w:eastAsia="Times New Roman" w:cs="Times New Roman"/>
          <w:b/>
          <w:sz w:val="28"/>
          <w:szCs w:val="20"/>
          <w:lang w:eastAsia="uk-UA"/>
        </w:rPr>
        <w:t>L.R. Krynychko</w:t>
      </w:r>
      <w:r w:rsidRPr="00F4664E">
        <w:rPr>
          <w:rFonts w:eastAsia="Times New Roman" w:cs="Times New Roman"/>
          <w:sz w:val="28"/>
          <w:szCs w:val="20"/>
          <w:lang w:eastAsia="uk-UA"/>
        </w:rPr>
        <w:t>, S.M. Grygorov, K.P. Lokes, O.O. Rozkolupa // Intermedical journal. – 2018. – Vol. 1 (11). – P. 50-54.</w:t>
      </w:r>
    </w:p>
    <w:p w:rsidR="007139F7" w:rsidRPr="00F4664E" w:rsidRDefault="007139F7" w:rsidP="007139F7">
      <w:pPr>
        <w:numPr>
          <w:ilvl w:val="0"/>
          <w:numId w:val="1"/>
        </w:numPr>
        <w:spacing w:after="0" w:line="360" w:lineRule="auto"/>
        <w:contextualSpacing/>
        <w:jc w:val="both"/>
        <w:rPr>
          <w:rFonts w:eastAsia="Times New Roman" w:cs="Times New Roman"/>
          <w:sz w:val="28"/>
          <w:szCs w:val="28"/>
          <w:lang w:eastAsia="uk-UA"/>
        </w:rPr>
      </w:pPr>
      <w:r w:rsidRPr="00F4664E">
        <w:rPr>
          <w:rFonts w:eastAsia="Times New Roman" w:cs="Times New Roman"/>
          <w:sz w:val="28"/>
          <w:szCs w:val="28"/>
          <w:lang w:eastAsia="uk-UA"/>
        </w:rPr>
        <w:t xml:space="preserve">Гістотопографічні особливості регенеративних процесів, що відбуваються в шкірі шиї на 3-й місяць післяопераційного періоду / </w:t>
      </w:r>
      <w:r w:rsidRPr="00F4664E">
        <w:rPr>
          <w:rFonts w:eastAsia="Times New Roman" w:cs="Times New Roman"/>
          <w:b/>
          <w:sz w:val="28"/>
          <w:szCs w:val="28"/>
          <w:lang w:eastAsia="uk-UA"/>
        </w:rPr>
        <w:t>Л.Р. Криничко</w:t>
      </w:r>
      <w:r w:rsidRPr="00F4664E">
        <w:rPr>
          <w:rFonts w:eastAsia="Times New Roman" w:cs="Times New Roman"/>
          <w:sz w:val="28"/>
          <w:szCs w:val="28"/>
          <w:lang w:eastAsia="uk-UA"/>
        </w:rPr>
        <w:t>, С.М. Григоров, С.О. Ставицький</w:t>
      </w:r>
      <w:r w:rsidR="00F4664E" w:rsidRPr="00F4664E">
        <w:rPr>
          <w:rFonts w:eastAsia="Times New Roman" w:cs="Times New Roman"/>
          <w:sz w:val="28"/>
          <w:szCs w:val="28"/>
          <w:lang w:eastAsia="uk-UA"/>
        </w:rPr>
        <w:t>,</w:t>
      </w:r>
      <w:r w:rsidRPr="00F4664E">
        <w:rPr>
          <w:rFonts w:eastAsia="Times New Roman" w:cs="Times New Roman"/>
          <w:sz w:val="28"/>
          <w:szCs w:val="28"/>
          <w:lang w:eastAsia="uk-UA"/>
        </w:rPr>
        <w:t xml:space="preserve"> </w:t>
      </w:r>
      <w:r w:rsidR="00F4664E" w:rsidRPr="00F4664E">
        <w:rPr>
          <w:sz w:val="28"/>
          <w:szCs w:val="28"/>
        </w:rPr>
        <w:t xml:space="preserve">К.П.Локес, О.О. Розколупа </w:t>
      </w:r>
      <w:r w:rsidRPr="00F4664E">
        <w:rPr>
          <w:rFonts w:eastAsia="Times New Roman" w:cs="Times New Roman"/>
          <w:sz w:val="28"/>
          <w:szCs w:val="28"/>
          <w:lang w:eastAsia="uk-UA"/>
        </w:rPr>
        <w:t>// Вісник проблем біології і медицини. – 2018. – Bип. 2(144). – С. 315-319.</w:t>
      </w:r>
    </w:p>
    <w:p w:rsidR="007139F7" w:rsidRPr="009C0600" w:rsidRDefault="007139F7" w:rsidP="007139F7">
      <w:pPr>
        <w:numPr>
          <w:ilvl w:val="0"/>
          <w:numId w:val="1"/>
        </w:numPr>
        <w:spacing w:after="0" w:line="360" w:lineRule="auto"/>
        <w:contextualSpacing/>
        <w:jc w:val="both"/>
        <w:rPr>
          <w:rFonts w:eastAsia="Times New Roman" w:cs="Times New Roman"/>
          <w:sz w:val="28"/>
          <w:szCs w:val="20"/>
          <w:lang w:eastAsia="uk-UA"/>
        </w:rPr>
      </w:pPr>
      <w:r w:rsidRPr="009C0600">
        <w:rPr>
          <w:rFonts w:eastAsia="Times New Roman" w:cs="Times New Roman"/>
          <w:sz w:val="28"/>
          <w:szCs w:val="20"/>
          <w:lang w:eastAsia="uk-UA"/>
        </w:rPr>
        <w:t xml:space="preserve">Сучасний погляд на експериментальне і клінічне обґрунтування використання PRF у процесі репаративної регенерації шкіри / </w:t>
      </w:r>
      <w:r w:rsidRPr="009C0600">
        <w:rPr>
          <w:rFonts w:eastAsia="Times New Roman" w:cs="Times New Roman"/>
          <w:b/>
          <w:sz w:val="28"/>
          <w:szCs w:val="20"/>
          <w:lang w:eastAsia="uk-UA"/>
        </w:rPr>
        <w:t>Л.Р. Криничко</w:t>
      </w:r>
      <w:r w:rsidRPr="009C0600">
        <w:rPr>
          <w:rFonts w:eastAsia="Times New Roman" w:cs="Times New Roman"/>
          <w:sz w:val="28"/>
          <w:szCs w:val="20"/>
          <w:lang w:eastAsia="uk-UA"/>
        </w:rPr>
        <w:t>, С.М. Григоров, Д.В. Стебловський</w:t>
      </w:r>
      <w:r w:rsidR="00F4664E" w:rsidRPr="009C0600">
        <w:rPr>
          <w:rFonts w:eastAsia="Times New Roman" w:cs="Times New Roman"/>
          <w:sz w:val="28"/>
          <w:szCs w:val="20"/>
          <w:lang w:eastAsia="uk-UA"/>
        </w:rPr>
        <w:t>,</w:t>
      </w:r>
      <w:r w:rsidRPr="009C0600">
        <w:rPr>
          <w:rFonts w:eastAsia="Times New Roman" w:cs="Times New Roman"/>
          <w:sz w:val="28"/>
          <w:szCs w:val="20"/>
          <w:lang w:eastAsia="uk-UA"/>
        </w:rPr>
        <w:t xml:space="preserve"> </w:t>
      </w:r>
      <w:r w:rsidR="00F4664E" w:rsidRPr="009C0600">
        <w:t>С.О. Ставицький, В.Д. Ахмеров</w:t>
      </w:r>
      <w:r w:rsidR="00F4664E" w:rsidRPr="009C0600">
        <w:rPr>
          <w:rFonts w:eastAsia="Times New Roman" w:cs="Times New Roman"/>
          <w:sz w:val="28"/>
          <w:szCs w:val="20"/>
          <w:lang w:eastAsia="uk-UA"/>
        </w:rPr>
        <w:t xml:space="preserve"> </w:t>
      </w:r>
      <w:r w:rsidRPr="009C0600">
        <w:rPr>
          <w:rFonts w:eastAsia="Times New Roman" w:cs="Times New Roman"/>
          <w:sz w:val="28"/>
          <w:szCs w:val="20"/>
          <w:lang w:eastAsia="uk-UA"/>
        </w:rPr>
        <w:t>// Український стоматологічний альманах. – 2018. - №2. – С. 45-48.</w:t>
      </w:r>
    </w:p>
    <w:p w:rsidR="007139F7" w:rsidRPr="009C0600" w:rsidRDefault="007139F7" w:rsidP="007139F7">
      <w:pPr>
        <w:numPr>
          <w:ilvl w:val="0"/>
          <w:numId w:val="1"/>
        </w:numPr>
        <w:spacing w:after="0" w:line="360" w:lineRule="auto"/>
        <w:contextualSpacing/>
        <w:jc w:val="both"/>
        <w:rPr>
          <w:rFonts w:eastAsia="Times New Roman" w:cs="Times New Roman"/>
          <w:sz w:val="28"/>
          <w:szCs w:val="20"/>
          <w:lang w:eastAsia="uk-UA"/>
        </w:rPr>
      </w:pPr>
      <w:r w:rsidRPr="009C0600">
        <w:rPr>
          <w:rFonts w:eastAsia="Times New Roman" w:cs="Times New Roman"/>
          <w:sz w:val="28"/>
          <w:szCs w:val="20"/>
          <w:lang w:eastAsia="uk-UA"/>
        </w:rPr>
        <w:t xml:space="preserve">Динаміка змін показників рубцевозмінених тканин на 3 місяць післяопераційного періоду / </w:t>
      </w:r>
      <w:r w:rsidRPr="009C0600">
        <w:rPr>
          <w:rFonts w:eastAsia="Times New Roman" w:cs="Times New Roman"/>
          <w:b/>
          <w:sz w:val="28"/>
          <w:szCs w:val="20"/>
          <w:lang w:eastAsia="uk-UA"/>
        </w:rPr>
        <w:t>Л.Р. Криничко</w:t>
      </w:r>
      <w:r w:rsidRPr="009C0600">
        <w:rPr>
          <w:rFonts w:eastAsia="Times New Roman" w:cs="Times New Roman"/>
          <w:sz w:val="28"/>
          <w:szCs w:val="20"/>
          <w:lang w:eastAsia="uk-UA"/>
        </w:rPr>
        <w:t xml:space="preserve">, </w:t>
      </w:r>
      <w:r w:rsidR="009C0600" w:rsidRPr="009C0600">
        <w:rPr>
          <w:rFonts w:eastAsia="Times New Roman" w:cs="Times New Roman"/>
          <w:sz w:val="28"/>
          <w:szCs w:val="20"/>
          <w:lang w:eastAsia="uk-UA"/>
        </w:rPr>
        <w:t xml:space="preserve">С.М. Григоров, С.О. Ставицький, </w:t>
      </w:r>
      <w:r w:rsidR="009C0600" w:rsidRPr="009C0600">
        <w:t>І.В. Бойко, В.Д.</w:t>
      </w:r>
      <w:r w:rsidR="009C0600" w:rsidRPr="009C0600">
        <w:rPr>
          <w:rFonts w:eastAsia="Times New Roman" w:cs="Times New Roman"/>
          <w:sz w:val="28"/>
          <w:szCs w:val="20"/>
          <w:lang w:eastAsia="uk-UA"/>
        </w:rPr>
        <w:t xml:space="preserve"> </w:t>
      </w:r>
      <w:r w:rsidR="009C0600" w:rsidRPr="009C0600">
        <w:t xml:space="preserve">Ахмеров  </w:t>
      </w:r>
      <w:r w:rsidRPr="009C0600">
        <w:rPr>
          <w:rFonts w:eastAsia="Times New Roman" w:cs="Times New Roman"/>
          <w:sz w:val="28"/>
          <w:szCs w:val="20"/>
          <w:lang w:eastAsia="uk-UA"/>
        </w:rPr>
        <w:t>// Актуальні проблеми сучасної медицини : Вісник УМСА. – 2018. – Т. 18., Вип. 2 (62). – С. 197-200.</w:t>
      </w:r>
    </w:p>
    <w:p w:rsidR="007139F7" w:rsidRPr="009C0600" w:rsidRDefault="007139F7" w:rsidP="007139F7">
      <w:pPr>
        <w:numPr>
          <w:ilvl w:val="0"/>
          <w:numId w:val="1"/>
        </w:numPr>
        <w:spacing w:after="0" w:line="360" w:lineRule="auto"/>
        <w:contextualSpacing/>
        <w:jc w:val="both"/>
        <w:rPr>
          <w:rFonts w:eastAsia="Times New Roman" w:cs="Times New Roman"/>
          <w:snapToGrid w:val="0"/>
          <w:sz w:val="28"/>
          <w:szCs w:val="20"/>
          <w:lang w:eastAsia="uk-UA"/>
        </w:rPr>
      </w:pPr>
      <w:r w:rsidRPr="009C0600">
        <w:rPr>
          <w:rFonts w:eastAsia="Times New Roman" w:cs="Times New Roman"/>
          <w:snapToGrid w:val="0"/>
          <w:sz w:val="28"/>
          <w:szCs w:val="20"/>
          <w:lang w:eastAsia="uk-UA"/>
        </w:rPr>
        <w:t xml:space="preserve">Особливості оптимізації профілактики виникнення ускладнень у хворих після хірургічного лікування кіст ембріонального походження в анатомічному аспекті. Стоматологія Придніпров’я / </w:t>
      </w:r>
      <w:r w:rsidRPr="009C0600">
        <w:rPr>
          <w:rFonts w:eastAsia="Times New Roman" w:cs="Times New Roman"/>
          <w:sz w:val="28"/>
          <w:szCs w:val="20"/>
          <w:lang w:eastAsia="uk-UA"/>
        </w:rPr>
        <w:t xml:space="preserve">С.М. Григоров, </w:t>
      </w:r>
      <w:r w:rsidRPr="009C0600">
        <w:rPr>
          <w:rFonts w:eastAsia="Times New Roman" w:cs="Times New Roman"/>
          <w:b/>
          <w:sz w:val="28"/>
          <w:szCs w:val="20"/>
          <w:lang w:eastAsia="uk-UA"/>
        </w:rPr>
        <w:t>Л.Р. Криничко</w:t>
      </w:r>
      <w:r w:rsidR="009C0600" w:rsidRPr="009C0600">
        <w:rPr>
          <w:rFonts w:eastAsia="Times New Roman" w:cs="Times New Roman"/>
          <w:sz w:val="28"/>
          <w:szCs w:val="20"/>
          <w:lang w:eastAsia="uk-UA"/>
        </w:rPr>
        <w:t xml:space="preserve">, С.О. Ставицький, </w:t>
      </w:r>
      <w:r w:rsidR="009C0600" w:rsidRPr="009C0600">
        <w:t xml:space="preserve">І.В. Яценко, Ф. Р. Криничко </w:t>
      </w:r>
      <w:r w:rsidRPr="009C0600">
        <w:rPr>
          <w:rFonts w:eastAsia="Times New Roman" w:cs="Times New Roman"/>
          <w:snapToGrid w:val="0"/>
          <w:sz w:val="28"/>
          <w:szCs w:val="20"/>
          <w:lang w:eastAsia="uk-UA"/>
        </w:rPr>
        <w:t>// Зб. наук. праць Третьої (ІІІ) міжрегіон. наук.-практ. конф. – Дніпропетровськ, Запоріжжя, 2015. – С. 51-52.</w:t>
      </w:r>
    </w:p>
    <w:p w:rsidR="007139F7" w:rsidRPr="009C0600" w:rsidRDefault="007139F7" w:rsidP="007139F7">
      <w:pPr>
        <w:numPr>
          <w:ilvl w:val="0"/>
          <w:numId w:val="1"/>
        </w:numPr>
        <w:spacing w:after="0" w:line="360" w:lineRule="auto"/>
        <w:contextualSpacing/>
        <w:jc w:val="both"/>
        <w:rPr>
          <w:rFonts w:eastAsia="Times New Roman" w:cs="Times New Roman"/>
          <w:sz w:val="28"/>
          <w:szCs w:val="20"/>
          <w:lang w:eastAsia="uk-UA"/>
        </w:rPr>
      </w:pPr>
      <w:r w:rsidRPr="009C0600">
        <w:rPr>
          <w:rFonts w:eastAsia="Times New Roman" w:cs="Times New Roman"/>
          <w:sz w:val="28"/>
          <w:szCs w:val="20"/>
          <w:lang w:eastAsia="uk-UA"/>
        </w:rPr>
        <w:t xml:space="preserve">Современный подход к хирургическому лечению и послеоперационной реабилитации пациентов с жаберными кистами шеи / С.Н. Григоров, </w:t>
      </w:r>
      <w:r w:rsidRPr="009C0600">
        <w:rPr>
          <w:rFonts w:eastAsia="Times New Roman" w:cs="Times New Roman"/>
          <w:b/>
          <w:sz w:val="28"/>
          <w:szCs w:val="20"/>
          <w:lang w:eastAsia="uk-UA"/>
        </w:rPr>
        <w:lastRenderedPageBreak/>
        <w:t>Л.Р. Криничко</w:t>
      </w:r>
      <w:r w:rsidRPr="009C0600">
        <w:rPr>
          <w:rFonts w:eastAsia="Times New Roman" w:cs="Times New Roman"/>
          <w:sz w:val="28"/>
          <w:szCs w:val="20"/>
          <w:lang w:eastAsia="uk-UA"/>
        </w:rPr>
        <w:t>, С.А. Ставицкий, Е.П. Локес // Паринские чтения 2016. Обеспечение демографической безопасности при решении актуальных вопросов хирургической стоматологии и челюстно-лицевой хирургии : Сб. трудов нац. конгресса с междунар. уч. – Минск, 2016. – С. 327-329.</w:t>
      </w:r>
    </w:p>
    <w:p w:rsidR="007139F7" w:rsidRPr="009C0600" w:rsidRDefault="007139F7" w:rsidP="007139F7">
      <w:pPr>
        <w:numPr>
          <w:ilvl w:val="0"/>
          <w:numId w:val="1"/>
        </w:numPr>
        <w:spacing w:after="0" w:line="360" w:lineRule="auto"/>
        <w:contextualSpacing/>
        <w:jc w:val="both"/>
        <w:rPr>
          <w:rFonts w:eastAsia="Times New Roman" w:cs="Times New Roman"/>
          <w:sz w:val="28"/>
          <w:szCs w:val="20"/>
          <w:lang w:eastAsia="uk-UA"/>
        </w:rPr>
      </w:pPr>
      <w:r w:rsidRPr="009C0600">
        <w:rPr>
          <w:rFonts w:eastAsia="Times New Roman" w:cs="Times New Roman"/>
          <w:sz w:val="28"/>
          <w:szCs w:val="20"/>
          <w:lang w:eastAsia="uk-UA"/>
        </w:rPr>
        <w:t xml:space="preserve">Григоров С.М. Особливості васкуляризації інтактної шкіри, в аспекті регенеративних питань / С.М. Григоров, </w:t>
      </w:r>
      <w:r w:rsidRPr="009C0600">
        <w:rPr>
          <w:rFonts w:eastAsia="Times New Roman" w:cs="Times New Roman"/>
          <w:b/>
          <w:sz w:val="28"/>
          <w:szCs w:val="20"/>
          <w:lang w:eastAsia="uk-UA"/>
        </w:rPr>
        <w:t xml:space="preserve">Л.Р. Криничко, </w:t>
      </w:r>
      <w:r w:rsidRPr="009C0600">
        <w:rPr>
          <w:rFonts w:eastAsia="Times New Roman" w:cs="Times New Roman"/>
          <w:sz w:val="28"/>
          <w:szCs w:val="20"/>
          <w:lang w:eastAsia="uk-UA"/>
        </w:rPr>
        <w:t>С.О. Ставицький // Сучасна стоматологія та щелепно-лицева хірургія : Матер. міжнарод. наук.-прак. конф. присвяч. 25-річн. створення Нац. академії мед. наук України та 40-річчю відновлення дентальної імплантації в Україні. 11 травня 2018 р. – Київ, 2018. – С. 111-112.</w:t>
      </w:r>
    </w:p>
    <w:p w:rsidR="007139F7" w:rsidRPr="009C0600" w:rsidRDefault="007139F7" w:rsidP="007139F7">
      <w:pPr>
        <w:numPr>
          <w:ilvl w:val="0"/>
          <w:numId w:val="1"/>
        </w:numPr>
        <w:spacing w:after="0" w:line="360" w:lineRule="auto"/>
        <w:contextualSpacing/>
        <w:jc w:val="both"/>
        <w:rPr>
          <w:rFonts w:eastAsia="Times New Roman" w:cs="Times New Roman"/>
          <w:sz w:val="28"/>
          <w:szCs w:val="20"/>
          <w:lang w:eastAsia="uk-UA"/>
        </w:rPr>
      </w:pPr>
      <w:r w:rsidRPr="009C0600">
        <w:rPr>
          <w:rFonts w:eastAsia="Times New Roman" w:cs="Times New Roman"/>
          <w:sz w:val="28"/>
          <w:szCs w:val="20"/>
          <w:lang w:eastAsia="uk-UA"/>
        </w:rPr>
        <w:t xml:space="preserve">Использование RGB-метода в дифференциальной диагностике патологических рубцов головы и шеи / О.П. Буханченко, Е.С. Иваницкая, И.В. Бойко, </w:t>
      </w:r>
      <w:r w:rsidRPr="009C0600">
        <w:rPr>
          <w:rFonts w:eastAsia="Times New Roman" w:cs="Times New Roman"/>
          <w:b/>
          <w:sz w:val="28"/>
          <w:szCs w:val="20"/>
          <w:lang w:eastAsia="uk-UA"/>
        </w:rPr>
        <w:t>Л.Р. Криничко</w:t>
      </w:r>
      <w:r w:rsidRPr="009C0600">
        <w:rPr>
          <w:rFonts w:eastAsia="Times New Roman" w:cs="Times New Roman"/>
          <w:sz w:val="28"/>
          <w:szCs w:val="20"/>
          <w:lang w:eastAsia="uk-UA"/>
        </w:rPr>
        <w:t xml:space="preserve"> // Перспективные решения в прогнозировании, диагностике, лечении и реабилитации заболеваний черепно-челюстно-лицевой области и шеи : Сбор. Трудов Нац. конгресса с междунар. участием «Паринские чтения 2018», Минск, 3-4 мая 2018 г. – Минск : Изд. центр МГУ. – 2018. – С. 204-207.</w:t>
      </w:r>
    </w:p>
    <w:p w:rsidR="007139F7" w:rsidRPr="009C0600" w:rsidRDefault="007139F7" w:rsidP="007139F7">
      <w:pPr>
        <w:numPr>
          <w:ilvl w:val="0"/>
          <w:numId w:val="1"/>
        </w:numPr>
        <w:spacing w:after="0" w:line="360" w:lineRule="auto"/>
        <w:contextualSpacing/>
        <w:jc w:val="both"/>
        <w:rPr>
          <w:rFonts w:eastAsia="Times New Roman" w:cs="Times New Roman"/>
          <w:sz w:val="28"/>
          <w:szCs w:val="28"/>
          <w:shd w:val="clear" w:color="auto" w:fill="FFFFFF"/>
          <w:lang w:eastAsia="uk-UA"/>
        </w:rPr>
      </w:pPr>
      <w:r w:rsidRPr="009C0600">
        <w:rPr>
          <w:rFonts w:eastAsia="Times New Roman" w:cs="Times New Roman"/>
          <w:sz w:val="28"/>
          <w:szCs w:val="28"/>
          <w:shd w:val="clear" w:color="auto" w:fill="FFFFFF"/>
          <w:lang w:eastAsia="uk-UA"/>
        </w:rPr>
        <w:t>Патент 109267 UA, МПК A61K 31/00 (2016.01) A61P 17/02 (2006.01) Спосіб інтраопераційної профілактики виникнення келоїдних та гіпертрофічних рубців шкіри при лікуванні кист шиї ембріонального походження / Григоров С. М., Криничко Л. Р., Ставицький С. О., Яценко І. В. ; заявник ВДНЗУ УМСА. — № u 2015 00026 ; заявл. 04.01.2016 ; опубл. 25.08.2016, Бюл. № 16.</w:t>
      </w:r>
    </w:p>
    <w:p w:rsidR="007139F7" w:rsidRPr="001B1A4E" w:rsidRDefault="007139F7" w:rsidP="007139F7">
      <w:pPr>
        <w:rPr>
          <w:rFonts w:eastAsia="Times New Roman" w:cs="Times New Roman"/>
          <w:color w:val="FF0000"/>
          <w:sz w:val="28"/>
          <w:szCs w:val="28"/>
          <w:shd w:val="clear" w:color="auto" w:fill="FFFFFF"/>
          <w:lang w:eastAsia="uk-UA"/>
        </w:rPr>
      </w:pPr>
      <w:r w:rsidRPr="001B1A4E">
        <w:rPr>
          <w:rFonts w:eastAsia="Times New Roman" w:cs="Times New Roman"/>
          <w:color w:val="FF0000"/>
          <w:sz w:val="28"/>
          <w:szCs w:val="28"/>
          <w:shd w:val="clear" w:color="auto" w:fill="FFFFFF"/>
          <w:lang w:eastAsia="uk-UA"/>
        </w:rPr>
        <w:br w:type="page"/>
      </w:r>
    </w:p>
    <w:p w:rsidR="007139F7" w:rsidRPr="007139F7" w:rsidRDefault="007139F7" w:rsidP="007139F7">
      <w:pPr>
        <w:spacing w:after="160" w:line="240" w:lineRule="auto"/>
        <w:jc w:val="center"/>
        <w:rPr>
          <w:rFonts w:eastAsia="Calibri" w:cs="Times New Roman"/>
          <w:b/>
          <w:sz w:val="28"/>
          <w:szCs w:val="28"/>
        </w:rPr>
      </w:pPr>
      <w:r w:rsidRPr="007139F7">
        <w:rPr>
          <w:rFonts w:eastAsia="Calibri" w:cs="Times New Roman"/>
          <w:b/>
          <w:sz w:val="28"/>
          <w:szCs w:val="28"/>
        </w:rPr>
        <w:lastRenderedPageBreak/>
        <w:t>ЗМІСТ</w:t>
      </w:r>
    </w:p>
    <w:tbl>
      <w:tblPr>
        <w:tblW w:w="9753" w:type="dxa"/>
        <w:tblInd w:w="-147" w:type="dxa"/>
        <w:tblLayout w:type="fixed"/>
        <w:tblLook w:val="04A0" w:firstRow="1" w:lastRow="0" w:firstColumn="1" w:lastColumn="0" w:noHBand="0" w:noVBand="1"/>
      </w:tblPr>
      <w:tblGrid>
        <w:gridCol w:w="993"/>
        <w:gridCol w:w="9"/>
        <w:gridCol w:w="8071"/>
        <w:gridCol w:w="680"/>
      </w:tblGrid>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АНОТАЦІЯ…………………………………………………………………….</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 xml:space="preserve">  2</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ЗМІСТ…………………………………………………………………………..</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14</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ПЕРЕЛІК УМОВНИХ СКОРОЧЕНЬ.….………………………....…….........</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17</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ВСТУП.................................................................................................................</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18</w:t>
            </w:r>
          </w:p>
        </w:tc>
      </w:tr>
      <w:tr w:rsidR="007139F7" w:rsidRPr="007139F7" w:rsidTr="007139F7">
        <w:tc>
          <w:tcPr>
            <w:tcW w:w="9073" w:type="dxa"/>
            <w:gridSpan w:val="3"/>
            <w:shd w:val="clear" w:color="auto" w:fill="auto"/>
          </w:tcPr>
          <w:p w:rsidR="007139F7" w:rsidRPr="007139F7" w:rsidRDefault="007139F7" w:rsidP="007139F7">
            <w:pPr>
              <w:shd w:val="clear" w:color="auto" w:fill="FFFFFF"/>
              <w:spacing w:after="0" w:line="360" w:lineRule="auto"/>
              <w:jc w:val="both"/>
              <w:rPr>
                <w:rFonts w:eastAsia="Times New Roman" w:cs="Times New Roman"/>
                <w:color w:val="000000"/>
                <w:szCs w:val="28"/>
                <w:lang w:eastAsia="ru-RU"/>
              </w:rPr>
            </w:pPr>
            <w:r w:rsidRPr="007139F7">
              <w:rPr>
                <w:rFonts w:eastAsia="Times New Roman" w:cs="Times New Roman"/>
                <w:color w:val="000000"/>
                <w:sz w:val="28"/>
                <w:szCs w:val="28"/>
                <w:lang w:eastAsia="ru-RU"/>
              </w:rPr>
              <w:t>РОЗДІЛ 1. СУЧАСНІ УЯВЛЕННЯ ПРО ЕТІОЛОГІЮ, ПАТОГЕНЕЗ КІСТ ШИЇ ЕМБРІОНАЛЬНОГО ПОХОДЖЕННЯ, МЕХАНІЗМИ ФОРМУВАННЯ ТА ПРОФІЛАКТИКУ ПАТОЛОГІЧНИХ РУБЦЕВОЗМІНЕНИХ ТКАНИН</w:t>
            </w:r>
          </w:p>
          <w:p w:rsidR="007139F7" w:rsidRPr="007139F7" w:rsidRDefault="007139F7" w:rsidP="007139F7">
            <w:pPr>
              <w:spacing w:after="160" w:line="360" w:lineRule="auto"/>
              <w:jc w:val="both"/>
              <w:rPr>
                <w:rFonts w:eastAsia="Calibri" w:cs="Times New Roman"/>
                <w:b/>
                <w:szCs w:val="28"/>
              </w:rPr>
            </w:pPr>
            <w:r w:rsidRPr="007139F7">
              <w:rPr>
                <w:rFonts w:eastAsia="Times New Roman" w:cs="Times New Roman"/>
                <w:color w:val="000000"/>
                <w:sz w:val="28"/>
                <w:szCs w:val="28"/>
                <w:lang w:eastAsia="ru-RU"/>
              </w:rPr>
              <w:t>(ОГЛЯД ЛІТЕРАТУРИ)……………………………………………………….</w:t>
            </w:r>
          </w:p>
        </w:tc>
        <w:tc>
          <w:tcPr>
            <w:tcW w:w="680" w:type="dxa"/>
            <w:shd w:val="clear" w:color="auto" w:fill="auto"/>
            <w:vAlign w:val="bottom"/>
          </w:tcPr>
          <w:p w:rsidR="007139F7" w:rsidRPr="007139F7" w:rsidRDefault="007139F7" w:rsidP="007139F7">
            <w:pPr>
              <w:spacing w:after="160" w:line="360" w:lineRule="auto"/>
              <w:rPr>
                <w:rFonts w:eastAsia="Calibri" w:cs="Times New Roman"/>
                <w:szCs w:val="28"/>
              </w:rPr>
            </w:pPr>
          </w:p>
          <w:p w:rsidR="007139F7" w:rsidRPr="007139F7" w:rsidRDefault="007139F7" w:rsidP="007139F7">
            <w:pPr>
              <w:spacing w:line="360" w:lineRule="auto"/>
              <w:rPr>
                <w:rFonts w:eastAsia="Calibri" w:cs="Times New Roman"/>
                <w:szCs w:val="28"/>
              </w:rPr>
            </w:pPr>
          </w:p>
          <w:p w:rsidR="007139F7" w:rsidRPr="007139F7" w:rsidRDefault="00AF3716" w:rsidP="007139F7">
            <w:pPr>
              <w:spacing w:line="360" w:lineRule="auto"/>
              <w:rPr>
                <w:rFonts w:eastAsia="Calibri" w:cs="Times New Roman"/>
                <w:szCs w:val="28"/>
              </w:rPr>
            </w:pPr>
            <w:r>
              <w:rPr>
                <w:rFonts w:eastAsia="Calibri" w:cs="Times New Roman"/>
                <w:sz w:val="28"/>
                <w:szCs w:val="28"/>
              </w:rPr>
              <w:t>25</w:t>
            </w:r>
          </w:p>
        </w:tc>
      </w:tr>
      <w:tr w:rsidR="007139F7" w:rsidRPr="007139F7" w:rsidTr="007139F7">
        <w:tc>
          <w:tcPr>
            <w:tcW w:w="993" w:type="dxa"/>
            <w:shd w:val="clear" w:color="auto" w:fill="auto"/>
            <w:vAlign w:val="center"/>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1.1</w:t>
            </w:r>
          </w:p>
          <w:p w:rsidR="007139F7" w:rsidRPr="007139F7" w:rsidRDefault="007139F7" w:rsidP="007139F7">
            <w:pPr>
              <w:spacing w:after="0" w:line="360" w:lineRule="auto"/>
              <w:rPr>
                <w:rFonts w:eastAsia="Calibri" w:cs="Times New Roman"/>
                <w:szCs w:val="28"/>
              </w:rPr>
            </w:pP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Кісти шиї ембріонального походження. Етіопатогенез, класифікації, клінічні прояви, лікування………………………..….</w:t>
            </w:r>
          </w:p>
        </w:tc>
        <w:tc>
          <w:tcPr>
            <w:tcW w:w="680" w:type="dxa"/>
            <w:shd w:val="clear" w:color="auto" w:fill="auto"/>
            <w:vAlign w:val="center"/>
          </w:tcPr>
          <w:p w:rsidR="007139F7" w:rsidRPr="007139F7" w:rsidRDefault="00AF3716" w:rsidP="007139F7">
            <w:pPr>
              <w:spacing w:after="0" w:line="360" w:lineRule="auto"/>
              <w:rPr>
                <w:rFonts w:eastAsia="Calibri" w:cs="Times New Roman"/>
                <w:szCs w:val="28"/>
              </w:rPr>
            </w:pPr>
            <w:r>
              <w:rPr>
                <w:rFonts w:eastAsia="Calibri" w:cs="Times New Roman"/>
                <w:sz w:val="28"/>
                <w:szCs w:val="28"/>
              </w:rPr>
              <w:t>25</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1.2</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Види рубцевої тканини, механізми їх формування………………..</w:t>
            </w:r>
          </w:p>
        </w:tc>
        <w:tc>
          <w:tcPr>
            <w:tcW w:w="680" w:type="dxa"/>
            <w:shd w:val="clear" w:color="auto" w:fill="auto"/>
          </w:tcPr>
          <w:p w:rsidR="007139F7" w:rsidRPr="007139F7" w:rsidRDefault="00AF3716" w:rsidP="007139F7">
            <w:pPr>
              <w:spacing w:after="0" w:line="360" w:lineRule="auto"/>
              <w:rPr>
                <w:rFonts w:eastAsia="Calibri" w:cs="Times New Roman"/>
                <w:szCs w:val="28"/>
              </w:rPr>
            </w:pPr>
            <w:r>
              <w:rPr>
                <w:rFonts w:eastAsia="Calibri" w:cs="Times New Roman"/>
                <w:sz w:val="28"/>
                <w:szCs w:val="28"/>
              </w:rPr>
              <w:t>30</w:t>
            </w:r>
          </w:p>
        </w:tc>
      </w:tr>
      <w:tr w:rsidR="007139F7" w:rsidRPr="007139F7" w:rsidTr="007139F7">
        <w:trPr>
          <w:trHeight w:val="523"/>
        </w:trPr>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1.3</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Механізми корекції патологічних рубців шкіри…………………...</w:t>
            </w:r>
          </w:p>
        </w:tc>
        <w:tc>
          <w:tcPr>
            <w:tcW w:w="680" w:type="dxa"/>
            <w:shd w:val="clear" w:color="auto" w:fill="auto"/>
          </w:tcPr>
          <w:p w:rsidR="007139F7" w:rsidRPr="007139F7" w:rsidRDefault="00AF3716" w:rsidP="007139F7">
            <w:pPr>
              <w:spacing w:after="0" w:line="360" w:lineRule="auto"/>
              <w:rPr>
                <w:rFonts w:eastAsia="Calibri" w:cs="Times New Roman"/>
                <w:szCs w:val="28"/>
              </w:rPr>
            </w:pPr>
            <w:r>
              <w:rPr>
                <w:rFonts w:eastAsia="Calibri" w:cs="Times New Roman"/>
                <w:sz w:val="28"/>
                <w:szCs w:val="28"/>
              </w:rPr>
              <w:t>38</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1.4</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Експериментальне та клінічне обгрунтування використання PRF у процесах репаративної регенерації……………………………….</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AF3716" w:rsidP="007139F7">
            <w:pPr>
              <w:spacing w:after="0" w:line="360" w:lineRule="auto"/>
              <w:rPr>
                <w:rFonts w:eastAsia="Calibri" w:cs="Times New Roman"/>
                <w:szCs w:val="28"/>
              </w:rPr>
            </w:pPr>
            <w:r>
              <w:rPr>
                <w:rFonts w:eastAsia="Calibri" w:cs="Times New Roman"/>
                <w:sz w:val="28"/>
                <w:szCs w:val="28"/>
              </w:rPr>
              <w:t>41</w:t>
            </w:r>
          </w:p>
        </w:tc>
      </w:tr>
      <w:tr w:rsidR="007139F7" w:rsidRPr="007139F7" w:rsidTr="007139F7">
        <w:tc>
          <w:tcPr>
            <w:tcW w:w="9073" w:type="dxa"/>
            <w:gridSpan w:val="3"/>
            <w:shd w:val="clear" w:color="auto" w:fill="auto"/>
          </w:tcPr>
          <w:p w:rsidR="007139F7" w:rsidRPr="007139F7" w:rsidRDefault="007139F7" w:rsidP="007139F7">
            <w:pPr>
              <w:spacing w:before="240" w:line="360" w:lineRule="auto"/>
              <w:rPr>
                <w:rFonts w:eastAsia="Calibri" w:cs="Times New Roman"/>
                <w:szCs w:val="28"/>
              </w:rPr>
            </w:pPr>
            <w:r w:rsidRPr="007139F7">
              <w:rPr>
                <w:rFonts w:eastAsia="Calibri" w:cs="Times New Roman"/>
                <w:sz w:val="28"/>
                <w:szCs w:val="28"/>
              </w:rPr>
              <w:t>РОЗДІЛ 2.  МАТЕРІАЛ ТА МЕТОДИ ДОСЛІДЖЕННЯ ………………….</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AF3716" w:rsidP="007139F7">
            <w:pPr>
              <w:spacing w:after="0" w:line="360" w:lineRule="auto"/>
              <w:rPr>
                <w:rFonts w:eastAsia="Calibri" w:cs="Times New Roman"/>
                <w:szCs w:val="28"/>
              </w:rPr>
            </w:pPr>
            <w:r>
              <w:rPr>
                <w:rFonts w:eastAsia="Calibri" w:cs="Times New Roman"/>
                <w:sz w:val="28"/>
                <w:szCs w:val="28"/>
              </w:rPr>
              <w:t>50</w:t>
            </w:r>
          </w:p>
        </w:tc>
      </w:tr>
      <w:tr w:rsidR="007139F7" w:rsidRPr="007139F7" w:rsidTr="007139F7">
        <w:trPr>
          <w:trHeight w:val="533"/>
        </w:trPr>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2.1</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Загальна характеристика контингенту хворих……………………..</w:t>
            </w:r>
          </w:p>
        </w:tc>
        <w:tc>
          <w:tcPr>
            <w:tcW w:w="680" w:type="dxa"/>
            <w:shd w:val="clear" w:color="auto" w:fill="auto"/>
          </w:tcPr>
          <w:p w:rsidR="007139F7" w:rsidRPr="007139F7" w:rsidRDefault="00AF3716" w:rsidP="007139F7">
            <w:pPr>
              <w:spacing w:after="0" w:line="360" w:lineRule="auto"/>
              <w:rPr>
                <w:rFonts w:eastAsia="Calibri" w:cs="Times New Roman"/>
                <w:szCs w:val="28"/>
              </w:rPr>
            </w:pPr>
            <w:r>
              <w:rPr>
                <w:rFonts w:eastAsia="Calibri" w:cs="Times New Roman"/>
                <w:sz w:val="28"/>
                <w:szCs w:val="28"/>
              </w:rPr>
              <w:t>50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2.2</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Клінічні дослідження………………………………………………...</w:t>
            </w:r>
          </w:p>
        </w:tc>
        <w:tc>
          <w:tcPr>
            <w:tcW w:w="680" w:type="dxa"/>
            <w:shd w:val="clear" w:color="auto" w:fill="auto"/>
          </w:tcPr>
          <w:p w:rsidR="007139F7" w:rsidRPr="007139F7" w:rsidRDefault="00AF3716" w:rsidP="007139F7">
            <w:pPr>
              <w:spacing w:after="0" w:line="360" w:lineRule="auto"/>
              <w:rPr>
                <w:rFonts w:eastAsia="Calibri" w:cs="Times New Roman"/>
                <w:szCs w:val="28"/>
              </w:rPr>
            </w:pPr>
            <w:r>
              <w:rPr>
                <w:rFonts w:eastAsia="Calibri" w:cs="Times New Roman"/>
                <w:sz w:val="28"/>
                <w:szCs w:val="28"/>
              </w:rPr>
              <w:t>52</w:t>
            </w:r>
          </w:p>
        </w:tc>
      </w:tr>
      <w:tr w:rsidR="007139F7" w:rsidRPr="007139F7" w:rsidTr="007139F7">
        <w:trPr>
          <w:trHeight w:val="1002"/>
        </w:trPr>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2.3</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Опис складових використаних препаратів та методика їх введення з метою профілактики утворення післяопераційних патологічних рубців…………………………………………………………………</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p>
          <w:p w:rsidR="007139F7" w:rsidRPr="007139F7" w:rsidRDefault="00AF3716" w:rsidP="007139F7">
            <w:pPr>
              <w:spacing w:after="0" w:line="360" w:lineRule="auto"/>
              <w:rPr>
                <w:rFonts w:eastAsia="Calibri" w:cs="Times New Roman"/>
                <w:szCs w:val="28"/>
              </w:rPr>
            </w:pPr>
            <w:r>
              <w:rPr>
                <w:rFonts w:eastAsia="Calibri" w:cs="Times New Roman"/>
                <w:sz w:val="28"/>
                <w:szCs w:val="28"/>
              </w:rPr>
              <w:t>53</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2.4</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Методики гістотопографічного та імуногістохімічного дослідження…………………………………………………………..</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55</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2.5</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Методики біохімічних досліджень………………………………….</w:t>
            </w:r>
          </w:p>
        </w:tc>
        <w:tc>
          <w:tcPr>
            <w:tcW w:w="680" w:type="dxa"/>
            <w:shd w:val="clear" w:color="auto" w:fill="auto"/>
          </w:tcPr>
          <w:p w:rsidR="007139F7" w:rsidRPr="007139F7" w:rsidRDefault="00AF3716" w:rsidP="007139F7">
            <w:pPr>
              <w:spacing w:after="0" w:line="360" w:lineRule="auto"/>
              <w:rPr>
                <w:rFonts w:eastAsia="Calibri" w:cs="Times New Roman"/>
                <w:szCs w:val="28"/>
              </w:rPr>
            </w:pPr>
            <w:r>
              <w:rPr>
                <w:rFonts w:eastAsia="Calibri" w:cs="Times New Roman"/>
                <w:sz w:val="28"/>
                <w:szCs w:val="28"/>
              </w:rPr>
              <w:t>57</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2.6</w:t>
            </w:r>
          </w:p>
        </w:tc>
        <w:tc>
          <w:tcPr>
            <w:tcW w:w="8080" w:type="dxa"/>
            <w:gridSpan w:val="2"/>
            <w:shd w:val="clear" w:color="auto" w:fill="auto"/>
          </w:tcPr>
          <w:p w:rsidR="007139F7" w:rsidRPr="007139F7" w:rsidRDefault="007139F7" w:rsidP="007139F7">
            <w:pPr>
              <w:spacing w:after="0" w:line="360" w:lineRule="auto"/>
              <w:rPr>
                <w:rFonts w:eastAsia="Calibri" w:cs="Times New Roman"/>
                <w:bCs/>
                <w:szCs w:val="28"/>
              </w:rPr>
            </w:pPr>
            <w:r w:rsidRPr="007139F7">
              <w:rPr>
                <w:rFonts w:eastAsia="Calibri" w:cs="Times New Roman"/>
                <w:bCs/>
                <w:sz w:val="28"/>
                <w:szCs w:val="28"/>
              </w:rPr>
              <w:t>Статистична обробка результатів власних досліджень……………</w:t>
            </w:r>
          </w:p>
        </w:tc>
        <w:tc>
          <w:tcPr>
            <w:tcW w:w="680"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59</w:t>
            </w:r>
          </w:p>
        </w:tc>
      </w:tr>
      <w:tr w:rsidR="007139F7" w:rsidRPr="007139F7" w:rsidTr="007139F7">
        <w:tc>
          <w:tcPr>
            <w:tcW w:w="9073" w:type="dxa"/>
            <w:gridSpan w:val="3"/>
            <w:shd w:val="clear" w:color="auto" w:fill="auto"/>
          </w:tcPr>
          <w:p w:rsidR="007139F7" w:rsidRPr="007139F7" w:rsidRDefault="007139F7" w:rsidP="007139F7">
            <w:pPr>
              <w:spacing w:before="240" w:after="160" w:line="360" w:lineRule="auto"/>
              <w:rPr>
                <w:rFonts w:eastAsia="Calibri" w:cs="Times New Roman"/>
                <w:b/>
                <w:szCs w:val="28"/>
              </w:rPr>
            </w:pPr>
            <w:r w:rsidRPr="007139F7">
              <w:rPr>
                <w:rFonts w:eastAsia="Calibri" w:cs="Times New Roman"/>
                <w:sz w:val="28"/>
                <w:szCs w:val="28"/>
              </w:rPr>
              <w:lastRenderedPageBreak/>
              <w:t xml:space="preserve">РОЗДІЛ 3. </w:t>
            </w:r>
            <w:r w:rsidRPr="007139F7">
              <w:rPr>
                <w:rFonts w:eastAsia="Calibri" w:cs="Times New Roman"/>
                <w:b/>
                <w:sz w:val="28"/>
                <w:szCs w:val="28"/>
              </w:rPr>
              <w:t xml:space="preserve"> </w:t>
            </w:r>
            <w:r w:rsidRPr="007139F7">
              <w:rPr>
                <w:rFonts w:eastAsia="Calibri" w:cs="Times New Roman"/>
                <w:sz w:val="28"/>
                <w:szCs w:val="28"/>
              </w:rPr>
              <w:t>АНАЛІЗ ДИНАМІКИ КЛІНІЧНИХ ЗМІН У РУБЦЕВОЗМІНЕНИХ ТКАНИНАХ У РІЗНІ ТЕРМІНИ ПІСЛЯОПЕРАЦІЙНОГО ПЕРІОДУ…………………………………………</w:t>
            </w:r>
          </w:p>
        </w:tc>
        <w:tc>
          <w:tcPr>
            <w:tcW w:w="680" w:type="dxa"/>
            <w:shd w:val="clear" w:color="auto" w:fill="auto"/>
          </w:tcPr>
          <w:p w:rsidR="007139F7" w:rsidRPr="007139F7" w:rsidRDefault="007139F7" w:rsidP="007139F7">
            <w:pPr>
              <w:spacing w:before="240" w:after="160" w:line="360" w:lineRule="auto"/>
              <w:rPr>
                <w:rFonts w:eastAsia="Calibri" w:cs="Times New Roman"/>
                <w:szCs w:val="28"/>
              </w:rPr>
            </w:pPr>
          </w:p>
          <w:p w:rsidR="007139F7" w:rsidRPr="007139F7" w:rsidRDefault="007139F7" w:rsidP="007139F7">
            <w:pPr>
              <w:spacing w:before="240" w:after="160" w:line="360" w:lineRule="auto"/>
              <w:rPr>
                <w:rFonts w:eastAsia="Calibri" w:cs="Times New Roman"/>
                <w:szCs w:val="28"/>
              </w:rPr>
            </w:pPr>
            <w:r w:rsidRPr="007139F7">
              <w:rPr>
                <w:rFonts w:eastAsia="Calibri" w:cs="Times New Roman"/>
                <w:sz w:val="28"/>
                <w:szCs w:val="28"/>
              </w:rPr>
              <w:t>61</w:t>
            </w:r>
          </w:p>
        </w:tc>
      </w:tr>
      <w:tr w:rsidR="007139F7" w:rsidRPr="007139F7" w:rsidTr="007139F7">
        <w:tc>
          <w:tcPr>
            <w:tcW w:w="1002"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3.1</w:t>
            </w:r>
          </w:p>
          <w:p w:rsidR="007139F7" w:rsidRPr="007139F7" w:rsidRDefault="007139F7" w:rsidP="007139F7">
            <w:pPr>
              <w:spacing w:after="0" w:line="360" w:lineRule="auto"/>
              <w:rPr>
                <w:rFonts w:eastAsia="Calibri" w:cs="Times New Roman"/>
                <w:szCs w:val="28"/>
              </w:rPr>
            </w:pPr>
          </w:p>
        </w:tc>
        <w:tc>
          <w:tcPr>
            <w:tcW w:w="8071"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Опис авторської методики інтраопераційної профілактики утворення патологічних рубцевозмінених тканин шкіри після хірургічного лікування кіст шиї ембріонального походження……</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61</w:t>
            </w:r>
          </w:p>
        </w:tc>
      </w:tr>
      <w:tr w:rsidR="007139F7" w:rsidRPr="007139F7" w:rsidTr="007139F7">
        <w:tc>
          <w:tcPr>
            <w:tcW w:w="1002"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3.2</w:t>
            </w:r>
          </w:p>
          <w:p w:rsidR="007139F7" w:rsidRPr="007139F7" w:rsidRDefault="007139F7" w:rsidP="007139F7">
            <w:pPr>
              <w:spacing w:after="0" w:line="360" w:lineRule="auto"/>
              <w:rPr>
                <w:rFonts w:eastAsia="Calibri" w:cs="Times New Roman"/>
                <w:szCs w:val="28"/>
              </w:rPr>
            </w:pPr>
          </w:p>
        </w:tc>
        <w:tc>
          <w:tcPr>
            <w:tcW w:w="8071" w:type="dxa"/>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Зміни клінічних показників рубцевозмінених тканин на 3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64</w:t>
            </w:r>
          </w:p>
        </w:tc>
      </w:tr>
      <w:tr w:rsidR="007139F7" w:rsidRPr="007139F7" w:rsidTr="007139F7">
        <w:tc>
          <w:tcPr>
            <w:tcW w:w="1002" w:type="dxa"/>
            <w:gridSpan w:val="2"/>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3.3</w:t>
            </w:r>
          </w:p>
        </w:tc>
        <w:tc>
          <w:tcPr>
            <w:tcW w:w="8071" w:type="dxa"/>
            <w:shd w:val="clear" w:color="auto" w:fill="auto"/>
          </w:tcPr>
          <w:p w:rsidR="007139F7" w:rsidRPr="007139F7" w:rsidRDefault="007139F7" w:rsidP="007139F7">
            <w:pPr>
              <w:spacing w:after="0" w:line="360" w:lineRule="auto"/>
              <w:jc w:val="both"/>
              <w:rPr>
                <w:rFonts w:eastAsia="Calibri" w:cs="Times New Roman"/>
                <w:szCs w:val="28"/>
              </w:rPr>
            </w:pPr>
          </w:p>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Зміни клінічних показників рубцевозмінених тканин на 6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68</w:t>
            </w:r>
          </w:p>
        </w:tc>
      </w:tr>
      <w:tr w:rsidR="007139F7" w:rsidRPr="007139F7" w:rsidTr="007139F7">
        <w:tc>
          <w:tcPr>
            <w:tcW w:w="1002"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3.4</w:t>
            </w:r>
          </w:p>
          <w:p w:rsidR="007139F7" w:rsidRPr="007139F7" w:rsidRDefault="007139F7" w:rsidP="007139F7">
            <w:pPr>
              <w:spacing w:after="0" w:line="360" w:lineRule="auto"/>
              <w:rPr>
                <w:rFonts w:eastAsia="Calibri" w:cs="Times New Roman"/>
                <w:szCs w:val="28"/>
              </w:rPr>
            </w:pPr>
          </w:p>
        </w:tc>
        <w:tc>
          <w:tcPr>
            <w:tcW w:w="8071" w:type="dxa"/>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Зміни клінічних показників рубцевозмінених тканин на 9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71</w:t>
            </w:r>
          </w:p>
        </w:tc>
      </w:tr>
      <w:tr w:rsidR="007139F7" w:rsidRPr="007139F7" w:rsidTr="007139F7">
        <w:tc>
          <w:tcPr>
            <w:tcW w:w="1002" w:type="dxa"/>
            <w:gridSpan w:val="2"/>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3.5</w:t>
            </w:r>
          </w:p>
        </w:tc>
        <w:tc>
          <w:tcPr>
            <w:tcW w:w="8071"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Зміни клінічних показників рубцевозмінених тканин на 12 місяць після 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75</w:t>
            </w:r>
          </w:p>
        </w:tc>
      </w:tr>
      <w:tr w:rsidR="007139F7" w:rsidRPr="007139F7" w:rsidTr="007139F7">
        <w:tc>
          <w:tcPr>
            <w:tcW w:w="9073" w:type="dxa"/>
            <w:gridSpan w:val="3"/>
            <w:shd w:val="clear" w:color="auto" w:fill="auto"/>
          </w:tcPr>
          <w:p w:rsidR="007139F7" w:rsidRPr="007139F7" w:rsidRDefault="007139F7" w:rsidP="007139F7">
            <w:pPr>
              <w:spacing w:before="240" w:after="160" w:line="360" w:lineRule="auto"/>
              <w:jc w:val="both"/>
              <w:rPr>
                <w:rFonts w:eastAsia="Calibri" w:cs="Times New Roman"/>
                <w:b/>
                <w:szCs w:val="28"/>
              </w:rPr>
            </w:pPr>
            <w:r w:rsidRPr="007139F7">
              <w:rPr>
                <w:rFonts w:eastAsia="Calibri" w:cs="Times New Roman"/>
                <w:sz w:val="28"/>
                <w:szCs w:val="28"/>
              </w:rPr>
              <w:t>РОЗДІ 4. ОСОБЛИВОСТІ ГІСТОТОПОГРАФІЇ РУБЦІВ ШКІРИ НА РІЗНИХ ЕТАПАХ ПІСЛЯОПЕРАЦІЙНОГО ПЕРІОДУ…………………...</w:t>
            </w:r>
          </w:p>
        </w:tc>
        <w:tc>
          <w:tcPr>
            <w:tcW w:w="680" w:type="dxa"/>
            <w:shd w:val="clear" w:color="auto" w:fill="auto"/>
          </w:tcPr>
          <w:p w:rsidR="007139F7" w:rsidRPr="007139F7" w:rsidRDefault="007139F7" w:rsidP="007139F7">
            <w:pPr>
              <w:spacing w:after="160" w:line="360" w:lineRule="auto"/>
              <w:rPr>
                <w:rFonts w:eastAsia="Calibri" w:cs="Times New Roman"/>
                <w:szCs w:val="28"/>
              </w:rPr>
            </w:pPr>
          </w:p>
          <w:p w:rsidR="007139F7" w:rsidRPr="007139F7" w:rsidRDefault="00E4651D" w:rsidP="007139F7">
            <w:pPr>
              <w:spacing w:after="160" w:line="360" w:lineRule="auto"/>
              <w:rPr>
                <w:rFonts w:eastAsia="Calibri" w:cs="Times New Roman"/>
                <w:szCs w:val="28"/>
              </w:rPr>
            </w:pPr>
            <w:r>
              <w:rPr>
                <w:rFonts w:eastAsia="Calibri" w:cs="Times New Roman"/>
                <w:sz w:val="28"/>
                <w:szCs w:val="28"/>
              </w:rPr>
              <w:t>80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4.1</w:t>
            </w:r>
          </w:p>
          <w:p w:rsidR="007139F7" w:rsidRPr="007139F7" w:rsidRDefault="007139F7" w:rsidP="007139F7">
            <w:pPr>
              <w:spacing w:after="0" w:line="360" w:lineRule="auto"/>
              <w:rPr>
                <w:rFonts w:eastAsia="Calibri" w:cs="Times New Roman"/>
                <w:szCs w:val="28"/>
              </w:rPr>
            </w:pP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Особливості морфологічної будови рубцевозмінених тканин на 3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E4651D" w:rsidP="007139F7">
            <w:pPr>
              <w:spacing w:after="0" w:line="360" w:lineRule="auto"/>
              <w:rPr>
                <w:rFonts w:eastAsia="Calibri" w:cs="Times New Roman"/>
                <w:szCs w:val="28"/>
              </w:rPr>
            </w:pPr>
            <w:r>
              <w:rPr>
                <w:rFonts w:eastAsia="Calibri" w:cs="Times New Roman"/>
                <w:sz w:val="28"/>
                <w:szCs w:val="28"/>
              </w:rPr>
              <w:t>80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4.2</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Особливості морфологічної будови рубцевозмінених тканин на 6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E4651D" w:rsidP="007139F7">
            <w:pPr>
              <w:spacing w:after="0" w:line="360" w:lineRule="auto"/>
              <w:rPr>
                <w:rFonts w:eastAsia="Calibri" w:cs="Times New Roman"/>
                <w:szCs w:val="28"/>
              </w:rPr>
            </w:pPr>
            <w:r>
              <w:rPr>
                <w:rFonts w:eastAsia="Calibri" w:cs="Times New Roman"/>
                <w:sz w:val="28"/>
                <w:szCs w:val="28"/>
              </w:rPr>
              <w:t>93</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4.3</w:t>
            </w:r>
          </w:p>
          <w:p w:rsidR="007139F7" w:rsidRPr="007139F7" w:rsidRDefault="007139F7" w:rsidP="007139F7">
            <w:pPr>
              <w:spacing w:after="0" w:line="360" w:lineRule="auto"/>
              <w:rPr>
                <w:rFonts w:eastAsia="Calibri" w:cs="Times New Roman"/>
                <w:szCs w:val="28"/>
              </w:rPr>
            </w:pP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Особливості морфологічної будови рубцевозмінених тканин на 9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E4651D" w:rsidP="007139F7">
            <w:pPr>
              <w:spacing w:after="0" w:line="360" w:lineRule="auto"/>
              <w:rPr>
                <w:rFonts w:eastAsia="Calibri" w:cs="Times New Roman"/>
                <w:szCs w:val="28"/>
              </w:rPr>
            </w:pPr>
            <w:r>
              <w:rPr>
                <w:rFonts w:eastAsia="Calibri" w:cs="Times New Roman"/>
                <w:sz w:val="28"/>
                <w:szCs w:val="28"/>
              </w:rPr>
              <w:t>101</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4.4</w:t>
            </w:r>
          </w:p>
          <w:p w:rsidR="007139F7" w:rsidRPr="007139F7" w:rsidRDefault="007139F7" w:rsidP="007139F7">
            <w:pPr>
              <w:spacing w:after="0" w:line="360" w:lineRule="auto"/>
              <w:rPr>
                <w:rFonts w:eastAsia="Calibri" w:cs="Times New Roman"/>
                <w:szCs w:val="28"/>
              </w:rPr>
            </w:pP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Особливості морфологічної будови рубцевозмінених тканин на 12 місяць післяопераційного періоду……………………………….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E4651D" w:rsidP="007139F7">
            <w:pPr>
              <w:spacing w:after="0" w:line="360" w:lineRule="auto"/>
              <w:rPr>
                <w:rFonts w:eastAsia="Calibri" w:cs="Times New Roman"/>
                <w:szCs w:val="28"/>
              </w:rPr>
            </w:pPr>
            <w:r>
              <w:rPr>
                <w:rFonts w:eastAsia="Calibri" w:cs="Times New Roman"/>
                <w:sz w:val="28"/>
                <w:szCs w:val="28"/>
              </w:rPr>
              <w:t>105</w:t>
            </w:r>
          </w:p>
        </w:tc>
      </w:tr>
      <w:tr w:rsidR="007139F7" w:rsidRPr="007139F7" w:rsidTr="007139F7">
        <w:tc>
          <w:tcPr>
            <w:tcW w:w="9073" w:type="dxa"/>
            <w:gridSpan w:val="3"/>
            <w:shd w:val="clear" w:color="auto" w:fill="auto"/>
          </w:tcPr>
          <w:p w:rsidR="007139F7" w:rsidRPr="007139F7" w:rsidRDefault="007139F7" w:rsidP="007139F7">
            <w:pPr>
              <w:spacing w:before="240" w:after="0" w:line="360" w:lineRule="auto"/>
              <w:jc w:val="both"/>
              <w:rPr>
                <w:rFonts w:eastAsia="Calibri" w:cs="Times New Roman"/>
                <w:szCs w:val="28"/>
              </w:rPr>
            </w:pPr>
            <w:r w:rsidRPr="007139F7">
              <w:rPr>
                <w:rFonts w:eastAsia="Calibri" w:cs="Times New Roman"/>
                <w:sz w:val="28"/>
                <w:szCs w:val="28"/>
              </w:rPr>
              <w:lastRenderedPageBreak/>
              <w:t xml:space="preserve">РОЗДІЛ 5. </w:t>
            </w:r>
            <w:r w:rsidR="00E4651D" w:rsidRPr="00E4651D">
              <w:rPr>
                <w:rFonts w:eastAsia="Times New Roman" w:cs="Times New Roman"/>
                <w:sz w:val="28"/>
                <w:szCs w:val="28"/>
              </w:rPr>
              <w:t>РЕЗУЛЬТАТИ ПОРІВНЯННЯ ЗМІН БІОХІМІЧНИХ ПОКАЗНИКІВ У ГОМОГЕНАТАХ РУБЦЕВОЗМІНЕНИХ ТКАНИН В РІЗНІ ТЕРМІНИ ПІСЛЯОПЕРАЦІЙНОГО ПЕРІОДУ</w:t>
            </w:r>
            <w:r w:rsidR="00E4651D" w:rsidRPr="007139F7">
              <w:rPr>
                <w:rFonts w:eastAsia="Calibri" w:cs="Times New Roman"/>
                <w:sz w:val="28"/>
                <w:szCs w:val="28"/>
              </w:rPr>
              <w:t xml:space="preserve"> </w:t>
            </w:r>
            <w:r w:rsidRPr="007139F7">
              <w:rPr>
                <w:rFonts w:eastAsia="Calibri" w:cs="Times New Roman"/>
                <w:sz w:val="28"/>
                <w:szCs w:val="28"/>
              </w:rPr>
              <w:t>…..</w:t>
            </w:r>
          </w:p>
        </w:tc>
        <w:tc>
          <w:tcPr>
            <w:tcW w:w="680" w:type="dxa"/>
            <w:shd w:val="clear" w:color="auto" w:fill="auto"/>
          </w:tcPr>
          <w:p w:rsidR="007139F7" w:rsidRPr="007139F7" w:rsidRDefault="007139F7" w:rsidP="007139F7">
            <w:pPr>
              <w:spacing w:before="240" w:after="0" w:line="360" w:lineRule="auto"/>
              <w:jc w:val="both"/>
              <w:rPr>
                <w:rFonts w:eastAsia="Calibri" w:cs="Times New Roman"/>
                <w:szCs w:val="28"/>
              </w:rPr>
            </w:pPr>
          </w:p>
          <w:p w:rsidR="007139F7" w:rsidRPr="007139F7" w:rsidRDefault="00E4651D" w:rsidP="007139F7">
            <w:pPr>
              <w:spacing w:before="240" w:after="0" w:line="360" w:lineRule="auto"/>
              <w:jc w:val="both"/>
              <w:rPr>
                <w:rFonts w:eastAsia="Calibri" w:cs="Times New Roman"/>
                <w:szCs w:val="28"/>
              </w:rPr>
            </w:pPr>
            <w:r>
              <w:rPr>
                <w:rFonts w:eastAsia="Calibri" w:cs="Times New Roman"/>
                <w:sz w:val="28"/>
                <w:szCs w:val="28"/>
              </w:rPr>
              <w:t>110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5.1</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Динаміка змін показників продукції активних форм оксигену………………………………………………………………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7139F7" w:rsidP="00E4651D">
            <w:pPr>
              <w:spacing w:after="0" w:line="360" w:lineRule="auto"/>
              <w:rPr>
                <w:rFonts w:eastAsia="Calibri" w:cs="Times New Roman"/>
                <w:szCs w:val="28"/>
              </w:rPr>
            </w:pPr>
            <w:r w:rsidRPr="007139F7">
              <w:rPr>
                <w:rFonts w:eastAsia="Calibri" w:cs="Times New Roman"/>
                <w:sz w:val="28"/>
                <w:szCs w:val="28"/>
              </w:rPr>
              <w:t>11</w:t>
            </w:r>
            <w:r w:rsidR="00E4651D">
              <w:rPr>
                <w:rFonts w:eastAsia="Calibri" w:cs="Times New Roman"/>
                <w:sz w:val="28"/>
                <w:szCs w:val="28"/>
              </w:rPr>
              <w:t>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5.2</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Динаміка змін показників пероксидного окиснення ліпідів………</w:t>
            </w:r>
          </w:p>
        </w:tc>
        <w:tc>
          <w:tcPr>
            <w:tcW w:w="680" w:type="dxa"/>
            <w:shd w:val="clear" w:color="auto" w:fill="auto"/>
          </w:tcPr>
          <w:p w:rsidR="007139F7" w:rsidRPr="007139F7" w:rsidRDefault="00E4651D" w:rsidP="007139F7">
            <w:pPr>
              <w:spacing w:after="0" w:line="360" w:lineRule="auto"/>
              <w:rPr>
                <w:rFonts w:eastAsia="Calibri" w:cs="Times New Roman"/>
                <w:szCs w:val="28"/>
              </w:rPr>
            </w:pPr>
            <w:r>
              <w:rPr>
                <w:rFonts w:eastAsia="Calibri" w:cs="Times New Roman"/>
                <w:sz w:val="28"/>
                <w:szCs w:val="28"/>
              </w:rPr>
              <w:t>112</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5.3</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Динаміка змін показників вільнорадикального окислення білків…………………………………………………………………</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E4651D" w:rsidP="007139F7">
            <w:pPr>
              <w:spacing w:after="0" w:line="360" w:lineRule="auto"/>
              <w:rPr>
                <w:rFonts w:eastAsia="Calibri" w:cs="Times New Roman"/>
                <w:szCs w:val="28"/>
              </w:rPr>
            </w:pPr>
            <w:r>
              <w:rPr>
                <w:rFonts w:eastAsia="Calibri" w:cs="Times New Roman"/>
                <w:sz w:val="28"/>
                <w:szCs w:val="28"/>
              </w:rPr>
              <w:t>120</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5.4</w:t>
            </w:r>
          </w:p>
        </w:tc>
        <w:tc>
          <w:tcPr>
            <w:tcW w:w="8080" w:type="dxa"/>
            <w:gridSpan w:val="2"/>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Динаміка змін показників регенераторних  процесів…………….</w:t>
            </w:r>
          </w:p>
        </w:tc>
        <w:tc>
          <w:tcPr>
            <w:tcW w:w="680" w:type="dxa"/>
            <w:shd w:val="clear" w:color="auto" w:fill="auto"/>
          </w:tcPr>
          <w:p w:rsidR="007139F7" w:rsidRPr="007139F7" w:rsidRDefault="00263EEB" w:rsidP="007139F7">
            <w:pPr>
              <w:spacing w:after="0" w:line="360" w:lineRule="auto"/>
              <w:rPr>
                <w:rFonts w:eastAsia="Calibri" w:cs="Times New Roman"/>
                <w:szCs w:val="28"/>
              </w:rPr>
            </w:pPr>
            <w:r>
              <w:rPr>
                <w:rFonts w:eastAsia="Calibri" w:cs="Times New Roman"/>
                <w:sz w:val="28"/>
                <w:szCs w:val="28"/>
              </w:rPr>
              <w:t>126</w:t>
            </w:r>
          </w:p>
        </w:tc>
      </w:tr>
      <w:tr w:rsidR="007139F7" w:rsidRPr="007139F7" w:rsidTr="007139F7">
        <w:tc>
          <w:tcPr>
            <w:tcW w:w="993" w:type="dxa"/>
            <w:shd w:val="clear" w:color="auto" w:fill="auto"/>
          </w:tcPr>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5.5</w:t>
            </w:r>
          </w:p>
        </w:tc>
        <w:tc>
          <w:tcPr>
            <w:tcW w:w="8080" w:type="dxa"/>
            <w:gridSpan w:val="2"/>
            <w:shd w:val="clear" w:color="auto" w:fill="auto"/>
          </w:tcPr>
          <w:p w:rsidR="007139F7" w:rsidRPr="007139F7" w:rsidRDefault="007139F7" w:rsidP="007139F7">
            <w:pPr>
              <w:spacing w:after="0" w:line="360" w:lineRule="auto"/>
              <w:jc w:val="both"/>
              <w:rPr>
                <w:rFonts w:eastAsia="Calibri" w:cs="Times New Roman"/>
                <w:szCs w:val="28"/>
              </w:rPr>
            </w:pPr>
            <w:r w:rsidRPr="007139F7">
              <w:rPr>
                <w:rFonts w:eastAsia="Calibri" w:cs="Times New Roman"/>
                <w:sz w:val="28"/>
                <w:szCs w:val="28"/>
              </w:rPr>
              <w:t>Динаміка змін показників запалення, мікробного обсіменіння та неспецифічного імунітету…………………………………………</w:t>
            </w:r>
          </w:p>
        </w:tc>
        <w:tc>
          <w:tcPr>
            <w:tcW w:w="680" w:type="dxa"/>
            <w:shd w:val="clear" w:color="auto" w:fill="auto"/>
          </w:tcPr>
          <w:p w:rsidR="007139F7" w:rsidRPr="007139F7" w:rsidRDefault="007139F7" w:rsidP="007139F7">
            <w:pPr>
              <w:spacing w:after="0" w:line="360" w:lineRule="auto"/>
              <w:rPr>
                <w:rFonts w:eastAsia="Calibri" w:cs="Times New Roman"/>
                <w:szCs w:val="28"/>
              </w:rPr>
            </w:pPr>
          </w:p>
          <w:p w:rsidR="007139F7" w:rsidRPr="007139F7" w:rsidRDefault="00263EEB" w:rsidP="007139F7">
            <w:pPr>
              <w:spacing w:after="0" w:line="360" w:lineRule="auto"/>
              <w:rPr>
                <w:rFonts w:eastAsia="Calibri" w:cs="Times New Roman"/>
                <w:szCs w:val="28"/>
              </w:rPr>
            </w:pPr>
            <w:r>
              <w:rPr>
                <w:rFonts w:eastAsia="Calibri" w:cs="Times New Roman"/>
                <w:sz w:val="28"/>
                <w:szCs w:val="28"/>
              </w:rPr>
              <w:t>136</w:t>
            </w:r>
          </w:p>
        </w:tc>
      </w:tr>
      <w:tr w:rsidR="007139F7" w:rsidRPr="007139F7" w:rsidTr="007139F7">
        <w:tc>
          <w:tcPr>
            <w:tcW w:w="9073" w:type="dxa"/>
            <w:gridSpan w:val="3"/>
            <w:shd w:val="clear" w:color="auto" w:fill="auto"/>
          </w:tcPr>
          <w:p w:rsidR="007139F7" w:rsidRPr="007139F7" w:rsidRDefault="007139F7" w:rsidP="007139F7">
            <w:pPr>
              <w:spacing w:before="240" w:line="360" w:lineRule="auto"/>
              <w:rPr>
                <w:rFonts w:eastAsia="Calibri" w:cs="Times New Roman"/>
                <w:szCs w:val="28"/>
              </w:rPr>
            </w:pPr>
            <w:r w:rsidRPr="007139F7">
              <w:rPr>
                <w:rFonts w:eastAsia="Calibri" w:cs="Times New Roman"/>
                <w:sz w:val="28"/>
                <w:szCs w:val="28"/>
              </w:rPr>
              <w:t>РОЗДІЛ 6. АНАЛІЗ І УЗАГАЛЬНЕННЯ РЕЗУЛЬТАТІВ ДОСЛІДЖЕННЯ………………………………………………………………</w:t>
            </w:r>
          </w:p>
        </w:tc>
        <w:tc>
          <w:tcPr>
            <w:tcW w:w="680" w:type="dxa"/>
            <w:shd w:val="clear" w:color="auto" w:fill="auto"/>
            <w:vAlign w:val="center"/>
          </w:tcPr>
          <w:p w:rsidR="007139F7" w:rsidRPr="007139F7" w:rsidRDefault="007139F7" w:rsidP="007139F7">
            <w:pPr>
              <w:spacing w:after="0" w:line="360" w:lineRule="auto"/>
              <w:rPr>
                <w:rFonts w:eastAsia="Calibri" w:cs="Times New Roman"/>
                <w:szCs w:val="28"/>
              </w:rPr>
            </w:pPr>
          </w:p>
          <w:p w:rsidR="007139F7" w:rsidRPr="007139F7" w:rsidRDefault="007139F7" w:rsidP="007139F7">
            <w:pPr>
              <w:spacing w:after="0" w:line="360" w:lineRule="auto"/>
              <w:rPr>
                <w:rFonts w:eastAsia="Calibri" w:cs="Times New Roman"/>
                <w:szCs w:val="28"/>
              </w:rPr>
            </w:pPr>
            <w:r w:rsidRPr="007139F7">
              <w:rPr>
                <w:rFonts w:eastAsia="Calibri" w:cs="Times New Roman"/>
                <w:sz w:val="28"/>
                <w:szCs w:val="28"/>
              </w:rPr>
              <w:t>142</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ВИСНОВКИ........................................................................................................</w:t>
            </w:r>
          </w:p>
        </w:tc>
        <w:tc>
          <w:tcPr>
            <w:tcW w:w="680" w:type="dxa"/>
            <w:shd w:val="clear" w:color="auto" w:fill="auto"/>
          </w:tcPr>
          <w:p w:rsidR="007139F7" w:rsidRPr="007139F7" w:rsidRDefault="00D758D5" w:rsidP="007139F7">
            <w:pPr>
              <w:spacing w:after="160" w:line="360" w:lineRule="auto"/>
              <w:rPr>
                <w:rFonts w:eastAsia="Calibri" w:cs="Times New Roman"/>
                <w:szCs w:val="28"/>
              </w:rPr>
            </w:pPr>
            <w:r>
              <w:rPr>
                <w:rFonts w:eastAsia="Calibri" w:cs="Times New Roman"/>
                <w:sz w:val="28"/>
                <w:szCs w:val="28"/>
              </w:rPr>
              <w:t>164</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ПРАКТИЧНІ РЕКОМЕНДАЦІЇ........................................................................</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167</w:t>
            </w:r>
          </w:p>
        </w:tc>
      </w:tr>
      <w:tr w:rsidR="007139F7" w:rsidRPr="007139F7" w:rsidTr="007139F7">
        <w:tc>
          <w:tcPr>
            <w:tcW w:w="9073" w:type="dxa"/>
            <w:gridSpan w:val="3"/>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СПИСОК ВИКОРИСТАНИХ ДЖЕРЕЛ...................................................</w:t>
            </w:r>
          </w:p>
        </w:tc>
        <w:tc>
          <w:tcPr>
            <w:tcW w:w="680" w:type="dxa"/>
            <w:shd w:val="clear" w:color="auto" w:fill="auto"/>
          </w:tcPr>
          <w:p w:rsidR="007139F7" w:rsidRPr="007139F7" w:rsidRDefault="007139F7" w:rsidP="007139F7">
            <w:pPr>
              <w:spacing w:after="160" w:line="360" w:lineRule="auto"/>
              <w:rPr>
                <w:rFonts w:eastAsia="Calibri" w:cs="Times New Roman"/>
                <w:szCs w:val="28"/>
              </w:rPr>
            </w:pPr>
            <w:r w:rsidRPr="007139F7">
              <w:rPr>
                <w:rFonts w:eastAsia="Calibri" w:cs="Times New Roman"/>
                <w:sz w:val="28"/>
                <w:szCs w:val="28"/>
              </w:rPr>
              <w:t>168</w:t>
            </w:r>
          </w:p>
        </w:tc>
      </w:tr>
      <w:tr w:rsidR="0016277E" w:rsidRPr="007139F7" w:rsidTr="007139F7">
        <w:tc>
          <w:tcPr>
            <w:tcW w:w="9073" w:type="dxa"/>
            <w:gridSpan w:val="3"/>
            <w:shd w:val="clear" w:color="auto" w:fill="auto"/>
          </w:tcPr>
          <w:p w:rsidR="0016277E" w:rsidRPr="007139F7" w:rsidRDefault="0016277E" w:rsidP="007139F7">
            <w:pPr>
              <w:spacing w:after="160" w:line="360" w:lineRule="auto"/>
              <w:rPr>
                <w:rFonts w:eastAsia="Calibri" w:cs="Times New Roman"/>
                <w:sz w:val="28"/>
                <w:szCs w:val="28"/>
              </w:rPr>
            </w:pPr>
            <w:r>
              <w:rPr>
                <w:rFonts w:eastAsia="Calibri" w:cs="Times New Roman"/>
                <w:sz w:val="28"/>
                <w:szCs w:val="28"/>
              </w:rPr>
              <w:t>Додаток А</w:t>
            </w:r>
          </w:p>
        </w:tc>
        <w:tc>
          <w:tcPr>
            <w:tcW w:w="680" w:type="dxa"/>
            <w:shd w:val="clear" w:color="auto" w:fill="auto"/>
          </w:tcPr>
          <w:p w:rsidR="0016277E" w:rsidRPr="007139F7" w:rsidRDefault="0016277E" w:rsidP="007139F7">
            <w:pPr>
              <w:spacing w:after="160" w:line="360" w:lineRule="auto"/>
              <w:rPr>
                <w:rFonts w:eastAsia="Calibri" w:cs="Times New Roman"/>
                <w:sz w:val="28"/>
                <w:szCs w:val="28"/>
              </w:rPr>
            </w:pPr>
            <w:r>
              <w:rPr>
                <w:rFonts w:eastAsia="Calibri" w:cs="Times New Roman"/>
                <w:sz w:val="28"/>
                <w:szCs w:val="28"/>
              </w:rPr>
              <w:t>193</w:t>
            </w:r>
          </w:p>
        </w:tc>
      </w:tr>
    </w:tbl>
    <w:p w:rsidR="007139F7" w:rsidRPr="007139F7" w:rsidRDefault="007139F7" w:rsidP="007139F7">
      <w:pPr>
        <w:rPr>
          <w:rFonts w:eastAsia="Calibri" w:cs="Times New Roman"/>
          <w:b/>
          <w:sz w:val="28"/>
          <w:szCs w:val="28"/>
        </w:rPr>
      </w:pPr>
      <w:r w:rsidRPr="007139F7">
        <w:rPr>
          <w:rFonts w:eastAsia="Calibri" w:cs="Times New Roman"/>
          <w:b/>
          <w:sz w:val="28"/>
          <w:szCs w:val="28"/>
        </w:rPr>
        <w:br w:type="page"/>
      </w:r>
    </w:p>
    <w:p w:rsidR="007139F7" w:rsidRPr="007139F7" w:rsidRDefault="007139F7" w:rsidP="007139F7">
      <w:pPr>
        <w:spacing w:after="160" w:line="259" w:lineRule="auto"/>
        <w:jc w:val="center"/>
        <w:rPr>
          <w:rFonts w:eastAsia="Calibri" w:cs="Times New Roman"/>
          <w:b/>
          <w:sz w:val="28"/>
          <w:szCs w:val="28"/>
        </w:rPr>
      </w:pPr>
      <w:r w:rsidRPr="007139F7">
        <w:rPr>
          <w:rFonts w:eastAsia="Calibri" w:cs="Times New Roman"/>
          <w:b/>
          <w:sz w:val="28"/>
          <w:szCs w:val="28"/>
        </w:rPr>
        <w:lastRenderedPageBreak/>
        <w:t>ПЕРЕЛІК УМОВНИХ СКОРОЧЕНЬ</w:t>
      </w:r>
    </w:p>
    <w:p w:rsidR="007139F7" w:rsidRPr="007139F7" w:rsidRDefault="007139F7" w:rsidP="007139F7">
      <w:pPr>
        <w:spacing w:after="160" w:line="259" w:lineRule="auto"/>
        <w:rPr>
          <w:rFonts w:eastAsia="Calibri" w:cs="Times New Roman"/>
          <w:sz w:val="28"/>
          <w:szCs w:val="28"/>
        </w:rPr>
      </w:pP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АО – антиоксидантна система</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АФК – активні форми кисню</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БГКШ – бранхіогенна кіста шиї</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БКШ – бічна кіста шиї</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ВРО – вільнорадикальне окиснення</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ГПЛ – гідроперекиси ліпідів</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ДК – дієнові кон’югати</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ДНК – дезоксирибонуклеїнова кислота</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ПОЛ – перикисне окиснення ліпідів</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ОМБ – окислювальна модифікація білків</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РНК – рибонуклеїнова кислота</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СКШ – серединна кіста шиї</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СОД – супероксиддисмутаза</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ТГКШ – тиреоглосальна кіста шиї</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ТК – трієнові кон’югати</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 xml:space="preserve">ТБК-АП – тіобарбітурова кислота – активні продукти </w:t>
      </w:r>
    </w:p>
    <w:p w:rsidR="007139F7" w:rsidRPr="007139F7" w:rsidRDefault="007139F7" w:rsidP="007139F7">
      <w:pPr>
        <w:spacing w:after="160" w:line="259" w:lineRule="auto"/>
        <w:rPr>
          <w:rFonts w:eastAsia="Calibri" w:cs="Times New Roman"/>
          <w:sz w:val="28"/>
          <w:szCs w:val="28"/>
        </w:rPr>
      </w:pPr>
      <w:r w:rsidRPr="007139F7">
        <w:rPr>
          <w:rFonts w:eastAsia="Calibri" w:cs="Times New Roman"/>
          <w:sz w:val="28"/>
          <w:szCs w:val="28"/>
        </w:rPr>
        <w:t>NO – оксид азоту</w:t>
      </w:r>
    </w:p>
    <w:p w:rsidR="007139F7" w:rsidRPr="007139F7" w:rsidRDefault="007139F7" w:rsidP="007139F7">
      <w:pPr>
        <w:rPr>
          <w:rFonts w:eastAsia="Calibri" w:cs="Times New Roman"/>
          <w:b/>
          <w:sz w:val="28"/>
          <w:szCs w:val="28"/>
        </w:rPr>
      </w:pPr>
      <w:r w:rsidRPr="007139F7">
        <w:rPr>
          <w:rFonts w:eastAsia="Calibri" w:cs="Times New Roman"/>
          <w:b/>
          <w:sz w:val="28"/>
          <w:szCs w:val="28"/>
        </w:rPr>
        <w:br w:type="page"/>
      </w:r>
    </w:p>
    <w:p w:rsidR="007139F7" w:rsidRPr="007139F7" w:rsidRDefault="007139F7" w:rsidP="007139F7">
      <w:pPr>
        <w:suppressAutoHyphens/>
        <w:spacing w:after="0" w:line="360" w:lineRule="auto"/>
        <w:ind w:firstLine="709"/>
        <w:jc w:val="center"/>
        <w:rPr>
          <w:rFonts w:eastAsia="Times New Roman" w:cs="Times New Roman"/>
          <w:b/>
          <w:bCs/>
          <w:sz w:val="28"/>
          <w:szCs w:val="28"/>
          <w:lang w:eastAsia="ar-SA"/>
        </w:rPr>
      </w:pPr>
      <w:r w:rsidRPr="007139F7">
        <w:rPr>
          <w:rFonts w:eastAsia="Times New Roman" w:cs="Times New Roman"/>
          <w:b/>
          <w:bCs/>
          <w:sz w:val="28"/>
          <w:szCs w:val="28"/>
          <w:lang w:eastAsia="ar-SA"/>
        </w:rPr>
        <w:lastRenderedPageBreak/>
        <w:t>ВСТУП</w:t>
      </w:r>
    </w:p>
    <w:p w:rsidR="007139F7" w:rsidRPr="008B2675" w:rsidRDefault="007139F7" w:rsidP="007139F7">
      <w:pPr>
        <w:suppressAutoHyphens/>
        <w:spacing w:after="0" w:line="360" w:lineRule="auto"/>
        <w:rPr>
          <w:rFonts w:eastAsia="Times New Roman" w:cs="Times New Roman"/>
          <w:b/>
          <w:bCs/>
          <w:sz w:val="28"/>
          <w:szCs w:val="28"/>
          <w:lang w:val="ru-RU" w:eastAsia="ar-SA"/>
        </w:rPr>
      </w:pP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b/>
          <w:sz w:val="28"/>
          <w:szCs w:val="28"/>
          <w:lang w:eastAsia="ar-SA"/>
        </w:rPr>
        <w:t>Актуальність теми.</w:t>
      </w:r>
      <w:r w:rsidRPr="007139F7">
        <w:rPr>
          <w:rFonts w:eastAsia="Times New Roman" w:cs="Times New Roman"/>
          <w:sz w:val="28"/>
          <w:szCs w:val="28"/>
          <w:lang w:eastAsia="ar-SA"/>
        </w:rPr>
        <w:t xml:space="preserve"> Не зважаючи на велику кількість наукових розробок та досягнень сучасної медицини стосовно встановлення причин виникнення післяопераційних патологічних рубців шкіри, ця тематика залишається актуальною для щелепно-лицевої хірургії внаслідок збільшення частоти їх виникнення та відсутності єдиної домінантної думки стосовно етіології та патогенезу. На особливу увагу заслуговують наслідки, що виникають після оперативних втручань з приводу кіст шиї ембріонального походження, оскільки, за даними багатьох авторів, вірогідність утворення атрофічних, гіпертрофічних та келоїдних рубів у ближньому та дальньому післяопераційному періодах варіює від 14% до 37% [1-3].</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Як відомо, глибина розрізу тканин при хірургічному лікуванні тіреоглосальних та бранхіогенних кіст шиї досягає судинно-нервового пучка та тіла під’язикової кістки, що є досить травматичним , а це не завжди дозволяє досягти оптимального косметичного результату. Тому пошук нових методик інтраопераційної профілактики утворення патологічних рубців шкіри при проведенні оперативних втручань у різних шарах м’яких тканин є актуальною проблемою сучасної хірургічної стоматології та щелепно-лицевої хірургії [4].</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 xml:space="preserve">Наукових робіт, що присвячені саме післяопераційній профілактиці та лікуванню патологічних рубців шкіри в літературі зустрічається досить значна кількість. Існує аргументована думка стосовно впливу глюкокортикоїдів на процеси утворення рубця. Так, за даними деяких дослідників, при нормотрофічних рубцях сумарний вміст гормонів в них складає 79% від їх оптимального рівня, а активні форми патологічних рубців становили при цьому 86%. У той час у пацієнтів, котрі мали келоїдні рубці різного ґенезу сумарний вміст гормонів становив 67,4%, а на їх частку, не зв'язану із білками, припадало лише 28,9% [3-5]. </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 xml:space="preserve">Важливу роль при виборі методик лікування рубців відіграє анатомічна локалізація, оскільки вона в значній мірі визначає їх естетичний кінцевий </w:t>
      </w:r>
      <w:r w:rsidRPr="007139F7">
        <w:rPr>
          <w:rFonts w:eastAsia="Times New Roman" w:cs="Times New Roman"/>
          <w:sz w:val="28"/>
          <w:szCs w:val="28"/>
          <w:lang w:eastAsia="ar-SA"/>
        </w:rPr>
        <w:lastRenderedPageBreak/>
        <w:t>результат у кожному конкретному випадку. Але стосовно трактування важливості впливу чисельних факторів, що приймають участь у формуванні виду рубцеутворення, більшість науковців висвітлюють у своїх публікаціях переважно клінічні спостереження, без клініко-морфологічного обґрунтування перебігу раневого процесу [4-6].</w:t>
      </w:r>
    </w:p>
    <w:p w:rsidR="007139F7" w:rsidRPr="007139F7" w:rsidRDefault="007139F7" w:rsidP="007139F7">
      <w:pPr>
        <w:suppressAutoHyphens/>
        <w:spacing w:after="0" w:line="360" w:lineRule="auto"/>
        <w:ind w:firstLine="708"/>
        <w:jc w:val="both"/>
        <w:rPr>
          <w:rFonts w:eastAsia="Times New Roman" w:cs="Times New Roman"/>
          <w:sz w:val="28"/>
          <w:szCs w:val="28"/>
          <w:lang w:eastAsia="ar-SA"/>
        </w:rPr>
      </w:pPr>
      <w:r w:rsidRPr="007139F7">
        <w:rPr>
          <w:rFonts w:eastAsia="Times New Roman" w:cs="Times New Roman"/>
          <w:sz w:val="28"/>
          <w:szCs w:val="28"/>
          <w:lang w:eastAsia="ar-SA"/>
        </w:rPr>
        <w:t>Як свідчать літературні дані, існуючі класичні та традиційні методики не в повній мірі вирішують проблему як інтра- так і післяопераційної профілактики післяопераційних патологічних рубців шкіри, особливо коли мова йде про оперативні втручання в ділянках обличчя та шиї [1, 4, 5, 7].</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Після проведення всебічного аналізу доступних вітчизняних і зарубіжних літературних джерел ми прийшли до висновку, що жодна із запропонованих на даний час схем профілактичних заходів різного спрямування не вирішують проблему утворення патологічних рубців шкіри після хірургічного лікування кіст шиї ембріонального походження, що й обумовило актуальність вибору даного напрямку наукового дослідження.</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b/>
          <w:sz w:val="28"/>
          <w:szCs w:val="28"/>
          <w:lang w:eastAsia="ar-SA"/>
        </w:rPr>
        <w:t xml:space="preserve">Зв’язок роботи з науковими програмами, планами, темами. </w:t>
      </w:r>
      <w:r w:rsidRPr="007139F7">
        <w:rPr>
          <w:rFonts w:eastAsia="Times New Roman" w:cs="Times New Roman"/>
          <w:sz w:val="28"/>
          <w:szCs w:val="28"/>
          <w:lang w:eastAsia="ar-SA"/>
        </w:rPr>
        <w:t xml:space="preserve">Дисертаційна робота є фрагментом комплексної теми кафедри хірургічної стоматології та щелепно-лицевої хірургії Харківського національного медичного університету «Характер, структура та лікування основних стоматологічних захворювань» (номер держреєстрації 0116U004975). </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Автор є безпосереднім виконавцем фрагмента зазначеної науково-дослідної теми.</w:t>
      </w:r>
    </w:p>
    <w:p w:rsidR="001174CC" w:rsidRPr="00A5191B" w:rsidRDefault="007139F7" w:rsidP="001174CC">
      <w:pPr>
        <w:pStyle w:val="ac"/>
        <w:spacing w:line="360" w:lineRule="auto"/>
        <w:jc w:val="both"/>
      </w:pPr>
      <w:r w:rsidRPr="007139F7">
        <w:rPr>
          <w:rFonts w:eastAsia="Times New Roman"/>
          <w:b/>
          <w:lang w:eastAsia="ar-SA"/>
        </w:rPr>
        <w:t xml:space="preserve">Мета </w:t>
      </w:r>
      <w:r w:rsidRPr="001174CC">
        <w:rPr>
          <w:rFonts w:eastAsia="Times New Roman"/>
          <w:b/>
          <w:lang w:eastAsia="ar-SA"/>
        </w:rPr>
        <w:t>дослідження</w:t>
      </w:r>
      <w:r w:rsidRPr="001174CC">
        <w:rPr>
          <w:rFonts w:eastAsia="Times New Roman"/>
          <w:lang w:eastAsia="ar-SA"/>
        </w:rPr>
        <w:t xml:space="preserve"> –</w:t>
      </w:r>
      <w:r w:rsidRPr="00BE51DF">
        <w:rPr>
          <w:rFonts w:eastAsia="Times New Roman"/>
          <w:color w:val="FF0000"/>
          <w:lang w:eastAsia="ar-SA"/>
        </w:rPr>
        <w:t xml:space="preserve"> </w:t>
      </w:r>
      <w:r w:rsidR="001174CC" w:rsidRPr="00935A16">
        <w:t>вдосконалення комплексу лікувально-профілактичних заходів спрямованих на запобігання утворення патологічних рубців шкіри у пацієнтів з кістами шиї ембріонального походження шляхом інтраопераційного застосування PRF-згустку та антиоксиданту в післяопераційному періоді.</w:t>
      </w:r>
    </w:p>
    <w:p w:rsidR="008B2675" w:rsidRPr="00B435B1" w:rsidRDefault="008B2675" w:rsidP="007139F7">
      <w:pPr>
        <w:suppressAutoHyphens/>
        <w:spacing w:after="0" w:line="360" w:lineRule="auto"/>
        <w:ind w:firstLine="709"/>
        <w:jc w:val="both"/>
        <w:rPr>
          <w:rFonts w:eastAsia="Times New Roman" w:cs="Times New Roman"/>
          <w:b/>
          <w:sz w:val="28"/>
          <w:szCs w:val="28"/>
          <w:lang w:eastAsia="ar-SA"/>
        </w:rPr>
      </w:pPr>
    </w:p>
    <w:p w:rsidR="007139F7" w:rsidRPr="001174CC" w:rsidRDefault="007139F7" w:rsidP="007139F7">
      <w:pPr>
        <w:suppressAutoHyphens/>
        <w:spacing w:after="0" w:line="360" w:lineRule="auto"/>
        <w:ind w:firstLine="709"/>
        <w:jc w:val="both"/>
        <w:rPr>
          <w:rFonts w:eastAsia="Times New Roman" w:cs="Times New Roman"/>
          <w:sz w:val="28"/>
          <w:szCs w:val="28"/>
          <w:lang w:eastAsia="ar-SA"/>
        </w:rPr>
      </w:pPr>
      <w:r w:rsidRPr="001174CC">
        <w:rPr>
          <w:rFonts w:eastAsia="Times New Roman" w:cs="Times New Roman"/>
          <w:b/>
          <w:sz w:val="28"/>
          <w:szCs w:val="28"/>
          <w:lang w:eastAsia="ar-SA"/>
        </w:rPr>
        <w:t>Завдання дослідження:</w:t>
      </w:r>
    </w:p>
    <w:p w:rsidR="00277037" w:rsidRPr="00014285" w:rsidRDefault="00277037" w:rsidP="00770C95">
      <w:pPr>
        <w:pStyle w:val="ac"/>
        <w:numPr>
          <w:ilvl w:val="0"/>
          <w:numId w:val="19"/>
        </w:numPr>
        <w:spacing w:line="360" w:lineRule="auto"/>
        <w:jc w:val="both"/>
      </w:pPr>
      <w:r w:rsidRPr="001174CC">
        <w:lastRenderedPageBreak/>
        <w:t>Розробити авторську методику профілактики утворення післяопераційних рубців та дослідити відмінності клінічних проявів післяопераційних рубцевозмінених</w:t>
      </w:r>
      <w:r w:rsidRPr="00014285">
        <w:t xml:space="preserve"> тканин шкіри при застосування класичної методики їх профілактики в порівнянні з авторською.</w:t>
      </w:r>
    </w:p>
    <w:p w:rsidR="00277037" w:rsidRPr="00014285" w:rsidRDefault="00277037" w:rsidP="00770C95">
      <w:pPr>
        <w:pStyle w:val="ac"/>
        <w:numPr>
          <w:ilvl w:val="0"/>
          <w:numId w:val="19"/>
        </w:numPr>
        <w:spacing w:line="360" w:lineRule="auto"/>
        <w:jc w:val="both"/>
      </w:pPr>
      <w:r w:rsidRPr="00014285">
        <w:t xml:space="preserve">Вивчити особливості морфологічної будови післяопераційних рубців шкіри за умов застосування </w:t>
      </w:r>
      <w:r w:rsidRPr="00536D58">
        <w:t>за</w:t>
      </w:r>
      <w:r w:rsidRPr="00014285">
        <w:t>пропонованої авторської методики.</w:t>
      </w:r>
    </w:p>
    <w:p w:rsidR="00277037" w:rsidRPr="00014285" w:rsidRDefault="00277037" w:rsidP="00770C95">
      <w:pPr>
        <w:pStyle w:val="ac"/>
        <w:numPr>
          <w:ilvl w:val="0"/>
          <w:numId w:val="19"/>
        </w:numPr>
        <w:spacing w:line="360" w:lineRule="auto"/>
        <w:jc w:val="both"/>
      </w:pPr>
      <w:r w:rsidRPr="00014285">
        <w:t>Вивчити динаміку змін біохімічних показників в гомогенатах післяопераційних рубців шкіри при застосуванні авторської методики їх профілактики.</w:t>
      </w:r>
    </w:p>
    <w:p w:rsidR="00277037" w:rsidRDefault="00277037" w:rsidP="00770C95">
      <w:pPr>
        <w:pStyle w:val="ac"/>
        <w:numPr>
          <w:ilvl w:val="0"/>
          <w:numId w:val="19"/>
        </w:numPr>
        <w:spacing w:line="360" w:lineRule="auto"/>
        <w:jc w:val="both"/>
      </w:pPr>
      <w:r w:rsidRPr="00014285">
        <w:t xml:space="preserve">Дослідити біохімічні аспекти регенераторних процесів рубцевозмінених тканин шкіри при використанні авторської методики за умов інтра- та постопераційної профілактики. </w:t>
      </w:r>
    </w:p>
    <w:p w:rsidR="00277037" w:rsidRDefault="00277037" w:rsidP="00770C95">
      <w:pPr>
        <w:pStyle w:val="ac"/>
        <w:numPr>
          <w:ilvl w:val="0"/>
          <w:numId w:val="19"/>
        </w:numPr>
        <w:spacing w:line="360" w:lineRule="auto"/>
        <w:jc w:val="both"/>
      </w:pPr>
      <w:r w:rsidRPr="00014285">
        <w:t>Провести порівняльну оцінку впливу на якість формування рубців, які утворюються після екстирпації кіст шиї ембріонального походження, фібринових мембран, отриманих із збагаченої тромбоцитами плазми крові та церулоплазміну, за умов їх комбінованого застосування</w:t>
      </w:r>
    </w:p>
    <w:p w:rsidR="007139F7" w:rsidRPr="00277037" w:rsidRDefault="007139F7" w:rsidP="00770C95">
      <w:pPr>
        <w:pStyle w:val="ac"/>
        <w:spacing w:line="360" w:lineRule="auto"/>
        <w:ind w:left="360" w:firstLine="348"/>
        <w:jc w:val="both"/>
      </w:pPr>
      <w:r w:rsidRPr="00277037">
        <w:rPr>
          <w:rFonts w:eastAsia="Times New Roman"/>
          <w:i/>
          <w:lang w:eastAsia="ar-SA"/>
        </w:rPr>
        <w:t>Об’єкт дослідження:</w:t>
      </w:r>
      <w:r w:rsidRPr="00277037">
        <w:rPr>
          <w:rFonts w:eastAsia="Times New Roman"/>
          <w:lang w:eastAsia="ar-SA"/>
        </w:rPr>
        <w:t xml:space="preserve"> рубцевозмінені тканини шкіри різних ділянок шиї після оперативного лікування хворих на кісти ембріонального походження.</w:t>
      </w:r>
    </w:p>
    <w:p w:rsidR="007139F7" w:rsidRPr="001174CC" w:rsidRDefault="007139F7" w:rsidP="007139F7">
      <w:pPr>
        <w:suppressAutoHyphens/>
        <w:spacing w:after="0" w:line="360" w:lineRule="auto"/>
        <w:ind w:firstLine="708"/>
        <w:jc w:val="both"/>
        <w:rPr>
          <w:rFonts w:eastAsia="Times New Roman" w:cs="Times New Roman"/>
          <w:sz w:val="28"/>
          <w:szCs w:val="28"/>
          <w:lang w:eastAsia="ar-SA"/>
        </w:rPr>
      </w:pPr>
      <w:r w:rsidRPr="007139F7">
        <w:rPr>
          <w:rFonts w:eastAsia="Times New Roman" w:cs="Times New Roman"/>
          <w:i/>
          <w:sz w:val="28"/>
          <w:szCs w:val="28"/>
          <w:lang w:eastAsia="ar-SA"/>
        </w:rPr>
        <w:t xml:space="preserve">Предмет </w:t>
      </w:r>
      <w:r w:rsidRPr="001174CC">
        <w:rPr>
          <w:rFonts w:eastAsia="Times New Roman" w:cs="Times New Roman"/>
          <w:i/>
          <w:sz w:val="28"/>
          <w:szCs w:val="28"/>
          <w:lang w:eastAsia="ar-SA"/>
        </w:rPr>
        <w:t>дослідження:</w:t>
      </w:r>
      <w:r w:rsidRPr="001174CC">
        <w:rPr>
          <w:rFonts w:eastAsia="Times New Roman" w:cs="Times New Roman"/>
          <w:sz w:val="28"/>
          <w:szCs w:val="28"/>
          <w:lang w:eastAsia="ar-SA"/>
        </w:rPr>
        <w:t xml:space="preserve"> динаміка клінічних проявів, змін морфологічної структури та біохімічних констант в післяопераційних рубцях у пацієнтів в залежності від обраної методики лікувально-профілактичних заходів.</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1174CC">
        <w:rPr>
          <w:rFonts w:eastAsia="Times New Roman" w:cs="Times New Roman"/>
          <w:b/>
          <w:sz w:val="28"/>
          <w:szCs w:val="28"/>
          <w:lang w:eastAsia="ar-SA"/>
        </w:rPr>
        <w:t xml:space="preserve">Методи дослідження. </w:t>
      </w:r>
      <w:r w:rsidRPr="001174CC">
        <w:rPr>
          <w:rFonts w:eastAsia="Times New Roman" w:cs="Times New Roman"/>
          <w:sz w:val="28"/>
          <w:szCs w:val="28"/>
          <w:lang w:eastAsia="ar-SA"/>
        </w:rPr>
        <w:t>Для досягнення поставленої</w:t>
      </w:r>
      <w:r w:rsidRPr="007139F7">
        <w:rPr>
          <w:rFonts w:eastAsia="Times New Roman" w:cs="Times New Roman"/>
          <w:sz w:val="28"/>
          <w:szCs w:val="28"/>
          <w:lang w:eastAsia="ar-SA"/>
        </w:rPr>
        <w:t xml:space="preserve"> мети були використані наступні методи:</w:t>
      </w:r>
    </w:p>
    <w:p w:rsidR="007139F7" w:rsidRPr="007139F7" w:rsidRDefault="007139F7" w:rsidP="007139F7">
      <w:pPr>
        <w:numPr>
          <w:ilvl w:val="0"/>
          <w:numId w:val="2"/>
        </w:numPr>
        <w:suppressAutoHyphens/>
        <w:spacing w:after="0" w:line="360" w:lineRule="auto"/>
        <w:jc w:val="both"/>
        <w:rPr>
          <w:rFonts w:eastAsia="Times New Roman" w:cs="Times New Roman"/>
          <w:sz w:val="28"/>
          <w:szCs w:val="28"/>
          <w:lang w:eastAsia="ar-SA"/>
        </w:rPr>
      </w:pPr>
      <w:r w:rsidRPr="007139F7">
        <w:rPr>
          <w:rFonts w:eastAsia="Times New Roman" w:cs="Times New Roman"/>
          <w:sz w:val="28"/>
          <w:szCs w:val="28"/>
          <w:lang w:eastAsia="ar-SA"/>
        </w:rPr>
        <w:t>клінічні – для вивчення динаміки клінічних змін у післяопераційних рубцях шкіри;</w:t>
      </w:r>
    </w:p>
    <w:p w:rsidR="007139F7" w:rsidRPr="007139F7" w:rsidRDefault="007139F7" w:rsidP="007139F7">
      <w:pPr>
        <w:numPr>
          <w:ilvl w:val="0"/>
          <w:numId w:val="2"/>
        </w:numPr>
        <w:suppressAutoHyphens/>
        <w:spacing w:after="0" w:line="360" w:lineRule="auto"/>
        <w:jc w:val="both"/>
        <w:rPr>
          <w:rFonts w:eastAsia="Times New Roman" w:cs="Times New Roman"/>
          <w:sz w:val="28"/>
          <w:szCs w:val="28"/>
          <w:lang w:eastAsia="ar-SA"/>
        </w:rPr>
      </w:pPr>
      <w:r w:rsidRPr="007139F7">
        <w:rPr>
          <w:rFonts w:eastAsia="Times New Roman" w:cs="Times New Roman"/>
          <w:sz w:val="28"/>
          <w:szCs w:val="28"/>
          <w:lang w:eastAsia="ar-SA"/>
        </w:rPr>
        <w:t>гісто</w:t>
      </w:r>
      <w:r w:rsidR="00536D58">
        <w:rPr>
          <w:rFonts w:eastAsia="Times New Roman" w:cs="Times New Roman"/>
          <w:sz w:val="28"/>
          <w:szCs w:val="28"/>
          <w:lang w:val="ru-RU" w:eastAsia="ar-SA"/>
        </w:rPr>
        <w:t>топографічні</w:t>
      </w:r>
      <w:r w:rsidRPr="007139F7">
        <w:rPr>
          <w:rFonts w:eastAsia="Times New Roman" w:cs="Times New Roman"/>
          <w:sz w:val="28"/>
          <w:szCs w:val="28"/>
          <w:lang w:eastAsia="ar-SA"/>
        </w:rPr>
        <w:t xml:space="preserve"> – для вивчення морфологічних особливостей будови післяопераційних рубцевозмінених тканин;</w:t>
      </w:r>
    </w:p>
    <w:p w:rsidR="007139F7" w:rsidRPr="007139F7" w:rsidRDefault="007139F7" w:rsidP="007139F7">
      <w:pPr>
        <w:numPr>
          <w:ilvl w:val="0"/>
          <w:numId w:val="2"/>
        </w:numPr>
        <w:suppressAutoHyphens/>
        <w:spacing w:after="0" w:line="360" w:lineRule="auto"/>
        <w:jc w:val="both"/>
        <w:rPr>
          <w:rFonts w:eastAsia="Times New Roman" w:cs="Times New Roman"/>
          <w:sz w:val="28"/>
          <w:szCs w:val="28"/>
          <w:lang w:eastAsia="ar-SA"/>
        </w:rPr>
      </w:pPr>
      <w:r w:rsidRPr="007139F7">
        <w:rPr>
          <w:rFonts w:eastAsia="Times New Roman" w:cs="Times New Roman"/>
          <w:sz w:val="28"/>
          <w:szCs w:val="28"/>
          <w:lang w:eastAsia="ar-SA"/>
        </w:rPr>
        <w:t>імуногістохімічні – для вивчення універсального маркера проліферативної активності Кі – 67;</w:t>
      </w:r>
    </w:p>
    <w:p w:rsidR="007139F7" w:rsidRPr="007139F7" w:rsidRDefault="007139F7" w:rsidP="007139F7">
      <w:pPr>
        <w:numPr>
          <w:ilvl w:val="0"/>
          <w:numId w:val="2"/>
        </w:numPr>
        <w:suppressAutoHyphens/>
        <w:spacing w:after="0" w:line="360" w:lineRule="auto"/>
        <w:jc w:val="both"/>
        <w:rPr>
          <w:rFonts w:eastAsia="Times New Roman" w:cs="Times New Roman"/>
          <w:sz w:val="28"/>
          <w:szCs w:val="28"/>
          <w:lang w:eastAsia="ar-SA"/>
        </w:rPr>
      </w:pPr>
      <w:r w:rsidRPr="007139F7">
        <w:rPr>
          <w:rFonts w:eastAsia="Times New Roman" w:cs="Times New Roman"/>
          <w:sz w:val="28"/>
          <w:szCs w:val="28"/>
          <w:lang w:eastAsia="ar-SA"/>
        </w:rPr>
        <w:lastRenderedPageBreak/>
        <w:t>біохімічні – для визначення вмісту показників активних форм оксигену, продуктів перекисного окислення ліпідів, маркерів регенераторних процесів та рівня неспецифічних факторів захисту;</w:t>
      </w:r>
    </w:p>
    <w:p w:rsidR="007139F7" w:rsidRPr="001174CC" w:rsidRDefault="007139F7" w:rsidP="001174CC">
      <w:pPr>
        <w:numPr>
          <w:ilvl w:val="0"/>
          <w:numId w:val="2"/>
        </w:numPr>
        <w:suppressAutoHyphens/>
        <w:spacing w:after="0" w:line="360" w:lineRule="auto"/>
        <w:jc w:val="both"/>
        <w:rPr>
          <w:rFonts w:eastAsia="Times New Roman" w:cs="Times New Roman"/>
          <w:sz w:val="28"/>
          <w:szCs w:val="28"/>
          <w:lang w:eastAsia="ar-SA"/>
        </w:rPr>
      </w:pPr>
      <w:r w:rsidRPr="007139F7">
        <w:rPr>
          <w:rFonts w:eastAsia="Times New Roman" w:cs="Times New Roman"/>
          <w:sz w:val="28"/>
          <w:szCs w:val="28"/>
          <w:lang w:eastAsia="ar-SA"/>
        </w:rPr>
        <w:t>статистичні методи обробки отриманих даних.</w:t>
      </w:r>
    </w:p>
    <w:p w:rsidR="001174CC" w:rsidRPr="001174CC" w:rsidRDefault="007139F7" w:rsidP="001174CC">
      <w:pPr>
        <w:pStyle w:val="ac"/>
        <w:spacing w:line="360" w:lineRule="auto"/>
        <w:ind w:firstLine="709"/>
        <w:jc w:val="both"/>
      </w:pPr>
      <w:r w:rsidRPr="001174CC">
        <w:rPr>
          <w:rFonts w:eastAsia="Times New Roman"/>
          <w:b/>
          <w:lang w:eastAsia="ar-SA"/>
        </w:rPr>
        <w:t>Наукова новизна отриманих результатів.</w:t>
      </w:r>
      <w:r w:rsidRPr="001174CC">
        <w:rPr>
          <w:rFonts w:eastAsia="Times New Roman"/>
          <w:lang w:eastAsia="ar-SA"/>
        </w:rPr>
        <w:t xml:space="preserve"> </w:t>
      </w:r>
      <w:r w:rsidR="001174CC" w:rsidRPr="001174CC">
        <w:t>Отримало подальший розвиток питання стосовно важливості клінічної оцінки виду формування рубця після планових оперативних втручань з приводу кіст шиї ембріонального походження, що дозволяє своєчасно спланувати застосування певного обсягу фармакологічних препаратів різних груп на етапах спостереження.</w:t>
      </w:r>
    </w:p>
    <w:p w:rsidR="001174CC" w:rsidRPr="001174CC" w:rsidRDefault="001174CC" w:rsidP="001174CC">
      <w:pPr>
        <w:pStyle w:val="ac"/>
        <w:spacing w:line="360" w:lineRule="auto"/>
        <w:ind w:firstLine="709"/>
        <w:jc w:val="both"/>
      </w:pPr>
      <w:r w:rsidRPr="001174CC">
        <w:t>Розроблено авторську методику утворення патологічних рубців шкіри при хірургічному лікування пацієнтів з кістами шиї ембріонального походження, який полягає в поетапному застосуванні PRF-згустку на інтраопераційному етапі профілактики та церулоплазміну в післяопераційному періоді</w:t>
      </w:r>
      <w:r>
        <w:t>.</w:t>
      </w:r>
      <w:r w:rsidRPr="001174CC">
        <w:t xml:space="preserve"> </w:t>
      </w:r>
    </w:p>
    <w:p w:rsidR="001174CC" w:rsidRPr="001174CC" w:rsidRDefault="001174CC" w:rsidP="001174CC">
      <w:pPr>
        <w:pStyle w:val="ac"/>
        <w:spacing w:line="360" w:lineRule="auto"/>
        <w:ind w:firstLine="708"/>
        <w:jc w:val="both"/>
      </w:pPr>
      <w:r w:rsidRPr="001174CC">
        <w:t>Вперше на мікроскопічному рівні досліджено архітектоніку післяопераційних рубцевозмінених тканин шкіри за умов застосування класичної та авторської методик профілактики при їх надмірному рості. Перевагу проведених заходів доведено вже на 6 місяць післяопераційного періоду: структура сосочків не відрізняється від інтактної дерми, а епітеліальні пласти характеризуються мономорфною картиною і однаковими розмірами. Реакція з антитілами до білку Кі-67 виявляє проліферативну активність в 20% епітеліальних клітин базального шару епідермісу і відсутність її в клітинах сполучнотканинного рубця.</w:t>
      </w:r>
    </w:p>
    <w:p w:rsidR="001174CC" w:rsidRPr="001174CC" w:rsidRDefault="001174CC" w:rsidP="001174CC">
      <w:pPr>
        <w:pStyle w:val="ac"/>
        <w:spacing w:line="360" w:lineRule="auto"/>
        <w:ind w:firstLine="708"/>
        <w:jc w:val="both"/>
      </w:pPr>
      <w:r w:rsidRPr="001174CC">
        <w:t xml:space="preserve">В роботі уточнено наукові дані щодо впливу активних форм оксигену, показників перекисного окиснення ліпідів, факторів неспецифічного імунітету та регенераторні процеси в залежності від складових компонентів, що входять до складу комплексу інтра- та післяопераційної профілактики. Встановлено, що при застосування авторської методики відсоток АФО через 3 місяці спостереження достовірно менший на 26,6 % , через 6 місяців – на 10,9 % і </w:t>
      </w:r>
      <w:r w:rsidRPr="001174CC">
        <w:lastRenderedPageBreak/>
        <w:t>через 9 місяців – на 12,2 %, стосовно даних пацієнтів контрольної групи</w:t>
      </w:r>
      <w:r w:rsidRPr="00536D58">
        <w:rPr>
          <w:lang w:val="ru-RU"/>
        </w:rPr>
        <w:t xml:space="preserve"> </w:t>
      </w:r>
      <w:r w:rsidRPr="001174CC">
        <w:rPr>
          <w:rFonts w:eastAsia="Calibri"/>
        </w:rPr>
        <w:t>(р&lt;0,05)</w:t>
      </w:r>
      <w:r w:rsidRPr="001174CC">
        <w:t>. Концентрація ДК в рубцях чер</w:t>
      </w:r>
      <w:r w:rsidR="000D495E">
        <w:t>ез 3 місяці зменшується на 38,6 %</w:t>
      </w:r>
      <w:r w:rsidRPr="001174CC">
        <w:t>, через 6– на 25,3 % і через 9– на 13,0 %, відносно групи контролю, ТБК-АП в них через 3 місяці знижується на 35,1 %, через 6 – на 27,7 % і через 9– 8,7 на %</w:t>
      </w:r>
      <w:r w:rsidRPr="00536D58">
        <w:rPr>
          <w:lang w:val="ru-RU"/>
        </w:rPr>
        <w:t xml:space="preserve"> </w:t>
      </w:r>
      <w:r w:rsidRPr="001174CC">
        <w:rPr>
          <w:rFonts w:eastAsia="Calibri"/>
        </w:rPr>
        <w:t>(р&lt;0,05).</w:t>
      </w:r>
      <w:r w:rsidRPr="001174CC">
        <w:t xml:space="preserve"> </w:t>
      </w:r>
    </w:p>
    <w:p w:rsidR="001174CC" w:rsidRPr="001174CC" w:rsidRDefault="001174CC" w:rsidP="001174CC">
      <w:pPr>
        <w:pStyle w:val="ac"/>
        <w:spacing w:line="360" w:lineRule="auto"/>
        <w:ind w:firstLine="708"/>
        <w:jc w:val="both"/>
      </w:pPr>
      <w:r w:rsidRPr="001174CC">
        <w:t xml:space="preserve">Вперше доведено біохімічні механізми, що впливають на оптимізацію регенеративних процесів та кисневодефіцитний стан на місцевому рівні, який має місце при формуванні рубцевозмінених тканин після планових оперативних втручань з приводу кіст шиї ембріонального походження в залежності від обраної методики лікувально-профілактичних заходів. Спостерігається зростання ДНК </w:t>
      </w:r>
      <w:r w:rsidRPr="001174CC">
        <w:rPr>
          <w:lang w:val="ru-RU"/>
        </w:rPr>
        <w:t xml:space="preserve">у гомогенатах рубцевозмінених тканин </w:t>
      </w:r>
      <w:r w:rsidRPr="001174CC">
        <w:t xml:space="preserve">через 3 місяці на 75,1 %, через 6 – на 31,9%, а через 9 – на 9,2% </w:t>
      </w:r>
      <w:r w:rsidRPr="001174CC">
        <w:rPr>
          <w:rFonts w:eastAsia="Calibri"/>
        </w:rPr>
        <w:t>(р&lt;0,05)</w:t>
      </w:r>
      <w:r w:rsidRPr="001174CC">
        <w:t>. Активність СОД через 3 місяці після оперативного втручання зменшується на 24,6 %, через 6 – на 16,7%, а через 9 – на 14,7%</w:t>
      </w:r>
      <w:r w:rsidRPr="00536D58">
        <w:rPr>
          <w:lang w:val="ru-RU"/>
        </w:rPr>
        <w:t xml:space="preserve"> </w:t>
      </w:r>
      <w:r w:rsidRPr="001174CC">
        <w:rPr>
          <w:rFonts w:eastAsia="Calibri"/>
        </w:rPr>
        <w:t>(р&lt;0,05)</w:t>
      </w:r>
      <w:r w:rsidRPr="001174CC">
        <w:t>.</w:t>
      </w:r>
    </w:p>
    <w:p w:rsidR="001174CC" w:rsidRPr="001174CC" w:rsidRDefault="001174CC" w:rsidP="001174CC">
      <w:pPr>
        <w:pStyle w:val="ac"/>
        <w:spacing w:line="360" w:lineRule="auto"/>
        <w:ind w:firstLine="708"/>
        <w:jc w:val="both"/>
      </w:pPr>
      <w:r w:rsidRPr="001174CC">
        <w:t>Доповнено наукові дані про вплив на якість формування післяопераційного рубця фібринових мембран, отриманих із збагаченої тромбоцитами плазми крові та церулоплазміну при монотерапії та їх комбінованому застосуванні. Доведено, що комбіноване застосування PRF-згустку та церулоплазміну, на відміну від монотерапії фібриновими мембранами, призводить до формування рубця з оптимальними функціональними і естетичними результатами, за рахунок прискорення швидкості зменшення площі рубцевозмінених тканин у цій групі пацієнтів у 1,2 рази.</w:t>
      </w:r>
    </w:p>
    <w:p w:rsidR="001174CC" w:rsidRPr="001174CC" w:rsidRDefault="007139F7" w:rsidP="001174CC">
      <w:pPr>
        <w:suppressAutoHyphens/>
        <w:spacing w:after="0" w:line="360" w:lineRule="auto"/>
        <w:ind w:firstLine="708"/>
        <w:jc w:val="both"/>
        <w:rPr>
          <w:sz w:val="28"/>
          <w:szCs w:val="28"/>
        </w:rPr>
      </w:pPr>
      <w:r w:rsidRPr="007139F7">
        <w:rPr>
          <w:rFonts w:eastAsia="Times New Roman" w:cs="Times New Roman"/>
          <w:b/>
          <w:sz w:val="28"/>
          <w:szCs w:val="28"/>
          <w:lang w:eastAsia="ar-SA"/>
        </w:rPr>
        <w:t xml:space="preserve">Практичне значення отриманих результатів. </w:t>
      </w:r>
      <w:r w:rsidR="001174CC" w:rsidRPr="001174CC">
        <w:rPr>
          <w:sz w:val="28"/>
          <w:szCs w:val="28"/>
        </w:rPr>
        <w:t>Створена морфологічна, імуногістохімічна та біохімічна доказова база ефективності комбінованого застосування фібринових мембран, отриманих із збагаченої тромбоцитами плазми крові та церулоплазміну після екстирпації кіст шиї ембріонального походження.</w:t>
      </w:r>
    </w:p>
    <w:p w:rsidR="001174CC" w:rsidRPr="001174CC" w:rsidRDefault="001174CC" w:rsidP="001174CC">
      <w:pPr>
        <w:pStyle w:val="ac"/>
        <w:spacing w:line="360" w:lineRule="auto"/>
        <w:ind w:firstLine="708"/>
        <w:jc w:val="both"/>
      </w:pPr>
      <w:r w:rsidRPr="001174CC">
        <w:t xml:space="preserve">Розроблено авторську методику інтра- та післяопераційної профілактики утворення патологічних рубцевозмінених тканин шкіри при </w:t>
      </w:r>
      <w:r w:rsidRPr="004B2A21">
        <w:lastRenderedPageBreak/>
        <w:t>лікуванні пацієнтів з серединними та бічними кістами шиї дозволяє</w:t>
      </w:r>
      <w:r w:rsidRPr="001174CC">
        <w:t xml:space="preserve"> підвищити її якість з отриманням оптимального варіанту функціонального та косметичного ефекту.</w:t>
      </w:r>
    </w:p>
    <w:p w:rsidR="001174CC" w:rsidRPr="001174CC" w:rsidRDefault="001174CC" w:rsidP="001174CC">
      <w:pPr>
        <w:suppressAutoHyphens/>
        <w:spacing w:after="0" w:line="360" w:lineRule="auto"/>
        <w:ind w:firstLine="709"/>
        <w:jc w:val="both"/>
        <w:rPr>
          <w:sz w:val="28"/>
          <w:szCs w:val="28"/>
        </w:rPr>
      </w:pPr>
      <w:r w:rsidRPr="001174CC">
        <w:rPr>
          <w:sz w:val="28"/>
          <w:szCs w:val="28"/>
        </w:rPr>
        <w:t>Результати дослідження впроваджені в клінічну практику: щелепно-лицевого відділення Полтавської обласної клінічної лікарні ім. М.В. Скліфосовського, Університетського стоматологічного центру Харківського національного медичного університету, відділення хірургічної стоматології ОКУ «Чернівецька обласна лікарня», щелепно-лицевого відділення Вінницької клінічної лікарні ім. М.І. Пірогова, щелепно-лицевого відділення міс</w:t>
      </w:r>
      <w:r w:rsidR="008F2712">
        <w:rPr>
          <w:sz w:val="28"/>
          <w:szCs w:val="28"/>
        </w:rPr>
        <w:t>ь</w:t>
      </w:r>
      <w:r w:rsidRPr="001174CC">
        <w:rPr>
          <w:sz w:val="28"/>
          <w:szCs w:val="28"/>
        </w:rPr>
        <w:t>кої клінічної лікарні швидкої медичної допомоги м. Вінниця, та використовуються в навчальному процесі на кафедрах хірургічної стоматології та щелепно-лицевої хірургії з пластичною та реконструктивною хірургією голови та шиї Української медичної стоматологічної академії, хірургічної стоматології Вінницького національного медичного університету ім. М.І. Пирогова, хірургічної стоматології та щелепно-лицевої хірургії ВДНЗУ «Буковинський державний медичний університет», хірургічної стоматології Івано-Франківського національного медичного університету</w:t>
      </w:r>
    </w:p>
    <w:p w:rsidR="007139F7" w:rsidRPr="007139F7" w:rsidRDefault="007139F7" w:rsidP="001174CC">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b/>
          <w:sz w:val="28"/>
          <w:szCs w:val="28"/>
          <w:lang w:eastAsia="ar-SA"/>
        </w:rPr>
        <w:t xml:space="preserve">Особистий внесок здобувача. </w:t>
      </w:r>
      <w:r w:rsidRPr="007139F7">
        <w:rPr>
          <w:rFonts w:eastAsia="Times New Roman" w:cs="Times New Roman"/>
          <w:sz w:val="28"/>
          <w:szCs w:val="28"/>
          <w:lang w:eastAsia="ar-SA"/>
        </w:rPr>
        <w:t>Дисертаційна робота є самостійним науковим дослідженням. Автором особисто проведено моніторинг відомих фундаментальних та періодичних наукових видань із досліджуваної теми, систематизовано інформаційно-патентний пошук.</w:t>
      </w:r>
    </w:p>
    <w:p w:rsidR="007139F7" w:rsidRPr="007139F7" w:rsidRDefault="007139F7" w:rsidP="007139F7">
      <w:pPr>
        <w:suppressAutoHyphens/>
        <w:spacing w:after="0" w:line="360" w:lineRule="auto"/>
        <w:ind w:firstLine="709"/>
        <w:jc w:val="both"/>
        <w:rPr>
          <w:rFonts w:eastAsia="Times New Roman" w:cs="Times New Roman"/>
          <w:sz w:val="28"/>
          <w:szCs w:val="28"/>
          <w:lang w:eastAsia="ar-SA"/>
        </w:rPr>
      </w:pPr>
      <w:r w:rsidRPr="007139F7">
        <w:rPr>
          <w:rFonts w:eastAsia="Times New Roman" w:cs="Times New Roman"/>
          <w:sz w:val="28"/>
          <w:szCs w:val="28"/>
          <w:lang w:eastAsia="ar-SA"/>
        </w:rPr>
        <w:t xml:space="preserve">Дисертантом, за </w:t>
      </w:r>
      <w:r w:rsidRPr="007139F7">
        <w:rPr>
          <w:rFonts w:eastAsia="Times New Roman" w:cs="Times New Roman"/>
          <w:sz w:val="28"/>
          <w:szCs w:val="28"/>
          <w:lang w:val="ru-RU" w:eastAsia="ar-SA"/>
        </w:rPr>
        <w:t>консультативної підтримки</w:t>
      </w:r>
      <w:r w:rsidRPr="007139F7">
        <w:rPr>
          <w:rFonts w:eastAsia="Times New Roman" w:cs="Times New Roman"/>
          <w:sz w:val="28"/>
          <w:szCs w:val="28"/>
          <w:lang w:eastAsia="ar-SA"/>
        </w:rPr>
        <w:t xml:space="preserve"> наукового керівника, виконано узагальнення основних теоретичних та практичних положень проведеної наукової роботи, аргументовано вибір методик обстеження, лікувальних та профілактичних заходів, проведені клінічні методи дослідження. Запатентовані та впроваджені в клінічну практику та навчальний процес спосіб інтра- та постопераційної профілактики утворення патологічних післяопераційних рубців шкіри після хірургічного лікування хворих на кісти шиї ембріонального походження. За консультативної підтримки наукового керівника написано розділи дисертації: «Аналіз і узагальнення результатів </w:t>
      </w:r>
      <w:r w:rsidRPr="007139F7">
        <w:rPr>
          <w:rFonts w:eastAsia="Times New Roman" w:cs="Times New Roman"/>
          <w:sz w:val="28"/>
          <w:szCs w:val="28"/>
          <w:lang w:eastAsia="ar-SA"/>
        </w:rPr>
        <w:lastRenderedPageBreak/>
        <w:t>дослідження», «Висновки» та «Практичні рекомендації». У публікаціях, надрукованих у співавторстві, основні ідеї та матеріали належать дисертанту.</w:t>
      </w:r>
    </w:p>
    <w:p w:rsidR="007139F7" w:rsidRPr="007139F7" w:rsidRDefault="007139F7" w:rsidP="007139F7">
      <w:pPr>
        <w:suppressAutoHyphens/>
        <w:spacing w:after="0" w:line="360" w:lineRule="auto"/>
        <w:ind w:firstLine="709"/>
        <w:jc w:val="both"/>
        <w:rPr>
          <w:rFonts w:eastAsia="Calibri" w:cs="Times New Roman"/>
          <w:sz w:val="28"/>
          <w:szCs w:val="28"/>
          <w:lang w:eastAsia="ar-SA"/>
        </w:rPr>
      </w:pPr>
      <w:r w:rsidRPr="007139F7">
        <w:rPr>
          <w:rFonts w:eastAsia="Times New Roman" w:cs="Times New Roman"/>
          <w:b/>
          <w:sz w:val="28"/>
          <w:szCs w:val="28"/>
          <w:lang w:eastAsia="ar-SA"/>
        </w:rPr>
        <w:t>Апробація результатів дослідження.</w:t>
      </w:r>
      <w:r w:rsidRPr="007139F7">
        <w:rPr>
          <w:rFonts w:eastAsia="Times New Roman" w:cs="Times New Roman"/>
          <w:sz w:val="28"/>
          <w:szCs w:val="28"/>
          <w:lang w:eastAsia="ar-SA"/>
        </w:rPr>
        <w:t xml:space="preserve"> Основні положення дисертаційної роботи доповідались на: </w:t>
      </w:r>
      <w:r w:rsidRPr="007139F7">
        <w:rPr>
          <w:rFonts w:eastAsia="Calibri" w:cs="Times New Roman"/>
          <w:sz w:val="28"/>
          <w:szCs w:val="28"/>
          <w:lang w:eastAsia="ar-SA"/>
        </w:rPr>
        <w:t>третій (ІІІ) міжрегіонарній науково-практичній конференції «Стоматологія Придніпров’я» (Дніпропетровськ, Запоріжжя, 2015 р.); науково-практичній конференції за участі міжнародних спеціалістів «Індивідуальна анатомічна мінливість органів, систем, тканин людини та її значення для практичної медицини і стоматології» (Полтава, 2016 р.); Национальном конгрессе с международным участием «Паринские чтения 2016. Обеспечение демографической безопасности при решении актиуальных вопросов хирургической стоматологии и челюстно-лицевой хирургии» (Минск, 2016 г.); обласній науково-практичній конференції «Сучасні досягнення та перспективи розвитку хірургічної стоматології та щелепно-лицевої хірургії» (Полтава, 2017 р.); науково-практичній інтернет-конференції з міжнародною участю «Актуальні проблеми сучасної клінічної анатомії та оперативної хірургії» (Полтава, 2018 р.); национальном конгрессе с международным участием «Паринские чтения 2018. Перспективные решения в прогнозировании, диагностике, лечении и реабилитации заболеваний черепно-челюстно-лицевой области и шеи» (Минск, 2018 г.).</w:t>
      </w:r>
    </w:p>
    <w:p w:rsidR="001174CC" w:rsidRPr="00A5191B" w:rsidRDefault="007139F7" w:rsidP="001174CC">
      <w:pPr>
        <w:pStyle w:val="ac"/>
        <w:spacing w:line="360" w:lineRule="auto"/>
        <w:ind w:firstLine="708"/>
        <w:jc w:val="both"/>
      </w:pPr>
      <w:r w:rsidRPr="007139F7">
        <w:rPr>
          <w:rFonts w:eastAsia="SimSun"/>
          <w:b/>
          <w:lang w:eastAsia="zh-CN"/>
        </w:rPr>
        <w:t xml:space="preserve">Публікації. </w:t>
      </w:r>
      <w:r w:rsidR="001174CC" w:rsidRPr="00A5191B">
        <w:t>За матеріалами дисе</w:t>
      </w:r>
      <w:r w:rsidR="001174CC">
        <w:t>ртаційної роботи опубліковано 13 наукових праць, серед них 8</w:t>
      </w:r>
      <w:r w:rsidR="001174CC" w:rsidRPr="00A5191B">
        <w:t xml:space="preserve"> статей − в наукових фахових виданнях</w:t>
      </w:r>
      <w:r w:rsidR="001174CC">
        <w:t xml:space="preserve">, </w:t>
      </w:r>
      <w:r w:rsidR="001174CC" w:rsidRPr="00A5191B">
        <w:t>отримано 1 п</w:t>
      </w:r>
      <w:r w:rsidR="001174CC">
        <w:t>атент України на корисну модель,</w:t>
      </w:r>
      <w:r w:rsidR="001174CC" w:rsidRPr="00A5191B">
        <w:t xml:space="preserve">  </w:t>
      </w:r>
      <w:r w:rsidR="001174CC" w:rsidRPr="0075719C">
        <w:t>4</w:t>
      </w:r>
      <w:r w:rsidR="001174CC">
        <w:t xml:space="preserve"> </w:t>
      </w:r>
      <w:r w:rsidR="001174CC" w:rsidRPr="00A5191B">
        <w:t xml:space="preserve"> </w:t>
      </w:r>
      <w:r w:rsidR="001174CC">
        <w:t xml:space="preserve">роботи у матеріалах з'їздів та конференцій. </w:t>
      </w:r>
    </w:p>
    <w:p w:rsidR="007139F7" w:rsidRPr="007139F7" w:rsidRDefault="007139F7" w:rsidP="007139F7">
      <w:pPr>
        <w:suppressAutoHyphens/>
        <w:spacing w:after="0" w:line="360" w:lineRule="auto"/>
        <w:ind w:firstLine="709"/>
        <w:jc w:val="both"/>
        <w:rPr>
          <w:rFonts w:eastAsia="SimSun" w:cs="Times New Roman"/>
          <w:sz w:val="28"/>
          <w:szCs w:val="28"/>
          <w:lang w:eastAsia="zh-CN"/>
        </w:rPr>
      </w:pPr>
    </w:p>
    <w:p w:rsidR="007139F7" w:rsidRPr="007139F7" w:rsidRDefault="007139F7" w:rsidP="007139F7">
      <w:pPr>
        <w:rPr>
          <w:rFonts w:eastAsia="Calibri" w:cs="Times New Roman"/>
          <w:b/>
          <w:sz w:val="28"/>
          <w:szCs w:val="28"/>
        </w:rPr>
      </w:pPr>
      <w:r w:rsidRPr="007139F7">
        <w:rPr>
          <w:rFonts w:eastAsia="Calibri" w:cs="Times New Roman"/>
          <w:b/>
          <w:sz w:val="28"/>
          <w:szCs w:val="28"/>
        </w:rPr>
        <w:br w:type="page"/>
      </w:r>
    </w:p>
    <w:p w:rsidR="007139F7" w:rsidRPr="007139F7" w:rsidRDefault="007139F7" w:rsidP="007139F7">
      <w:pPr>
        <w:shd w:val="clear" w:color="auto" w:fill="FFFFFF"/>
        <w:spacing w:after="0" w:line="360" w:lineRule="auto"/>
        <w:jc w:val="center"/>
        <w:rPr>
          <w:rFonts w:eastAsia="Times New Roman" w:cs="Times New Roman"/>
          <w:b/>
          <w:color w:val="000000"/>
          <w:sz w:val="28"/>
          <w:szCs w:val="28"/>
          <w:lang w:eastAsia="ru-RU"/>
        </w:rPr>
      </w:pPr>
      <w:r w:rsidRPr="007139F7">
        <w:rPr>
          <w:rFonts w:eastAsia="Times New Roman" w:cs="Times New Roman"/>
          <w:b/>
          <w:color w:val="000000"/>
          <w:sz w:val="28"/>
          <w:szCs w:val="28"/>
          <w:lang w:eastAsia="ru-RU"/>
        </w:rPr>
        <w:lastRenderedPageBreak/>
        <w:t>РОЗДІЛ І</w:t>
      </w:r>
    </w:p>
    <w:p w:rsidR="007139F7" w:rsidRPr="007139F7" w:rsidRDefault="007139F7" w:rsidP="007139F7">
      <w:pPr>
        <w:shd w:val="clear" w:color="auto" w:fill="FFFFFF"/>
        <w:spacing w:after="0" w:line="360" w:lineRule="auto"/>
        <w:jc w:val="center"/>
        <w:rPr>
          <w:rFonts w:eastAsia="Times New Roman" w:cs="Times New Roman"/>
          <w:b/>
          <w:color w:val="000000"/>
          <w:sz w:val="28"/>
          <w:szCs w:val="28"/>
          <w:lang w:eastAsia="ru-RU"/>
        </w:rPr>
      </w:pPr>
    </w:p>
    <w:p w:rsidR="007139F7" w:rsidRPr="007139F7" w:rsidRDefault="007139F7" w:rsidP="007139F7">
      <w:pPr>
        <w:shd w:val="clear" w:color="auto" w:fill="FFFFFF"/>
        <w:spacing w:after="0" w:line="360" w:lineRule="auto"/>
        <w:jc w:val="center"/>
        <w:rPr>
          <w:rFonts w:eastAsia="Times New Roman" w:cs="Times New Roman"/>
          <w:b/>
          <w:color w:val="000000"/>
          <w:sz w:val="28"/>
          <w:szCs w:val="28"/>
          <w:lang w:eastAsia="ru-RU"/>
        </w:rPr>
      </w:pPr>
    </w:p>
    <w:p w:rsidR="007139F7" w:rsidRPr="007139F7" w:rsidRDefault="007139F7" w:rsidP="007139F7">
      <w:pPr>
        <w:shd w:val="clear" w:color="auto" w:fill="FFFFFF"/>
        <w:spacing w:after="0" w:line="360" w:lineRule="auto"/>
        <w:jc w:val="center"/>
        <w:rPr>
          <w:rFonts w:eastAsia="Times New Roman" w:cs="Times New Roman"/>
          <w:b/>
          <w:color w:val="000000"/>
          <w:sz w:val="28"/>
          <w:szCs w:val="28"/>
          <w:lang w:eastAsia="ru-RU"/>
        </w:rPr>
      </w:pPr>
      <w:r w:rsidRPr="007139F7">
        <w:rPr>
          <w:rFonts w:eastAsia="Times New Roman" w:cs="Times New Roman"/>
          <w:b/>
          <w:color w:val="000000"/>
          <w:sz w:val="28"/>
          <w:szCs w:val="28"/>
          <w:lang w:eastAsia="ru-RU"/>
        </w:rPr>
        <w:t>СУЧАСНІ УЯВЛЕННЯ ПРО ЕТІОЛОГІЮ, ПАТОГЕНЕЗ КІСТ ШИЇ ЕМБРІОНАЛЬНОГО ПОХОДЖЕННЯ, МЕХАНІЗМИ ФОРМУВАННЯ ТА ПРОФІЛАКТИКУ ПАТОЛОГІЧНИХ РУБЦЕВОЗМІНЕНИХ ТКАНИН</w:t>
      </w:r>
    </w:p>
    <w:p w:rsidR="007139F7" w:rsidRPr="007139F7" w:rsidRDefault="007139F7" w:rsidP="007139F7">
      <w:pPr>
        <w:shd w:val="clear" w:color="auto" w:fill="FFFFFF"/>
        <w:spacing w:after="0" w:line="360" w:lineRule="auto"/>
        <w:jc w:val="center"/>
        <w:rPr>
          <w:rFonts w:eastAsia="Times New Roman" w:cs="Times New Roman"/>
          <w:b/>
          <w:color w:val="000000"/>
          <w:sz w:val="28"/>
          <w:szCs w:val="28"/>
          <w:lang w:eastAsia="ru-RU"/>
        </w:rPr>
      </w:pPr>
      <w:r w:rsidRPr="007139F7">
        <w:rPr>
          <w:rFonts w:eastAsia="Times New Roman" w:cs="Times New Roman"/>
          <w:b/>
          <w:color w:val="000000"/>
          <w:sz w:val="28"/>
          <w:szCs w:val="28"/>
          <w:lang w:eastAsia="ru-RU"/>
        </w:rPr>
        <w:t>(ОГЛЯД ЛІТЕРАТУРИ)</w:t>
      </w:r>
    </w:p>
    <w:p w:rsidR="007139F7" w:rsidRPr="007139F7" w:rsidRDefault="007139F7" w:rsidP="007139F7">
      <w:pPr>
        <w:shd w:val="clear" w:color="auto" w:fill="FFFFFF"/>
        <w:spacing w:after="0" w:line="360" w:lineRule="auto"/>
        <w:jc w:val="center"/>
        <w:rPr>
          <w:rFonts w:eastAsia="Times New Roman" w:cs="Times New Roman"/>
          <w:color w:val="000000"/>
          <w:sz w:val="28"/>
          <w:szCs w:val="28"/>
          <w:lang w:eastAsia="ru-RU"/>
        </w:rPr>
      </w:pPr>
    </w:p>
    <w:p w:rsidR="007139F7" w:rsidRPr="007139F7" w:rsidRDefault="007139F7" w:rsidP="007139F7">
      <w:pPr>
        <w:shd w:val="clear" w:color="auto" w:fill="FFFFFF"/>
        <w:spacing w:after="0" w:line="360" w:lineRule="auto"/>
        <w:jc w:val="center"/>
        <w:rPr>
          <w:rFonts w:eastAsia="Times New Roman" w:cs="Times New Roman"/>
          <w:color w:val="000000"/>
          <w:sz w:val="28"/>
          <w:szCs w:val="28"/>
          <w:lang w:eastAsia="ru-RU"/>
        </w:rPr>
      </w:pPr>
    </w:p>
    <w:p w:rsidR="007139F7" w:rsidRPr="007139F7" w:rsidRDefault="007139F7" w:rsidP="007139F7">
      <w:pPr>
        <w:shd w:val="clear" w:color="auto" w:fill="FFFFFF"/>
        <w:spacing w:after="0" w:line="360" w:lineRule="auto"/>
        <w:ind w:firstLine="708"/>
        <w:jc w:val="both"/>
        <w:rPr>
          <w:rFonts w:eastAsia="Times New Roman" w:cs="Times New Roman"/>
          <w:b/>
          <w:color w:val="000000"/>
          <w:sz w:val="28"/>
          <w:szCs w:val="28"/>
          <w:lang w:eastAsia="ru-RU"/>
        </w:rPr>
      </w:pPr>
      <w:r w:rsidRPr="007139F7">
        <w:rPr>
          <w:rFonts w:eastAsia="Times New Roman" w:cs="Times New Roman"/>
          <w:b/>
          <w:color w:val="000000"/>
          <w:sz w:val="28"/>
          <w:szCs w:val="28"/>
          <w:lang w:eastAsia="ru-RU"/>
        </w:rPr>
        <w:t>1.1 Кісти шиї ембріонального походження. Етіопатогенез, класифікації, клінічні прояви, лікування</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На теперішній час не існує однієї загальноприйнятої класифікації вроджених кіст щелепно-лицевої ділянки. Найбільш часто вживаними в клінічній практиці є представлені нижче.</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Згідно класифікації К.І. Черенової виділяють (1963):</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1 група – ентодермальні кісти: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Бранхіогенні кісти;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Тимофарінгеальні кісти;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Тіреоглосальні кісти.</w:t>
      </w:r>
    </w:p>
    <w:p w:rsidR="007139F7" w:rsidRPr="007139F7" w:rsidRDefault="007139F7" w:rsidP="007139F7">
      <w:pPr>
        <w:shd w:val="clear" w:color="auto" w:fill="FFFFFF"/>
        <w:spacing w:after="0" w:line="360" w:lineRule="auto"/>
        <w:ind w:firstLine="709"/>
        <w:jc w:val="both"/>
        <w:rPr>
          <w:rFonts w:eastAsia="Calibri" w:cs="Times New Roman"/>
          <w:color w:val="000000"/>
          <w:sz w:val="28"/>
          <w:szCs w:val="28"/>
        </w:rPr>
      </w:pPr>
      <w:r w:rsidRPr="007139F7">
        <w:rPr>
          <w:rFonts w:eastAsia="Calibri" w:cs="Times New Roman"/>
          <w:color w:val="000000"/>
          <w:sz w:val="28"/>
          <w:szCs w:val="28"/>
        </w:rPr>
        <w:t>2 група – ектодермальні кісти: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Дермоїдні кісти обличчя, які розвиваються з клітин ектодерми при її проникненні у підлеглі тканини;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Дермоїдні та епідермоїдні кісти дна порожнини рота, які утворені із залишків епідермоїдних клітин при зрощенні І та ІІ зябрових дуг.</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У 1965 році В.М. Безруков запропонував класифікацію вроджених кіст та нориць шиї, яка дотепер є зручною у практичному використанні:</w:t>
      </w:r>
    </w:p>
    <w:p w:rsidR="007139F7" w:rsidRPr="007139F7" w:rsidRDefault="007139F7" w:rsidP="007139F7">
      <w:pPr>
        <w:numPr>
          <w:ilvl w:val="0"/>
          <w:numId w:val="9"/>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Кісти та нориці привушної ділянки: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lastRenderedPageBreak/>
        <w:t>Кісти защелепної ділянки;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Нориці защелепної ділянки.</w:t>
      </w:r>
    </w:p>
    <w:p w:rsidR="007139F7" w:rsidRPr="007139F7" w:rsidRDefault="007139F7" w:rsidP="007139F7">
      <w:pPr>
        <w:numPr>
          <w:ilvl w:val="0"/>
          <w:numId w:val="9"/>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Серединні кісти та нориці:</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Кісти кореня язика;</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Кісти над під’язиковою кісткою;</w:t>
      </w:r>
    </w:p>
    <w:p w:rsidR="007139F7" w:rsidRPr="007139F7" w:rsidRDefault="007139F7" w:rsidP="007139F7">
      <w:pPr>
        <w:numPr>
          <w:ilvl w:val="0"/>
          <w:numId w:val="9"/>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Бічні кісти та нориці:</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Кісти;</w:t>
      </w:r>
    </w:p>
    <w:p w:rsidR="007139F7" w:rsidRPr="007139F7" w:rsidRDefault="007139F7" w:rsidP="007139F7">
      <w:pPr>
        <w:numPr>
          <w:ilvl w:val="0"/>
          <w:numId w:val="6"/>
        </w:numPr>
        <w:shd w:val="clear" w:color="auto" w:fill="FFFFFF"/>
        <w:spacing w:after="0" w:line="360" w:lineRule="auto"/>
        <w:contextualSpacing/>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Нориці повні, неповні – зовнішні та внутрішні [1].</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Латеральні (бранхіальні) кісти шиї – пухлиноподібні утворення, які являють собою вади розвитку ектопованих залишків зябрового апарату [2, 3]. </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Найчастіше бранхіальні кісти зустрічаються у віці від 20 до 40 років. Існують клінічні спостереження незрощення другої зябрової щілини у немовлят та дітей віком до 5 років, яке проявляється у вигляді фістул. Щодо виникнення даної патології в осіб літнього віку мають місце лише поодинокі клінічні випадки [4-6]. </w:t>
      </w:r>
      <w:r w:rsidRPr="007139F7">
        <w:rPr>
          <w:rFonts w:eastAsia="Times New Roman" w:cs="Times New Roman"/>
          <w:color w:val="000000"/>
          <w:sz w:val="28"/>
          <w:szCs w:val="28"/>
          <w:lang w:val="ru-RU" w:eastAsia="ru-RU"/>
        </w:rPr>
        <w:t xml:space="preserve">Близько 60% кіст виникають з лівого боку. </w:t>
      </w:r>
      <w:r w:rsidRPr="007139F7">
        <w:rPr>
          <w:rFonts w:eastAsia="Times New Roman" w:cs="Times New Roman"/>
          <w:color w:val="000000"/>
          <w:sz w:val="28"/>
          <w:szCs w:val="28"/>
          <w:lang w:eastAsia="ru-RU"/>
        </w:rPr>
        <w:t>Н</w:t>
      </w:r>
      <w:r w:rsidRPr="007139F7">
        <w:rPr>
          <w:rFonts w:eastAsia="Times New Roman" w:cs="Times New Roman"/>
          <w:color w:val="000000"/>
          <w:sz w:val="28"/>
          <w:szCs w:val="28"/>
          <w:lang w:val="ru-RU" w:eastAsia="ru-RU"/>
        </w:rPr>
        <w:t xml:space="preserve">емає </w:t>
      </w:r>
      <w:r w:rsidRPr="007139F7">
        <w:rPr>
          <w:rFonts w:eastAsia="Times New Roman" w:cs="Times New Roman"/>
          <w:color w:val="000000"/>
          <w:sz w:val="28"/>
          <w:szCs w:val="28"/>
          <w:lang w:eastAsia="ru-RU"/>
        </w:rPr>
        <w:t xml:space="preserve">статистично вірогідних даних щодо </w:t>
      </w:r>
      <w:r w:rsidRPr="007139F7">
        <w:rPr>
          <w:rFonts w:eastAsia="Times New Roman" w:cs="Times New Roman"/>
          <w:color w:val="000000"/>
          <w:sz w:val="28"/>
          <w:szCs w:val="28"/>
          <w:lang w:val="ru-RU" w:eastAsia="ru-RU"/>
        </w:rPr>
        <w:t xml:space="preserve">гендерної чи расової </w:t>
      </w:r>
      <w:r w:rsidRPr="007139F7">
        <w:rPr>
          <w:rFonts w:eastAsia="Times New Roman" w:cs="Times New Roman"/>
          <w:color w:val="000000"/>
          <w:sz w:val="28"/>
          <w:szCs w:val="28"/>
          <w:lang w:eastAsia="ru-RU"/>
        </w:rPr>
        <w:t>схильності</w:t>
      </w:r>
      <w:r w:rsidRPr="007139F7">
        <w:rPr>
          <w:rFonts w:eastAsia="Times New Roman" w:cs="Times New Roman"/>
          <w:color w:val="000000"/>
          <w:sz w:val="28"/>
          <w:szCs w:val="28"/>
          <w:lang w:val="ru-RU" w:eastAsia="ru-RU"/>
        </w:rPr>
        <w:t xml:space="preserve"> [7, 8].</w:t>
      </w:r>
    </w:p>
    <w:p w:rsidR="007139F7" w:rsidRPr="00D65158"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Латеральні кісти шиї мають суперечливий патогенез. Деякі автори вважають їх синонімом лімфоепітеліальної кісти шиї. Згідно теорії </w:t>
      </w:r>
      <w:r w:rsidRPr="007139F7">
        <w:rPr>
          <w:rFonts w:eastAsia="Times New Roman" w:cs="Times New Roman"/>
          <w:color w:val="000000"/>
          <w:sz w:val="28"/>
          <w:szCs w:val="28"/>
          <w:lang w:val="en-US" w:eastAsia="ru-RU"/>
        </w:rPr>
        <w:t>Ascherson</w:t>
      </w:r>
      <w:r w:rsidRPr="007139F7">
        <w:rPr>
          <w:rFonts w:eastAsia="Times New Roman" w:cs="Times New Roman"/>
          <w:color w:val="000000"/>
          <w:sz w:val="28"/>
          <w:szCs w:val="28"/>
          <w:lang w:eastAsia="ru-RU"/>
        </w:rPr>
        <w:t xml:space="preserve"> (1932) у розвитку бічних кіст шиї провідну роль займає місце неповна облітерація зябрових щілин, яка залишається у стані спокою доки не буде стимуляції її подальшого росту [9, 10]. Згідно літературних джерел існує думка, що дані утворення походять від кістозного перетворення шийних лімфатичних вузлів [11]. Існують дані, що виникнення бічних кіст шиї може бути пов’язане із наявністю папіломовірусу людини та викликатися експресією гену </w:t>
      </w:r>
      <w:r w:rsidRPr="007139F7">
        <w:rPr>
          <w:rFonts w:eastAsia="Calibri" w:cs="Times New Roman"/>
          <w:color w:val="000000"/>
          <w:sz w:val="28"/>
          <w:szCs w:val="28"/>
          <w:lang w:val="en-US"/>
        </w:rPr>
        <w:t>p</w:t>
      </w:r>
      <w:r w:rsidRPr="007139F7">
        <w:rPr>
          <w:rFonts w:eastAsia="Calibri" w:cs="Times New Roman"/>
          <w:color w:val="000000"/>
          <w:sz w:val="28"/>
          <w:szCs w:val="28"/>
        </w:rPr>
        <w:t>16 (</w:t>
      </w:r>
      <w:r w:rsidRPr="007139F7">
        <w:rPr>
          <w:rFonts w:eastAsia="Calibri" w:cs="Times New Roman"/>
          <w:color w:val="000000"/>
          <w:sz w:val="28"/>
          <w:szCs w:val="28"/>
          <w:lang w:val="en-US"/>
        </w:rPr>
        <w:t>INK</w:t>
      </w:r>
      <w:r w:rsidRPr="007139F7">
        <w:rPr>
          <w:rFonts w:eastAsia="Calibri" w:cs="Times New Roman"/>
          <w:color w:val="000000"/>
          <w:sz w:val="28"/>
          <w:szCs w:val="28"/>
        </w:rPr>
        <w:t>4</w:t>
      </w:r>
      <w:r w:rsidRPr="007139F7">
        <w:rPr>
          <w:rFonts w:eastAsia="Calibri" w:cs="Times New Roman"/>
          <w:color w:val="000000"/>
          <w:sz w:val="28"/>
          <w:szCs w:val="28"/>
          <w:lang w:val="en-US"/>
        </w:rPr>
        <w:t>A</w:t>
      </w:r>
      <w:r w:rsidRPr="007139F7">
        <w:rPr>
          <w:rFonts w:eastAsia="Calibri" w:cs="Times New Roman"/>
          <w:color w:val="000000"/>
          <w:sz w:val="28"/>
          <w:szCs w:val="28"/>
        </w:rPr>
        <w:t>) [12]</w:t>
      </w:r>
      <w:r w:rsidR="00D65158" w:rsidRPr="00D65158">
        <w:rPr>
          <w:rFonts w:eastAsia="Calibri" w:cs="Times New Roman"/>
          <w:color w:val="000000"/>
          <w:sz w:val="28"/>
          <w:szCs w:val="28"/>
        </w:rPr>
        <w:t>.</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Бранхіальні кісти можуть утворюватися з першої, другої, третьої та четвертої зябрових щілин. Переважна більшість даних кіст утворюється внаслідок незрощення другої зябрової щілини та частіше зустрічаються у передньому трикутнику шиї, попереду верхньої третини </w:t>
      </w:r>
      <w:r w:rsidRPr="007139F7">
        <w:rPr>
          <w:rFonts w:eastAsia="Times New Roman" w:cs="Times New Roman"/>
          <w:color w:val="000000"/>
          <w:sz w:val="28"/>
          <w:szCs w:val="28"/>
          <w:lang w:val="en-US" w:eastAsia="ru-RU"/>
        </w:rPr>
        <w:lastRenderedPageBreak/>
        <w:t>m</w:t>
      </w:r>
      <w:r w:rsidRPr="007139F7">
        <w:rPr>
          <w:rFonts w:eastAsia="Times New Roman" w:cs="Times New Roman"/>
          <w:color w:val="000000"/>
          <w:sz w:val="28"/>
          <w:szCs w:val="28"/>
          <w:lang w:eastAsia="ru-RU"/>
        </w:rPr>
        <w:t>.</w:t>
      </w:r>
      <w:r w:rsidRPr="007139F7">
        <w:rPr>
          <w:rFonts w:eastAsia="Times New Roman" w:cs="Times New Roman"/>
          <w:color w:val="000000"/>
          <w:sz w:val="28"/>
          <w:szCs w:val="28"/>
          <w:lang w:val="en-US" w:eastAsia="ru-RU"/>
        </w:rPr>
        <w:t>sternoclaidomastoideus</w:t>
      </w:r>
      <w:r w:rsidRPr="007139F7">
        <w:rPr>
          <w:rFonts w:eastAsia="Times New Roman" w:cs="Times New Roman"/>
          <w:color w:val="000000"/>
          <w:sz w:val="28"/>
          <w:szCs w:val="28"/>
          <w:lang w:eastAsia="ru-RU"/>
        </w:rPr>
        <w:t xml:space="preserve">, значно рідше має місце локалізація в ділянці нижньої третини кивального м’язу або у задньому трикутнику шиї [13-16]. </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Ураження другої зябрової щілини складає переважну більшість випадків аномалій розвитку зябрових щілин (близько 95%), значно меншу кількість (1-4%) сягають незрощення першої зябрової дуги, а патологія третьої та четвертої дуг є надзвичайно рідкісною [2, 3, 17].</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Згідно класифікації </w:t>
      </w:r>
      <w:r w:rsidRPr="007139F7">
        <w:rPr>
          <w:rFonts w:eastAsia="Times New Roman" w:cs="Times New Roman"/>
          <w:color w:val="000000"/>
          <w:sz w:val="28"/>
          <w:szCs w:val="28"/>
          <w:lang w:val="en-US" w:eastAsia="ru-RU"/>
        </w:rPr>
        <w:t>Bailey</w:t>
      </w:r>
      <w:r w:rsidRPr="007139F7">
        <w:rPr>
          <w:rFonts w:eastAsia="Times New Roman" w:cs="Times New Roman"/>
          <w:color w:val="000000"/>
          <w:sz w:val="28"/>
          <w:szCs w:val="28"/>
          <w:lang w:eastAsia="ru-RU"/>
        </w:rPr>
        <w:t>: виділяють чотири типи кіст та нориць, що виникли внаслідок незрощення другої зябрової щілини:</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І тип – найбільш поверхневі ураження, які локалізуються попереду </w:t>
      </w:r>
      <w:r w:rsidRPr="007139F7">
        <w:rPr>
          <w:rFonts w:eastAsia="Times New Roman" w:cs="Times New Roman"/>
          <w:color w:val="000000"/>
          <w:sz w:val="28"/>
          <w:szCs w:val="28"/>
          <w:lang w:val="en-US" w:eastAsia="ru-RU"/>
        </w:rPr>
        <w:t>m</w:t>
      </w:r>
      <w:r w:rsidRPr="007139F7">
        <w:rPr>
          <w:rFonts w:eastAsia="Times New Roman" w:cs="Times New Roman"/>
          <w:color w:val="000000"/>
          <w:sz w:val="28"/>
          <w:szCs w:val="28"/>
          <w:lang w:eastAsia="ru-RU"/>
        </w:rPr>
        <w:t>. </w:t>
      </w:r>
      <w:r w:rsidRPr="007139F7">
        <w:rPr>
          <w:rFonts w:eastAsia="Times New Roman" w:cs="Times New Roman"/>
          <w:color w:val="000000"/>
          <w:sz w:val="28"/>
          <w:szCs w:val="28"/>
          <w:lang w:val="en-US" w:eastAsia="ru-RU"/>
        </w:rPr>
        <w:t>Sternoclaidomastoideus</w:t>
      </w:r>
      <w:r w:rsidRPr="007139F7">
        <w:rPr>
          <w:rFonts w:eastAsia="Times New Roman" w:cs="Times New Roman"/>
          <w:color w:val="000000"/>
          <w:sz w:val="28"/>
          <w:szCs w:val="28"/>
          <w:lang w:eastAsia="ru-RU"/>
        </w:rPr>
        <w:t xml:space="preserve">, під </w:t>
      </w:r>
      <w:r w:rsidRPr="007139F7">
        <w:rPr>
          <w:rFonts w:eastAsia="Times New Roman" w:cs="Times New Roman"/>
          <w:color w:val="000000"/>
          <w:sz w:val="28"/>
          <w:szCs w:val="28"/>
          <w:lang w:val="en-US" w:eastAsia="ru-RU"/>
        </w:rPr>
        <w:t>m</w:t>
      </w:r>
      <w:r w:rsidRPr="007139F7">
        <w:rPr>
          <w:rFonts w:eastAsia="Times New Roman" w:cs="Times New Roman"/>
          <w:color w:val="000000"/>
          <w:sz w:val="28"/>
          <w:szCs w:val="28"/>
          <w:lang w:eastAsia="ru-RU"/>
        </w:rPr>
        <w:t xml:space="preserve">. </w:t>
      </w:r>
      <w:r w:rsidRPr="007139F7">
        <w:rPr>
          <w:rFonts w:eastAsia="Times New Roman" w:cs="Times New Roman"/>
          <w:color w:val="000000"/>
          <w:sz w:val="28"/>
          <w:szCs w:val="28"/>
          <w:lang w:val="en-US" w:eastAsia="ru-RU"/>
        </w:rPr>
        <w:t>Platisma</w:t>
      </w:r>
      <w:r w:rsidRPr="007139F7">
        <w:rPr>
          <w:rFonts w:eastAsia="Times New Roman" w:cs="Times New Roman"/>
          <w:color w:val="000000"/>
          <w:sz w:val="28"/>
          <w:szCs w:val="28"/>
          <w:lang w:eastAsia="ru-RU"/>
        </w:rPr>
        <w:t xml:space="preserve"> та не мають контакту з оболонкою сонних артерій;</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ІІ тип – найпоширеніший тип ураження, для якого характерне розташування попереду від </w:t>
      </w:r>
      <w:r w:rsidRPr="007139F7">
        <w:rPr>
          <w:rFonts w:eastAsia="Times New Roman" w:cs="Times New Roman"/>
          <w:color w:val="000000"/>
          <w:sz w:val="28"/>
          <w:szCs w:val="28"/>
          <w:lang w:val="en-US" w:eastAsia="ru-RU"/>
        </w:rPr>
        <w:t>m</w:t>
      </w:r>
      <w:r w:rsidRPr="007139F7">
        <w:rPr>
          <w:rFonts w:eastAsia="Times New Roman" w:cs="Times New Roman"/>
          <w:color w:val="000000"/>
          <w:sz w:val="28"/>
          <w:szCs w:val="28"/>
          <w:lang w:eastAsia="ru-RU"/>
        </w:rPr>
        <w:t xml:space="preserve">. </w:t>
      </w:r>
      <w:r w:rsidRPr="007139F7">
        <w:rPr>
          <w:rFonts w:eastAsia="Times New Roman" w:cs="Times New Roman"/>
          <w:color w:val="000000"/>
          <w:sz w:val="28"/>
          <w:szCs w:val="28"/>
          <w:lang w:val="en-US" w:eastAsia="ru-RU"/>
        </w:rPr>
        <w:t>Sternoclaidomastoideus</w:t>
      </w:r>
      <w:r w:rsidRPr="007139F7">
        <w:rPr>
          <w:rFonts w:eastAsia="Times New Roman" w:cs="Times New Roman"/>
          <w:color w:val="000000"/>
          <w:sz w:val="28"/>
          <w:szCs w:val="28"/>
          <w:lang w:eastAsia="ru-RU"/>
        </w:rPr>
        <w:t>, позаду від піднижньощелепної слинної залози у бічному або сонному трикутниках шиї.</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ІІІ тип – локалізується між біфуркацією зовнішньої та внутрішньої сонної артерії, латеральніше бічної стінки глотки;</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val="en-US" w:eastAsia="ru-RU"/>
        </w:rPr>
        <w:t>IV</w:t>
      </w:r>
      <w:r w:rsidRPr="007139F7">
        <w:rPr>
          <w:rFonts w:eastAsia="Times New Roman" w:cs="Times New Roman"/>
          <w:color w:val="000000"/>
          <w:sz w:val="28"/>
          <w:szCs w:val="28"/>
          <w:lang w:eastAsia="ru-RU"/>
        </w:rPr>
        <w:t xml:space="preserve"> тип – розташовується глибоко біля біфуркації сонної артерії у навкологлотковому просторі та відкривається у глотку [17]. </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Серед кіст першої зябрової дуги патогенетично виділяють два типи аномалій:</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І тип – суто ектодермального походження, що примикають до зовнішнього слухового проходу, є дублікатурою його мембрани і містять плескатоклітинний епітелій, але не мають у своєму вмісті додатків шкіри.</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ІІ тип – являють собою кісти в ділянці кута нижньої щелепи, екто- та мезодермального походження, тому окрім плескатоклітинного епітелію мають у своєму вмісті додатки шкіри (волосяні фолікули, сальні залози тощо) [17-19].</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Аномалії третьої та четвертої зябрових дуг можуть виглядати схоже на кісти другої зябрової щілини, але відрізняються анатомічно. Нориці даної локалізації відкриваються назовні у надключичній ділянці, а внутрішньо – </w:t>
      </w:r>
      <w:r w:rsidRPr="007139F7">
        <w:rPr>
          <w:rFonts w:eastAsia="Times New Roman" w:cs="Times New Roman"/>
          <w:color w:val="000000"/>
          <w:sz w:val="28"/>
          <w:szCs w:val="28"/>
          <w:lang w:eastAsia="ru-RU"/>
        </w:rPr>
        <w:lastRenderedPageBreak/>
        <w:t xml:space="preserve">нижче під’язикової кістки у глотку. Кісти третьої зябрової дуги локалізуються на задньо-бічній поверхні шиї позаду </w:t>
      </w:r>
      <w:r w:rsidRPr="007139F7">
        <w:rPr>
          <w:rFonts w:eastAsia="Times New Roman" w:cs="Times New Roman"/>
          <w:color w:val="000000"/>
          <w:sz w:val="28"/>
          <w:szCs w:val="28"/>
          <w:lang w:val="en-US" w:eastAsia="ru-RU"/>
        </w:rPr>
        <w:t>m</w:t>
      </w:r>
      <w:r w:rsidRPr="007139F7">
        <w:rPr>
          <w:rFonts w:eastAsia="Times New Roman" w:cs="Times New Roman"/>
          <w:color w:val="000000"/>
          <w:sz w:val="28"/>
          <w:szCs w:val="28"/>
          <w:lang w:eastAsia="ru-RU"/>
        </w:rPr>
        <w:t>. </w:t>
      </w:r>
      <w:r w:rsidRPr="007139F7">
        <w:rPr>
          <w:rFonts w:eastAsia="Times New Roman" w:cs="Times New Roman"/>
          <w:color w:val="000000"/>
          <w:sz w:val="28"/>
          <w:szCs w:val="28"/>
          <w:lang w:val="en-US" w:eastAsia="ru-RU"/>
        </w:rPr>
        <w:t>Sternoclaidomastoideus</w:t>
      </w:r>
      <w:r w:rsidRPr="007139F7">
        <w:rPr>
          <w:rFonts w:eastAsia="Times New Roman" w:cs="Times New Roman"/>
          <w:color w:val="000000"/>
          <w:sz w:val="28"/>
          <w:szCs w:val="28"/>
          <w:lang w:eastAsia="ru-RU"/>
        </w:rPr>
        <w:t xml:space="preserve">. </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Times New Roman" w:cs="Times New Roman"/>
          <w:color w:val="000000"/>
          <w:sz w:val="28"/>
          <w:szCs w:val="28"/>
          <w:lang w:eastAsia="ru-RU"/>
        </w:rPr>
        <w:t xml:space="preserve">Нориці четвертої зябрової щілини відкриваються від верхньої межі лівої долі щитоподібної залози до середостіння, що значно ускладнює їх хірургічне лікування [17, 19]. </w:t>
      </w:r>
    </w:p>
    <w:p w:rsidR="007139F7" w:rsidRPr="007139F7" w:rsidRDefault="007139F7" w:rsidP="007139F7">
      <w:pPr>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У випадку білатеральних кіст другої зябрової щілини це є однією з ознак бранхіо-ото-ренального синдрому, який передається за аутосомно-домінантним типом, пов’язаним із хромосомою 8</w:t>
      </w:r>
      <w:r w:rsidRPr="007139F7">
        <w:rPr>
          <w:rFonts w:eastAsia="Times New Roman" w:cs="Times New Roman"/>
          <w:color w:val="000000"/>
          <w:sz w:val="28"/>
          <w:szCs w:val="28"/>
          <w:lang w:val="en-US" w:eastAsia="ru-RU"/>
        </w:rPr>
        <w:t>q</w:t>
      </w:r>
      <w:r w:rsidRPr="007139F7">
        <w:rPr>
          <w:rFonts w:eastAsia="Times New Roman" w:cs="Times New Roman"/>
          <w:color w:val="000000"/>
          <w:sz w:val="28"/>
          <w:szCs w:val="28"/>
          <w:lang w:eastAsia="ru-RU"/>
        </w:rPr>
        <w:t xml:space="preserve"> 13.3. Іншими клінічними симптомами даної патології є порушення слуху, наявність периаурикулярних ямок та ниркові аномалії [20, 21].</w:t>
      </w:r>
    </w:p>
    <w:p w:rsidR="007139F7" w:rsidRPr="007139F7" w:rsidRDefault="007139F7" w:rsidP="007139F7">
      <w:pPr>
        <w:shd w:val="clear" w:color="auto" w:fill="FFFFFF"/>
        <w:spacing w:after="0"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 xml:space="preserve">Бічна кіста шиї являє собою безболісне пухлиноподібне утворення сферичної форми, щільної або м’якоеластичної консистенції, з гладкою поверхнею. У певних випадках ці ураження можуть сягати значних розмірів, які проявляються у вигляді деформації шиї, що ускладнює рухи голови, та компресією судинно-нервого пучка, яка супроводжується больовими відчуттями. Описані випадки вегетативної симптоматики через здавлення блукаючого нерву та яремної вени. </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Calibri" w:cs="Times New Roman"/>
          <w:sz w:val="28"/>
          <w:szCs w:val="28"/>
        </w:rPr>
        <w:t xml:space="preserve">Бічні кісти шиї схильні до частого нагноєння. У цьому разі кіста швидко збільшується у розмірі, внаслідок накопичення у її порожнині гнійного ексудату, з’являються ознаки запалення </w:t>
      </w:r>
      <w:r w:rsidRPr="007139F7">
        <w:rPr>
          <w:rFonts w:eastAsia="Times New Roman" w:cs="Times New Roman"/>
          <w:color w:val="000000"/>
          <w:sz w:val="28"/>
          <w:szCs w:val="28"/>
          <w:lang w:eastAsia="ru-RU"/>
        </w:rPr>
        <w:t>[22-26]</w:t>
      </w:r>
      <w:r w:rsidRPr="007139F7">
        <w:rPr>
          <w:rFonts w:eastAsia="Calibri" w:cs="Times New Roman"/>
          <w:sz w:val="28"/>
          <w:szCs w:val="28"/>
        </w:rPr>
        <w:t xml:space="preserve">. </w:t>
      </w:r>
      <w:r w:rsidRPr="007139F7">
        <w:rPr>
          <w:rFonts w:eastAsia="Times New Roman" w:cs="Times New Roman"/>
          <w:color w:val="000000"/>
          <w:sz w:val="28"/>
          <w:szCs w:val="28"/>
          <w:lang w:eastAsia="ru-RU"/>
        </w:rPr>
        <w:t>Нещодавні дослідження довели, що нейтрофіли, які були виявлені у вмісті кісти при її запаленні були апоптичними або некротичними, на різних стадіях дегенерації, що може свідчити про самостійне хронічне запалення у бранхіагенних кістах [27, 28].</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Times New Roman" w:cs="Times New Roman"/>
          <w:color w:val="000000"/>
          <w:sz w:val="28"/>
          <w:szCs w:val="28"/>
          <w:lang w:eastAsia="ru-RU"/>
        </w:rPr>
        <w:t>Згідно статистичних досліджень у пацієнтів старше 30 років у близько 3% випадків має місце малігнізація утворень другої зябрової щілини [29-32].</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Calibri" w:cs="Times New Roman"/>
          <w:sz w:val="28"/>
          <w:szCs w:val="28"/>
        </w:rPr>
        <w:t xml:space="preserve">Бічні кісти шиї підлягають хірургічному лікуванню, шляхом радикального виділення оболонки утворення, за необхідністю, обумовленою великими розмірами кісти, попередньо проводять відсмоктування кістозного вмісту. За радикального лікування рецидивування спостерігається досить рідко [21, 22, 33]. Альтернативним методом лікування кісти другої зябрової </w:t>
      </w:r>
      <w:r w:rsidRPr="007139F7">
        <w:rPr>
          <w:rFonts w:eastAsia="Calibri" w:cs="Times New Roman"/>
          <w:sz w:val="28"/>
          <w:szCs w:val="28"/>
        </w:rPr>
        <w:lastRenderedPageBreak/>
        <w:t xml:space="preserve">щілини є використання ендоскопічної оперативної техніки, яка значно покращує косметичний ефект та аналогічно радикальному втручанню не спричиняє розвитку рецидивів захворювання [34]. </w:t>
      </w:r>
    </w:p>
    <w:p w:rsidR="007139F7" w:rsidRPr="007139F7" w:rsidRDefault="00417675" w:rsidP="007139F7">
      <w:pPr>
        <w:spacing w:after="0" w:line="360" w:lineRule="auto"/>
        <w:ind w:firstLine="709"/>
        <w:jc w:val="both"/>
        <w:rPr>
          <w:rFonts w:eastAsia="Calibri" w:cs="Times New Roman"/>
          <w:sz w:val="28"/>
          <w:szCs w:val="28"/>
        </w:rPr>
      </w:pPr>
      <w:hyperlink r:id="rId9" w:history="1">
        <w:r w:rsidR="007139F7" w:rsidRPr="007139F7">
          <w:rPr>
            <w:rFonts w:eastAsia="Calibri" w:cs="Times New Roman"/>
            <w:sz w:val="28"/>
            <w:szCs w:val="28"/>
            <w:lang w:val="en-US"/>
          </w:rPr>
          <w:t>Piccioni</w:t>
        </w:r>
        <w:r w:rsidR="007139F7" w:rsidRPr="007139F7">
          <w:rPr>
            <w:rFonts w:eastAsia="Calibri" w:cs="Times New Roman"/>
            <w:sz w:val="28"/>
            <w:szCs w:val="28"/>
          </w:rPr>
          <w:t xml:space="preserve"> </w:t>
        </w:r>
        <w:r w:rsidR="007139F7" w:rsidRPr="007139F7">
          <w:rPr>
            <w:rFonts w:eastAsia="Calibri" w:cs="Times New Roman"/>
            <w:sz w:val="28"/>
            <w:szCs w:val="28"/>
            <w:lang w:val="en-US"/>
          </w:rPr>
          <w:t>M</w:t>
        </w:r>
      </w:hyperlink>
      <w:r w:rsidR="007139F7" w:rsidRPr="007139F7">
        <w:rPr>
          <w:rFonts w:eastAsia="Calibri" w:cs="Times New Roman"/>
          <w:sz w:val="28"/>
          <w:szCs w:val="28"/>
        </w:rPr>
        <w:t>. запропонував модифікацію радикального лікування кіст другої та першої зябрових дуг, яка базується на інтраопераціному введенні ін’єкції фібринового клею у поєднанні із метиленовим синім. Дана методика є простою у використанні та сприяє візуалізації можливих ушкоджень під час оперативного втручання, більш швидкому загоєнню післяопераційної рани, а також сприяє покращенню косметичного ефекту радикального лікування. Однак дана модифікація не має остаточної валідації</w:t>
      </w:r>
      <w:r w:rsidR="007139F7" w:rsidRPr="007139F7">
        <w:rPr>
          <w:rFonts w:eastAsia="Calibri" w:cs="Times New Roman"/>
          <w:sz w:val="28"/>
          <w:szCs w:val="28"/>
          <w:lang w:val="ru-RU"/>
        </w:rPr>
        <w:t xml:space="preserve"> [35]</w:t>
      </w:r>
      <w:r w:rsidR="007139F7" w:rsidRPr="007139F7">
        <w:rPr>
          <w:rFonts w:eastAsia="Calibri" w:cs="Times New Roman"/>
          <w:sz w:val="28"/>
          <w:szCs w:val="28"/>
        </w:rPr>
        <w:t>.</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Calibri" w:cs="Times New Roman"/>
          <w:sz w:val="28"/>
          <w:szCs w:val="28"/>
        </w:rPr>
        <w:t>Інша тактика застосовується у разі нагноєння бранхіагенної кісти. У даному випадку перевагу надають антибактеріальній терапії у поєднанні з пункцією утворення та його антисептичною обробкою. Оскільки порушення цілісності кістозної капсули ускладнює подальше радикальне лікування внаслідок рубцювання навколишніх м’яких тканин [21, 36].</w:t>
      </w:r>
    </w:p>
    <w:p w:rsidR="007139F7" w:rsidRPr="007139F7" w:rsidRDefault="007139F7" w:rsidP="007139F7">
      <w:pPr>
        <w:shd w:val="clear" w:color="auto" w:fill="FFFFFF"/>
        <w:spacing w:before="166" w:after="166" w:line="360" w:lineRule="auto"/>
        <w:ind w:firstLine="709"/>
        <w:jc w:val="both"/>
        <w:rPr>
          <w:rFonts w:eastAsia="Times New Roman" w:cs="Times New Roman"/>
          <w:color w:val="000000"/>
          <w:sz w:val="28"/>
          <w:szCs w:val="28"/>
          <w:lang w:eastAsia="ru-RU"/>
        </w:rPr>
      </w:pPr>
      <w:r w:rsidRPr="007139F7">
        <w:rPr>
          <w:rFonts w:eastAsia="Calibri" w:cs="Times New Roman"/>
          <w:sz w:val="28"/>
          <w:szCs w:val="28"/>
        </w:rPr>
        <w:t xml:space="preserve">Серединні (тіреоглосальні) кісти шиї є вродженими утвореннями, які виникають внаслідок незрощення щитоподібно-язикової протоки, яка утворюється на 3-5 тиждень та в нормі повністю зникає на 8-10 тижні внутрішньоутробного розбитку [37, 38]. </w:t>
      </w:r>
      <w:r w:rsidRPr="007139F7">
        <w:rPr>
          <w:rFonts w:eastAsia="Times New Roman" w:cs="Times New Roman"/>
          <w:color w:val="000000"/>
          <w:sz w:val="28"/>
          <w:szCs w:val="28"/>
          <w:lang w:eastAsia="ru-RU"/>
        </w:rPr>
        <w:t>Переважна більшість цих кіст містить у своєму складі ектоповану тканину щитоподібної залози [39].</w:t>
      </w:r>
    </w:p>
    <w:p w:rsidR="007139F7" w:rsidRPr="007139F7" w:rsidRDefault="007139F7" w:rsidP="007139F7">
      <w:pPr>
        <w:shd w:val="clear" w:color="auto" w:fill="FFFFFF"/>
        <w:spacing w:before="166" w:after="166" w:line="360" w:lineRule="auto"/>
        <w:ind w:firstLine="709"/>
        <w:jc w:val="both"/>
        <w:rPr>
          <w:rFonts w:eastAsia="Calibri" w:cs="Times New Roman"/>
          <w:sz w:val="28"/>
          <w:szCs w:val="28"/>
          <w:lang w:val="ru-RU"/>
        </w:rPr>
      </w:pPr>
      <w:r w:rsidRPr="007139F7">
        <w:rPr>
          <w:rFonts w:eastAsia="Times New Roman" w:cs="Times New Roman"/>
          <w:color w:val="000000"/>
          <w:sz w:val="28"/>
          <w:szCs w:val="28"/>
          <w:lang w:eastAsia="ru-RU"/>
        </w:rPr>
        <w:t>Тіреоглосальні кісти складають більше 70 % вроджених новоутворень у дітей, та близько 7% – у дорослих. Серед дорослого населення переважно вражаючи жінок віком від 20 до 30 років</w:t>
      </w:r>
      <w:r w:rsidRPr="007139F7">
        <w:rPr>
          <w:rFonts w:eastAsia="Times New Roman" w:cs="Times New Roman"/>
          <w:color w:val="000000"/>
          <w:sz w:val="28"/>
          <w:szCs w:val="28"/>
          <w:lang w:val="ru-RU" w:eastAsia="ru-RU"/>
        </w:rPr>
        <w:t xml:space="preserve"> [40-42]</w:t>
      </w:r>
      <w:r w:rsidRPr="007139F7">
        <w:rPr>
          <w:rFonts w:eastAsia="Times New Roman" w:cs="Times New Roman"/>
          <w:color w:val="000000"/>
          <w:sz w:val="28"/>
          <w:szCs w:val="28"/>
          <w:lang w:eastAsia="ru-RU"/>
        </w:rPr>
        <w:t>.</w:t>
      </w:r>
    </w:p>
    <w:p w:rsidR="007139F7" w:rsidRPr="007139F7" w:rsidRDefault="007139F7" w:rsidP="007139F7">
      <w:pPr>
        <w:shd w:val="clear" w:color="auto" w:fill="FFFFFF"/>
        <w:spacing w:before="166" w:after="166" w:line="360" w:lineRule="auto"/>
        <w:ind w:firstLine="709"/>
        <w:jc w:val="both"/>
        <w:rPr>
          <w:rFonts w:eastAsia="Calibri" w:cs="Times New Roman"/>
          <w:sz w:val="28"/>
          <w:szCs w:val="28"/>
        </w:rPr>
      </w:pPr>
      <w:r w:rsidRPr="007139F7">
        <w:rPr>
          <w:rFonts w:eastAsia="Times New Roman" w:cs="Times New Roman"/>
          <w:color w:val="000000"/>
          <w:sz w:val="28"/>
          <w:szCs w:val="28"/>
          <w:lang w:eastAsia="ru-RU"/>
        </w:rPr>
        <w:t xml:space="preserve">Серединні кісти шиї можуть утворюватися у будь-якому місці за ходом щитоязикової протоки. Переважна їх більшість розташовується у підпід’язиковій ділянці (80%), 8% - над під’язиковою кісткою, 5% - у надгрудинному просторі шиї та лише 1-2% локалізується в ділянці кореня язика [37]. Згідно даних інших літературних джерел тіреоглосальна кіста розташовується у 60% випадків між щитоподібним хрящем та під’язиковою </w:t>
      </w:r>
      <w:r w:rsidRPr="007139F7">
        <w:rPr>
          <w:rFonts w:eastAsia="Times New Roman" w:cs="Times New Roman"/>
          <w:color w:val="000000"/>
          <w:sz w:val="28"/>
          <w:szCs w:val="28"/>
          <w:lang w:eastAsia="ru-RU"/>
        </w:rPr>
        <w:lastRenderedPageBreak/>
        <w:t xml:space="preserve">кісткою, а також супрагіоїдно, супрастернально та інтралінгвально у 24%, 13% та 2% випадків відповідно [40]. Мають місце вкрай рідкісні локалізації даних утворень, а саме у межах під’язикової кістки [41] та ділянці середостіння [43]. </w:t>
      </w:r>
    </w:p>
    <w:p w:rsidR="007139F7" w:rsidRPr="007139F7" w:rsidRDefault="007139F7" w:rsidP="007139F7">
      <w:pPr>
        <w:shd w:val="clear" w:color="auto" w:fill="FFFFFF"/>
        <w:spacing w:before="166" w:after="166"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Внутрішня епітеліальна оболонка кісти тіреоглосальної протоки представлена плескатоклітинним, незроговілим стратифікуючим [37] або миготливим епітелієм, а подекуди – взагалі відсутнім [44].</w:t>
      </w:r>
    </w:p>
    <w:p w:rsidR="007139F7" w:rsidRPr="007139F7" w:rsidRDefault="007139F7" w:rsidP="007139F7">
      <w:pPr>
        <w:shd w:val="clear" w:color="auto" w:fill="FFFFFF"/>
        <w:spacing w:before="166" w:after="166" w:line="360" w:lineRule="auto"/>
        <w:ind w:firstLine="709"/>
        <w:jc w:val="both"/>
        <w:rPr>
          <w:rFonts w:eastAsia="Times New Roman" w:cs="Times New Roman"/>
          <w:color w:val="000000"/>
          <w:sz w:val="28"/>
          <w:szCs w:val="28"/>
          <w:lang w:eastAsia="ru-RU"/>
        </w:rPr>
      </w:pPr>
      <w:r w:rsidRPr="007139F7">
        <w:rPr>
          <w:rFonts w:eastAsia="Times New Roman" w:cs="Times New Roman"/>
          <w:color w:val="000000"/>
          <w:sz w:val="28"/>
          <w:szCs w:val="28"/>
          <w:lang w:eastAsia="ru-RU"/>
        </w:rPr>
        <w:t>Серединні кісти шиї більш схильні до нагноєння, ніж латеральні. Згідно літературних джерел у близько 1% випадків відбувається малігнізація тіреоглосальних кіст [45].</w:t>
      </w:r>
    </w:p>
    <w:p w:rsidR="007139F7" w:rsidRPr="00D65158" w:rsidRDefault="007139F7" w:rsidP="007139F7">
      <w:pPr>
        <w:shd w:val="clear" w:color="auto" w:fill="FFFFFF"/>
        <w:spacing w:before="166" w:after="166" w:line="360" w:lineRule="auto"/>
        <w:ind w:firstLine="709"/>
        <w:jc w:val="both"/>
        <w:rPr>
          <w:rFonts w:eastAsia="Calibri" w:cs="Times New Roman"/>
          <w:sz w:val="28"/>
          <w:szCs w:val="28"/>
        </w:rPr>
      </w:pPr>
      <w:r w:rsidRPr="007139F7">
        <w:rPr>
          <w:rFonts w:eastAsia="Times New Roman" w:cs="Times New Roman"/>
          <w:color w:val="000000"/>
          <w:sz w:val="28"/>
          <w:szCs w:val="28"/>
          <w:lang w:eastAsia="ru-RU"/>
        </w:rPr>
        <w:t xml:space="preserve">За даними літератури рецидиви після хірургічного лікування пацієнтів </w:t>
      </w:r>
      <w:r w:rsidRPr="00D65158">
        <w:rPr>
          <w:rFonts w:eastAsia="Times New Roman" w:cs="Times New Roman"/>
          <w:sz w:val="28"/>
          <w:szCs w:val="28"/>
          <w:lang w:eastAsia="ru-RU"/>
        </w:rPr>
        <w:t>з тіреоглосальними кістами шиї складають до 4% [46], причому переважна більшість авторів вважає, що резекція тіла під’язикової кістки знижує вірогідність рецидиву до 0% [47].</w:t>
      </w:r>
    </w:p>
    <w:p w:rsidR="007139F7" w:rsidRPr="00D65158" w:rsidRDefault="007139F7" w:rsidP="007139F7">
      <w:pPr>
        <w:shd w:val="clear" w:color="auto" w:fill="FFFFFF"/>
        <w:spacing w:before="166" w:after="166" w:line="360" w:lineRule="auto"/>
        <w:ind w:firstLine="709"/>
        <w:jc w:val="both"/>
        <w:rPr>
          <w:rFonts w:eastAsia="Calibri" w:cs="Times New Roman"/>
          <w:sz w:val="28"/>
          <w:szCs w:val="28"/>
        </w:rPr>
      </w:pPr>
      <w:r w:rsidRPr="00D65158">
        <w:rPr>
          <w:rFonts w:eastAsia="Calibri" w:cs="Times New Roman"/>
          <w:sz w:val="28"/>
          <w:szCs w:val="28"/>
        </w:rPr>
        <w:t>Таким чином, кісти шиї ембріонального походження є досить розповсюдженою патологією щелепно-лицевої локалізації, яка потребує хірургічного лікування. Тому має місце необхідність модифікації та оптимізації даного виду оперативних втручань, яке супроводжується формуванням рубцевозміненої тканини на відкритих ділянках шиї.</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p>
    <w:p w:rsidR="007139F7" w:rsidRPr="007139F7" w:rsidRDefault="007139F7" w:rsidP="007139F7">
      <w:pPr>
        <w:spacing w:after="0" w:line="360" w:lineRule="auto"/>
        <w:ind w:left="23" w:right="23" w:firstLine="685"/>
        <w:rPr>
          <w:rFonts w:eastAsia="Calibri" w:cs="Times New Roman"/>
          <w:b/>
          <w:sz w:val="28"/>
          <w:szCs w:val="28"/>
          <w:shd w:val="clear" w:color="auto" w:fill="FFFFFF"/>
        </w:rPr>
      </w:pPr>
      <w:r w:rsidRPr="007139F7">
        <w:rPr>
          <w:rFonts w:eastAsia="Calibri" w:cs="Times New Roman"/>
          <w:b/>
          <w:sz w:val="28"/>
          <w:szCs w:val="28"/>
          <w:shd w:val="clear" w:color="auto" w:fill="FFFFFF"/>
        </w:rPr>
        <w:t>1.2 Види рубцевої тканини, механізми їх формування</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Рубець (</w:t>
      </w:r>
      <w:r w:rsidRPr="007139F7">
        <w:rPr>
          <w:rFonts w:eastAsia="Calibri" w:cs="Times New Roman"/>
          <w:sz w:val="28"/>
          <w:szCs w:val="28"/>
          <w:shd w:val="clear" w:color="auto" w:fill="FFFFFF"/>
          <w:lang w:val="ru-RU"/>
        </w:rPr>
        <w:t>Cicatrix</w:t>
      </w:r>
      <w:r w:rsidRPr="007139F7">
        <w:rPr>
          <w:rFonts w:eastAsia="Calibri" w:cs="Times New Roman"/>
          <w:sz w:val="28"/>
          <w:szCs w:val="28"/>
          <w:shd w:val="clear" w:color="auto" w:fill="FFFFFF"/>
        </w:rPr>
        <w:t xml:space="preserve">) – це вторинний морфологічний елемент шкіри, який являє собою щільне утворення, яке містить в собі гіалінізовану, багату на колагенові волокна сполучну тканину. Його формування виникає внаслідок процесів репаративної регенерації на місці запального процесу, що виникає в результаті ушкодження шкірних покривів. Рубцювання являє собою патофізіологічний процес регенерації шкіри, направлений на закриття її дефекту </w:t>
      </w:r>
      <w:r w:rsidRPr="007139F7">
        <w:rPr>
          <w:rFonts w:eastAsia="Calibri" w:cs="Times New Roman"/>
          <w:sz w:val="28"/>
          <w:szCs w:val="28"/>
          <w:shd w:val="clear" w:color="auto" w:fill="FFFFFF"/>
          <w:lang w:val="ru-RU"/>
        </w:rPr>
        <w:t>[48-51]</w:t>
      </w:r>
      <w:r w:rsidRPr="007139F7">
        <w:rPr>
          <w:rFonts w:eastAsia="Calibri" w:cs="Times New Roman"/>
          <w:sz w:val="28"/>
          <w:szCs w:val="28"/>
          <w:shd w:val="clear" w:color="auto" w:fill="FFFFFF"/>
        </w:rPr>
        <w:t>.</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lastRenderedPageBreak/>
        <w:t xml:space="preserve">Причинами утворення рубців можуть бути різноманітні фактори, такі, як травматичні або опікові ушкодження, оперативні втручання, гнійно-запальні захворювання тощо. </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 xml:space="preserve">При дефекті шкіри в межах епідермісу формування рубців не відбувається, оскільки дефект шкірних покривів заміщується внаслідок розмноження клітин росткового шару, тобто відбувається епітелізація. Процеси рубцювання відбуваються вже при ушкодженні базального шару епідермісу та більш глибоких шарів шкіри [52-54]. </w:t>
      </w:r>
    </w:p>
    <w:p w:rsidR="007139F7" w:rsidRPr="007139F7" w:rsidRDefault="007139F7" w:rsidP="007139F7">
      <w:p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val="en-US"/>
        </w:rPr>
        <w:t>Niessen</w:t>
      </w:r>
      <w:r w:rsidRPr="007139F7">
        <w:rPr>
          <w:rFonts w:eastAsia="Calibri" w:cs="Times New Roman"/>
          <w:sz w:val="28"/>
          <w:szCs w:val="28"/>
        </w:rPr>
        <w:t xml:space="preserve"> </w:t>
      </w:r>
      <w:r w:rsidRPr="007139F7">
        <w:rPr>
          <w:rFonts w:eastAsia="Calibri" w:cs="Times New Roman"/>
          <w:sz w:val="28"/>
          <w:szCs w:val="28"/>
          <w:lang w:val="en-US"/>
        </w:rPr>
        <w:t>F</w:t>
      </w:r>
      <w:r w:rsidRPr="007139F7">
        <w:rPr>
          <w:rFonts w:eastAsia="Calibri" w:cs="Times New Roman"/>
          <w:sz w:val="28"/>
          <w:szCs w:val="28"/>
        </w:rPr>
        <w:t>.</w:t>
      </w:r>
      <w:r w:rsidRPr="007139F7">
        <w:rPr>
          <w:rFonts w:eastAsia="Calibri" w:cs="Times New Roman"/>
          <w:sz w:val="28"/>
          <w:szCs w:val="28"/>
          <w:lang w:val="en-US"/>
        </w:rPr>
        <w:t>B</w:t>
      </w:r>
      <w:r w:rsidRPr="007139F7">
        <w:rPr>
          <w:rFonts w:eastAsia="Calibri" w:cs="Times New Roman"/>
          <w:sz w:val="28"/>
          <w:szCs w:val="28"/>
        </w:rPr>
        <w:t xml:space="preserve">. </w:t>
      </w:r>
      <w:r w:rsidRPr="007139F7">
        <w:rPr>
          <w:rFonts w:eastAsia="Calibri" w:cs="Times New Roman"/>
          <w:sz w:val="28"/>
          <w:szCs w:val="28"/>
          <w:lang w:val="de-DE" w:eastAsia="de-DE"/>
        </w:rPr>
        <w:t>et al.,</w:t>
      </w:r>
      <w:r w:rsidRPr="007139F7">
        <w:rPr>
          <w:rFonts w:eastAsia="Calibri" w:cs="Times New Roman"/>
          <w:sz w:val="28"/>
          <w:szCs w:val="28"/>
          <w:lang w:eastAsia="de-DE"/>
        </w:rPr>
        <w:t xml:space="preserve"> </w:t>
      </w:r>
      <w:r w:rsidRPr="007139F7">
        <w:rPr>
          <w:rFonts w:eastAsia="Calibri" w:cs="Times New Roman"/>
          <w:sz w:val="28"/>
          <w:szCs w:val="28"/>
          <w:lang w:val="de-DE" w:eastAsia="de-DE"/>
        </w:rPr>
        <w:t>1999</w:t>
      </w:r>
      <w:r w:rsidRPr="007139F7">
        <w:rPr>
          <w:rFonts w:eastAsia="Calibri" w:cs="Times New Roman"/>
          <w:sz w:val="28"/>
          <w:szCs w:val="28"/>
          <w:lang w:eastAsia="de-DE"/>
        </w:rPr>
        <w:t xml:space="preserve"> виділяють 3 фази у процесі загоєння рани: </w:t>
      </w:r>
    </w:p>
    <w:p w:rsidR="007139F7" w:rsidRPr="007139F7" w:rsidRDefault="007139F7" w:rsidP="007139F7">
      <w:p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 xml:space="preserve">1. Запалення та травматичного набряку. Відбувається з часу пошкодження шкірних покривів та крововиливу в рану. Характеризується активацією внутрішнього та зовнішнього каскаду гемостазу, а пошкодження тромбоцитів ініціює каскад коагуляції (від моменту виникнення рани до 5-7 діб). </w:t>
      </w:r>
    </w:p>
    <w:p w:rsidR="007139F7" w:rsidRPr="007139F7" w:rsidRDefault="007139F7" w:rsidP="007139F7">
      <w:p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 xml:space="preserve">2. Проліферації та утворення грануляційної тканини. У даній фазі відбувається формування екстракорпорального матриксу під впливом факторів росту та медіаторів запалення (1-4 тиждень). </w:t>
      </w:r>
    </w:p>
    <w:p w:rsidR="007139F7" w:rsidRPr="007139F7" w:rsidRDefault="007139F7" w:rsidP="007139F7">
      <w:p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3. Епітелізація та організація рубця. Проявляється переходом колагену ІІІ типу в колаген І типу та загоєнням рани (до 6 місяців) [</w:t>
      </w:r>
      <w:r w:rsidRPr="007139F7">
        <w:rPr>
          <w:rFonts w:eastAsia="Calibri" w:cs="Times New Roman"/>
          <w:sz w:val="28"/>
          <w:szCs w:val="28"/>
          <w:lang w:val="ru-RU" w:eastAsia="de-DE"/>
        </w:rPr>
        <w:t>55</w:t>
      </w:r>
      <w:r w:rsidRPr="007139F7">
        <w:rPr>
          <w:rFonts w:eastAsia="Calibri" w:cs="Times New Roman"/>
          <w:sz w:val="28"/>
          <w:szCs w:val="28"/>
          <w:lang w:eastAsia="de-DE"/>
        </w:rPr>
        <w:t xml:space="preserve">]. </w:t>
      </w:r>
    </w:p>
    <w:p w:rsidR="007139F7" w:rsidRPr="007139F7" w:rsidRDefault="007139F7" w:rsidP="007139F7">
      <w:p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Інші автори (Білоусов А.Е.) у процесі формування рубцевої тканини вказують на наявність 4 стадій:</w:t>
      </w:r>
    </w:p>
    <w:p w:rsidR="007139F7" w:rsidRPr="007139F7" w:rsidRDefault="007139F7" w:rsidP="007139F7">
      <w:pPr>
        <w:numPr>
          <w:ilvl w:val="0"/>
          <w:numId w:val="3"/>
        </w:num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Стадія післяопераційного запалення та епітелізації рани. Вивільнення трансформуючих факторів росту внаслідок пошкодження тромбоцитів, синтез екстракорпорального матриксу та ангіогенез. Відбувається проліферація та диференціація кератиноцитів (1-10 діб після ушкодження).</w:t>
      </w:r>
    </w:p>
    <w:p w:rsidR="007139F7" w:rsidRPr="007139F7" w:rsidRDefault="007139F7" w:rsidP="007139F7">
      <w:pPr>
        <w:numPr>
          <w:ilvl w:val="0"/>
          <w:numId w:val="3"/>
        </w:num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Стадія активного фібрилогенезу та утворення нещільного рубця. Проявляється утворенням грануляційної тканини в рані. Регресія кровоносних мікросудин та збільшення концентрації колагенових та еластичних волокон (10-30 діб після ушкодження).</w:t>
      </w:r>
    </w:p>
    <w:p w:rsidR="007139F7" w:rsidRPr="007139F7" w:rsidRDefault="007139F7" w:rsidP="007139F7">
      <w:pPr>
        <w:numPr>
          <w:ilvl w:val="0"/>
          <w:numId w:val="3"/>
        </w:num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lastRenderedPageBreak/>
        <w:t>Стадія утворення щільного рубця. Характерною особливістю даної фази рубцеутворення є переважання колагену ІІІ типу над колагеном І типу. Відбувається збільшення колагенових та еластичних волокон (30-90 діб після ушкодження).</w:t>
      </w:r>
    </w:p>
    <w:p w:rsidR="007139F7" w:rsidRPr="007139F7" w:rsidRDefault="007139F7" w:rsidP="007139F7">
      <w:pPr>
        <w:numPr>
          <w:ilvl w:val="0"/>
          <w:numId w:val="3"/>
        </w:numPr>
        <w:spacing w:after="0" w:line="360" w:lineRule="auto"/>
        <w:ind w:left="23" w:right="23" w:firstLine="697"/>
        <w:jc w:val="both"/>
        <w:rPr>
          <w:rFonts w:eastAsia="Calibri" w:cs="Times New Roman"/>
          <w:sz w:val="28"/>
          <w:szCs w:val="28"/>
          <w:lang w:eastAsia="de-DE"/>
        </w:rPr>
      </w:pPr>
      <w:r w:rsidRPr="007139F7">
        <w:rPr>
          <w:rFonts w:eastAsia="Calibri" w:cs="Times New Roman"/>
          <w:sz w:val="28"/>
          <w:szCs w:val="28"/>
          <w:lang w:eastAsia="de-DE"/>
        </w:rPr>
        <w:t>Стадія завершальної рубцевої трансформації. Спостерігається зникнення кровоносних мікросудин та відбувається лізис надлишку колагенових волокон (до 3-12 місяців) [48, 49].</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За Н.М. Міхельсоном виділяють 4 стадії формування рубця, що відповідають вже наведеним даним:</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 епітелізація (2-2,5 тижні);</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 набухання (3-4 тижні);</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 ущільнення (2-3 тижні);</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 розм’якшення (3-4 тижні) [56].</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Згідно клінічних проявів не існує однієї загальноприйнятої класифікації рубців. Найбільш поширеним є розподіл на нормотрофічні, атрофічні, гіпертрофічні та келоїдні рубці [48, 49, 57].</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rPr>
      </w:pPr>
      <w:r w:rsidRPr="007139F7">
        <w:rPr>
          <w:rFonts w:eastAsia="Calibri" w:cs="Times New Roman"/>
          <w:sz w:val="28"/>
          <w:szCs w:val="28"/>
          <w:shd w:val="clear" w:color="auto" w:fill="FFFFFF"/>
        </w:rPr>
        <w:t>Згідно класифікації Московського центру дитячої щелепно-лицевої хірургії виділяють наступні форми рубцевої тканини:</w:t>
      </w:r>
    </w:p>
    <w:p w:rsidR="007139F7" w:rsidRPr="007139F7" w:rsidRDefault="007139F7" w:rsidP="007139F7">
      <w:pPr>
        <w:numPr>
          <w:ilvl w:val="0"/>
          <w:numId w:val="4"/>
        </w:numPr>
        <w:spacing w:after="0" w:line="360" w:lineRule="auto"/>
        <w:ind w:right="23"/>
        <w:jc w:val="both"/>
        <w:rPr>
          <w:rFonts w:eastAsia="Calibri" w:cs="Times New Roman"/>
          <w:sz w:val="28"/>
          <w:szCs w:val="28"/>
          <w:shd w:val="clear" w:color="auto" w:fill="FFFFFF"/>
        </w:rPr>
      </w:pPr>
      <w:r w:rsidRPr="007139F7">
        <w:rPr>
          <w:rFonts w:eastAsia="Calibri" w:cs="Times New Roman"/>
          <w:sz w:val="28"/>
          <w:szCs w:val="28"/>
          <w:shd w:val="clear" w:color="auto" w:fill="FFFFFF"/>
        </w:rPr>
        <w:t>патологічні рубці (гіпертрофічні та келоїдні);</w:t>
      </w:r>
    </w:p>
    <w:p w:rsidR="007139F7" w:rsidRPr="007139F7" w:rsidRDefault="007139F7" w:rsidP="007139F7">
      <w:pPr>
        <w:numPr>
          <w:ilvl w:val="0"/>
          <w:numId w:val="4"/>
        </w:numPr>
        <w:spacing w:after="0" w:line="360" w:lineRule="auto"/>
        <w:ind w:right="23"/>
        <w:jc w:val="both"/>
        <w:rPr>
          <w:rFonts w:eastAsia="Calibri" w:cs="Times New Roman"/>
          <w:sz w:val="28"/>
          <w:szCs w:val="28"/>
          <w:shd w:val="clear" w:color="auto" w:fill="FFFFFF"/>
        </w:rPr>
      </w:pPr>
      <w:r w:rsidRPr="007139F7">
        <w:rPr>
          <w:rFonts w:eastAsia="Calibri" w:cs="Times New Roman"/>
          <w:sz w:val="28"/>
          <w:szCs w:val="28"/>
          <w:shd w:val="clear" w:color="auto" w:fill="FFFFFF"/>
        </w:rPr>
        <w:t>нормотрофічні (атрофічні, деформуючі та ембріональні) [54, 58].</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Щодо ступеню зрілості виділяють незрілі (до 3 місяців), помірно зрілі (від 3 до 12 місяців) та зрілі рубці (більше 12 місяців).</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Також необхідно враховувати ступінь активності клінічних проявів рубцевої тканини, що розподіляє рубці на активні та неактивні [48].</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Нормотрофічний рубець – оптимальний результат загоєння рани, для якого характерні наближені до інтактної шкіри параметри еластичності, кольору та рельєфу.</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Атрофічний рубець – характеризується дещо нижчім розташуванням відносно поверхні шкіри та утворюється у місцях із дефіцитом підшкірно-жирової клітковини.</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lastRenderedPageBreak/>
        <w:t>Гіпертрофічний рубець – вид щільної патологічної рубцевої тканини, який підіймається на рівнем непошкодженого шкірного покриву, не виходячи за межі пошкодження, та обумовлюється надмірним вмістом неструктурованих колагенових волокон і відсутністю регресу капілярних судин.</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Келоїдний рубець – пухлиноподібне утворення незрілої сполучної тканини, яке виникає внаслідок неконтрольованої проліферації фібробластів. Його особливостями є швидкий ріст, наявність парестезій та больових відчуттів. Даний вид рубців завжди виходить за межі попереднього ушкодження тканини, є схильним до рецидивів після хірургічного лікування</w:t>
      </w:r>
      <w:r w:rsidRPr="007139F7">
        <w:rPr>
          <w:rFonts w:eastAsia="Calibri" w:cs="Times New Roman"/>
          <w:sz w:val="28"/>
          <w:szCs w:val="28"/>
          <w:shd w:val="clear" w:color="auto" w:fill="FFFFFF"/>
          <w:lang w:val="ru-RU"/>
        </w:rPr>
        <w:t xml:space="preserve"> [59, 60]</w:t>
      </w:r>
      <w:r w:rsidRPr="007139F7">
        <w:rPr>
          <w:rFonts w:eastAsia="Calibri" w:cs="Times New Roman"/>
          <w:sz w:val="28"/>
          <w:szCs w:val="28"/>
          <w:shd w:val="clear" w:color="auto" w:fill="FFFFFF"/>
        </w:rPr>
        <w:t>.</w:t>
      </w:r>
    </w:p>
    <w:p w:rsidR="007139F7" w:rsidRPr="007139F7" w:rsidRDefault="00417675" w:rsidP="007139F7">
      <w:pPr>
        <w:spacing w:after="0" w:line="360" w:lineRule="auto"/>
        <w:ind w:firstLine="720"/>
        <w:jc w:val="both"/>
        <w:rPr>
          <w:rFonts w:eastAsia="Times New Roman" w:cs="Times New Roman"/>
          <w:sz w:val="28"/>
          <w:szCs w:val="28"/>
          <w:lang w:eastAsia="ru-RU"/>
        </w:rPr>
      </w:pPr>
      <w:hyperlink r:id="rId10" w:history="1">
        <w:r w:rsidR="007139F7" w:rsidRPr="007139F7">
          <w:rPr>
            <w:rFonts w:eastAsia="Times New Roman" w:cs="Times New Roman"/>
            <w:sz w:val="28"/>
            <w:szCs w:val="28"/>
            <w:lang w:val="ru-RU" w:eastAsia="ru-RU"/>
          </w:rPr>
          <w:t>Ogawa</w:t>
        </w:r>
        <w:r w:rsidR="007139F7" w:rsidRPr="007139F7">
          <w:rPr>
            <w:rFonts w:eastAsia="Times New Roman" w:cs="Times New Roman"/>
            <w:sz w:val="28"/>
            <w:szCs w:val="28"/>
            <w:lang w:eastAsia="ru-RU"/>
          </w:rPr>
          <w:t xml:space="preserve"> </w:t>
        </w:r>
        <w:r w:rsidR="007139F7" w:rsidRPr="007139F7">
          <w:rPr>
            <w:rFonts w:eastAsia="Times New Roman" w:cs="Times New Roman"/>
            <w:sz w:val="28"/>
            <w:szCs w:val="28"/>
            <w:lang w:val="ru-RU" w:eastAsia="ru-RU"/>
          </w:rPr>
          <w:t>R</w:t>
        </w:r>
      </w:hyperlink>
      <w:r w:rsidR="007139F7" w:rsidRPr="007139F7">
        <w:rPr>
          <w:rFonts w:eastAsia="Times New Roman" w:cs="Times New Roman"/>
          <w:sz w:val="28"/>
          <w:szCs w:val="28"/>
          <w:lang w:eastAsia="ru-RU"/>
        </w:rPr>
        <w:t xml:space="preserve">. (2016) розділяє келоїдні рубці на первинні, які викликані вродженою ендотеліальною дисфункцією, та вторинні, які обумовлюються вторинною ендотеліальною дисфункцією внаслідок старіння, атеросклерозу, локального механічного впливу. Даний розподіл оснований на процесах формування патологічного рубця шляхом індукування ендотеліальної дисфункції (судинної гіперпроникності), на які під час стадії запалення впливають генетичні та системні фактори. Даний автор вважає, що первинні колоїди утворюються у молодому, а вторинні – у будь-якому віці та відрізняються за тяжкістю клінічного перебігу </w:t>
      </w:r>
      <w:r w:rsidR="007139F7" w:rsidRPr="007139F7">
        <w:rPr>
          <w:rFonts w:eastAsia="Times New Roman" w:cs="Times New Roman"/>
          <w:sz w:val="28"/>
          <w:szCs w:val="28"/>
          <w:lang w:val="ru-RU" w:eastAsia="ru-RU"/>
        </w:rPr>
        <w:t>[61, 62]</w:t>
      </w:r>
      <w:r w:rsidR="007139F7" w:rsidRPr="007139F7">
        <w:rPr>
          <w:rFonts w:eastAsia="Times New Roman" w:cs="Times New Roman"/>
          <w:sz w:val="28"/>
          <w:szCs w:val="28"/>
          <w:lang w:eastAsia="ru-RU"/>
        </w:rPr>
        <w:t xml:space="preserve">. </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 xml:space="preserve">Процес загоєння рани та рубцеутворення є суто індивідуальним та підлягає впливу різноманітних ендо- та екзогенних факторів. </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 xml:space="preserve">На характер формування рубцевої тканини впливають різноманітні фактори, такі як, глибина та площа утвореного дефекту, стан репаративних процесів організму. Якість утворення рубцевої тканини залежить від шляху загоєння рани. При загоєнні рани первинним натягом рубцева тканина має незначний об’єм, оскільки між клітинними елементами вже у перші дні після ушкодження проростають молоді сполучнотканинні фібробластичні тяжі. При загоєнні рани шляхом вторинного натягу рана проходить фазу формування грануляційної тканини, що спричиняє значне збільшення об’єму та зміну </w:t>
      </w:r>
      <w:r w:rsidRPr="007139F7">
        <w:rPr>
          <w:rFonts w:eastAsia="Calibri" w:cs="Times New Roman"/>
          <w:sz w:val="28"/>
          <w:szCs w:val="28"/>
          <w:shd w:val="clear" w:color="auto" w:fill="FFFFFF"/>
        </w:rPr>
        <w:lastRenderedPageBreak/>
        <w:t>кольору новоутвореного рубця. Це викликане проростанням волокнистих структур сполучної тканини між клітинами запального інфільтрату (лімфоцити, фібробласти, макрофаги, плазмоциди тощо) та новоутвореними судинами</w:t>
      </w:r>
      <w:r w:rsidRPr="007139F7">
        <w:rPr>
          <w:rFonts w:eastAsia="Calibri" w:cs="Times New Roman"/>
          <w:sz w:val="28"/>
          <w:szCs w:val="28"/>
          <w:shd w:val="clear" w:color="auto" w:fill="FFFFFF"/>
          <w:lang w:val="ru-RU"/>
        </w:rPr>
        <w:t xml:space="preserve"> [59, 62-65]</w:t>
      </w:r>
      <w:r w:rsidRPr="007139F7">
        <w:rPr>
          <w:rFonts w:eastAsia="Calibri" w:cs="Times New Roman"/>
          <w:sz w:val="28"/>
          <w:szCs w:val="28"/>
          <w:shd w:val="clear" w:color="auto" w:fill="FFFFFF"/>
        </w:rPr>
        <w:t>.</w:t>
      </w:r>
    </w:p>
    <w:p w:rsidR="007139F7" w:rsidRPr="007139F7" w:rsidRDefault="007139F7" w:rsidP="007139F7">
      <w:pPr>
        <w:shd w:val="clear" w:color="auto" w:fill="FFFFFF"/>
        <w:spacing w:after="0" w:line="360" w:lineRule="auto"/>
        <w:ind w:firstLine="720"/>
        <w:jc w:val="both"/>
        <w:rPr>
          <w:rFonts w:eastAsia="Calibri" w:cs="Times New Roman"/>
          <w:sz w:val="28"/>
          <w:szCs w:val="28"/>
        </w:rPr>
      </w:pPr>
      <w:r w:rsidRPr="007139F7">
        <w:rPr>
          <w:rFonts w:eastAsia="Calibri" w:cs="Times New Roman"/>
          <w:sz w:val="28"/>
          <w:szCs w:val="28"/>
        </w:rPr>
        <w:t>Згідно статистичних даних відомо, що у людей із темною шкірою у 15 разів частіше виникають келоїди, ніж у тих, що мають світлу шкіру, а в альбіносів взагалі відсутні келоїдні рубці. Також має місце генетична схильність до утворення даного типу рубцевої тканини [</w:t>
      </w:r>
      <w:r w:rsidRPr="007139F7">
        <w:rPr>
          <w:rFonts w:eastAsia="Calibri" w:cs="Times New Roman"/>
          <w:sz w:val="28"/>
          <w:szCs w:val="28"/>
          <w:lang w:val="ru-RU"/>
        </w:rPr>
        <w:t>66</w:t>
      </w:r>
      <w:r w:rsidRPr="007139F7">
        <w:rPr>
          <w:rFonts w:eastAsia="Calibri" w:cs="Times New Roman"/>
          <w:sz w:val="28"/>
          <w:szCs w:val="28"/>
        </w:rPr>
        <w:t>].</w:t>
      </w:r>
    </w:p>
    <w:p w:rsidR="007139F7" w:rsidRPr="007139F7" w:rsidRDefault="007139F7" w:rsidP="007139F7">
      <w:pPr>
        <w:shd w:val="clear" w:color="auto" w:fill="FFFFFF"/>
        <w:spacing w:after="0" w:line="360" w:lineRule="auto"/>
        <w:ind w:firstLine="720"/>
        <w:jc w:val="both"/>
        <w:rPr>
          <w:rFonts w:eastAsia="Calibri" w:cs="Times New Roman"/>
          <w:sz w:val="28"/>
          <w:szCs w:val="28"/>
        </w:rPr>
      </w:pPr>
      <w:r w:rsidRPr="007139F7">
        <w:rPr>
          <w:rFonts w:eastAsia="Calibri" w:cs="Times New Roman"/>
          <w:sz w:val="28"/>
          <w:szCs w:val="28"/>
        </w:rPr>
        <w:t>Окрім цього формуванню келоїдних рубців сприяє підлітковий вік та вагітність. Це може пояснюватися можливим вазодилатуючим ефектом статевих гормонів. Даний ефект підтверджується тим, що замісна терапія естрогеном та вагітність сприяєть збільшенню гемангіом, що вказує на пошкодження судин. Також встановлено, ризик розвитку келоїдних рубців збільшується за гіпертонічної хвороби [</w:t>
      </w:r>
      <w:r w:rsidRPr="007139F7">
        <w:rPr>
          <w:rFonts w:eastAsia="Calibri" w:cs="Times New Roman"/>
          <w:sz w:val="28"/>
          <w:szCs w:val="28"/>
          <w:lang w:val="ru-RU"/>
        </w:rPr>
        <w:t>61</w:t>
      </w:r>
      <w:r w:rsidRPr="007139F7">
        <w:rPr>
          <w:rFonts w:eastAsia="Calibri" w:cs="Times New Roman"/>
          <w:sz w:val="28"/>
          <w:szCs w:val="28"/>
        </w:rPr>
        <w:t xml:space="preserve">, </w:t>
      </w:r>
      <w:r w:rsidRPr="007139F7">
        <w:rPr>
          <w:rFonts w:eastAsia="Calibri" w:cs="Times New Roman"/>
          <w:sz w:val="28"/>
          <w:szCs w:val="28"/>
          <w:lang w:val="ru-RU"/>
        </w:rPr>
        <w:t>67, 68].</w:t>
      </w:r>
      <w:r w:rsidRPr="007139F7">
        <w:rPr>
          <w:rFonts w:eastAsia="Calibri" w:cs="Times New Roman"/>
          <w:sz w:val="28"/>
          <w:szCs w:val="28"/>
        </w:rPr>
        <w:t xml:space="preserve"> </w:t>
      </w:r>
    </w:p>
    <w:p w:rsidR="007139F7" w:rsidRPr="007139F7" w:rsidRDefault="007139F7" w:rsidP="007139F7">
      <w:pPr>
        <w:spacing w:after="0" w:line="360" w:lineRule="auto"/>
        <w:ind w:right="23" w:firstLine="720"/>
        <w:jc w:val="both"/>
        <w:rPr>
          <w:rFonts w:eastAsia="Calibri" w:cs="Times New Roman"/>
          <w:sz w:val="28"/>
          <w:szCs w:val="28"/>
          <w:shd w:val="clear" w:color="auto" w:fill="FFFFFF"/>
        </w:rPr>
      </w:pPr>
      <w:r w:rsidRPr="007139F7">
        <w:rPr>
          <w:rFonts w:eastAsia="Calibri" w:cs="Times New Roman"/>
          <w:sz w:val="28"/>
          <w:szCs w:val="28"/>
          <w:shd w:val="clear" w:color="auto" w:fill="FFFFFF"/>
        </w:rPr>
        <w:t xml:space="preserve">Також вагомим фактором, який впливає на процеси рубцеутворення є час загоєння рани. Згідно даних </w:t>
      </w:r>
      <w:r w:rsidRPr="007139F7">
        <w:rPr>
          <w:rFonts w:eastAsia="Calibri" w:cs="Times New Roman"/>
          <w:sz w:val="28"/>
          <w:szCs w:val="28"/>
          <w:lang w:eastAsia="ru-RU"/>
        </w:rPr>
        <w:t>Аганипа E.H., Ведерникова О.Л., 2008 п</w:t>
      </w:r>
      <w:r w:rsidRPr="007139F7">
        <w:rPr>
          <w:rFonts w:eastAsia="Calibri" w:cs="Times New Roman"/>
          <w:sz w:val="28"/>
          <w:szCs w:val="28"/>
          <w:shd w:val="clear" w:color="auto" w:fill="FFFFFF"/>
        </w:rPr>
        <w:t>ри повному загоєнні рани протягом 21 доби формування патологічних рубців має місце у 33% пацієнтів, а більш повільне загоєння рани збільшує даний показник до 78%</w:t>
      </w:r>
      <w:r w:rsidRPr="007139F7">
        <w:rPr>
          <w:rFonts w:eastAsia="Calibri" w:cs="Times New Roman"/>
          <w:sz w:val="28"/>
          <w:szCs w:val="28"/>
          <w:shd w:val="clear" w:color="auto" w:fill="FFFFFF"/>
          <w:lang w:val="ru-RU"/>
        </w:rPr>
        <w:t xml:space="preserve"> [69]</w:t>
      </w:r>
      <w:r w:rsidRPr="007139F7">
        <w:rPr>
          <w:rFonts w:eastAsia="Calibri" w:cs="Times New Roman"/>
          <w:sz w:val="28"/>
          <w:szCs w:val="28"/>
          <w:shd w:val="clear" w:color="auto" w:fill="FFFFFF"/>
        </w:rPr>
        <w:t>.</w:t>
      </w:r>
    </w:p>
    <w:p w:rsidR="007139F7" w:rsidRPr="007139F7" w:rsidRDefault="007139F7" w:rsidP="007139F7">
      <w:pPr>
        <w:shd w:val="clear" w:color="auto" w:fill="FFFFFF"/>
        <w:spacing w:after="0" w:line="360" w:lineRule="auto"/>
        <w:ind w:firstLine="720"/>
        <w:jc w:val="both"/>
        <w:rPr>
          <w:rFonts w:eastAsia="Calibri" w:cs="Times New Roman"/>
          <w:color w:val="000000"/>
          <w:sz w:val="28"/>
          <w:szCs w:val="28"/>
          <w:lang w:val="ru-RU"/>
        </w:rPr>
      </w:pPr>
      <w:r w:rsidRPr="007139F7">
        <w:rPr>
          <w:rFonts w:eastAsia="Calibri" w:cs="Times New Roman"/>
          <w:sz w:val="28"/>
          <w:szCs w:val="28"/>
        </w:rPr>
        <w:t xml:space="preserve">Відомим є той факт, що кисень відіграє вирішальну роль у процесі загоєння, вторинній епітелізації та інших процесах загоєння рани [70, 71]. Згідно літературних даних при келоїдному патогенезі вирішальну роль відіграє гіпоксія, оскільки призводить до аномально великої кількості закупорених мікросудин [72-75]. Встановлено, що гіпоксія збільшує експресію ендотеліального фактора росту (VEGF) у келоїдних фібробластах </w:t>
      </w:r>
      <w:r w:rsidRPr="007139F7">
        <w:rPr>
          <w:rFonts w:eastAsia="Calibri" w:cs="Times New Roman"/>
          <w:sz w:val="28"/>
          <w:szCs w:val="28"/>
          <w:lang w:val="ru-RU"/>
        </w:rPr>
        <w:t>[76]</w:t>
      </w:r>
      <w:r w:rsidRPr="007139F7">
        <w:rPr>
          <w:rFonts w:eastAsia="Calibri" w:cs="Times New Roman"/>
          <w:sz w:val="28"/>
          <w:szCs w:val="28"/>
        </w:rPr>
        <w:t xml:space="preserve">. Рівень індукованих факторів гіпоксії (HIF-1α) постійно вище у свіжо біопсійних келоїдних тканинах, ніж у пов'язаних з ними межах інтактної шкіри, що забезпечує безпосереднє підтвердження локального гіпоксичного стану в келоїдах [77]. Проте, немає достатньо даних, як саме гіпоксія впливає на </w:t>
      </w:r>
      <w:r w:rsidRPr="007139F7">
        <w:rPr>
          <w:rFonts w:eastAsia="Calibri" w:cs="Times New Roman"/>
          <w:sz w:val="28"/>
          <w:szCs w:val="28"/>
        </w:rPr>
        <w:lastRenderedPageBreak/>
        <w:t>процеси диференціювання фібробластів шкіри людини до міофібробластів</w:t>
      </w:r>
      <w:r w:rsidRPr="007139F7">
        <w:rPr>
          <w:rFonts w:eastAsia="Calibri" w:cs="Times New Roman"/>
          <w:sz w:val="28"/>
          <w:szCs w:val="28"/>
          <w:lang w:val="ru-RU"/>
        </w:rPr>
        <w:t xml:space="preserve"> [78]</w:t>
      </w:r>
      <w:r w:rsidRPr="007139F7">
        <w:rPr>
          <w:rFonts w:eastAsia="Calibri" w:cs="Times New Roman"/>
          <w:color w:val="000000"/>
          <w:sz w:val="28"/>
          <w:szCs w:val="28"/>
          <w:lang w:val="ru-RU"/>
        </w:rPr>
        <w:t>.</w:t>
      </w:r>
    </w:p>
    <w:p w:rsidR="007139F7" w:rsidRPr="007139F7" w:rsidRDefault="007139F7" w:rsidP="007139F7">
      <w:pPr>
        <w:shd w:val="clear" w:color="auto" w:fill="FFFFFF"/>
        <w:spacing w:after="0" w:line="360" w:lineRule="auto"/>
        <w:ind w:firstLine="720"/>
        <w:jc w:val="both"/>
        <w:rPr>
          <w:rFonts w:eastAsia="Calibri" w:cs="Times New Roman"/>
          <w:color w:val="000000"/>
          <w:sz w:val="28"/>
          <w:szCs w:val="28"/>
        </w:rPr>
      </w:pPr>
      <w:r w:rsidRPr="007139F7">
        <w:rPr>
          <w:rFonts w:eastAsia="Calibri" w:cs="Times New Roman"/>
          <w:sz w:val="28"/>
          <w:szCs w:val="28"/>
        </w:rPr>
        <w:t>Гіпоксію традиційно розглядають як важливий стимул росту</w:t>
      </w:r>
      <w:r w:rsidRPr="007139F7">
        <w:rPr>
          <w:rFonts w:eastAsia="Calibri" w:cs="Times New Roman"/>
          <w:sz w:val="28"/>
          <w:szCs w:val="28"/>
          <w:lang w:val="ru-RU"/>
        </w:rPr>
        <w:t xml:space="preserve"> </w:t>
      </w:r>
      <w:r w:rsidRPr="007139F7">
        <w:rPr>
          <w:rFonts w:eastAsia="Calibri" w:cs="Times New Roman"/>
          <w:sz w:val="28"/>
          <w:szCs w:val="28"/>
        </w:rPr>
        <w:t>фібробластів та ангіогенезу через активацію HIF-1α [79]. HIF-1α, який діє як ключовий фактор транскрипції у відповідь на гіпоксичний стрес, регулюючи гени, що беруть участь у підтримці кисневого гомеостазу, критично впливає на практично всі процеси загоєння і ремоделювання ран [80]. Він також пов'язаний з прогресуванням ракових пухлин, метастазуванням та фібротичними розладами, і виникає як важливий тригер і модулятор епітеліально-мезенхімального переходу (EMT) [81]. Оскільки, епідерміс є відносно гіпоксичною тканиною, то сигналізація гіпоксії та HIF-1α може відігравати важливу роль при формуванні келоїдів [82-84]</w:t>
      </w:r>
      <w:r w:rsidRPr="007139F7">
        <w:rPr>
          <w:rFonts w:eastAsia="Calibri" w:cs="Times New Roman"/>
          <w:color w:val="000000"/>
          <w:sz w:val="28"/>
          <w:szCs w:val="28"/>
        </w:rPr>
        <w:t>.</w:t>
      </w:r>
    </w:p>
    <w:p w:rsidR="007139F7" w:rsidRPr="007139F7" w:rsidRDefault="007139F7" w:rsidP="007139F7">
      <w:pPr>
        <w:shd w:val="clear" w:color="auto" w:fill="FFFFFF"/>
        <w:spacing w:after="0" w:line="360" w:lineRule="auto"/>
        <w:ind w:right="23" w:firstLine="720"/>
        <w:jc w:val="both"/>
        <w:rPr>
          <w:rFonts w:eastAsia="Times New Roman" w:cs="Times New Roman"/>
          <w:sz w:val="28"/>
          <w:szCs w:val="28"/>
          <w:lang w:eastAsia="ru-RU"/>
        </w:rPr>
      </w:pPr>
      <w:r w:rsidRPr="007139F7">
        <w:rPr>
          <w:rFonts w:eastAsia="Times New Roman" w:cs="Times New Roman"/>
          <w:sz w:val="28"/>
          <w:szCs w:val="28"/>
          <w:lang w:eastAsia="ru-RU"/>
        </w:rPr>
        <w:t>Гіпоксія сприяє процесам неконтрольованого колагеноутворення та синтезу міжклітинного матриксу через безпосередній вплив на структуру біомембран, що є специфічним для будови патологічної рубцевої тканини [51, 85].</w:t>
      </w:r>
    </w:p>
    <w:p w:rsidR="007139F7" w:rsidRPr="007139F7" w:rsidRDefault="007139F7" w:rsidP="007139F7">
      <w:pPr>
        <w:shd w:val="clear" w:color="auto" w:fill="FFFFFF"/>
        <w:spacing w:after="0" w:line="360" w:lineRule="auto"/>
        <w:ind w:right="23" w:firstLine="720"/>
        <w:jc w:val="both"/>
        <w:rPr>
          <w:rFonts w:eastAsia="Times New Roman" w:cs="Times New Roman"/>
          <w:sz w:val="28"/>
          <w:szCs w:val="28"/>
          <w:lang w:eastAsia="ru-RU"/>
        </w:rPr>
      </w:pPr>
      <w:r w:rsidRPr="007139F7">
        <w:rPr>
          <w:rFonts w:eastAsia="Times New Roman" w:cs="Times New Roman"/>
          <w:sz w:val="28"/>
          <w:szCs w:val="28"/>
          <w:lang w:eastAsia="ru-RU"/>
        </w:rPr>
        <w:t xml:space="preserve">При опіках має місце значне порушення мікроциркуляції та синтезуються функціонально активні фібробласти, які опосередковують характер формування рубцевої тканини через утворення фіброзу внаслідок надмірного синтезу колагену [86-88]. </w:t>
      </w:r>
    </w:p>
    <w:p w:rsidR="007139F7" w:rsidRPr="007139F7" w:rsidRDefault="007139F7" w:rsidP="007139F7">
      <w:pPr>
        <w:spacing w:after="0" w:line="360" w:lineRule="auto"/>
        <w:ind w:firstLine="720"/>
        <w:jc w:val="both"/>
        <w:rPr>
          <w:rFonts w:eastAsia="Calibri" w:cs="Times New Roman"/>
          <w:color w:val="000000"/>
          <w:sz w:val="28"/>
          <w:lang w:val="ru-RU"/>
        </w:rPr>
      </w:pPr>
      <w:r w:rsidRPr="007139F7">
        <w:rPr>
          <w:rFonts w:eastAsia="Calibri" w:cs="Times New Roman"/>
          <w:sz w:val="28"/>
          <w:szCs w:val="28"/>
        </w:rPr>
        <w:t xml:space="preserve">Трансформація фібробластів у міофібробласти є однією з ключових ланок у процесі загоєння рани. При завершенні періоду дозрівання рубцевої тканини міофібробласти піддаються апоптозу, проте їх збереження сприяє формуванню патологічного рубця. В даному процесі ключовим фіброгенним цитокіном як </w:t>
      </w:r>
      <w:r w:rsidRPr="007139F7">
        <w:rPr>
          <w:rFonts w:eastAsia="Calibri" w:cs="Times New Roman"/>
          <w:sz w:val="28"/>
          <w:szCs w:val="28"/>
          <w:lang w:val="ru-RU"/>
        </w:rPr>
        <w:t>in</w:t>
      </w:r>
      <w:r w:rsidRPr="007139F7">
        <w:rPr>
          <w:rFonts w:eastAsia="Calibri" w:cs="Times New Roman"/>
          <w:sz w:val="28"/>
          <w:szCs w:val="28"/>
        </w:rPr>
        <w:t xml:space="preserve"> </w:t>
      </w:r>
      <w:r w:rsidRPr="007139F7">
        <w:rPr>
          <w:rFonts w:eastAsia="Calibri" w:cs="Times New Roman"/>
          <w:sz w:val="28"/>
          <w:szCs w:val="28"/>
          <w:lang w:val="ru-RU"/>
        </w:rPr>
        <w:t>vitro</w:t>
      </w:r>
      <w:r w:rsidRPr="007139F7">
        <w:rPr>
          <w:rFonts w:eastAsia="Calibri" w:cs="Times New Roman"/>
          <w:sz w:val="28"/>
          <w:szCs w:val="28"/>
        </w:rPr>
        <w:t xml:space="preserve">, так і </w:t>
      </w:r>
      <w:r w:rsidRPr="007139F7">
        <w:rPr>
          <w:rFonts w:eastAsia="Calibri" w:cs="Times New Roman"/>
          <w:sz w:val="28"/>
          <w:szCs w:val="28"/>
          <w:lang w:val="ru-RU"/>
        </w:rPr>
        <w:t>in</w:t>
      </w:r>
      <w:r w:rsidRPr="007139F7">
        <w:rPr>
          <w:rFonts w:eastAsia="Calibri" w:cs="Times New Roman"/>
          <w:sz w:val="28"/>
          <w:szCs w:val="28"/>
        </w:rPr>
        <w:t xml:space="preserve"> </w:t>
      </w:r>
      <w:r w:rsidRPr="007139F7">
        <w:rPr>
          <w:rFonts w:eastAsia="Calibri" w:cs="Times New Roman"/>
          <w:sz w:val="28"/>
          <w:szCs w:val="28"/>
          <w:lang w:val="ru-RU"/>
        </w:rPr>
        <w:t>vivo</w:t>
      </w:r>
      <w:r w:rsidRPr="007139F7">
        <w:rPr>
          <w:rFonts w:eastAsia="Calibri" w:cs="Times New Roman"/>
          <w:sz w:val="28"/>
          <w:szCs w:val="28"/>
        </w:rPr>
        <w:t xml:space="preserve"> є </w:t>
      </w:r>
      <w:r w:rsidRPr="007139F7">
        <w:rPr>
          <w:rFonts w:eastAsia="Calibri" w:cs="Times New Roman"/>
          <w:sz w:val="28"/>
          <w:szCs w:val="28"/>
          <w:lang w:val="ru-RU"/>
        </w:rPr>
        <w:t>TGF</w:t>
      </w:r>
      <w:r w:rsidRPr="007139F7">
        <w:rPr>
          <w:rFonts w:eastAsia="Calibri" w:cs="Times New Roman"/>
          <w:sz w:val="28"/>
          <w:szCs w:val="28"/>
        </w:rPr>
        <w:t>-</w:t>
      </w:r>
      <w:r w:rsidRPr="007139F7">
        <w:rPr>
          <w:rFonts w:eastAsia="Calibri" w:cs="Times New Roman"/>
          <w:sz w:val="28"/>
          <w:szCs w:val="28"/>
          <w:lang w:val="ru-RU"/>
        </w:rPr>
        <w:t>β</w:t>
      </w:r>
      <w:r w:rsidRPr="007139F7">
        <w:rPr>
          <w:rFonts w:eastAsia="Calibri" w:cs="Times New Roman"/>
          <w:sz w:val="28"/>
          <w:szCs w:val="28"/>
        </w:rPr>
        <w:t>1 [89, 90]. На модулювання екстракорпорального матриксу мають вагомий вплив такі тканеві ферменти, як матриксні металопротеїнази, рівень яких значно знижений при формуванні патологічного рубця [</w:t>
      </w:r>
      <w:r w:rsidRPr="007139F7">
        <w:rPr>
          <w:rFonts w:eastAsia="Calibri" w:cs="Times New Roman"/>
          <w:sz w:val="28"/>
          <w:szCs w:val="28"/>
          <w:lang w:val="ru-RU"/>
        </w:rPr>
        <w:t>81-93].</w:t>
      </w:r>
      <w:r w:rsidRPr="007139F7">
        <w:rPr>
          <w:rFonts w:ascii="Arial" w:eastAsia="Calibri" w:hAnsi="Arial" w:cs="Arial"/>
          <w:color w:val="000000"/>
          <w:sz w:val="16"/>
          <w:szCs w:val="16"/>
        </w:rPr>
        <w:t xml:space="preserve">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Серед чинників, які впливають на рубцеутворення також можна виділити мікроРНК (</w:t>
      </w:r>
      <w:r w:rsidRPr="007139F7">
        <w:rPr>
          <w:rFonts w:eastAsia="Calibri" w:cs="Times New Roman"/>
          <w:sz w:val="28"/>
          <w:szCs w:val="28"/>
          <w:lang w:val="en-GB"/>
        </w:rPr>
        <w:t>miR</w:t>
      </w:r>
      <w:r w:rsidRPr="007139F7">
        <w:rPr>
          <w:rFonts w:eastAsia="Calibri" w:cs="Times New Roman"/>
          <w:sz w:val="28"/>
          <w:szCs w:val="28"/>
        </w:rPr>
        <w:t xml:space="preserve">), які являють собою некодируючі, одноланцюгові </w:t>
      </w:r>
      <w:r w:rsidRPr="007139F7">
        <w:rPr>
          <w:rFonts w:eastAsia="Calibri" w:cs="Times New Roman"/>
          <w:sz w:val="28"/>
          <w:szCs w:val="28"/>
        </w:rPr>
        <w:lastRenderedPageBreak/>
        <w:t xml:space="preserve">дрібні РНК довжиною 21-25 нуклеотидів, які є посередниками пост-транскрипційної репресії для виконання важливих клітинних функцій. </w:t>
      </w:r>
      <w:r w:rsidRPr="007139F7">
        <w:rPr>
          <w:rFonts w:eastAsia="Calibri" w:cs="Times New Roman"/>
          <w:sz w:val="28"/>
          <w:szCs w:val="28"/>
          <w:lang w:val="ru-RU"/>
        </w:rPr>
        <w:t>MiRNAs</w:t>
      </w:r>
      <w:r w:rsidRPr="007139F7">
        <w:rPr>
          <w:rFonts w:eastAsia="Calibri" w:cs="Times New Roman"/>
          <w:sz w:val="28"/>
          <w:szCs w:val="28"/>
        </w:rPr>
        <w:t xml:space="preserve"> частково пригнічують експресію генів-мішеней та впливають на різні фізіологічні та патологічні процеси, включаючи проліферацію, обмін речовин, апоптоз та інвазію [94]. Наявні дані свідчать, що мікроРНК сприяють формуванню гіпертрофічних та келоїдних рубців [95</w:t>
      </w:r>
      <w:r w:rsidRPr="007139F7">
        <w:rPr>
          <w:rFonts w:eastAsia="Calibri" w:cs="Times New Roman"/>
          <w:color w:val="333333"/>
          <w:sz w:val="28"/>
          <w:szCs w:val="28"/>
        </w:rPr>
        <w:t>, 96</w:t>
      </w:r>
      <w:r w:rsidRPr="007139F7">
        <w:rPr>
          <w:rFonts w:eastAsia="Calibri" w:cs="Times New Roman"/>
          <w:sz w:val="28"/>
          <w:szCs w:val="28"/>
        </w:rPr>
        <w:t xml:space="preserve">]. Відповідно до результатів досліджень </w:t>
      </w:r>
      <w:r w:rsidRPr="007139F7">
        <w:rPr>
          <w:rFonts w:eastAsia="Calibri" w:cs="Times New Roman"/>
          <w:sz w:val="28"/>
          <w:szCs w:val="28"/>
          <w:lang w:val="en-US"/>
        </w:rPr>
        <w:t>Zhang</w:t>
      </w:r>
      <w:r w:rsidRPr="007139F7">
        <w:rPr>
          <w:rFonts w:eastAsia="Calibri" w:cs="Times New Roman"/>
          <w:sz w:val="28"/>
          <w:szCs w:val="28"/>
        </w:rPr>
        <w:t xml:space="preserve"> </w:t>
      </w:r>
      <w:r w:rsidRPr="007139F7">
        <w:rPr>
          <w:rFonts w:eastAsia="Calibri" w:cs="Times New Roman"/>
          <w:sz w:val="28"/>
          <w:szCs w:val="28"/>
          <w:lang w:val="en-US"/>
        </w:rPr>
        <w:t>G</w:t>
      </w:r>
      <w:r w:rsidRPr="007139F7">
        <w:rPr>
          <w:rFonts w:eastAsia="Calibri" w:cs="Times New Roman"/>
          <w:sz w:val="28"/>
          <w:szCs w:val="28"/>
        </w:rPr>
        <w:t>.</w:t>
      </w:r>
      <w:r w:rsidRPr="007139F7">
        <w:rPr>
          <w:rFonts w:eastAsia="Calibri" w:cs="Times New Roman"/>
          <w:sz w:val="28"/>
          <w:szCs w:val="28"/>
          <w:lang w:val="en-US"/>
        </w:rPr>
        <w:t>Y</w:t>
      </w:r>
      <w:r w:rsidRPr="007139F7">
        <w:rPr>
          <w:rFonts w:eastAsia="Calibri" w:cs="Times New Roman"/>
          <w:sz w:val="28"/>
          <w:szCs w:val="28"/>
        </w:rPr>
        <w:t xml:space="preserve">. </w:t>
      </w:r>
      <w:r w:rsidRPr="007139F7">
        <w:rPr>
          <w:rFonts w:eastAsia="Calibri" w:cs="Times New Roman"/>
          <w:sz w:val="28"/>
          <w:szCs w:val="28"/>
          <w:lang w:val="ru-RU"/>
        </w:rPr>
        <w:t>miR</w:t>
      </w:r>
      <w:r w:rsidRPr="007139F7">
        <w:rPr>
          <w:rFonts w:eastAsia="Calibri" w:cs="Times New Roman"/>
          <w:sz w:val="28"/>
          <w:szCs w:val="28"/>
        </w:rPr>
        <w:t>-29</w:t>
      </w:r>
      <w:r w:rsidRPr="007139F7">
        <w:rPr>
          <w:rFonts w:eastAsia="Calibri" w:cs="Times New Roman"/>
          <w:sz w:val="28"/>
          <w:szCs w:val="28"/>
          <w:lang w:val="ru-RU"/>
        </w:rPr>
        <w:t>a</w:t>
      </w:r>
      <w:r w:rsidRPr="007139F7">
        <w:rPr>
          <w:rFonts w:eastAsia="Calibri" w:cs="Times New Roman"/>
          <w:sz w:val="28"/>
          <w:szCs w:val="28"/>
        </w:rPr>
        <w:t xml:space="preserve"> може використовуватись, як маркер келоїдного рубцеутворення, оскільки є безпосереднім регулятором трансляцій мРНК у екстракорпоральному матриксі. Також має місце значне підвищення </w:t>
      </w:r>
      <w:r w:rsidRPr="007139F7">
        <w:rPr>
          <w:rFonts w:eastAsia="Calibri" w:cs="Times New Roman"/>
          <w:sz w:val="28"/>
          <w:szCs w:val="28"/>
          <w:lang w:val="ru-RU"/>
        </w:rPr>
        <w:t>miR</w:t>
      </w:r>
      <w:r w:rsidRPr="007139F7">
        <w:rPr>
          <w:rFonts w:eastAsia="Calibri" w:cs="Times New Roman"/>
          <w:sz w:val="28"/>
          <w:szCs w:val="28"/>
        </w:rPr>
        <w:t>-181</w:t>
      </w:r>
      <w:r w:rsidRPr="007139F7">
        <w:rPr>
          <w:rFonts w:eastAsia="Calibri" w:cs="Times New Roman"/>
          <w:sz w:val="28"/>
          <w:szCs w:val="28"/>
          <w:lang w:val="ru-RU"/>
        </w:rPr>
        <w:t>a</w:t>
      </w:r>
      <w:r w:rsidRPr="007139F7">
        <w:rPr>
          <w:rFonts w:eastAsia="Calibri" w:cs="Times New Roman"/>
          <w:sz w:val="28"/>
          <w:szCs w:val="28"/>
        </w:rPr>
        <w:t xml:space="preserve"> у келоїдних тканинах, що, в свою чергу, призводить до прискорення проліферації та індукції апоптозу у фізіологічних тканинах людини, шляхом пригнічення експресії гену </w:t>
      </w:r>
      <w:r w:rsidRPr="007139F7">
        <w:rPr>
          <w:rFonts w:eastAsia="Calibri" w:cs="Times New Roman"/>
          <w:sz w:val="28"/>
          <w:szCs w:val="28"/>
          <w:lang w:val="ru-RU"/>
        </w:rPr>
        <w:t>PHLPP</w:t>
      </w:r>
      <w:r w:rsidRPr="007139F7">
        <w:rPr>
          <w:rFonts w:eastAsia="Calibri" w:cs="Times New Roman"/>
          <w:sz w:val="28"/>
          <w:szCs w:val="28"/>
        </w:rPr>
        <w:t xml:space="preserve">2. Інгібування </w:t>
      </w:r>
      <w:r w:rsidRPr="007139F7">
        <w:rPr>
          <w:rFonts w:eastAsia="Calibri" w:cs="Times New Roman"/>
          <w:sz w:val="28"/>
          <w:szCs w:val="28"/>
          <w:lang w:val="ru-RU"/>
        </w:rPr>
        <w:t>miR</w:t>
      </w:r>
      <w:r w:rsidRPr="007139F7">
        <w:rPr>
          <w:rFonts w:eastAsia="Calibri" w:cs="Times New Roman"/>
          <w:sz w:val="28"/>
          <w:szCs w:val="28"/>
        </w:rPr>
        <w:t>-181</w:t>
      </w:r>
      <w:r w:rsidRPr="007139F7">
        <w:rPr>
          <w:rFonts w:eastAsia="Calibri" w:cs="Times New Roman"/>
          <w:sz w:val="28"/>
          <w:szCs w:val="28"/>
          <w:lang w:val="ru-RU"/>
        </w:rPr>
        <w:t>a</w:t>
      </w:r>
      <w:r w:rsidRPr="007139F7">
        <w:rPr>
          <w:rFonts w:eastAsia="Calibri" w:cs="Times New Roman"/>
          <w:sz w:val="28"/>
          <w:szCs w:val="28"/>
        </w:rPr>
        <w:t xml:space="preserve"> має протилежний ефект. Окрім того ще існують дані про вплив </w:t>
      </w:r>
      <w:r w:rsidRPr="007139F7">
        <w:rPr>
          <w:rFonts w:eastAsia="Calibri" w:cs="Times New Roman"/>
          <w:sz w:val="28"/>
          <w:szCs w:val="28"/>
          <w:lang w:val="ru-RU"/>
        </w:rPr>
        <w:t>miR</w:t>
      </w:r>
      <w:r w:rsidRPr="007139F7">
        <w:rPr>
          <w:rFonts w:eastAsia="Calibri" w:cs="Times New Roman"/>
          <w:sz w:val="28"/>
          <w:szCs w:val="28"/>
        </w:rPr>
        <w:t>-181</w:t>
      </w:r>
      <w:r w:rsidRPr="007139F7">
        <w:rPr>
          <w:rFonts w:eastAsia="Calibri" w:cs="Times New Roman"/>
          <w:sz w:val="28"/>
          <w:szCs w:val="28"/>
          <w:lang w:val="ru-RU"/>
        </w:rPr>
        <w:t>a</w:t>
      </w:r>
      <w:r w:rsidRPr="007139F7">
        <w:rPr>
          <w:rFonts w:eastAsia="Calibri" w:cs="Times New Roman"/>
          <w:sz w:val="28"/>
          <w:szCs w:val="28"/>
        </w:rPr>
        <w:t xml:space="preserve"> не тільки на процеси формування рубцевої тканини, а й на покращення проліферації клітин при гострій мієлоїдній реакції у дітей та пригнічення апоптозу клітин при остеосаркомах. Хоча молекулярні механізми його дії ще є недостатньо з’ясованими [97, 98]. </w:t>
      </w:r>
    </w:p>
    <w:p w:rsidR="007139F7" w:rsidRPr="007139F7" w:rsidRDefault="007139F7" w:rsidP="007139F7">
      <w:pPr>
        <w:shd w:val="clear" w:color="auto" w:fill="FFFFFF"/>
        <w:spacing w:after="0" w:line="360" w:lineRule="auto"/>
        <w:ind w:firstLine="720"/>
        <w:jc w:val="both"/>
        <w:rPr>
          <w:rFonts w:eastAsia="Calibri" w:cs="Times New Roman"/>
          <w:sz w:val="28"/>
          <w:szCs w:val="28"/>
        </w:rPr>
      </w:pPr>
      <w:r w:rsidRPr="007139F7">
        <w:rPr>
          <w:rFonts w:eastAsia="Calibri" w:cs="Times New Roman"/>
          <w:sz w:val="28"/>
          <w:szCs w:val="28"/>
        </w:rPr>
        <w:t xml:space="preserve">Формування патологічних рубців виникає при пошкодженні більш глибоких шарів шкіри, а саме ретикулярного (сітчастого) шару дерми, де відбувається прискорений ангіогенез та накопичення колагену. Згідно даних </w:t>
      </w:r>
      <w:r w:rsidRPr="007139F7">
        <w:rPr>
          <w:rFonts w:eastAsia="Calibri" w:cs="Times New Roman"/>
          <w:sz w:val="28"/>
          <w:szCs w:val="28"/>
          <w:lang w:val="en-US"/>
        </w:rPr>
        <w:t>Dunkin</w:t>
      </w:r>
      <w:r w:rsidRPr="007139F7">
        <w:rPr>
          <w:rFonts w:eastAsia="Calibri" w:cs="Times New Roman"/>
          <w:sz w:val="28"/>
          <w:szCs w:val="28"/>
        </w:rPr>
        <w:t xml:space="preserve">, </w:t>
      </w:r>
      <w:r w:rsidRPr="007139F7">
        <w:rPr>
          <w:rFonts w:eastAsia="Calibri" w:cs="Times New Roman"/>
          <w:sz w:val="28"/>
          <w:szCs w:val="28"/>
          <w:lang w:val="en-US"/>
        </w:rPr>
        <w:t>C</w:t>
      </w:r>
      <w:r w:rsidRPr="007139F7">
        <w:rPr>
          <w:rFonts w:eastAsia="Calibri" w:cs="Times New Roman"/>
          <w:sz w:val="28"/>
          <w:szCs w:val="28"/>
        </w:rPr>
        <w:t>.</w:t>
      </w:r>
      <w:r w:rsidRPr="007139F7">
        <w:rPr>
          <w:rFonts w:eastAsia="Calibri" w:cs="Times New Roman"/>
          <w:sz w:val="28"/>
          <w:szCs w:val="28"/>
          <w:lang w:val="en-US"/>
        </w:rPr>
        <w:t>S</w:t>
      </w:r>
      <w:r w:rsidRPr="007139F7">
        <w:rPr>
          <w:rFonts w:eastAsia="Calibri" w:cs="Times New Roman"/>
          <w:sz w:val="28"/>
          <w:szCs w:val="28"/>
        </w:rPr>
        <w:t xml:space="preserve">. (2007), формування келоїдів та гіпертрофічних рубців може відбуватися і без епідермальної травми (при ліпоаспірації) [99]. </w:t>
      </w:r>
    </w:p>
    <w:p w:rsidR="007139F7" w:rsidRPr="007139F7" w:rsidRDefault="007139F7" w:rsidP="007139F7">
      <w:pPr>
        <w:spacing w:after="0" w:line="360" w:lineRule="auto"/>
        <w:ind w:right="23" w:firstLine="720"/>
        <w:jc w:val="both"/>
        <w:rPr>
          <w:rFonts w:eastAsia="Calibri" w:cs="Times New Roman"/>
          <w:sz w:val="28"/>
          <w:szCs w:val="28"/>
        </w:rPr>
      </w:pPr>
      <w:r w:rsidRPr="007139F7">
        <w:rPr>
          <w:rFonts w:eastAsia="Calibri" w:cs="Times New Roman"/>
          <w:sz w:val="28"/>
          <w:szCs w:val="28"/>
        </w:rPr>
        <w:t xml:space="preserve">У ретикулярному шарі дерми при утворенні келоїдів та гіпертрофічних рубців містяться запальні клітини, збільшена кількість фібробластів, новоутворені кровоносні судини та відкладення колагену. Згідно клінічних спостережень, келоїди та гіпертрофічні рубці, як правило, спочатку виявляються приблизно через 3 місяці після травми, що лише підтверджує той факт, що запалення ретикулярної дерми, яке починається відразу після травматичного ушкодження, стає видимим неозброєним оком через епідерміс в цей момент часу. Більше того, у випадку хірургічних втручань під час </w:t>
      </w:r>
      <w:r w:rsidRPr="007139F7">
        <w:rPr>
          <w:rFonts w:eastAsia="Calibri" w:cs="Times New Roman"/>
          <w:sz w:val="28"/>
          <w:szCs w:val="28"/>
        </w:rPr>
        <w:lastRenderedPageBreak/>
        <w:t xml:space="preserve">видалення швів (тобто через 7-14 днів після операції) епідерміс вже регенерується, а сама рана закрита і суха. Проте на цій стадії шкірний матрикс все ще дозріває, і в ретикулярному шарі дермі постійно спостерігаються запальні явища. Таким чином, зовнішня та/або внутрішня стимуляція ретикулярного шару дерми в даний проміжок часу сприяє більш вираженому його запаленню. Це також створює передумови для формування патологічних рубців, які стають видимими через кілька місяців після оперативного втручання. Інтенсивність, частота та тривалість подразників визначають, як швидко формуються рубці, напрям і швидкість їх росту, інтенсивність клінічних симптомів. Стимули, які впливають на характеристики і кількість келоїдів та гіпертрофічних рубців, включають в себе різноманітні локальні, системні та генетичні фактори. Ймовірно, що клінічні відмінності між келоїдами та гіпертрофічними рубцями лише відображають відмінності в інтенсивності, частоті та тривалості запалення ретикулярної дерми [69, 100-102]. </w:t>
      </w:r>
    </w:p>
    <w:p w:rsidR="007139F7" w:rsidRPr="007139F7" w:rsidRDefault="007139F7" w:rsidP="007139F7">
      <w:pPr>
        <w:shd w:val="clear" w:color="auto" w:fill="FFFFFF"/>
        <w:spacing w:after="0" w:line="360" w:lineRule="auto"/>
        <w:ind w:firstLine="720"/>
        <w:jc w:val="both"/>
        <w:rPr>
          <w:rFonts w:eastAsia="Calibri" w:cs="Times New Roman"/>
          <w:sz w:val="28"/>
          <w:szCs w:val="28"/>
        </w:rPr>
      </w:pPr>
      <w:r w:rsidRPr="007139F7">
        <w:rPr>
          <w:rFonts w:eastAsia="Calibri" w:cs="Times New Roman"/>
          <w:sz w:val="28"/>
          <w:szCs w:val="28"/>
        </w:rPr>
        <w:t xml:space="preserve">Існує думка, що гіпертрофічні та келоїдні рубці можуть бути послідовними стадіями одного і того ж ушкодження шкіри, залежно від виразності прояву стадії запалення та локального механічного впливу на уражену ділянку [103].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Одним із вагомих чинників, які впливають на формування келоїдних рубців є механічне навантаження шкіри, а саме розтягування. Оскільки дану патологію зустрічають набагато частіше у ділянках, які постійно піддаються механічному розтягуванню (</w:t>
      </w:r>
      <w:r w:rsidRPr="007139F7">
        <w:rPr>
          <w:rFonts w:eastAsia="Calibri" w:cs="Times New Roman"/>
          <w:sz w:val="28"/>
          <w:szCs w:val="28"/>
          <w:lang w:val="ru-RU"/>
        </w:rPr>
        <w:t>плеч</w:t>
      </w:r>
      <w:r w:rsidRPr="007139F7">
        <w:rPr>
          <w:rFonts w:eastAsia="Calibri" w:cs="Times New Roman"/>
          <w:sz w:val="28"/>
          <w:szCs w:val="28"/>
        </w:rPr>
        <w:t>е</w:t>
      </w:r>
      <w:r w:rsidRPr="007139F7">
        <w:rPr>
          <w:rFonts w:eastAsia="Calibri" w:cs="Times New Roman"/>
          <w:sz w:val="28"/>
          <w:szCs w:val="28"/>
          <w:lang w:val="ru-RU"/>
        </w:rPr>
        <w:t>, ши</w:t>
      </w:r>
      <w:r w:rsidRPr="007139F7">
        <w:rPr>
          <w:rFonts w:eastAsia="Calibri" w:cs="Times New Roman"/>
          <w:sz w:val="28"/>
          <w:szCs w:val="28"/>
        </w:rPr>
        <w:t>я</w:t>
      </w:r>
      <w:r w:rsidRPr="007139F7">
        <w:rPr>
          <w:rFonts w:eastAsia="Calibri" w:cs="Times New Roman"/>
          <w:sz w:val="28"/>
          <w:szCs w:val="28"/>
          <w:lang w:val="ru-RU"/>
        </w:rPr>
        <w:t>, коліна, нижн</w:t>
      </w:r>
      <w:r w:rsidRPr="007139F7">
        <w:rPr>
          <w:rFonts w:eastAsia="Calibri" w:cs="Times New Roman"/>
          <w:sz w:val="28"/>
          <w:szCs w:val="28"/>
        </w:rPr>
        <w:t>я</w:t>
      </w:r>
      <w:r w:rsidRPr="007139F7">
        <w:rPr>
          <w:rFonts w:eastAsia="Calibri" w:cs="Times New Roman"/>
          <w:sz w:val="28"/>
          <w:szCs w:val="28"/>
          <w:lang w:val="ru-RU"/>
        </w:rPr>
        <w:t xml:space="preserve"> частин</w:t>
      </w:r>
      <w:r w:rsidRPr="007139F7">
        <w:rPr>
          <w:rFonts w:eastAsia="Calibri" w:cs="Times New Roman"/>
          <w:sz w:val="28"/>
          <w:szCs w:val="28"/>
        </w:rPr>
        <w:t>а</w:t>
      </w:r>
      <w:r w:rsidRPr="007139F7">
        <w:rPr>
          <w:rFonts w:eastAsia="Calibri" w:cs="Times New Roman"/>
          <w:sz w:val="28"/>
          <w:szCs w:val="28"/>
          <w:lang w:val="ru-RU"/>
        </w:rPr>
        <w:t xml:space="preserve"> живота</w:t>
      </w:r>
      <w:r w:rsidRPr="007139F7">
        <w:rPr>
          <w:rFonts w:eastAsia="Calibri" w:cs="Times New Roman"/>
          <w:sz w:val="28"/>
          <w:szCs w:val="28"/>
        </w:rPr>
        <w:t xml:space="preserve"> тощо), на відміну від тих, де шкіра розтягується рідко. Значний натяг шкірних покривів при формування рубця у даних локалізаціях стимулює колагеноутворення та одночасне зменшення його розчеплення, сприяючи формуванню деформацій та рубцевих контрактур</w:t>
      </w:r>
      <w:r w:rsidRPr="007139F7">
        <w:rPr>
          <w:rFonts w:eastAsia="Calibri" w:cs="Times New Roman"/>
          <w:sz w:val="28"/>
          <w:szCs w:val="28"/>
          <w:lang w:eastAsia="ru-RU"/>
        </w:rPr>
        <w:t xml:space="preserve"> [104-106]</w:t>
      </w:r>
      <w:r w:rsidRPr="007139F7">
        <w:rPr>
          <w:rFonts w:eastAsia="Calibri" w:cs="Times New Roman"/>
          <w:sz w:val="28"/>
          <w:szCs w:val="28"/>
        </w:rPr>
        <w:t xml:space="preserve">. Розташування рубців у таких анатомічних ділянках в тому числі ускладнює можливість використання силіконових гелевих плівок, які попереджають формування </w:t>
      </w:r>
      <w:r w:rsidRPr="007139F7">
        <w:rPr>
          <w:rFonts w:eastAsia="Calibri" w:cs="Times New Roman"/>
          <w:sz w:val="28"/>
          <w:szCs w:val="28"/>
        </w:rPr>
        <w:lastRenderedPageBreak/>
        <w:t xml:space="preserve">патологічної рубцевої тканини [107, 108]. Все це підтверджує важливу роль механобіології дерми у виникненні патологічних рубців. </w:t>
      </w:r>
    </w:p>
    <w:p w:rsidR="007139F7" w:rsidRPr="007139F7" w:rsidRDefault="007139F7" w:rsidP="007139F7">
      <w:pPr>
        <w:shd w:val="clear" w:color="auto" w:fill="FFFFFF"/>
        <w:spacing w:after="0" w:line="360" w:lineRule="auto"/>
        <w:ind w:firstLine="720"/>
        <w:jc w:val="both"/>
        <w:rPr>
          <w:rFonts w:eastAsia="Times New Roman" w:cs="Times New Roman"/>
          <w:color w:val="000000"/>
          <w:sz w:val="28"/>
          <w:szCs w:val="28"/>
          <w:lang w:eastAsia="ru-RU"/>
        </w:rPr>
      </w:pPr>
      <w:r w:rsidRPr="007139F7">
        <w:rPr>
          <w:rFonts w:eastAsia="Calibri" w:cs="Times New Roman"/>
          <w:sz w:val="28"/>
          <w:szCs w:val="28"/>
        </w:rPr>
        <w:t>Подальше вивчення літературних джерел, розширює важливість позаклітинного матриксу (</w:t>
      </w:r>
      <w:r w:rsidRPr="007139F7">
        <w:rPr>
          <w:rFonts w:eastAsia="Calibri" w:cs="Times New Roman"/>
          <w:sz w:val="28"/>
          <w:szCs w:val="28"/>
          <w:lang w:val="ru-RU"/>
        </w:rPr>
        <w:t>ECM</w:t>
      </w:r>
      <w:r w:rsidRPr="007139F7">
        <w:rPr>
          <w:rFonts w:eastAsia="Calibri" w:cs="Times New Roman"/>
          <w:sz w:val="28"/>
          <w:szCs w:val="28"/>
        </w:rPr>
        <w:t xml:space="preserve">) у наданні клітинних сигналів для диференціації фібробластів, їх поляризації та міграції [109]. </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Таким чином проведений аналіз літературних джерел свідчить про значущість проблеми рубцеутворення після оперативних стручань та створює необхідність подальшого вивчення механізмів та особливостей формування рубцевозмінних тканин в залежності від локалізації, етіологічного чинника та методів закриття раневого дефекту.</w:t>
      </w:r>
    </w:p>
    <w:p w:rsidR="007139F7" w:rsidRPr="007139F7" w:rsidRDefault="007139F7" w:rsidP="007139F7">
      <w:pPr>
        <w:spacing w:after="0" w:line="360" w:lineRule="auto"/>
        <w:ind w:left="23" w:right="23" w:firstLine="697"/>
        <w:jc w:val="both"/>
        <w:rPr>
          <w:rFonts w:eastAsia="Calibri" w:cs="Times New Roman"/>
          <w:sz w:val="28"/>
          <w:szCs w:val="28"/>
        </w:rPr>
      </w:pPr>
    </w:p>
    <w:p w:rsidR="007139F7" w:rsidRPr="007139F7" w:rsidRDefault="007139F7" w:rsidP="007139F7">
      <w:pPr>
        <w:spacing w:after="0" w:line="360" w:lineRule="auto"/>
        <w:ind w:right="23" w:firstLine="709"/>
        <w:rPr>
          <w:rFonts w:eastAsia="Calibri" w:cs="Times New Roman"/>
          <w:b/>
          <w:sz w:val="28"/>
          <w:szCs w:val="28"/>
        </w:rPr>
      </w:pPr>
      <w:r w:rsidRPr="007139F7">
        <w:rPr>
          <w:rFonts w:eastAsia="Calibri" w:cs="Times New Roman"/>
          <w:b/>
          <w:sz w:val="28"/>
          <w:szCs w:val="28"/>
        </w:rPr>
        <w:t>1.3. Механізми корекції патологічних рубців шкіри</w:t>
      </w:r>
    </w:p>
    <w:p w:rsidR="007139F7" w:rsidRPr="007139F7" w:rsidRDefault="007139F7" w:rsidP="007139F7">
      <w:pPr>
        <w:spacing w:after="0" w:line="360" w:lineRule="auto"/>
        <w:ind w:left="23" w:right="23" w:firstLine="697"/>
        <w:jc w:val="both"/>
        <w:rPr>
          <w:rFonts w:eastAsia="Calibri" w:cs="Times New Roman"/>
          <w:sz w:val="28"/>
          <w:szCs w:val="28"/>
        </w:rPr>
      </w:pPr>
    </w:p>
    <w:p w:rsidR="007139F7" w:rsidRPr="007139F7" w:rsidRDefault="007139F7" w:rsidP="007139F7">
      <w:pPr>
        <w:spacing w:after="0" w:line="360" w:lineRule="auto"/>
        <w:ind w:left="23" w:right="23" w:firstLine="697"/>
        <w:jc w:val="both"/>
        <w:rPr>
          <w:rFonts w:eastAsia="Calibri" w:cs="Times New Roman"/>
          <w:sz w:val="28"/>
          <w:szCs w:val="28"/>
          <w:lang w:eastAsia="ru-RU"/>
        </w:rPr>
      </w:pPr>
      <w:r w:rsidRPr="007139F7">
        <w:rPr>
          <w:rFonts w:eastAsia="Calibri" w:cs="Times New Roman"/>
          <w:sz w:val="28"/>
          <w:szCs w:val="28"/>
        </w:rPr>
        <w:t xml:space="preserve">Широка розповсюдженість патологічних рубців серед популяції створює необхідність впровадження широкого реєстру методів їх корекції. Не існує спільної думки щодо часу проведення лікувальних заходів. </w:t>
      </w:r>
      <w:r w:rsidRPr="007139F7">
        <w:rPr>
          <w:rFonts w:eastAsia="Calibri" w:cs="Times New Roman"/>
          <w:sz w:val="28"/>
          <w:szCs w:val="28"/>
          <w:lang w:val="de-DE" w:eastAsia="de-DE"/>
        </w:rPr>
        <w:t xml:space="preserve">Jones N. </w:t>
      </w:r>
      <w:r w:rsidRPr="007139F7">
        <w:rPr>
          <w:rFonts w:eastAsia="Calibri" w:cs="Times New Roman"/>
          <w:sz w:val="28"/>
          <w:szCs w:val="28"/>
          <w:lang w:eastAsia="ru-RU"/>
        </w:rPr>
        <w:t>не рекомендує проводити корекцію рубців до часу їх остаточної організації (6-12 місяців після травматичного ушкодження) [110]. Інші автори, навпаки, вважають, що більш оптимальні результати лікування можна отримати до 1 року</w:t>
      </w:r>
      <w:r w:rsidRPr="007139F7">
        <w:rPr>
          <w:rFonts w:eastAsia="Calibri" w:cs="Times New Roman"/>
          <w:sz w:val="28"/>
          <w:szCs w:val="28"/>
          <w:lang w:val="ru-RU" w:eastAsia="ru-RU"/>
        </w:rPr>
        <w:t xml:space="preserve"> [111]</w:t>
      </w:r>
      <w:r w:rsidRPr="007139F7">
        <w:rPr>
          <w:rFonts w:eastAsia="Calibri" w:cs="Times New Roman"/>
          <w:sz w:val="28"/>
          <w:szCs w:val="28"/>
          <w:lang w:eastAsia="ru-RU"/>
        </w:rPr>
        <w:t>.</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 xml:space="preserve">Одним із розповсюджених методів корекції патологічних рубців є локальне введення гормонів коркового шару наднирників (гідрокортизону). Але незважаючи на довгий час використання даного методу лікування його механізм дії ще є недостатньо вивченим та не існує загальноприйнятої думки щодо частоти та кількості введення препаратів. </w:t>
      </w:r>
    </w:p>
    <w:p w:rsidR="007139F7" w:rsidRPr="007139F7" w:rsidRDefault="007139F7" w:rsidP="007139F7">
      <w:pPr>
        <w:spacing w:after="0" w:line="360" w:lineRule="auto"/>
        <w:ind w:left="23" w:right="23" w:firstLine="697"/>
        <w:jc w:val="both"/>
        <w:rPr>
          <w:rFonts w:eastAsia="Calibri" w:cs="Times New Roman"/>
          <w:sz w:val="28"/>
          <w:szCs w:val="28"/>
          <w:lang w:eastAsia="ru-RU"/>
        </w:rPr>
      </w:pPr>
      <w:r w:rsidRPr="007139F7">
        <w:rPr>
          <w:rFonts w:eastAsia="Calibri" w:cs="Times New Roman"/>
          <w:sz w:val="28"/>
          <w:szCs w:val="28"/>
        </w:rPr>
        <w:t xml:space="preserve">Глюкокортикоїди мають протизапальну, протиалергічну та імунодепресуючу дію. Їх використання сумісно з кріотерапією або хірургічним лікуванням значно покращує результати. У той же час суттєвим недоліком є висока частота (до 60%) виникнення стероїдної атрофії та телеангіоектазій в ділянці ін’єкцій </w:t>
      </w:r>
      <w:r w:rsidRPr="007139F7">
        <w:rPr>
          <w:rFonts w:eastAsia="Calibri" w:cs="Times New Roman"/>
          <w:sz w:val="28"/>
          <w:szCs w:val="28"/>
          <w:lang w:val="de-DE" w:eastAsia="de-DE"/>
        </w:rPr>
        <w:t>[</w:t>
      </w:r>
      <w:r w:rsidRPr="007139F7">
        <w:rPr>
          <w:rFonts w:eastAsia="Calibri" w:cs="Times New Roman"/>
          <w:sz w:val="28"/>
          <w:szCs w:val="28"/>
          <w:lang w:val="ru-RU" w:eastAsia="ru-RU"/>
        </w:rPr>
        <w:t>59</w:t>
      </w:r>
      <w:r w:rsidRPr="007139F7">
        <w:rPr>
          <w:rFonts w:eastAsia="Calibri" w:cs="Times New Roman"/>
          <w:sz w:val="28"/>
          <w:szCs w:val="28"/>
          <w:lang w:eastAsia="ru-RU"/>
        </w:rPr>
        <w:t xml:space="preserve">, </w:t>
      </w:r>
      <w:r w:rsidRPr="007139F7">
        <w:rPr>
          <w:rFonts w:eastAsia="Calibri" w:cs="Times New Roman"/>
          <w:sz w:val="28"/>
          <w:szCs w:val="28"/>
          <w:lang w:val="ru-RU" w:eastAsia="ru-RU"/>
        </w:rPr>
        <w:t>85</w:t>
      </w:r>
      <w:r w:rsidRPr="007139F7">
        <w:rPr>
          <w:rFonts w:eastAsia="Calibri" w:cs="Times New Roman"/>
          <w:sz w:val="28"/>
          <w:szCs w:val="28"/>
          <w:lang w:eastAsia="ru-RU"/>
        </w:rPr>
        <w:t xml:space="preserve">, </w:t>
      </w:r>
      <w:r w:rsidRPr="007139F7">
        <w:rPr>
          <w:rFonts w:eastAsia="Calibri" w:cs="Times New Roman"/>
          <w:sz w:val="28"/>
          <w:szCs w:val="28"/>
          <w:lang w:eastAsia="de-DE"/>
        </w:rPr>
        <w:t>1</w:t>
      </w:r>
      <w:r w:rsidRPr="007139F7">
        <w:rPr>
          <w:rFonts w:eastAsia="Calibri" w:cs="Times New Roman"/>
          <w:sz w:val="28"/>
          <w:szCs w:val="28"/>
          <w:lang w:val="ru-RU" w:eastAsia="de-DE"/>
        </w:rPr>
        <w:t>12-114</w:t>
      </w:r>
      <w:r w:rsidRPr="007139F7">
        <w:rPr>
          <w:rFonts w:eastAsia="Calibri" w:cs="Times New Roman"/>
          <w:sz w:val="28"/>
          <w:szCs w:val="28"/>
          <w:lang w:eastAsia="ru-RU"/>
        </w:rPr>
        <w:t>].</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lastRenderedPageBreak/>
        <w:t xml:space="preserve">Одним із найстаріших методів лікування даної патології є рентгентерапія, яка у поєднанні з хірургічним методом лікування може давати до 60-80% позитивних результатів [115-117], але її необхідно розпочинати одразу після зняття швів, оскільки рубці, що існують тривалий час є рентгенрезистентними. Проте даний метод лікування має низку протипоказань та негативних впливів на загальний стан організму. </w:t>
      </w:r>
    </w:p>
    <w:p w:rsidR="007139F7" w:rsidRPr="007139F7" w:rsidRDefault="007139F7" w:rsidP="007139F7">
      <w:pPr>
        <w:spacing w:after="0" w:line="360" w:lineRule="auto"/>
        <w:ind w:left="23" w:right="23" w:firstLine="697"/>
        <w:jc w:val="both"/>
        <w:rPr>
          <w:rFonts w:eastAsia="Calibri" w:cs="Times New Roman"/>
          <w:sz w:val="28"/>
          <w:szCs w:val="28"/>
          <w:lang w:eastAsia="ru-RU"/>
        </w:rPr>
      </w:pPr>
      <w:r w:rsidRPr="007139F7">
        <w:rPr>
          <w:rFonts w:eastAsia="Calibri" w:cs="Times New Roman"/>
          <w:sz w:val="28"/>
          <w:szCs w:val="28"/>
        </w:rPr>
        <w:t xml:space="preserve">Зменшення проліферації фібробластів шляхом гіпоксії, а відповідно і регрес рубцевої тканини може спостерігатися при використанні пресотерапії (компресійна білизна, давлячи кліпси, бинти). Однак даний метод лікування є досить довготривалим (до 12 місяців) та дає рецидиви у 60% випадків </w:t>
      </w:r>
      <w:r w:rsidRPr="007139F7">
        <w:rPr>
          <w:rFonts w:eastAsia="Calibri" w:cs="Times New Roman"/>
          <w:sz w:val="28"/>
          <w:szCs w:val="28"/>
          <w:lang w:eastAsia="ru-RU"/>
        </w:rPr>
        <w:t>[</w:t>
      </w:r>
      <w:r w:rsidRPr="007139F7">
        <w:rPr>
          <w:rFonts w:eastAsia="Calibri" w:cs="Times New Roman"/>
          <w:sz w:val="28"/>
          <w:szCs w:val="28"/>
          <w:lang w:val="ru-RU" w:eastAsia="ru-RU"/>
        </w:rPr>
        <w:t>106</w:t>
      </w:r>
      <w:r w:rsidRPr="007139F7">
        <w:rPr>
          <w:rFonts w:eastAsia="Calibri" w:cs="Times New Roman"/>
          <w:sz w:val="28"/>
          <w:szCs w:val="28"/>
          <w:lang w:eastAsia="ru-RU"/>
        </w:rPr>
        <w:t xml:space="preserve">, </w:t>
      </w:r>
      <w:r w:rsidRPr="007139F7">
        <w:rPr>
          <w:rFonts w:eastAsia="Calibri" w:cs="Times New Roman"/>
          <w:sz w:val="28"/>
          <w:szCs w:val="28"/>
          <w:lang w:val="ru-RU" w:eastAsia="ru-RU"/>
        </w:rPr>
        <w:t>118-</w:t>
      </w:r>
      <w:r w:rsidRPr="007139F7">
        <w:rPr>
          <w:rFonts w:eastAsia="Calibri" w:cs="Times New Roman"/>
          <w:sz w:val="28"/>
          <w:szCs w:val="28"/>
          <w:lang w:eastAsia="ru-RU"/>
        </w:rPr>
        <w:t>1</w:t>
      </w:r>
      <w:r w:rsidRPr="007139F7">
        <w:rPr>
          <w:rFonts w:eastAsia="Calibri" w:cs="Times New Roman"/>
          <w:sz w:val="28"/>
          <w:szCs w:val="28"/>
          <w:lang w:val="ru-RU" w:eastAsia="ru-RU"/>
        </w:rPr>
        <w:t>20</w:t>
      </w:r>
      <w:r w:rsidRPr="007139F7">
        <w:rPr>
          <w:rFonts w:eastAsia="Calibri" w:cs="Times New Roman"/>
          <w:sz w:val="28"/>
          <w:szCs w:val="28"/>
          <w:lang w:eastAsia="ru-RU"/>
        </w:rPr>
        <w:t>].</w:t>
      </w:r>
    </w:p>
    <w:p w:rsidR="007139F7" w:rsidRPr="007139F7" w:rsidRDefault="007139F7" w:rsidP="007139F7">
      <w:pPr>
        <w:spacing w:after="0" w:line="360" w:lineRule="auto"/>
        <w:ind w:left="23" w:right="23" w:firstLine="697"/>
        <w:jc w:val="both"/>
        <w:rPr>
          <w:rFonts w:eastAsia="Calibri" w:cs="Times New Roman"/>
          <w:sz w:val="28"/>
          <w:szCs w:val="28"/>
          <w:shd w:val="clear" w:color="auto" w:fill="FFFFFF"/>
          <w:lang w:eastAsia="ru-RU"/>
        </w:rPr>
      </w:pPr>
      <w:r w:rsidRPr="007139F7">
        <w:rPr>
          <w:rFonts w:eastAsia="Calibri" w:cs="Times New Roman"/>
          <w:sz w:val="28"/>
          <w:szCs w:val="28"/>
        </w:rPr>
        <w:t>Кріотерапія рубців шляхом експозиції рідкого азоту призводить до утворення некрозу тканин, що спричиняє зменшення розмірів рубцевої тканини та сплощення келоїдних рубців. Даний метод лікування може використовуватися як монотерапія, так і у комбінації з ін’єкціями кортикостероїдів, збільшуючи ефективність лікування з 74% до 84% [110, 121, 122</w:t>
      </w:r>
      <w:r w:rsidRPr="007139F7">
        <w:rPr>
          <w:rFonts w:eastAsia="Calibri" w:cs="Times New Roman"/>
          <w:sz w:val="28"/>
          <w:szCs w:val="28"/>
          <w:shd w:val="clear" w:color="auto" w:fill="FFFFFF"/>
          <w:lang w:eastAsia="ru-RU"/>
        </w:rPr>
        <w:t>].</w:t>
      </w:r>
    </w:p>
    <w:p w:rsidR="007139F7" w:rsidRPr="007139F7" w:rsidRDefault="007139F7" w:rsidP="007139F7">
      <w:pPr>
        <w:spacing w:after="0" w:line="360" w:lineRule="auto"/>
        <w:ind w:firstLine="697"/>
        <w:jc w:val="both"/>
        <w:rPr>
          <w:rFonts w:eastAsia="Calibri" w:cs="Times New Roman"/>
          <w:sz w:val="28"/>
          <w:szCs w:val="28"/>
        </w:rPr>
      </w:pPr>
      <w:r w:rsidRPr="007139F7">
        <w:rPr>
          <w:rFonts w:eastAsia="Calibri" w:cs="Times New Roman"/>
          <w:sz w:val="28"/>
          <w:szCs w:val="28"/>
        </w:rPr>
        <w:t xml:space="preserve">Експериментально доведеним є той факт, що введення ботулінотоксину типу А пригнічує утворення колагенових фібрил та фібробластів та індукує появу гіпертрофічних рубців. Але дана методика профілактики та лікування рубцевих змін потребує подальшого обґрунтування </w:t>
      </w:r>
      <w:r w:rsidRPr="007139F7">
        <w:rPr>
          <w:rFonts w:eastAsia="Calibri" w:cs="Times New Roman"/>
          <w:sz w:val="28"/>
          <w:szCs w:val="28"/>
          <w:lang w:val="ru-RU"/>
        </w:rPr>
        <w:t>[123-125]</w:t>
      </w:r>
      <w:r w:rsidRPr="007139F7">
        <w:rPr>
          <w:rFonts w:eastAsia="Calibri" w:cs="Times New Roman"/>
          <w:sz w:val="28"/>
          <w:szCs w:val="28"/>
        </w:rPr>
        <w:t>.</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 xml:space="preserve">Для лікування рубців доведеним є використання фізіотерапевтичних методик в залежності від періоду їх формування. У період формування рубцевої тканини з найбільш раннього часу доречно використовувати терапію мікрострумом (струм в діапазоні 10-600 мА, частотою 0,1-300 Гц). Даний метод оснований на зміні електричного потенціалу клітинних мембран сприяє покращенню мікроциркуляції </w:t>
      </w:r>
      <w:r w:rsidRPr="007139F7">
        <w:rPr>
          <w:rFonts w:eastAsia="Calibri" w:cs="Times New Roman"/>
          <w:sz w:val="28"/>
          <w:szCs w:val="28"/>
          <w:lang w:val="ru-RU"/>
        </w:rPr>
        <w:t>[126-128]</w:t>
      </w:r>
      <w:r w:rsidRPr="007139F7">
        <w:rPr>
          <w:rFonts w:eastAsia="Calibri" w:cs="Times New Roman"/>
          <w:sz w:val="28"/>
          <w:szCs w:val="28"/>
        </w:rPr>
        <w:t>.</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 xml:space="preserve">Для корекції рубців, які існують до 6 місяців використовують методики, направлені на нормалізацію мікроциркуляції та процесів колагеносинтезу. Таким методом є ультразвукова терапія, яка також сприяє більш глибокому </w:t>
      </w:r>
      <w:r w:rsidRPr="007139F7">
        <w:rPr>
          <w:rFonts w:eastAsia="Calibri" w:cs="Times New Roman"/>
          <w:sz w:val="28"/>
          <w:szCs w:val="28"/>
        </w:rPr>
        <w:lastRenderedPageBreak/>
        <w:t xml:space="preserve">введенню лікарських засобів, які сприяють розсмоктуванню рубцевої тканини. </w:t>
      </w:r>
      <w:r w:rsidRPr="007139F7">
        <w:rPr>
          <w:rFonts w:eastAsia="SimSun" w:cs="Times New Roman"/>
          <w:sz w:val="28"/>
          <w:szCs w:val="28"/>
          <w:lang w:eastAsia="zh-CN"/>
        </w:rPr>
        <w:t>Така дія ультразвуку обумовлена утворенням мікропорожнин під дією коливань тиску, що пов’язано із зміною швидкості розповсюдження ультразвукової хвилі при її проходженні крізь середовища [129, 130].</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 xml:space="preserve">При вже сформованих рубцях доцільне застосування мікродермабразії та лазеротерапії, які сприяють оптичному вирівнюванню рельєфу шкірних покривів, але є висока ймовірність рецидивів, яка зменшується при поєднанні із локальним введення гормонів наднирників [59, 131-138].  </w:t>
      </w:r>
    </w:p>
    <w:p w:rsidR="007139F7" w:rsidRPr="007139F7" w:rsidRDefault="007139F7" w:rsidP="007139F7">
      <w:pPr>
        <w:spacing w:after="0" w:line="360" w:lineRule="auto"/>
        <w:ind w:firstLine="709"/>
        <w:jc w:val="both"/>
        <w:rPr>
          <w:rFonts w:eastAsia="Calibri" w:cs="Times New Roman"/>
          <w:sz w:val="28"/>
          <w:szCs w:val="28"/>
        </w:rPr>
      </w:pPr>
      <w:r w:rsidRPr="007139F7">
        <w:rPr>
          <w:rFonts w:eastAsia="Calibri" w:cs="Times New Roman"/>
          <w:sz w:val="28"/>
          <w:szCs w:val="28"/>
        </w:rPr>
        <w:t xml:space="preserve">Для профілактики утворення патологічних рубців було запропоноване використання </w:t>
      </w:r>
      <w:r w:rsidRPr="007139F7">
        <w:rPr>
          <w:rFonts w:eastAsia="SimSun" w:cs="Times New Roman"/>
          <w:sz w:val="28"/>
          <w:szCs w:val="28"/>
          <w:lang w:val="ru-RU" w:eastAsia="zh-CN"/>
        </w:rPr>
        <w:t>ліпосомального препарату «Ліпін»</w:t>
      </w:r>
      <w:r w:rsidRPr="007139F7">
        <w:rPr>
          <w:rFonts w:eastAsia="SimSun" w:cs="Times New Roman"/>
          <w:sz w:val="28"/>
          <w:szCs w:val="28"/>
          <w:lang w:eastAsia="zh-CN"/>
        </w:rPr>
        <w:t xml:space="preserve"> та </w:t>
      </w:r>
      <w:r w:rsidRPr="007139F7">
        <w:rPr>
          <w:rFonts w:eastAsia="SimSun" w:cs="Times New Roman"/>
          <w:sz w:val="28"/>
          <w:szCs w:val="28"/>
          <w:lang w:val="ru-RU" w:eastAsia="zh-CN"/>
        </w:rPr>
        <w:t>крему «Дермофібразе»</w:t>
      </w:r>
      <w:r w:rsidRPr="007139F7">
        <w:rPr>
          <w:rFonts w:eastAsia="SimSun" w:cs="Times New Roman"/>
          <w:sz w:val="28"/>
          <w:szCs w:val="28"/>
          <w:lang w:eastAsia="zh-CN"/>
        </w:rPr>
        <w:t xml:space="preserve"> на етапі накладання швів та протягом раннього післяопераційного періоду. </w:t>
      </w:r>
      <w:r w:rsidRPr="007139F7">
        <w:rPr>
          <w:rFonts w:eastAsia="Calibri" w:cs="Times New Roman"/>
          <w:sz w:val="28"/>
          <w:szCs w:val="28"/>
        </w:rPr>
        <w:t xml:space="preserve">Даний метод лікування базується на здатності «Ліпіну» нормалізовувати рівень церулоплазміну (рівень якого збільшується у 2-3 рази при отриманні травми та при запаленні), пригнічуючи інтенсивність вільно радикального окислення [139-140]. </w:t>
      </w:r>
    </w:p>
    <w:p w:rsidR="007139F7" w:rsidRPr="007139F7" w:rsidRDefault="007139F7" w:rsidP="007139F7">
      <w:pPr>
        <w:spacing w:after="0" w:line="360" w:lineRule="auto"/>
        <w:ind w:firstLine="709"/>
        <w:jc w:val="both"/>
        <w:rPr>
          <w:rFonts w:eastAsia="SimSun" w:cs="Times New Roman"/>
          <w:sz w:val="28"/>
          <w:szCs w:val="28"/>
          <w:lang w:eastAsia="zh-CN"/>
        </w:rPr>
      </w:pPr>
      <w:r w:rsidRPr="007139F7">
        <w:rPr>
          <w:rFonts w:eastAsia="SimSun" w:cs="Times New Roman"/>
          <w:sz w:val="28"/>
          <w:szCs w:val="28"/>
          <w:lang w:eastAsia="zh-CN"/>
        </w:rPr>
        <w:t>Доведеним є той факт, що використання даного методу лікування вірогідно скорочує терміни формування зрілої рубцевої тканини у 1,3 рази, відновлює мікроциркуляторне русло, нормалізує процеси епітелізації. Це сприяє оптимізації процесів рубцеутворення навіть у пацієнтів зі схильністю до формування патологічних рубців.</w:t>
      </w:r>
    </w:p>
    <w:p w:rsidR="007139F7" w:rsidRPr="007139F7" w:rsidRDefault="007139F7" w:rsidP="007139F7">
      <w:pPr>
        <w:spacing w:after="0" w:line="360" w:lineRule="auto"/>
        <w:ind w:firstLine="709"/>
        <w:contextualSpacing/>
        <w:jc w:val="both"/>
        <w:rPr>
          <w:rFonts w:eastAsia="Times New Roman" w:cs="Times New Roman"/>
          <w:sz w:val="28"/>
          <w:szCs w:val="28"/>
          <w:lang w:eastAsia="ru-RU"/>
        </w:rPr>
      </w:pPr>
      <w:r w:rsidRPr="007139F7">
        <w:rPr>
          <w:rFonts w:eastAsia="SimSun" w:cs="Times New Roman"/>
          <w:sz w:val="28"/>
          <w:szCs w:val="28"/>
          <w:lang w:eastAsia="zh-CN"/>
        </w:rPr>
        <w:t xml:space="preserve">Вірогідне зменшення площі келоїдних та гіпертрофічних рубців спостерігається при застосуванні ін’єкцій </w:t>
      </w:r>
      <w:r w:rsidRPr="007139F7">
        <w:rPr>
          <w:rFonts w:eastAsia="Times New Roman" w:cs="Times New Roman"/>
          <w:sz w:val="28"/>
          <w:szCs w:val="28"/>
          <w:lang w:eastAsia="ru-RU"/>
        </w:rPr>
        <w:t xml:space="preserve">антиоксиданту із вираженою антигіпоксантною та капіляростабілізуючою дією </w:t>
      </w:r>
      <w:r w:rsidRPr="007139F7">
        <w:rPr>
          <w:rFonts w:eastAsia="SimSun" w:cs="Times New Roman"/>
          <w:sz w:val="28"/>
          <w:szCs w:val="28"/>
          <w:lang w:eastAsia="zh-CN"/>
        </w:rPr>
        <w:t xml:space="preserve">емоксипіну в комбінації з ультрафонофорезом геля „Контрактубекс”. </w:t>
      </w:r>
      <w:r w:rsidRPr="007139F7">
        <w:rPr>
          <w:rFonts w:eastAsia="Times New Roman" w:cs="Times New Roman"/>
          <w:sz w:val="28"/>
          <w:szCs w:val="28"/>
          <w:lang w:eastAsia="ru-RU"/>
        </w:rPr>
        <w:t xml:space="preserve">Вибір препарата обґрунтований наявністю гіпоксичного стану в келоїдах та його фібринолітичною активністю, яка поєднана із зменшенням проникності судинної стінки, стабілізацією біомембран та інгібуванням агрегації тромбоцитів і нейтрофілів. </w:t>
      </w:r>
      <w:r w:rsidRPr="007139F7">
        <w:rPr>
          <w:rFonts w:eastAsia="SimSun" w:cs="Times New Roman"/>
          <w:sz w:val="28"/>
          <w:szCs w:val="28"/>
          <w:lang w:eastAsia="zh-CN"/>
        </w:rPr>
        <w:t>Використання описаного методу лікування сприяє зменшенню рецидивів келоїдів та формуванню нормотрофічних рубців після хірургічного висічення рубцевозміненої тканини [59, 141-144].</w:t>
      </w:r>
    </w:p>
    <w:p w:rsidR="007139F7" w:rsidRPr="007139F7" w:rsidRDefault="007139F7" w:rsidP="007139F7">
      <w:pPr>
        <w:spacing w:after="0" w:line="360" w:lineRule="auto"/>
        <w:ind w:left="23" w:right="23" w:firstLine="709"/>
        <w:jc w:val="both"/>
        <w:rPr>
          <w:rFonts w:eastAsia="Calibri" w:cs="Times New Roman"/>
          <w:sz w:val="28"/>
          <w:szCs w:val="28"/>
        </w:rPr>
      </w:pPr>
      <w:r w:rsidRPr="007139F7">
        <w:rPr>
          <w:rFonts w:eastAsia="Calibri" w:cs="Times New Roman"/>
          <w:sz w:val="28"/>
          <w:szCs w:val="28"/>
        </w:rPr>
        <w:lastRenderedPageBreak/>
        <w:t xml:space="preserve">Одним із методів лікування гіпертрофічних та келоїдних рубців є ультрафонофорез лонгідази, який активує мікроциркуляцію гіпертрофічних рубців, а при комбінації із фотодеструкцією та ангіофототермолізом знижує васкуляризацію келоїдів. </w:t>
      </w:r>
    </w:p>
    <w:p w:rsidR="007139F7" w:rsidRPr="007139F7" w:rsidRDefault="007139F7" w:rsidP="007139F7">
      <w:pPr>
        <w:spacing w:after="0" w:line="360" w:lineRule="auto"/>
        <w:ind w:left="23" w:right="23" w:firstLine="709"/>
        <w:jc w:val="both"/>
        <w:rPr>
          <w:rFonts w:eastAsia="Calibri" w:cs="Times New Roman"/>
          <w:sz w:val="28"/>
          <w:szCs w:val="28"/>
        </w:rPr>
      </w:pPr>
      <w:r w:rsidRPr="007139F7">
        <w:rPr>
          <w:rFonts w:eastAsia="Calibri" w:cs="Times New Roman"/>
          <w:sz w:val="28"/>
          <w:szCs w:val="28"/>
        </w:rPr>
        <w:t xml:space="preserve">Також представлені методи лікування мають фібродеструктивний та катаболічний ефект при гіпертрофічних рубцях та фібро- та ангіодеструктивний ефекти у відповідній комбінації у пацієнтів із келоїдними рубцями. Ефективність даного лікування сягає 80% у пацієнтів із гіпертрофічними рубцями та келоїдами [145]. </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Отже, в літературі висвітлені численні методи лікування рубців, але переважна більшість з них мають суттєві недоліки, побічні дії та непередбачені наслідки. Це створює необхідність оптимізації процесів формування рубцевої тканини, особливо на ранніх стадіях, а саме інтра- та післяопераційної профілактики утворення рубцевої тканини.</w:t>
      </w:r>
    </w:p>
    <w:p w:rsidR="007139F7" w:rsidRPr="007139F7" w:rsidRDefault="007139F7" w:rsidP="007139F7">
      <w:pPr>
        <w:spacing w:after="0" w:line="360" w:lineRule="auto"/>
        <w:ind w:left="23" w:right="23" w:firstLine="697"/>
        <w:jc w:val="both"/>
        <w:rPr>
          <w:rFonts w:eastAsia="Calibri" w:cs="Times New Roman"/>
          <w:sz w:val="28"/>
          <w:szCs w:val="28"/>
        </w:rPr>
      </w:pPr>
    </w:p>
    <w:p w:rsidR="007139F7" w:rsidRPr="007139F7" w:rsidRDefault="007139F7" w:rsidP="007139F7">
      <w:pPr>
        <w:spacing w:after="0" w:line="360" w:lineRule="auto"/>
        <w:ind w:firstLine="709"/>
        <w:jc w:val="both"/>
        <w:rPr>
          <w:rFonts w:eastAsia="Calibri" w:cs="Times New Roman"/>
          <w:b/>
          <w:sz w:val="28"/>
          <w:szCs w:val="28"/>
        </w:rPr>
      </w:pPr>
      <w:r w:rsidRPr="007139F7">
        <w:rPr>
          <w:rFonts w:eastAsia="Calibri" w:cs="Times New Roman"/>
          <w:b/>
          <w:sz w:val="28"/>
          <w:szCs w:val="28"/>
        </w:rPr>
        <w:t xml:space="preserve">1.4 Експериментальне та клінічне обгрунтування використання </w:t>
      </w:r>
      <w:r w:rsidRPr="007139F7">
        <w:rPr>
          <w:rFonts w:eastAsia="Calibri" w:cs="Times New Roman"/>
          <w:b/>
          <w:sz w:val="28"/>
          <w:szCs w:val="28"/>
          <w:lang w:val="en-GB"/>
        </w:rPr>
        <w:t>PRF</w:t>
      </w:r>
      <w:r w:rsidRPr="007139F7">
        <w:rPr>
          <w:rFonts w:eastAsia="Calibri" w:cs="Times New Roman"/>
          <w:b/>
          <w:sz w:val="28"/>
          <w:szCs w:val="28"/>
        </w:rPr>
        <w:t xml:space="preserve"> у процесах репаративної регенерації</w:t>
      </w:r>
    </w:p>
    <w:p w:rsidR="007139F7" w:rsidRPr="007139F7" w:rsidRDefault="007139F7" w:rsidP="007139F7">
      <w:pPr>
        <w:spacing w:after="0" w:line="360" w:lineRule="auto"/>
        <w:ind w:firstLine="720"/>
        <w:jc w:val="both"/>
        <w:rPr>
          <w:rFonts w:eastAsia="Calibri" w:cs="Times New Roman"/>
          <w:sz w:val="28"/>
          <w:szCs w:val="28"/>
        </w:rPr>
      </w:pP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Вперше поняття про регенеративний потенціал тромбоцитів було введено у 70-х роках ХХ сторіччя </w:t>
      </w:r>
      <w:r w:rsidRPr="007139F7">
        <w:rPr>
          <w:rFonts w:eastAsia="Calibri" w:cs="Times New Roman"/>
          <w:sz w:val="28"/>
          <w:szCs w:val="28"/>
          <w:lang w:val="ru-RU"/>
        </w:rPr>
        <w:t>[146]</w:t>
      </w:r>
      <w:r w:rsidRPr="007139F7">
        <w:rPr>
          <w:rFonts w:eastAsia="Calibri" w:cs="Times New Roman"/>
          <w:sz w:val="28"/>
          <w:szCs w:val="28"/>
        </w:rPr>
        <w:t>, коли було встановлено, що наявні у них фактори росту є відповідальними за підвищення виробництва колагену, ангіогенез, остеогенез та клітинну диференціацію. У 1970 році був вперше описаний та утворений внаслідок полімеризації фібриногена з тромбіном та кальцієм тромбіновий клей, який спочатку готувався із використанням донорської плазми. Проте, стабільність та якість фібринового клею були досить низькими через низьку концентрацію фібриногену, а також був високий ризик передачі інфекції обумовлений гетерогенністю його походження</w:t>
      </w:r>
      <w:r w:rsidRPr="007139F7">
        <w:rPr>
          <w:rFonts w:eastAsia="Calibri" w:cs="Times New Roman"/>
          <w:sz w:val="28"/>
          <w:szCs w:val="28"/>
          <w:lang w:val="ru-RU"/>
        </w:rPr>
        <w:t xml:space="preserve"> [147-149]</w:t>
      </w:r>
      <w:r w:rsidRPr="007139F7">
        <w:rPr>
          <w:rFonts w:eastAsia="Calibri" w:cs="Times New Roman"/>
          <w:sz w:val="28"/>
          <w:szCs w:val="28"/>
        </w:rPr>
        <w:t xml:space="preserve">.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lastRenderedPageBreak/>
        <w:t>Використання фібринового клею є досить розповсюдженим у сучасній медичній практиці. Він може бути синтезований із власної венозної крові пацієнта або використаний у вигляді готових препаратів.</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Значне покращення регенеративних процесів через використання власної крові пацієнта є унікальною концепцією. Фібрин забезпечує формування матриці, необхідної для міграції фібробластів та ендотеліоцитів, які приймають участь у процесах ангіогенеза та репаративної регенерації тканин. Формування фібринової сітки є результатом трансформації фібриногену в фібрин під дією тромбіну та фактору ХІІІа [150]. Даний процес включає в себе 3 етапи: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1. протеоліз фібриногена тромбіном;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2. полімеризація мономерів фібрину;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3. стабілізація фібрину у фактор ХІІІа.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lang w:val="en-GB"/>
        </w:rPr>
        <w:t>PRF</w:t>
      </w:r>
      <w:r w:rsidRPr="007139F7">
        <w:rPr>
          <w:rFonts w:eastAsia="Calibri" w:cs="Times New Roman"/>
          <w:sz w:val="28"/>
          <w:szCs w:val="28"/>
        </w:rPr>
        <w:t xml:space="preserve"> (</w:t>
      </w:r>
      <w:r w:rsidRPr="007139F7">
        <w:rPr>
          <w:rFonts w:eastAsia="Calibri" w:cs="Times New Roman"/>
          <w:sz w:val="28"/>
          <w:szCs w:val="28"/>
          <w:lang w:val="en-GB"/>
        </w:rPr>
        <w:t>platent</w:t>
      </w:r>
      <w:r w:rsidRPr="007139F7">
        <w:rPr>
          <w:rFonts w:eastAsia="Calibri" w:cs="Times New Roman"/>
          <w:sz w:val="28"/>
          <w:szCs w:val="28"/>
        </w:rPr>
        <w:t xml:space="preserve"> </w:t>
      </w:r>
      <w:r w:rsidRPr="007139F7">
        <w:rPr>
          <w:rFonts w:eastAsia="Calibri" w:cs="Times New Roman"/>
          <w:sz w:val="28"/>
          <w:szCs w:val="28"/>
          <w:lang w:val="en-GB"/>
        </w:rPr>
        <w:t>rich</w:t>
      </w:r>
      <w:r w:rsidRPr="007139F7">
        <w:rPr>
          <w:rFonts w:eastAsia="Calibri" w:cs="Times New Roman"/>
          <w:sz w:val="28"/>
          <w:szCs w:val="28"/>
        </w:rPr>
        <w:t xml:space="preserve"> </w:t>
      </w:r>
      <w:r w:rsidRPr="007139F7">
        <w:rPr>
          <w:rFonts w:eastAsia="Calibri" w:cs="Times New Roman"/>
          <w:sz w:val="28"/>
          <w:szCs w:val="28"/>
          <w:lang w:val="en-GB"/>
        </w:rPr>
        <w:t>fibrin</w:t>
      </w:r>
      <w:r w:rsidRPr="007139F7">
        <w:rPr>
          <w:rFonts w:eastAsia="Calibri" w:cs="Times New Roman"/>
          <w:sz w:val="28"/>
          <w:szCs w:val="28"/>
        </w:rPr>
        <w:t xml:space="preserve"> – збагачений тромбоцитами фібрин) являє собою результат природної та прогресивної полімеризації, що виникає при центрифугуванні венозної крові пацієнта, вперше був описаний </w:t>
      </w:r>
      <w:r w:rsidRPr="007139F7">
        <w:rPr>
          <w:rFonts w:eastAsia="Calibri" w:cs="Times New Roman"/>
          <w:sz w:val="28"/>
          <w:szCs w:val="28"/>
          <w:lang w:val="en-GB"/>
        </w:rPr>
        <w:t>Choukroun</w:t>
      </w:r>
      <w:r w:rsidRPr="007139F7">
        <w:rPr>
          <w:rFonts w:eastAsia="Calibri" w:cs="Times New Roman"/>
          <w:sz w:val="28"/>
          <w:szCs w:val="28"/>
        </w:rPr>
        <w:t xml:space="preserve"> </w:t>
      </w:r>
      <w:r w:rsidRPr="007139F7">
        <w:rPr>
          <w:rFonts w:eastAsia="Calibri" w:cs="Times New Roman"/>
          <w:sz w:val="28"/>
          <w:szCs w:val="28"/>
          <w:lang w:val="en-GB"/>
        </w:rPr>
        <w:t>et</w:t>
      </w:r>
      <w:r w:rsidRPr="007139F7">
        <w:rPr>
          <w:rFonts w:eastAsia="Calibri" w:cs="Times New Roman"/>
          <w:sz w:val="28"/>
          <w:szCs w:val="28"/>
        </w:rPr>
        <w:t xml:space="preserve"> </w:t>
      </w:r>
      <w:r w:rsidRPr="007139F7">
        <w:rPr>
          <w:rFonts w:eastAsia="Calibri" w:cs="Times New Roman"/>
          <w:sz w:val="28"/>
          <w:szCs w:val="28"/>
          <w:lang w:val="en-GB"/>
        </w:rPr>
        <w:t>al</w:t>
      </w:r>
      <w:r w:rsidRPr="007139F7">
        <w:rPr>
          <w:rFonts w:eastAsia="Calibri" w:cs="Times New Roman"/>
          <w:sz w:val="28"/>
          <w:szCs w:val="28"/>
        </w:rPr>
        <w:t xml:space="preserve">. в 2001 [151]. Фібриновий згусток, який виникає внаслідок даної маніпуляції являє собою особливо однорідну тривимірну організацію, більш когерентну, ніж природні фібринові згустки [152]. Причому, протоколи отримання </w:t>
      </w:r>
      <w:r w:rsidRPr="007139F7">
        <w:rPr>
          <w:rFonts w:eastAsia="Calibri" w:cs="Times New Roman"/>
          <w:sz w:val="28"/>
          <w:szCs w:val="28"/>
          <w:lang w:val="en-GB"/>
        </w:rPr>
        <w:t>PRF</w:t>
      </w:r>
      <w:r w:rsidRPr="007139F7">
        <w:rPr>
          <w:rFonts w:eastAsia="Calibri" w:cs="Times New Roman"/>
          <w:sz w:val="28"/>
          <w:szCs w:val="28"/>
          <w:lang w:val="ru-RU"/>
        </w:rPr>
        <w:t xml:space="preserve"> </w:t>
      </w:r>
      <w:r w:rsidRPr="007139F7">
        <w:rPr>
          <w:rFonts w:eastAsia="Calibri" w:cs="Times New Roman"/>
          <w:sz w:val="28"/>
          <w:szCs w:val="28"/>
        </w:rPr>
        <w:t>не потребують використання антикоагулянтів та тромбіна великої рогатої худоби</w:t>
      </w:r>
      <w:r w:rsidRPr="007139F7">
        <w:rPr>
          <w:rFonts w:eastAsia="Calibri" w:cs="Times New Roman"/>
          <w:sz w:val="28"/>
          <w:szCs w:val="28"/>
          <w:lang w:val="ru-RU"/>
        </w:rPr>
        <w:t>.</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Серед фібринових згустків в залежності від методики їх приготування виділяють:</w:t>
      </w:r>
    </w:p>
    <w:p w:rsidR="007139F7" w:rsidRPr="007139F7" w:rsidRDefault="007139F7" w:rsidP="007139F7">
      <w:pPr>
        <w:numPr>
          <w:ilvl w:val="0"/>
          <w:numId w:val="5"/>
        </w:numPr>
        <w:spacing w:after="0" w:line="360" w:lineRule="auto"/>
        <w:ind w:left="1080" w:firstLine="709"/>
        <w:jc w:val="both"/>
        <w:rPr>
          <w:rFonts w:eastAsia="Calibri" w:cs="Times New Roman"/>
          <w:sz w:val="28"/>
          <w:szCs w:val="28"/>
        </w:rPr>
      </w:pPr>
      <w:r w:rsidRPr="007139F7">
        <w:rPr>
          <w:rFonts w:eastAsia="Calibri" w:cs="Times New Roman"/>
          <w:sz w:val="28"/>
          <w:szCs w:val="28"/>
          <w:lang w:val="en-GB"/>
        </w:rPr>
        <w:t>PRF</w:t>
      </w:r>
      <w:r w:rsidRPr="007139F7">
        <w:rPr>
          <w:rFonts w:eastAsia="Calibri" w:cs="Times New Roman"/>
          <w:sz w:val="28"/>
          <w:szCs w:val="28"/>
        </w:rPr>
        <w:t xml:space="preserve"> – звичайний фібриновий згусток, який готується у вакуумних пробірках з активатором плазми та центрифугуються близько 8-12 хвилин на швидкості 3000-3500 обертів за хвилину.</w:t>
      </w:r>
    </w:p>
    <w:p w:rsidR="007139F7" w:rsidRPr="007139F7" w:rsidRDefault="007139F7" w:rsidP="007139F7">
      <w:pPr>
        <w:numPr>
          <w:ilvl w:val="0"/>
          <w:numId w:val="5"/>
        </w:numPr>
        <w:spacing w:after="0" w:line="360" w:lineRule="auto"/>
        <w:ind w:left="1080" w:firstLine="709"/>
        <w:jc w:val="both"/>
        <w:rPr>
          <w:rFonts w:eastAsia="Calibri" w:cs="Times New Roman"/>
          <w:sz w:val="28"/>
          <w:szCs w:val="28"/>
        </w:rPr>
      </w:pPr>
      <w:r w:rsidRPr="007139F7">
        <w:rPr>
          <w:rFonts w:eastAsia="Calibri" w:cs="Times New Roman"/>
          <w:sz w:val="28"/>
          <w:szCs w:val="28"/>
        </w:rPr>
        <w:t>А-</w:t>
      </w:r>
      <w:r w:rsidRPr="007139F7">
        <w:rPr>
          <w:rFonts w:eastAsia="Calibri" w:cs="Times New Roman"/>
          <w:sz w:val="28"/>
          <w:szCs w:val="28"/>
          <w:lang w:val="en-GB"/>
        </w:rPr>
        <w:t>PRF</w:t>
      </w:r>
      <w:r w:rsidRPr="007139F7">
        <w:rPr>
          <w:rFonts w:eastAsia="Calibri" w:cs="Times New Roman"/>
          <w:sz w:val="28"/>
          <w:szCs w:val="28"/>
        </w:rPr>
        <w:t xml:space="preserve"> </w:t>
      </w:r>
      <w:r w:rsidRPr="007139F7">
        <w:rPr>
          <w:rFonts w:eastAsia="Calibri" w:cs="Times New Roman"/>
          <w:spacing w:val="2"/>
          <w:sz w:val="28"/>
          <w:szCs w:val="28"/>
          <w:shd w:val="clear" w:color="auto" w:fill="FFFFFF"/>
        </w:rPr>
        <w:t>(</w:t>
      </w:r>
      <w:r w:rsidRPr="007139F7">
        <w:rPr>
          <w:rFonts w:eastAsia="Calibri" w:cs="Times New Roman"/>
          <w:spacing w:val="2"/>
          <w:sz w:val="28"/>
          <w:szCs w:val="28"/>
          <w:shd w:val="clear" w:color="auto" w:fill="FFFFFF"/>
          <w:lang w:val="ru-RU"/>
        </w:rPr>
        <w:t>advanced</w:t>
      </w:r>
      <w:r w:rsidRPr="007139F7">
        <w:rPr>
          <w:rFonts w:eastAsia="Calibri" w:cs="Times New Roman"/>
          <w:spacing w:val="2"/>
          <w:sz w:val="28"/>
          <w:szCs w:val="28"/>
          <w:shd w:val="clear" w:color="auto" w:fill="FFFFFF"/>
        </w:rPr>
        <w:t>)</w:t>
      </w:r>
      <w:r w:rsidRPr="007139F7">
        <w:rPr>
          <w:rFonts w:eastAsia="Calibri" w:cs="Times New Roman"/>
          <w:b/>
          <w:bCs/>
          <w:spacing w:val="2"/>
          <w:sz w:val="28"/>
          <w:szCs w:val="28"/>
          <w:shd w:val="clear" w:color="auto" w:fill="FFFFFF"/>
        </w:rPr>
        <w:t xml:space="preserve"> </w:t>
      </w:r>
      <w:r w:rsidRPr="007139F7">
        <w:rPr>
          <w:rFonts w:eastAsia="Calibri" w:cs="Times New Roman"/>
          <w:bCs/>
          <w:spacing w:val="2"/>
          <w:sz w:val="28"/>
          <w:szCs w:val="28"/>
          <w:shd w:val="clear" w:color="auto" w:fill="FFFFFF"/>
        </w:rPr>
        <w:t>– у даному згустку фактори росту мають більшу концентрацію та більш рівномірне розташування, чому сприяє зниження швидкості обертів центрифуги до 2000 обертів за хвилину, час центрифугування 8-12 хвилин.</w:t>
      </w:r>
    </w:p>
    <w:p w:rsidR="007139F7" w:rsidRPr="007139F7" w:rsidRDefault="007139F7" w:rsidP="007139F7">
      <w:pPr>
        <w:numPr>
          <w:ilvl w:val="0"/>
          <w:numId w:val="5"/>
        </w:numPr>
        <w:spacing w:after="0" w:line="360" w:lineRule="auto"/>
        <w:ind w:left="1080" w:firstLine="709"/>
        <w:jc w:val="both"/>
        <w:rPr>
          <w:rFonts w:eastAsia="Calibri" w:cs="Times New Roman"/>
          <w:sz w:val="28"/>
          <w:szCs w:val="28"/>
        </w:rPr>
      </w:pPr>
      <w:r w:rsidRPr="007139F7">
        <w:rPr>
          <w:rFonts w:eastAsia="Calibri" w:cs="Times New Roman"/>
          <w:bCs/>
          <w:spacing w:val="2"/>
          <w:sz w:val="28"/>
          <w:szCs w:val="28"/>
          <w:lang w:val="ru-RU"/>
        </w:rPr>
        <w:lastRenderedPageBreak/>
        <w:t>i</w:t>
      </w:r>
      <w:r w:rsidRPr="007139F7">
        <w:rPr>
          <w:rFonts w:eastAsia="Calibri" w:cs="Times New Roman"/>
          <w:bCs/>
          <w:spacing w:val="2"/>
          <w:sz w:val="28"/>
          <w:szCs w:val="28"/>
        </w:rPr>
        <w:t>-</w:t>
      </w:r>
      <w:r w:rsidRPr="007139F7">
        <w:rPr>
          <w:rFonts w:eastAsia="Calibri" w:cs="Times New Roman"/>
          <w:bCs/>
          <w:spacing w:val="2"/>
          <w:sz w:val="28"/>
          <w:szCs w:val="28"/>
          <w:lang w:val="ru-RU"/>
        </w:rPr>
        <w:t>PRF</w:t>
      </w:r>
      <w:r w:rsidRPr="007139F7">
        <w:rPr>
          <w:rFonts w:eastAsia="Calibri" w:cs="Times New Roman"/>
          <w:spacing w:val="2"/>
          <w:sz w:val="28"/>
          <w:szCs w:val="28"/>
        </w:rPr>
        <w:t xml:space="preserve"> (ін’єкційний) – фібриновий згусток, який утворюється через декілька хвилин після отримання плазми крові шляхом центрифугування. Швидкість обертів складає 1500-2000 об/хв., час центрифугування – 3 хвилини.</w:t>
      </w:r>
    </w:p>
    <w:p w:rsidR="007139F7" w:rsidRPr="007139F7" w:rsidRDefault="007139F7" w:rsidP="007139F7">
      <w:pPr>
        <w:numPr>
          <w:ilvl w:val="0"/>
          <w:numId w:val="5"/>
        </w:numPr>
        <w:spacing w:after="0" w:line="360" w:lineRule="auto"/>
        <w:ind w:left="1080" w:firstLine="709"/>
        <w:jc w:val="both"/>
        <w:rPr>
          <w:rFonts w:eastAsia="Calibri" w:cs="Times New Roman"/>
          <w:sz w:val="28"/>
          <w:szCs w:val="28"/>
        </w:rPr>
      </w:pPr>
      <w:r w:rsidRPr="007139F7">
        <w:rPr>
          <w:rFonts w:eastAsia="Calibri" w:cs="Times New Roman"/>
          <w:bCs/>
          <w:spacing w:val="2"/>
          <w:sz w:val="28"/>
          <w:szCs w:val="28"/>
          <w:shd w:val="clear" w:color="auto" w:fill="FFFFFF"/>
          <w:lang w:val="ru-RU"/>
        </w:rPr>
        <w:t>Sticky bone</w:t>
      </w:r>
      <w:r w:rsidRPr="007139F7">
        <w:rPr>
          <w:rFonts w:eastAsia="Calibri" w:cs="Times New Roman"/>
          <w:bCs/>
          <w:spacing w:val="2"/>
          <w:sz w:val="28"/>
          <w:szCs w:val="28"/>
          <w:shd w:val="clear" w:color="auto" w:fill="FFFFFF"/>
        </w:rPr>
        <w:t xml:space="preserve"> – плазма крові, яка перетворюється на згусток за рахунок вмісту фібрину у самій плазмі. Приготування аналогічне до звичайного </w:t>
      </w:r>
      <w:r w:rsidRPr="007139F7">
        <w:rPr>
          <w:rFonts w:eastAsia="Calibri" w:cs="Times New Roman"/>
          <w:bCs/>
          <w:spacing w:val="2"/>
          <w:sz w:val="28"/>
          <w:szCs w:val="28"/>
          <w:lang w:val="ru-RU"/>
        </w:rPr>
        <w:t>PRF</w:t>
      </w:r>
      <w:r w:rsidRPr="007139F7">
        <w:rPr>
          <w:rFonts w:eastAsia="Calibri" w:cs="Times New Roman"/>
          <w:bCs/>
          <w:spacing w:val="2"/>
          <w:sz w:val="28"/>
          <w:szCs w:val="28"/>
        </w:rPr>
        <w:t>, але внаслідок відсутності активатора згортання у пробірці швидкість утворення фібринового згустку значно нижча</w:t>
      </w:r>
      <w:r w:rsidRPr="007139F7">
        <w:rPr>
          <w:rFonts w:eastAsia="Calibri" w:cs="Times New Roman"/>
          <w:bCs/>
          <w:spacing w:val="2"/>
          <w:sz w:val="28"/>
          <w:szCs w:val="28"/>
          <w:lang w:val="ru-RU"/>
        </w:rPr>
        <w:t xml:space="preserve"> [153]</w:t>
      </w:r>
      <w:r w:rsidRPr="007139F7">
        <w:rPr>
          <w:rFonts w:eastAsia="Calibri" w:cs="Times New Roman"/>
          <w:bCs/>
          <w:spacing w:val="2"/>
          <w:sz w:val="28"/>
          <w:szCs w:val="28"/>
        </w:rPr>
        <w:t>.</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Слід зазначити, що на формування фібринового матриксу впливають різноманітні фактори, такі як, концентрація іонів кальцію та фібриногена у крові, наявність супутньої патології (діабет, нефротичний синдром тощо) [154].</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lang w:val="en-GB"/>
        </w:rPr>
        <w:t>PRF</w:t>
      </w:r>
      <w:r w:rsidRPr="007139F7">
        <w:rPr>
          <w:rFonts w:eastAsia="Calibri" w:cs="Times New Roman"/>
          <w:sz w:val="28"/>
          <w:szCs w:val="28"/>
        </w:rPr>
        <w:t xml:space="preserve"> містить у своєму складі аутологічну матрицю фібрину, яка багата на лейкоцити, тромбоцити та цитокіни, являє собою тетрамолекулярну структуру, яка діє як каркас, схильний до біологічного розпадання. Дана матриця не тільки стимулює розвиток мікросудинної сітки, але й направляє міграцію епітеліальних клітин на її поверхню. Згідно досліджень </w:t>
      </w:r>
      <w:r w:rsidRPr="007139F7">
        <w:rPr>
          <w:rFonts w:eastAsia="Calibri" w:cs="Times New Roman"/>
          <w:sz w:val="28"/>
          <w:szCs w:val="28"/>
          <w:lang w:val="en-US"/>
        </w:rPr>
        <w:t>in</w:t>
      </w:r>
      <w:r w:rsidRPr="007139F7">
        <w:rPr>
          <w:rFonts w:eastAsia="Calibri" w:cs="Times New Roman"/>
          <w:sz w:val="28"/>
          <w:szCs w:val="28"/>
        </w:rPr>
        <w:t xml:space="preserve"> </w:t>
      </w:r>
      <w:r w:rsidRPr="007139F7">
        <w:rPr>
          <w:rFonts w:eastAsia="Calibri" w:cs="Times New Roman"/>
          <w:sz w:val="28"/>
          <w:szCs w:val="28"/>
          <w:lang w:val="en-US"/>
        </w:rPr>
        <w:t>vitro</w:t>
      </w:r>
      <w:r w:rsidRPr="007139F7">
        <w:rPr>
          <w:rFonts w:eastAsia="Calibri" w:cs="Times New Roman"/>
          <w:sz w:val="28"/>
          <w:szCs w:val="28"/>
        </w:rPr>
        <w:t xml:space="preserve"> </w:t>
      </w:r>
      <w:r w:rsidRPr="007139F7">
        <w:rPr>
          <w:rFonts w:eastAsia="Calibri" w:cs="Times New Roman"/>
          <w:sz w:val="28"/>
          <w:szCs w:val="28"/>
          <w:lang w:val="en-GB"/>
        </w:rPr>
        <w:t>Dohan</w:t>
      </w:r>
      <w:r w:rsidRPr="007139F7">
        <w:rPr>
          <w:rFonts w:eastAsia="Calibri" w:cs="Times New Roman"/>
          <w:sz w:val="28"/>
          <w:szCs w:val="28"/>
        </w:rPr>
        <w:t xml:space="preserve"> </w:t>
      </w:r>
      <w:r w:rsidRPr="007139F7">
        <w:rPr>
          <w:rFonts w:eastAsia="Calibri" w:cs="Times New Roman"/>
          <w:sz w:val="28"/>
          <w:szCs w:val="28"/>
          <w:lang w:val="en-GB"/>
        </w:rPr>
        <w:t>et</w:t>
      </w:r>
      <w:r w:rsidRPr="007139F7">
        <w:rPr>
          <w:rFonts w:eastAsia="Calibri" w:cs="Times New Roman"/>
          <w:sz w:val="28"/>
          <w:szCs w:val="28"/>
        </w:rPr>
        <w:t xml:space="preserve"> </w:t>
      </w:r>
      <w:r w:rsidRPr="007139F7">
        <w:rPr>
          <w:rFonts w:eastAsia="Calibri" w:cs="Times New Roman"/>
          <w:sz w:val="28"/>
          <w:szCs w:val="28"/>
          <w:lang w:val="en-GB"/>
        </w:rPr>
        <w:t>al</w:t>
      </w:r>
      <w:r w:rsidRPr="007139F7">
        <w:rPr>
          <w:rFonts w:eastAsia="Calibri" w:cs="Times New Roman"/>
          <w:sz w:val="28"/>
          <w:szCs w:val="28"/>
        </w:rPr>
        <w:t xml:space="preserve">. [153-154] вважають, що для </w:t>
      </w:r>
      <w:r w:rsidRPr="007139F7">
        <w:rPr>
          <w:rFonts w:eastAsia="Calibri" w:cs="Times New Roman"/>
          <w:sz w:val="28"/>
          <w:szCs w:val="28"/>
          <w:lang w:val="en-GB"/>
        </w:rPr>
        <w:t>PRF</w:t>
      </w:r>
      <w:r w:rsidRPr="007139F7">
        <w:rPr>
          <w:rFonts w:eastAsia="Calibri" w:cs="Times New Roman"/>
          <w:sz w:val="28"/>
          <w:szCs w:val="28"/>
        </w:rPr>
        <w:t xml:space="preserve"> характерні імунологічні та антибактеріальні риси, що стимулюють дегрануляцію лейкоцитів, ангіогенез та протизапальні реакції. Проте, згідно деяких досліджень </w:t>
      </w:r>
      <w:r w:rsidRPr="007139F7">
        <w:rPr>
          <w:rFonts w:eastAsia="Calibri" w:cs="Times New Roman"/>
          <w:sz w:val="28"/>
          <w:szCs w:val="28"/>
          <w:lang w:val="en-GB"/>
        </w:rPr>
        <w:t>PRF</w:t>
      </w:r>
      <w:r w:rsidRPr="007139F7">
        <w:rPr>
          <w:rFonts w:eastAsia="Calibri" w:cs="Times New Roman"/>
          <w:sz w:val="28"/>
          <w:szCs w:val="28"/>
        </w:rPr>
        <w:t xml:space="preserve"> не має антибактеріальної дії на відміну від </w:t>
      </w:r>
      <w:r w:rsidRPr="007139F7">
        <w:rPr>
          <w:rFonts w:eastAsia="Calibri" w:cs="Times New Roman"/>
          <w:sz w:val="28"/>
          <w:szCs w:val="28"/>
          <w:lang w:val="en-GB"/>
        </w:rPr>
        <w:t>PRP</w:t>
      </w:r>
      <w:r w:rsidRPr="007139F7">
        <w:rPr>
          <w:rFonts w:eastAsia="Calibri" w:cs="Times New Roman"/>
          <w:sz w:val="28"/>
          <w:szCs w:val="28"/>
        </w:rPr>
        <w:t xml:space="preserve"> (збагачена тромбоцитами плазма), використання якого призводить до інгібування певних бактерій (</w:t>
      </w:r>
      <w:r w:rsidRPr="007139F7">
        <w:rPr>
          <w:rFonts w:eastAsia="Calibri" w:cs="Times New Roman"/>
          <w:sz w:val="28"/>
          <w:szCs w:val="28"/>
          <w:lang w:val="en-GB"/>
        </w:rPr>
        <w:t>P</w:t>
      </w:r>
      <w:r w:rsidRPr="007139F7">
        <w:rPr>
          <w:rFonts w:eastAsia="Calibri" w:cs="Times New Roman"/>
          <w:sz w:val="28"/>
          <w:szCs w:val="28"/>
        </w:rPr>
        <w:t>. </w:t>
      </w:r>
      <w:r w:rsidRPr="007139F7">
        <w:rPr>
          <w:rFonts w:eastAsia="Calibri" w:cs="Times New Roman"/>
          <w:sz w:val="28"/>
          <w:szCs w:val="28"/>
          <w:lang w:val="en-GB"/>
        </w:rPr>
        <w:t>gingivalis</w:t>
      </w:r>
      <w:r w:rsidRPr="007139F7">
        <w:rPr>
          <w:rFonts w:eastAsia="Calibri" w:cs="Times New Roman"/>
          <w:sz w:val="28"/>
          <w:szCs w:val="28"/>
        </w:rPr>
        <w:t xml:space="preserve">, </w:t>
      </w:r>
      <w:r w:rsidRPr="007139F7">
        <w:rPr>
          <w:rFonts w:eastAsia="Calibri" w:cs="Times New Roman"/>
          <w:sz w:val="28"/>
          <w:szCs w:val="28"/>
          <w:lang w:val="en-GB"/>
        </w:rPr>
        <w:t>A</w:t>
      </w:r>
      <w:r w:rsidRPr="007139F7">
        <w:rPr>
          <w:rFonts w:eastAsia="Calibri" w:cs="Times New Roman"/>
          <w:sz w:val="28"/>
          <w:szCs w:val="28"/>
        </w:rPr>
        <w:t xml:space="preserve">. </w:t>
      </w:r>
      <w:r w:rsidRPr="007139F7">
        <w:rPr>
          <w:rFonts w:eastAsia="Calibri" w:cs="Times New Roman"/>
          <w:sz w:val="28"/>
          <w:szCs w:val="28"/>
          <w:lang w:val="en-GB"/>
        </w:rPr>
        <w:t>actinomycetemcomitans</w:t>
      </w:r>
      <w:r w:rsidRPr="007139F7">
        <w:rPr>
          <w:rFonts w:eastAsia="Calibri" w:cs="Times New Roman"/>
          <w:sz w:val="28"/>
          <w:szCs w:val="28"/>
        </w:rPr>
        <w:t>) [155, 156].</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Звичайний кров’яний згусток містить у своєму складі 95% еритроцитів, 5% тромбоцитів та менш ніж 1% лейкоцитів, а також численні фібринові волокна. На відміну від цього згусток </w:t>
      </w:r>
      <w:r w:rsidRPr="007139F7">
        <w:rPr>
          <w:rFonts w:eastAsia="Calibri" w:cs="Times New Roman"/>
          <w:sz w:val="28"/>
          <w:szCs w:val="28"/>
          <w:lang w:val="en-GB"/>
        </w:rPr>
        <w:t>PRF</w:t>
      </w:r>
      <w:r w:rsidRPr="007139F7">
        <w:rPr>
          <w:rFonts w:eastAsia="Calibri" w:cs="Times New Roman"/>
          <w:sz w:val="28"/>
          <w:szCs w:val="28"/>
        </w:rPr>
        <w:t xml:space="preserve"> має значно вищу концентрацію тромбоцитів (95%)</w:t>
      </w:r>
      <w:r w:rsidRPr="007139F7">
        <w:rPr>
          <w:rFonts w:eastAsia="Calibri" w:cs="Times New Roman"/>
          <w:sz w:val="28"/>
          <w:szCs w:val="28"/>
          <w:lang w:val="ru-RU"/>
        </w:rPr>
        <w:t xml:space="preserve"> </w:t>
      </w:r>
      <w:r w:rsidRPr="007139F7">
        <w:rPr>
          <w:rFonts w:eastAsia="Calibri" w:cs="Times New Roman"/>
          <w:sz w:val="28"/>
          <w:szCs w:val="28"/>
        </w:rPr>
        <w:t>[1</w:t>
      </w:r>
      <w:r w:rsidRPr="007139F7">
        <w:rPr>
          <w:rFonts w:eastAsia="Calibri" w:cs="Times New Roman"/>
          <w:sz w:val="28"/>
          <w:szCs w:val="28"/>
          <w:lang w:val="ru-RU"/>
        </w:rPr>
        <w:t>57</w:t>
      </w:r>
      <w:r w:rsidRPr="007139F7">
        <w:rPr>
          <w:rFonts w:eastAsia="Calibri" w:cs="Times New Roman"/>
          <w:sz w:val="28"/>
          <w:szCs w:val="28"/>
        </w:rPr>
        <w:t>, 1</w:t>
      </w:r>
      <w:r w:rsidRPr="007139F7">
        <w:rPr>
          <w:rFonts w:eastAsia="Calibri" w:cs="Times New Roman"/>
          <w:sz w:val="28"/>
          <w:szCs w:val="28"/>
          <w:lang w:val="ru-RU"/>
        </w:rPr>
        <w:t>58</w:t>
      </w:r>
      <w:r w:rsidRPr="007139F7">
        <w:rPr>
          <w:rFonts w:eastAsia="Calibri" w:cs="Times New Roman"/>
          <w:sz w:val="28"/>
          <w:szCs w:val="28"/>
        </w:rPr>
        <w:t xml:space="preserve">]. Також однією із позитивних якостей </w:t>
      </w:r>
      <w:r w:rsidRPr="007139F7">
        <w:rPr>
          <w:rFonts w:eastAsia="Calibri" w:cs="Times New Roman"/>
          <w:sz w:val="28"/>
          <w:szCs w:val="28"/>
          <w:lang w:val="en-GB"/>
        </w:rPr>
        <w:t>PRF</w:t>
      </w:r>
      <w:r w:rsidRPr="007139F7">
        <w:rPr>
          <w:rFonts w:eastAsia="Calibri" w:cs="Times New Roman"/>
          <w:sz w:val="28"/>
          <w:szCs w:val="28"/>
        </w:rPr>
        <w:t xml:space="preserve"> на відміну від природного згустку крові є те, що він є більш однорідним, стабільним, легким в обробці та переміщенні на необхідне місце [159]. </w:t>
      </w:r>
    </w:p>
    <w:p w:rsidR="007139F7" w:rsidRPr="007139F7" w:rsidRDefault="007139F7" w:rsidP="007139F7">
      <w:pPr>
        <w:spacing w:after="0" w:line="360" w:lineRule="auto"/>
        <w:ind w:firstLine="720"/>
        <w:jc w:val="both"/>
        <w:rPr>
          <w:rFonts w:eastAsia="Calibri" w:cs="Times New Roman"/>
          <w:sz w:val="28"/>
          <w:szCs w:val="28"/>
          <w:lang w:val="ru-RU"/>
        </w:rPr>
      </w:pPr>
      <w:r w:rsidRPr="007139F7">
        <w:rPr>
          <w:rFonts w:eastAsia="Calibri" w:cs="Times New Roman"/>
          <w:sz w:val="28"/>
          <w:szCs w:val="28"/>
        </w:rPr>
        <w:lastRenderedPageBreak/>
        <w:t xml:space="preserve">Відомим є той факт, що у </w:t>
      </w:r>
      <w:r w:rsidRPr="007139F7">
        <w:rPr>
          <w:rFonts w:eastAsia="Calibri" w:cs="Times New Roman"/>
          <w:sz w:val="28"/>
          <w:szCs w:val="28"/>
          <w:lang w:val="en-GB"/>
        </w:rPr>
        <w:t>α</w:t>
      </w:r>
      <w:r w:rsidRPr="007139F7">
        <w:rPr>
          <w:rFonts w:eastAsia="Calibri" w:cs="Times New Roman"/>
          <w:sz w:val="28"/>
          <w:szCs w:val="28"/>
        </w:rPr>
        <w:t>-гранулах тромбоцитів міститься тромбоцитарний (</w:t>
      </w:r>
      <w:r w:rsidRPr="007139F7">
        <w:rPr>
          <w:rFonts w:eastAsia="Calibri" w:cs="Times New Roman"/>
          <w:sz w:val="28"/>
          <w:szCs w:val="28"/>
          <w:lang w:val="en-US"/>
        </w:rPr>
        <w:t>PDGF</w:t>
      </w:r>
      <w:r w:rsidRPr="007139F7">
        <w:rPr>
          <w:rFonts w:eastAsia="Calibri" w:cs="Times New Roman"/>
          <w:sz w:val="28"/>
          <w:szCs w:val="28"/>
        </w:rPr>
        <w:t>), ендотеліальний (</w:t>
      </w:r>
      <w:r w:rsidRPr="007139F7">
        <w:rPr>
          <w:rFonts w:eastAsia="Calibri" w:cs="Times New Roman"/>
          <w:sz w:val="28"/>
          <w:szCs w:val="28"/>
          <w:lang w:val="en-US"/>
        </w:rPr>
        <w:t>VEGF</w:t>
      </w:r>
      <w:r w:rsidRPr="007139F7">
        <w:rPr>
          <w:rFonts w:eastAsia="Calibri" w:cs="Times New Roman"/>
          <w:sz w:val="28"/>
          <w:szCs w:val="28"/>
        </w:rPr>
        <w:t>), трансформуючий (</w:t>
      </w:r>
      <w:r w:rsidRPr="007139F7">
        <w:rPr>
          <w:rFonts w:eastAsia="Calibri" w:cs="Times New Roman"/>
          <w:sz w:val="28"/>
          <w:szCs w:val="28"/>
          <w:lang w:val="en-US"/>
        </w:rPr>
        <w:t>TGF</w:t>
      </w:r>
      <w:r w:rsidRPr="007139F7">
        <w:rPr>
          <w:rFonts w:eastAsia="Calibri" w:cs="Times New Roman"/>
          <w:sz w:val="28"/>
          <w:szCs w:val="28"/>
        </w:rPr>
        <w:t>-</w:t>
      </w:r>
      <w:r w:rsidRPr="007139F7">
        <w:rPr>
          <w:rFonts w:eastAsia="Calibri" w:cs="Times New Roman"/>
          <w:sz w:val="28"/>
          <w:szCs w:val="28"/>
          <w:lang w:val="en-US"/>
        </w:rPr>
        <w:t>β</w:t>
      </w:r>
      <w:r w:rsidRPr="007139F7">
        <w:rPr>
          <w:rFonts w:eastAsia="Calibri" w:cs="Times New Roman"/>
          <w:sz w:val="28"/>
          <w:szCs w:val="28"/>
        </w:rPr>
        <w:t>), інсуліноподібний (</w:t>
      </w:r>
      <w:r w:rsidRPr="007139F7">
        <w:rPr>
          <w:rFonts w:eastAsia="Calibri" w:cs="Times New Roman"/>
          <w:sz w:val="28"/>
          <w:szCs w:val="28"/>
          <w:lang w:val="en-US"/>
        </w:rPr>
        <w:t>IGF</w:t>
      </w:r>
      <w:r w:rsidRPr="007139F7">
        <w:rPr>
          <w:rFonts w:eastAsia="Calibri" w:cs="Times New Roman"/>
          <w:sz w:val="28"/>
          <w:szCs w:val="28"/>
        </w:rPr>
        <w:t>-1) фактори росту тощо. Окрім зазначених факторів росту тромбоцити ще включають в себе такі молекули, як фібриноген, фібронектин, вітронектин, які мають властивість модулювати процеси репаративної регенерації, неоангіогенезу та вивільнення кісткового морфогенетичного білку (</w:t>
      </w:r>
      <w:r w:rsidRPr="007139F7">
        <w:rPr>
          <w:rFonts w:eastAsia="Calibri" w:cs="Times New Roman"/>
          <w:sz w:val="28"/>
          <w:szCs w:val="28"/>
          <w:lang w:val="en-US"/>
        </w:rPr>
        <w:t>BMP</w:t>
      </w:r>
      <w:r w:rsidRPr="007139F7">
        <w:rPr>
          <w:rFonts w:eastAsia="Calibri" w:cs="Times New Roman"/>
          <w:sz w:val="28"/>
          <w:szCs w:val="28"/>
        </w:rPr>
        <w:t xml:space="preserve">-2) [156, 157, 160-165]. Серед вищезазначених основними ангіогенними факторами є фактори росту фібробластів, </w:t>
      </w:r>
      <w:r w:rsidRPr="007139F7">
        <w:rPr>
          <w:rFonts w:eastAsia="Calibri" w:cs="Times New Roman"/>
          <w:sz w:val="28"/>
          <w:szCs w:val="28"/>
          <w:lang w:val="en-US"/>
        </w:rPr>
        <w:t>PDGF</w:t>
      </w:r>
      <w:r w:rsidRPr="007139F7">
        <w:rPr>
          <w:rFonts w:eastAsia="Calibri" w:cs="Times New Roman"/>
          <w:sz w:val="28"/>
          <w:szCs w:val="28"/>
        </w:rPr>
        <w:t xml:space="preserve"> та </w:t>
      </w:r>
      <w:r w:rsidRPr="007139F7">
        <w:rPr>
          <w:rFonts w:eastAsia="Calibri" w:cs="Times New Roman"/>
          <w:sz w:val="28"/>
          <w:szCs w:val="28"/>
          <w:lang w:val="en-US"/>
        </w:rPr>
        <w:t>VEGF</w:t>
      </w:r>
      <w:r w:rsidRPr="007139F7">
        <w:rPr>
          <w:rFonts w:eastAsia="Calibri" w:cs="Times New Roman"/>
          <w:sz w:val="28"/>
          <w:szCs w:val="28"/>
        </w:rPr>
        <w:t xml:space="preserve"> </w:t>
      </w:r>
      <w:r w:rsidRPr="007139F7">
        <w:rPr>
          <w:rFonts w:eastAsia="Calibri" w:cs="Times New Roman"/>
          <w:sz w:val="28"/>
          <w:szCs w:val="28"/>
          <w:lang w:val="ru-RU"/>
        </w:rPr>
        <w:t>[166].</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lang w:val="en-US"/>
        </w:rPr>
        <w:t>PDGF</w:t>
      </w:r>
      <w:r w:rsidRPr="007139F7">
        <w:rPr>
          <w:rFonts w:eastAsia="Calibri" w:cs="Times New Roman"/>
          <w:sz w:val="28"/>
          <w:szCs w:val="28"/>
        </w:rPr>
        <w:t xml:space="preserve"> (фактор росту тромбоцитів) є потужним активатором клітин мезенхімального походження, стимулює хемотаксис, проліферацію та нову експресію генів в моноцитах, макрофагах та фібробластах </w:t>
      </w:r>
      <w:r w:rsidRPr="007139F7">
        <w:rPr>
          <w:rFonts w:eastAsia="Calibri" w:cs="Times New Roman"/>
          <w:sz w:val="28"/>
          <w:szCs w:val="28"/>
          <w:lang w:val="en-GB"/>
        </w:rPr>
        <w:t>in</w:t>
      </w:r>
      <w:r w:rsidRPr="007139F7">
        <w:rPr>
          <w:rFonts w:eastAsia="Calibri" w:cs="Times New Roman"/>
          <w:sz w:val="28"/>
          <w:szCs w:val="28"/>
        </w:rPr>
        <w:t xml:space="preserve"> </w:t>
      </w:r>
      <w:r w:rsidRPr="007139F7">
        <w:rPr>
          <w:rFonts w:eastAsia="Calibri" w:cs="Times New Roman"/>
          <w:sz w:val="28"/>
          <w:szCs w:val="28"/>
          <w:lang w:val="en-GB"/>
        </w:rPr>
        <w:t>vitro</w:t>
      </w:r>
      <w:r w:rsidRPr="007139F7">
        <w:rPr>
          <w:rFonts w:eastAsia="Calibri" w:cs="Times New Roman"/>
          <w:sz w:val="28"/>
          <w:szCs w:val="28"/>
        </w:rPr>
        <w:t xml:space="preserve"> (тобто клітин необхідних для відновлення тканин). Експериментально доведеним є той факт, що </w:t>
      </w:r>
      <w:r w:rsidRPr="007139F7">
        <w:rPr>
          <w:rFonts w:eastAsia="Calibri" w:cs="Times New Roman"/>
          <w:sz w:val="28"/>
          <w:szCs w:val="28"/>
          <w:lang w:val="en-US"/>
        </w:rPr>
        <w:t>PDGF</w:t>
      </w:r>
      <w:r w:rsidRPr="007139F7">
        <w:rPr>
          <w:rFonts w:eastAsia="Calibri" w:cs="Times New Roman"/>
          <w:sz w:val="28"/>
          <w:szCs w:val="28"/>
        </w:rPr>
        <w:t xml:space="preserve"> збільшує міцність рани на розтягування на 50-70% протягом перших 3 тижнів. Також </w:t>
      </w:r>
      <w:r w:rsidRPr="007139F7">
        <w:rPr>
          <w:rFonts w:eastAsia="Calibri" w:cs="Times New Roman"/>
          <w:sz w:val="28"/>
          <w:szCs w:val="28"/>
          <w:lang w:val="en-US"/>
        </w:rPr>
        <w:t>PDGF</w:t>
      </w:r>
      <w:r w:rsidRPr="007139F7">
        <w:rPr>
          <w:rFonts w:eastAsia="Calibri" w:cs="Times New Roman"/>
          <w:sz w:val="28"/>
          <w:szCs w:val="28"/>
        </w:rPr>
        <w:t xml:space="preserve"> прискорює закриття рани вторинним натягом в середньому на 30%, стимулюючи відновлення м’яких тканин. Існує припущення, що тромбоцитарний фактор росту через раньові макрофаги ініціює індукцію позитивних аутокринних контурів зворотнього зв’язку та синтез факторів росту, забезпечуючи і прискорюючи тим самим каскад репаративних процесів [167].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Власне мембрана фібринового згустку сприяє механічному захисту операційного поля та має біологічну взаємодію із різноманітними механізмами загоєння ран [168, 169]. </w:t>
      </w:r>
      <w:r w:rsidRPr="007139F7">
        <w:rPr>
          <w:rFonts w:eastAsia="Calibri" w:cs="Times New Roman"/>
          <w:sz w:val="28"/>
          <w:szCs w:val="28"/>
          <w:lang w:val="en-GB"/>
        </w:rPr>
        <w:t>αv</w:t>
      </w:r>
      <w:r w:rsidRPr="007139F7">
        <w:rPr>
          <w:rFonts w:eastAsia="Calibri" w:cs="Times New Roman"/>
          <w:sz w:val="28"/>
          <w:szCs w:val="28"/>
        </w:rPr>
        <w:t>-</w:t>
      </w:r>
      <w:r w:rsidRPr="007139F7">
        <w:rPr>
          <w:rFonts w:eastAsia="Calibri" w:cs="Times New Roman"/>
          <w:sz w:val="28"/>
          <w:szCs w:val="28"/>
          <w:lang w:val="en-GB"/>
        </w:rPr>
        <w:t>β</w:t>
      </w:r>
      <w:r w:rsidRPr="007139F7">
        <w:rPr>
          <w:rFonts w:eastAsia="Calibri" w:cs="Times New Roman"/>
          <w:sz w:val="28"/>
          <w:szCs w:val="28"/>
        </w:rPr>
        <w:t xml:space="preserve">3-інетрлейкін, експресія якого ендотеліальними клітинами індукується фібрином, разом із фібронектином та вітронектином стимулює процеси утворення капілярних судин, а також сприяє ремоделюванню рубцевої тканини [163, 170, 171]. Рівносторонні зв’язки між фібрилами фібрину, які сприяють міграції клітин та утриманню розчинних молекул, формують еластичну матричну архітектуру, яка утворюється внаслідок повільної полімеризації із фізіологічними концентраціями тромбіну [149].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lastRenderedPageBreak/>
        <w:t xml:space="preserve">Фібриновий матрикс також впливає на метаболізм епітеліальних клітин та фібробластів. Продукти деградації фібрину підвищують експресію мембрани рецепторів </w:t>
      </w:r>
      <w:r w:rsidRPr="007139F7">
        <w:rPr>
          <w:rFonts w:eastAsia="Calibri" w:cs="Times New Roman"/>
          <w:sz w:val="28"/>
          <w:szCs w:val="28"/>
          <w:lang w:val="en-GB"/>
        </w:rPr>
        <w:t>CD</w:t>
      </w:r>
      <w:r w:rsidRPr="007139F7">
        <w:rPr>
          <w:rFonts w:eastAsia="Calibri" w:cs="Times New Roman"/>
          <w:sz w:val="28"/>
          <w:szCs w:val="28"/>
        </w:rPr>
        <w:t>11</w:t>
      </w:r>
      <w:r w:rsidRPr="007139F7">
        <w:rPr>
          <w:rFonts w:eastAsia="Calibri" w:cs="Times New Roman"/>
          <w:sz w:val="28"/>
          <w:szCs w:val="28"/>
          <w:lang w:val="en-GB"/>
        </w:rPr>
        <w:t>c</w:t>
      </w:r>
      <w:r w:rsidRPr="007139F7">
        <w:rPr>
          <w:rFonts w:eastAsia="Calibri" w:cs="Times New Roman"/>
          <w:sz w:val="28"/>
          <w:szCs w:val="28"/>
        </w:rPr>
        <w:t>/</w:t>
      </w:r>
      <w:r w:rsidRPr="007139F7">
        <w:rPr>
          <w:rFonts w:eastAsia="Calibri" w:cs="Times New Roman"/>
          <w:sz w:val="28"/>
          <w:szCs w:val="28"/>
          <w:lang w:val="en-GB"/>
        </w:rPr>
        <w:t>CD</w:t>
      </w:r>
      <w:r w:rsidRPr="007139F7">
        <w:rPr>
          <w:rFonts w:eastAsia="Calibri" w:cs="Times New Roman"/>
          <w:sz w:val="28"/>
          <w:szCs w:val="28"/>
        </w:rPr>
        <w:t xml:space="preserve">18, що провокує адгезію нейтрофілів до ендотелію та фібриногену. Все це сприяє втраті епітеліоцитами на краях рани базальної та апікальної полярностей </w:t>
      </w:r>
      <w:r w:rsidRPr="007139F7">
        <w:rPr>
          <w:rFonts w:eastAsia="Calibri" w:cs="Times New Roman"/>
          <w:sz w:val="28"/>
          <w:szCs w:val="28"/>
          <w:lang w:val="ru-RU"/>
        </w:rPr>
        <w:t>та</w:t>
      </w:r>
      <w:r w:rsidRPr="007139F7">
        <w:rPr>
          <w:rFonts w:eastAsia="Calibri" w:cs="Times New Roman"/>
          <w:sz w:val="28"/>
          <w:szCs w:val="28"/>
        </w:rPr>
        <w:t xml:space="preserve"> стимулює їх розтягнення у бік раневої поверхні. Окрім цього </w:t>
      </w:r>
      <w:r w:rsidRPr="007139F7">
        <w:rPr>
          <w:rFonts w:eastAsia="Calibri" w:cs="Times New Roman"/>
          <w:sz w:val="28"/>
          <w:szCs w:val="28"/>
          <w:lang w:val="en-GB"/>
        </w:rPr>
        <w:t>PRF</w:t>
      </w:r>
      <w:r w:rsidRPr="007139F7">
        <w:rPr>
          <w:rFonts w:eastAsia="Calibri" w:cs="Times New Roman"/>
          <w:sz w:val="28"/>
          <w:szCs w:val="28"/>
        </w:rPr>
        <w:t xml:space="preserve"> є «сіткою» для стовбурних клітин та дозволяє ремоделювати фібрин у сполучну тканину, забезпечуючи таким чином цілу низку позитивних механізмів загоєння рани, таких як стимуляція ангіогенезу, формування епітеліального покриву, що створює можливість широкого використання </w:t>
      </w:r>
      <w:r w:rsidRPr="007139F7">
        <w:rPr>
          <w:rFonts w:eastAsia="Calibri" w:cs="Times New Roman"/>
          <w:sz w:val="28"/>
          <w:szCs w:val="28"/>
          <w:lang w:val="en-GB"/>
        </w:rPr>
        <w:t>PRF</w:t>
      </w:r>
      <w:r w:rsidRPr="007139F7">
        <w:rPr>
          <w:rFonts w:eastAsia="Calibri" w:cs="Times New Roman"/>
          <w:sz w:val="28"/>
          <w:szCs w:val="28"/>
        </w:rPr>
        <w:t>-мембран при загоєнні м’яких тканин [171-173]. Прискорення ангіогенезу та ремоделювання фібрину у сполучній тканині сприяє оптимізації процесів загоєння усіх типів пошкоджень.</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Дослідження </w:t>
      </w:r>
      <w:r w:rsidRPr="007139F7">
        <w:rPr>
          <w:rFonts w:eastAsia="Calibri" w:cs="Times New Roman"/>
          <w:sz w:val="28"/>
          <w:szCs w:val="28"/>
          <w:lang w:val="en-GB"/>
        </w:rPr>
        <w:t>Rowe</w:t>
      </w:r>
      <w:r w:rsidRPr="007139F7">
        <w:rPr>
          <w:rFonts w:eastAsia="Calibri" w:cs="Times New Roman"/>
          <w:sz w:val="28"/>
          <w:szCs w:val="28"/>
        </w:rPr>
        <w:t xml:space="preserve"> </w:t>
      </w:r>
      <w:r w:rsidRPr="007139F7">
        <w:rPr>
          <w:rFonts w:eastAsia="Calibri" w:cs="Times New Roman"/>
          <w:sz w:val="28"/>
          <w:szCs w:val="28"/>
          <w:lang w:val="en-GB"/>
        </w:rPr>
        <w:t>et</w:t>
      </w:r>
      <w:r w:rsidRPr="007139F7">
        <w:rPr>
          <w:rFonts w:eastAsia="Calibri" w:cs="Times New Roman"/>
          <w:sz w:val="28"/>
          <w:szCs w:val="28"/>
        </w:rPr>
        <w:t xml:space="preserve"> </w:t>
      </w:r>
      <w:r w:rsidRPr="007139F7">
        <w:rPr>
          <w:rFonts w:eastAsia="Calibri" w:cs="Times New Roman"/>
          <w:sz w:val="28"/>
          <w:szCs w:val="28"/>
          <w:lang w:val="en-GB"/>
        </w:rPr>
        <w:t>al</w:t>
      </w:r>
      <w:r w:rsidRPr="007139F7">
        <w:rPr>
          <w:rFonts w:eastAsia="Calibri" w:cs="Times New Roman"/>
          <w:sz w:val="28"/>
          <w:szCs w:val="28"/>
        </w:rPr>
        <w:t xml:space="preserve">. (2007) вказують на те, що висока концентрація тромбіна призводить до формування високозв'язуваної волокнистої сітки із тонкою фібрилярною структурою. При зниженні концентрації тромбіну збільшувався розмір волокон, а також підвищувалися механічні властивості. </w:t>
      </w:r>
      <w:r w:rsidRPr="007139F7">
        <w:rPr>
          <w:rFonts w:eastAsia="Calibri" w:cs="Times New Roman"/>
          <w:sz w:val="28"/>
          <w:szCs w:val="28"/>
          <w:lang w:val="en-GB"/>
        </w:rPr>
        <w:t>Yang</w:t>
      </w:r>
      <w:r w:rsidRPr="007139F7">
        <w:rPr>
          <w:rFonts w:eastAsia="Calibri" w:cs="Times New Roman"/>
          <w:sz w:val="28"/>
          <w:szCs w:val="28"/>
        </w:rPr>
        <w:t xml:space="preserve"> </w:t>
      </w:r>
      <w:r w:rsidR="0030498B" w:rsidRPr="0030498B">
        <w:rPr>
          <w:rFonts w:eastAsia="Calibri" w:cs="Times New Roman"/>
          <w:sz w:val="28"/>
          <w:szCs w:val="28"/>
        </w:rPr>
        <w:t>з</w:t>
      </w:r>
      <w:r w:rsidR="0030498B">
        <w:rPr>
          <w:rFonts w:eastAsia="Calibri" w:cs="Times New Roman"/>
          <w:sz w:val="28"/>
          <w:szCs w:val="28"/>
        </w:rPr>
        <w:t>і співавторами</w:t>
      </w:r>
      <w:r w:rsidRPr="007139F7">
        <w:rPr>
          <w:rFonts w:eastAsia="Calibri" w:cs="Times New Roman"/>
          <w:sz w:val="28"/>
          <w:szCs w:val="28"/>
        </w:rPr>
        <w:t xml:space="preserve"> описують окрім біологічних та механічних якостей </w:t>
      </w:r>
      <w:r w:rsidRPr="007139F7">
        <w:rPr>
          <w:rFonts w:eastAsia="Calibri" w:cs="Times New Roman"/>
          <w:sz w:val="28"/>
          <w:szCs w:val="28"/>
          <w:lang w:val="en-GB"/>
        </w:rPr>
        <w:t>PRF</w:t>
      </w:r>
      <w:r w:rsidRPr="007139F7">
        <w:rPr>
          <w:rFonts w:eastAsia="Calibri" w:cs="Times New Roman"/>
          <w:sz w:val="28"/>
          <w:szCs w:val="28"/>
        </w:rPr>
        <w:t>, ще й його протимікробні властивості [174-176].</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На відміну від </w:t>
      </w:r>
      <w:r w:rsidRPr="007139F7">
        <w:rPr>
          <w:rFonts w:eastAsia="Calibri" w:cs="Times New Roman"/>
          <w:sz w:val="28"/>
          <w:szCs w:val="28"/>
          <w:lang w:val="en-GB"/>
        </w:rPr>
        <w:t>PRP</w:t>
      </w:r>
      <w:r w:rsidRPr="007139F7">
        <w:rPr>
          <w:rFonts w:eastAsia="Calibri" w:cs="Times New Roman"/>
          <w:sz w:val="28"/>
          <w:szCs w:val="28"/>
        </w:rPr>
        <w:t xml:space="preserve"> при </w:t>
      </w:r>
      <w:r w:rsidRPr="007139F7">
        <w:rPr>
          <w:rFonts w:eastAsia="Calibri" w:cs="Times New Roman"/>
          <w:sz w:val="28"/>
          <w:szCs w:val="28"/>
          <w:lang w:val="en-GB"/>
        </w:rPr>
        <w:t>PRF</w:t>
      </w:r>
      <w:r w:rsidRPr="007139F7">
        <w:rPr>
          <w:rFonts w:eastAsia="Calibri" w:cs="Times New Roman"/>
          <w:sz w:val="28"/>
          <w:szCs w:val="28"/>
        </w:rPr>
        <w:t xml:space="preserve"> фактори росту та цитокіни виділяються протягом 7-11 діб, внаслідок розпаду фібринової сітки [168-169]. Це обумовлює подовження дії цитокінів на раневі процеси та може бути використане для попереднього ремоделювання рубцевої матриці. Використання </w:t>
      </w:r>
      <w:r w:rsidRPr="007139F7">
        <w:rPr>
          <w:rFonts w:eastAsia="Calibri" w:cs="Times New Roman"/>
          <w:sz w:val="28"/>
          <w:szCs w:val="28"/>
          <w:lang w:val="en-GB"/>
        </w:rPr>
        <w:t>PRF</w:t>
      </w:r>
      <w:r w:rsidRPr="007139F7">
        <w:rPr>
          <w:rFonts w:eastAsia="Calibri" w:cs="Times New Roman"/>
          <w:sz w:val="28"/>
          <w:szCs w:val="28"/>
        </w:rPr>
        <w:t xml:space="preserve"> створює сприятливі умови для міграції клітин та утримання розчинних молекул, внаслідок формування еластичної матричної архітектури згустку, формування рівносторонніх з’єднань між фібрилами фібрину, яке формується завдяки повільній полімеризації із фізіологічними концентраціями тромбіну [149].</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При дослідженні впливу </w:t>
      </w:r>
      <w:r w:rsidRPr="007139F7">
        <w:rPr>
          <w:rFonts w:eastAsia="Calibri" w:cs="Times New Roman"/>
          <w:sz w:val="28"/>
          <w:szCs w:val="28"/>
          <w:lang w:val="en-GB"/>
        </w:rPr>
        <w:t>PRP</w:t>
      </w:r>
      <w:r w:rsidRPr="007139F7">
        <w:rPr>
          <w:rFonts w:eastAsia="Calibri" w:cs="Times New Roman"/>
          <w:sz w:val="28"/>
          <w:szCs w:val="28"/>
        </w:rPr>
        <w:t xml:space="preserve"> та </w:t>
      </w:r>
      <w:r w:rsidRPr="007139F7">
        <w:rPr>
          <w:rFonts w:eastAsia="Calibri" w:cs="Times New Roman"/>
          <w:sz w:val="28"/>
          <w:szCs w:val="28"/>
          <w:lang w:val="en-GB"/>
        </w:rPr>
        <w:t>PRF</w:t>
      </w:r>
      <w:r w:rsidRPr="007139F7">
        <w:rPr>
          <w:rFonts w:eastAsia="Calibri" w:cs="Times New Roman"/>
          <w:sz w:val="28"/>
          <w:szCs w:val="28"/>
        </w:rPr>
        <w:t xml:space="preserve"> на проліферацію та диференціацію остеобластів щурів було встановлено, що рівень вивільнених Вміст </w:t>
      </w:r>
      <w:r w:rsidRPr="007139F7">
        <w:rPr>
          <w:rFonts w:eastAsia="Calibri" w:cs="Times New Roman"/>
          <w:sz w:val="28"/>
          <w:szCs w:val="28"/>
          <w:lang w:val="en-GB"/>
        </w:rPr>
        <w:t>TGF</w:t>
      </w:r>
      <w:r w:rsidRPr="007139F7">
        <w:rPr>
          <w:rFonts w:eastAsia="Calibri" w:cs="Times New Roman"/>
          <w:sz w:val="28"/>
          <w:szCs w:val="28"/>
        </w:rPr>
        <w:t>-</w:t>
      </w:r>
      <w:r w:rsidRPr="007139F7">
        <w:rPr>
          <w:rFonts w:eastAsia="Calibri" w:cs="Times New Roman"/>
          <w:sz w:val="28"/>
          <w:szCs w:val="28"/>
          <w:lang w:val="en-GB"/>
        </w:rPr>
        <w:t>β</w:t>
      </w:r>
      <w:r w:rsidRPr="007139F7">
        <w:rPr>
          <w:rFonts w:eastAsia="Calibri" w:cs="Times New Roman"/>
          <w:sz w:val="28"/>
          <w:szCs w:val="28"/>
        </w:rPr>
        <w:t xml:space="preserve">1 та </w:t>
      </w:r>
      <w:r w:rsidRPr="007139F7">
        <w:rPr>
          <w:rFonts w:eastAsia="Calibri" w:cs="Times New Roman"/>
          <w:sz w:val="28"/>
          <w:szCs w:val="28"/>
          <w:lang w:val="en-GB"/>
        </w:rPr>
        <w:t>PDGF</w:t>
      </w:r>
      <w:r w:rsidRPr="007139F7">
        <w:rPr>
          <w:rFonts w:eastAsia="Calibri" w:cs="Times New Roman"/>
          <w:sz w:val="28"/>
          <w:szCs w:val="28"/>
        </w:rPr>
        <w:t>-</w:t>
      </w:r>
      <w:r w:rsidRPr="007139F7">
        <w:rPr>
          <w:rFonts w:eastAsia="Calibri" w:cs="Times New Roman"/>
          <w:sz w:val="28"/>
          <w:szCs w:val="28"/>
          <w:lang w:val="en-GB"/>
        </w:rPr>
        <w:t>αβ</w:t>
      </w:r>
      <w:r w:rsidRPr="007139F7">
        <w:rPr>
          <w:rFonts w:eastAsia="Calibri" w:cs="Times New Roman"/>
          <w:sz w:val="28"/>
          <w:szCs w:val="28"/>
        </w:rPr>
        <w:t xml:space="preserve"> значно підвищувався, сягаючи максимальних значень на 14 добу, а </w:t>
      </w:r>
      <w:r w:rsidRPr="007139F7">
        <w:rPr>
          <w:rFonts w:eastAsia="Calibri" w:cs="Times New Roman"/>
          <w:sz w:val="28"/>
          <w:szCs w:val="28"/>
        </w:rPr>
        <w:lastRenderedPageBreak/>
        <w:t xml:space="preserve">потім помірно знижувався при використанні </w:t>
      </w:r>
      <w:r w:rsidRPr="007139F7">
        <w:rPr>
          <w:rFonts w:eastAsia="Calibri" w:cs="Times New Roman"/>
          <w:sz w:val="28"/>
          <w:szCs w:val="28"/>
          <w:lang w:val="en-GB"/>
        </w:rPr>
        <w:t>PRF</w:t>
      </w:r>
      <w:r w:rsidRPr="007139F7">
        <w:rPr>
          <w:rFonts w:eastAsia="Calibri" w:cs="Times New Roman"/>
          <w:sz w:val="28"/>
          <w:szCs w:val="28"/>
        </w:rPr>
        <w:t xml:space="preserve">, на відміну від </w:t>
      </w:r>
      <w:r w:rsidRPr="007139F7">
        <w:rPr>
          <w:rFonts w:eastAsia="Calibri" w:cs="Times New Roman"/>
          <w:sz w:val="28"/>
          <w:szCs w:val="28"/>
          <w:lang w:val="en-GB"/>
        </w:rPr>
        <w:t>PRP</w:t>
      </w:r>
      <w:r w:rsidRPr="007139F7">
        <w:rPr>
          <w:rFonts w:eastAsia="Calibri" w:cs="Times New Roman"/>
          <w:sz w:val="28"/>
          <w:szCs w:val="28"/>
        </w:rPr>
        <w:t xml:space="preserve">, де найбільша концентрація </w:t>
      </w:r>
      <w:r w:rsidRPr="007139F7">
        <w:rPr>
          <w:rFonts w:eastAsia="Calibri" w:cs="Times New Roman"/>
          <w:sz w:val="28"/>
          <w:szCs w:val="28"/>
          <w:lang w:val="en-GB"/>
        </w:rPr>
        <w:t>TGF</w:t>
      </w:r>
      <w:r w:rsidRPr="007139F7">
        <w:rPr>
          <w:rFonts w:eastAsia="Calibri" w:cs="Times New Roman"/>
          <w:sz w:val="28"/>
          <w:szCs w:val="28"/>
        </w:rPr>
        <w:t>-</w:t>
      </w:r>
      <w:r w:rsidRPr="007139F7">
        <w:rPr>
          <w:rFonts w:eastAsia="Calibri" w:cs="Times New Roman"/>
          <w:sz w:val="28"/>
          <w:szCs w:val="28"/>
          <w:lang w:val="en-GB"/>
        </w:rPr>
        <w:t>β</w:t>
      </w:r>
      <w:r w:rsidRPr="007139F7">
        <w:rPr>
          <w:rFonts w:eastAsia="Calibri" w:cs="Times New Roman"/>
          <w:sz w:val="28"/>
          <w:szCs w:val="28"/>
        </w:rPr>
        <w:t xml:space="preserve">1 та </w:t>
      </w:r>
      <w:r w:rsidRPr="007139F7">
        <w:rPr>
          <w:rFonts w:eastAsia="Calibri" w:cs="Times New Roman"/>
          <w:sz w:val="28"/>
          <w:szCs w:val="28"/>
          <w:lang w:val="en-GB"/>
        </w:rPr>
        <w:t>PDGF</w:t>
      </w:r>
      <w:r w:rsidRPr="007139F7">
        <w:rPr>
          <w:rFonts w:eastAsia="Calibri" w:cs="Times New Roman"/>
          <w:sz w:val="28"/>
          <w:szCs w:val="28"/>
        </w:rPr>
        <w:t>-</w:t>
      </w:r>
      <w:r w:rsidRPr="007139F7">
        <w:rPr>
          <w:rFonts w:eastAsia="Calibri" w:cs="Times New Roman"/>
          <w:sz w:val="28"/>
          <w:szCs w:val="28"/>
          <w:lang w:val="en-GB"/>
        </w:rPr>
        <w:t>αβ</w:t>
      </w:r>
      <w:r w:rsidRPr="007139F7">
        <w:rPr>
          <w:rFonts w:eastAsia="Calibri" w:cs="Times New Roman"/>
          <w:sz w:val="28"/>
          <w:szCs w:val="28"/>
        </w:rPr>
        <w:t xml:space="preserve"> спостерігалася на 1-шу добу, потім прогресивно зменшувалася. Встановлено, що використання </w:t>
      </w:r>
      <w:r w:rsidRPr="007139F7">
        <w:rPr>
          <w:rFonts w:eastAsia="Calibri" w:cs="Times New Roman"/>
          <w:sz w:val="28"/>
          <w:szCs w:val="28"/>
          <w:lang w:val="en-GB"/>
        </w:rPr>
        <w:t>PRF</w:t>
      </w:r>
      <w:r w:rsidRPr="007139F7">
        <w:rPr>
          <w:rFonts w:eastAsia="Calibri" w:cs="Times New Roman"/>
          <w:sz w:val="28"/>
          <w:szCs w:val="28"/>
        </w:rPr>
        <w:t xml:space="preserve"> справляє більш довготривалий та сильний вплив на проліферацію та диференціацію остеобластів щурів ніж </w:t>
      </w:r>
      <w:r w:rsidRPr="007139F7">
        <w:rPr>
          <w:rFonts w:eastAsia="Calibri" w:cs="Times New Roman"/>
          <w:sz w:val="28"/>
          <w:szCs w:val="28"/>
          <w:lang w:val="en-GB"/>
        </w:rPr>
        <w:t>PRP</w:t>
      </w:r>
      <w:r w:rsidRPr="007139F7">
        <w:rPr>
          <w:rFonts w:eastAsia="Calibri" w:cs="Times New Roman"/>
          <w:sz w:val="28"/>
          <w:szCs w:val="28"/>
        </w:rPr>
        <w:t xml:space="preserve"> </w:t>
      </w:r>
      <w:r w:rsidRPr="007139F7">
        <w:rPr>
          <w:rFonts w:eastAsia="Calibri" w:cs="Times New Roman"/>
          <w:sz w:val="28"/>
          <w:szCs w:val="28"/>
          <w:lang w:val="en-GB"/>
        </w:rPr>
        <w:t>in</w:t>
      </w:r>
      <w:r w:rsidRPr="007139F7">
        <w:rPr>
          <w:rFonts w:eastAsia="Calibri" w:cs="Times New Roman"/>
          <w:sz w:val="28"/>
          <w:szCs w:val="28"/>
        </w:rPr>
        <w:t xml:space="preserve"> </w:t>
      </w:r>
      <w:r w:rsidRPr="007139F7">
        <w:rPr>
          <w:rFonts w:eastAsia="Calibri" w:cs="Times New Roman"/>
          <w:sz w:val="28"/>
          <w:szCs w:val="28"/>
          <w:lang w:val="en-GB"/>
        </w:rPr>
        <w:t>vitro</w:t>
      </w:r>
      <w:r w:rsidRPr="007139F7">
        <w:rPr>
          <w:rFonts w:eastAsia="Calibri" w:cs="Times New Roman"/>
          <w:sz w:val="28"/>
          <w:szCs w:val="28"/>
        </w:rPr>
        <w:t xml:space="preserve"> [177].</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Дослідження </w:t>
      </w:r>
      <w:hyperlink r:id="rId11" w:history="1">
        <w:r w:rsidRPr="007139F7">
          <w:rPr>
            <w:rFonts w:eastAsia="Calibri" w:cs="Times New Roman"/>
            <w:sz w:val="28"/>
            <w:szCs w:val="28"/>
            <w:lang w:val="en-GB"/>
          </w:rPr>
          <w:t>Bayer</w:t>
        </w:r>
        <w:r w:rsidRPr="007139F7">
          <w:rPr>
            <w:rFonts w:eastAsia="Calibri" w:cs="Times New Roman"/>
            <w:sz w:val="28"/>
            <w:szCs w:val="28"/>
          </w:rPr>
          <w:t xml:space="preserve"> </w:t>
        </w:r>
        <w:r w:rsidRPr="007139F7">
          <w:rPr>
            <w:rFonts w:eastAsia="Calibri" w:cs="Times New Roman"/>
            <w:sz w:val="28"/>
            <w:szCs w:val="28"/>
            <w:lang w:val="en-GB"/>
          </w:rPr>
          <w:t>A</w:t>
        </w:r>
      </w:hyperlink>
      <w:r w:rsidRPr="007139F7">
        <w:rPr>
          <w:rFonts w:eastAsia="Calibri" w:cs="Times New Roman"/>
          <w:sz w:val="28"/>
          <w:szCs w:val="28"/>
        </w:rPr>
        <w:t xml:space="preserve">. відмічають вплив </w:t>
      </w:r>
      <w:r w:rsidRPr="007139F7">
        <w:rPr>
          <w:rFonts w:eastAsia="Calibri" w:cs="Times New Roman"/>
          <w:sz w:val="28"/>
          <w:szCs w:val="28"/>
          <w:lang w:val="en-GB"/>
        </w:rPr>
        <w:t>PRGF</w:t>
      </w:r>
      <w:r w:rsidRPr="007139F7">
        <w:rPr>
          <w:rFonts w:eastAsia="Calibri" w:cs="Times New Roman"/>
          <w:sz w:val="28"/>
          <w:szCs w:val="28"/>
        </w:rPr>
        <w:t xml:space="preserve"> на експресію гену псориазину (</w:t>
      </w:r>
      <w:r w:rsidRPr="007139F7">
        <w:rPr>
          <w:rFonts w:eastAsia="Calibri" w:cs="Times New Roman"/>
          <w:sz w:val="28"/>
          <w:szCs w:val="28"/>
          <w:lang w:val="en-GB"/>
        </w:rPr>
        <w:t>S</w:t>
      </w:r>
      <w:r w:rsidRPr="007139F7">
        <w:rPr>
          <w:rFonts w:eastAsia="Calibri" w:cs="Times New Roman"/>
          <w:sz w:val="28"/>
          <w:szCs w:val="28"/>
        </w:rPr>
        <w:t>100</w:t>
      </w:r>
      <w:r w:rsidRPr="007139F7">
        <w:rPr>
          <w:rFonts w:eastAsia="Calibri" w:cs="Times New Roman"/>
          <w:sz w:val="28"/>
          <w:szCs w:val="28"/>
          <w:lang w:val="en-GB"/>
        </w:rPr>
        <w:t>A</w:t>
      </w:r>
      <w:r w:rsidRPr="007139F7">
        <w:rPr>
          <w:rFonts w:eastAsia="Calibri" w:cs="Times New Roman"/>
          <w:sz w:val="28"/>
          <w:szCs w:val="28"/>
        </w:rPr>
        <w:t xml:space="preserve">7) </w:t>
      </w:r>
      <w:r w:rsidRPr="007139F7">
        <w:rPr>
          <w:rFonts w:eastAsia="Calibri" w:cs="Times New Roman"/>
          <w:sz w:val="28"/>
          <w:szCs w:val="28"/>
          <w:lang w:val="en-GB"/>
        </w:rPr>
        <w:t>in</w:t>
      </w:r>
      <w:r w:rsidRPr="007139F7">
        <w:rPr>
          <w:rFonts w:eastAsia="Calibri" w:cs="Times New Roman"/>
          <w:sz w:val="28"/>
          <w:szCs w:val="28"/>
        </w:rPr>
        <w:t xml:space="preserve"> </w:t>
      </w:r>
      <w:r w:rsidRPr="007139F7">
        <w:rPr>
          <w:rFonts w:eastAsia="Calibri" w:cs="Times New Roman"/>
          <w:sz w:val="28"/>
          <w:szCs w:val="28"/>
          <w:lang w:val="en-GB"/>
        </w:rPr>
        <w:t>vitro</w:t>
      </w:r>
      <w:r w:rsidRPr="007139F7">
        <w:rPr>
          <w:rFonts w:eastAsia="Calibri" w:cs="Times New Roman"/>
          <w:sz w:val="28"/>
          <w:szCs w:val="28"/>
        </w:rPr>
        <w:t xml:space="preserve">, який являє собою багатофункціональний антимікробний білок, який експресується в кератиноцитах та приймає участь у процесах загоєння ран, ангіогенезу, вродженого імунітету та імунної модуляції. Вплив </w:t>
      </w:r>
      <w:r w:rsidRPr="007139F7">
        <w:rPr>
          <w:rFonts w:eastAsia="Calibri" w:cs="Times New Roman"/>
          <w:sz w:val="28"/>
          <w:szCs w:val="28"/>
          <w:lang w:val="en-GB"/>
        </w:rPr>
        <w:t>PRGF</w:t>
      </w:r>
      <w:r w:rsidRPr="007139F7">
        <w:rPr>
          <w:rFonts w:eastAsia="Calibri" w:cs="Times New Roman"/>
          <w:sz w:val="28"/>
          <w:szCs w:val="28"/>
        </w:rPr>
        <w:t xml:space="preserve"> на кератиноцити викликав значне підвищення концентрації псориазину </w:t>
      </w:r>
      <w:r w:rsidRPr="007139F7">
        <w:rPr>
          <w:rFonts w:eastAsia="Calibri" w:cs="Times New Roman"/>
          <w:sz w:val="28"/>
          <w:szCs w:val="28"/>
          <w:lang w:val="en-GB"/>
        </w:rPr>
        <w:t>in</w:t>
      </w:r>
      <w:r w:rsidRPr="007139F7">
        <w:rPr>
          <w:rFonts w:eastAsia="Calibri" w:cs="Times New Roman"/>
          <w:sz w:val="28"/>
          <w:szCs w:val="28"/>
        </w:rPr>
        <w:t xml:space="preserve"> </w:t>
      </w:r>
      <w:r w:rsidRPr="007139F7">
        <w:rPr>
          <w:rFonts w:eastAsia="Calibri" w:cs="Times New Roman"/>
          <w:sz w:val="28"/>
          <w:szCs w:val="28"/>
          <w:lang w:val="en-GB"/>
        </w:rPr>
        <w:t>vitro</w:t>
      </w:r>
      <w:r w:rsidRPr="007139F7">
        <w:rPr>
          <w:rFonts w:eastAsia="Calibri" w:cs="Times New Roman"/>
          <w:sz w:val="28"/>
          <w:szCs w:val="28"/>
        </w:rPr>
        <w:t>, в залежності від концентрації та часу, що опосередковувались рецепторами епідермального фактору роста (</w:t>
      </w:r>
      <w:r w:rsidRPr="007139F7">
        <w:rPr>
          <w:rFonts w:eastAsia="Calibri" w:cs="Times New Roman"/>
          <w:sz w:val="28"/>
          <w:szCs w:val="28"/>
          <w:lang w:val="en-GB"/>
        </w:rPr>
        <w:t>EGFR</w:t>
      </w:r>
      <w:r w:rsidRPr="007139F7">
        <w:rPr>
          <w:rFonts w:eastAsia="Calibri" w:cs="Times New Roman"/>
          <w:sz w:val="28"/>
          <w:szCs w:val="28"/>
        </w:rPr>
        <w:t>) та інтерлейкіна-6 (</w:t>
      </w:r>
      <w:r w:rsidRPr="007139F7">
        <w:rPr>
          <w:rFonts w:eastAsia="Calibri" w:cs="Times New Roman"/>
          <w:sz w:val="28"/>
          <w:szCs w:val="28"/>
          <w:lang w:val="en-GB"/>
        </w:rPr>
        <w:t>IL</w:t>
      </w:r>
      <w:r w:rsidRPr="007139F7">
        <w:rPr>
          <w:rFonts w:eastAsia="Calibri" w:cs="Times New Roman"/>
          <w:sz w:val="28"/>
          <w:szCs w:val="28"/>
        </w:rPr>
        <w:t>-6</w:t>
      </w:r>
      <w:r w:rsidRPr="007139F7">
        <w:rPr>
          <w:rFonts w:eastAsia="Calibri" w:cs="Times New Roman"/>
          <w:sz w:val="28"/>
          <w:szCs w:val="28"/>
          <w:lang w:val="en-GB"/>
        </w:rPr>
        <w:t>R</w:t>
      </w:r>
      <w:r w:rsidRPr="007139F7">
        <w:rPr>
          <w:rFonts w:eastAsia="Calibri" w:cs="Times New Roman"/>
          <w:sz w:val="28"/>
          <w:szCs w:val="28"/>
        </w:rPr>
        <w:t>). Це обґрунтовує активізацію процесів загоєння рани лізатами тромбоцитарного концентрату</w:t>
      </w:r>
      <w:r w:rsidRPr="007139F7">
        <w:rPr>
          <w:rFonts w:eastAsia="Calibri" w:cs="Times New Roman"/>
          <w:sz w:val="28"/>
          <w:szCs w:val="28"/>
          <w:lang w:val="ru-RU"/>
        </w:rPr>
        <w:t xml:space="preserve"> [178]</w:t>
      </w:r>
      <w:r w:rsidRPr="007139F7">
        <w:rPr>
          <w:rFonts w:eastAsia="Calibri" w:cs="Times New Roman"/>
          <w:sz w:val="28"/>
          <w:szCs w:val="28"/>
        </w:rPr>
        <w:t>.</w:t>
      </w:r>
    </w:p>
    <w:p w:rsidR="007139F7" w:rsidRPr="007139F7" w:rsidRDefault="007139F7" w:rsidP="007139F7">
      <w:pPr>
        <w:shd w:val="clear" w:color="auto" w:fill="FFFFFF"/>
        <w:spacing w:after="0" w:line="360" w:lineRule="auto"/>
        <w:ind w:firstLine="720"/>
        <w:jc w:val="both"/>
        <w:rPr>
          <w:rFonts w:eastAsia="Times New Roman" w:cs="Times New Roman"/>
          <w:sz w:val="28"/>
          <w:szCs w:val="28"/>
          <w:lang w:eastAsia="ru-RU"/>
        </w:rPr>
      </w:pPr>
      <w:r w:rsidRPr="007139F7">
        <w:rPr>
          <w:rFonts w:eastAsia="Times New Roman" w:cs="Times New Roman"/>
          <w:sz w:val="28"/>
          <w:szCs w:val="28"/>
          <w:lang w:eastAsia="ru-RU"/>
        </w:rPr>
        <w:t xml:space="preserve">В експериментальних дослідженнях щодо загоєння ран шкіри на тлі цукрового діабету у мишей гістологічного доведено сприяння використання </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у формуванні капілярного русла та відмічено прискорене загоєння рани відносно групи контролю</w:t>
      </w:r>
      <w:r w:rsidRPr="007139F7">
        <w:rPr>
          <w:rFonts w:eastAsia="Times New Roman" w:cs="Times New Roman"/>
          <w:sz w:val="28"/>
          <w:szCs w:val="28"/>
          <w:lang w:val="ru-RU" w:eastAsia="ru-RU"/>
        </w:rPr>
        <w:t xml:space="preserve"> [179]</w:t>
      </w:r>
      <w:r w:rsidRPr="007139F7">
        <w:rPr>
          <w:rFonts w:eastAsia="Times New Roman" w:cs="Times New Roman"/>
          <w:sz w:val="28"/>
          <w:szCs w:val="28"/>
          <w:lang w:eastAsia="ru-RU"/>
        </w:rPr>
        <w:t xml:space="preserve">. </w:t>
      </w:r>
    </w:p>
    <w:p w:rsidR="007139F7" w:rsidRPr="007139F7" w:rsidRDefault="007139F7" w:rsidP="007139F7">
      <w:pPr>
        <w:shd w:val="clear" w:color="auto" w:fill="FFFFFF"/>
        <w:spacing w:after="0" w:line="360" w:lineRule="auto"/>
        <w:ind w:firstLine="720"/>
        <w:jc w:val="both"/>
        <w:rPr>
          <w:rFonts w:eastAsia="Times New Roman" w:cs="Times New Roman"/>
          <w:sz w:val="28"/>
          <w:szCs w:val="28"/>
          <w:lang w:eastAsia="ru-RU"/>
        </w:rPr>
      </w:pPr>
      <w:r w:rsidRPr="007139F7">
        <w:rPr>
          <w:rFonts w:eastAsia="Times New Roman" w:cs="Times New Roman"/>
          <w:sz w:val="28"/>
          <w:szCs w:val="28"/>
          <w:lang w:eastAsia="ru-RU"/>
        </w:rPr>
        <w:t xml:space="preserve">Вплив </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та жирових клітин на відновлення дефектів м’яких тканин щелепно-лицевої ділянки був досліджений на свинях та встановлено, що поєднане використання </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та жирових клітин сприяє більш ефективним процесам репаративної регенерації, ніж поодиноке їх використання [173].</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Серед інших багатих тромбоцитами згустків необхідно виділити </w:t>
      </w:r>
      <w:r w:rsidRPr="007139F7">
        <w:rPr>
          <w:rFonts w:eastAsia="Calibri" w:cs="Times New Roman"/>
          <w:sz w:val="28"/>
          <w:szCs w:val="28"/>
          <w:lang w:val="en-GB"/>
        </w:rPr>
        <w:t>L</w:t>
      </w:r>
      <w:r w:rsidRPr="007139F7">
        <w:rPr>
          <w:rFonts w:eastAsia="Calibri" w:cs="Times New Roman"/>
          <w:sz w:val="28"/>
          <w:szCs w:val="28"/>
        </w:rPr>
        <w:t>-</w:t>
      </w:r>
      <w:r w:rsidRPr="007139F7">
        <w:rPr>
          <w:rFonts w:eastAsia="Calibri" w:cs="Times New Roman"/>
          <w:sz w:val="28"/>
          <w:szCs w:val="28"/>
          <w:lang w:val="en-GB"/>
        </w:rPr>
        <w:t>PRF</w:t>
      </w:r>
      <w:r w:rsidRPr="007139F7">
        <w:rPr>
          <w:rFonts w:eastAsia="Calibri" w:cs="Times New Roman"/>
          <w:sz w:val="28"/>
          <w:szCs w:val="28"/>
        </w:rPr>
        <w:t xml:space="preserve">. Його особливістю є імунологічні властивості, які обумовлюються високим вмістом у мембрані лейкоцитів, що забезпечує профілактику запальних ускладнень та стимулює процеси загоєння рани [156, 180]. У тому числі </w:t>
      </w:r>
      <w:r w:rsidRPr="007139F7">
        <w:rPr>
          <w:rFonts w:eastAsia="Calibri" w:cs="Times New Roman"/>
          <w:sz w:val="28"/>
          <w:szCs w:val="28"/>
          <w:lang w:val="en-GB"/>
        </w:rPr>
        <w:t>L</w:t>
      </w:r>
      <w:r w:rsidRPr="007139F7">
        <w:rPr>
          <w:rFonts w:eastAsia="Calibri" w:cs="Times New Roman"/>
          <w:sz w:val="28"/>
          <w:szCs w:val="28"/>
        </w:rPr>
        <w:t>-</w:t>
      </w:r>
      <w:r w:rsidRPr="007139F7">
        <w:rPr>
          <w:rFonts w:eastAsia="Calibri" w:cs="Times New Roman"/>
          <w:sz w:val="28"/>
          <w:szCs w:val="28"/>
          <w:lang w:val="en-GB"/>
        </w:rPr>
        <w:t>PRF</w:t>
      </w:r>
      <w:r w:rsidRPr="007139F7">
        <w:rPr>
          <w:rFonts w:eastAsia="Calibri" w:cs="Times New Roman"/>
          <w:sz w:val="28"/>
          <w:szCs w:val="28"/>
        </w:rPr>
        <w:t xml:space="preserve">-мембрани стимулюють диференціацію та проліферацію стовбурних клітин та клітин-попередників та забезпечують неперервне вивільнення факторів росту протягом 7-14 діб [159]. У дослідженнях встановлено, що при необхідності збільшення часу розкладання </w:t>
      </w:r>
      <w:r w:rsidRPr="007139F7">
        <w:rPr>
          <w:rFonts w:eastAsia="Calibri" w:cs="Times New Roman"/>
          <w:sz w:val="28"/>
          <w:szCs w:val="28"/>
          <w:lang w:val="en-GB"/>
        </w:rPr>
        <w:t>PRF</w:t>
      </w:r>
      <w:r w:rsidRPr="007139F7">
        <w:rPr>
          <w:rFonts w:eastAsia="Calibri" w:cs="Times New Roman"/>
          <w:sz w:val="28"/>
          <w:szCs w:val="28"/>
        </w:rPr>
        <w:t xml:space="preserve"> до 4 тижнів необхідно </w:t>
      </w:r>
      <w:r w:rsidRPr="007139F7">
        <w:rPr>
          <w:rFonts w:eastAsia="Calibri" w:cs="Times New Roman"/>
          <w:sz w:val="28"/>
          <w:szCs w:val="28"/>
        </w:rPr>
        <w:lastRenderedPageBreak/>
        <w:t xml:space="preserve">провести теплове стиснення даної мембрани, що створює можливість пролонгованої дії даної мембрани на процеси загоєння рани [181]. </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Також </w:t>
      </w:r>
      <w:r w:rsidRPr="007139F7">
        <w:rPr>
          <w:rFonts w:eastAsia="Calibri" w:cs="Times New Roman"/>
          <w:sz w:val="28"/>
          <w:szCs w:val="28"/>
          <w:lang w:val="en-GB"/>
        </w:rPr>
        <w:t>L</w:t>
      </w:r>
      <w:r w:rsidRPr="007139F7">
        <w:rPr>
          <w:rFonts w:eastAsia="Calibri" w:cs="Times New Roman"/>
          <w:sz w:val="28"/>
          <w:szCs w:val="28"/>
        </w:rPr>
        <w:t>-</w:t>
      </w:r>
      <w:r w:rsidRPr="007139F7">
        <w:rPr>
          <w:rFonts w:eastAsia="Calibri" w:cs="Times New Roman"/>
          <w:sz w:val="28"/>
          <w:szCs w:val="28"/>
          <w:lang w:val="en-GB"/>
        </w:rPr>
        <w:t>PRF</w:t>
      </w:r>
      <w:r w:rsidRPr="007139F7">
        <w:rPr>
          <w:rFonts w:eastAsia="Calibri" w:cs="Times New Roman"/>
          <w:sz w:val="28"/>
          <w:szCs w:val="28"/>
        </w:rPr>
        <w:t xml:space="preserve"> характеризується особливо жорсткою структурою фібрину та високими механічними властивостями, які формуються завдяки фізіологічним концентраціям тромбіну при його приготуванні</w:t>
      </w:r>
      <w:r w:rsidRPr="007139F7">
        <w:rPr>
          <w:rFonts w:eastAsia="Calibri" w:cs="Times New Roman"/>
          <w:sz w:val="28"/>
          <w:szCs w:val="28"/>
          <w:lang w:val="ru-RU"/>
        </w:rPr>
        <w:t xml:space="preserve"> [175]</w:t>
      </w:r>
      <w:r w:rsidRPr="007139F7">
        <w:rPr>
          <w:rFonts w:eastAsia="Calibri" w:cs="Times New Roman"/>
          <w:sz w:val="28"/>
          <w:szCs w:val="28"/>
        </w:rPr>
        <w:t xml:space="preserve">. </w:t>
      </w:r>
    </w:p>
    <w:p w:rsidR="007139F7" w:rsidRPr="007139F7" w:rsidRDefault="007139F7" w:rsidP="007139F7">
      <w:pPr>
        <w:shd w:val="clear" w:color="auto" w:fill="FFFFFF"/>
        <w:spacing w:after="0" w:line="360" w:lineRule="auto"/>
        <w:ind w:firstLine="720"/>
        <w:jc w:val="both"/>
        <w:rPr>
          <w:rFonts w:eastAsia="Times New Roman" w:cs="Times New Roman"/>
          <w:sz w:val="28"/>
          <w:szCs w:val="28"/>
          <w:lang w:eastAsia="ru-RU"/>
        </w:rPr>
      </w:pPr>
      <w:r w:rsidRPr="007139F7">
        <w:rPr>
          <w:rFonts w:eastAsia="Times New Roman" w:cs="Times New Roman"/>
          <w:sz w:val="28"/>
          <w:szCs w:val="28"/>
          <w:lang w:eastAsia="ru-RU"/>
        </w:rPr>
        <w:t xml:space="preserve">Клінічні дослідження </w:t>
      </w:r>
      <w:r w:rsidRPr="007139F7">
        <w:rPr>
          <w:rFonts w:eastAsia="Times New Roman" w:cs="Times New Roman"/>
          <w:sz w:val="28"/>
          <w:szCs w:val="28"/>
          <w:lang w:val="en-GB" w:eastAsia="ru-RU"/>
        </w:rPr>
        <w:t>L</w:t>
      </w:r>
      <w:r w:rsidRPr="007139F7">
        <w:rPr>
          <w:rFonts w:eastAsia="Times New Roman" w:cs="Times New Roman"/>
          <w:sz w:val="28"/>
          <w:szCs w:val="28"/>
          <w:lang w:eastAsia="ru-RU"/>
        </w:rPr>
        <w:t>-</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при лікуванні внутрішньокісткових дефектів вказують на можливість як поміщення </w:t>
      </w:r>
      <w:r w:rsidRPr="007139F7">
        <w:rPr>
          <w:rFonts w:eastAsia="Times New Roman" w:cs="Times New Roman"/>
          <w:sz w:val="28"/>
          <w:szCs w:val="28"/>
          <w:lang w:val="en-GB" w:eastAsia="ru-RU"/>
        </w:rPr>
        <w:t>L</w:t>
      </w:r>
      <w:r w:rsidRPr="007139F7">
        <w:rPr>
          <w:rFonts w:eastAsia="Times New Roman" w:cs="Times New Roman"/>
          <w:sz w:val="28"/>
          <w:szCs w:val="28"/>
          <w:lang w:eastAsia="ru-RU"/>
        </w:rPr>
        <w:t>-</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власне у дефект кісткової тканини, так і використання у вигляді мембрани. Ефективність його використання підтверджується як клінічними, так і рентгенологічними дослідженнями. Позитивні результати застосування </w:t>
      </w:r>
      <w:r w:rsidRPr="007139F7">
        <w:rPr>
          <w:rFonts w:eastAsia="Times New Roman" w:cs="Times New Roman"/>
          <w:sz w:val="28"/>
          <w:szCs w:val="28"/>
          <w:lang w:val="en-GB" w:eastAsia="ru-RU"/>
        </w:rPr>
        <w:t>L</w:t>
      </w:r>
      <w:r w:rsidRPr="007139F7">
        <w:rPr>
          <w:rFonts w:eastAsia="Times New Roman" w:cs="Times New Roman"/>
          <w:sz w:val="28"/>
          <w:szCs w:val="28"/>
          <w:lang w:eastAsia="ru-RU"/>
        </w:rPr>
        <w:t>-</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xml:space="preserve"> відмічали і при поєднанні з іншими біоматеріалами [1</w:t>
      </w:r>
      <w:r w:rsidRPr="007139F7">
        <w:rPr>
          <w:rFonts w:eastAsia="Times New Roman" w:cs="Times New Roman"/>
          <w:sz w:val="28"/>
          <w:szCs w:val="28"/>
          <w:lang w:val="ru-RU" w:eastAsia="ru-RU"/>
        </w:rPr>
        <w:t>82</w:t>
      </w:r>
      <w:r w:rsidRPr="007139F7">
        <w:rPr>
          <w:rFonts w:eastAsia="Times New Roman" w:cs="Times New Roman"/>
          <w:sz w:val="28"/>
          <w:szCs w:val="28"/>
          <w:lang w:eastAsia="ru-RU"/>
        </w:rPr>
        <w:t>, 1</w:t>
      </w:r>
      <w:r w:rsidRPr="007139F7">
        <w:rPr>
          <w:rFonts w:eastAsia="Times New Roman" w:cs="Times New Roman"/>
          <w:sz w:val="28"/>
          <w:szCs w:val="28"/>
          <w:lang w:val="ru-RU" w:eastAsia="ru-RU"/>
        </w:rPr>
        <w:t>83</w:t>
      </w:r>
      <w:r w:rsidRPr="007139F7">
        <w:rPr>
          <w:rFonts w:eastAsia="Times New Roman" w:cs="Times New Roman"/>
          <w:sz w:val="28"/>
          <w:szCs w:val="28"/>
          <w:lang w:eastAsia="ru-RU"/>
        </w:rPr>
        <w:t xml:space="preserve">]. Також має місце застосування </w:t>
      </w:r>
      <w:r w:rsidRPr="007139F7">
        <w:rPr>
          <w:rFonts w:eastAsia="Times New Roman" w:cs="Times New Roman"/>
          <w:sz w:val="28"/>
          <w:szCs w:val="28"/>
          <w:lang w:val="en-GB" w:eastAsia="ru-RU"/>
        </w:rPr>
        <w:t>L</w:t>
      </w:r>
      <w:r w:rsidRPr="007139F7">
        <w:rPr>
          <w:rFonts w:eastAsia="Times New Roman" w:cs="Times New Roman"/>
          <w:sz w:val="28"/>
          <w:szCs w:val="28"/>
          <w:lang w:eastAsia="ru-RU"/>
        </w:rPr>
        <w:t>-</w:t>
      </w:r>
      <w:r w:rsidRPr="007139F7">
        <w:rPr>
          <w:rFonts w:eastAsia="Times New Roman" w:cs="Times New Roman"/>
          <w:sz w:val="28"/>
          <w:szCs w:val="28"/>
          <w:lang w:val="en-GB" w:eastAsia="ru-RU"/>
        </w:rPr>
        <w:t>PRF</w:t>
      </w:r>
      <w:r w:rsidRPr="007139F7">
        <w:rPr>
          <w:rFonts w:eastAsia="Times New Roman" w:cs="Times New Roman"/>
          <w:sz w:val="28"/>
          <w:szCs w:val="28"/>
          <w:lang w:eastAsia="ru-RU"/>
        </w:rPr>
        <w:t>, як альтернативи трансплантатам сполучної тканини [1</w:t>
      </w:r>
      <w:r w:rsidRPr="007139F7">
        <w:rPr>
          <w:rFonts w:eastAsia="Times New Roman" w:cs="Times New Roman"/>
          <w:sz w:val="28"/>
          <w:szCs w:val="28"/>
          <w:lang w:val="ru-RU" w:eastAsia="ru-RU"/>
        </w:rPr>
        <w:t>84</w:t>
      </w:r>
      <w:r w:rsidRPr="007139F7">
        <w:rPr>
          <w:rFonts w:eastAsia="Times New Roman" w:cs="Times New Roman"/>
          <w:sz w:val="28"/>
          <w:szCs w:val="28"/>
          <w:lang w:eastAsia="ru-RU"/>
        </w:rPr>
        <w:t>-1</w:t>
      </w:r>
      <w:r w:rsidRPr="007139F7">
        <w:rPr>
          <w:rFonts w:eastAsia="Times New Roman" w:cs="Times New Roman"/>
          <w:sz w:val="28"/>
          <w:szCs w:val="28"/>
          <w:lang w:val="ru-RU" w:eastAsia="ru-RU"/>
        </w:rPr>
        <w:t>87</w:t>
      </w:r>
      <w:r w:rsidRPr="007139F7">
        <w:rPr>
          <w:rFonts w:eastAsia="Times New Roman" w:cs="Times New Roman"/>
          <w:sz w:val="28"/>
          <w:szCs w:val="28"/>
          <w:lang w:eastAsia="ru-RU"/>
        </w:rPr>
        <w:t>].</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Використання </w:t>
      </w:r>
      <w:r w:rsidRPr="007139F7">
        <w:rPr>
          <w:rFonts w:eastAsia="Calibri" w:cs="Times New Roman"/>
          <w:sz w:val="28"/>
          <w:szCs w:val="28"/>
          <w:lang w:val="en-GB"/>
        </w:rPr>
        <w:t>PRF</w:t>
      </w:r>
      <w:r w:rsidRPr="007139F7">
        <w:rPr>
          <w:rFonts w:eastAsia="Calibri" w:cs="Times New Roman"/>
          <w:sz w:val="28"/>
          <w:szCs w:val="28"/>
        </w:rPr>
        <w:t xml:space="preserve"> є розповсюдженим у мукогінгівальній хірургії, переважно у донорських зонах, завдяки можливості залишати фібринову мембрану оголеною, що стимулює швидке загоєння рани вторинним натягом [188]. Також </w:t>
      </w:r>
      <w:r w:rsidRPr="007139F7">
        <w:rPr>
          <w:rFonts w:eastAsia="Calibri" w:cs="Times New Roman"/>
          <w:sz w:val="28"/>
          <w:szCs w:val="28"/>
          <w:lang w:val="en-GB"/>
        </w:rPr>
        <w:t>PRF</w:t>
      </w:r>
      <w:r w:rsidRPr="007139F7">
        <w:rPr>
          <w:rFonts w:eastAsia="Calibri" w:cs="Times New Roman"/>
          <w:sz w:val="28"/>
          <w:szCs w:val="28"/>
        </w:rPr>
        <w:t xml:space="preserve"> застосовується локально при рецесії ясен. Згідно досліджень S.K.</w:t>
      </w:r>
      <w:r w:rsidRPr="007139F7">
        <w:rPr>
          <w:rFonts w:eastAsia="Calibri" w:cs="Times New Roman"/>
          <w:sz w:val="28"/>
          <w:szCs w:val="28"/>
          <w:lang w:val="en-US"/>
        </w:rPr>
        <w:t> </w:t>
      </w:r>
      <w:r w:rsidRPr="007139F7">
        <w:rPr>
          <w:rFonts w:eastAsia="Calibri" w:cs="Times New Roman"/>
          <w:sz w:val="28"/>
          <w:szCs w:val="28"/>
        </w:rPr>
        <w:t xml:space="preserve">Agarwa </w:t>
      </w:r>
      <w:r w:rsidRPr="007139F7">
        <w:rPr>
          <w:rFonts w:eastAsia="Calibri" w:cs="Times New Roman"/>
          <w:sz w:val="28"/>
          <w:szCs w:val="28"/>
          <w:lang w:val="en-GB"/>
        </w:rPr>
        <w:t>PRF</w:t>
      </w:r>
      <w:r w:rsidRPr="007139F7">
        <w:rPr>
          <w:rFonts w:eastAsia="Calibri" w:cs="Times New Roman"/>
          <w:sz w:val="28"/>
          <w:szCs w:val="28"/>
        </w:rPr>
        <w:t xml:space="preserve"> стимулює збільшення ширини кератинизовної слизової оболонки до 0,8-1,0 мм, зменшення рецесії ясен, що в свою чергу значно покращує естетику пацієнта [189]. Використання </w:t>
      </w:r>
      <w:r w:rsidRPr="007139F7">
        <w:rPr>
          <w:rFonts w:eastAsia="Calibri" w:cs="Times New Roman"/>
          <w:sz w:val="28"/>
          <w:szCs w:val="28"/>
          <w:lang w:val="en-GB"/>
        </w:rPr>
        <w:t>PRF</w:t>
      </w:r>
      <w:r w:rsidRPr="007139F7">
        <w:rPr>
          <w:rFonts w:eastAsia="Calibri" w:cs="Times New Roman"/>
          <w:sz w:val="28"/>
          <w:szCs w:val="28"/>
        </w:rPr>
        <w:t xml:space="preserve"> є клінічно обґрунтованим при хірургічному лікуванні пігментованої ділянки ясен [171].</w:t>
      </w:r>
    </w:p>
    <w:p w:rsidR="007139F7" w:rsidRPr="007139F7" w:rsidRDefault="007139F7" w:rsidP="007139F7">
      <w:pPr>
        <w:spacing w:after="0" w:line="360" w:lineRule="auto"/>
        <w:ind w:firstLine="720"/>
        <w:jc w:val="both"/>
        <w:rPr>
          <w:rFonts w:eastAsia="Calibri" w:cs="Times New Roman"/>
          <w:bCs/>
          <w:spacing w:val="2"/>
          <w:sz w:val="28"/>
          <w:szCs w:val="28"/>
          <w:lang w:val="ru-RU"/>
        </w:rPr>
      </w:pPr>
      <w:r w:rsidRPr="007139F7">
        <w:rPr>
          <w:rFonts w:eastAsia="Calibri" w:cs="Times New Roman"/>
          <w:sz w:val="28"/>
          <w:szCs w:val="28"/>
        </w:rPr>
        <w:t>При проведенні таких пластичних оперативних втручань, як абдомінопластика, маммопластика, ритидектомія тощо за загальноприйнятими методиками застосування клею А-</w:t>
      </w:r>
      <w:r w:rsidRPr="007139F7">
        <w:rPr>
          <w:rFonts w:eastAsia="Calibri" w:cs="Times New Roman"/>
          <w:sz w:val="28"/>
          <w:szCs w:val="28"/>
          <w:lang w:val="en-US"/>
        </w:rPr>
        <w:t>PRP</w:t>
      </w:r>
      <w:r w:rsidRPr="007139F7">
        <w:rPr>
          <w:rFonts w:eastAsia="Calibri" w:cs="Times New Roman"/>
          <w:sz w:val="28"/>
          <w:szCs w:val="28"/>
        </w:rPr>
        <w:t xml:space="preserve"> при закритті операційної рани суттєво зменшує прояви асептичного запалення ушкоджених тканин та, відповідно, ризик розвинення таких післяопераційних ускладнень, як сероми та гематоми й прискорює процеси загоєння післяопераційних ран. У тому числі </w:t>
      </w:r>
      <w:r w:rsidRPr="007139F7">
        <w:rPr>
          <w:rFonts w:eastAsia="Calibri" w:cs="Times New Roman"/>
          <w:bCs/>
          <w:spacing w:val="2"/>
          <w:sz w:val="28"/>
          <w:szCs w:val="28"/>
          <w:lang w:val="ru-RU"/>
        </w:rPr>
        <w:t>PRF</w:t>
      </w:r>
      <w:r w:rsidRPr="007139F7">
        <w:rPr>
          <w:rFonts w:eastAsia="Calibri" w:cs="Times New Roman"/>
          <w:bCs/>
          <w:spacing w:val="2"/>
          <w:sz w:val="28"/>
          <w:szCs w:val="28"/>
        </w:rPr>
        <w:t xml:space="preserve">-мембрани можуть застосовуватися для лікування раневих поверхонь та виразок шкіри різного походження </w:t>
      </w:r>
      <w:r w:rsidRPr="007139F7">
        <w:rPr>
          <w:rFonts w:eastAsia="Calibri" w:cs="Times New Roman"/>
          <w:sz w:val="28"/>
          <w:szCs w:val="28"/>
        </w:rPr>
        <w:t>[1</w:t>
      </w:r>
      <w:r w:rsidRPr="007139F7">
        <w:rPr>
          <w:rFonts w:eastAsia="Calibri" w:cs="Times New Roman"/>
          <w:sz w:val="28"/>
          <w:szCs w:val="28"/>
          <w:lang w:val="ru-RU"/>
        </w:rPr>
        <w:t>90</w:t>
      </w:r>
      <w:r w:rsidRPr="007139F7">
        <w:rPr>
          <w:rFonts w:eastAsia="Calibri" w:cs="Times New Roman"/>
          <w:sz w:val="28"/>
          <w:szCs w:val="28"/>
        </w:rPr>
        <w:t>]</w:t>
      </w:r>
      <w:r w:rsidRPr="007139F7">
        <w:rPr>
          <w:rFonts w:eastAsia="Calibri" w:cs="Times New Roman"/>
          <w:sz w:val="28"/>
          <w:szCs w:val="28"/>
          <w:lang w:val="ru-RU"/>
        </w:rPr>
        <w:t>.</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Широке використання </w:t>
      </w:r>
      <w:r w:rsidRPr="007139F7">
        <w:rPr>
          <w:rFonts w:eastAsia="Calibri" w:cs="Times New Roman"/>
          <w:sz w:val="28"/>
          <w:szCs w:val="28"/>
          <w:lang w:val="en-GB"/>
        </w:rPr>
        <w:t>PRF</w:t>
      </w:r>
      <w:r w:rsidRPr="007139F7">
        <w:rPr>
          <w:rFonts w:eastAsia="Calibri" w:cs="Times New Roman"/>
          <w:sz w:val="28"/>
          <w:szCs w:val="28"/>
        </w:rPr>
        <w:t xml:space="preserve"> отримав у випадках хірургічного лікування радикулярних кіст щелеп, в тому числі і при одонтогенній гранульомі обличчя, </w:t>
      </w:r>
      <w:r w:rsidRPr="007139F7">
        <w:rPr>
          <w:rFonts w:eastAsia="Calibri" w:cs="Times New Roman"/>
          <w:sz w:val="28"/>
          <w:szCs w:val="28"/>
        </w:rPr>
        <w:lastRenderedPageBreak/>
        <w:t>для заміщення дефекту кісткової тканини</w:t>
      </w:r>
      <w:r w:rsidRPr="007139F7">
        <w:rPr>
          <w:rFonts w:eastAsia="Calibri" w:cs="Times New Roman"/>
          <w:sz w:val="28"/>
          <w:szCs w:val="28"/>
          <w:lang w:val="ru-RU"/>
        </w:rPr>
        <w:t xml:space="preserve"> [191, 192]</w:t>
      </w:r>
      <w:r w:rsidRPr="007139F7">
        <w:rPr>
          <w:rFonts w:eastAsia="Calibri" w:cs="Times New Roman"/>
          <w:sz w:val="28"/>
          <w:szCs w:val="28"/>
        </w:rPr>
        <w:t xml:space="preserve">. Використання </w:t>
      </w:r>
      <w:r w:rsidRPr="007139F7">
        <w:rPr>
          <w:rFonts w:eastAsia="Calibri" w:cs="Times New Roman"/>
          <w:sz w:val="28"/>
          <w:szCs w:val="28"/>
          <w:lang w:val="en-GB"/>
        </w:rPr>
        <w:t>PRF</w:t>
      </w:r>
      <w:r w:rsidRPr="007139F7">
        <w:rPr>
          <w:rFonts w:eastAsia="Calibri" w:cs="Times New Roman"/>
          <w:sz w:val="28"/>
          <w:szCs w:val="28"/>
        </w:rPr>
        <w:t xml:space="preserve"> сприяє прискореній регенерації кісткової тканини протягом 3 місяців після оперативного втручання. Рентгенологічно через 6 місяців спостерігається повне відновлення кісткової тканини та вірогідне збільшення щільності кісткової тканини [193-195]. Застосування </w:t>
      </w:r>
      <w:r w:rsidRPr="007139F7">
        <w:rPr>
          <w:rFonts w:eastAsia="Calibri" w:cs="Times New Roman"/>
          <w:sz w:val="28"/>
          <w:szCs w:val="28"/>
          <w:lang w:val="en-GB"/>
        </w:rPr>
        <w:t>PRF</w:t>
      </w:r>
      <w:r w:rsidRPr="007139F7">
        <w:rPr>
          <w:rFonts w:eastAsia="Calibri" w:cs="Times New Roman"/>
          <w:sz w:val="28"/>
          <w:szCs w:val="28"/>
        </w:rPr>
        <w:t xml:space="preserve">-мембрани сприяє профілактиці запальних ускладнень при операції видалення зуба, таких як постекстракційний альвеоліт [196-198] та може бути використаним при руйнуванні стінки альвеоли, що прискорює процеси репаративної регенерації у даній ділянці та створює кращі перспективи для подальшої дентальної імплантації [199, 200]. Дослідження </w:t>
      </w:r>
      <w:hyperlink r:id="rId12" w:history="1">
        <w:r w:rsidRPr="007139F7">
          <w:rPr>
            <w:rFonts w:eastAsia="Calibri" w:cs="Times New Roman"/>
            <w:sz w:val="28"/>
            <w:szCs w:val="28"/>
            <w:lang w:val="en-GB"/>
          </w:rPr>
          <w:t>A</w:t>
        </w:r>
        <w:r w:rsidRPr="007139F7">
          <w:rPr>
            <w:rFonts w:eastAsia="Calibri" w:cs="Times New Roman"/>
            <w:sz w:val="28"/>
            <w:szCs w:val="28"/>
          </w:rPr>
          <w:t xml:space="preserve">. </w:t>
        </w:r>
        <w:r w:rsidRPr="007139F7">
          <w:rPr>
            <w:rFonts w:eastAsia="Calibri" w:cs="Times New Roman"/>
            <w:sz w:val="28"/>
            <w:szCs w:val="28"/>
            <w:lang w:val="en-GB"/>
          </w:rPr>
          <w:t>M</w:t>
        </w:r>
        <w:r w:rsidRPr="007139F7">
          <w:rPr>
            <w:rFonts w:eastAsia="Calibri" w:cs="Times New Roman"/>
            <w:sz w:val="28"/>
            <w:szCs w:val="28"/>
          </w:rPr>
          <w:t xml:space="preserve">. </w:t>
        </w:r>
        <w:r w:rsidRPr="007139F7">
          <w:rPr>
            <w:rFonts w:eastAsia="Calibri" w:cs="Times New Roman"/>
            <w:sz w:val="28"/>
            <w:szCs w:val="28"/>
            <w:lang w:val="en-GB"/>
          </w:rPr>
          <w:t>Doiphode</w:t>
        </w:r>
      </w:hyperlink>
      <w:r w:rsidRPr="007139F7">
        <w:rPr>
          <w:rFonts w:eastAsia="Calibri" w:cs="Times New Roman"/>
          <w:sz w:val="28"/>
          <w:szCs w:val="28"/>
        </w:rPr>
        <w:t xml:space="preserve"> вказують на те, що при застосуванні </w:t>
      </w:r>
      <w:r w:rsidRPr="007139F7">
        <w:rPr>
          <w:rFonts w:eastAsia="Calibri" w:cs="Times New Roman"/>
          <w:sz w:val="28"/>
          <w:szCs w:val="28"/>
          <w:lang w:val="en-GB"/>
        </w:rPr>
        <w:t>PRF</w:t>
      </w:r>
      <w:r w:rsidRPr="007139F7">
        <w:rPr>
          <w:rFonts w:eastAsia="Calibri" w:cs="Times New Roman"/>
          <w:sz w:val="28"/>
          <w:szCs w:val="28"/>
        </w:rPr>
        <w:t xml:space="preserve"> щільність кісткової тканини через 4 та 6 місяців після екстракції молярів нижньої щелепи вірогідно більша ніж при застосуванні </w:t>
      </w:r>
      <w:r w:rsidRPr="007139F7">
        <w:rPr>
          <w:rFonts w:eastAsia="Calibri" w:cs="Times New Roman"/>
          <w:sz w:val="28"/>
          <w:szCs w:val="28"/>
          <w:lang w:val="en-GB"/>
        </w:rPr>
        <w:t>PRP</w:t>
      </w:r>
      <w:r w:rsidRPr="007139F7">
        <w:rPr>
          <w:rFonts w:eastAsia="Calibri" w:cs="Times New Roman"/>
          <w:sz w:val="28"/>
          <w:szCs w:val="28"/>
        </w:rPr>
        <w:t>, або без використання даних методик [201, 202].</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Застосування техніки </w:t>
      </w:r>
      <w:r w:rsidRPr="007139F7">
        <w:rPr>
          <w:rFonts w:eastAsia="Calibri" w:cs="Times New Roman"/>
          <w:sz w:val="28"/>
          <w:szCs w:val="28"/>
          <w:lang w:val="en-GB"/>
        </w:rPr>
        <w:t>Choukroun</w:t>
      </w:r>
      <w:r w:rsidRPr="007139F7">
        <w:rPr>
          <w:rFonts w:eastAsia="Calibri" w:cs="Times New Roman"/>
          <w:sz w:val="28"/>
          <w:szCs w:val="28"/>
        </w:rPr>
        <w:t xml:space="preserve"> забезпечує формування єдиного субсинусового наповнювача при операції синус-ліфтингу перед процедурою дентальної імплантації за допомогою </w:t>
      </w:r>
      <w:r w:rsidRPr="007139F7">
        <w:rPr>
          <w:rFonts w:eastAsia="Calibri" w:cs="Times New Roman"/>
          <w:sz w:val="28"/>
          <w:szCs w:val="28"/>
          <w:lang w:val="en-US"/>
        </w:rPr>
        <w:t>L</w:t>
      </w:r>
      <w:r w:rsidRPr="007139F7">
        <w:rPr>
          <w:rFonts w:eastAsia="Calibri" w:cs="Times New Roman"/>
          <w:sz w:val="28"/>
          <w:szCs w:val="28"/>
        </w:rPr>
        <w:t>-</w:t>
      </w:r>
      <w:r w:rsidRPr="007139F7">
        <w:rPr>
          <w:rFonts w:eastAsia="Calibri" w:cs="Times New Roman"/>
          <w:sz w:val="28"/>
          <w:szCs w:val="28"/>
          <w:lang w:val="en-GB"/>
        </w:rPr>
        <w:t>PRF</w:t>
      </w:r>
      <w:r w:rsidRPr="007139F7">
        <w:rPr>
          <w:rFonts w:eastAsia="Calibri" w:cs="Times New Roman"/>
          <w:sz w:val="28"/>
          <w:szCs w:val="28"/>
        </w:rPr>
        <w:t xml:space="preserve"> мембрани, яка стимулює оптимальні процеси репаративного остеогенезу [193, 203-205]. </w:t>
      </w:r>
    </w:p>
    <w:p w:rsidR="007139F7" w:rsidRPr="007139F7" w:rsidRDefault="007139F7" w:rsidP="007139F7">
      <w:pPr>
        <w:spacing w:after="0" w:line="360" w:lineRule="auto"/>
        <w:ind w:firstLine="720"/>
        <w:jc w:val="both"/>
        <w:rPr>
          <w:rFonts w:eastAsia="Calibri" w:cs="Times New Roman"/>
          <w:sz w:val="28"/>
          <w:szCs w:val="28"/>
          <w:lang w:val="ru-RU"/>
        </w:rPr>
      </w:pPr>
      <w:r w:rsidRPr="007139F7">
        <w:rPr>
          <w:rFonts w:eastAsia="Calibri" w:cs="Times New Roman"/>
          <w:sz w:val="28"/>
          <w:szCs w:val="28"/>
        </w:rPr>
        <w:t>За дентальної імплантації аутологічний тромбоцитарний згусток вірогідно прискорює осифікацію після видалення зуба та/або навколо титанових імплантів. Кінцевим результатом даного процесу є значне скорочення часу, необхідного для стабілізації імплантата та покращення коефіцієнту успішності</w:t>
      </w:r>
      <w:r w:rsidRPr="007139F7">
        <w:rPr>
          <w:rFonts w:eastAsia="Calibri" w:cs="Times New Roman"/>
          <w:sz w:val="28"/>
          <w:szCs w:val="28"/>
          <w:lang w:val="ru-RU"/>
        </w:rPr>
        <w:t xml:space="preserve"> [151, 162, 206, 207]</w:t>
      </w:r>
      <w:r w:rsidRPr="007139F7">
        <w:rPr>
          <w:rFonts w:eastAsia="Calibri" w:cs="Times New Roman"/>
          <w:sz w:val="28"/>
          <w:szCs w:val="28"/>
        </w:rPr>
        <w:t>.</w:t>
      </w:r>
    </w:p>
    <w:p w:rsidR="007139F7" w:rsidRPr="007139F7" w:rsidRDefault="007139F7" w:rsidP="007139F7">
      <w:pPr>
        <w:spacing w:after="0" w:line="360" w:lineRule="auto"/>
        <w:ind w:firstLine="720"/>
        <w:jc w:val="both"/>
        <w:rPr>
          <w:rFonts w:eastAsia="Calibri" w:cs="Times New Roman"/>
          <w:sz w:val="28"/>
          <w:szCs w:val="28"/>
        </w:rPr>
      </w:pPr>
      <w:r w:rsidRPr="007139F7">
        <w:rPr>
          <w:rFonts w:eastAsia="Calibri" w:cs="Times New Roman"/>
          <w:sz w:val="28"/>
          <w:szCs w:val="28"/>
        </w:rPr>
        <w:t xml:space="preserve">Також </w:t>
      </w:r>
      <w:r w:rsidRPr="007139F7">
        <w:rPr>
          <w:rFonts w:eastAsia="Calibri" w:cs="Times New Roman"/>
          <w:sz w:val="28"/>
          <w:szCs w:val="28"/>
          <w:lang w:val="en-GB"/>
        </w:rPr>
        <w:t>PRF</w:t>
      </w:r>
      <w:r w:rsidRPr="007139F7">
        <w:rPr>
          <w:rFonts w:eastAsia="Calibri" w:cs="Times New Roman"/>
          <w:sz w:val="28"/>
          <w:szCs w:val="28"/>
        </w:rPr>
        <w:t xml:space="preserve"> може застосовуватися у вигляді суміші із кістковим трансплантатом для заміщення дефектів кісткової тканини, що значно зменшує обсяг необхідного кісткового матеріалу та покращує процеси реваскуляризації кісткового трансплантата</w:t>
      </w:r>
      <w:r w:rsidRPr="007139F7">
        <w:rPr>
          <w:rFonts w:eastAsia="Calibri" w:cs="Times New Roman"/>
          <w:sz w:val="28"/>
          <w:szCs w:val="28"/>
          <w:lang w:val="ru-RU"/>
        </w:rPr>
        <w:t xml:space="preserve"> [205]</w:t>
      </w:r>
      <w:r w:rsidRPr="007139F7">
        <w:rPr>
          <w:rFonts w:eastAsia="Calibri" w:cs="Times New Roman"/>
          <w:sz w:val="28"/>
          <w:szCs w:val="28"/>
        </w:rPr>
        <w:t xml:space="preserve">. Це підтверджується гістоморфометричною оцінкою щільності кісткової тканини в трансплантатах, яка збільшується при додаванні </w:t>
      </w:r>
      <w:r w:rsidRPr="007139F7">
        <w:rPr>
          <w:rFonts w:eastAsia="Calibri" w:cs="Times New Roman"/>
          <w:sz w:val="28"/>
          <w:szCs w:val="28"/>
          <w:lang w:val="en-GB"/>
        </w:rPr>
        <w:t>PRF</w:t>
      </w:r>
      <w:r w:rsidRPr="007139F7">
        <w:rPr>
          <w:rFonts w:eastAsia="Calibri" w:cs="Times New Roman"/>
          <w:sz w:val="28"/>
          <w:szCs w:val="28"/>
        </w:rPr>
        <w:t xml:space="preserve"> [160].</w:t>
      </w:r>
    </w:p>
    <w:p w:rsidR="007139F7" w:rsidRPr="007139F7" w:rsidRDefault="007139F7" w:rsidP="007139F7">
      <w:pPr>
        <w:tabs>
          <w:tab w:val="left" w:pos="5430"/>
        </w:tabs>
        <w:spacing w:after="0" w:line="360" w:lineRule="auto"/>
        <w:ind w:firstLine="720"/>
        <w:jc w:val="both"/>
        <w:rPr>
          <w:rFonts w:eastAsia="Calibri" w:cs="Times New Roman"/>
          <w:sz w:val="28"/>
          <w:szCs w:val="28"/>
        </w:rPr>
      </w:pPr>
      <w:r w:rsidRPr="007139F7">
        <w:rPr>
          <w:rFonts w:eastAsia="Calibri" w:cs="Times New Roman"/>
          <w:sz w:val="28"/>
          <w:szCs w:val="28"/>
        </w:rPr>
        <w:t xml:space="preserve">Згідно даних </w:t>
      </w:r>
      <w:hyperlink r:id="rId13" w:history="1">
        <w:r w:rsidRPr="007139F7">
          <w:rPr>
            <w:rFonts w:eastAsia="Calibri" w:cs="Times New Roman"/>
            <w:sz w:val="28"/>
            <w:szCs w:val="28"/>
            <w:lang w:val="en-GB"/>
          </w:rPr>
          <w:t>Cortese</w:t>
        </w:r>
        <w:r w:rsidRPr="007139F7">
          <w:rPr>
            <w:rFonts w:eastAsia="Calibri" w:cs="Times New Roman"/>
            <w:sz w:val="28"/>
            <w:szCs w:val="28"/>
            <w:lang w:val="ru-RU"/>
          </w:rPr>
          <w:t xml:space="preserve"> </w:t>
        </w:r>
        <w:r w:rsidRPr="007139F7">
          <w:rPr>
            <w:rFonts w:eastAsia="Calibri" w:cs="Times New Roman"/>
            <w:sz w:val="28"/>
            <w:szCs w:val="28"/>
            <w:lang w:val="en-GB"/>
          </w:rPr>
          <w:t>A</w:t>
        </w:r>
      </w:hyperlink>
      <w:r w:rsidRPr="007139F7">
        <w:rPr>
          <w:rFonts w:eastAsia="Calibri" w:cs="Times New Roman"/>
          <w:sz w:val="28"/>
          <w:szCs w:val="28"/>
        </w:rPr>
        <w:t xml:space="preserve">. 2016 </w:t>
      </w:r>
      <w:r w:rsidRPr="007139F7">
        <w:rPr>
          <w:rFonts w:eastAsia="Calibri" w:cs="Times New Roman"/>
          <w:sz w:val="28"/>
          <w:szCs w:val="28"/>
          <w:lang w:val="en-GB"/>
        </w:rPr>
        <w:t>PRF</w:t>
      </w:r>
      <w:r w:rsidRPr="007139F7">
        <w:rPr>
          <w:rFonts w:eastAsia="Calibri" w:cs="Times New Roman"/>
          <w:sz w:val="28"/>
          <w:szCs w:val="28"/>
        </w:rPr>
        <w:t xml:space="preserve">-мембрани можуть використовуватися для закриття титанових конструкцій при проведенні хірургічного лікування </w:t>
      </w:r>
      <w:r w:rsidRPr="007139F7">
        <w:rPr>
          <w:rFonts w:eastAsia="Calibri" w:cs="Times New Roman"/>
          <w:sz w:val="28"/>
          <w:szCs w:val="28"/>
        </w:rPr>
        <w:lastRenderedPageBreak/>
        <w:t xml:space="preserve">переломів орбіто-виличного комплексу. </w:t>
      </w:r>
      <w:r w:rsidRPr="007139F7">
        <w:rPr>
          <w:rFonts w:eastAsia="Calibri" w:cs="Times New Roman"/>
          <w:sz w:val="28"/>
          <w:szCs w:val="28"/>
          <w:lang w:val="en-GB"/>
        </w:rPr>
        <w:t>PRF</w:t>
      </w:r>
      <w:r w:rsidRPr="007139F7">
        <w:rPr>
          <w:rFonts w:eastAsia="Calibri" w:cs="Times New Roman"/>
          <w:sz w:val="28"/>
          <w:szCs w:val="28"/>
        </w:rPr>
        <w:t xml:space="preserve"> попереджує утворення естетичних дефектів та функціональних порушеннь при лікування даного виду травми, забезпечуючи як стимуляцію репаративного остеогенезу, так і оптимізацію формування рубцевої тканини [208].</w:t>
      </w:r>
    </w:p>
    <w:p w:rsidR="007139F7" w:rsidRPr="007139F7" w:rsidRDefault="007139F7" w:rsidP="007139F7">
      <w:pPr>
        <w:tabs>
          <w:tab w:val="left" w:pos="5430"/>
        </w:tabs>
        <w:spacing w:after="0" w:line="360" w:lineRule="auto"/>
        <w:ind w:firstLine="720"/>
        <w:jc w:val="both"/>
        <w:rPr>
          <w:rFonts w:eastAsia="Calibri" w:cs="Times New Roman"/>
          <w:sz w:val="28"/>
          <w:szCs w:val="28"/>
        </w:rPr>
      </w:pPr>
      <w:r w:rsidRPr="007139F7">
        <w:rPr>
          <w:rFonts w:eastAsia="Calibri" w:cs="Times New Roman"/>
          <w:sz w:val="28"/>
          <w:szCs w:val="28"/>
        </w:rPr>
        <w:t xml:space="preserve">Отже, використання </w:t>
      </w:r>
      <w:r w:rsidRPr="007139F7">
        <w:rPr>
          <w:rFonts w:eastAsia="Calibri" w:cs="Times New Roman"/>
          <w:sz w:val="28"/>
          <w:szCs w:val="28"/>
          <w:lang w:val="en-GB"/>
        </w:rPr>
        <w:t>PRF</w:t>
      </w:r>
      <w:r w:rsidRPr="007139F7">
        <w:rPr>
          <w:rFonts w:eastAsia="Calibri" w:cs="Times New Roman"/>
          <w:sz w:val="28"/>
          <w:szCs w:val="28"/>
        </w:rPr>
        <w:t xml:space="preserve"> обумовлює прискорення процесів репаративної регенерації у різних типах тканин, сприяючи покращенню результатів лікування. </w:t>
      </w:r>
    </w:p>
    <w:p w:rsidR="007139F7" w:rsidRPr="007139F7" w:rsidRDefault="007139F7" w:rsidP="007139F7">
      <w:pPr>
        <w:spacing w:after="0" w:line="360" w:lineRule="auto"/>
        <w:ind w:left="23" w:right="23" w:firstLine="697"/>
        <w:jc w:val="both"/>
        <w:rPr>
          <w:rFonts w:eastAsia="Calibri" w:cs="Times New Roman"/>
          <w:sz w:val="28"/>
          <w:szCs w:val="28"/>
        </w:rPr>
      </w:pPr>
      <w:r w:rsidRPr="007139F7">
        <w:rPr>
          <w:rFonts w:eastAsia="Calibri" w:cs="Times New Roman"/>
          <w:sz w:val="28"/>
          <w:szCs w:val="28"/>
        </w:rPr>
        <w:t>Таким чином, хірургічне лікування таких вроджених аномалій розвитку, як бранхіогенні кісти шиї потребує інтраопераційної профілактики та лікування патологічних рубців, які виникають після проведення оперативного втручання. Натепер існує висока різноманітність методів профілактики та лікування патологічних рубців, які мають різну ефективність. Поєднання хірургічного лікування бічних кіст шиї із використання збагаченого тромбоцитами фібрину (</w:t>
      </w:r>
      <w:r w:rsidRPr="007139F7">
        <w:rPr>
          <w:rFonts w:eastAsia="Calibri" w:cs="Times New Roman"/>
          <w:sz w:val="28"/>
          <w:szCs w:val="28"/>
          <w:lang w:val="en-US"/>
        </w:rPr>
        <w:t>PRF</w:t>
      </w:r>
      <w:r w:rsidRPr="007139F7">
        <w:rPr>
          <w:rFonts w:eastAsia="Calibri" w:cs="Times New Roman"/>
          <w:sz w:val="28"/>
          <w:szCs w:val="28"/>
        </w:rPr>
        <w:t>), який має широкий спектр біологічних властивостей, на нашу думку є новітнім, ефективним та економічним методом лікування та профілактики утворення патологічної рубцевої тканини при проведенні усіх етапів хірургічних втручань.</w:t>
      </w:r>
    </w:p>
    <w:p w:rsidR="007139F7" w:rsidRPr="007139F7" w:rsidRDefault="007139F7" w:rsidP="007139F7">
      <w:pPr>
        <w:spacing w:after="0" w:line="360" w:lineRule="auto"/>
        <w:ind w:firstLine="708"/>
        <w:contextualSpacing/>
        <w:jc w:val="both"/>
        <w:rPr>
          <w:rFonts w:eastAsia="Times New Roman" w:cs="Times New Roman"/>
          <w:sz w:val="28"/>
          <w:szCs w:val="28"/>
          <w:lang w:val="ru-RU"/>
        </w:rPr>
      </w:pPr>
      <w:r w:rsidRPr="007139F7">
        <w:rPr>
          <w:rFonts w:eastAsia="Times New Roman" w:cs="Times New Roman"/>
          <w:snapToGrid w:val="0"/>
          <w:sz w:val="28"/>
          <w:szCs w:val="28"/>
          <w:lang w:val="ru-RU"/>
        </w:rPr>
        <w:t>Дані, що наведені в розділі викладені в наступних працях:</w:t>
      </w:r>
    </w:p>
    <w:p w:rsidR="007139F7" w:rsidRPr="007139F7" w:rsidRDefault="007139F7" w:rsidP="007139F7">
      <w:pPr>
        <w:spacing w:after="0" w:line="360" w:lineRule="auto"/>
        <w:ind w:firstLine="708"/>
        <w:contextualSpacing/>
        <w:jc w:val="both"/>
        <w:rPr>
          <w:rFonts w:eastAsia="Calibri" w:cs="Times New Roman"/>
          <w:b/>
          <w:sz w:val="28"/>
          <w:szCs w:val="28"/>
        </w:rPr>
      </w:pPr>
      <w:r w:rsidRPr="007139F7">
        <w:rPr>
          <w:rFonts w:eastAsia="Times New Roman" w:cs="Times New Roman"/>
          <w:sz w:val="28"/>
          <w:szCs w:val="20"/>
          <w:lang w:eastAsia="uk-UA"/>
        </w:rPr>
        <w:t xml:space="preserve">Сучасний погляд на експериментальне і клінічне обґрунтування використання PRF у процесі репаративної регенерації шкіри / </w:t>
      </w:r>
      <w:r w:rsidRPr="007139F7">
        <w:rPr>
          <w:rFonts w:eastAsia="Times New Roman" w:cs="Times New Roman"/>
          <w:b/>
          <w:sz w:val="28"/>
          <w:szCs w:val="20"/>
          <w:lang w:eastAsia="uk-UA"/>
        </w:rPr>
        <w:t>Л.Р. Криничко</w:t>
      </w:r>
      <w:r w:rsidRPr="007139F7">
        <w:rPr>
          <w:rFonts w:eastAsia="Times New Roman" w:cs="Times New Roman"/>
          <w:sz w:val="28"/>
          <w:szCs w:val="20"/>
          <w:lang w:eastAsia="uk-UA"/>
        </w:rPr>
        <w:t>, С.М. Григоров, Д.В. Стебловський [та ін.] // Український стоматологічний альманах. – 2018. - №2. – С. 45-48.</w:t>
      </w:r>
      <w:r w:rsidRPr="007139F7">
        <w:rPr>
          <w:rFonts w:eastAsia="Calibri" w:cs="Times New Roman"/>
          <w:b/>
          <w:sz w:val="28"/>
          <w:szCs w:val="28"/>
        </w:rPr>
        <w:br w:type="page"/>
      </w:r>
    </w:p>
    <w:p w:rsidR="0030517B" w:rsidRPr="00CA099F" w:rsidRDefault="0030517B" w:rsidP="0030517B">
      <w:pPr>
        <w:spacing w:after="0" w:line="360" w:lineRule="auto"/>
        <w:jc w:val="center"/>
        <w:rPr>
          <w:rFonts w:eastAsia="SimSun" w:cs="Times New Roman"/>
          <w:b/>
          <w:sz w:val="28"/>
          <w:szCs w:val="28"/>
          <w:lang w:eastAsia="zh-CN"/>
        </w:rPr>
      </w:pPr>
      <w:r w:rsidRPr="00CA099F">
        <w:rPr>
          <w:rFonts w:eastAsia="SimSun" w:cs="Times New Roman"/>
          <w:b/>
          <w:sz w:val="28"/>
          <w:szCs w:val="28"/>
          <w:lang w:eastAsia="zh-CN"/>
        </w:rPr>
        <w:lastRenderedPageBreak/>
        <w:t>РОЗДІЛ 2</w:t>
      </w:r>
    </w:p>
    <w:p w:rsidR="0030517B" w:rsidRPr="00CA099F" w:rsidRDefault="0030517B" w:rsidP="0030517B">
      <w:pPr>
        <w:spacing w:after="0" w:line="360" w:lineRule="auto"/>
        <w:jc w:val="center"/>
        <w:rPr>
          <w:rFonts w:eastAsia="SimSun" w:cs="Times New Roman"/>
          <w:b/>
          <w:sz w:val="28"/>
          <w:szCs w:val="28"/>
          <w:lang w:eastAsia="zh-CN"/>
        </w:rPr>
      </w:pPr>
    </w:p>
    <w:p w:rsidR="0030517B" w:rsidRPr="00CA099F" w:rsidRDefault="0030517B" w:rsidP="0030517B">
      <w:pPr>
        <w:spacing w:after="0" w:line="360" w:lineRule="auto"/>
        <w:jc w:val="center"/>
        <w:rPr>
          <w:rFonts w:eastAsia="SimSun" w:cs="Times New Roman"/>
          <w:b/>
          <w:sz w:val="28"/>
          <w:szCs w:val="28"/>
          <w:lang w:eastAsia="zh-CN"/>
        </w:rPr>
      </w:pPr>
    </w:p>
    <w:p w:rsidR="0030517B" w:rsidRPr="00CA099F" w:rsidRDefault="0030517B" w:rsidP="0030517B">
      <w:pPr>
        <w:spacing w:after="0" w:line="360" w:lineRule="auto"/>
        <w:jc w:val="center"/>
        <w:rPr>
          <w:rFonts w:eastAsia="SimSun" w:cs="Times New Roman"/>
          <w:b/>
          <w:sz w:val="28"/>
          <w:szCs w:val="28"/>
          <w:lang w:eastAsia="zh-CN"/>
        </w:rPr>
      </w:pPr>
      <w:r w:rsidRPr="00CA099F">
        <w:rPr>
          <w:rFonts w:eastAsia="SimSun" w:cs="Times New Roman"/>
          <w:b/>
          <w:sz w:val="28"/>
          <w:szCs w:val="28"/>
          <w:lang w:eastAsia="zh-CN"/>
        </w:rPr>
        <w:t>МАТЕРІАЛ ТА МЕТОДИ ДОСЛІДЖЕННЯ</w:t>
      </w:r>
    </w:p>
    <w:p w:rsidR="0030517B" w:rsidRPr="00CA099F" w:rsidRDefault="0030517B" w:rsidP="0030517B">
      <w:pPr>
        <w:spacing w:after="0" w:line="360" w:lineRule="auto"/>
        <w:jc w:val="center"/>
        <w:rPr>
          <w:rFonts w:eastAsia="SimSun" w:cs="Times New Roman"/>
          <w:b/>
          <w:sz w:val="28"/>
          <w:szCs w:val="28"/>
          <w:lang w:eastAsia="zh-CN"/>
        </w:rPr>
      </w:pPr>
    </w:p>
    <w:p w:rsidR="0030517B" w:rsidRPr="00CA099F" w:rsidRDefault="0030517B" w:rsidP="0030517B">
      <w:pPr>
        <w:spacing w:after="0" w:line="360" w:lineRule="auto"/>
        <w:jc w:val="center"/>
        <w:rPr>
          <w:rFonts w:eastAsia="SimSun" w:cs="Times New Roman"/>
          <w:b/>
          <w:sz w:val="28"/>
          <w:szCs w:val="28"/>
          <w:lang w:eastAsia="zh-CN"/>
        </w:rPr>
      </w:pPr>
    </w:p>
    <w:p w:rsidR="0030517B" w:rsidRPr="00CA099F" w:rsidRDefault="0030517B" w:rsidP="0030517B">
      <w:pPr>
        <w:spacing w:after="0" w:line="360" w:lineRule="auto"/>
        <w:ind w:firstLine="708"/>
        <w:rPr>
          <w:rFonts w:eastAsia="SimSun" w:cs="Times New Roman"/>
          <w:b/>
          <w:sz w:val="28"/>
          <w:szCs w:val="28"/>
          <w:lang w:eastAsia="zh-CN"/>
        </w:rPr>
      </w:pPr>
      <w:r w:rsidRPr="00CA099F">
        <w:rPr>
          <w:rFonts w:eastAsia="SimSun" w:cs="Times New Roman"/>
          <w:b/>
          <w:sz w:val="28"/>
          <w:szCs w:val="28"/>
          <w:lang w:eastAsia="zh-CN"/>
        </w:rPr>
        <w:t xml:space="preserve">2.1 Загальна характеристика контингенту </w:t>
      </w:r>
      <w:r w:rsidR="00D96DA9">
        <w:rPr>
          <w:rFonts w:eastAsia="SimSun" w:cs="Times New Roman"/>
          <w:b/>
          <w:sz w:val="28"/>
          <w:szCs w:val="28"/>
          <w:lang w:eastAsia="zh-CN"/>
        </w:rPr>
        <w:t>пацієнтів</w:t>
      </w:r>
    </w:p>
    <w:p w:rsidR="0030517B" w:rsidRPr="00CA099F" w:rsidRDefault="0030517B" w:rsidP="0030517B">
      <w:pPr>
        <w:spacing w:after="0" w:line="360" w:lineRule="auto"/>
        <w:jc w:val="both"/>
        <w:rPr>
          <w:rFonts w:eastAsia="SimSun" w:cs="Times New Roman"/>
          <w:sz w:val="28"/>
          <w:szCs w:val="28"/>
          <w:lang w:eastAsia="zh-CN"/>
        </w:rPr>
      </w:pP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Клінічні дослідження проводилися на базі стоматологічного відділення Харківської обласної клінічної лікарні, відділення щелепно-лицевої хірургії Полтавської обласної клінічної лікарні ім. Скліфосовського та Київського міського центру щелепно-лицевої хірургії. Було обстежено 60 пацієнтів з тіреоглосальними та бранхіогенними кістами шиї, з яких було сформовано дві основні групи спостереження та групу контролю. Пацієнти на момент дослідження не мали супутніх захворювань, однак, при необхідності, їх консультували лікарі інших спеціальностей.</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У таблиці 2.1 наведено кількість оперативних втручань проведених з приводу кіст ембріонального походження в залежності від їх анатомічної локалізації.</w:t>
      </w:r>
    </w:p>
    <w:p w:rsidR="00F17177" w:rsidRPr="00F17177" w:rsidRDefault="00F17177" w:rsidP="00F17177">
      <w:pPr>
        <w:spacing w:after="0" w:line="360" w:lineRule="auto"/>
        <w:jc w:val="right"/>
        <w:rPr>
          <w:rFonts w:eastAsia="SimSun" w:cs="Times New Roman"/>
          <w:i/>
          <w:sz w:val="28"/>
          <w:szCs w:val="28"/>
          <w:lang w:eastAsia="zh-CN"/>
        </w:rPr>
      </w:pPr>
      <w:r w:rsidRPr="00F17177">
        <w:rPr>
          <w:rFonts w:eastAsia="SimSun" w:cs="Times New Roman"/>
          <w:i/>
          <w:sz w:val="28"/>
          <w:szCs w:val="28"/>
          <w:lang w:eastAsia="zh-CN"/>
        </w:rPr>
        <w:t>Таблиця 2.1</w:t>
      </w:r>
    </w:p>
    <w:p w:rsidR="00F17177" w:rsidRPr="00F17177" w:rsidRDefault="00F17177" w:rsidP="00F17177">
      <w:pPr>
        <w:spacing w:after="0" w:line="360" w:lineRule="auto"/>
        <w:jc w:val="center"/>
        <w:rPr>
          <w:rFonts w:eastAsia="SimSun" w:cs="Times New Roman"/>
          <w:b/>
          <w:sz w:val="28"/>
          <w:szCs w:val="28"/>
          <w:lang w:eastAsia="zh-CN"/>
        </w:rPr>
      </w:pPr>
      <w:r w:rsidRPr="00F17177">
        <w:rPr>
          <w:rFonts w:eastAsia="SimSun" w:cs="Times New Roman"/>
          <w:b/>
          <w:sz w:val="28"/>
          <w:szCs w:val="28"/>
          <w:lang w:eastAsia="zh-CN"/>
        </w:rPr>
        <w:t>Розподіл пацієнтів щодо локалізації кіст шиї ембріонального походження</w:t>
      </w:r>
    </w:p>
    <w:p w:rsidR="00F17177" w:rsidRPr="00F17177" w:rsidRDefault="00F17177" w:rsidP="00F17177">
      <w:pPr>
        <w:spacing w:after="0" w:line="360" w:lineRule="auto"/>
        <w:jc w:val="center"/>
        <w:rPr>
          <w:rFonts w:eastAsia="SimSun" w:cs="Times New Roman"/>
          <w:b/>
          <w:sz w:val="28"/>
          <w:szCs w:val="28"/>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8"/>
        <w:gridCol w:w="4617"/>
      </w:tblGrid>
      <w:tr w:rsidR="00F17177" w:rsidRPr="00F17177" w:rsidTr="00400041">
        <w:tc>
          <w:tcPr>
            <w:tcW w:w="4786"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Назва ділянки</w:t>
            </w:r>
          </w:p>
        </w:tc>
        <w:tc>
          <w:tcPr>
            <w:tcW w:w="467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Кількість втручань</w:t>
            </w:r>
          </w:p>
        </w:tc>
      </w:tr>
      <w:tr w:rsidR="00F17177" w:rsidRPr="00F17177" w:rsidTr="00400041">
        <w:tc>
          <w:tcPr>
            <w:tcW w:w="4786"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rPr>
                <w:rFonts w:eastAsia="SimSun" w:cs="Times New Roman"/>
                <w:szCs w:val="28"/>
                <w:lang w:eastAsia="zh-CN"/>
              </w:rPr>
            </w:pPr>
            <w:r w:rsidRPr="00F17177">
              <w:rPr>
                <w:rFonts w:eastAsia="SimSun" w:cs="Times New Roman"/>
                <w:sz w:val="28"/>
                <w:szCs w:val="28"/>
                <w:lang w:eastAsia="zh-CN"/>
              </w:rPr>
              <w:t>Передня поверхня шиї (операції з приводу серединних кіст)</w:t>
            </w:r>
          </w:p>
        </w:tc>
        <w:tc>
          <w:tcPr>
            <w:tcW w:w="467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30</w:t>
            </w:r>
          </w:p>
        </w:tc>
      </w:tr>
      <w:tr w:rsidR="00F17177" w:rsidRPr="00F17177" w:rsidTr="00400041">
        <w:tc>
          <w:tcPr>
            <w:tcW w:w="4786"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rPr>
                <w:rFonts w:eastAsia="SimSun" w:cs="Times New Roman"/>
                <w:szCs w:val="28"/>
                <w:lang w:eastAsia="zh-CN"/>
              </w:rPr>
            </w:pPr>
            <w:r w:rsidRPr="00F17177">
              <w:rPr>
                <w:rFonts w:eastAsia="SimSun" w:cs="Times New Roman"/>
                <w:sz w:val="28"/>
                <w:szCs w:val="28"/>
                <w:lang w:eastAsia="zh-CN"/>
              </w:rPr>
              <w:t>Бічна поверхня (операції з приводу бокових кіст)</w:t>
            </w:r>
          </w:p>
        </w:tc>
        <w:tc>
          <w:tcPr>
            <w:tcW w:w="467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30</w:t>
            </w:r>
          </w:p>
        </w:tc>
      </w:tr>
      <w:tr w:rsidR="00F17177" w:rsidRPr="00F17177" w:rsidTr="00400041">
        <w:tblPrEx>
          <w:tblLook w:val="00A0" w:firstRow="1" w:lastRow="0" w:firstColumn="1" w:lastColumn="0" w:noHBand="0" w:noVBand="0"/>
        </w:tblPrEx>
        <w:tc>
          <w:tcPr>
            <w:tcW w:w="4786"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both"/>
              <w:rPr>
                <w:rFonts w:eastAsia="SimSun" w:cs="Times New Roman"/>
                <w:szCs w:val="28"/>
                <w:lang w:eastAsia="zh-CN"/>
              </w:rPr>
            </w:pPr>
            <w:r w:rsidRPr="00F17177">
              <w:rPr>
                <w:rFonts w:eastAsia="SimSun" w:cs="Times New Roman"/>
                <w:sz w:val="28"/>
                <w:szCs w:val="28"/>
                <w:lang w:eastAsia="zh-CN"/>
              </w:rPr>
              <w:t>Всього</w:t>
            </w:r>
          </w:p>
        </w:tc>
        <w:tc>
          <w:tcPr>
            <w:tcW w:w="467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60</w:t>
            </w:r>
          </w:p>
        </w:tc>
      </w:tr>
    </w:tbl>
    <w:p w:rsidR="00F17177" w:rsidRPr="00F17177" w:rsidRDefault="00F17177" w:rsidP="00F17177">
      <w:pPr>
        <w:spacing w:after="0" w:line="360" w:lineRule="auto"/>
        <w:jc w:val="both"/>
        <w:rPr>
          <w:rFonts w:eastAsia="SimSun" w:cs="Times New Roman"/>
          <w:sz w:val="28"/>
          <w:szCs w:val="28"/>
          <w:lang w:eastAsia="zh-CN"/>
        </w:rPr>
      </w:pP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lastRenderedPageBreak/>
        <w:t>Вік хворих знаходився у межах від 19 до 50 років. Кількість чоловіків та жінок відібрана в групи спостереження була майже однакова.</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Розподіл пацієнтів за віком та статтю наведено у таблиці 2.2.</w:t>
      </w:r>
    </w:p>
    <w:p w:rsidR="00F17177" w:rsidRPr="00F17177" w:rsidRDefault="00F17177" w:rsidP="00F17177">
      <w:pPr>
        <w:spacing w:after="0" w:line="360" w:lineRule="auto"/>
        <w:jc w:val="right"/>
        <w:rPr>
          <w:rFonts w:eastAsia="SimSun" w:cs="Times New Roman"/>
          <w:i/>
          <w:sz w:val="28"/>
          <w:szCs w:val="28"/>
          <w:lang w:eastAsia="zh-CN"/>
        </w:rPr>
      </w:pPr>
      <w:r w:rsidRPr="00F17177">
        <w:rPr>
          <w:rFonts w:eastAsia="SimSun" w:cs="Times New Roman"/>
          <w:i/>
          <w:sz w:val="28"/>
          <w:szCs w:val="28"/>
          <w:lang w:eastAsia="zh-CN"/>
        </w:rPr>
        <w:t>Таблиця 2.2</w:t>
      </w:r>
    </w:p>
    <w:p w:rsidR="00F17177" w:rsidRPr="00F17177" w:rsidRDefault="00F17177" w:rsidP="00F17177">
      <w:pPr>
        <w:spacing w:after="0" w:line="360" w:lineRule="auto"/>
        <w:jc w:val="center"/>
        <w:rPr>
          <w:rFonts w:eastAsia="SimSun" w:cs="Times New Roman"/>
          <w:b/>
          <w:sz w:val="28"/>
          <w:szCs w:val="28"/>
          <w:lang w:eastAsia="zh-CN"/>
        </w:rPr>
      </w:pPr>
      <w:r w:rsidRPr="00F17177">
        <w:rPr>
          <w:rFonts w:eastAsia="SimSun" w:cs="Times New Roman"/>
          <w:b/>
          <w:sz w:val="28"/>
          <w:szCs w:val="28"/>
          <w:lang w:eastAsia="zh-CN"/>
        </w:rPr>
        <w:t>Розподіл пацієнтів за віком та статтю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4"/>
        <w:gridCol w:w="1125"/>
        <w:gridCol w:w="1314"/>
        <w:gridCol w:w="1125"/>
        <w:gridCol w:w="1314"/>
        <w:gridCol w:w="1125"/>
        <w:gridCol w:w="2028"/>
      </w:tblGrid>
      <w:tr w:rsidR="00F17177" w:rsidRPr="00F17177" w:rsidTr="00400041">
        <w:trPr>
          <w:trHeight w:val="514"/>
        </w:trPr>
        <w:tc>
          <w:tcPr>
            <w:tcW w:w="2444" w:type="dxa"/>
            <w:gridSpan w:val="2"/>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19-30 років</w:t>
            </w:r>
          </w:p>
        </w:tc>
        <w:tc>
          <w:tcPr>
            <w:tcW w:w="2444" w:type="dxa"/>
            <w:gridSpan w:val="2"/>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31-40 років</w:t>
            </w:r>
          </w:p>
        </w:tc>
        <w:tc>
          <w:tcPr>
            <w:tcW w:w="2342" w:type="dxa"/>
            <w:gridSpan w:val="2"/>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41-50 років</w:t>
            </w:r>
          </w:p>
        </w:tc>
        <w:tc>
          <w:tcPr>
            <w:tcW w:w="234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Всього</w:t>
            </w:r>
          </w:p>
        </w:tc>
      </w:tr>
      <w:tr w:rsidR="00F17177" w:rsidRPr="00F17177" w:rsidTr="00400041">
        <w:trPr>
          <w:trHeight w:val="514"/>
        </w:trPr>
        <w:tc>
          <w:tcPr>
            <w:tcW w:w="1273"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Чоловіки</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Жінки</w:t>
            </w:r>
          </w:p>
        </w:tc>
        <w:tc>
          <w:tcPr>
            <w:tcW w:w="1273"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Чоловіки</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Жінки</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Чоловіки</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Жінки</w:t>
            </w:r>
          </w:p>
        </w:tc>
        <w:tc>
          <w:tcPr>
            <w:tcW w:w="234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p>
        </w:tc>
      </w:tr>
      <w:tr w:rsidR="00F17177" w:rsidRPr="00F17177" w:rsidTr="00400041">
        <w:trPr>
          <w:trHeight w:val="525"/>
        </w:trPr>
        <w:tc>
          <w:tcPr>
            <w:tcW w:w="1273"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eastAsia="zh-CN"/>
              </w:rPr>
              <w:t>1</w:t>
            </w:r>
            <w:r w:rsidRPr="00F17177">
              <w:rPr>
                <w:rFonts w:eastAsia="SimSun" w:cs="Times New Roman"/>
                <w:sz w:val="28"/>
                <w:szCs w:val="28"/>
                <w:lang w:val="ru-RU" w:eastAsia="zh-CN"/>
              </w:rPr>
              <w:t>7</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eastAsia="zh-CN"/>
              </w:rPr>
              <w:t>1</w:t>
            </w:r>
            <w:r w:rsidRPr="00F17177">
              <w:rPr>
                <w:rFonts w:eastAsia="SimSun" w:cs="Times New Roman"/>
                <w:sz w:val="28"/>
                <w:szCs w:val="28"/>
                <w:lang w:val="ru-RU" w:eastAsia="zh-CN"/>
              </w:rPr>
              <w:t>5</w:t>
            </w:r>
          </w:p>
        </w:tc>
        <w:tc>
          <w:tcPr>
            <w:tcW w:w="1273"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val="ru-RU" w:eastAsia="zh-CN"/>
              </w:rPr>
              <w:t>9</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val="ru-RU" w:eastAsia="zh-CN"/>
              </w:rPr>
              <w:t>10</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val="ru-RU" w:eastAsia="zh-CN"/>
              </w:rPr>
              <w:t>5</w:t>
            </w:r>
          </w:p>
        </w:tc>
        <w:tc>
          <w:tcPr>
            <w:tcW w:w="117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val="ru-RU" w:eastAsia="zh-CN"/>
              </w:rPr>
            </w:pPr>
            <w:r w:rsidRPr="00F17177">
              <w:rPr>
                <w:rFonts w:eastAsia="SimSun" w:cs="Times New Roman"/>
                <w:sz w:val="28"/>
                <w:szCs w:val="28"/>
                <w:lang w:val="ru-RU" w:eastAsia="zh-CN"/>
              </w:rPr>
              <w:t>4</w:t>
            </w:r>
          </w:p>
        </w:tc>
        <w:tc>
          <w:tcPr>
            <w:tcW w:w="2341"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60</w:t>
            </w:r>
          </w:p>
        </w:tc>
      </w:tr>
    </w:tbl>
    <w:p w:rsidR="00F17177" w:rsidRPr="00F17177" w:rsidRDefault="00F17177" w:rsidP="00F17177">
      <w:pPr>
        <w:spacing w:after="0" w:line="360" w:lineRule="auto"/>
        <w:jc w:val="both"/>
        <w:rPr>
          <w:rFonts w:eastAsia="SimSun" w:cs="Times New Roman"/>
          <w:sz w:val="28"/>
          <w:szCs w:val="28"/>
          <w:lang w:eastAsia="zh-CN"/>
        </w:rPr>
      </w:pP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В залежності від характеру застосування методики профілактичних дій всі хворі були поділені на 3 клінічні групи:</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1 група – 20 пацієнтів, яким під час оперативного втручання у 2 шари (під м’язом та під шкірою у простори, які утворилися внаслідок його проведення) введено PRF-згусток, що отриманий у центрифузі в пробірках A-PRF.</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2 група – 20 пацієнтів, яким проведено аналогічну інтраопераційну профілактичну підготовку, але на післяопераційному етапі у них додатково було проведено ін’єкції препарату «Біоцерулін».</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3 група (контрольна) – 20 пацієнтів, яким втручання проведено за класичною методикою без застосування профілактичних заходів на всіх етапах спостереження.</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Розподіл пацієнтів за клінічними групами наведено в таблиці 2.3.</w:t>
      </w:r>
    </w:p>
    <w:p w:rsidR="00F17177" w:rsidRPr="00F17177" w:rsidRDefault="00F17177" w:rsidP="00F17177">
      <w:pPr>
        <w:spacing w:after="0" w:line="360" w:lineRule="auto"/>
        <w:jc w:val="right"/>
        <w:rPr>
          <w:rFonts w:eastAsia="SimSun" w:cs="Times New Roman"/>
          <w:i/>
          <w:sz w:val="28"/>
          <w:szCs w:val="28"/>
          <w:lang w:eastAsia="zh-CN"/>
        </w:rPr>
      </w:pPr>
      <w:r w:rsidRPr="00F17177">
        <w:rPr>
          <w:rFonts w:eastAsia="SimSun" w:cs="Times New Roman"/>
          <w:i/>
          <w:sz w:val="28"/>
          <w:szCs w:val="28"/>
          <w:lang w:eastAsia="zh-CN"/>
        </w:rPr>
        <w:t>Таблиця 2.3</w:t>
      </w:r>
    </w:p>
    <w:p w:rsidR="00F17177" w:rsidRPr="00F17177" w:rsidRDefault="00F17177" w:rsidP="00F17177">
      <w:pPr>
        <w:spacing w:after="0" w:line="360" w:lineRule="auto"/>
        <w:jc w:val="center"/>
        <w:rPr>
          <w:rFonts w:eastAsia="SimSun" w:cs="Times New Roman"/>
          <w:b/>
          <w:sz w:val="28"/>
          <w:szCs w:val="28"/>
          <w:lang w:eastAsia="zh-CN"/>
        </w:rPr>
      </w:pPr>
      <w:r w:rsidRPr="00F17177">
        <w:rPr>
          <w:rFonts w:eastAsia="SimSun" w:cs="Times New Roman"/>
          <w:b/>
          <w:sz w:val="28"/>
          <w:szCs w:val="28"/>
          <w:lang w:eastAsia="zh-CN"/>
        </w:rPr>
        <w:t>Розподіл пацієнтів за клінічними групами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1800"/>
        <w:gridCol w:w="2160"/>
        <w:gridCol w:w="2388"/>
      </w:tblGrid>
      <w:tr w:rsidR="00F17177" w:rsidRPr="00F17177" w:rsidTr="00400041">
        <w:trPr>
          <w:trHeight w:val="467"/>
        </w:trPr>
        <w:tc>
          <w:tcPr>
            <w:tcW w:w="29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Клінічні групи</w:t>
            </w:r>
          </w:p>
        </w:tc>
        <w:tc>
          <w:tcPr>
            <w:tcW w:w="180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Чоловіки</w:t>
            </w:r>
          </w:p>
        </w:tc>
        <w:tc>
          <w:tcPr>
            <w:tcW w:w="216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Жінки</w:t>
            </w:r>
          </w:p>
        </w:tc>
        <w:tc>
          <w:tcPr>
            <w:tcW w:w="23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Всього</w:t>
            </w:r>
          </w:p>
        </w:tc>
      </w:tr>
      <w:tr w:rsidR="00F17177" w:rsidRPr="00F17177" w:rsidTr="00400041">
        <w:trPr>
          <w:trHeight w:val="467"/>
        </w:trPr>
        <w:tc>
          <w:tcPr>
            <w:tcW w:w="29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 гр</w:t>
            </w:r>
          </w:p>
        </w:tc>
        <w:tc>
          <w:tcPr>
            <w:tcW w:w="180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10</w:t>
            </w:r>
          </w:p>
        </w:tc>
        <w:tc>
          <w:tcPr>
            <w:tcW w:w="216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10</w:t>
            </w:r>
          </w:p>
        </w:tc>
        <w:tc>
          <w:tcPr>
            <w:tcW w:w="23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20</w:t>
            </w:r>
          </w:p>
        </w:tc>
      </w:tr>
      <w:tr w:rsidR="00F17177" w:rsidRPr="00F17177" w:rsidTr="00400041">
        <w:trPr>
          <w:trHeight w:val="467"/>
        </w:trPr>
        <w:tc>
          <w:tcPr>
            <w:tcW w:w="29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2 гр</w:t>
            </w:r>
          </w:p>
        </w:tc>
        <w:tc>
          <w:tcPr>
            <w:tcW w:w="180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10</w:t>
            </w:r>
          </w:p>
        </w:tc>
        <w:tc>
          <w:tcPr>
            <w:tcW w:w="216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10</w:t>
            </w:r>
          </w:p>
        </w:tc>
        <w:tc>
          <w:tcPr>
            <w:tcW w:w="23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20</w:t>
            </w:r>
          </w:p>
        </w:tc>
      </w:tr>
      <w:tr w:rsidR="00F17177" w:rsidRPr="00F17177" w:rsidTr="00400041">
        <w:trPr>
          <w:trHeight w:val="453"/>
        </w:trPr>
        <w:tc>
          <w:tcPr>
            <w:tcW w:w="29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3 гр</w:t>
            </w:r>
          </w:p>
        </w:tc>
        <w:tc>
          <w:tcPr>
            <w:tcW w:w="180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11</w:t>
            </w:r>
          </w:p>
        </w:tc>
        <w:tc>
          <w:tcPr>
            <w:tcW w:w="216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9</w:t>
            </w:r>
          </w:p>
        </w:tc>
        <w:tc>
          <w:tcPr>
            <w:tcW w:w="23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20</w:t>
            </w:r>
          </w:p>
        </w:tc>
      </w:tr>
      <w:tr w:rsidR="00F17177" w:rsidRPr="00F17177" w:rsidTr="00400041">
        <w:trPr>
          <w:trHeight w:val="482"/>
        </w:trPr>
        <w:tc>
          <w:tcPr>
            <w:tcW w:w="29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Всього</w:t>
            </w:r>
          </w:p>
        </w:tc>
        <w:tc>
          <w:tcPr>
            <w:tcW w:w="180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31</w:t>
            </w:r>
          </w:p>
        </w:tc>
        <w:tc>
          <w:tcPr>
            <w:tcW w:w="2160"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29</w:t>
            </w:r>
          </w:p>
        </w:tc>
        <w:tc>
          <w:tcPr>
            <w:tcW w:w="2388" w:type="dxa"/>
            <w:tcBorders>
              <w:top w:val="single" w:sz="4" w:space="0" w:color="auto"/>
              <w:left w:val="single" w:sz="4" w:space="0" w:color="auto"/>
              <w:bottom w:val="single" w:sz="4" w:space="0" w:color="auto"/>
              <w:right w:val="single" w:sz="4" w:space="0" w:color="auto"/>
            </w:tcBorders>
          </w:tcPr>
          <w:p w:rsidR="00F17177" w:rsidRPr="00F17177" w:rsidRDefault="00F17177" w:rsidP="00F17177">
            <w:pPr>
              <w:spacing w:after="0" w:line="360" w:lineRule="auto"/>
              <w:jc w:val="center"/>
              <w:rPr>
                <w:rFonts w:eastAsia="SimSun" w:cs="Times New Roman"/>
                <w:szCs w:val="28"/>
                <w:lang w:eastAsia="zh-CN"/>
              </w:rPr>
            </w:pPr>
            <w:r w:rsidRPr="00F17177">
              <w:rPr>
                <w:rFonts w:eastAsia="SimSun" w:cs="Times New Roman"/>
                <w:sz w:val="28"/>
                <w:szCs w:val="28"/>
                <w:lang w:eastAsia="zh-CN"/>
              </w:rPr>
              <w:t>60</w:t>
            </w:r>
          </w:p>
        </w:tc>
      </w:tr>
    </w:tbl>
    <w:p w:rsidR="0030517B" w:rsidRPr="00CA099F" w:rsidRDefault="0030517B" w:rsidP="0030517B">
      <w:pPr>
        <w:spacing w:after="0" w:line="360" w:lineRule="auto"/>
        <w:ind w:firstLine="708"/>
        <w:jc w:val="both"/>
        <w:rPr>
          <w:rFonts w:eastAsia="SimSun" w:cs="Times New Roman"/>
          <w:b/>
          <w:sz w:val="28"/>
          <w:szCs w:val="28"/>
          <w:lang w:eastAsia="zh-CN"/>
        </w:rPr>
      </w:pPr>
      <w:r w:rsidRPr="00CA099F">
        <w:rPr>
          <w:rFonts w:eastAsia="SimSun" w:cs="Times New Roman"/>
          <w:b/>
          <w:sz w:val="28"/>
          <w:szCs w:val="28"/>
          <w:lang w:eastAsia="zh-CN"/>
        </w:rPr>
        <w:lastRenderedPageBreak/>
        <w:t>2.2 Клінічні дослідження</w:t>
      </w:r>
    </w:p>
    <w:p w:rsidR="0030517B" w:rsidRPr="00CA099F" w:rsidRDefault="0030517B" w:rsidP="0030517B">
      <w:pPr>
        <w:spacing w:after="0" w:line="360" w:lineRule="auto"/>
        <w:jc w:val="both"/>
        <w:rPr>
          <w:rFonts w:eastAsia="SimSun" w:cs="Times New Roman"/>
          <w:sz w:val="28"/>
          <w:szCs w:val="28"/>
          <w:lang w:eastAsia="zh-CN"/>
        </w:rPr>
      </w:pP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Для оцінки динаміки утворення патологічних рубців нами була використана схема якісної оцінки патологічних рубців на різних етапах їх профілактики, а саме через 3, 6, 9, 12 місяців профілактики. Нами була використана зведена стандартартизаційна таблиця клінічної оцінки рубцевозмінених тканин (Аветіков Д.С., 2013), яка характеризувала утворення рубців за п’ятьма ознаками, які фіксувалися у цифровому вигляді в балах [58]:</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Ознака П1 – тип рубця;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1 бал – нормотрофічний;</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2 бали – гіпертрофічний гомогенний;</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3 бали – гіпертрофічний з вузликами;</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4 бали – ознаки келоїдизації;</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5 балів – виражений келоїд.</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Ознака П2 – консистенція рубця;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1 бал – нормальна;</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2 бали – помірне ущільнення;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3 бали – виражена індурація.</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Ознака П3 – колір рубця;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1 бал – здорова шкіра;</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2 бали – помірна еритема;</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3 бали – виражена еритема.</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Ознака П4 – чутливість рубця;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1 бал – напруженість;</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2 бали – свербіж;</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3 бали – печія;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4 бали – біль.</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Ознака П5 – площа рубця;</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1 бал – мала площа 0-5,9 мм</w:t>
      </w:r>
      <w:r w:rsidRPr="00F17177">
        <w:rPr>
          <w:rFonts w:eastAsia="SimSun" w:cs="Times New Roman"/>
          <w:sz w:val="28"/>
          <w:szCs w:val="28"/>
          <w:vertAlign w:val="superscript"/>
          <w:lang w:eastAsia="zh-CN"/>
        </w:rPr>
        <w:t>2</w:t>
      </w:r>
      <w:r w:rsidRPr="00F17177">
        <w:rPr>
          <w:rFonts w:eastAsia="SimSun" w:cs="Times New Roman"/>
          <w:sz w:val="28"/>
          <w:szCs w:val="28"/>
          <w:lang w:eastAsia="zh-CN"/>
        </w:rPr>
        <w:t>;</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t>2 бали – середня площа 6-11,9 мм</w:t>
      </w:r>
      <w:r w:rsidRPr="00F17177">
        <w:rPr>
          <w:rFonts w:eastAsia="SimSun" w:cs="Times New Roman"/>
          <w:sz w:val="28"/>
          <w:szCs w:val="28"/>
          <w:vertAlign w:val="superscript"/>
          <w:lang w:eastAsia="zh-CN"/>
        </w:rPr>
        <w:t>2</w:t>
      </w:r>
      <w:r w:rsidRPr="00F17177">
        <w:rPr>
          <w:rFonts w:eastAsia="SimSun" w:cs="Times New Roman"/>
          <w:sz w:val="28"/>
          <w:szCs w:val="28"/>
          <w:lang w:eastAsia="zh-CN"/>
        </w:rPr>
        <w:t>;</w:t>
      </w:r>
    </w:p>
    <w:p w:rsidR="00F17177" w:rsidRPr="00F17177" w:rsidRDefault="00F17177" w:rsidP="00F17177">
      <w:pPr>
        <w:spacing w:after="0" w:line="360" w:lineRule="auto"/>
        <w:jc w:val="both"/>
        <w:rPr>
          <w:rFonts w:eastAsia="SimSun" w:cs="Times New Roman"/>
          <w:sz w:val="28"/>
          <w:szCs w:val="28"/>
          <w:lang w:eastAsia="zh-CN"/>
        </w:rPr>
      </w:pPr>
      <w:r w:rsidRPr="00F17177">
        <w:rPr>
          <w:rFonts w:eastAsia="SimSun" w:cs="Times New Roman"/>
          <w:sz w:val="28"/>
          <w:szCs w:val="28"/>
          <w:lang w:eastAsia="zh-CN"/>
        </w:rPr>
        <w:lastRenderedPageBreak/>
        <w:t>3 бали – велика площа 12-18,9 мм</w:t>
      </w:r>
      <w:r w:rsidRPr="00F17177">
        <w:rPr>
          <w:rFonts w:eastAsia="SimSun" w:cs="Times New Roman"/>
          <w:sz w:val="28"/>
          <w:szCs w:val="28"/>
          <w:vertAlign w:val="superscript"/>
          <w:lang w:eastAsia="zh-CN"/>
        </w:rPr>
        <w:t>2</w:t>
      </w:r>
      <w:r w:rsidRPr="00F17177">
        <w:rPr>
          <w:rFonts w:eastAsia="SimSun" w:cs="Times New Roman"/>
          <w:sz w:val="28"/>
          <w:szCs w:val="28"/>
          <w:lang w:eastAsia="zh-CN"/>
        </w:rPr>
        <w:t>.</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Площа визначалася за допомогою міліметрового паперу. До рубця прикладали стерильний лист целофану, на якому намічалися точки, що відповідали довжині та ширині рубця. Потім намічені точки з’єднувались прямими лініями та математично вираховувалася загальна площа рубцевозмінених тканин. Цей процес був реалізований шляхом прикладання до целофану з наміченими контурами міліметрового паперу і підраховувалась кількість мм</w:t>
      </w:r>
      <w:r w:rsidRPr="00F17177">
        <w:rPr>
          <w:rFonts w:eastAsia="SimSun" w:cs="Times New Roman"/>
          <w:sz w:val="28"/>
          <w:szCs w:val="28"/>
          <w:vertAlign w:val="superscript"/>
          <w:lang w:eastAsia="zh-CN"/>
        </w:rPr>
        <w:t>2</w:t>
      </w:r>
      <w:r w:rsidRPr="00F17177">
        <w:rPr>
          <w:rFonts w:eastAsia="SimSun" w:cs="Times New Roman"/>
          <w:sz w:val="28"/>
          <w:szCs w:val="28"/>
          <w:lang w:eastAsia="zh-CN"/>
        </w:rPr>
        <w:t>.</w:t>
      </w:r>
    </w:p>
    <w:p w:rsidR="00F17177" w:rsidRPr="00F17177" w:rsidRDefault="00F17177" w:rsidP="00F17177">
      <w:pPr>
        <w:spacing w:after="0" w:line="360" w:lineRule="auto"/>
        <w:ind w:firstLine="708"/>
        <w:jc w:val="both"/>
        <w:rPr>
          <w:rFonts w:eastAsia="SimSun" w:cs="Times New Roman"/>
          <w:sz w:val="28"/>
          <w:szCs w:val="28"/>
          <w:lang w:eastAsia="zh-CN"/>
        </w:rPr>
      </w:pPr>
      <w:r w:rsidRPr="00F17177">
        <w:rPr>
          <w:rFonts w:eastAsia="SimSun" w:cs="Times New Roman"/>
          <w:sz w:val="28"/>
          <w:szCs w:val="28"/>
          <w:lang w:eastAsia="zh-CN"/>
        </w:rPr>
        <w:t>Термометричне дослідження проводилось всім пацієнтам без винятку на 3, 6, 9 та 12 місяць після оперативного втручання за допомогою безконтактного інфрачервоного медичного термометра TM-65E (Ecomed) у центральній ділянці післяопераційного рубця.</w:t>
      </w:r>
    </w:p>
    <w:p w:rsidR="0030517B" w:rsidRPr="00CA099F" w:rsidRDefault="0030517B" w:rsidP="0030517B">
      <w:pPr>
        <w:spacing w:after="0" w:line="360" w:lineRule="auto"/>
        <w:ind w:firstLine="708"/>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b/>
          <w:sz w:val="28"/>
          <w:szCs w:val="28"/>
          <w:lang w:eastAsia="zh-CN"/>
        </w:rPr>
      </w:pPr>
      <w:r w:rsidRPr="00CA099F">
        <w:rPr>
          <w:rFonts w:eastAsia="SimSun" w:cs="Times New Roman"/>
          <w:b/>
          <w:sz w:val="28"/>
          <w:szCs w:val="28"/>
          <w:lang w:eastAsia="zh-CN"/>
        </w:rPr>
        <w:t>2.3 Опис складових використаних препаратів та методика їх введення з метою профілактики утворення післяопераційних патологічних рубців</w:t>
      </w:r>
    </w:p>
    <w:p w:rsidR="0030517B" w:rsidRPr="00CA099F" w:rsidRDefault="0030517B" w:rsidP="0030517B">
      <w:pPr>
        <w:spacing w:after="0" w:line="360" w:lineRule="auto"/>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За допомогою спеціального апарату для виробляються біосумісні мембрани А-PRF  багаті </w:t>
      </w:r>
      <w:r w:rsidR="0011184F">
        <w:rPr>
          <w:rFonts w:eastAsia="SimSun" w:cs="Times New Roman"/>
          <w:sz w:val="28"/>
          <w:szCs w:val="28"/>
          <w:lang w:eastAsia="zh-CN"/>
        </w:rPr>
        <w:t>на фактор</w:t>
      </w:r>
      <w:r w:rsidRPr="00CA099F">
        <w:rPr>
          <w:rFonts w:eastAsia="SimSun" w:cs="Times New Roman"/>
          <w:sz w:val="28"/>
          <w:szCs w:val="28"/>
          <w:lang w:eastAsia="zh-CN"/>
        </w:rPr>
        <w:t>и росту.  Після застосування мембран</w:t>
      </w:r>
      <w:r w:rsidR="0011184F">
        <w:rPr>
          <w:rFonts w:eastAsia="SimSun" w:cs="Times New Roman"/>
          <w:sz w:val="28"/>
          <w:szCs w:val="28"/>
          <w:lang w:eastAsia="zh-CN"/>
        </w:rPr>
        <w:t xml:space="preserve"> із плазми крові</w:t>
      </w:r>
      <w:r w:rsidRPr="00CA099F">
        <w:rPr>
          <w:rFonts w:eastAsia="SimSun" w:cs="Times New Roman"/>
          <w:sz w:val="28"/>
          <w:szCs w:val="28"/>
          <w:lang w:eastAsia="zh-CN"/>
        </w:rPr>
        <w:t xml:space="preserve"> стимулюється зростання </w:t>
      </w:r>
      <w:r w:rsidR="0011184F">
        <w:rPr>
          <w:rFonts w:eastAsia="SimSun" w:cs="Times New Roman"/>
          <w:sz w:val="28"/>
          <w:szCs w:val="28"/>
          <w:lang w:eastAsia="zh-CN"/>
        </w:rPr>
        <w:t>кількості новоутворених капілярів, що покращує місцеву гемодинаміку</w:t>
      </w:r>
      <w:r w:rsidRPr="00CA099F">
        <w:rPr>
          <w:rFonts w:eastAsia="SimSun" w:cs="Times New Roman"/>
          <w:sz w:val="28"/>
          <w:szCs w:val="28"/>
          <w:lang w:eastAsia="zh-CN"/>
        </w:rPr>
        <w:t>, дихання та обмінні процеси в тканинах, прискорюється утворення колагену,</w:t>
      </w:r>
      <w:r w:rsidR="0011184F">
        <w:rPr>
          <w:rFonts w:eastAsia="SimSun" w:cs="Times New Roman"/>
          <w:sz w:val="28"/>
          <w:szCs w:val="28"/>
          <w:lang w:eastAsia="zh-CN"/>
        </w:rPr>
        <w:t xml:space="preserve"> гіалуронової кислоти в них</w:t>
      </w:r>
      <w:r w:rsidRPr="00CA099F">
        <w:rPr>
          <w:rFonts w:eastAsia="SimSun" w:cs="Times New Roman"/>
          <w:sz w:val="28"/>
          <w:szCs w:val="28"/>
          <w:lang w:eastAsia="zh-CN"/>
        </w:rPr>
        <w:t>, зменшується</w:t>
      </w:r>
      <w:r w:rsidR="0011184F">
        <w:rPr>
          <w:rFonts w:eastAsia="SimSun" w:cs="Times New Roman"/>
          <w:sz w:val="28"/>
          <w:szCs w:val="28"/>
          <w:lang w:eastAsia="zh-CN"/>
        </w:rPr>
        <w:t xml:space="preserve"> ступінь вираженості запальної регуляції</w:t>
      </w:r>
      <w:r w:rsidRPr="00CA099F">
        <w:rPr>
          <w:rFonts w:eastAsia="SimSun" w:cs="Times New Roman"/>
          <w:sz w:val="28"/>
          <w:szCs w:val="28"/>
          <w:lang w:eastAsia="zh-CN"/>
        </w:rPr>
        <w:t>.</w:t>
      </w:r>
    </w:p>
    <w:p w:rsidR="0030517B" w:rsidRPr="00CA099F" w:rsidRDefault="005A01B4" w:rsidP="0030517B">
      <w:pPr>
        <w:spacing w:after="0" w:line="360" w:lineRule="auto"/>
        <w:ind w:firstLine="708"/>
        <w:jc w:val="both"/>
        <w:rPr>
          <w:rFonts w:eastAsia="SimSun" w:cs="Times New Roman"/>
          <w:sz w:val="28"/>
          <w:szCs w:val="28"/>
          <w:lang w:eastAsia="zh-CN"/>
        </w:rPr>
      </w:pPr>
      <w:r>
        <w:rPr>
          <w:rFonts w:eastAsia="SimSun" w:cs="Times New Roman"/>
          <w:sz w:val="28"/>
          <w:szCs w:val="28"/>
          <w:lang w:eastAsia="zh-CN"/>
        </w:rPr>
        <w:t>За тиждень до процедури,</w:t>
      </w:r>
      <w:r w:rsidR="0030517B" w:rsidRPr="00CA099F">
        <w:rPr>
          <w:rFonts w:eastAsia="SimSun" w:cs="Times New Roman"/>
          <w:sz w:val="28"/>
          <w:szCs w:val="28"/>
          <w:lang w:eastAsia="zh-CN"/>
        </w:rPr>
        <w:t xml:space="preserve"> </w:t>
      </w:r>
      <w:r>
        <w:rPr>
          <w:rFonts w:eastAsia="SimSun" w:cs="Times New Roman"/>
          <w:sz w:val="28"/>
          <w:szCs w:val="28"/>
          <w:lang w:eastAsia="zh-CN"/>
        </w:rPr>
        <w:t>всі хворі не вживали антибіотики,</w:t>
      </w:r>
      <w:r w:rsidR="0030517B" w:rsidRPr="00CA099F">
        <w:rPr>
          <w:rFonts w:eastAsia="SimSun" w:cs="Times New Roman"/>
          <w:sz w:val="28"/>
          <w:szCs w:val="28"/>
          <w:lang w:eastAsia="zh-CN"/>
        </w:rPr>
        <w:t xml:space="preserve"> а</w:t>
      </w:r>
      <w:r>
        <w:rPr>
          <w:rFonts w:eastAsia="SimSun" w:cs="Times New Roman"/>
          <w:sz w:val="28"/>
          <w:szCs w:val="28"/>
          <w:lang w:eastAsia="zh-CN"/>
        </w:rPr>
        <w:t>лкоголь, жирну та смажену їжу, а вживання</w:t>
      </w:r>
      <w:r w:rsidR="0030517B" w:rsidRPr="00CA099F">
        <w:rPr>
          <w:rFonts w:eastAsia="SimSun" w:cs="Times New Roman"/>
          <w:sz w:val="28"/>
          <w:szCs w:val="28"/>
          <w:lang w:eastAsia="zh-CN"/>
        </w:rPr>
        <w:t xml:space="preserve"> питної води </w:t>
      </w:r>
      <w:r>
        <w:rPr>
          <w:rFonts w:eastAsia="SimSun" w:cs="Times New Roman"/>
          <w:sz w:val="28"/>
          <w:szCs w:val="28"/>
          <w:lang w:eastAsia="zh-CN"/>
        </w:rPr>
        <w:t xml:space="preserve">зводилося </w:t>
      </w:r>
      <w:r w:rsidR="0030517B" w:rsidRPr="00CA099F">
        <w:rPr>
          <w:rFonts w:eastAsia="SimSun" w:cs="Times New Roman"/>
          <w:sz w:val="28"/>
          <w:szCs w:val="28"/>
          <w:lang w:eastAsia="zh-CN"/>
        </w:rPr>
        <w:t xml:space="preserve">мінімум </w:t>
      </w:r>
      <w:r>
        <w:rPr>
          <w:rFonts w:eastAsia="SimSun" w:cs="Times New Roman"/>
          <w:sz w:val="28"/>
          <w:szCs w:val="28"/>
          <w:lang w:eastAsia="zh-CN"/>
        </w:rPr>
        <w:t xml:space="preserve">до </w:t>
      </w:r>
      <w:r w:rsidR="0030517B" w:rsidRPr="00CA099F">
        <w:rPr>
          <w:rFonts w:eastAsia="SimSun" w:cs="Times New Roman"/>
          <w:sz w:val="28"/>
          <w:szCs w:val="28"/>
          <w:lang w:eastAsia="zh-CN"/>
        </w:rPr>
        <w:t>1,5 літра на добу.</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Технологія приготування та застосування мембрани А-PRF:</w:t>
      </w:r>
    </w:p>
    <w:p w:rsidR="0030517B" w:rsidRPr="00CA099F" w:rsidRDefault="005A01B4" w:rsidP="00EA1E2C">
      <w:pPr>
        <w:numPr>
          <w:ilvl w:val="0"/>
          <w:numId w:val="10"/>
        </w:numPr>
        <w:spacing w:after="0" w:line="360" w:lineRule="auto"/>
        <w:ind w:left="0" w:firstLine="709"/>
        <w:contextualSpacing/>
        <w:jc w:val="both"/>
        <w:rPr>
          <w:rFonts w:eastAsia="SimSun" w:cs="Times New Roman"/>
          <w:sz w:val="28"/>
          <w:szCs w:val="28"/>
          <w:lang w:eastAsia="zh-CN"/>
        </w:rPr>
      </w:pPr>
      <w:r>
        <w:rPr>
          <w:rFonts w:eastAsia="SimSun" w:cs="Times New Roman"/>
          <w:sz w:val="28"/>
          <w:szCs w:val="28"/>
          <w:lang w:eastAsia="zh-CN"/>
        </w:rPr>
        <w:t>Проводится з</w:t>
      </w:r>
      <w:r w:rsidR="0030517B" w:rsidRPr="00CA099F">
        <w:rPr>
          <w:rFonts w:eastAsia="SimSun" w:cs="Times New Roman"/>
          <w:sz w:val="28"/>
          <w:szCs w:val="28"/>
          <w:lang w:eastAsia="zh-CN"/>
        </w:rPr>
        <w:t>абір венозної крові пацієнта в спеціальні пробірки А-PRF.</w:t>
      </w:r>
    </w:p>
    <w:p w:rsidR="0030517B" w:rsidRPr="00CA099F" w:rsidRDefault="005A01B4" w:rsidP="00EA1E2C">
      <w:pPr>
        <w:numPr>
          <w:ilvl w:val="0"/>
          <w:numId w:val="10"/>
        </w:numPr>
        <w:spacing w:after="0" w:line="360" w:lineRule="auto"/>
        <w:ind w:left="0" w:firstLine="709"/>
        <w:contextualSpacing/>
        <w:jc w:val="both"/>
        <w:rPr>
          <w:rFonts w:eastAsia="SimSun" w:cs="Times New Roman"/>
          <w:sz w:val="28"/>
          <w:szCs w:val="28"/>
          <w:lang w:eastAsia="zh-CN"/>
        </w:rPr>
      </w:pPr>
      <w:r>
        <w:rPr>
          <w:rFonts w:eastAsia="SimSun" w:cs="Times New Roman"/>
          <w:sz w:val="28"/>
          <w:szCs w:val="28"/>
          <w:lang w:eastAsia="zh-CN"/>
        </w:rPr>
        <w:lastRenderedPageBreak/>
        <w:t>Без додавання будь-яких хімічних інгредієнтів та антикоагулянтів розміщуються пробірки</w:t>
      </w:r>
      <w:r w:rsidR="00D06AB3">
        <w:rPr>
          <w:rFonts w:eastAsia="SimSun" w:cs="Times New Roman"/>
          <w:sz w:val="28"/>
          <w:szCs w:val="28"/>
          <w:lang w:eastAsia="zh-CN"/>
        </w:rPr>
        <w:t xml:space="preserve">  в спеціалізовану центрифугу</w:t>
      </w:r>
      <w:r w:rsidR="0030517B" w:rsidRPr="00CA099F">
        <w:rPr>
          <w:rFonts w:eastAsia="SimSun" w:cs="Times New Roman"/>
          <w:sz w:val="28"/>
          <w:szCs w:val="28"/>
          <w:lang w:eastAsia="zh-CN"/>
        </w:rPr>
        <w:t xml:space="preserve"> EVA 200 </w:t>
      </w:r>
      <w:r w:rsidR="00D06AB3">
        <w:rPr>
          <w:rFonts w:eastAsia="SimSun" w:cs="Times New Roman"/>
          <w:sz w:val="28"/>
          <w:szCs w:val="28"/>
          <w:lang w:eastAsia="zh-CN"/>
        </w:rPr>
        <w:t>та центрифугуються</w:t>
      </w:r>
      <w:r w:rsidR="0030517B" w:rsidRPr="00CA099F">
        <w:rPr>
          <w:rFonts w:eastAsia="SimSun" w:cs="Times New Roman"/>
          <w:sz w:val="28"/>
          <w:szCs w:val="28"/>
          <w:lang w:eastAsia="zh-CN"/>
        </w:rPr>
        <w:t xml:space="preserve"> на швидкості 1100 обертів на хвилину протягом 7 хвилин. За цей час прохо</w:t>
      </w:r>
      <w:r w:rsidR="00D06AB3">
        <w:rPr>
          <w:rFonts w:eastAsia="SimSun" w:cs="Times New Roman"/>
          <w:sz w:val="28"/>
          <w:szCs w:val="28"/>
          <w:lang w:eastAsia="zh-CN"/>
        </w:rPr>
        <w:t>дить відділення плазми від клітиних</w:t>
      </w:r>
      <w:r w:rsidR="0030517B" w:rsidRPr="00CA099F">
        <w:rPr>
          <w:rFonts w:eastAsia="SimSun" w:cs="Times New Roman"/>
          <w:sz w:val="28"/>
          <w:szCs w:val="28"/>
          <w:lang w:eastAsia="zh-CN"/>
        </w:rPr>
        <w:t xml:space="preserve"> компонентів  крові</w:t>
      </w:r>
      <w:r w:rsidR="00D06AB3">
        <w:rPr>
          <w:rFonts w:eastAsia="SimSun" w:cs="Times New Roman"/>
          <w:sz w:val="28"/>
          <w:szCs w:val="28"/>
          <w:lang w:eastAsia="zh-CN"/>
        </w:rPr>
        <w:t>.</w:t>
      </w:r>
    </w:p>
    <w:p w:rsidR="0030517B" w:rsidRPr="00CA099F" w:rsidRDefault="0030517B" w:rsidP="00EA1E2C">
      <w:pPr>
        <w:numPr>
          <w:ilvl w:val="0"/>
          <w:numId w:val="10"/>
        </w:numPr>
        <w:spacing w:after="0" w:line="360" w:lineRule="auto"/>
        <w:ind w:left="0" w:firstLine="709"/>
        <w:contextualSpacing/>
        <w:jc w:val="both"/>
        <w:rPr>
          <w:rFonts w:eastAsia="SimSun" w:cs="Times New Roman"/>
          <w:sz w:val="28"/>
          <w:szCs w:val="28"/>
          <w:lang w:eastAsia="zh-CN"/>
        </w:rPr>
      </w:pPr>
      <w:r w:rsidRPr="00CA099F">
        <w:rPr>
          <w:rFonts w:eastAsia="SimSun" w:cs="Times New Roman"/>
          <w:sz w:val="28"/>
          <w:szCs w:val="28"/>
          <w:lang w:eastAsia="zh-CN"/>
        </w:rPr>
        <w:t>Отриманий А-PRF згусток перекладається в PRF бокс та накривається пресом для виготовлення мембрани.</w:t>
      </w:r>
    </w:p>
    <w:p w:rsidR="0030517B" w:rsidRPr="00CA099F" w:rsidRDefault="0030517B" w:rsidP="00EA1E2C">
      <w:pPr>
        <w:numPr>
          <w:ilvl w:val="0"/>
          <w:numId w:val="10"/>
        </w:numPr>
        <w:spacing w:after="0" w:line="360" w:lineRule="auto"/>
        <w:ind w:left="0" w:firstLine="709"/>
        <w:contextualSpacing/>
        <w:jc w:val="both"/>
        <w:rPr>
          <w:rFonts w:eastAsia="SimSun" w:cs="Times New Roman"/>
          <w:sz w:val="28"/>
          <w:szCs w:val="28"/>
          <w:lang w:eastAsia="zh-CN"/>
        </w:rPr>
      </w:pPr>
      <w:r w:rsidRPr="00CA099F">
        <w:rPr>
          <w:rFonts w:eastAsia="SimSun" w:cs="Times New Roman"/>
          <w:sz w:val="28"/>
          <w:szCs w:val="28"/>
          <w:lang w:eastAsia="zh-CN"/>
        </w:rPr>
        <w:t xml:space="preserve">На відповідних етапах оперативного втручання PRF-мембрана вводиться </w:t>
      </w:r>
      <w:r w:rsidR="00D06AB3">
        <w:rPr>
          <w:rFonts w:eastAsia="SimSun" w:cs="Times New Roman"/>
          <w:sz w:val="28"/>
          <w:szCs w:val="28"/>
          <w:lang w:eastAsia="zh-CN"/>
        </w:rPr>
        <w:t>пошарово в глибокі та поверхневі порожнини</w:t>
      </w:r>
      <w:r w:rsidRPr="00CA099F">
        <w:rPr>
          <w:rFonts w:eastAsia="SimSun" w:cs="Times New Roman"/>
          <w:sz w:val="28"/>
          <w:szCs w:val="28"/>
          <w:lang w:eastAsia="zh-CN"/>
        </w:rPr>
        <w:t xml:space="preserve"> операційної рани.</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Протягом 7 днів відбувається повільне вивільнення зі згустку наступних речовин (табл. 2.4).</w:t>
      </w:r>
    </w:p>
    <w:p w:rsidR="0030517B" w:rsidRPr="00CA099F" w:rsidRDefault="0030517B" w:rsidP="0030517B">
      <w:pPr>
        <w:spacing w:after="0" w:line="360" w:lineRule="auto"/>
        <w:jc w:val="right"/>
        <w:rPr>
          <w:rFonts w:eastAsia="SimSun" w:cs="Times New Roman"/>
          <w:i/>
          <w:sz w:val="28"/>
          <w:szCs w:val="28"/>
          <w:lang w:eastAsia="zh-CN"/>
        </w:rPr>
      </w:pPr>
      <w:r w:rsidRPr="00CA099F">
        <w:rPr>
          <w:rFonts w:eastAsia="SimSun" w:cs="Times New Roman"/>
          <w:i/>
          <w:sz w:val="28"/>
          <w:szCs w:val="28"/>
          <w:lang w:eastAsia="zh-CN"/>
        </w:rPr>
        <w:t>Таблиця 2.4</w:t>
      </w:r>
    </w:p>
    <w:p w:rsidR="0030517B" w:rsidRPr="00CA099F" w:rsidRDefault="0030517B" w:rsidP="0030517B">
      <w:pPr>
        <w:spacing w:after="0" w:line="360" w:lineRule="auto"/>
        <w:jc w:val="center"/>
        <w:rPr>
          <w:rFonts w:eastAsia="SimSun" w:cs="Times New Roman"/>
          <w:b/>
          <w:sz w:val="28"/>
          <w:szCs w:val="28"/>
          <w:lang w:eastAsia="zh-CN"/>
        </w:rPr>
      </w:pPr>
      <w:r w:rsidRPr="00CA099F">
        <w:rPr>
          <w:rFonts w:eastAsia="SimSun" w:cs="Times New Roman"/>
          <w:b/>
          <w:sz w:val="28"/>
          <w:szCs w:val="28"/>
          <w:lang w:eastAsia="zh-CN"/>
        </w:rPr>
        <w:t>Перелік активних речовин, що вивільнюються в навколишні тканини після введення</w:t>
      </w:r>
      <w:r w:rsidR="00D06AB3" w:rsidRPr="00D06AB3">
        <w:rPr>
          <w:rFonts w:eastAsia="SimSun" w:cs="Times New Roman"/>
          <w:b/>
          <w:sz w:val="28"/>
          <w:szCs w:val="28"/>
          <w:lang w:eastAsia="zh-CN"/>
        </w:rPr>
        <w:t xml:space="preserve"> </w:t>
      </w:r>
      <w:r w:rsidR="00D06AB3">
        <w:rPr>
          <w:rFonts w:eastAsia="SimSun" w:cs="Times New Roman"/>
          <w:b/>
          <w:sz w:val="28"/>
          <w:szCs w:val="28"/>
          <w:lang w:eastAsia="zh-CN"/>
        </w:rPr>
        <w:t>PRF-мембран в рану</w:t>
      </w:r>
    </w:p>
    <w:tbl>
      <w:tblPr>
        <w:tblStyle w:val="a9"/>
        <w:tblW w:w="0" w:type="auto"/>
        <w:tblLook w:val="04A0" w:firstRow="1" w:lastRow="0" w:firstColumn="1" w:lastColumn="0" w:noHBand="0" w:noVBand="1"/>
      </w:tblPr>
      <w:tblGrid>
        <w:gridCol w:w="1809"/>
        <w:gridCol w:w="7536"/>
      </w:tblGrid>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Лейкоцити</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Стимулюють клітини-попередники, що сприяють утворенню нової кістки. Моноцити перетворюються в макрофаги, а це підсилює стимуляцію кістки.</w:t>
            </w:r>
          </w:p>
        </w:tc>
      </w:tr>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VEGF</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Фактор росту ендотелію судин (Vascular endothelial growth factor) – сигнальний білок, який виробляє</w:t>
            </w:r>
            <w:r w:rsidR="00EA1E2C">
              <w:rPr>
                <w:rFonts w:eastAsia="SimSun"/>
                <w:sz w:val="28"/>
                <w:szCs w:val="28"/>
                <w:lang w:eastAsia="zh-CN"/>
              </w:rPr>
              <w:t>ться клітинами для стимулювання</w:t>
            </w:r>
            <w:r w:rsidRPr="00CA099F">
              <w:rPr>
                <w:rFonts w:eastAsia="SimSun"/>
                <w:sz w:val="28"/>
                <w:szCs w:val="28"/>
                <w:lang w:eastAsia="zh-CN"/>
              </w:rPr>
              <w:t xml:space="preserve"> васкулогенезу і ангіогенезу.</w:t>
            </w:r>
          </w:p>
        </w:tc>
      </w:tr>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PDGF</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Фактор росту тромбоцитів (Platelet-derived growth factor) – білок, один із багаточисленних факторів росту. Відіграє важливу роль в ангіогенезі.</w:t>
            </w:r>
          </w:p>
        </w:tc>
      </w:tr>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TGF-beta</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Трансформуючий фактор росту бета (Transforming growth factor beta) – білок, який контролює проліферацію, клітинне диференціювання та інші функції в більшості клітин.</w:t>
            </w:r>
          </w:p>
        </w:tc>
      </w:tr>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Протеіни</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Виконують важливу роль в процесі ангіогенезу, стимулюють ріст тканин.</w:t>
            </w:r>
          </w:p>
        </w:tc>
      </w:tr>
      <w:tr w:rsidR="0030517B" w:rsidRPr="00CA099F" w:rsidTr="00EA1E2C">
        <w:tc>
          <w:tcPr>
            <w:tcW w:w="1809"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TSP</w:t>
            </w:r>
          </w:p>
        </w:tc>
        <w:tc>
          <w:tcPr>
            <w:tcW w:w="7536" w:type="dxa"/>
          </w:tcPr>
          <w:p w:rsidR="0030517B" w:rsidRPr="00CA099F" w:rsidRDefault="0030517B" w:rsidP="003C1E4C">
            <w:pPr>
              <w:spacing w:after="0" w:line="360" w:lineRule="auto"/>
              <w:jc w:val="both"/>
              <w:rPr>
                <w:rFonts w:eastAsia="SimSun"/>
                <w:sz w:val="28"/>
                <w:szCs w:val="28"/>
                <w:lang w:eastAsia="zh-CN"/>
              </w:rPr>
            </w:pPr>
            <w:r w:rsidRPr="00CA099F">
              <w:rPr>
                <w:rFonts w:eastAsia="SimSun"/>
                <w:sz w:val="28"/>
                <w:szCs w:val="28"/>
                <w:lang w:eastAsia="zh-CN"/>
              </w:rPr>
              <w:t>Тромбоспондин – один із головних інгібіторів ангіогенезу, діючий на адгезію і ріст ендотеліальних клітин</w:t>
            </w:r>
          </w:p>
        </w:tc>
      </w:tr>
    </w:tbl>
    <w:p w:rsidR="0030517B" w:rsidRPr="00CA099F" w:rsidRDefault="0030517B" w:rsidP="0030517B">
      <w:pPr>
        <w:spacing w:after="0" w:line="360" w:lineRule="auto"/>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lastRenderedPageBreak/>
        <w:t xml:space="preserve">Церулоплазмін - мідьвмісний багатофункціональний фермент, що являє собою глікопротеїд альфа-глобулі нової фракції сироватки крові людини (донорської або плацентарної). </w:t>
      </w:r>
      <w:r w:rsidR="00D06AB3">
        <w:rPr>
          <w:rFonts w:eastAsia="SimSun" w:cs="Times New Roman"/>
          <w:sz w:val="28"/>
          <w:szCs w:val="28"/>
          <w:lang w:eastAsia="zh-CN"/>
        </w:rPr>
        <w:t>Він володіє вираженою а</w:t>
      </w:r>
      <w:r w:rsidRPr="00CA099F">
        <w:rPr>
          <w:rFonts w:eastAsia="SimSun" w:cs="Times New Roman"/>
          <w:sz w:val="28"/>
          <w:szCs w:val="28"/>
          <w:lang w:eastAsia="zh-CN"/>
        </w:rPr>
        <w:t>нтиоксидант</w:t>
      </w:r>
      <w:r w:rsidR="00D06AB3">
        <w:rPr>
          <w:rFonts w:eastAsia="SimSun" w:cs="Times New Roman"/>
          <w:sz w:val="28"/>
          <w:szCs w:val="28"/>
          <w:lang w:eastAsia="zh-CN"/>
        </w:rPr>
        <w:t>ною</w:t>
      </w:r>
      <w:r w:rsidR="00DA3D34">
        <w:rPr>
          <w:rFonts w:eastAsia="SimSun" w:cs="Times New Roman"/>
          <w:sz w:val="28"/>
          <w:szCs w:val="28"/>
          <w:lang w:eastAsia="zh-CN"/>
        </w:rPr>
        <w:t>,</w:t>
      </w:r>
      <w:r w:rsidRPr="00CA099F">
        <w:rPr>
          <w:rFonts w:eastAsia="SimSun" w:cs="Times New Roman"/>
          <w:sz w:val="28"/>
          <w:szCs w:val="28"/>
          <w:lang w:eastAsia="zh-CN"/>
        </w:rPr>
        <w:t xml:space="preserve"> імуномо</w:t>
      </w:r>
      <w:r w:rsidR="00DA3D34">
        <w:rPr>
          <w:rFonts w:eastAsia="SimSun" w:cs="Times New Roman"/>
          <w:sz w:val="28"/>
          <w:szCs w:val="28"/>
          <w:lang w:eastAsia="zh-CN"/>
        </w:rPr>
        <w:t>дулюючою та гемостимулюючою активністью</w:t>
      </w:r>
      <w:r w:rsidRPr="00CA099F">
        <w:rPr>
          <w:rFonts w:eastAsia="SimSun" w:cs="Times New Roman"/>
          <w:sz w:val="28"/>
          <w:szCs w:val="28"/>
          <w:lang w:eastAsia="zh-CN"/>
        </w:rPr>
        <w:t xml:space="preserve">. </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Належить до біогенних препаратів. Підвищує стабільність клітинних мембран (антиоксидантна дія, гальмування </w:t>
      </w:r>
      <w:r w:rsidR="00DA3D34">
        <w:rPr>
          <w:rFonts w:eastAsia="SimSun" w:cs="Times New Roman"/>
          <w:sz w:val="28"/>
          <w:szCs w:val="28"/>
          <w:lang w:eastAsia="zh-CN"/>
        </w:rPr>
        <w:t xml:space="preserve">процесу </w:t>
      </w:r>
      <w:r w:rsidRPr="00CA099F">
        <w:rPr>
          <w:rFonts w:eastAsia="SimSun" w:cs="Times New Roman"/>
          <w:sz w:val="28"/>
          <w:szCs w:val="28"/>
          <w:lang w:eastAsia="zh-CN"/>
        </w:rPr>
        <w:t xml:space="preserve">перекисного окислення ліпідів), бере участь в іонному обміні, імунологічних реакціях, стимулює гемопоез (червоний пагін кровотворення), зменшує </w:t>
      </w:r>
      <w:r w:rsidR="00DA3D34">
        <w:rPr>
          <w:rFonts w:eastAsia="SimSun" w:cs="Times New Roman"/>
          <w:sz w:val="28"/>
          <w:szCs w:val="28"/>
          <w:lang w:eastAsia="zh-CN"/>
        </w:rPr>
        <w:t>ступінь інтоксикації</w:t>
      </w:r>
      <w:r w:rsidRPr="00CA099F">
        <w:rPr>
          <w:rFonts w:eastAsia="SimSun" w:cs="Times New Roman"/>
          <w:sz w:val="28"/>
          <w:szCs w:val="28"/>
          <w:lang w:eastAsia="zh-CN"/>
        </w:rPr>
        <w:t>.</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Його призначають у період до операційної підготовки, особливо ослабленим хворим з анемією, інтоксикацією та виснаженням; у ранньому після операційному періоді хворим з масивною операційною крововтратою, з гнійно-септичними ускладненнями, при проведенні комбінованої хіміотерапії, в тому числі у </w:t>
      </w:r>
      <w:r w:rsidR="00D96DA9">
        <w:rPr>
          <w:rFonts w:eastAsia="SimSun" w:cs="Times New Roman"/>
          <w:sz w:val="28"/>
          <w:szCs w:val="28"/>
          <w:lang w:eastAsia="zh-CN"/>
        </w:rPr>
        <w:t>пацієнтів</w:t>
      </w:r>
      <w:r w:rsidRPr="00CA099F">
        <w:rPr>
          <w:rFonts w:eastAsia="SimSun" w:cs="Times New Roman"/>
          <w:sz w:val="28"/>
          <w:szCs w:val="28"/>
          <w:lang w:eastAsia="zh-CN"/>
        </w:rPr>
        <w:t xml:space="preserve"> з гемобластозами при помірно вираженій інтоксикації. Препарат також застосовують у комплексній терапії </w:t>
      </w:r>
      <w:r w:rsidR="00D96DA9">
        <w:rPr>
          <w:rFonts w:eastAsia="SimSun" w:cs="Times New Roman"/>
          <w:sz w:val="28"/>
          <w:szCs w:val="28"/>
          <w:lang w:eastAsia="zh-CN"/>
        </w:rPr>
        <w:t>пацієнтів</w:t>
      </w:r>
      <w:r w:rsidRPr="00CA099F">
        <w:rPr>
          <w:rFonts w:eastAsia="SimSun" w:cs="Times New Roman"/>
          <w:sz w:val="28"/>
          <w:szCs w:val="28"/>
          <w:lang w:eastAsia="zh-CN"/>
        </w:rPr>
        <w:t xml:space="preserve"> на гострий та хронічний остеомієліт.</w:t>
      </w:r>
    </w:p>
    <w:p w:rsidR="0030517B" w:rsidRPr="00CA099F" w:rsidRDefault="0030517B" w:rsidP="0030517B">
      <w:pPr>
        <w:spacing w:after="0" w:line="360" w:lineRule="auto"/>
        <w:jc w:val="both"/>
        <w:rPr>
          <w:rFonts w:eastAsia="SimSun" w:cs="Times New Roman"/>
          <w:sz w:val="28"/>
          <w:szCs w:val="28"/>
          <w:lang w:eastAsia="zh-CN"/>
        </w:rPr>
      </w:pPr>
      <w:r w:rsidRPr="00CA099F">
        <w:rPr>
          <w:rFonts w:eastAsia="SimSun" w:cs="Times New Roman"/>
          <w:sz w:val="28"/>
          <w:szCs w:val="28"/>
          <w:lang w:eastAsia="zh-CN"/>
        </w:rPr>
        <w:tab/>
        <w:t>В нашому дослідженні препарат застосовувався у вигляді розчину (рН 6,5-7,5), який готують із ліофілізованого порошку. Церулоплазмін вводився внутрішньорубцево із розрахунку 0,2 мл препарату на кожний 1 см</w:t>
      </w:r>
      <w:r w:rsidR="00DA3D34">
        <w:rPr>
          <w:rFonts w:eastAsia="SimSun" w:cs="Times New Roman"/>
          <w:sz w:val="28"/>
          <w:szCs w:val="28"/>
          <w:lang w:eastAsia="zh-CN"/>
        </w:rPr>
        <w:t>²</w:t>
      </w:r>
      <w:r w:rsidRPr="00CA099F">
        <w:rPr>
          <w:rFonts w:eastAsia="SimSun" w:cs="Times New Roman"/>
          <w:sz w:val="28"/>
          <w:szCs w:val="28"/>
          <w:lang w:eastAsia="zh-CN"/>
        </w:rPr>
        <w:t xml:space="preserve"> рубцевозміненої тканини на 3  місяць післяопераційного періоду. </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На 6 місяць </w:t>
      </w:r>
      <w:r w:rsidR="00DA3D34">
        <w:rPr>
          <w:rFonts w:eastAsia="SimSun" w:cs="Times New Roman"/>
          <w:sz w:val="28"/>
          <w:szCs w:val="28"/>
          <w:lang w:eastAsia="zh-CN"/>
        </w:rPr>
        <w:t xml:space="preserve">після оперативного втручання </w:t>
      </w:r>
      <w:r w:rsidRPr="00CA099F">
        <w:rPr>
          <w:rFonts w:eastAsia="SimSun" w:cs="Times New Roman"/>
          <w:sz w:val="28"/>
          <w:szCs w:val="28"/>
          <w:lang w:eastAsia="zh-CN"/>
        </w:rPr>
        <w:t>препарат уводився в рубцевозмінені тканини шляхом електрофорезу в тій же концентрації. Для введення вміст одного флакона розводили у 10 мл ізотонічного розчину натрію хлориду.</w:t>
      </w:r>
    </w:p>
    <w:p w:rsidR="0030517B" w:rsidRPr="00CA099F" w:rsidRDefault="0030517B" w:rsidP="0030517B">
      <w:pPr>
        <w:spacing w:after="0" w:line="360" w:lineRule="auto"/>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b/>
          <w:sz w:val="28"/>
          <w:szCs w:val="28"/>
          <w:lang w:eastAsia="zh-CN"/>
        </w:rPr>
        <w:t>2.4 Методики гістотопографічного та імуногістохімічного дослідження</w:t>
      </w:r>
    </w:p>
    <w:p w:rsidR="0030517B" w:rsidRPr="00CA099F" w:rsidRDefault="0030517B" w:rsidP="0030517B">
      <w:pPr>
        <w:spacing w:after="0" w:line="360" w:lineRule="auto"/>
        <w:ind w:firstLine="708"/>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Проведене нами морфологічне дослідження було спрямоване на виявлення гістологічних особливостей утворення патологічних рубців і</w:t>
      </w:r>
      <w:r w:rsidR="00DA3D34">
        <w:rPr>
          <w:rFonts w:eastAsia="SimSun" w:cs="Times New Roman"/>
          <w:sz w:val="28"/>
          <w:szCs w:val="28"/>
          <w:lang w:eastAsia="zh-CN"/>
        </w:rPr>
        <w:t xml:space="preserve"> їх зміни в процесі поетапного введення пацієнтів</w:t>
      </w:r>
      <w:r w:rsidRPr="00CA099F">
        <w:rPr>
          <w:rFonts w:eastAsia="SimSun" w:cs="Times New Roman"/>
          <w:sz w:val="28"/>
          <w:szCs w:val="28"/>
          <w:lang w:eastAsia="zh-CN"/>
        </w:rPr>
        <w:t>.</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lastRenderedPageBreak/>
        <w:t>Усім пацієнтам</w:t>
      </w:r>
      <w:r w:rsidR="00DA3D34">
        <w:rPr>
          <w:rFonts w:eastAsia="SimSun" w:cs="Times New Roman"/>
          <w:sz w:val="28"/>
          <w:szCs w:val="28"/>
          <w:lang w:eastAsia="zh-CN"/>
        </w:rPr>
        <w:t>, за їх письмової згоди,</w:t>
      </w:r>
      <w:r w:rsidRPr="00CA099F">
        <w:rPr>
          <w:rFonts w:eastAsia="SimSun" w:cs="Times New Roman"/>
          <w:sz w:val="28"/>
          <w:szCs w:val="28"/>
          <w:lang w:eastAsia="zh-CN"/>
        </w:rPr>
        <w:t xml:space="preserve"> до початку та в період профілактики проводили дослідження біоптату. Частину рубцевозміненої тканини для дослідження брали методом пункційної біопсії за допомогою одноразового тонкоголкового шприца діаметром голки 2 мм під місцевою анестезією розчином арт</w:t>
      </w:r>
      <w:r w:rsidR="00DA3D34">
        <w:rPr>
          <w:rFonts w:eastAsia="SimSun" w:cs="Times New Roman"/>
          <w:sz w:val="28"/>
          <w:szCs w:val="28"/>
          <w:lang w:eastAsia="zh-CN"/>
        </w:rPr>
        <w:t>ікаїну з епінефрином (1:100000). О</w:t>
      </w:r>
      <w:r w:rsidRPr="00CA099F">
        <w:rPr>
          <w:rFonts w:eastAsia="SimSun" w:cs="Times New Roman"/>
          <w:sz w:val="28"/>
          <w:szCs w:val="28"/>
          <w:lang w:eastAsia="zh-CN"/>
        </w:rPr>
        <w:t xml:space="preserve">триманий матеріал </w:t>
      </w:r>
      <w:r w:rsidR="00DA3D34">
        <w:rPr>
          <w:rFonts w:eastAsia="SimSun" w:cs="Times New Roman"/>
          <w:sz w:val="28"/>
          <w:szCs w:val="28"/>
          <w:lang w:eastAsia="zh-CN"/>
        </w:rPr>
        <w:t>фіксували</w:t>
      </w:r>
      <w:r w:rsidRPr="00CA099F">
        <w:rPr>
          <w:rFonts w:eastAsia="SimSun" w:cs="Times New Roman"/>
          <w:sz w:val="28"/>
          <w:szCs w:val="28"/>
          <w:lang w:eastAsia="zh-CN"/>
        </w:rPr>
        <w:t xml:space="preserve"> в розчині нейтрального формаліну 10% на 3 доби. Потім за загальноприйнятою методикою зневоднювали матеріал у бата</w:t>
      </w:r>
      <w:r w:rsidR="00400041">
        <w:rPr>
          <w:rFonts w:eastAsia="SimSun" w:cs="Times New Roman"/>
          <w:sz w:val="28"/>
          <w:szCs w:val="28"/>
          <w:lang w:eastAsia="zh-CN"/>
        </w:rPr>
        <w:t>реї спиртів за висхідною шкало</w:t>
      </w:r>
      <w:r w:rsidR="00400041">
        <w:rPr>
          <w:rFonts w:eastAsia="SimSun" w:cs="Times New Roman"/>
          <w:sz w:val="28"/>
          <w:szCs w:val="28"/>
          <w:lang w:val="ru-RU" w:eastAsia="zh-CN"/>
        </w:rPr>
        <w:t>ю</w:t>
      </w:r>
      <w:r w:rsidRPr="00CA099F">
        <w:rPr>
          <w:rFonts w:eastAsia="SimSun" w:cs="Times New Roman"/>
          <w:sz w:val="28"/>
          <w:szCs w:val="28"/>
          <w:lang w:eastAsia="zh-CN"/>
        </w:rPr>
        <w:t xml:space="preserve">. </w:t>
      </w:r>
    </w:p>
    <w:p w:rsidR="0030517B" w:rsidRPr="00CA099F" w:rsidRDefault="006C576E" w:rsidP="0030517B">
      <w:pPr>
        <w:spacing w:after="0" w:line="360" w:lineRule="auto"/>
        <w:ind w:firstLine="708"/>
        <w:jc w:val="both"/>
        <w:rPr>
          <w:rFonts w:eastAsia="SimSun" w:cs="Times New Roman"/>
          <w:sz w:val="28"/>
          <w:szCs w:val="28"/>
          <w:lang w:eastAsia="zh-CN"/>
        </w:rPr>
      </w:pPr>
      <w:r>
        <w:rPr>
          <w:rFonts w:eastAsia="SimSun" w:cs="Times New Roman"/>
          <w:sz w:val="28"/>
          <w:szCs w:val="28"/>
          <w:lang w:eastAsia="zh-CN"/>
        </w:rPr>
        <w:t>Далі перекладали біоптат</w:t>
      </w:r>
      <w:r w:rsidR="0030517B" w:rsidRPr="00CA099F">
        <w:rPr>
          <w:rFonts w:eastAsia="SimSun" w:cs="Times New Roman"/>
          <w:sz w:val="28"/>
          <w:szCs w:val="28"/>
          <w:lang w:eastAsia="zh-CN"/>
        </w:rPr>
        <w:t xml:space="preserve"> у суміш абсолютного спирту і хлороформу на 12 годин. Для поступового кращого просочування парафіном шматочки матеріалу переносили у розплавлену суміш хлороформу і парафіну та ставили в термостат на 3 години при температурі 40° С. </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Із суміші хлороформу і парафіну матеріал перекладали у розплавлений парафін, </w:t>
      </w:r>
      <w:r w:rsidR="006C576E">
        <w:rPr>
          <w:rFonts w:eastAsia="SimSun" w:cs="Times New Roman"/>
          <w:sz w:val="28"/>
          <w:szCs w:val="28"/>
          <w:lang w:eastAsia="zh-CN"/>
        </w:rPr>
        <w:t xml:space="preserve">в якому </w:t>
      </w:r>
      <w:r w:rsidRPr="00CA099F">
        <w:rPr>
          <w:rFonts w:eastAsia="SimSun" w:cs="Times New Roman"/>
          <w:sz w:val="28"/>
          <w:szCs w:val="28"/>
          <w:lang w:eastAsia="zh-CN"/>
        </w:rPr>
        <w:t xml:space="preserve">шматочки тканини витримували до 4 годин. Після другого парафіну гарячим пінцетом із термостата </w:t>
      </w:r>
      <w:r w:rsidR="006C576E">
        <w:rPr>
          <w:rFonts w:eastAsia="SimSun" w:cs="Times New Roman"/>
          <w:sz w:val="28"/>
          <w:szCs w:val="28"/>
          <w:lang w:eastAsia="zh-CN"/>
        </w:rPr>
        <w:t>іх діставали</w:t>
      </w:r>
      <w:r w:rsidRPr="00CA099F">
        <w:rPr>
          <w:rFonts w:eastAsia="SimSun" w:cs="Times New Roman"/>
          <w:sz w:val="28"/>
          <w:szCs w:val="28"/>
          <w:lang w:eastAsia="zh-CN"/>
        </w:rPr>
        <w:t xml:space="preserve"> і переносили у заздалегідь приготовлену форму, потім повторно заливали чистим парафіном. Охолодження парафінових блоків проводили у посудині з водою при кімнатній температурі. Вийняті блоки наклеювали на дерев’яні колодки.</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Зрізи товщиною 5-10 мкм отримували за допомогою санного мікротома і монтували їх предметні скельця за трафаретною методикою.</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Приготування препаратів шляхом їх фарбування гематоксиліном та еозином. Цей метод фарбування передбачає застосування хімічного комплексу, що формується іонами алюмінію та окисленого </w:t>
      </w:r>
      <w:hyperlink r:id="rId14" w:tooltip="Гематоксилін" w:history="1">
        <w:r w:rsidRPr="00CA099F">
          <w:rPr>
            <w:rFonts w:eastAsia="SimSun" w:cs="Times New Roman"/>
            <w:sz w:val="28"/>
            <w:szCs w:val="28"/>
            <w:lang w:eastAsia="zh-CN"/>
          </w:rPr>
          <w:t>гематоксиліну</w:t>
        </w:r>
      </w:hyperlink>
      <w:r w:rsidRPr="00CA099F">
        <w:rPr>
          <w:rFonts w:eastAsia="SimSun" w:cs="Times New Roman"/>
          <w:sz w:val="28"/>
          <w:szCs w:val="28"/>
          <w:lang w:eastAsia="zh-CN"/>
        </w:rPr>
        <w:t xml:space="preserve">. Комплекс має властивості зафарбовувати ядра клітин в синій колір. Після зафарбовування ядер відбувається фарбування інших структур спиртовим розчином </w:t>
      </w:r>
      <w:hyperlink r:id="rId15" w:tooltip="Еозин" w:history="1">
        <w:r w:rsidRPr="00CA099F">
          <w:rPr>
            <w:rFonts w:eastAsia="SimSun" w:cs="Times New Roman"/>
            <w:sz w:val="28"/>
            <w:szCs w:val="28"/>
            <w:lang w:eastAsia="zh-CN"/>
          </w:rPr>
          <w:t>еозину</w:t>
        </w:r>
      </w:hyperlink>
      <w:r w:rsidRPr="00CA099F">
        <w:rPr>
          <w:rFonts w:eastAsia="SimSun" w:cs="Times New Roman"/>
          <w:sz w:val="28"/>
          <w:szCs w:val="28"/>
          <w:lang w:eastAsia="zh-CN"/>
        </w:rPr>
        <w:t xml:space="preserve">, завдяки якому ці структури набувають насиченого еозинофільного забарвлення – червоного або рожевого. </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Фотографування вибраних для ілюстрацій ділянок проводили за допомогою мікроскопу Biorex-3 ВМ-500Т з цифровою мікрофотонасадкою DCM 900 з адаптованими для даних досліджень комп’ютерних програм.</w:t>
      </w: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lastRenderedPageBreak/>
        <w:t xml:space="preserve">Імуногістохімічне дослідження проводилось на парафінових зрізах за класичною методикою. Матеріал фіксували в 10 % нейтральному формаліні, після проводки готувались парафінові блоки. Після заключення в полістирол мікрофотографування проводили </w:t>
      </w:r>
      <w:r w:rsidR="006C576E">
        <w:rPr>
          <w:rFonts w:eastAsia="SimSun" w:cs="Times New Roman"/>
          <w:sz w:val="28"/>
          <w:szCs w:val="28"/>
          <w:lang w:eastAsia="zh-CN"/>
        </w:rPr>
        <w:t xml:space="preserve">також </w:t>
      </w:r>
      <w:r w:rsidRPr="00CA099F">
        <w:rPr>
          <w:rFonts w:eastAsia="SimSun" w:cs="Times New Roman"/>
          <w:sz w:val="28"/>
          <w:szCs w:val="28"/>
          <w:lang w:eastAsia="zh-CN"/>
        </w:rPr>
        <w:t>за допомогою мікроскопу Biorex-3 ВМ-500Т з цифровою мікрофотонасадкою DCM 900 з адаптованими для даних досліджень програмами.</w:t>
      </w:r>
    </w:p>
    <w:p w:rsidR="0030517B" w:rsidRPr="00CA099F" w:rsidRDefault="0030517B" w:rsidP="0030517B">
      <w:pPr>
        <w:spacing w:after="0" w:line="360" w:lineRule="auto"/>
        <w:ind w:firstLine="708"/>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b/>
          <w:sz w:val="28"/>
          <w:szCs w:val="28"/>
          <w:lang w:eastAsia="zh-CN"/>
        </w:rPr>
      </w:pPr>
      <w:r w:rsidRPr="00CA099F">
        <w:rPr>
          <w:rFonts w:eastAsia="SimSun" w:cs="Times New Roman"/>
          <w:b/>
          <w:sz w:val="28"/>
          <w:szCs w:val="28"/>
          <w:lang w:eastAsia="zh-CN"/>
        </w:rPr>
        <w:t>2.5 Методики біохімічних досліджень</w:t>
      </w:r>
    </w:p>
    <w:p w:rsidR="0030517B" w:rsidRPr="00CA099F" w:rsidRDefault="0030517B" w:rsidP="0030517B">
      <w:pPr>
        <w:spacing w:after="0" w:line="360" w:lineRule="auto"/>
        <w:ind w:firstLine="708"/>
        <w:jc w:val="both"/>
        <w:rPr>
          <w:rFonts w:eastAsia="SimSun" w:cs="Times New Roman"/>
          <w:sz w:val="28"/>
          <w:szCs w:val="28"/>
          <w:lang w:eastAsia="zh-CN"/>
        </w:rPr>
      </w:pPr>
    </w:p>
    <w:p w:rsidR="00591877" w:rsidRDefault="00591877" w:rsidP="0030517B">
      <w:pPr>
        <w:spacing w:after="0" w:line="360" w:lineRule="auto"/>
        <w:ind w:firstLine="709"/>
        <w:jc w:val="both"/>
        <w:rPr>
          <w:rFonts w:eastAsia="SimSun" w:cs="Times New Roman"/>
          <w:sz w:val="28"/>
          <w:szCs w:val="28"/>
          <w:lang w:eastAsia="zh-CN"/>
        </w:rPr>
      </w:pPr>
      <w:r>
        <w:rPr>
          <w:rFonts w:eastAsia="SimSun" w:cs="Times New Roman"/>
          <w:sz w:val="28"/>
          <w:szCs w:val="28"/>
          <w:lang w:eastAsia="zh-CN"/>
        </w:rPr>
        <w:t>В основу в</w:t>
      </w:r>
      <w:r w:rsidR="0030517B" w:rsidRPr="00CA099F">
        <w:rPr>
          <w:rFonts w:eastAsia="SimSun" w:cs="Times New Roman"/>
          <w:sz w:val="28"/>
          <w:szCs w:val="28"/>
          <w:lang w:eastAsia="zh-CN"/>
        </w:rPr>
        <w:t>изначення окисної модифікації білків плазми крові</w:t>
      </w:r>
      <w:r>
        <w:rPr>
          <w:rFonts w:eastAsia="SimSun" w:cs="Times New Roman"/>
          <w:sz w:val="28"/>
          <w:szCs w:val="28"/>
          <w:lang w:eastAsia="zh-CN"/>
        </w:rPr>
        <w:t xml:space="preserve"> закладено процес</w:t>
      </w:r>
      <w:r w:rsidR="0030517B" w:rsidRPr="00CA099F">
        <w:rPr>
          <w:rFonts w:eastAsia="SimSun" w:cs="Times New Roman"/>
          <w:sz w:val="28"/>
          <w:szCs w:val="28"/>
          <w:lang w:eastAsia="zh-CN"/>
        </w:rPr>
        <w:t xml:space="preserve"> окисної модифікації білків плазми крові </w:t>
      </w:r>
      <w:r>
        <w:rPr>
          <w:rFonts w:eastAsia="SimSun" w:cs="Times New Roman"/>
          <w:sz w:val="28"/>
          <w:szCs w:val="28"/>
          <w:lang w:eastAsia="zh-CN"/>
        </w:rPr>
        <w:t>за умов утворення альдегідних і кетонних груп</w:t>
      </w:r>
      <w:r w:rsidR="0030517B" w:rsidRPr="00CA099F">
        <w:rPr>
          <w:rFonts w:eastAsia="SimSun" w:cs="Times New Roman"/>
          <w:sz w:val="28"/>
          <w:szCs w:val="28"/>
          <w:lang w:eastAsia="zh-CN"/>
        </w:rPr>
        <w:t>, які взаємодіють з 2,4-динітрофенілгідразином з утворенням 2,4-динітрофенілгідразонів, що мають характерний спектр поглинання. Альдегідо- і кетонопохідні н</w:t>
      </w:r>
      <w:r>
        <w:rPr>
          <w:rFonts w:eastAsia="SimSun" w:cs="Times New Roman"/>
          <w:sz w:val="28"/>
          <w:szCs w:val="28"/>
          <w:lang w:eastAsia="zh-CN"/>
        </w:rPr>
        <w:t>ейтрального характеру реєстрували</w:t>
      </w:r>
      <w:r w:rsidR="0030517B" w:rsidRPr="00CA099F">
        <w:rPr>
          <w:rFonts w:eastAsia="SimSun" w:cs="Times New Roman"/>
          <w:sz w:val="28"/>
          <w:szCs w:val="28"/>
          <w:lang w:eastAsia="zh-CN"/>
        </w:rPr>
        <w:t xml:space="preserve"> при 370 нм (ОМБ370), а основного – 430 нм (ОМБ430) [209].</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MS Mincho" w:cs="Times New Roman"/>
          <w:sz w:val="28"/>
          <w:szCs w:val="28"/>
          <w:lang w:eastAsia="zh-CN"/>
        </w:rPr>
        <w:t xml:space="preserve">Активність СОД визначали в отриманому супернатанті за методикою </w:t>
      </w:r>
      <w:r w:rsidRPr="00CA099F">
        <w:rPr>
          <w:rFonts w:eastAsia="SimSun" w:cs="Times New Roman"/>
          <w:sz w:val="28"/>
          <w:szCs w:val="28"/>
          <w:lang w:eastAsia="zh-CN"/>
        </w:rPr>
        <w:t>Чеварі С. та співавторів [210]. Принцип методу ґрунтується на здатності ферменту інгібувати відновлення нітротетразолію синього та конкурувати з нітросинім тетразолієм за супероксидні аніони, які утворюються в результаті аеробної взаємодії відновленої форми нікотинамідаденіннуклеотиду з феназинметасульфатом.</w:t>
      </w:r>
    </w:p>
    <w:p w:rsidR="005D14C9"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 xml:space="preserve">Активнiсть каталази </w:t>
      </w:r>
      <w:r w:rsidR="00591877">
        <w:rPr>
          <w:rFonts w:eastAsia="SimSun" w:cs="Times New Roman"/>
          <w:sz w:val="28"/>
          <w:szCs w:val="28"/>
          <w:lang w:eastAsia="zh-CN"/>
        </w:rPr>
        <w:t>в гомогенатах рубцевозмінени</w:t>
      </w:r>
      <w:r w:rsidR="005D14C9">
        <w:rPr>
          <w:rFonts w:eastAsia="SimSun" w:cs="Times New Roman"/>
          <w:sz w:val="28"/>
          <w:szCs w:val="28"/>
          <w:lang w:eastAsia="zh-CN"/>
        </w:rPr>
        <w:t xml:space="preserve">х тканин </w:t>
      </w:r>
      <w:r w:rsidRPr="00CA099F">
        <w:rPr>
          <w:rFonts w:eastAsia="SimSun" w:cs="Times New Roman"/>
          <w:sz w:val="28"/>
          <w:szCs w:val="28"/>
          <w:lang w:eastAsia="zh-CN"/>
        </w:rPr>
        <w:t xml:space="preserve">визначали за методом Королюк М.А. [211]. Принцип методу базується на здатностi пероксиду водню утворювати з молiбдатом амонiю стiйкий забарвлений комплекс, інтенсивність якого обернено пропорційна активності каталази у досліджуваному субстраті. </w:t>
      </w:r>
    </w:p>
    <w:p w:rsidR="005D14C9"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Визначення вмісту вiдновленого глутатiону (SН-груп )</w:t>
      </w:r>
      <w:r w:rsidR="005D14C9">
        <w:rPr>
          <w:rFonts w:eastAsia="SimSun" w:cs="Times New Roman"/>
          <w:sz w:val="28"/>
          <w:szCs w:val="28"/>
          <w:lang w:eastAsia="zh-CN"/>
        </w:rPr>
        <w:t xml:space="preserve"> в гомогенатах рубців</w:t>
      </w:r>
      <w:r w:rsidRPr="00CA099F">
        <w:rPr>
          <w:rFonts w:eastAsia="SimSun" w:cs="Times New Roman"/>
          <w:sz w:val="28"/>
          <w:szCs w:val="28"/>
          <w:lang w:eastAsia="zh-CN"/>
        </w:rPr>
        <w:t xml:space="preserve"> полягає у </w:t>
      </w:r>
      <w:r w:rsidR="005D14C9">
        <w:rPr>
          <w:rFonts w:eastAsia="SimSun" w:cs="Times New Roman"/>
          <w:sz w:val="28"/>
          <w:szCs w:val="28"/>
          <w:lang w:eastAsia="zh-CN"/>
        </w:rPr>
        <w:t xml:space="preserve">принципі </w:t>
      </w:r>
      <w:r w:rsidRPr="00CA099F">
        <w:rPr>
          <w:rFonts w:eastAsia="SimSun" w:cs="Times New Roman"/>
          <w:sz w:val="28"/>
          <w:szCs w:val="28"/>
          <w:lang w:eastAsia="zh-CN"/>
        </w:rPr>
        <w:t xml:space="preserve">взаємодії 5,5’-дитіобіс (2-нітробензойної) кислоти (реактив Елмана) з SH-групами досліджуваного субстрату. При цьому утворюється тіонітрофенильний аніон, кількість якого прямо пропорційна </w:t>
      </w:r>
      <w:r w:rsidRPr="00CA099F">
        <w:rPr>
          <w:rFonts w:eastAsia="SimSun" w:cs="Times New Roman"/>
          <w:sz w:val="28"/>
          <w:szCs w:val="28"/>
          <w:lang w:eastAsia="zh-CN"/>
        </w:rPr>
        <w:lastRenderedPageBreak/>
        <w:t>вмісту SH-груп. Їх концентрацію виражали в молях на кілограм тканини (моль</w:t>
      </w:r>
      <w:r w:rsidRPr="00CA099F">
        <w:rPr>
          <w:rFonts w:eastAsia="SimSun" w:cs="Times New Roman"/>
          <w:sz w:val="28"/>
          <w:szCs w:val="28"/>
          <w:lang w:eastAsia="zh-CN"/>
        </w:rPr>
        <w:sym w:font="Times New Roman" w:char="00B7"/>
      </w:r>
      <w:r w:rsidRPr="00CA099F">
        <w:rPr>
          <w:rFonts w:eastAsia="SimSun" w:cs="Times New Roman"/>
          <w:sz w:val="28"/>
          <w:szCs w:val="28"/>
          <w:lang w:eastAsia="zh-CN"/>
        </w:rPr>
        <w:t>кг-1) [212].</w:t>
      </w:r>
      <w:r w:rsidR="005D14C9">
        <w:rPr>
          <w:rFonts w:eastAsia="SimSun" w:cs="Times New Roman"/>
          <w:sz w:val="28"/>
          <w:szCs w:val="28"/>
          <w:lang w:eastAsia="zh-CN"/>
        </w:rPr>
        <w:t xml:space="preserve"> </w:t>
      </w:r>
    </w:p>
    <w:p w:rsidR="0030517B" w:rsidRPr="005D14C9" w:rsidRDefault="005D14C9" w:rsidP="0030517B">
      <w:pPr>
        <w:spacing w:after="0" w:line="360" w:lineRule="auto"/>
        <w:ind w:firstLine="709"/>
        <w:jc w:val="both"/>
        <w:rPr>
          <w:rFonts w:eastAsia="SimSun" w:cs="Times New Roman"/>
          <w:sz w:val="28"/>
          <w:szCs w:val="28"/>
          <w:lang w:eastAsia="zh-CN"/>
        </w:rPr>
      </w:pPr>
      <w:r>
        <w:rPr>
          <w:rFonts w:eastAsia="SimSun" w:cs="Times New Roman"/>
          <w:sz w:val="28"/>
          <w:szCs w:val="28"/>
          <w:lang w:eastAsia="zh-CN"/>
        </w:rPr>
        <w:t>В</w:t>
      </w:r>
      <w:r w:rsidR="0030517B" w:rsidRPr="00CA099F">
        <w:rPr>
          <w:rFonts w:eastAsia="SimSun" w:cs="Times New Roman"/>
          <w:sz w:val="28"/>
          <w:szCs w:val="28"/>
          <w:lang w:eastAsia="zh-CN"/>
        </w:rPr>
        <w:t>місту неоптерину</w:t>
      </w:r>
      <w:r w:rsidR="0030517B" w:rsidRPr="00CA099F">
        <w:rPr>
          <w:rFonts w:eastAsia="MS Mincho" w:cs="Times New Roman"/>
          <w:sz w:val="28"/>
          <w:szCs w:val="28"/>
          <w:lang w:eastAsia="zh-CN"/>
        </w:rPr>
        <w:t xml:space="preserve"> визначали за допомогою твердофазного імуноферментного аналізу з використанням наборів реактивів “Neopterin ELISA” фірми “IBL” (Німеччина) </w:t>
      </w:r>
      <w:r w:rsidR="0030517B" w:rsidRPr="00CA099F">
        <w:rPr>
          <w:rFonts w:eastAsia="SimSun" w:cs="Times New Roman"/>
          <w:sz w:val="28"/>
          <w:szCs w:val="28"/>
          <w:lang w:eastAsia="zh-CN"/>
        </w:rPr>
        <w:t>[213].</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 xml:space="preserve">Активність лізоциму та уреази </w:t>
      </w:r>
      <w:r w:rsidR="005D14C9">
        <w:rPr>
          <w:rFonts w:eastAsia="SimSun" w:cs="Times New Roman"/>
          <w:sz w:val="28"/>
          <w:szCs w:val="28"/>
          <w:lang w:eastAsia="zh-CN"/>
        </w:rPr>
        <w:t xml:space="preserve">в гомогенатах рубцевих тканин </w:t>
      </w:r>
      <w:r w:rsidRPr="00CA099F">
        <w:rPr>
          <w:rFonts w:eastAsia="SimSun" w:cs="Times New Roman"/>
          <w:sz w:val="28"/>
          <w:szCs w:val="28"/>
          <w:lang w:eastAsia="zh-CN"/>
        </w:rPr>
        <w:t xml:space="preserve">визначали бактеріолітичним методом, суть якого </w:t>
      </w:r>
      <w:r w:rsidR="005D14C9">
        <w:rPr>
          <w:rFonts w:eastAsia="SimSun" w:cs="Times New Roman"/>
          <w:sz w:val="28"/>
          <w:szCs w:val="28"/>
          <w:lang w:eastAsia="zh-CN"/>
        </w:rPr>
        <w:t xml:space="preserve">полягає </w:t>
      </w:r>
      <w:r w:rsidRPr="00CA099F">
        <w:rPr>
          <w:rFonts w:eastAsia="SimSun" w:cs="Times New Roman"/>
          <w:sz w:val="28"/>
          <w:szCs w:val="28"/>
          <w:lang w:eastAsia="zh-CN"/>
        </w:rPr>
        <w:t xml:space="preserve">у визначенні дисбіозу порожнини рота для скрининга про- та пребіотиків </w:t>
      </w:r>
      <w:r w:rsidR="005D14C9">
        <w:rPr>
          <w:rFonts w:eastAsia="SimSun" w:cs="Times New Roman"/>
          <w:sz w:val="28"/>
          <w:szCs w:val="28"/>
          <w:lang w:eastAsia="zh-CN"/>
        </w:rPr>
        <w:t>за умов використання ферментного</w:t>
      </w:r>
      <w:r w:rsidRPr="00CA099F">
        <w:rPr>
          <w:rFonts w:eastAsia="SimSun" w:cs="Times New Roman"/>
          <w:sz w:val="28"/>
          <w:szCs w:val="28"/>
          <w:lang w:eastAsia="zh-CN"/>
        </w:rPr>
        <w:t xml:space="preserve"> аналіз</w:t>
      </w:r>
      <w:r w:rsidR="005D14C9">
        <w:rPr>
          <w:rFonts w:eastAsia="SimSun" w:cs="Times New Roman"/>
          <w:sz w:val="28"/>
          <w:szCs w:val="28"/>
          <w:lang w:eastAsia="zh-CN"/>
        </w:rPr>
        <w:t>у</w:t>
      </w:r>
      <w:r w:rsidRPr="00CA099F">
        <w:rPr>
          <w:rFonts w:eastAsia="SimSun" w:cs="Times New Roman"/>
          <w:sz w:val="28"/>
          <w:szCs w:val="28"/>
          <w:lang w:eastAsia="zh-CN"/>
        </w:rPr>
        <w:t xml:space="preserve"> [214]. Активність еластази визначалася за методом Левицького та співавторів [215].</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Концентрацію дієнових кон'югатів (ДК) визначали за методом, який ґрунтується на тому, що екстраговані гептан-ізопропіловою сумішшю гідроперекиси мають відповідний максимум поглинання: ДК при довжині хвилі 232 нм.</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Концентрацію трієнових кон'югатів (ТК) визначали за методом, який грунтується на тому, що екстраговані гептан-ізопропіловою сумішшю гідроперекиси мають відповідний максимум поглинання: ТК при довжині хвилі 275 нм [216].</w:t>
      </w:r>
    </w:p>
    <w:p w:rsidR="00B351B8"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Визначення концентрації ТБК-активних продуктів</w:t>
      </w:r>
      <w:r w:rsidR="00B351B8">
        <w:rPr>
          <w:rFonts w:eastAsia="SimSun" w:cs="Times New Roman"/>
          <w:sz w:val="28"/>
          <w:szCs w:val="28"/>
          <w:lang w:eastAsia="zh-CN"/>
        </w:rPr>
        <w:t xml:space="preserve"> в гомогенатах рубцевозміненої шкіри</w:t>
      </w:r>
      <w:r w:rsidRPr="00CA099F">
        <w:rPr>
          <w:rFonts w:eastAsia="SimSun" w:cs="Times New Roman"/>
          <w:sz w:val="28"/>
          <w:szCs w:val="28"/>
          <w:lang w:eastAsia="zh-CN"/>
        </w:rPr>
        <w:t xml:space="preserve"> заключається в тому, що при високій температурі в кислому середовищі малоновий діальдегід реагує з тіобарбітуровою кислотою, утворюючи забарвлений комплекс з максимумом поглинання при 535 нм [217].</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Оцінка продукції активних форм кисню ядровмісними клітинами крові</w:t>
      </w:r>
      <w:r w:rsidR="00B351B8">
        <w:rPr>
          <w:rFonts w:eastAsia="SimSun" w:cs="Times New Roman"/>
          <w:sz w:val="28"/>
          <w:szCs w:val="28"/>
          <w:lang w:eastAsia="zh-CN"/>
        </w:rPr>
        <w:t xml:space="preserve"> п</w:t>
      </w:r>
      <w:r w:rsidRPr="00CA099F">
        <w:rPr>
          <w:rFonts w:eastAsia="SimSun" w:cs="Times New Roman"/>
          <w:sz w:val="28"/>
          <w:szCs w:val="28"/>
          <w:lang w:eastAsia="zh-CN"/>
        </w:rPr>
        <w:t xml:space="preserve">роводилася методом проточної лазерної цитофлюориметрії [218]. Для вимірювання рівня активних форм кисню (АФК) у ядровмісних клітинахкрові використовували дихлорфлюоресцеїну диацетат (ДХФ-ДА) («Sigma Aldrich», USA), який є барвником із заблокованою флюоресценцією. Після пасивного проникнення в клітину і відщеплення ацетатної групи під дією естераз ДХФ-ДА переходить у полярну сполуку, яка не здатна до дифузії з клітини. У </w:t>
      </w:r>
      <w:r w:rsidRPr="00CA099F">
        <w:rPr>
          <w:rFonts w:eastAsia="SimSun" w:cs="Times New Roman"/>
          <w:sz w:val="28"/>
          <w:szCs w:val="28"/>
          <w:lang w:eastAsia="zh-CN"/>
        </w:rPr>
        <w:lastRenderedPageBreak/>
        <w:t>результаті взаємодії з перекисом водню та іншими вільними радикалами ДХФ-ДА стає флуоресціюючою сполукою. У чисту полістеринову пробірку поміщали 90 мкл суспензії лейкоцитів і 10 мкл робочого розчину ДХФ-ДА. Клітини ресуспензували й інкубували тривалістю 20 хв при 37 °С. Потім центрифугували при 1000 об/хв протягом 10 хв, зливали надосад і додавали 400 мкл фосфатно-сольового буферу. Проби поміщали на лід, рівень продукції АФК аналізували за інтенсивністю світіння барвника (FL-1 канал) на проточному цитофлюориметрі Epics XL («Beckman Coulter», США). Значення дослідженого параметру виражали у відсотках.</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t xml:space="preserve">Вміст ГПЛ визначали за методом, який ґрунтується на тому, що екстраговані гептан-ізопропіловою сумішшю гідропероксиди мають відповідний максимум поглинання при </w:t>
      </w:r>
      <w:r w:rsidRPr="00CA099F">
        <w:rPr>
          <w:rFonts w:eastAsia="SimSun" w:cs="Times New Roman"/>
          <w:sz w:val="28"/>
          <w:szCs w:val="28"/>
          <w:lang w:eastAsia="zh-CN"/>
        </w:rPr>
        <w:sym w:font="Symbol" w:char="F06C"/>
      </w:r>
      <w:r w:rsidR="00B351B8">
        <w:rPr>
          <w:rFonts w:eastAsia="SimSun" w:cs="Times New Roman"/>
          <w:sz w:val="28"/>
          <w:szCs w:val="28"/>
          <w:lang w:eastAsia="zh-CN"/>
        </w:rPr>
        <w:t xml:space="preserve">= 232 нм [219] і </w:t>
      </w:r>
      <w:r w:rsidRPr="00CA099F">
        <w:rPr>
          <w:rFonts w:eastAsia="SimSun" w:cs="Times New Roman"/>
          <w:sz w:val="28"/>
          <w:szCs w:val="28"/>
          <w:lang w:eastAsia="zh-CN"/>
        </w:rPr>
        <w:t xml:space="preserve">проводили </w:t>
      </w:r>
      <w:r w:rsidR="00B351B8">
        <w:rPr>
          <w:rFonts w:eastAsia="SimSun" w:cs="Times New Roman"/>
          <w:sz w:val="28"/>
          <w:szCs w:val="28"/>
          <w:lang w:eastAsia="zh-CN"/>
        </w:rPr>
        <w:t xml:space="preserve">це </w:t>
      </w:r>
      <w:r w:rsidRPr="00CA099F">
        <w:rPr>
          <w:rFonts w:eastAsia="SimSun" w:cs="Times New Roman"/>
          <w:sz w:val="28"/>
          <w:szCs w:val="28"/>
          <w:lang w:eastAsia="zh-CN"/>
        </w:rPr>
        <w:t>за методо</w:t>
      </w:r>
      <w:r w:rsidR="00B351B8">
        <w:rPr>
          <w:rFonts w:eastAsia="SimSun" w:cs="Times New Roman"/>
          <w:sz w:val="28"/>
          <w:szCs w:val="28"/>
          <w:lang w:eastAsia="zh-CN"/>
        </w:rPr>
        <w:t>м, описаним В.В. Мирончик [219]. Його принцип</w:t>
      </w:r>
      <w:r w:rsidRPr="00CA099F">
        <w:rPr>
          <w:rFonts w:eastAsia="SimSun" w:cs="Times New Roman"/>
          <w:sz w:val="28"/>
          <w:szCs w:val="28"/>
          <w:lang w:eastAsia="zh-CN"/>
        </w:rPr>
        <w:t xml:space="preserve"> базується на</w:t>
      </w:r>
      <w:r w:rsidR="00B351B8">
        <w:rPr>
          <w:rFonts w:eastAsia="SimSun" w:cs="Times New Roman"/>
          <w:sz w:val="28"/>
          <w:szCs w:val="28"/>
          <w:lang w:eastAsia="zh-CN"/>
        </w:rPr>
        <w:t xml:space="preserve"> феномені окиснення</w:t>
      </w:r>
      <w:r w:rsidRPr="00CA099F">
        <w:rPr>
          <w:rFonts w:eastAsia="SimSun" w:cs="Times New Roman"/>
          <w:sz w:val="28"/>
          <w:szCs w:val="28"/>
          <w:lang w:eastAsia="zh-CN"/>
        </w:rPr>
        <w:t xml:space="preserve"> пероксидами Fe2+ у Fe3+, яке проявляється за допомогою кольорової реакції з тіоціонатом амонію при максимумі поглинання 480 нм.</w:t>
      </w:r>
    </w:p>
    <w:p w:rsidR="0030517B" w:rsidRPr="00CA099F" w:rsidRDefault="00596D4B" w:rsidP="0030517B">
      <w:pPr>
        <w:spacing w:after="0" w:line="360" w:lineRule="auto"/>
        <w:ind w:firstLine="709"/>
        <w:jc w:val="both"/>
        <w:rPr>
          <w:rFonts w:eastAsia="SimSun" w:cs="Times New Roman"/>
          <w:sz w:val="28"/>
          <w:szCs w:val="28"/>
          <w:lang w:eastAsia="zh-CN"/>
        </w:rPr>
      </w:pPr>
      <w:r>
        <w:rPr>
          <w:rFonts w:eastAsia="SimSun" w:cs="Times New Roman"/>
          <w:sz w:val="28"/>
          <w:szCs w:val="28"/>
          <w:lang w:eastAsia="zh-CN"/>
        </w:rPr>
        <w:t>Оцінку</w:t>
      </w:r>
      <w:r w:rsidR="0030517B" w:rsidRPr="00CA099F">
        <w:rPr>
          <w:rFonts w:eastAsia="SimSun" w:cs="Times New Roman"/>
          <w:sz w:val="28"/>
          <w:szCs w:val="28"/>
          <w:lang w:eastAsia="zh-CN"/>
        </w:rPr>
        <w:t xml:space="preserve"> інтенсивності репаративних процесів</w:t>
      </w:r>
      <w:r w:rsidR="00244374">
        <w:rPr>
          <w:rFonts w:eastAsia="SimSun" w:cs="Times New Roman"/>
          <w:sz w:val="28"/>
          <w:szCs w:val="28"/>
          <w:lang w:eastAsia="zh-CN"/>
        </w:rPr>
        <w:t xml:space="preserve"> проводили за допомогою визначення кількості</w:t>
      </w:r>
      <w:r w:rsidR="0030517B" w:rsidRPr="00CA099F">
        <w:rPr>
          <w:rFonts w:eastAsia="SimSun" w:cs="Times New Roman"/>
          <w:sz w:val="28"/>
          <w:szCs w:val="28"/>
          <w:lang w:eastAsia="zh-CN"/>
        </w:rPr>
        <w:t xml:space="preserve"> РНК і ДНК у гомогенаті шкіри та рубцевозмінених тканин за методикою А.С. Спіріна [220].</w:t>
      </w:r>
    </w:p>
    <w:p w:rsidR="0030517B" w:rsidRPr="00CA099F" w:rsidRDefault="0030517B" w:rsidP="0030517B">
      <w:pPr>
        <w:spacing w:after="0" w:line="360" w:lineRule="auto"/>
        <w:ind w:firstLine="709"/>
        <w:jc w:val="both"/>
        <w:rPr>
          <w:rFonts w:eastAsia="SimSun" w:cs="Times New Roman"/>
          <w:sz w:val="28"/>
          <w:szCs w:val="28"/>
          <w:lang w:eastAsia="zh-CN"/>
        </w:rPr>
      </w:pPr>
    </w:p>
    <w:p w:rsidR="0030517B" w:rsidRPr="00CA099F" w:rsidRDefault="0030517B" w:rsidP="0030517B">
      <w:pPr>
        <w:spacing w:after="0" w:line="360" w:lineRule="auto"/>
        <w:ind w:firstLine="708"/>
        <w:jc w:val="both"/>
        <w:rPr>
          <w:rFonts w:eastAsia="SimSun" w:cs="Times New Roman"/>
          <w:b/>
          <w:sz w:val="28"/>
          <w:szCs w:val="28"/>
          <w:lang w:eastAsia="zh-CN"/>
        </w:rPr>
      </w:pPr>
      <w:r w:rsidRPr="00CA099F">
        <w:rPr>
          <w:rFonts w:eastAsia="SimSun" w:cs="Times New Roman"/>
          <w:b/>
          <w:sz w:val="28"/>
          <w:szCs w:val="28"/>
          <w:lang w:eastAsia="zh-CN"/>
        </w:rPr>
        <w:t>2.6 Статистична обробка результатів власних досліджень</w:t>
      </w:r>
    </w:p>
    <w:p w:rsidR="0030517B" w:rsidRPr="00CA099F" w:rsidRDefault="0030517B" w:rsidP="0030517B">
      <w:pPr>
        <w:spacing w:after="0" w:line="360" w:lineRule="auto"/>
        <w:ind w:firstLine="708"/>
        <w:jc w:val="both"/>
        <w:rPr>
          <w:rFonts w:eastAsia="SimSun" w:cs="Times New Roman"/>
          <w:b/>
          <w:sz w:val="28"/>
          <w:szCs w:val="28"/>
          <w:lang w:eastAsia="zh-CN"/>
        </w:rPr>
      </w:pPr>
    </w:p>
    <w:p w:rsidR="0030517B" w:rsidRPr="00CA099F" w:rsidRDefault="0030517B" w:rsidP="0030517B">
      <w:pPr>
        <w:spacing w:after="0" w:line="360" w:lineRule="auto"/>
        <w:ind w:firstLine="708"/>
        <w:jc w:val="both"/>
        <w:rPr>
          <w:rFonts w:eastAsia="SimSun" w:cs="Times New Roman"/>
          <w:sz w:val="28"/>
          <w:szCs w:val="28"/>
          <w:lang w:eastAsia="zh-CN"/>
        </w:rPr>
      </w:pPr>
      <w:r w:rsidRPr="00CA099F">
        <w:rPr>
          <w:rFonts w:eastAsia="SimSun" w:cs="Times New Roman"/>
          <w:sz w:val="28"/>
          <w:szCs w:val="28"/>
          <w:lang w:eastAsia="zh-CN"/>
        </w:rPr>
        <w:t xml:space="preserve">Для статистичної обробки даних отриманих результатів власних досліджень використовувалися параметричні та непараметричні методи. </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Times New Roman" w:cs="Times New Roman"/>
          <w:color w:val="000000"/>
          <w:sz w:val="28"/>
          <w:szCs w:val="28"/>
          <w:lang w:eastAsia="zh-CN"/>
        </w:rPr>
        <w:t>Статистичний аналіз параметричним методом проводився з використанням t-критерію Стьюдента [221]. Розраховували середні арифметичні величини</w:t>
      </w:r>
      <w:r w:rsidRPr="00CA099F">
        <w:rPr>
          <w:rFonts w:eastAsia="SimSun" w:cs="Times New Roman"/>
          <w:sz w:val="28"/>
          <w:szCs w:val="28"/>
          <w:lang w:eastAsia="zh-CN"/>
        </w:rPr>
        <w:t xml:space="preserve">, середню квадратичну (М), середнє квадратичне відхилення (сігма Σ), середнє квадратичної помилки (m), критерії вірогідності (t). Відмінності враховувалися за вірогідності при р≤0,05. Статистичні результати, для яких ймовірність помилки була меншою, ніж 5% (Р≤0,05), вважалися достовірними. </w:t>
      </w:r>
    </w:p>
    <w:p w:rsidR="0030517B" w:rsidRPr="00CA099F" w:rsidRDefault="0030517B" w:rsidP="0030517B">
      <w:pPr>
        <w:spacing w:after="0" w:line="360" w:lineRule="auto"/>
        <w:ind w:firstLine="709"/>
        <w:jc w:val="both"/>
        <w:rPr>
          <w:rFonts w:eastAsia="SimSun" w:cs="Times New Roman"/>
          <w:sz w:val="28"/>
          <w:szCs w:val="28"/>
          <w:lang w:eastAsia="zh-CN"/>
        </w:rPr>
      </w:pPr>
      <w:r w:rsidRPr="00CA099F">
        <w:rPr>
          <w:rFonts w:eastAsia="SimSun" w:cs="Times New Roman"/>
          <w:sz w:val="28"/>
          <w:szCs w:val="28"/>
          <w:lang w:eastAsia="zh-CN"/>
        </w:rPr>
        <w:lastRenderedPageBreak/>
        <w:t xml:space="preserve">Із непараметричних методів при визначені вірогідності показників дослідження нами було використано U-критерій </w:t>
      </w:r>
      <w:r w:rsidRPr="00CA099F">
        <w:rPr>
          <w:rFonts w:eastAsia="SimSun" w:cs="Times New Roman"/>
          <w:bCs/>
          <w:sz w:val="28"/>
          <w:szCs w:val="28"/>
          <w:shd w:val="clear" w:color="auto" w:fill="FFFFFF"/>
          <w:lang w:eastAsia="zh-CN"/>
        </w:rPr>
        <w:t>Краскала-Уоллиса</w:t>
      </w:r>
      <w:r w:rsidRPr="00CA099F">
        <w:rPr>
          <w:rFonts w:eastAsia="SimSun" w:cs="Times New Roman"/>
          <w:sz w:val="28"/>
          <w:szCs w:val="28"/>
          <w:lang w:eastAsia="zh-CN"/>
        </w:rPr>
        <w:t>. Відмінності вважались за вірогідні при р≤0,05.</w:t>
      </w:r>
    </w:p>
    <w:p w:rsidR="0030517B" w:rsidRPr="00CA099F" w:rsidRDefault="0030517B" w:rsidP="0030517B">
      <w:pPr>
        <w:spacing w:after="0" w:line="360" w:lineRule="auto"/>
        <w:ind w:firstLine="708"/>
        <w:jc w:val="both"/>
        <w:rPr>
          <w:rFonts w:eastAsia="SimSun" w:cs="Times New Roman"/>
          <w:bCs/>
          <w:sz w:val="28"/>
          <w:szCs w:val="28"/>
          <w:shd w:val="clear" w:color="auto" w:fill="FFFFFF"/>
          <w:lang w:eastAsia="zh-CN"/>
        </w:rPr>
      </w:pPr>
      <w:r w:rsidRPr="00CA099F">
        <w:rPr>
          <w:rFonts w:eastAsia="SimSun" w:cs="Times New Roman"/>
          <w:sz w:val="28"/>
          <w:szCs w:val="28"/>
          <w:lang w:eastAsia="zh-CN"/>
        </w:rPr>
        <w:t xml:space="preserve">Математичну обробку отриманих даних здійснювали з використанням програми </w:t>
      </w:r>
      <w:r w:rsidRPr="00CA099F">
        <w:rPr>
          <w:rFonts w:eastAsia="SimSun" w:cs="Times New Roman"/>
          <w:bCs/>
          <w:sz w:val="28"/>
          <w:szCs w:val="28"/>
          <w:shd w:val="clear" w:color="auto" w:fill="FFFFFF"/>
          <w:lang w:eastAsia="zh-CN"/>
        </w:rPr>
        <w:t>StatPlus</w:t>
      </w:r>
      <w:r w:rsidRPr="00CA099F">
        <w:rPr>
          <w:rFonts w:eastAsia="SimSun" w:cs="Times New Roman"/>
          <w:sz w:val="28"/>
          <w:szCs w:val="28"/>
          <w:shd w:val="clear" w:color="auto" w:fill="FFFFFF"/>
          <w:lang w:eastAsia="zh-CN"/>
        </w:rPr>
        <w:t> </w:t>
      </w:r>
      <w:r w:rsidRPr="00CA099F">
        <w:rPr>
          <w:rFonts w:eastAsia="SimSun" w:cs="Times New Roman"/>
          <w:bCs/>
          <w:sz w:val="28"/>
          <w:szCs w:val="28"/>
          <w:shd w:val="clear" w:color="auto" w:fill="FFFFFF"/>
          <w:lang w:eastAsia="zh-CN"/>
        </w:rPr>
        <w:t xml:space="preserve">2009, </w:t>
      </w:r>
      <w:r w:rsidRPr="00CA099F">
        <w:rPr>
          <w:rFonts w:eastAsia="SimSun" w:cs="Times New Roman"/>
          <w:sz w:val="28"/>
          <w:szCs w:val="28"/>
          <w:lang w:eastAsia="zh-CN"/>
        </w:rPr>
        <w:t>« Microsoft Excel»</w:t>
      </w:r>
      <w:r w:rsidRPr="00CA099F">
        <w:rPr>
          <w:rFonts w:eastAsia="SimSun" w:cs="Times New Roman"/>
          <w:bCs/>
          <w:sz w:val="28"/>
          <w:szCs w:val="28"/>
          <w:shd w:val="clear" w:color="auto" w:fill="FFFFFF"/>
          <w:lang w:eastAsia="zh-CN"/>
        </w:rPr>
        <w:t>.</w:t>
      </w:r>
      <w:r w:rsidRPr="00CA099F">
        <w:rPr>
          <w:rFonts w:eastAsia="SimSun" w:cs="Times New Roman"/>
          <w:bCs/>
          <w:sz w:val="28"/>
          <w:szCs w:val="28"/>
          <w:shd w:val="clear" w:color="auto" w:fill="FFFFFF"/>
          <w:lang w:eastAsia="zh-CN"/>
        </w:rPr>
        <w:br w:type="page"/>
      </w:r>
    </w:p>
    <w:p w:rsidR="0030517B" w:rsidRPr="00CA099F" w:rsidRDefault="0030517B" w:rsidP="0030517B">
      <w:pPr>
        <w:spacing w:after="160" w:line="360" w:lineRule="auto"/>
        <w:jc w:val="center"/>
        <w:rPr>
          <w:rFonts w:eastAsia="Calibri" w:cs="Calibri"/>
          <w:b/>
          <w:sz w:val="28"/>
          <w:szCs w:val="28"/>
        </w:rPr>
      </w:pPr>
      <w:r w:rsidRPr="00CA099F">
        <w:rPr>
          <w:rFonts w:eastAsia="Calibri" w:cs="Calibri"/>
          <w:b/>
          <w:sz w:val="28"/>
          <w:szCs w:val="28"/>
        </w:rPr>
        <w:lastRenderedPageBreak/>
        <w:t>РОЗДІЛ 3</w:t>
      </w:r>
    </w:p>
    <w:p w:rsidR="0030517B" w:rsidRPr="00CA099F" w:rsidRDefault="0030517B" w:rsidP="0030517B">
      <w:pPr>
        <w:spacing w:after="160" w:line="360" w:lineRule="auto"/>
        <w:jc w:val="center"/>
        <w:rPr>
          <w:rFonts w:eastAsia="Calibri" w:cs="Calibri"/>
          <w:b/>
          <w:sz w:val="28"/>
          <w:szCs w:val="28"/>
        </w:rPr>
      </w:pPr>
    </w:p>
    <w:p w:rsidR="0030517B" w:rsidRPr="00CA099F" w:rsidRDefault="0030517B" w:rsidP="0030517B">
      <w:pPr>
        <w:spacing w:after="160" w:line="360" w:lineRule="auto"/>
        <w:jc w:val="center"/>
        <w:rPr>
          <w:rFonts w:eastAsia="Calibri" w:cs="Calibri"/>
          <w:b/>
          <w:sz w:val="28"/>
          <w:szCs w:val="28"/>
        </w:rPr>
      </w:pPr>
    </w:p>
    <w:p w:rsidR="0030517B" w:rsidRPr="00CA099F" w:rsidRDefault="00506730" w:rsidP="0030517B">
      <w:pPr>
        <w:spacing w:after="160" w:line="360" w:lineRule="auto"/>
        <w:jc w:val="center"/>
        <w:rPr>
          <w:rFonts w:eastAsia="Calibri" w:cs="Calibri"/>
          <w:b/>
          <w:sz w:val="28"/>
          <w:szCs w:val="28"/>
        </w:rPr>
      </w:pPr>
      <w:r>
        <w:rPr>
          <w:rFonts w:eastAsia="Calibri" w:cs="Calibri"/>
          <w:b/>
          <w:sz w:val="28"/>
          <w:szCs w:val="28"/>
        </w:rPr>
        <w:t>РЕЗУЛЬТАТИ</w:t>
      </w:r>
      <w:r w:rsidR="0030517B" w:rsidRPr="00CA099F">
        <w:rPr>
          <w:rFonts w:eastAsia="Calibri" w:cs="Calibri"/>
          <w:b/>
          <w:sz w:val="28"/>
          <w:szCs w:val="28"/>
        </w:rPr>
        <w:t xml:space="preserve"> КЛІНІЧНИХ ЗМІН У РУБЦЕВОЗМІНЕНИХ ТКАНИНАХ У РІЗНІ ТЕРМІНИ ПІСЛЯОПЕРАЦІЙНОГО ПЕРІОДУ</w:t>
      </w:r>
    </w:p>
    <w:p w:rsidR="0030517B" w:rsidRPr="00CA099F" w:rsidRDefault="0030517B" w:rsidP="0030517B">
      <w:pPr>
        <w:spacing w:after="160" w:line="360" w:lineRule="auto"/>
        <w:jc w:val="both"/>
        <w:rPr>
          <w:rFonts w:eastAsia="Calibri" w:cs="Calibri"/>
          <w:sz w:val="28"/>
          <w:szCs w:val="28"/>
        </w:rPr>
      </w:pPr>
    </w:p>
    <w:p w:rsidR="0030517B" w:rsidRPr="00CA099F" w:rsidRDefault="00506730" w:rsidP="0030517B">
      <w:pPr>
        <w:spacing w:after="160" w:line="360" w:lineRule="auto"/>
        <w:ind w:firstLine="709"/>
        <w:jc w:val="both"/>
        <w:rPr>
          <w:rFonts w:eastAsia="Calibri" w:cs="Calibri"/>
          <w:b/>
          <w:sz w:val="28"/>
          <w:szCs w:val="28"/>
        </w:rPr>
      </w:pPr>
      <w:r>
        <w:rPr>
          <w:rFonts w:eastAsia="Calibri" w:cs="Calibri"/>
          <w:b/>
          <w:sz w:val="28"/>
          <w:szCs w:val="28"/>
        </w:rPr>
        <w:t>3.1</w:t>
      </w:r>
      <w:r w:rsidR="0030517B" w:rsidRPr="00CA099F">
        <w:rPr>
          <w:rFonts w:eastAsia="Calibri" w:cs="Calibri"/>
          <w:b/>
          <w:sz w:val="28"/>
          <w:szCs w:val="28"/>
        </w:rPr>
        <w:t xml:space="preserve"> Опис авторської методики інтраопераційної профілактики утворення патологічних рубцевозмінених тканин шкіри після хірургічного лікування кіст шиї ембріонального походження</w:t>
      </w:r>
    </w:p>
    <w:p w:rsidR="0030517B" w:rsidRPr="00CA099F" w:rsidRDefault="0030517B" w:rsidP="0030517B">
      <w:pPr>
        <w:spacing w:after="160" w:line="360" w:lineRule="auto"/>
        <w:ind w:firstLine="709"/>
        <w:jc w:val="both"/>
        <w:rPr>
          <w:rFonts w:eastAsia="Calibri" w:cs="Calibri"/>
          <w:sz w:val="28"/>
          <w:szCs w:val="28"/>
        </w:rPr>
      </w:pPr>
    </w:p>
    <w:p w:rsidR="0030517B" w:rsidRPr="00CA099F" w:rsidRDefault="0030517B" w:rsidP="0030517B">
      <w:pPr>
        <w:spacing w:after="160" w:line="360" w:lineRule="auto"/>
        <w:ind w:firstLine="709"/>
        <w:jc w:val="both"/>
        <w:rPr>
          <w:rFonts w:eastAsia="Calibri" w:cs="Calibri"/>
          <w:sz w:val="28"/>
          <w:szCs w:val="28"/>
        </w:rPr>
      </w:pPr>
      <w:r w:rsidRPr="00CA099F">
        <w:rPr>
          <w:rFonts w:eastAsia="Calibri" w:cs="Calibri"/>
          <w:sz w:val="28"/>
          <w:szCs w:val="28"/>
        </w:rPr>
        <w:t xml:space="preserve">Всі етапи пошарового роз’єднання тканин при </w:t>
      </w:r>
      <w:r w:rsidR="003A3228">
        <w:rPr>
          <w:rFonts w:eastAsia="Calibri" w:cs="Calibri"/>
          <w:sz w:val="28"/>
          <w:szCs w:val="28"/>
        </w:rPr>
        <w:t>екстирпації кіст шиї проводили</w:t>
      </w:r>
      <w:r w:rsidRPr="00CA099F">
        <w:rPr>
          <w:rFonts w:eastAsia="Calibri" w:cs="Calibri"/>
          <w:sz w:val="28"/>
          <w:szCs w:val="28"/>
        </w:rPr>
        <w:t xml:space="preserve"> згідно з протоколом надання хірургічної допо</w:t>
      </w:r>
      <w:r w:rsidR="003A3228">
        <w:rPr>
          <w:rFonts w:eastAsia="Calibri" w:cs="Calibri"/>
          <w:sz w:val="28"/>
          <w:szCs w:val="28"/>
        </w:rPr>
        <w:t>моги</w:t>
      </w:r>
      <w:r w:rsidRPr="00CA099F">
        <w:rPr>
          <w:rFonts w:eastAsia="Calibri" w:cs="Calibri"/>
          <w:sz w:val="28"/>
          <w:szCs w:val="28"/>
        </w:rPr>
        <w:t xml:space="preserve"> під ендотрахеальним наркозом. При оперативному втручанні з приводу серединної кісти</w:t>
      </w:r>
      <w:r w:rsidR="001733E7">
        <w:rPr>
          <w:rFonts w:eastAsia="Calibri" w:cs="Calibri"/>
          <w:sz w:val="28"/>
          <w:szCs w:val="28"/>
        </w:rPr>
        <w:t>, виникає необхідність резекції</w:t>
      </w:r>
      <w:r w:rsidRPr="00CA099F">
        <w:rPr>
          <w:rFonts w:eastAsia="Calibri" w:cs="Calibri"/>
          <w:sz w:val="28"/>
          <w:szCs w:val="28"/>
        </w:rPr>
        <w:t xml:space="preserve"> частини під'язикової кістки, так як </w:t>
      </w:r>
      <w:r w:rsidR="001733E7">
        <w:rPr>
          <w:rFonts w:eastAsia="Calibri" w:cs="Calibri"/>
          <w:sz w:val="28"/>
          <w:szCs w:val="28"/>
        </w:rPr>
        <w:t xml:space="preserve">саме </w:t>
      </w:r>
      <w:r w:rsidRPr="00CA099F">
        <w:rPr>
          <w:rFonts w:eastAsia="Calibri" w:cs="Calibri"/>
          <w:sz w:val="28"/>
          <w:szCs w:val="28"/>
        </w:rPr>
        <w:t xml:space="preserve">через неї проходить тяж від новоутворення. </w:t>
      </w:r>
      <w:r w:rsidR="001733E7">
        <w:rPr>
          <w:rFonts w:eastAsia="Calibri" w:cs="Calibri"/>
          <w:sz w:val="28"/>
          <w:szCs w:val="28"/>
        </w:rPr>
        <w:t>Слід враховувати, що е</w:t>
      </w:r>
      <w:r w:rsidRPr="00CA099F">
        <w:rPr>
          <w:rFonts w:eastAsia="Calibri" w:cs="Calibri"/>
          <w:sz w:val="28"/>
          <w:szCs w:val="28"/>
        </w:rPr>
        <w:t>кстирпація бранхіогенних кіст, м</w:t>
      </w:r>
      <w:r w:rsidR="005C0170">
        <w:rPr>
          <w:rFonts w:eastAsia="Calibri" w:cs="Calibri"/>
          <w:sz w:val="28"/>
          <w:szCs w:val="28"/>
        </w:rPr>
        <w:t>оже ускладнюватися через близьке розташованя</w:t>
      </w:r>
      <w:r w:rsidR="005734C4">
        <w:rPr>
          <w:rFonts w:eastAsia="Calibri" w:cs="Calibri"/>
          <w:sz w:val="28"/>
          <w:szCs w:val="28"/>
        </w:rPr>
        <w:t xml:space="preserve"> до них судин та нервів</w:t>
      </w:r>
      <w:r w:rsidRPr="00CA099F">
        <w:rPr>
          <w:rFonts w:eastAsia="Calibri" w:cs="Calibri"/>
          <w:sz w:val="28"/>
          <w:szCs w:val="28"/>
        </w:rPr>
        <w:t>.</w:t>
      </w:r>
    </w:p>
    <w:p w:rsidR="0030517B" w:rsidRPr="00CA099F" w:rsidRDefault="0030517B" w:rsidP="0030517B">
      <w:pPr>
        <w:spacing w:after="160" w:line="360" w:lineRule="auto"/>
        <w:ind w:firstLine="709"/>
        <w:jc w:val="both"/>
        <w:rPr>
          <w:rFonts w:eastAsia="Calibri" w:cs="Calibri"/>
          <w:sz w:val="28"/>
          <w:szCs w:val="28"/>
        </w:rPr>
      </w:pPr>
      <w:r w:rsidRPr="00CA099F">
        <w:rPr>
          <w:rFonts w:eastAsia="Calibri" w:cs="Calibri"/>
          <w:sz w:val="28"/>
          <w:szCs w:val="28"/>
        </w:rPr>
        <w:t xml:space="preserve">Перед етапом інтубації у пацієнта за допомогою вакутайнера беруть кров у спеціальну </w:t>
      </w:r>
      <w:r w:rsidRPr="00CA099F">
        <w:rPr>
          <w:rFonts w:eastAsia="Calibri" w:cs="Calibri"/>
          <w:sz w:val="28"/>
          <w:szCs w:val="28"/>
          <w:lang w:val="en-US"/>
        </w:rPr>
        <w:t>A</w:t>
      </w:r>
      <w:r w:rsidRPr="00CA099F">
        <w:rPr>
          <w:rFonts w:eastAsia="Calibri" w:cs="Calibri"/>
          <w:sz w:val="28"/>
          <w:szCs w:val="28"/>
          <w:lang w:val="ru-RU"/>
        </w:rPr>
        <w:t>-</w:t>
      </w:r>
      <w:r w:rsidRPr="00CA099F">
        <w:rPr>
          <w:rFonts w:eastAsia="Calibri" w:cs="Calibri"/>
          <w:sz w:val="28"/>
          <w:szCs w:val="28"/>
          <w:lang w:val="en-US"/>
        </w:rPr>
        <w:t>PRF</w:t>
      </w:r>
      <w:r w:rsidRPr="00CA099F">
        <w:rPr>
          <w:rFonts w:eastAsia="Calibri" w:cs="Calibri"/>
          <w:sz w:val="28"/>
          <w:szCs w:val="28"/>
        </w:rPr>
        <w:t xml:space="preserve">пробірку. Яка центрифугується при швидкості 1100 обертів на хвилину протягом 7 хвилин з метою отримання </w:t>
      </w:r>
      <w:r w:rsidRPr="00CA099F">
        <w:rPr>
          <w:rFonts w:eastAsia="Calibri" w:cs="Calibri"/>
          <w:sz w:val="28"/>
          <w:szCs w:val="28"/>
          <w:lang w:val="en-US"/>
        </w:rPr>
        <w:t>PRF</w:t>
      </w:r>
      <w:r w:rsidRPr="00CA099F">
        <w:rPr>
          <w:rFonts w:eastAsia="Calibri" w:cs="Calibri"/>
          <w:sz w:val="28"/>
          <w:szCs w:val="28"/>
        </w:rPr>
        <w:t>-згустку (рис</w:t>
      </w:r>
      <w:r w:rsidR="00E13E6C">
        <w:rPr>
          <w:rFonts w:eastAsia="Calibri" w:cs="Calibri"/>
          <w:sz w:val="28"/>
          <w:szCs w:val="28"/>
        </w:rPr>
        <w:t>. 3.1). Необхідно виготовити що</w:t>
      </w:r>
      <w:r w:rsidRPr="00CA099F">
        <w:rPr>
          <w:rFonts w:eastAsia="Calibri" w:cs="Calibri"/>
          <w:sz w:val="28"/>
          <w:szCs w:val="28"/>
        </w:rPr>
        <w:t>найменше 2 згустка, так як їх введення необхідно, як в глибокі, так і у поверхневі шари ділянки в якій проходить оперативне втручання.</w:t>
      </w:r>
    </w:p>
    <w:p w:rsidR="0030517B" w:rsidRPr="00CA099F" w:rsidRDefault="0030517B" w:rsidP="0030517B">
      <w:pPr>
        <w:spacing w:after="160" w:line="360" w:lineRule="auto"/>
        <w:ind w:firstLine="709"/>
        <w:jc w:val="both"/>
        <w:rPr>
          <w:rFonts w:eastAsia="Calibri" w:cs="Calibri"/>
          <w:sz w:val="28"/>
          <w:szCs w:val="28"/>
        </w:rPr>
      </w:pPr>
      <w:r w:rsidRPr="00CA099F">
        <w:rPr>
          <w:rFonts w:eastAsia="Calibri" w:cs="Calibri"/>
          <w:sz w:val="28"/>
          <w:szCs w:val="28"/>
        </w:rPr>
        <w:t xml:space="preserve">Після отримання згустків вони поміщувалися під прес для отримання </w:t>
      </w:r>
      <w:r w:rsidRPr="00CA099F">
        <w:rPr>
          <w:rFonts w:eastAsia="Calibri" w:cs="Calibri"/>
          <w:sz w:val="28"/>
          <w:szCs w:val="28"/>
          <w:lang w:val="en-US"/>
        </w:rPr>
        <w:t>A</w:t>
      </w:r>
      <w:r w:rsidRPr="00CA099F">
        <w:rPr>
          <w:rFonts w:eastAsia="Calibri" w:cs="Calibri"/>
          <w:sz w:val="28"/>
          <w:szCs w:val="28"/>
        </w:rPr>
        <w:t>-</w:t>
      </w:r>
      <w:r w:rsidRPr="00CA099F">
        <w:rPr>
          <w:rFonts w:eastAsia="Calibri" w:cs="Calibri"/>
          <w:sz w:val="28"/>
          <w:szCs w:val="28"/>
          <w:lang w:val="en-US"/>
        </w:rPr>
        <w:t>PRF</w:t>
      </w:r>
      <w:r w:rsidRPr="00CA099F">
        <w:rPr>
          <w:rFonts w:eastAsia="Calibri" w:cs="Calibri"/>
          <w:sz w:val="28"/>
          <w:szCs w:val="28"/>
        </w:rPr>
        <w:t xml:space="preserve"> мембран та зберігалися до відповідного етапу оперативного втручання. Перша мембрана уводилась в глибокі шари </w:t>
      </w:r>
      <w:r w:rsidR="005734C4">
        <w:rPr>
          <w:rFonts w:eastAsia="Calibri" w:cs="Calibri"/>
          <w:sz w:val="28"/>
          <w:szCs w:val="28"/>
        </w:rPr>
        <w:t>раньового каналу,</w:t>
      </w:r>
      <w:r w:rsidRPr="00CA099F">
        <w:rPr>
          <w:rFonts w:eastAsia="Calibri" w:cs="Calibri"/>
          <w:sz w:val="28"/>
          <w:szCs w:val="28"/>
        </w:rPr>
        <w:t xml:space="preserve"> в залежності від ділянки проведення операції (рис. 3.2). </w:t>
      </w:r>
    </w:p>
    <w:p w:rsidR="0030517B" w:rsidRPr="00CA099F" w:rsidRDefault="0030517B" w:rsidP="0030517B">
      <w:pPr>
        <w:spacing w:after="160" w:line="360" w:lineRule="auto"/>
        <w:jc w:val="both"/>
        <w:rPr>
          <w:rFonts w:eastAsia="Calibri" w:cs="Calibri"/>
          <w:sz w:val="28"/>
          <w:szCs w:val="28"/>
        </w:rPr>
      </w:pPr>
      <w:r w:rsidRPr="00CA099F">
        <w:rPr>
          <w:rFonts w:eastAsia="Calibri" w:cs="Calibri"/>
          <w:noProof/>
          <w:sz w:val="28"/>
          <w:szCs w:val="28"/>
          <w:lang w:val="ru-RU" w:eastAsia="ru-RU"/>
        </w:rPr>
        <w:lastRenderedPageBreak/>
        <w:drawing>
          <wp:anchor distT="0" distB="0" distL="114300" distR="114300" simplePos="0" relativeHeight="251659264" behindDoc="1" locked="0" layoutInCell="1" allowOverlap="1" wp14:anchorId="3C3FC57D" wp14:editId="7588287E">
            <wp:simplePos x="0" y="0"/>
            <wp:positionH relativeFrom="column">
              <wp:posOffset>-3810</wp:posOffset>
            </wp:positionH>
            <wp:positionV relativeFrom="paragraph">
              <wp:posOffset>156210</wp:posOffset>
            </wp:positionV>
            <wp:extent cx="5934075" cy="3962400"/>
            <wp:effectExtent l="0" t="0" r="9525" b="0"/>
            <wp:wrapNone/>
            <wp:docPr id="7" name="Рисунок 7" descr="31 зовнішній вигляд P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1 зовнішній вигляд PR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4075" cy="3962400"/>
                    </a:xfrm>
                    <a:prstGeom prst="rect">
                      <a:avLst/>
                    </a:prstGeom>
                    <a:noFill/>
                  </pic:spPr>
                </pic:pic>
              </a:graphicData>
            </a:graphic>
          </wp:anchor>
        </w:drawing>
      </w: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Рис. 3.1. </w:t>
      </w:r>
      <w:r w:rsidR="005734C4">
        <w:rPr>
          <w:rFonts w:eastAsia="Calibri" w:cs="Calibri"/>
          <w:sz w:val="28"/>
          <w:szCs w:val="28"/>
        </w:rPr>
        <w:t xml:space="preserve">Один із етапів отримання </w:t>
      </w:r>
      <w:r w:rsidRPr="00CA099F">
        <w:rPr>
          <w:rFonts w:eastAsia="Calibri" w:cs="Calibri"/>
          <w:sz w:val="28"/>
          <w:szCs w:val="28"/>
          <w:lang w:val="en-US"/>
        </w:rPr>
        <w:t>PRF</w:t>
      </w:r>
      <w:r w:rsidRPr="00CA099F">
        <w:rPr>
          <w:rFonts w:eastAsia="Calibri" w:cs="Calibri"/>
          <w:sz w:val="28"/>
          <w:szCs w:val="28"/>
        </w:rPr>
        <w:t>-згустку.</w:t>
      </w:r>
    </w:p>
    <w:p w:rsidR="0030517B" w:rsidRPr="00CA099F" w:rsidRDefault="0030517B" w:rsidP="0030517B">
      <w:pPr>
        <w:spacing w:after="160" w:line="360" w:lineRule="auto"/>
        <w:jc w:val="both"/>
        <w:rPr>
          <w:rFonts w:eastAsia="Calibri" w:cs="Calibri"/>
          <w:sz w:val="28"/>
          <w:szCs w:val="28"/>
        </w:rPr>
      </w:pPr>
      <w:r w:rsidRPr="00CA099F">
        <w:rPr>
          <w:rFonts w:eastAsia="Calibri" w:cs="Calibri"/>
          <w:noProof/>
          <w:sz w:val="28"/>
          <w:szCs w:val="28"/>
          <w:lang w:val="ru-RU" w:eastAsia="ru-RU"/>
        </w:rPr>
        <w:drawing>
          <wp:anchor distT="0" distB="0" distL="114300" distR="114300" simplePos="0" relativeHeight="251660288" behindDoc="1" locked="0" layoutInCell="1" allowOverlap="1" wp14:anchorId="0386730C" wp14:editId="57F83DD8">
            <wp:simplePos x="0" y="0"/>
            <wp:positionH relativeFrom="column">
              <wp:posOffset>-3810</wp:posOffset>
            </wp:positionH>
            <wp:positionV relativeFrom="paragraph">
              <wp:posOffset>-5080</wp:posOffset>
            </wp:positionV>
            <wp:extent cx="5934075" cy="3952875"/>
            <wp:effectExtent l="0" t="0" r="9525" b="9525"/>
            <wp:wrapNone/>
            <wp:docPr id="6" name="Рисунок 6" descr="P70303-103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70303-10304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075" cy="3952875"/>
                    </a:xfrm>
                    <a:prstGeom prst="rect">
                      <a:avLst/>
                    </a:prstGeom>
                    <a:noFill/>
                  </pic:spPr>
                </pic:pic>
              </a:graphicData>
            </a:graphic>
          </wp:anchor>
        </w:drawing>
      </w: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Default="003652BC" w:rsidP="0030517B">
      <w:pPr>
        <w:spacing w:after="160" w:line="360" w:lineRule="auto"/>
        <w:ind w:firstLine="708"/>
        <w:jc w:val="both"/>
        <w:rPr>
          <w:rFonts w:eastAsia="Calibri" w:cs="Calibri"/>
          <w:sz w:val="28"/>
          <w:szCs w:val="28"/>
        </w:rPr>
      </w:pPr>
      <w:r>
        <w:rPr>
          <w:rFonts w:eastAsia="Calibri" w:cs="Calibri"/>
          <w:sz w:val="28"/>
          <w:szCs w:val="28"/>
        </w:rPr>
        <w:t>Рис. 3.2 Етапи в</w:t>
      </w:r>
      <w:r w:rsidR="0030517B" w:rsidRPr="00CA099F">
        <w:rPr>
          <w:rFonts w:eastAsia="Calibri" w:cs="Calibri"/>
          <w:sz w:val="28"/>
          <w:szCs w:val="28"/>
        </w:rPr>
        <w:t xml:space="preserve">ведення </w:t>
      </w:r>
      <w:r w:rsidR="0030517B" w:rsidRPr="00CA099F">
        <w:rPr>
          <w:rFonts w:eastAsia="Calibri" w:cs="Calibri"/>
          <w:sz w:val="28"/>
          <w:szCs w:val="28"/>
          <w:lang w:val="en-US"/>
        </w:rPr>
        <w:t>A</w:t>
      </w:r>
      <w:r w:rsidR="0030517B" w:rsidRPr="00CA099F">
        <w:rPr>
          <w:rFonts w:eastAsia="Calibri" w:cs="Calibri"/>
          <w:sz w:val="28"/>
          <w:szCs w:val="28"/>
        </w:rPr>
        <w:t>-</w:t>
      </w:r>
      <w:r w:rsidR="0030517B" w:rsidRPr="00CA099F">
        <w:rPr>
          <w:rFonts w:eastAsia="Calibri" w:cs="Calibri"/>
          <w:sz w:val="28"/>
          <w:szCs w:val="28"/>
          <w:lang w:val="en-US"/>
        </w:rPr>
        <w:t>PRF</w:t>
      </w:r>
      <w:r w:rsidR="0030517B" w:rsidRPr="00CA099F">
        <w:rPr>
          <w:rFonts w:eastAsia="Calibri" w:cs="Calibri"/>
          <w:sz w:val="28"/>
          <w:szCs w:val="28"/>
        </w:rPr>
        <w:t xml:space="preserve"> мембрани в глибокі шари </w:t>
      </w:r>
      <w:r>
        <w:rPr>
          <w:rFonts w:eastAsia="Calibri" w:cs="Calibri"/>
          <w:sz w:val="28"/>
          <w:szCs w:val="28"/>
        </w:rPr>
        <w:t>раньового каналу під час</w:t>
      </w:r>
      <w:r w:rsidR="0030517B" w:rsidRPr="00CA099F">
        <w:rPr>
          <w:rFonts w:eastAsia="Calibri" w:cs="Calibri"/>
          <w:sz w:val="28"/>
          <w:szCs w:val="28"/>
        </w:rPr>
        <w:t xml:space="preserve"> оперативного втручання.</w:t>
      </w:r>
    </w:p>
    <w:p w:rsidR="00666948" w:rsidRPr="00CA099F" w:rsidRDefault="00666948" w:rsidP="00666948">
      <w:pPr>
        <w:spacing w:after="160" w:line="360" w:lineRule="auto"/>
        <w:ind w:firstLine="709"/>
        <w:jc w:val="both"/>
        <w:rPr>
          <w:rFonts w:eastAsia="Calibri" w:cs="Calibri"/>
          <w:sz w:val="28"/>
          <w:szCs w:val="28"/>
        </w:rPr>
      </w:pPr>
      <w:r w:rsidRPr="00CA099F">
        <w:rPr>
          <w:rFonts w:eastAsia="Calibri" w:cs="Calibri"/>
          <w:sz w:val="28"/>
          <w:szCs w:val="28"/>
        </w:rPr>
        <w:lastRenderedPageBreak/>
        <w:t xml:space="preserve">У випадку з серединними кістами </w:t>
      </w:r>
      <w:r>
        <w:rPr>
          <w:rFonts w:eastAsia="Calibri" w:cs="Calibri"/>
          <w:sz w:val="28"/>
          <w:szCs w:val="28"/>
        </w:rPr>
        <w:t>мембрани вводилися в порожнину, що утворювалася після</w:t>
      </w:r>
      <w:r w:rsidRPr="00CA099F">
        <w:rPr>
          <w:rFonts w:eastAsia="Calibri" w:cs="Calibri"/>
          <w:sz w:val="28"/>
          <w:szCs w:val="28"/>
        </w:rPr>
        <w:t xml:space="preserve"> резекції під’язикової кістки, а при екстирпації бічних – в ділянку судинно-нервового пучка шиї, після чого проводилось пошарове ушивання тканин до підшкірно-жирової клітковини. Друга мембрана поміщувалась безпосередньо під гіподерму, після чого відшаровані краї рани наближувалися та ушивалися (рис. 3.3). </w:t>
      </w:r>
    </w:p>
    <w:p w:rsidR="00666948" w:rsidRPr="00CA099F" w:rsidRDefault="00666948" w:rsidP="00666948">
      <w:pPr>
        <w:spacing w:after="160" w:line="360" w:lineRule="auto"/>
        <w:ind w:firstLine="709"/>
        <w:jc w:val="both"/>
        <w:rPr>
          <w:rFonts w:eastAsia="Calibri" w:cs="Calibri"/>
          <w:sz w:val="28"/>
          <w:szCs w:val="28"/>
        </w:rPr>
      </w:pPr>
      <w:r w:rsidRPr="00CA099F">
        <w:rPr>
          <w:rFonts w:eastAsia="Calibri" w:cs="Calibri"/>
          <w:sz w:val="28"/>
          <w:szCs w:val="28"/>
        </w:rPr>
        <w:t xml:space="preserve">Наявність двох отримання </w:t>
      </w:r>
      <w:r w:rsidRPr="00CA099F">
        <w:rPr>
          <w:rFonts w:eastAsia="Calibri" w:cs="Calibri"/>
          <w:sz w:val="28"/>
          <w:szCs w:val="28"/>
          <w:lang w:val="en-US"/>
        </w:rPr>
        <w:t>A</w:t>
      </w:r>
      <w:r w:rsidRPr="00CA099F">
        <w:rPr>
          <w:rFonts w:eastAsia="Calibri" w:cs="Calibri"/>
          <w:sz w:val="28"/>
          <w:szCs w:val="28"/>
        </w:rPr>
        <w:t>-</w:t>
      </w:r>
      <w:r w:rsidRPr="00CA099F">
        <w:rPr>
          <w:rFonts w:eastAsia="Calibri" w:cs="Calibri"/>
          <w:sz w:val="28"/>
          <w:szCs w:val="28"/>
          <w:lang w:val="en-US"/>
        </w:rPr>
        <w:t>PRF</w:t>
      </w:r>
      <w:r w:rsidRPr="00CA099F">
        <w:rPr>
          <w:rFonts w:eastAsia="Calibri" w:cs="Calibri"/>
          <w:sz w:val="28"/>
          <w:szCs w:val="28"/>
        </w:rPr>
        <w:t xml:space="preserve"> мембран пришвидшує мікротромбоцитарний гемостаз та суттєво скорочує терміни ушивання рани.</w:t>
      </w:r>
    </w:p>
    <w:p w:rsidR="00666948" w:rsidRDefault="00666948" w:rsidP="0030517B">
      <w:pPr>
        <w:spacing w:after="160" w:line="360" w:lineRule="auto"/>
        <w:ind w:firstLine="708"/>
        <w:jc w:val="both"/>
        <w:rPr>
          <w:rFonts w:eastAsia="Calibri" w:cs="Calibri"/>
          <w:sz w:val="28"/>
          <w:szCs w:val="28"/>
        </w:rPr>
      </w:pPr>
      <w:r w:rsidRPr="00CA099F">
        <w:rPr>
          <w:rFonts w:eastAsia="Calibri" w:cs="Calibri"/>
          <w:noProof/>
          <w:sz w:val="28"/>
          <w:szCs w:val="28"/>
          <w:lang w:val="ru-RU" w:eastAsia="ru-RU"/>
        </w:rPr>
        <w:drawing>
          <wp:anchor distT="0" distB="0" distL="114300" distR="114300" simplePos="0" relativeHeight="251661312" behindDoc="1" locked="0" layoutInCell="1" allowOverlap="1" wp14:anchorId="732906F5" wp14:editId="07FCEBF4">
            <wp:simplePos x="0" y="0"/>
            <wp:positionH relativeFrom="column">
              <wp:posOffset>-3810</wp:posOffset>
            </wp:positionH>
            <wp:positionV relativeFrom="paragraph">
              <wp:posOffset>-113030</wp:posOffset>
            </wp:positionV>
            <wp:extent cx="5876925" cy="3926205"/>
            <wp:effectExtent l="0" t="0" r="0" b="0"/>
            <wp:wrapNone/>
            <wp:docPr id="5" name="Рисунок 5" descr="PRF В ПОВЕРХНЕВИХ ШАР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F В ПОВЕРХНЕВИХ ШАРАХ"/>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76925" cy="3926205"/>
                    </a:xfrm>
                    <a:prstGeom prst="rect">
                      <a:avLst/>
                    </a:prstGeom>
                    <a:noFill/>
                  </pic:spPr>
                </pic:pic>
              </a:graphicData>
            </a:graphic>
          </wp:anchor>
        </w:drawing>
      </w:r>
    </w:p>
    <w:p w:rsidR="00666948" w:rsidRPr="00CA099F" w:rsidRDefault="00666948" w:rsidP="0030517B">
      <w:pPr>
        <w:spacing w:after="160" w:line="360" w:lineRule="auto"/>
        <w:ind w:firstLine="708"/>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jc w:val="both"/>
        <w:rPr>
          <w:rFonts w:eastAsia="Calibri" w:cs="Calibri"/>
          <w:sz w:val="28"/>
          <w:szCs w:val="28"/>
        </w:rPr>
      </w:pPr>
    </w:p>
    <w:p w:rsidR="0030517B" w:rsidRDefault="003652BC" w:rsidP="0030517B">
      <w:pPr>
        <w:spacing w:after="160" w:line="360" w:lineRule="auto"/>
        <w:ind w:firstLine="708"/>
        <w:jc w:val="both"/>
        <w:rPr>
          <w:rFonts w:eastAsia="Calibri" w:cs="Calibri"/>
          <w:sz w:val="28"/>
          <w:szCs w:val="28"/>
        </w:rPr>
      </w:pPr>
      <w:r>
        <w:rPr>
          <w:rFonts w:eastAsia="Calibri" w:cs="Calibri"/>
          <w:sz w:val="28"/>
          <w:szCs w:val="28"/>
        </w:rPr>
        <w:t>Рис. 3.3 Етапи в</w:t>
      </w:r>
      <w:r w:rsidR="0030517B" w:rsidRPr="00CA099F">
        <w:rPr>
          <w:rFonts w:eastAsia="Calibri" w:cs="Calibri"/>
          <w:sz w:val="28"/>
          <w:szCs w:val="28"/>
        </w:rPr>
        <w:t xml:space="preserve">ведення </w:t>
      </w:r>
      <w:r w:rsidR="0030517B" w:rsidRPr="00CA099F">
        <w:rPr>
          <w:rFonts w:eastAsia="Calibri" w:cs="Calibri"/>
          <w:sz w:val="28"/>
          <w:szCs w:val="28"/>
          <w:lang w:val="en-US"/>
        </w:rPr>
        <w:t>A</w:t>
      </w:r>
      <w:r w:rsidR="0030517B" w:rsidRPr="00CA099F">
        <w:rPr>
          <w:rFonts w:eastAsia="Calibri" w:cs="Calibri"/>
          <w:sz w:val="28"/>
          <w:szCs w:val="28"/>
        </w:rPr>
        <w:t>-</w:t>
      </w:r>
      <w:r w:rsidR="0030517B" w:rsidRPr="00CA099F">
        <w:rPr>
          <w:rFonts w:eastAsia="Calibri" w:cs="Calibri"/>
          <w:sz w:val="28"/>
          <w:szCs w:val="28"/>
          <w:lang w:val="en-US"/>
        </w:rPr>
        <w:t>PRF</w:t>
      </w:r>
      <w:r w:rsidR="0030517B" w:rsidRPr="00CA099F">
        <w:rPr>
          <w:rFonts w:eastAsia="Calibri" w:cs="Calibri"/>
          <w:sz w:val="28"/>
          <w:szCs w:val="28"/>
        </w:rPr>
        <w:t xml:space="preserve"> мембрани в поверхневі шари </w:t>
      </w:r>
      <w:r>
        <w:rPr>
          <w:rFonts w:eastAsia="Calibri" w:cs="Calibri"/>
          <w:sz w:val="28"/>
          <w:szCs w:val="28"/>
        </w:rPr>
        <w:t>раньового каналу під час оперативного втручання.</w:t>
      </w:r>
    </w:p>
    <w:p w:rsidR="00666948" w:rsidRPr="00CA099F" w:rsidRDefault="00666948" w:rsidP="0030517B">
      <w:pPr>
        <w:spacing w:after="160" w:line="360" w:lineRule="auto"/>
        <w:ind w:firstLine="708"/>
        <w:jc w:val="both"/>
        <w:rPr>
          <w:rFonts w:eastAsia="Calibri" w:cs="Calibri"/>
          <w:sz w:val="28"/>
          <w:szCs w:val="28"/>
        </w:rPr>
      </w:pPr>
    </w:p>
    <w:p w:rsidR="0030517B" w:rsidRPr="00CA099F" w:rsidRDefault="0030517B" w:rsidP="0030517B">
      <w:pPr>
        <w:spacing w:after="160" w:line="360" w:lineRule="auto"/>
        <w:ind w:firstLine="709"/>
        <w:jc w:val="both"/>
        <w:rPr>
          <w:rFonts w:eastAsia="Calibri" w:cs="Calibri"/>
          <w:sz w:val="28"/>
          <w:szCs w:val="28"/>
        </w:rPr>
      </w:pPr>
      <w:r w:rsidRPr="00CA099F">
        <w:rPr>
          <w:rFonts w:eastAsia="Calibri" w:cs="Calibri"/>
          <w:sz w:val="28"/>
          <w:szCs w:val="28"/>
        </w:rPr>
        <w:t>Для клінічної оцінки запропонованих інтра- та пост-операційних методів профілактики нами використан</w:t>
      </w:r>
      <w:r w:rsidR="002D5AE2">
        <w:rPr>
          <w:rFonts w:eastAsia="Calibri" w:cs="Calibri"/>
          <w:sz w:val="28"/>
          <w:szCs w:val="28"/>
          <w:lang w:val="ru-RU"/>
        </w:rPr>
        <w:t>а</w:t>
      </w:r>
      <w:r w:rsidRPr="00CA099F">
        <w:rPr>
          <w:rFonts w:eastAsia="Calibri" w:cs="Calibri"/>
          <w:sz w:val="28"/>
          <w:szCs w:val="28"/>
        </w:rPr>
        <w:t xml:space="preserve"> стандартизована схема оцінки якості рубцевозмінених тканин [139, 140]. Ця схема складається з табличних даних </w:t>
      </w:r>
      <w:r w:rsidRPr="00CA099F">
        <w:rPr>
          <w:rFonts w:eastAsia="Calibri" w:cs="Calibri"/>
          <w:sz w:val="28"/>
          <w:szCs w:val="28"/>
        </w:rPr>
        <w:lastRenderedPageBreak/>
        <w:t>що надають візуальну та суб’єктивну характеристику рубця за наступними параметрами:</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П1 – тип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П2 – консистенція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П3 – колір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П4 – чутливість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П5 – площа рубця.</w:t>
      </w:r>
    </w:p>
    <w:p w:rsidR="0030517B" w:rsidRPr="00CA099F" w:rsidRDefault="0030517B" w:rsidP="0030517B">
      <w:pPr>
        <w:spacing w:after="160" w:line="360" w:lineRule="auto"/>
        <w:ind w:firstLine="709"/>
        <w:jc w:val="both"/>
        <w:rPr>
          <w:rFonts w:eastAsia="Calibri" w:cs="Calibri"/>
          <w:sz w:val="28"/>
          <w:szCs w:val="28"/>
        </w:rPr>
      </w:pPr>
      <w:r w:rsidRPr="00CA099F">
        <w:rPr>
          <w:rFonts w:eastAsia="Calibri" w:cs="Calibri"/>
          <w:sz w:val="28"/>
          <w:szCs w:val="28"/>
        </w:rPr>
        <w:t>Після сумування кількості балів за якими оцінювався кожен параметр (див. розділ 2) за їх загальною сумою оцінювалось якість проведеного методу профілактики.</w:t>
      </w:r>
    </w:p>
    <w:p w:rsidR="0030517B" w:rsidRPr="00CA099F" w:rsidRDefault="0030517B" w:rsidP="0030517B">
      <w:pPr>
        <w:spacing w:after="160" w:line="360" w:lineRule="auto"/>
        <w:ind w:left="720"/>
        <w:contextualSpacing/>
        <w:jc w:val="both"/>
        <w:rPr>
          <w:rFonts w:eastAsia="Calibri" w:cs="Calibri"/>
          <w:sz w:val="28"/>
          <w:szCs w:val="28"/>
        </w:rPr>
      </w:pPr>
    </w:p>
    <w:p w:rsidR="0030517B" w:rsidRPr="00CA099F" w:rsidRDefault="0030517B" w:rsidP="0030517B">
      <w:pPr>
        <w:spacing w:after="160" w:line="360" w:lineRule="auto"/>
        <w:jc w:val="both"/>
        <w:rPr>
          <w:rFonts w:eastAsia="Calibri" w:cs="Calibri"/>
          <w:b/>
          <w:sz w:val="28"/>
          <w:szCs w:val="28"/>
        </w:rPr>
      </w:pPr>
      <w:r w:rsidRPr="00CA099F">
        <w:rPr>
          <w:rFonts w:eastAsia="Calibri" w:cs="Calibri"/>
          <w:sz w:val="28"/>
          <w:szCs w:val="28"/>
        </w:rPr>
        <w:tab/>
      </w:r>
      <w:r w:rsidRPr="00CA099F">
        <w:rPr>
          <w:rFonts w:eastAsia="Calibri" w:cs="Calibri"/>
          <w:b/>
          <w:sz w:val="28"/>
          <w:szCs w:val="28"/>
        </w:rPr>
        <w:t>3.2</w:t>
      </w:r>
      <w:r w:rsidR="002D5AE2">
        <w:rPr>
          <w:rFonts w:eastAsia="Calibri" w:cs="Calibri"/>
          <w:b/>
          <w:sz w:val="28"/>
          <w:szCs w:val="28"/>
        </w:rPr>
        <w:t xml:space="preserve"> </w:t>
      </w:r>
      <w:r w:rsidRPr="00CA099F">
        <w:rPr>
          <w:rFonts w:eastAsia="Calibri" w:cs="Calibri"/>
          <w:b/>
          <w:sz w:val="28"/>
          <w:szCs w:val="28"/>
        </w:rPr>
        <w:t>Зміни клінічних показників рубцевозмінених тканин на 3 місяць післяопераційного періоду</w:t>
      </w:r>
    </w:p>
    <w:p w:rsidR="0030517B" w:rsidRPr="007C4300" w:rsidRDefault="0030517B" w:rsidP="0030517B">
      <w:pPr>
        <w:spacing w:after="160" w:line="360" w:lineRule="auto"/>
        <w:jc w:val="both"/>
        <w:rPr>
          <w:rFonts w:eastAsia="Calibri" w:cs="Calibri"/>
          <w:b/>
          <w:sz w:val="28"/>
          <w:szCs w:val="28"/>
        </w:rPr>
      </w:pP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 xml:space="preserve">При вивченні показника П1 – тип рубця у 8 пацієнтів </w:t>
      </w:r>
      <w:r w:rsidR="003652BC" w:rsidRPr="007C4300">
        <w:rPr>
          <w:rFonts w:eastAsia="Calibri" w:cs="Calibri"/>
          <w:sz w:val="28"/>
          <w:szCs w:val="28"/>
        </w:rPr>
        <w:t xml:space="preserve">(40%) </w:t>
      </w:r>
      <w:r w:rsidRPr="007C4300">
        <w:rPr>
          <w:rFonts w:eastAsia="Calibri" w:cs="Calibri"/>
          <w:sz w:val="28"/>
          <w:szCs w:val="28"/>
        </w:rPr>
        <w:t>контрольної групи спостерігався атрофічний рубець, який мав вузликові розростання по периферії, ознаки перетворення на келоїдний рубець було зафіксовано у 2 пацієнтів</w:t>
      </w:r>
      <w:r w:rsidR="003652BC" w:rsidRPr="007C4300">
        <w:rPr>
          <w:rFonts w:eastAsia="Calibri" w:cs="Calibri"/>
          <w:sz w:val="28"/>
          <w:szCs w:val="28"/>
        </w:rPr>
        <w:t xml:space="preserve"> (10%)</w:t>
      </w:r>
      <w:r w:rsidRPr="007C4300">
        <w:rPr>
          <w:rFonts w:eastAsia="Calibri" w:cs="Calibri"/>
          <w:sz w:val="28"/>
          <w:szCs w:val="28"/>
        </w:rPr>
        <w:t xml:space="preserve">. </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У пацієнтів 1-ї групи структура нормотрофічного рубця була зафіксована у 10 пацієнтів</w:t>
      </w:r>
      <w:r w:rsidR="003652BC" w:rsidRPr="007C4300">
        <w:rPr>
          <w:rFonts w:eastAsia="Calibri" w:cs="Calibri"/>
          <w:sz w:val="28"/>
          <w:szCs w:val="28"/>
        </w:rPr>
        <w:t xml:space="preserve"> (50%)</w:t>
      </w:r>
      <w:r w:rsidRPr="007C4300">
        <w:rPr>
          <w:rFonts w:eastAsia="Calibri" w:cs="Calibri"/>
          <w:sz w:val="28"/>
          <w:szCs w:val="28"/>
        </w:rPr>
        <w:t xml:space="preserve">. У 5 пацієнтів </w:t>
      </w:r>
      <w:r w:rsidR="003652BC" w:rsidRPr="007C4300">
        <w:rPr>
          <w:rFonts w:eastAsia="Calibri" w:cs="Calibri"/>
          <w:sz w:val="28"/>
          <w:szCs w:val="28"/>
        </w:rPr>
        <w:t xml:space="preserve">(25%) </w:t>
      </w:r>
      <w:r w:rsidRPr="007C4300">
        <w:rPr>
          <w:rFonts w:eastAsia="Calibri" w:cs="Calibri"/>
          <w:sz w:val="28"/>
          <w:szCs w:val="28"/>
        </w:rPr>
        <w:t>цієї групи нами зафіксовано атрофічні рубцевозмінені тканини (у 3-х пацієнті</w:t>
      </w:r>
      <w:r w:rsidR="00C474A5" w:rsidRPr="007C4300">
        <w:rPr>
          <w:rFonts w:eastAsia="Calibri" w:cs="Calibri"/>
          <w:sz w:val="28"/>
          <w:szCs w:val="28"/>
        </w:rPr>
        <w:t>в</w:t>
      </w:r>
      <w:r w:rsidRPr="007C4300">
        <w:rPr>
          <w:rFonts w:eastAsia="Calibri" w:cs="Calibri"/>
          <w:sz w:val="28"/>
          <w:szCs w:val="28"/>
        </w:rPr>
        <w:t xml:space="preserve"> </w:t>
      </w:r>
      <w:r w:rsidR="007C4300" w:rsidRPr="007C4300">
        <w:rPr>
          <w:rFonts w:eastAsia="Calibri" w:cs="Calibri"/>
          <w:sz w:val="28"/>
          <w:szCs w:val="28"/>
        </w:rPr>
        <w:t xml:space="preserve">(15%) </w:t>
      </w:r>
      <w:r w:rsidRPr="007C4300">
        <w:rPr>
          <w:rFonts w:eastAsia="Calibri" w:cs="Calibri"/>
          <w:sz w:val="28"/>
          <w:szCs w:val="28"/>
        </w:rPr>
        <w:t>з гомогенною структурою). Вірогідність утворення гіпертрофічного рубця спостерігалося у 4 пацієнтів</w:t>
      </w:r>
      <w:r w:rsidR="003652BC" w:rsidRPr="007C4300">
        <w:rPr>
          <w:rFonts w:eastAsia="Calibri" w:cs="Calibri"/>
          <w:sz w:val="28"/>
          <w:szCs w:val="28"/>
        </w:rPr>
        <w:t xml:space="preserve"> (20%) і у 1 (5%) пацієнта виявлені вузликові</w:t>
      </w:r>
      <w:r w:rsidRPr="007C4300">
        <w:rPr>
          <w:rFonts w:eastAsia="Calibri" w:cs="Calibri"/>
          <w:sz w:val="28"/>
          <w:szCs w:val="28"/>
        </w:rPr>
        <w:t xml:space="preserve"> </w:t>
      </w:r>
      <w:r w:rsidR="003652BC" w:rsidRPr="007C4300">
        <w:rPr>
          <w:rFonts w:eastAsia="Calibri" w:cs="Calibri"/>
          <w:sz w:val="28"/>
          <w:szCs w:val="28"/>
        </w:rPr>
        <w:t>розростання</w:t>
      </w:r>
      <w:r w:rsidRPr="007C4300">
        <w:rPr>
          <w:rFonts w:eastAsia="Calibri" w:cs="Calibri"/>
          <w:sz w:val="28"/>
          <w:szCs w:val="28"/>
        </w:rPr>
        <w:t>. Ознак келоїдизації рубцевозмінених тканин нами не виявлено.</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При дослідженні цього показника у пацієнтів 2-ї групи вірогідність утворення нормотрофічного рубця встановлено у 14 пацієнтів</w:t>
      </w:r>
      <w:r w:rsidR="007C4300">
        <w:rPr>
          <w:rFonts w:eastAsia="Calibri" w:cs="Calibri"/>
          <w:sz w:val="28"/>
          <w:szCs w:val="28"/>
          <w:lang w:val="ru-RU"/>
        </w:rPr>
        <w:t xml:space="preserve"> </w:t>
      </w:r>
      <w:r w:rsidR="007C4300" w:rsidRPr="007C4300">
        <w:rPr>
          <w:rFonts w:eastAsia="Calibri" w:cs="Calibri"/>
          <w:sz w:val="28"/>
          <w:szCs w:val="28"/>
        </w:rPr>
        <w:t>(70%)</w:t>
      </w:r>
      <w:r w:rsidRPr="007C4300">
        <w:rPr>
          <w:rFonts w:eastAsia="Calibri" w:cs="Calibri"/>
          <w:sz w:val="28"/>
          <w:szCs w:val="28"/>
        </w:rPr>
        <w:t>. Атрофічні рубцевозмінені тканини нами були зафіксовані у 3 пацієнтів</w:t>
      </w:r>
      <w:r w:rsidR="004778B3" w:rsidRPr="004778B3">
        <w:rPr>
          <w:rFonts w:eastAsia="Calibri" w:cs="Calibri"/>
          <w:sz w:val="28"/>
          <w:szCs w:val="28"/>
        </w:rPr>
        <w:t xml:space="preserve"> </w:t>
      </w:r>
      <w:r w:rsidR="007C4300" w:rsidRPr="007C4300">
        <w:rPr>
          <w:rFonts w:eastAsia="Calibri" w:cs="Calibri"/>
          <w:sz w:val="28"/>
          <w:szCs w:val="28"/>
        </w:rPr>
        <w:t>(15%)</w:t>
      </w:r>
      <w:r w:rsidRPr="007C4300">
        <w:rPr>
          <w:rFonts w:eastAsia="Calibri" w:cs="Calibri"/>
          <w:sz w:val="28"/>
          <w:szCs w:val="28"/>
        </w:rPr>
        <w:t xml:space="preserve">, і лише в 1-ого (5%) з вірогідними вузликовими розростаннями в ділянці </w:t>
      </w:r>
      <w:r w:rsidRPr="007C4300">
        <w:rPr>
          <w:rFonts w:eastAsia="Calibri" w:cs="Calibri"/>
          <w:sz w:val="28"/>
          <w:szCs w:val="28"/>
        </w:rPr>
        <w:lastRenderedPageBreak/>
        <w:t xml:space="preserve">латерального краю рубця. Ознак келоїдизації рубцевозмінених тканин також не виявлено, але при цьому у 2 пацієнтів </w:t>
      </w:r>
      <w:r w:rsidR="007C4300" w:rsidRPr="007C4300">
        <w:rPr>
          <w:rFonts w:eastAsia="Calibri" w:cs="Calibri"/>
          <w:sz w:val="28"/>
          <w:szCs w:val="28"/>
        </w:rPr>
        <w:t xml:space="preserve">(10%) </w:t>
      </w:r>
      <w:r w:rsidRPr="007C4300">
        <w:rPr>
          <w:rFonts w:eastAsia="Calibri" w:cs="Calibri"/>
          <w:sz w:val="28"/>
          <w:szCs w:val="28"/>
        </w:rPr>
        <w:t>встановлено утворення гіпертрофічного рубця.</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 xml:space="preserve">При аналізі якісних змін показника П2 на 3 місяць післяопераційного періоду встановлено що у 8 пацієнтів </w:t>
      </w:r>
      <w:r w:rsidR="004778B3" w:rsidRPr="007C4300">
        <w:rPr>
          <w:rFonts w:eastAsia="Calibri" w:cs="Calibri"/>
          <w:sz w:val="28"/>
          <w:szCs w:val="28"/>
        </w:rPr>
        <w:t xml:space="preserve">(40%) </w:t>
      </w:r>
      <w:r w:rsidRPr="007C4300">
        <w:rPr>
          <w:rFonts w:eastAsia="Calibri" w:cs="Calibri"/>
          <w:sz w:val="28"/>
          <w:szCs w:val="28"/>
        </w:rPr>
        <w:t xml:space="preserve">контрольної групи рубцевозмінені тканини при пальпації визначалися як тканини нормальної консистенції, у 9 пацієнтів </w:t>
      </w:r>
      <w:r w:rsidR="004778B3" w:rsidRPr="007C4300">
        <w:rPr>
          <w:rFonts w:eastAsia="Calibri" w:cs="Calibri"/>
          <w:sz w:val="28"/>
          <w:szCs w:val="28"/>
        </w:rPr>
        <w:t xml:space="preserve">(45%) </w:t>
      </w:r>
      <w:r w:rsidRPr="007C4300">
        <w:rPr>
          <w:rFonts w:eastAsia="Calibri" w:cs="Calibri"/>
          <w:sz w:val="28"/>
          <w:szCs w:val="28"/>
        </w:rPr>
        <w:t xml:space="preserve">спостерігалися ущільнення у центральній зоні рубця, а у 2 (10%) – в зоні медіального краю. У 1-ого пацієнта </w:t>
      </w:r>
      <w:r w:rsidR="004778B3" w:rsidRPr="007C4300">
        <w:rPr>
          <w:rFonts w:eastAsia="Calibri" w:cs="Calibri"/>
          <w:sz w:val="28"/>
          <w:szCs w:val="28"/>
        </w:rPr>
        <w:t xml:space="preserve">(5%) </w:t>
      </w:r>
      <w:r w:rsidRPr="007C4300">
        <w:rPr>
          <w:rFonts w:eastAsia="Calibri" w:cs="Calibri"/>
          <w:sz w:val="28"/>
          <w:szCs w:val="28"/>
        </w:rPr>
        <w:t xml:space="preserve">візуалізовано помірну індурацію в центральній зоні рубця. В 1-ій групі </w:t>
      </w:r>
      <w:r w:rsidR="00D96DA9" w:rsidRPr="007C4300">
        <w:rPr>
          <w:rFonts w:eastAsia="Calibri" w:cs="Calibri"/>
          <w:sz w:val="28"/>
          <w:szCs w:val="28"/>
        </w:rPr>
        <w:t>пацієнтів</w:t>
      </w:r>
      <w:r w:rsidRPr="007C4300">
        <w:rPr>
          <w:rFonts w:eastAsia="Calibri" w:cs="Calibri"/>
          <w:sz w:val="28"/>
          <w:szCs w:val="28"/>
        </w:rPr>
        <w:t xml:space="preserve"> слід відзначити що ознаки нормальної кон</w:t>
      </w:r>
      <w:r w:rsidR="00550434" w:rsidRPr="007C4300">
        <w:rPr>
          <w:rFonts w:eastAsia="Calibri" w:cs="Calibri"/>
          <w:sz w:val="28"/>
          <w:szCs w:val="28"/>
        </w:rPr>
        <w:t xml:space="preserve">систенції рубця відзначалися у </w:t>
      </w:r>
      <w:r w:rsidR="00550434" w:rsidRPr="007C4300">
        <w:rPr>
          <w:rFonts w:eastAsia="Calibri" w:cs="Calibri"/>
          <w:sz w:val="28"/>
          <w:szCs w:val="28"/>
          <w:lang w:val="ru-RU"/>
        </w:rPr>
        <w:t>10</w:t>
      </w:r>
      <w:r w:rsidRPr="007C4300">
        <w:rPr>
          <w:rFonts w:eastAsia="Calibri" w:cs="Calibri"/>
          <w:sz w:val="28"/>
          <w:szCs w:val="28"/>
        </w:rPr>
        <w:t xml:space="preserve"> пацієнтів</w:t>
      </w:r>
      <w:r w:rsidR="004778B3">
        <w:rPr>
          <w:rFonts w:eastAsia="Calibri" w:cs="Calibri"/>
          <w:sz w:val="28"/>
          <w:szCs w:val="28"/>
          <w:lang w:val="ru-RU"/>
        </w:rPr>
        <w:t xml:space="preserve"> </w:t>
      </w:r>
      <w:r w:rsidR="004778B3" w:rsidRPr="007C4300">
        <w:rPr>
          <w:rFonts w:eastAsia="Calibri" w:cs="Calibri"/>
          <w:sz w:val="28"/>
          <w:szCs w:val="28"/>
        </w:rPr>
        <w:t>(5</w:t>
      </w:r>
      <w:r w:rsidR="004778B3" w:rsidRPr="007C4300">
        <w:rPr>
          <w:rFonts w:eastAsia="Calibri" w:cs="Calibri"/>
          <w:sz w:val="28"/>
          <w:szCs w:val="28"/>
          <w:lang w:val="ru-RU"/>
        </w:rPr>
        <w:t>0</w:t>
      </w:r>
      <w:r w:rsidR="004778B3" w:rsidRPr="007C4300">
        <w:rPr>
          <w:rFonts w:eastAsia="Calibri" w:cs="Calibri"/>
          <w:sz w:val="28"/>
          <w:szCs w:val="28"/>
        </w:rPr>
        <w:t>%)</w:t>
      </w:r>
      <w:r w:rsidRPr="007C4300">
        <w:rPr>
          <w:rFonts w:eastAsia="Calibri" w:cs="Calibri"/>
          <w:sz w:val="28"/>
          <w:szCs w:val="28"/>
        </w:rPr>
        <w:t xml:space="preserve">, ущільнення в центральній частині у 8 (40%), а в ділянці дистального краю у 1 </w:t>
      </w:r>
      <w:r w:rsidR="004778B3">
        <w:rPr>
          <w:rFonts w:eastAsia="Calibri" w:cs="Calibri"/>
          <w:sz w:val="28"/>
          <w:szCs w:val="28"/>
          <w:lang w:val="ru-RU"/>
        </w:rPr>
        <w:t xml:space="preserve">пацієнта </w:t>
      </w:r>
      <w:r w:rsidRPr="007C4300">
        <w:rPr>
          <w:rFonts w:eastAsia="Calibri" w:cs="Calibri"/>
          <w:sz w:val="28"/>
          <w:szCs w:val="28"/>
        </w:rPr>
        <w:t xml:space="preserve">(5%). Також в 1 випадку </w:t>
      </w:r>
      <w:r w:rsidR="004778B3" w:rsidRPr="007C4300">
        <w:rPr>
          <w:rFonts w:eastAsia="Calibri" w:cs="Calibri"/>
          <w:sz w:val="28"/>
          <w:szCs w:val="28"/>
        </w:rPr>
        <w:t xml:space="preserve">(5%) </w:t>
      </w:r>
      <w:r w:rsidRPr="007C4300">
        <w:rPr>
          <w:rFonts w:eastAsia="Calibri" w:cs="Calibri"/>
          <w:sz w:val="28"/>
          <w:szCs w:val="28"/>
        </w:rPr>
        <w:t xml:space="preserve">зафіксовано явища індурації в центральній зоні рубця. Нормальна консистенція рубцевозмінених тканин в 2-ій групі відзначалася у 12 </w:t>
      </w:r>
      <w:r w:rsidR="00D96DA9" w:rsidRPr="007C4300">
        <w:rPr>
          <w:rFonts w:eastAsia="Calibri" w:cs="Calibri"/>
          <w:sz w:val="28"/>
          <w:szCs w:val="28"/>
        </w:rPr>
        <w:t>пацієнтів</w:t>
      </w:r>
      <w:r w:rsidR="00BE7808">
        <w:rPr>
          <w:rFonts w:eastAsia="Calibri" w:cs="Calibri"/>
          <w:sz w:val="28"/>
          <w:szCs w:val="28"/>
        </w:rPr>
        <w:t xml:space="preserve"> </w:t>
      </w:r>
      <w:r w:rsidR="00BE7808" w:rsidRPr="007C4300">
        <w:rPr>
          <w:rFonts w:eastAsia="Calibri" w:cs="Calibri"/>
          <w:sz w:val="28"/>
          <w:szCs w:val="28"/>
        </w:rPr>
        <w:t>(60%)</w:t>
      </w:r>
      <w:r w:rsidRPr="007C4300">
        <w:rPr>
          <w:rFonts w:eastAsia="Calibri" w:cs="Calibri"/>
          <w:sz w:val="28"/>
          <w:szCs w:val="28"/>
        </w:rPr>
        <w:t xml:space="preserve">. Слід відмітити той факт що осередки ущільнення в центральній частині рубця відзначалася у 6 пацієнтів </w:t>
      </w:r>
      <w:r w:rsidR="00BE7808" w:rsidRPr="007C4300">
        <w:rPr>
          <w:rFonts w:eastAsia="Calibri" w:cs="Calibri"/>
          <w:sz w:val="28"/>
          <w:szCs w:val="28"/>
        </w:rPr>
        <w:t xml:space="preserve">(30%) </w:t>
      </w:r>
      <w:r w:rsidRPr="007C4300">
        <w:rPr>
          <w:rFonts w:eastAsia="Calibri" w:cs="Calibri"/>
          <w:sz w:val="28"/>
          <w:szCs w:val="28"/>
        </w:rPr>
        <w:t xml:space="preserve">та у </w:t>
      </w:r>
      <w:r w:rsidR="00550434" w:rsidRPr="007C4300">
        <w:rPr>
          <w:rFonts w:eastAsia="Calibri" w:cs="Calibri"/>
          <w:sz w:val="28"/>
          <w:szCs w:val="28"/>
          <w:lang w:val="ru-RU"/>
        </w:rPr>
        <w:t>2</w:t>
      </w:r>
      <w:r w:rsidR="00550434" w:rsidRPr="007C4300">
        <w:rPr>
          <w:rFonts w:eastAsia="Calibri" w:cs="Calibri"/>
          <w:sz w:val="28"/>
          <w:szCs w:val="28"/>
        </w:rPr>
        <w:t xml:space="preserve"> (</w:t>
      </w:r>
      <w:r w:rsidR="00550434" w:rsidRPr="007C4300">
        <w:rPr>
          <w:rFonts w:eastAsia="Calibri" w:cs="Calibri"/>
          <w:sz w:val="28"/>
          <w:szCs w:val="28"/>
          <w:lang w:val="ru-RU"/>
        </w:rPr>
        <w:t>10</w:t>
      </w:r>
      <w:r w:rsidRPr="007C4300">
        <w:rPr>
          <w:rFonts w:eastAsia="Calibri" w:cs="Calibri"/>
          <w:sz w:val="28"/>
          <w:szCs w:val="28"/>
        </w:rPr>
        <w:t>%) - в ділянці медіального краю. Ознак індурації, як в центральній так і в периферичних зонах рубця не спостерігалося.</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 xml:space="preserve">При дослідженні показника П3 на 3 місяць післяопераційного періоду в контрольній групі </w:t>
      </w:r>
      <w:r w:rsidR="00D96DA9" w:rsidRPr="007C4300">
        <w:rPr>
          <w:rFonts w:eastAsia="Calibri" w:cs="Calibri"/>
          <w:sz w:val="28"/>
          <w:szCs w:val="28"/>
        </w:rPr>
        <w:t>пацієнтів</w:t>
      </w:r>
      <w:r w:rsidRPr="007C4300">
        <w:rPr>
          <w:rFonts w:eastAsia="Calibri" w:cs="Calibri"/>
          <w:sz w:val="28"/>
          <w:szCs w:val="28"/>
        </w:rPr>
        <w:t xml:space="preserve"> ознаки здорової шкіри спостерігалися у </w:t>
      </w:r>
      <w:r w:rsidR="00342FEB" w:rsidRPr="007C4300">
        <w:rPr>
          <w:rFonts w:eastAsia="Calibri" w:cs="Calibri"/>
          <w:sz w:val="28"/>
          <w:szCs w:val="28"/>
          <w:lang w:val="ru-RU"/>
        </w:rPr>
        <w:t>6</w:t>
      </w:r>
      <w:r w:rsidRPr="007C4300">
        <w:rPr>
          <w:rFonts w:eastAsia="Calibri" w:cs="Calibri"/>
          <w:sz w:val="28"/>
          <w:szCs w:val="28"/>
        </w:rPr>
        <w:t xml:space="preserve"> пацієнтів</w:t>
      </w:r>
      <w:r w:rsidR="00BE7808">
        <w:rPr>
          <w:rFonts w:eastAsia="Calibri" w:cs="Calibri"/>
          <w:sz w:val="28"/>
          <w:szCs w:val="28"/>
        </w:rPr>
        <w:t xml:space="preserve"> </w:t>
      </w:r>
      <w:r w:rsidR="00BE7808" w:rsidRPr="007C4300">
        <w:rPr>
          <w:rFonts w:eastAsia="Calibri" w:cs="Calibri"/>
          <w:sz w:val="28"/>
          <w:szCs w:val="28"/>
        </w:rPr>
        <w:t>(</w:t>
      </w:r>
      <w:r w:rsidR="00BE7808" w:rsidRPr="007C4300">
        <w:rPr>
          <w:rFonts w:eastAsia="Calibri" w:cs="Calibri"/>
          <w:sz w:val="28"/>
          <w:szCs w:val="28"/>
          <w:lang w:val="ru-RU"/>
        </w:rPr>
        <w:t>30</w:t>
      </w:r>
      <w:r w:rsidR="00BE7808" w:rsidRPr="007C4300">
        <w:rPr>
          <w:rFonts w:eastAsia="Calibri" w:cs="Calibri"/>
          <w:sz w:val="28"/>
          <w:szCs w:val="28"/>
        </w:rPr>
        <w:t>%)</w:t>
      </w:r>
      <w:r w:rsidRPr="007C4300">
        <w:rPr>
          <w:rFonts w:eastAsia="Calibri" w:cs="Calibri"/>
          <w:sz w:val="28"/>
          <w:szCs w:val="28"/>
        </w:rPr>
        <w:t>. Помірна еритема нами візуалізована у 9 пацієнтів</w:t>
      </w:r>
      <w:r w:rsidR="00BE7808">
        <w:rPr>
          <w:rFonts w:eastAsia="Calibri" w:cs="Calibri"/>
          <w:sz w:val="28"/>
          <w:szCs w:val="28"/>
        </w:rPr>
        <w:t xml:space="preserve"> </w:t>
      </w:r>
      <w:r w:rsidR="00BE7808" w:rsidRPr="007C4300">
        <w:rPr>
          <w:rFonts w:eastAsia="Calibri" w:cs="Calibri"/>
          <w:sz w:val="28"/>
          <w:szCs w:val="28"/>
        </w:rPr>
        <w:t>(45%)</w:t>
      </w:r>
      <w:r w:rsidRPr="007C4300">
        <w:rPr>
          <w:rFonts w:eastAsia="Calibri" w:cs="Calibri"/>
          <w:sz w:val="28"/>
          <w:szCs w:val="28"/>
        </w:rPr>
        <w:t>, в 5 (25%) – спостерігалася виражена еритема.</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 xml:space="preserve">В 1-ій групі </w:t>
      </w:r>
      <w:r w:rsidR="00D96DA9" w:rsidRPr="007C4300">
        <w:rPr>
          <w:rFonts w:eastAsia="Calibri" w:cs="Calibri"/>
          <w:sz w:val="28"/>
          <w:szCs w:val="28"/>
        </w:rPr>
        <w:t>пацієнтів</w:t>
      </w:r>
      <w:r w:rsidR="00C4351D" w:rsidRPr="007C4300">
        <w:rPr>
          <w:rFonts w:eastAsia="Calibri" w:cs="Calibri"/>
          <w:sz w:val="28"/>
          <w:szCs w:val="28"/>
        </w:rPr>
        <w:t xml:space="preserve"> у 8</w:t>
      </w:r>
      <w:r w:rsidRPr="007C4300">
        <w:rPr>
          <w:rFonts w:eastAsia="Calibri" w:cs="Calibri"/>
          <w:sz w:val="28"/>
          <w:szCs w:val="28"/>
        </w:rPr>
        <w:t xml:space="preserve"> випадках </w:t>
      </w:r>
      <w:r w:rsidR="00C4351D" w:rsidRPr="007C4300">
        <w:rPr>
          <w:rFonts w:eastAsia="Calibri" w:cs="Calibri"/>
          <w:sz w:val="28"/>
          <w:szCs w:val="28"/>
        </w:rPr>
        <w:t xml:space="preserve">(40%) </w:t>
      </w:r>
      <w:r w:rsidRPr="007C4300">
        <w:rPr>
          <w:rFonts w:eastAsia="Calibri" w:cs="Calibri"/>
          <w:sz w:val="28"/>
          <w:szCs w:val="28"/>
        </w:rPr>
        <w:t>нами зафіксовано ознаки здорової шкіри</w:t>
      </w:r>
      <w:r w:rsidR="00C4351D" w:rsidRPr="007C4300">
        <w:rPr>
          <w:rFonts w:eastAsia="Calibri" w:cs="Calibri"/>
          <w:sz w:val="28"/>
          <w:szCs w:val="28"/>
        </w:rPr>
        <w:t>,</w:t>
      </w:r>
      <w:r w:rsidRPr="007C4300">
        <w:rPr>
          <w:rFonts w:eastAsia="Calibri" w:cs="Calibri"/>
          <w:sz w:val="28"/>
          <w:szCs w:val="28"/>
        </w:rPr>
        <w:t xml:space="preserve"> з візуалізацією помірної еритеми у 8 (40%) та вираженої – у 4 пацієнтів</w:t>
      </w:r>
      <w:r w:rsidR="00C4351D" w:rsidRPr="007C4300">
        <w:rPr>
          <w:rFonts w:eastAsia="Calibri" w:cs="Calibri"/>
          <w:sz w:val="28"/>
          <w:szCs w:val="28"/>
        </w:rPr>
        <w:t xml:space="preserve"> (20%)</w:t>
      </w:r>
      <w:r w:rsidRPr="007C4300">
        <w:rPr>
          <w:rFonts w:eastAsia="Calibri" w:cs="Calibri"/>
          <w:sz w:val="28"/>
          <w:szCs w:val="28"/>
        </w:rPr>
        <w:t>.</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В 2-ій групі близький до норми стан шкіри нами зафіксовано в 11 випадках</w:t>
      </w:r>
      <w:r w:rsidR="00BE7808">
        <w:rPr>
          <w:rFonts w:eastAsia="Calibri" w:cs="Calibri"/>
          <w:sz w:val="28"/>
          <w:szCs w:val="28"/>
        </w:rPr>
        <w:t xml:space="preserve"> </w:t>
      </w:r>
      <w:r w:rsidR="00BE7808" w:rsidRPr="007C4300">
        <w:rPr>
          <w:rFonts w:eastAsia="Calibri" w:cs="Calibri"/>
          <w:sz w:val="28"/>
          <w:szCs w:val="28"/>
        </w:rPr>
        <w:t>(55%.)</w:t>
      </w:r>
      <w:r w:rsidRPr="007C4300">
        <w:rPr>
          <w:rFonts w:eastAsia="Calibri" w:cs="Calibri"/>
          <w:sz w:val="28"/>
          <w:szCs w:val="28"/>
        </w:rPr>
        <w:t xml:space="preserve">. У 7 пацієнтів </w:t>
      </w:r>
      <w:r w:rsidR="00BE7808" w:rsidRPr="007C4300">
        <w:rPr>
          <w:rFonts w:eastAsia="Calibri" w:cs="Calibri"/>
          <w:sz w:val="28"/>
          <w:szCs w:val="28"/>
        </w:rPr>
        <w:t xml:space="preserve">(35%) </w:t>
      </w:r>
      <w:r w:rsidRPr="007C4300">
        <w:rPr>
          <w:rFonts w:eastAsia="Calibri" w:cs="Calibri"/>
          <w:sz w:val="28"/>
          <w:szCs w:val="28"/>
        </w:rPr>
        <w:t>нами встановлено ознаки помірної еритеми, ознаки вираженої зафіксовано у 2 пацієнтів</w:t>
      </w:r>
      <w:r w:rsidR="00BE7808">
        <w:rPr>
          <w:rFonts w:eastAsia="Calibri" w:cs="Calibri"/>
          <w:sz w:val="28"/>
          <w:szCs w:val="28"/>
        </w:rPr>
        <w:t xml:space="preserve"> </w:t>
      </w:r>
      <w:r w:rsidR="00BE7808" w:rsidRPr="007C4300">
        <w:rPr>
          <w:rFonts w:eastAsia="Calibri" w:cs="Calibri"/>
          <w:sz w:val="28"/>
          <w:szCs w:val="28"/>
        </w:rPr>
        <w:t>(10%)</w:t>
      </w:r>
      <w:r w:rsidRPr="007C4300">
        <w:rPr>
          <w:rFonts w:eastAsia="Calibri" w:cs="Calibri"/>
          <w:sz w:val="28"/>
          <w:szCs w:val="28"/>
        </w:rPr>
        <w:t>.</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lastRenderedPageBreak/>
        <w:t>Аналіз характеру зміни параметрів утворення рубцевозмінених тканин за даними показника П4 встановив, що в контрольній групі на 3 місяць післяопераційного періоду стан напруженості рубця пацієнти відмічали у 13 випадках</w:t>
      </w:r>
      <w:r w:rsidR="006147E7" w:rsidRPr="007C4300">
        <w:rPr>
          <w:rFonts w:eastAsia="Calibri" w:cs="Calibri"/>
          <w:sz w:val="28"/>
          <w:szCs w:val="28"/>
        </w:rPr>
        <w:t xml:space="preserve"> (65%)</w:t>
      </w:r>
      <w:r w:rsidRPr="007C4300">
        <w:rPr>
          <w:rFonts w:eastAsia="Calibri" w:cs="Calibri"/>
          <w:sz w:val="28"/>
          <w:szCs w:val="28"/>
        </w:rPr>
        <w:t>. 5 пацієнтів</w:t>
      </w:r>
      <w:r w:rsidR="006147E7" w:rsidRPr="007C4300">
        <w:rPr>
          <w:rFonts w:eastAsia="Calibri" w:cs="Calibri"/>
          <w:sz w:val="28"/>
          <w:szCs w:val="28"/>
        </w:rPr>
        <w:t xml:space="preserve"> (25%) </w:t>
      </w:r>
      <w:r w:rsidRPr="007C4300">
        <w:rPr>
          <w:rFonts w:eastAsia="Calibri" w:cs="Calibri"/>
          <w:sz w:val="28"/>
          <w:szCs w:val="28"/>
        </w:rPr>
        <w:t xml:space="preserve">скаржилися на свербіж, 2 (10%) – на біль. Скарги на печію не відзначалися. В 1 групі </w:t>
      </w:r>
      <w:r w:rsidR="00D96DA9" w:rsidRPr="007C4300">
        <w:rPr>
          <w:rFonts w:eastAsia="Calibri" w:cs="Calibri"/>
          <w:sz w:val="28"/>
          <w:szCs w:val="28"/>
        </w:rPr>
        <w:t>пацієнтів</w:t>
      </w:r>
      <w:r w:rsidRPr="007C4300">
        <w:rPr>
          <w:rFonts w:eastAsia="Calibri" w:cs="Calibri"/>
          <w:sz w:val="28"/>
          <w:szCs w:val="28"/>
        </w:rPr>
        <w:t xml:space="preserve"> ознаки напруженості рубця відмічено в 11 випадках</w:t>
      </w:r>
      <w:r w:rsidR="006F583B">
        <w:rPr>
          <w:rFonts w:eastAsia="Calibri" w:cs="Calibri"/>
          <w:sz w:val="28"/>
          <w:szCs w:val="28"/>
        </w:rPr>
        <w:t xml:space="preserve"> </w:t>
      </w:r>
      <w:r w:rsidR="006F583B" w:rsidRPr="007C4300">
        <w:rPr>
          <w:rFonts w:eastAsia="Calibri" w:cs="Calibri"/>
          <w:sz w:val="28"/>
          <w:szCs w:val="28"/>
        </w:rPr>
        <w:t>(55%)</w:t>
      </w:r>
      <w:r w:rsidRPr="007C4300">
        <w:rPr>
          <w:rFonts w:eastAsia="Calibri" w:cs="Calibri"/>
          <w:sz w:val="28"/>
          <w:szCs w:val="28"/>
        </w:rPr>
        <w:t xml:space="preserve">, свербіж відзначався у 4 пацієнтів </w:t>
      </w:r>
      <w:r w:rsidR="006F583B" w:rsidRPr="007C4300">
        <w:rPr>
          <w:rFonts w:eastAsia="Calibri" w:cs="Calibri"/>
          <w:sz w:val="28"/>
          <w:szCs w:val="28"/>
        </w:rPr>
        <w:t xml:space="preserve">(20%) </w:t>
      </w:r>
      <w:r w:rsidRPr="007C4300">
        <w:rPr>
          <w:rFonts w:eastAsia="Calibri" w:cs="Calibri"/>
          <w:sz w:val="28"/>
          <w:szCs w:val="28"/>
        </w:rPr>
        <w:t xml:space="preserve">та 1 (5%) відзначав печію. Скарги на біль хворі заперечували. В 2-ій групі на напруженість рубця скаржилося 6 </w:t>
      </w:r>
      <w:r w:rsidR="00D96DA9" w:rsidRPr="007C4300">
        <w:rPr>
          <w:rFonts w:eastAsia="Calibri" w:cs="Calibri"/>
          <w:sz w:val="28"/>
          <w:szCs w:val="28"/>
        </w:rPr>
        <w:t>пацієнтів</w:t>
      </w:r>
      <w:r w:rsidR="006F583B">
        <w:rPr>
          <w:rFonts w:eastAsia="Calibri" w:cs="Calibri"/>
          <w:sz w:val="28"/>
          <w:szCs w:val="28"/>
        </w:rPr>
        <w:t xml:space="preserve"> </w:t>
      </w:r>
      <w:r w:rsidR="006F583B" w:rsidRPr="007C4300">
        <w:rPr>
          <w:rFonts w:eastAsia="Calibri" w:cs="Calibri"/>
          <w:sz w:val="28"/>
          <w:szCs w:val="28"/>
        </w:rPr>
        <w:t>(30%)</w:t>
      </w:r>
      <w:r w:rsidRPr="007C4300">
        <w:rPr>
          <w:rFonts w:eastAsia="Calibri" w:cs="Calibri"/>
          <w:sz w:val="28"/>
          <w:szCs w:val="28"/>
        </w:rPr>
        <w:t>, свербіж був виявлений у 3 пацієнтів</w:t>
      </w:r>
      <w:r w:rsidR="006F583B">
        <w:rPr>
          <w:rFonts w:eastAsia="Calibri" w:cs="Calibri"/>
          <w:sz w:val="28"/>
          <w:szCs w:val="28"/>
        </w:rPr>
        <w:t xml:space="preserve"> </w:t>
      </w:r>
      <w:r w:rsidR="006F583B" w:rsidRPr="007C4300">
        <w:rPr>
          <w:rFonts w:eastAsia="Calibri" w:cs="Calibri"/>
          <w:sz w:val="28"/>
          <w:szCs w:val="28"/>
        </w:rPr>
        <w:t>(15%)</w:t>
      </w:r>
      <w:r w:rsidRPr="007C4300">
        <w:rPr>
          <w:rFonts w:eastAsia="Calibri" w:cs="Calibri"/>
          <w:sz w:val="28"/>
          <w:szCs w:val="28"/>
        </w:rPr>
        <w:t>, скарг на біль та печію не відзначалося.</w:t>
      </w:r>
    </w:p>
    <w:p w:rsidR="0030517B" w:rsidRPr="007C4300" w:rsidRDefault="0030517B" w:rsidP="0030517B">
      <w:pPr>
        <w:spacing w:after="160" w:line="360" w:lineRule="auto"/>
        <w:ind w:firstLine="708"/>
        <w:jc w:val="both"/>
        <w:rPr>
          <w:rFonts w:eastAsia="Calibri" w:cs="Calibri"/>
          <w:sz w:val="28"/>
          <w:szCs w:val="28"/>
        </w:rPr>
      </w:pPr>
      <w:r w:rsidRPr="007C4300">
        <w:rPr>
          <w:rFonts w:eastAsia="Calibri" w:cs="Calibri"/>
          <w:sz w:val="28"/>
          <w:szCs w:val="28"/>
        </w:rPr>
        <w:t>При аналізі даних щодо змін показника П5 встановлено, що на 3 місяць післяопераційного періоду в контрольній групі ознака малої площі була виявлена у 13 пацієнтів</w:t>
      </w:r>
      <w:r w:rsidR="006F583B">
        <w:rPr>
          <w:rFonts w:eastAsia="Calibri" w:cs="Calibri"/>
          <w:sz w:val="28"/>
          <w:szCs w:val="28"/>
        </w:rPr>
        <w:t xml:space="preserve"> </w:t>
      </w:r>
      <w:r w:rsidR="006F583B" w:rsidRPr="007C4300">
        <w:rPr>
          <w:rFonts w:eastAsia="Calibri" w:cs="Calibri"/>
          <w:sz w:val="28"/>
          <w:szCs w:val="28"/>
        </w:rPr>
        <w:t>(65%)</w:t>
      </w:r>
      <w:r w:rsidRPr="007C4300">
        <w:rPr>
          <w:rFonts w:eastAsia="Calibri" w:cs="Calibri"/>
          <w:sz w:val="28"/>
          <w:szCs w:val="28"/>
        </w:rPr>
        <w:t xml:space="preserve">. У 4 </w:t>
      </w:r>
      <w:r w:rsidR="00D96DA9" w:rsidRPr="007C4300">
        <w:rPr>
          <w:rFonts w:eastAsia="Calibri" w:cs="Calibri"/>
          <w:sz w:val="28"/>
          <w:szCs w:val="28"/>
        </w:rPr>
        <w:t>пацієнтів</w:t>
      </w:r>
      <w:r w:rsidRPr="007C4300">
        <w:rPr>
          <w:rFonts w:eastAsia="Calibri" w:cs="Calibri"/>
          <w:sz w:val="28"/>
          <w:szCs w:val="28"/>
        </w:rPr>
        <w:t xml:space="preserve"> </w:t>
      </w:r>
      <w:r w:rsidR="006F583B" w:rsidRPr="007C4300">
        <w:rPr>
          <w:rFonts w:eastAsia="Calibri" w:cs="Calibri"/>
          <w:sz w:val="28"/>
          <w:szCs w:val="28"/>
        </w:rPr>
        <w:t xml:space="preserve">(20%) </w:t>
      </w:r>
      <w:r w:rsidRPr="007C4300">
        <w:rPr>
          <w:rFonts w:eastAsia="Calibri" w:cs="Calibri"/>
          <w:sz w:val="28"/>
          <w:szCs w:val="28"/>
        </w:rPr>
        <w:t>середня площа не перевищувала 9,7 мм</w:t>
      </w:r>
      <w:r w:rsidRPr="007C4300">
        <w:rPr>
          <w:rFonts w:eastAsia="Calibri" w:cs="Calibri"/>
          <w:sz w:val="28"/>
          <w:szCs w:val="28"/>
          <w:vertAlign w:val="superscript"/>
        </w:rPr>
        <w:t>2</w:t>
      </w:r>
      <w:r w:rsidRPr="007C4300">
        <w:rPr>
          <w:rFonts w:eastAsia="Calibri" w:cs="Calibri"/>
          <w:sz w:val="28"/>
          <w:szCs w:val="28"/>
        </w:rPr>
        <w:t xml:space="preserve"> . У 3 пацієнтів </w:t>
      </w:r>
      <w:r w:rsidR="006F583B" w:rsidRPr="007C4300">
        <w:rPr>
          <w:rFonts w:eastAsia="Calibri" w:cs="Calibri"/>
          <w:sz w:val="28"/>
          <w:szCs w:val="28"/>
        </w:rPr>
        <w:t xml:space="preserve">(15%) </w:t>
      </w:r>
      <w:r w:rsidRPr="007C4300">
        <w:rPr>
          <w:rFonts w:eastAsia="Calibri" w:cs="Calibri"/>
          <w:sz w:val="28"/>
          <w:szCs w:val="28"/>
        </w:rPr>
        <w:t xml:space="preserve">була відмічена велика площа рубцевозмінених тканин. У </w:t>
      </w:r>
      <w:r w:rsidR="00D96DA9" w:rsidRPr="007C4300">
        <w:rPr>
          <w:rFonts w:eastAsia="Calibri" w:cs="Calibri"/>
          <w:sz w:val="28"/>
          <w:szCs w:val="28"/>
        </w:rPr>
        <w:t>пацієнтів</w:t>
      </w:r>
      <w:r w:rsidRPr="007C4300">
        <w:rPr>
          <w:rFonts w:eastAsia="Calibri" w:cs="Calibri"/>
          <w:sz w:val="28"/>
          <w:szCs w:val="28"/>
        </w:rPr>
        <w:t xml:space="preserve"> 1 групи ознака малої площі складала 16 пацієнтів</w:t>
      </w:r>
      <w:r w:rsidR="006147E7" w:rsidRPr="007C4300">
        <w:rPr>
          <w:rFonts w:eastAsia="Calibri" w:cs="Calibri"/>
          <w:sz w:val="28"/>
          <w:szCs w:val="28"/>
        </w:rPr>
        <w:t xml:space="preserve"> (80%)</w:t>
      </w:r>
      <w:r w:rsidRPr="007C4300">
        <w:rPr>
          <w:rFonts w:eastAsia="Calibri" w:cs="Calibri"/>
          <w:sz w:val="28"/>
          <w:szCs w:val="28"/>
        </w:rPr>
        <w:t xml:space="preserve">, середня площа була зафіксована у 3 </w:t>
      </w:r>
      <w:r w:rsidR="00D96DA9" w:rsidRPr="007C4300">
        <w:rPr>
          <w:rFonts w:eastAsia="Calibri" w:cs="Calibri"/>
          <w:sz w:val="28"/>
          <w:szCs w:val="28"/>
        </w:rPr>
        <w:t>пацієнтів</w:t>
      </w:r>
      <w:r w:rsidRPr="007C4300">
        <w:rPr>
          <w:rFonts w:eastAsia="Calibri" w:cs="Calibri"/>
          <w:sz w:val="28"/>
          <w:szCs w:val="28"/>
        </w:rPr>
        <w:t xml:space="preserve"> </w:t>
      </w:r>
      <w:r w:rsidR="00B86260" w:rsidRPr="007C4300">
        <w:rPr>
          <w:rFonts w:eastAsia="Calibri" w:cs="Calibri"/>
          <w:sz w:val="28"/>
          <w:szCs w:val="28"/>
        </w:rPr>
        <w:t xml:space="preserve">(15%) </w:t>
      </w:r>
      <w:r w:rsidRPr="007C4300">
        <w:rPr>
          <w:rFonts w:eastAsia="Calibri" w:cs="Calibri"/>
          <w:sz w:val="28"/>
          <w:szCs w:val="28"/>
        </w:rPr>
        <w:t>(не перевищувала 9,2 мм</w:t>
      </w:r>
      <w:r w:rsidRPr="007C4300">
        <w:rPr>
          <w:rFonts w:eastAsia="Calibri" w:cs="Calibri"/>
          <w:sz w:val="28"/>
          <w:szCs w:val="28"/>
          <w:vertAlign w:val="superscript"/>
        </w:rPr>
        <w:t>2</w:t>
      </w:r>
      <w:r w:rsidRPr="007C4300">
        <w:rPr>
          <w:rFonts w:eastAsia="Calibri" w:cs="Calibri"/>
          <w:sz w:val="28"/>
          <w:szCs w:val="28"/>
        </w:rPr>
        <w:t xml:space="preserve">) та у 1 </w:t>
      </w:r>
      <w:r w:rsidR="006147E7" w:rsidRPr="007C4300">
        <w:rPr>
          <w:rFonts w:eastAsia="Calibri" w:cs="Calibri"/>
          <w:sz w:val="28"/>
          <w:szCs w:val="28"/>
        </w:rPr>
        <w:t>пацієнтіа (5%)</w:t>
      </w:r>
      <w:r w:rsidRPr="007C4300">
        <w:rPr>
          <w:rFonts w:eastAsia="Calibri" w:cs="Calibri"/>
          <w:sz w:val="28"/>
          <w:szCs w:val="28"/>
        </w:rPr>
        <w:t xml:space="preserve"> була відмічена велика площа. В 2 групі пацієнтів ознака малої площі складала 17 пацієнтів</w:t>
      </w:r>
      <w:r w:rsidR="00B86260" w:rsidRPr="007C4300">
        <w:rPr>
          <w:rFonts w:eastAsia="Calibri" w:cs="Calibri"/>
          <w:sz w:val="28"/>
          <w:szCs w:val="28"/>
        </w:rPr>
        <w:t xml:space="preserve"> (85%)</w:t>
      </w:r>
      <w:r w:rsidRPr="007C4300">
        <w:rPr>
          <w:rFonts w:eastAsia="Calibri" w:cs="Calibri"/>
          <w:sz w:val="28"/>
          <w:szCs w:val="28"/>
        </w:rPr>
        <w:t xml:space="preserve">, у 3 (15%) </w:t>
      </w:r>
      <w:r w:rsidR="00B86260" w:rsidRPr="007C4300">
        <w:rPr>
          <w:rFonts w:eastAsia="Calibri" w:cs="Calibri"/>
          <w:sz w:val="28"/>
          <w:szCs w:val="28"/>
        </w:rPr>
        <w:t xml:space="preserve">– </w:t>
      </w:r>
      <w:r w:rsidRPr="007C4300">
        <w:rPr>
          <w:rFonts w:eastAsia="Calibri" w:cs="Calibri"/>
          <w:sz w:val="28"/>
          <w:szCs w:val="28"/>
        </w:rPr>
        <w:t>були зафіксовані дані щодо середньої площі яка не перевищувала 8,8 мм</w:t>
      </w:r>
      <w:r w:rsidRPr="007C4300">
        <w:rPr>
          <w:rFonts w:eastAsia="Calibri" w:cs="Calibri"/>
          <w:sz w:val="28"/>
          <w:szCs w:val="28"/>
          <w:vertAlign w:val="superscript"/>
        </w:rPr>
        <w:t>2</w:t>
      </w:r>
      <w:r w:rsidRPr="007C4300">
        <w:rPr>
          <w:rFonts w:eastAsia="Calibri" w:cs="Calibri"/>
          <w:sz w:val="28"/>
          <w:szCs w:val="28"/>
        </w:rPr>
        <w:t>. Ознак великої площі рубцевозмінених тканин нами не зафіксовано.</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Аналіз динаміки змін температури рубцевозмінених тканин шкіри встановив, що на 3 місяць досліджень середня температура в центральній частині рубця в контрольній групі складала 24,9</w:t>
      </w:r>
      <w:r w:rsidRPr="00CA099F">
        <w:rPr>
          <w:rFonts w:eastAsia="Calibri" w:cs="Times New Roman"/>
          <w:sz w:val="28"/>
          <w:szCs w:val="28"/>
        </w:rPr>
        <w:t>±</w:t>
      </w:r>
      <w:r w:rsidRPr="00CA099F">
        <w:rPr>
          <w:rFonts w:eastAsia="Calibri" w:cs="Calibri"/>
          <w:sz w:val="28"/>
          <w:szCs w:val="28"/>
        </w:rPr>
        <w:t>0,7</w:t>
      </w:r>
      <w:r w:rsidRPr="00CA099F">
        <w:rPr>
          <w:rFonts w:eastAsia="Calibri" w:cs="Times New Roman"/>
          <w:sz w:val="28"/>
          <w:szCs w:val="28"/>
        </w:rPr>
        <w:t xml:space="preserve">° </w:t>
      </w:r>
      <w:r w:rsidRPr="00CA099F">
        <w:rPr>
          <w:rFonts w:eastAsia="Calibri" w:cs="Calibri"/>
          <w:sz w:val="28"/>
          <w:szCs w:val="28"/>
        </w:rPr>
        <w:t>С. Дещо вища температура зафіксована в периферичних краях: у медіальному - 29,8</w:t>
      </w:r>
      <w:r w:rsidRPr="00CA099F">
        <w:rPr>
          <w:rFonts w:eastAsia="Calibri" w:cs="Times New Roman"/>
          <w:sz w:val="28"/>
          <w:szCs w:val="28"/>
        </w:rPr>
        <w:t>±</w:t>
      </w:r>
      <w:r w:rsidRPr="00CA099F">
        <w:rPr>
          <w:rFonts w:eastAsia="Calibri" w:cs="Calibri"/>
          <w:sz w:val="28"/>
          <w:szCs w:val="28"/>
        </w:rPr>
        <w:t>0,9</w:t>
      </w:r>
      <w:r w:rsidRPr="00CA099F">
        <w:rPr>
          <w:rFonts w:eastAsia="Calibri" w:cs="Times New Roman"/>
          <w:sz w:val="28"/>
          <w:szCs w:val="28"/>
        </w:rPr>
        <w:t xml:space="preserve">° </w:t>
      </w:r>
      <w:r w:rsidRPr="00CA099F">
        <w:rPr>
          <w:rFonts w:eastAsia="Calibri" w:cs="Calibri"/>
          <w:sz w:val="28"/>
          <w:szCs w:val="28"/>
        </w:rPr>
        <w:t>С та в латеральному - 28,7</w:t>
      </w:r>
      <w:r w:rsidRPr="00CA099F">
        <w:rPr>
          <w:rFonts w:eastAsia="Calibri" w:cs="Times New Roman"/>
          <w:sz w:val="28"/>
          <w:szCs w:val="28"/>
        </w:rPr>
        <w:t>±</w:t>
      </w:r>
      <w:r w:rsidRPr="00CA099F">
        <w:rPr>
          <w:rFonts w:eastAsia="Calibri" w:cs="Calibri"/>
          <w:sz w:val="28"/>
          <w:szCs w:val="28"/>
        </w:rPr>
        <w:t>1,3</w:t>
      </w:r>
      <w:r w:rsidRPr="00CA099F">
        <w:rPr>
          <w:rFonts w:eastAsia="Calibri" w:cs="Times New Roman"/>
          <w:sz w:val="28"/>
          <w:szCs w:val="28"/>
        </w:rPr>
        <w:t xml:space="preserve">° </w:t>
      </w:r>
      <w:r w:rsidRPr="00CA099F">
        <w:rPr>
          <w:rFonts w:eastAsia="Calibri" w:cs="Calibri"/>
          <w:sz w:val="28"/>
          <w:szCs w:val="28"/>
        </w:rPr>
        <w:t>С. В 1 групі різниця в діапазоні середніх темпе</w:t>
      </w:r>
      <w:r w:rsidR="00C12C89">
        <w:rPr>
          <w:rFonts w:eastAsia="Calibri" w:cs="Calibri"/>
          <w:sz w:val="28"/>
          <w:szCs w:val="28"/>
        </w:rPr>
        <w:t>ратур суттєво не відрізнялася. У</w:t>
      </w:r>
      <w:r w:rsidRPr="00CA099F">
        <w:rPr>
          <w:rFonts w:eastAsia="Calibri" w:cs="Calibri"/>
          <w:sz w:val="28"/>
          <w:szCs w:val="28"/>
        </w:rPr>
        <w:t xml:space="preserve"> центрі рубця вона фіксувалася найнижчою та становила 25,6</w:t>
      </w:r>
      <w:r w:rsidRPr="00CA099F">
        <w:rPr>
          <w:rFonts w:eastAsia="Calibri" w:cs="Times New Roman"/>
          <w:sz w:val="28"/>
          <w:szCs w:val="28"/>
        </w:rPr>
        <w:t>±</w:t>
      </w:r>
      <w:r w:rsidRPr="00CA099F">
        <w:rPr>
          <w:rFonts w:eastAsia="Calibri" w:cs="Calibri"/>
          <w:sz w:val="28"/>
          <w:szCs w:val="28"/>
        </w:rPr>
        <w:t>0,9</w:t>
      </w:r>
      <w:r w:rsidRPr="00CA099F">
        <w:rPr>
          <w:rFonts w:eastAsia="Calibri" w:cs="Times New Roman"/>
          <w:sz w:val="28"/>
          <w:szCs w:val="28"/>
        </w:rPr>
        <w:t xml:space="preserve">° </w:t>
      </w:r>
      <w:r w:rsidRPr="00CA099F">
        <w:rPr>
          <w:rFonts w:eastAsia="Calibri" w:cs="Calibri"/>
          <w:sz w:val="28"/>
          <w:szCs w:val="28"/>
        </w:rPr>
        <w:t>С. Найвища температура зафіксована в ділянці латерального краю - 30,2</w:t>
      </w:r>
      <w:r w:rsidRPr="00CA099F">
        <w:rPr>
          <w:rFonts w:eastAsia="Calibri" w:cs="Times New Roman"/>
          <w:sz w:val="28"/>
          <w:szCs w:val="28"/>
        </w:rPr>
        <w:t>±</w:t>
      </w:r>
      <w:r w:rsidRPr="00CA099F">
        <w:rPr>
          <w:rFonts w:eastAsia="Calibri" w:cs="Calibri"/>
          <w:sz w:val="28"/>
          <w:szCs w:val="28"/>
        </w:rPr>
        <w:t>1,1</w:t>
      </w:r>
      <w:r w:rsidRPr="00CA099F">
        <w:rPr>
          <w:rFonts w:eastAsia="Calibri" w:cs="Times New Roman"/>
          <w:sz w:val="28"/>
          <w:szCs w:val="28"/>
        </w:rPr>
        <w:t xml:space="preserve">° </w:t>
      </w:r>
      <w:r w:rsidRPr="00CA099F">
        <w:rPr>
          <w:rFonts w:eastAsia="Calibri" w:cs="Calibri"/>
          <w:sz w:val="28"/>
          <w:szCs w:val="28"/>
        </w:rPr>
        <w:t>С; в медіальному краю спостерігалися проміжні значення, які дорівнювали 29,9</w:t>
      </w:r>
      <w:r w:rsidRPr="00CA099F">
        <w:rPr>
          <w:rFonts w:eastAsia="Calibri" w:cs="Times New Roman"/>
          <w:sz w:val="28"/>
          <w:szCs w:val="28"/>
        </w:rPr>
        <w:t>±</w:t>
      </w:r>
      <w:r w:rsidRPr="00CA099F">
        <w:rPr>
          <w:rFonts w:eastAsia="Calibri" w:cs="Calibri"/>
          <w:sz w:val="28"/>
          <w:szCs w:val="28"/>
        </w:rPr>
        <w:t>0,8</w:t>
      </w:r>
      <w:r w:rsidRPr="00CA099F">
        <w:rPr>
          <w:rFonts w:eastAsia="Calibri" w:cs="Times New Roman"/>
          <w:sz w:val="28"/>
          <w:szCs w:val="28"/>
        </w:rPr>
        <w:t xml:space="preserve">° </w:t>
      </w:r>
      <w:r w:rsidR="00C12C89">
        <w:rPr>
          <w:rFonts w:eastAsia="Calibri" w:cs="Calibri"/>
          <w:sz w:val="28"/>
          <w:szCs w:val="28"/>
        </w:rPr>
        <w:t>С. У</w:t>
      </w:r>
      <w:r w:rsidRPr="00CA099F">
        <w:rPr>
          <w:rFonts w:eastAsia="Calibri" w:cs="Calibri"/>
          <w:sz w:val="28"/>
          <w:szCs w:val="28"/>
        </w:rPr>
        <w:t xml:space="preserve"> 2 групі нами зафіксовано невелике достовірне підвищення середньої температури. На 3 місяць </w:t>
      </w:r>
      <w:r w:rsidRPr="00CA099F">
        <w:rPr>
          <w:rFonts w:eastAsia="Calibri" w:cs="Calibri"/>
          <w:sz w:val="28"/>
          <w:szCs w:val="28"/>
        </w:rPr>
        <w:lastRenderedPageBreak/>
        <w:t>спостереження в центрі рубцевозмінених тканин вона складала 26,3</w:t>
      </w:r>
      <w:r w:rsidRPr="00CA099F">
        <w:rPr>
          <w:rFonts w:eastAsia="Calibri" w:cs="Times New Roman"/>
          <w:sz w:val="28"/>
          <w:szCs w:val="28"/>
        </w:rPr>
        <w:t>±</w:t>
      </w:r>
      <w:r w:rsidRPr="00CA099F">
        <w:rPr>
          <w:rFonts w:eastAsia="Calibri" w:cs="Calibri"/>
          <w:sz w:val="28"/>
          <w:szCs w:val="28"/>
        </w:rPr>
        <w:t>0,8</w:t>
      </w:r>
      <w:r w:rsidRPr="00CA099F">
        <w:rPr>
          <w:rFonts w:eastAsia="Calibri" w:cs="Times New Roman"/>
          <w:sz w:val="28"/>
          <w:szCs w:val="28"/>
        </w:rPr>
        <w:t xml:space="preserve">° </w:t>
      </w:r>
      <w:r w:rsidRPr="00CA099F">
        <w:rPr>
          <w:rFonts w:eastAsia="Calibri" w:cs="Calibri"/>
          <w:sz w:val="28"/>
          <w:szCs w:val="28"/>
        </w:rPr>
        <w:t>С. У латерал</w:t>
      </w:r>
      <w:r w:rsidR="00C12C89">
        <w:rPr>
          <w:rFonts w:eastAsia="Calibri" w:cs="Calibri"/>
          <w:sz w:val="28"/>
          <w:szCs w:val="28"/>
        </w:rPr>
        <w:t>ьній частині рубця продовжували</w:t>
      </w:r>
      <w:r w:rsidRPr="00CA099F">
        <w:rPr>
          <w:rFonts w:eastAsia="Calibri" w:cs="Calibri"/>
          <w:sz w:val="28"/>
          <w:szCs w:val="28"/>
        </w:rPr>
        <w:t xml:space="preserve"> фіксуватися найвищі значення, які дорівнювали 30,8</w:t>
      </w:r>
      <w:r w:rsidRPr="00CA099F">
        <w:rPr>
          <w:rFonts w:eastAsia="Calibri" w:cs="Times New Roman"/>
          <w:sz w:val="28"/>
          <w:szCs w:val="28"/>
        </w:rPr>
        <w:t>±</w:t>
      </w:r>
      <w:r w:rsidRPr="00CA099F">
        <w:rPr>
          <w:rFonts w:eastAsia="Calibri" w:cs="Calibri"/>
          <w:sz w:val="28"/>
          <w:szCs w:val="28"/>
        </w:rPr>
        <w:t>0,7</w:t>
      </w:r>
      <w:r w:rsidRPr="00CA099F">
        <w:rPr>
          <w:rFonts w:eastAsia="Calibri" w:cs="Times New Roman"/>
          <w:sz w:val="28"/>
          <w:szCs w:val="28"/>
        </w:rPr>
        <w:t xml:space="preserve">° </w:t>
      </w:r>
      <w:r w:rsidRPr="00CA099F">
        <w:rPr>
          <w:rFonts w:eastAsia="Calibri" w:cs="Calibri"/>
          <w:sz w:val="28"/>
          <w:szCs w:val="28"/>
        </w:rPr>
        <w:t xml:space="preserve">С. </w:t>
      </w:r>
      <w:r w:rsidR="00C12C89">
        <w:rPr>
          <w:rFonts w:eastAsia="Calibri" w:cs="Calibri"/>
          <w:sz w:val="28"/>
          <w:szCs w:val="28"/>
        </w:rPr>
        <w:t>У</w:t>
      </w:r>
      <w:r w:rsidRPr="00CA099F">
        <w:rPr>
          <w:rFonts w:eastAsia="Calibri" w:cs="Calibri"/>
          <w:sz w:val="28"/>
          <w:szCs w:val="28"/>
        </w:rPr>
        <w:t xml:space="preserve"> медіальній частині спостерігалися дещо нижчі показники, які в цій групі складали 30,1</w:t>
      </w:r>
      <w:r w:rsidRPr="00CA099F">
        <w:rPr>
          <w:rFonts w:eastAsia="Calibri" w:cs="Times New Roman"/>
          <w:sz w:val="28"/>
          <w:szCs w:val="28"/>
        </w:rPr>
        <w:t>±</w:t>
      </w:r>
      <w:r w:rsidRPr="00CA099F">
        <w:rPr>
          <w:rFonts w:eastAsia="Calibri" w:cs="Calibri"/>
          <w:sz w:val="28"/>
          <w:szCs w:val="28"/>
        </w:rPr>
        <w:t>0,6</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Графік динаміки змін показників середньої температури у різних зонах рубцевозмінених тканин в залежності від виду інтра- та пост-операційної профілактики на 3 місяць досліджень наведено на рис</w:t>
      </w:r>
      <w:r w:rsidR="003564E7">
        <w:rPr>
          <w:rFonts w:eastAsia="Calibri" w:cs="Calibri"/>
          <w:sz w:val="28"/>
          <w:szCs w:val="28"/>
        </w:rPr>
        <w:t>унку</w:t>
      </w:r>
      <w:r w:rsidRPr="00CA099F">
        <w:rPr>
          <w:rFonts w:eastAsia="Calibri" w:cs="Calibri"/>
          <w:sz w:val="28"/>
          <w:szCs w:val="28"/>
        </w:rPr>
        <w:t xml:space="preserve"> 3.4.</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noProof/>
          <w:sz w:val="28"/>
          <w:szCs w:val="28"/>
          <w:lang w:val="ru-RU" w:eastAsia="ru-RU"/>
        </w:rPr>
        <w:drawing>
          <wp:inline distT="0" distB="0" distL="0" distR="0" wp14:anchorId="63FA3572" wp14:editId="10E14922">
            <wp:extent cx="5486400" cy="5105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0517B" w:rsidRPr="00CA099F" w:rsidRDefault="003564E7" w:rsidP="0030517B">
      <w:pPr>
        <w:spacing w:after="160" w:line="360" w:lineRule="auto"/>
        <w:ind w:firstLine="708"/>
        <w:jc w:val="both"/>
        <w:rPr>
          <w:rFonts w:eastAsia="Calibri" w:cs="Calibri"/>
          <w:sz w:val="28"/>
          <w:szCs w:val="28"/>
        </w:rPr>
      </w:pPr>
      <w:r>
        <w:rPr>
          <w:rFonts w:eastAsia="Calibri" w:cs="Calibri"/>
          <w:sz w:val="28"/>
          <w:szCs w:val="28"/>
        </w:rPr>
        <w:t>Рис. 3.4</w:t>
      </w:r>
      <w:r w:rsidR="0030517B" w:rsidRPr="00CA099F">
        <w:rPr>
          <w:rFonts w:eastAsia="Calibri" w:cs="Calibri"/>
          <w:sz w:val="28"/>
          <w:szCs w:val="28"/>
        </w:rPr>
        <w:t xml:space="preserve"> Графік динаміки змін показників середньої температури у різних зонах рубцевозмінених тканин на 3 місяць післяопераційного періоду.</w:t>
      </w:r>
    </w:p>
    <w:p w:rsidR="00666948" w:rsidRDefault="00666948" w:rsidP="0030517B">
      <w:pPr>
        <w:spacing w:after="160" w:line="360" w:lineRule="auto"/>
        <w:ind w:firstLine="708"/>
        <w:jc w:val="both"/>
        <w:rPr>
          <w:rFonts w:eastAsia="Calibri" w:cs="Calibri"/>
          <w:b/>
          <w:sz w:val="28"/>
          <w:szCs w:val="28"/>
        </w:rPr>
      </w:pPr>
    </w:p>
    <w:p w:rsidR="0030517B" w:rsidRPr="00CA099F" w:rsidRDefault="00270657" w:rsidP="0030517B">
      <w:pPr>
        <w:spacing w:after="160" w:line="360" w:lineRule="auto"/>
        <w:ind w:firstLine="708"/>
        <w:jc w:val="both"/>
        <w:rPr>
          <w:rFonts w:eastAsia="Calibri" w:cs="Calibri"/>
          <w:b/>
          <w:sz w:val="28"/>
          <w:szCs w:val="28"/>
        </w:rPr>
      </w:pPr>
      <w:r>
        <w:rPr>
          <w:rFonts w:eastAsia="Calibri" w:cs="Calibri"/>
          <w:b/>
          <w:sz w:val="28"/>
          <w:szCs w:val="28"/>
        </w:rPr>
        <w:lastRenderedPageBreak/>
        <w:t>3.3</w:t>
      </w:r>
      <w:r w:rsidR="0030517B" w:rsidRPr="00CA099F">
        <w:rPr>
          <w:rFonts w:eastAsia="Calibri" w:cs="Calibri"/>
          <w:b/>
          <w:sz w:val="28"/>
          <w:szCs w:val="28"/>
        </w:rPr>
        <w:t xml:space="preserve"> Зміни клінічних показників рубцевозмінених тканин на 6 місяць післяопераційного періоду</w:t>
      </w:r>
    </w:p>
    <w:p w:rsidR="00FA3469" w:rsidRDefault="00FA3469" w:rsidP="0030517B">
      <w:pPr>
        <w:spacing w:after="160" w:line="360" w:lineRule="auto"/>
        <w:jc w:val="both"/>
        <w:rPr>
          <w:rFonts w:eastAsia="Calibri" w:cs="Calibri"/>
          <w:sz w:val="28"/>
          <w:szCs w:val="28"/>
        </w:rPr>
      </w:pPr>
    </w:p>
    <w:p w:rsidR="0030517B" w:rsidRPr="00C77E20" w:rsidRDefault="0030517B" w:rsidP="0030517B">
      <w:pPr>
        <w:spacing w:after="160" w:line="360" w:lineRule="auto"/>
        <w:jc w:val="both"/>
        <w:rPr>
          <w:rFonts w:eastAsia="Calibri" w:cs="Calibri"/>
          <w:sz w:val="28"/>
          <w:szCs w:val="28"/>
        </w:rPr>
      </w:pPr>
      <w:r w:rsidRPr="00CA099F">
        <w:rPr>
          <w:rFonts w:eastAsia="Calibri" w:cs="Calibri"/>
          <w:sz w:val="28"/>
          <w:szCs w:val="28"/>
        </w:rPr>
        <w:tab/>
      </w:r>
      <w:r w:rsidRPr="00C77E20">
        <w:rPr>
          <w:rFonts w:eastAsia="Calibri" w:cs="Calibri"/>
          <w:sz w:val="28"/>
          <w:szCs w:val="28"/>
        </w:rPr>
        <w:t xml:space="preserve">Досліджуючи показник П1 у 7  пацієнтів </w:t>
      </w:r>
      <w:r w:rsidR="00B83B4E" w:rsidRPr="00C77E20">
        <w:rPr>
          <w:rFonts w:eastAsia="Calibri" w:cs="Calibri"/>
          <w:sz w:val="28"/>
          <w:szCs w:val="28"/>
        </w:rPr>
        <w:t>(35%)</w:t>
      </w:r>
      <w:r w:rsidRPr="00C77E20">
        <w:rPr>
          <w:rFonts w:eastAsia="Calibri" w:cs="Calibri"/>
          <w:sz w:val="28"/>
          <w:szCs w:val="28"/>
        </w:rPr>
        <w:t xml:space="preserve">контрольної групи було відмічено наявність гомогенного атрофічного рубця (у 2 пацієнтів </w:t>
      </w:r>
      <w:r w:rsidR="00B83B4E" w:rsidRPr="00C77E20">
        <w:rPr>
          <w:rFonts w:eastAsia="Calibri" w:cs="Calibri"/>
          <w:sz w:val="28"/>
          <w:szCs w:val="28"/>
        </w:rPr>
        <w:t xml:space="preserve">(10%) </w:t>
      </w:r>
      <w:r w:rsidRPr="00C77E20">
        <w:rPr>
          <w:rFonts w:eastAsia="Calibri" w:cs="Calibri"/>
          <w:sz w:val="28"/>
          <w:szCs w:val="28"/>
        </w:rPr>
        <w:t>з вузликовими розростаннями). Ознаки перетворення на келоїдний рубець зафіксований у 2 пацієнтів</w:t>
      </w:r>
      <w:r w:rsidR="00B83B4E">
        <w:rPr>
          <w:rFonts w:eastAsia="Calibri" w:cs="Calibri"/>
          <w:sz w:val="28"/>
          <w:szCs w:val="28"/>
        </w:rPr>
        <w:t xml:space="preserve"> </w:t>
      </w:r>
      <w:r w:rsidR="00B83B4E" w:rsidRPr="00C77E20">
        <w:rPr>
          <w:rFonts w:eastAsia="Calibri" w:cs="Calibri"/>
          <w:sz w:val="28"/>
          <w:szCs w:val="28"/>
        </w:rPr>
        <w:t>(10%)</w:t>
      </w:r>
      <w:r w:rsidRPr="00C77E20">
        <w:rPr>
          <w:rFonts w:eastAsia="Calibri" w:cs="Calibri"/>
          <w:sz w:val="28"/>
          <w:szCs w:val="28"/>
        </w:rPr>
        <w:t xml:space="preserve">. Ознаки нормотрофічного рубця були зафіксовані у </w:t>
      </w:r>
      <w:r w:rsidR="00836EF4" w:rsidRPr="00B83B4E">
        <w:rPr>
          <w:rFonts w:eastAsia="Calibri" w:cs="Calibri"/>
          <w:sz w:val="28"/>
          <w:szCs w:val="28"/>
        </w:rPr>
        <w:t>11</w:t>
      </w:r>
      <w:r w:rsidR="00836EF4" w:rsidRPr="00C77E20">
        <w:rPr>
          <w:rFonts w:eastAsia="Calibri" w:cs="Calibri"/>
          <w:sz w:val="28"/>
          <w:szCs w:val="28"/>
        </w:rPr>
        <w:t xml:space="preserve"> </w:t>
      </w:r>
      <w:r w:rsidR="00B83B4E">
        <w:rPr>
          <w:rFonts w:eastAsia="Calibri" w:cs="Calibri"/>
          <w:sz w:val="28"/>
          <w:szCs w:val="28"/>
        </w:rPr>
        <w:t xml:space="preserve">випадках </w:t>
      </w:r>
      <w:r w:rsidR="00836EF4" w:rsidRPr="00C77E20">
        <w:rPr>
          <w:rFonts w:eastAsia="Calibri" w:cs="Calibri"/>
          <w:sz w:val="28"/>
          <w:szCs w:val="28"/>
        </w:rPr>
        <w:t>(</w:t>
      </w:r>
      <w:r w:rsidR="00836EF4" w:rsidRPr="00B83B4E">
        <w:rPr>
          <w:rFonts w:eastAsia="Calibri" w:cs="Calibri"/>
          <w:sz w:val="28"/>
          <w:szCs w:val="28"/>
        </w:rPr>
        <w:t>55</w:t>
      </w:r>
      <w:r w:rsidRPr="00C77E20">
        <w:rPr>
          <w:rFonts w:eastAsia="Calibri" w:cs="Calibri"/>
          <w:sz w:val="28"/>
          <w:szCs w:val="28"/>
        </w:rPr>
        <w:t>%).</w:t>
      </w:r>
    </w:p>
    <w:p w:rsidR="0030517B" w:rsidRPr="00CA099F" w:rsidRDefault="0030517B" w:rsidP="0030517B">
      <w:pPr>
        <w:spacing w:after="160" w:line="360" w:lineRule="auto"/>
        <w:jc w:val="both"/>
        <w:rPr>
          <w:rFonts w:eastAsia="Calibri" w:cs="Calibri"/>
          <w:sz w:val="28"/>
          <w:szCs w:val="28"/>
        </w:rPr>
      </w:pPr>
      <w:r w:rsidRPr="00C77E20">
        <w:rPr>
          <w:rFonts w:eastAsia="Calibri" w:cs="Calibri"/>
          <w:sz w:val="28"/>
          <w:szCs w:val="28"/>
        </w:rPr>
        <w:tab/>
        <w:t xml:space="preserve">Наявність атрофічного рубця у пацієнтів 1-ї групи нами зафіксовано в 6 (30%) випадках (у 1 пацієнта </w:t>
      </w:r>
      <w:r w:rsidR="00B83B4E" w:rsidRPr="00C77E20">
        <w:rPr>
          <w:rFonts w:eastAsia="Calibri" w:cs="Calibri"/>
          <w:sz w:val="28"/>
          <w:szCs w:val="28"/>
        </w:rPr>
        <w:t xml:space="preserve">(5%) </w:t>
      </w:r>
      <w:r w:rsidRPr="00C77E20">
        <w:rPr>
          <w:rFonts w:eastAsia="Calibri" w:cs="Calibri"/>
          <w:sz w:val="28"/>
          <w:szCs w:val="28"/>
        </w:rPr>
        <w:t xml:space="preserve">з вузликовими розростаннями). У 1 пацієнта </w:t>
      </w:r>
      <w:r w:rsidR="00B83B4E" w:rsidRPr="00C77E20">
        <w:rPr>
          <w:rFonts w:eastAsia="Calibri" w:cs="Calibri"/>
          <w:sz w:val="28"/>
          <w:szCs w:val="28"/>
        </w:rPr>
        <w:t xml:space="preserve">(5%) </w:t>
      </w:r>
      <w:r w:rsidRPr="00C77E20">
        <w:rPr>
          <w:rFonts w:eastAsia="Calibri" w:cs="Calibri"/>
          <w:sz w:val="28"/>
          <w:szCs w:val="28"/>
        </w:rPr>
        <w:t xml:space="preserve">зафіксовано вірогідне утворення гіпертрофічного рубця та утворення келоїду – також у 1 </w:t>
      </w:r>
      <w:r w:rsidR="00B83B4E" w:rsidRPr="00C77E20">
        <w:rPr>
          <w:rFonts w:eastAsia="Calibri" w:cs="Calibri"/>
          <w:sz w:val="28"/>
          <w:szCs w:val="28"/>
        </w:rPr>
        <w:t xml:space="preserve">пацієнта </w:t>
      </w:r>
      <w:r w:rsidRPr="00C77E20">
        <w:rPr>
          <w:rFonts w:eastAsia="Calibri" w:cs="Calibri"/>
          <w:sz w:val="28"/>
          <w:szCs w:val="28"/>
        </w:rPr>
        <w:t>(5%). Наявність нормотрофічного рубця нами з</w:t>
      </w:r>
      <w:r w:rsidR="00C77E20" w:rsidRPr="00C77E20">
        <w:rPr>
          <w:rFonts w:eastAsia="Calibri" w:cs="Calibri"/>
          <w:sz w:val="28"/>
          <w:szCs w:val="28"/>
        </w:rPr>
        <w:t>афіксовано у 1</w:t>
      </w:r>
      <w:r w:rsidR="00C77E20" w:rsidRPr="00C77E20">
        <w:rPr>
          <w:rFonts w:eastAsia="Calibri" w:cs="Calibri"/>
          <w:sz w:val="28"/>
          <w:szCs w:val="28"/>
          <w:lang w:val="ru-RU"/>
        </w:rPr>
        <w:t>2</w:t>
      </w:r>
      <w:r w:rsidRPr="00C77E20">
        <w:rPr>
          <w:rFonts w:eastAsia="Calibri" w:cs="Calibri"/>
          <w:sz w:val="28"/>
          <w:szCs w:val="28"/>
        </w:rPr>
        <w:t xml:space="preserve"> пацієнтів</w:t>
      </w:r>
      <w:r w:rsidR="00B83B4E">
        <w:rPr>
          <w:rFonts w:eastAsia="Calibri" w:cs="Calibri"/>
          <w:sz w:val="28"/>
          <w:szCs w:val="28"/>
        </w:rPr>
        <w:t xml:space="preserve"> </w:t>
      </w:r>
      <w:r w:rsidR="00B83B4E" w:rsidRPr="00C77E20">
        <w:rPr>
          <w:rFonts w:eastAsia="Calibri" w:cs="Calibri"/>
          <w:sz w:val="28"/>
          <w:szCs w:val="28"/>
        </w:rPr>
        <w:t>(6</w:t>
      </w:r>
      <w:r w:rsidR="00B83B4E" w:rsidRPr="00C77E20">
        <w:rPr>
          <w:rFonts w:eastAsia="Calibri" w:cs="Calibri"/>
          <w:sz w:val="28"/>
          <w:szCs w:val="28"/>
          <w:lang w:val="ru-RU"/>
        </w:rPr>
        <w:t>0</w:t>
      </w:r>
      <w:r w:rsidR="00B83B4E" w:rsidRPr="00C77E20">
        <w:rPr>
          <w:rFonts w:eastAsia="Calibri" w:cs="Calibri"/>
          <w:sz w:val="28"/>
          <w:szCs w:val="28"/>
        </w:rPr>
        <w:t>%)</w:t>
      </w:r>
      <w:r w:rsidRPr="00C77E20">
        <w:rPr>
          <w:rFonts w:eastAsia="Calibri" w:cs="Calibri"/>
          <w:sz w:val="28"/>
          <w:szCs w:val="28"/>
        </w:rPr>
        <w:t>.</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У пацієнтів 2-ї групи елементи атрофічно-змінених тканин рубця зафіксовано в 3 випадках</w:t>
      </w:r>
      <w:r w:rsidR="000817FF">
        <w:rPr>
          <w:rFonts w:eastAsia="Calibri" w:cs="Calibri"/>
          <w:sz w:val="28"/>
          <w:szCs w:val="28"/>
        </w:rPr>
        <w:t xml:space="preserve"> </w:t>
      </w:r>
      <w:r w:rsidR="000817FF" w:rsidRPr="00CA099F">
        <w:rPr>
          <w:rFonts w:eastAsia="Calibri" w:cs="Calibri"/>
          <w:sz w:val="28"/>
          <w:szCs w:val="28"/>
        </w:rPr>
        <w:t>(15%)</w:t>
      </w:r>
      <w:r w:rsidRPr="00CA099F">
        <w:rPr>
          <w:rFonts w:eastAsia="Calibri" w:cs="Calibri"/>
          <w:sz w:val="28"/>
          <w:szCs w:val="28"/>
        </w:rPr>
        <w:t>, при чому в 100% нами спостерігалися гомогенні тканини. Наявність гіпертрофічного рубця гомогенної природи нами зафіксовано у 1 пацієнта</w:t>
      </w:r>
      <w:r w:rsidR="000817FF">
        <w:rPr>
          <w:rFonts w:eastAsia="Calibri" w:cs="Calibri"/>
          <w:sz w:val="28"/>
          <w:szCs w:val="28"/>
        </w:rPr>
        <w:t xml:space="preserve"> </w:t>
      </w:r>
      <w:r w:rsidR="000817FF" w:rsidRPr="00CA099F">
        <w:rPr>
          <w:rFonts w:eastAsia="Calibri" w:cs="Calibri"/>
          <w:sz w:val="28"/>
          <w:szCs w:val="28"/>
        </w:rPr>
        <w:t>(5%)</w:t>
      </w:r>
      <w:r w:rsidRPr="00CA099F">
        <w:rPr>
          <w:rFonts w:eastAsia="Calibri" w:cs="Calibri"/>
          <w:sz w:val="28"/>
          <w:szCs w:val="28"/>
        </w:rPr>
        <w:t>. Ознак келоїдизації рубців нами в цій групі не зафіксовано.</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Аналізуючи показник П2 слід зауважити що у 10 пацієнтів </w:t>
      </w:r>
      <w:r w:rsidR="000817FF" w:rsidRPr="00CA099F">
        <w:rPr>
          <w:rFonts w:eastAsia="Calibri" w:cs="Calibri"/>
          <w:sz w:val="28"/>
          <w:szCs w:val="28"/>
        </w:rPr>
        <w:t xml:space="preserve">(50%) </w:t>
      </w:r>
      <w:r w:rsidRPr="00CA099F">
        <w:rPr>
          <w:rFonts w:eastAsia="Calibri" w:cs="Calibri"/>
          <w:sz w:val="28"/>
          <w:szCs w:val="28"/>
        </w:rPr>
        <w:t xml:space="preserve">контрольної групи при пальпації визначалася нормальна консистенція рубця, а ознаки ущільнення залишалися у 9 </w:t>
      </w:r>
      <w:r w:rsidR="00D96DA9">
        <w:rPr>
          <w:rFonts w:eastAsia="Calibri" w:cs="Calibri"/>
          <w:sz w:val="28"/>
          <w:szCs w:val="28"/>
        </w:rPr>
        <w:t>пацієнтів</w:t>
      </w:r>
      <w:r w:rsidR="000817FF">
        <w:rPr>
          <w:rFonts w:eastAsia="Calibri" w:cs="Calibri"/>
          <w:sz w:val="28"/>
          <w:szCs w:val="28"/>
        </w:rPr>
        <w:t xml:space="preserve"> </w:t>
      </w:r>
      <w:r w:rsidR="000817FF" w:rsidRPr="00CA099F">
        <w:rPr>
          <w:rFonts w:eastAsia="Calibri" w:cs="Calibri"/>
          <w:sz w:val="28"/>
          <w:szCs w:val="28"/>
        </w:rPr>
        <w:t>(45%)</w:t>
      </w:r>
      <w:r w:rsidRPr="00CA099F">
        <w:rPr>
          <w:rFonts w:eastAsia="Calibri" w:cs="Calibri"/>
          <w:sz w:val="28"/>
          <w:szCs w:val="28"/>
        </w:rPr>
        <w:t xml:space="preserve">, у 1-ого (5%) </w:t>
      </w:r>
      <w:r w:rsidR="000817FF">
        <w:rPr>
          <w:rFonts w:eastAsia="Calibri" w:cs="Calibri"/>
          <w:sz w:val="28"/>
          <w:szCs w:val="28"/>
        </w:rPr>
        <w:t xml:space="preserve">– </w:t>
      </w:r>
      <w:r w:rsidRPr="00CA099F">
        <w:rPr>
          <w:rFonts w:eastAsia="Calibri" w:cs="Calibri"/>
          <w:sz w:val="28"/>
          <w:szCs w:val="28"/>
        </w:rPr>
        <w:t xml:space="preserve">залишилися остаточні явища індурації рубцевозмінених тканин в дистальних відділах рубця. </w:t>
      </w:r>
    </w:p>
    <w:p w:rsidR="0030517B" w:rsidRPr="00CA099F" w:rsidRDefault="0030517B" w:rsidP="005B77D6">
      <w:pPr>
        <w:spacing w:after="0" w:line="360" w:lineRule="auto"/>
        <w:jc w:val="both"/>
        <w:rPr>
          <w:rFonts w:eastAsia="Calibri" w:cs="Calibri"/>
          <w:sz w:val="28"/>
          <w:szCs w:val="28"/>
        </w:rPr>
      </w:pPr>
      <w:r w:rsidRPr="00CA099F">
        <w:rPr>
          <w:rFonts w:eastAsia="Calibri" w:cs="Calibri"/>
          <w:sz w:val="28"/>
          <w:szCs w:val="28"/>
        </w:rPr>
        <w:tab/>
        <w:t xml:space="preserve">У 1-ій групі </w:t>
      </w:r>
      <w:r w:rsidR="00FE212B">
        <w:rPr>
          <w:rFonts w:eastAsia="Calibri" w:cs="Calibri"/>
          <w:sz w:val="28"/>
          <w:szCs w:val="28"/>
        </w:rPr>
        <w:t xml:space="preserve">спостереження </w:t>
      </w:r>
      <w:r w:rsidRPr="00CA099F">
        <w:rPr>
          <w:rFonts w:eastAsia="Calibri" w:cs="Calibri"/>
          <w:sz w:val="28"/>
          <w:szCs w:val="28"/>
        </w:rPr>
        <w:t>ознаки нормальної консистенції відзначалися у 14 пацієнтів</w:t>
      </w:r>
      <w:r w:rsidR="00B5758E">
        <w:rPr>
          <w:rFonts w:eastAsia="Calibri" w:cs="Calibri"/>
          <w:sz w:val="28"/>
          <w:szCs w:val="28"/>
        </w:rPr>
        <w:t xml:space="preserve"> </w:t>
      </w:r>
      <w:r w:rsidR="00B5758E" w:rsidRPr="00CA099F">
        <w:rPr>
          <w:rFonts w:eastAsia="Calibri" w:cs="Calibri"/>
          <w:sz w:val="28"/>
          <w:szCs w:val="28"/>
        </w:rPr>
        <w:t>(70%)</w:t>
      </w:r>
      <w:r w:rsidRPr="00CA099F">
        <w:rPr>
          <w:rFonts w:eastAsia="Calibri" w:cs="Calibri"/>
          <w:sz w:val="28"/>
          <w:szCs w:val="28"/>
        </w:rPr>
        <w:t xml:space="preserve">. При цьому кількість пацієнтів з ущільненнями в центральній частині зменшилося до 6 (30%). У 1 пацієнта </w:t>
      </w:r>
      <w:r w:rsidR="00FE212B" w:rsidRPr="00CA099F">
        <w:rPr>
          <w:rFonts w:eastAsia="Calibri" w:cs="Calibri"/>
          <w:sz w:val="28"/>
          <w:szCs w:val="28"/>
        </w:rPr>
        <w:t xml:space="preserve">(5%) </w:t>
      </w:r>
      <w:r w:rsidRPr="00CA099F">
        <w:rPr>
          <w:rFonts w:eastAsia="Calibri" w:cs="Calibri"/>
          <w:sz w:val="28"/>
          <w:szCs w:val="28"/>
        </w:rPr>
        <w:t>пальпувалися поодинокі ущільнення в ділянці дистального краю. Явища індурації в центральній частині рубця, на які скаржився 1 пацієнт</w:t>
      </w:r>
      <w:r w:rsidR="00FE212B">
        <w:rPr>
          <w:rFonts w:eastAsia="Calibri" w:cs="Calibri"/>
          <w:sz w:val="28"/>
          <w:szCs w:val="28"/>
        </w:rPr>
        <w:t xml:space="preserve"> </w:t>
      </w:r>
      <w:r w:rsidR="00FE212B" w:rsidRPr="00CA099F">
        <w:rPr>
          <w:rFonts w:eastAsia="Calibri" w:cs="Calibri"/>
          <w:sz w:val="28"/>
          <w:szCs w:val="28"/>
        </w:rPr>
        <w:t>(5%)</w:t>
      </w:r>
      <w:r w:rsidRPr="00CA099F">
        <w:rPr>
          <w:rFonts w:eastAsia="Calibri" w:cs="Calibri"/>
          <w:sz w:val="28"/>
          <w:szCs w:val="28"/>
        </w:rPr>
        <w:t>, зникли.</w:t>
      </w:r>
    </w:p>
    <w:p w:rsidR="0030517B" w:rsidRPr="00CA099F" w:rsidRDefault="0030517B" w:rsidP="005B77D6">
      <w:pPr>
        <w:spacing w:after="0" w:line="360" w:lineRule="auto"/>
        <w:jc w:val="both"/>
        <w:rPr>
          <w:rFonts w:eastAsia="Calibri" w:cs="Calibri"/>
          <w:sz w:val="28"/>
          <w:szCs w:val="28"/>
        </w:rPr>
      </w:pPr>
      <w:r w:rsidRPr="00CA099F">
        <w:rPr>
          <w:rFonts w:eastAsia="Calibri" w:cs="Calibri"/>
          <w:sz w:val="28"/>
          <w:szCs w:val="28"/>
        </w:rPr>
        <w:lastRenderedPageBreak/>
        <w:tab/>
        <w:t xml:space="preserve">У </w:t>
      </w:r>
      <w:r w:rsidR="00D96DA9">
        <w:rPr>
          <w:rFonts w:eastAsia="Calibri" w:cs="Calibri"/>
          <w:sz w:val="28"/>
          <w:szCs w:val="28"/>
        </w:rPr>
        <w:t>пацієнтів</w:t>
      </w:r>
      <w:r w:rsidRPr="00CA099F">
        <w:rPr>
          <w:rFonts w:eastAsia="Calibri" w:cs="Calibri"/>
          <w:sz w:val="28"/>
          <w:szCs w:val="28"/>
        </w:rPr>
        <w:t xml:space="preserve"> 2-ї групи спостерігалася позитивна динаміка формування рубцевозмінених тканин, а саме: нормальна консистенція визначалась у 16 </w:t>
      </w:r>
      <w:r w:rsidR="00D96DA9">
        <w:rPr>
          <w:rFonts w:eastAsia="Calibri" w:cs="Calibri"/>
          <w:sz w:val="28"/>
          <w:szCs w:val="28"/>
        </w:rPr>
        <w:t>пацієнтів</w:t>
      </w:r>
      <w:r w:rsidR="00B5758E">
        <w:rPr>
          <w:rFonts w:eastAsia="Calibri" w:cs="Calibri"/>
          <w:sz w:val="28"/>
          <w:szCs w:val="28"/>
        </w:rPr>
        <w:t xml:space="preserve"> </w:t>
      </w:r>
      <w:r w:rsidR="00B5758E" w:rsidRPr="00CA099F">
        <w:rPr>
          <w:rFonts w:eastAsia="Calibri" w:cs="Calibri"/>
          <w:sz w:val="28"/>
          <w:szCs w:val="28"/>
        </w:rPr>
        <w:t>(80%)</w:t>
      </w:r>
      <w:r w:rsidRPr="00CA099F">
        <w:rPr>
          <w:rFonts w:eastAsia="Calibri" w:cs="Calibri"/>
          <w:sz w:val="28"/>
          <w:szCs w:val="28"/>
        </w:rPr>
        <w:t xml:space="preserve">, у 4 пацієнтів </w:t>
      </w:r>
      <w:r w:rsidR="00B5758E" w:rsidRPr="00CA099F">
        <w:rPr>
          <w:rFonts w:eastAsia="Calibri" w:cs="Calibri"/>
          <w:sz w:val="28"/>
          <w:szCs w:val="28"/>
        </w:rPr>
        <w:t xml:space="preserve">(20%) </w:t>
      </w:r>
      <w:r w:rsidRPr="00CA099F">
        <w:rPr>
          <w:rFonts w:eastAsia="Calibri" w:cs="Calibri"/>
          <w:sz w:val="28"/>
          <w:szCs w:val="28"/>
        </w:rPr>
        <w:t>визначалися поодинокі осередки ущільнення в центральній частині без їх наявності в маргінальних краях рубця. Ознак індурації рубця нами не виявлено.</w:t>
      </w:r>
    </w:p>
    <w:p w:rsidR="0030517B" w:rsidRPr="00CA099F" w:rsidRDefault="0030517B" w:rsidP="005B77D6">
      <w:pPr>
        <w:spacing w:after="0" w:line="360" w:lineRule="auto"/>
        <w:jc w:val="both"/>
        <w:rPr>
          <w:rFonts w:eastAsia="Calibri" w:cs="Calibri"/>
          <w:sz w:val="28"/>
          <w:szCs w:val="28"/>
        </w:rPr>
      </w:pPr>
      <w:r w:rsidRPr="00CA099F">
        <w:rPr>
          <w:rFonts w:eastAsia="Calibri" w:cs="Calibri"/>
          <w:sz w:val="28"/>
          <w:szCs w:val="28"/>
        </w:rPr>
        <w:tab/>
        <w:t>При вивченні змін показника П3 на 6 місяць післяопераційного періоду в контрольній групі ознаки здорової шкіри були визначені у 10 пацієнтів</w:t>
      </w:r>
      <w:r w:rsidR="008D025C">
        <w:rPr>
          <w:rFonts w:eastAsia="Calibri" w:cs="Calibri"/>
          <w:sz w:val="28"/>
          <w:szCs w:val="28"/>
        </w:rPr>
        <w:t xml:space="preserve"> </w:t>
      </w:r>
      <w:r w:rsidR="008D025C" w:rsidRPr="00CA099F">
        <w:rPr>
          <w:rFonts w:eastAsia="Calibri" w:cs="Calibri"/>
          <w:sz w:val="28"/>
          <w:szCs w:val="28"/>
        </w:rPr>
        <w:t>(50%)</w:t>
      </w:r>
      <w:r w:rsidRPr="00CA099F">
        <w:rPr>
          <w:rFonts w:eastAsia="Calibri" w:cs="Calibri"/>
          <w:sz w:val="28"/>
          <w:szCs w:val="28"/>
        </w:rPr>
        <w:t xml:space="preserve">. У 6 пацієнтів </w:t>
      </w:r>
      <w:r w:rsidR="008D025C" w:rsidRPr="00CA099F">
        <w:rPr>
          <w:rFonts w:eastAsia="Calibri" w:cs="Calibri"/>
          <w:sz w:val="28"/>
          <w:szCs w:val="28"/>
        </w:rPr>
        <w:t xml:space="preserve">(30%) </w:t>
      </w:r>
      <w:r w:rsidRPr="00CA099F">
        <w:rPr>
          <w:rFonts w:eastAsia="Calibri" w:cs="Calibri"/>
          <w:sz w:val="28"/>
          <w:szCs w:val="28"/>
        </w:rPr>
        <w:t xml:space="preserve">нами </w:t>
      </w:r>
      <w:r w:rsidR="008D025C">
        <w:rPr>
          <w:rFonts w:eastAsia="Calibri" w:cs="Calibri"/>
          <w:sz w:val="28"/>
          <w:szCs w:val="28"/>
        </w:rPr>
        <w:t xml:space="preserve">була </w:t>
      </w:r>
      <w:r w:rsidRPr="00CA099F">
        <w:rPr>
          <w:rFonts w:eastAsia="Calibri" w:cs="Calibri"/>
          <w:sz w:val="28"/>
          <w:szCs w:val="28"/>
        </w:rPr>
        <w:t>визначена помірна еритема, а в 4 (20%) – виражена.</w:t>
      </w:r>
    </w:p>
    <w:p w:rsidR="0030517B" w:rsidRPr="00CA099F" w:rsidRDefault="008D025C" w:rsidP="005B77D6">
      <w:pPr>
        <w:spacing w:after="0" w:line="360" w:lineRule="auto"/>
        <w:jc w:val="both"/>
        <w:rPr>
          <w:rFonts w:eastAsia="Calibri" w:cs="Calibri"/>
          <w:sz w:val="28"/>
          <w:szCs w:val="28"/>
        </w:rPr>
      </w:pPr>
      <w:r>
        <w:rPr>
          <w:rFonts w:eastAsia="Calibri" w:cs="Calibri"/>
          <w:sz w:val="28"/>
          <w:szCs w:val="28"/>
        </w:rPr>
        <w:tab/>
        <w:t>У</w:t>
      </w:r>
      <w:r w:rsidR="0030517B" w:rsidRPr="00CA099F">
        <w:rPr>
          <w:rFonts w:eastAsia="Calibri" w:cs="Calibri"/>
          <w:sz w:val="28"/>
          <w:szCs w:val="28"/>
        </w:rPr>
        <w:t xml:space="preserve"> 1-ій групі </w:t>
      </w:r>
      <w:r w:rsidR="00D96DA9">
        <w:rPr>
          <w:rFonts w:eastAsia="Calibri" w:cs="Calibri"/>
          <w:sz w:val="28"/>
          <w:szCs w:val="28"/>
        </w:rPr>
        <w:t>пацієнтів</w:t>
      </w:r>
      <w:r w:rsidR="0030517B" w:rsidRPr="00CA099F">
        <w:rPr>
          <w:rFonts w:eastAsia="Calibri" w:cs="Calibri"/>
          <w:sz w:val="28"/>
          <w:szCs w:val="28"/>
        </w:rPr>
        <w:t xml:space="preserve"> у 11 випадках </w:t>
      </w:r>
      <w:r w:rsidR="0033398C" w:rsidRPr="00CA099F">
        <w:rPr>
          <w:rFonts w:eastAsia="Calibri" w:cs="Calibri"/>
          <w:sz w:val="28"/>
          <w:szCs w:val="28"/>
        </w:rPr>
        <w:t xml:space="preserve">(55%) </w:t>
      </w:r>
      <w:r w:rsidR="0030517B" w:rsidRPr="00CA099F">
        <w:rPr>
          <w:rFonts w:eastAsia="Calibri" w:cs="Calibri"/>
          <w:sz w:val="28"/>
          <w:szCs w:val="28"/>
        </w:rPr>
        <w:t>нами зафіксовано ознаки здорової шкіри</w:t>
      </w:r>
      <w:r>
        <w:rPr>
          <w:rFonts w:eastAsia="Calibri" w:cs="Calibri"/>
          <w:sz w:val="28"/>
          <w:szCs w:val="28"/>
        </w:rPr>
        <w:t>,</w:t>
      </w:r>
      <w:r w:rsidR="0030517B" w:rsidRPr="00CA099F">
        <w:rPr>
          <w:rFonts w:eastAsia="Calibri" w:cs="Calibri"/>
          <w:sz w:val="28"/>
          <w:szCs w:val="28"/>
        </w:rPr>
        <w:t xml:space="preserve"> з візуалізацією помірної еритеми у 6 (30%) та вираженої – у 3 </w:t>
      </w:r>
      <w:r w:rsidR="00D96DA9">
        <w:rPr>
          <w:rFonts w:eastAsia="Calibri" w:cs="Calibri"/>
          <w:sz w:val="28"/>
          <w:szCs w:val="28"/>
        </w:rPr>
        <w:t>пацієнтів</w:t>
      </w:r>
      <w:r w:rsidR="0033398C">
        <w:rPr>
          <w:rFonts w:eastAsia="Calibri" w:cs="Calibri"/>
          <w:sz w:val="28"/>
          <w:szCs w:val="28"/>
        </w:rPr>
        <w:t xml:space="preserve"> </w:t>
      </w:r>
      <w:r w:rsidR="0033398C" w:rsidRPr="00CA099F">
        <w:rPr>
          <w:rFonts w:eastAsia="Calibri" w:cs="Calibri"/>
          <w:sz w:val="28"/>
          <w:szCs w:val="28"/>
        </w:rPr>
        <w:t>(15%)</w:t>
      </w:r>
      <w:r w:rsidR="0030517B" w:rsidRPr="00CA099F">
        <w:rPr>
          <w:rFonts w:eastAsia="Calibri" w:cs="Calibri"/>
          <w:sz w:val="28"/>
          <w:szCs w:val="28"/>
        </w:rPr>
        <w:t>.</w:t>
      </w:r>
    </w:p>
    <w:p w:rsidR="0030517B" w:rsidRPr="00CA099F" w:rsidRDefault="0030517B" w:rsidP="005B77D6">
      <w:pPr>
        <w:spacing w:after="0" w:line="360" w:lineRule="auto"/>
        <w:jc w:val="both"/>
        <w:rPr>
          <w:rFonts w:eastAsia="Calibri" w:cs="Calibri"/>
          <w:sz w:val="28"/>
          <w:szCs w:val="28"/>
        </w:rPr>
      </w:pPr>
      <w:r w:rsidRPr="00CA099F">
        <w:rPr>
          <w:rFonts w:eastAsia="Calibri" w:cs="Calibri"/>
          <w:sz w:val="28"/>
          <w:szCs w:val="28"/>
        </w:rPr>
        <w:tab/>
      </w:r>
      <w:r w:rsidR="0033398C">
        <w:rPr>
          <w:rFonts w:eastAsia="Calibri" w:cs="Calibri"/>
          <w:sz w:val="28"/>
          <w:szCs w:val="28"/>
        </w:rPr>
        <w:t>У</w:t>
      </w:r>
      <w:r w:rsidRPr="00CA099F">
        <w:rPr>
          <w:rFonts w:eastAsia="Calibri" w:cs="Calibri"/>
          <w:sz w:val="28"/>
          <w:szCs w:val="28"/>
        </w:rPr>
        <w:t xml:space="preserve"> 2-ій групі близький до норми стан шкіри нами спостерігався в 13 випадках</w:t>
      </w:r>
      <w:r w:rsidR="00D3171A">
        <w:rPr>
          <w:rFonts w:eastAsia="Calibri" w:cs="Calibri"/>
          <w:sz w:val="28"/>
          <w:szCs w:val="28"/>
        </w:rPr>
        <w:t xml:space="preserve"> </w:t>
      </w:r>
      <w:r w:rsidR="00D3171A" w:rsidRPr="00CA099F">
        <w:rPr>
          <w:rFonts w:eastAsia="Calibri" w:cs="Calibri"/>
          <w:sz w:val="28"/>
          <w:szCs w:val="28"/>
        </w:rPr>
        <w:t>(65%)</w:t>
      </w:r>
      <w:r w:rsidRPr="00CA099F">
        <w:rPr>
          <w:rFonts w:eastAsia="Calibri" w:cs="Calibri"/>
          <w:sz w:val="28"/>
          <w:szCs w:val="28"/>
        </w:rPr>
        <w:t xml:space="preserve">. У 5 пацієнтів </w:t>
      </w:r>
      <w:r w:rsidR="00D3171A" w:rsidRPr="00CA099F">
        <w:rPr>
          <w:rFonts w:eastAsia="Calibri" w:cs="Calibri"/>
          <w:sz w:val="28"/>
          <w:szCs w:val="28"/>
        </w:rPr>
        <w:t xml:space="preserve">(25%) </w:t>
      </w:r>
      <w:r w:rsidRPr="00CA099F">
        <w:rPr>
          <w:rFonts w:eastAsia="Calibri" w:cs="Calibri"/>
          <w:sz w:val="28"/>
          <w:szCs w:val="28"/>
        </w:rPr>
        <w:t>встановлені ознаки помірної еритеми, кількість пацієнт</w:t>
      </w:r>
      <w:r w:rsidR="0033398C">
        <w:rPr>
          <w:rFonts w:eastAsia="Calibri" w:cs="Calibri"/>
          <w:sz w:val="28"/>
          <w:szCs w:val="28"/>
        </w:rPr>
        <w:t>ів з вираженою еритемою зменшила</w:t>
      </w:r>
      <w:r w:rsidRPr="00CA099F">
        <w:rPr>
          <w:rFonts w:eastAsia="Calibri" w:cs="Calibri"/>
          <w:sz w:val="28"/>
          <w:szCs w:val="28"/>
        </w:rPr>
        <w:t>ся до 2 (10%).</w:t>
      </w:r>
    </w:p>
    <w:p w:rsidR="0030517B" w:rsidRPr="00CA099F" w:rsidRDefault="0030517B" w:rsidP="005B77D6">
      <w:pPr>
        <w:spacing w:after="0" w:line="360" w:lineRule="auto"/>
        <w:jc w:val="both"/>
        <w:rPr>
          <w:rFonts w:eastAsia="Calibri" w:cs="Calibri"/>
          <w:sz w:val="28"/>
          <w:szCs w:val="28"/>
        </w:rPr>
      </w:pPr>
      <w:r w:rsidRPr="00CA099F">
        <w:rPr>
          <w:rFonts w:eastAsia="Calibri" w:cs="Calibri"/>
          <w:sz w:val="28"/>
          <w:szCs w:val="28"/>
        </w:rPr>
        <w:tab/>
        <w:t>Аналіз характеру зміни параметрів утворення рубцевозмінених тканин за даними показника П4 встановив, що в контрольній групі на 6 місяць післяопераційного періоду стан напруженості рубця пацієнти відмічали у 11 випадках</w:t>
      </w:r>
      <w:r w:rsidR="00D3171A">
        <w:rPr>
          <w:rFonts w:eastAsia="Calibri" w:cs="Calibri"/>
          <w:sz w:val="28"/>
          <w:szCs w:val="28"/>
        </w:rPr>
        <w:t xml:space="preserve"> </w:t>
      </w:r>
      <w:r w:rsidR="00D3171A" w:rsidRPr="00CA099F">
        <w:rPr>
          <w:rFonts w:eastAsia="Calibri" w:cs="Calibri"/>
          <w:sz w:val="28"/>
          <w:szCs w:val="28"/>
        </w:rPr>
        <w:t>(55%)</w:t>
      </w:r>
      <w:r w:rsidRPr="00CA099F">
        <w:rPr>
          <w:rFonts w:eastAsia="Calibri" w:cs="Calibri"/>
          <w:sz w:val="28"/>
          <w:szCs w:val="28"/>
        </w:rPr>
        <w:t xml:space="preserve">. 4 пацієнта </w:t>
      </w:r>
      <w:r w:rsidR="00D3171A" w:rsidRPr="00CA099F">
        <w:rPr>
          <w:rFonts w:eastAsia="Calibri" w:cs="Calibri"/>
          <w:sz w:val="28"/>
          <w:szCs w:val="28"/>
        </w:rPr>
        <w:t xml:space="preserve">(20%) </w:t>
      </w:r>
      <w:r w:rsidRPr="00CA099F">
        <w:rPr>
          <w:rFonts w:eastAsia="Calibri" w:cs="Calibri"/>
          <w:sz w:val="28"/>
          <w:szCs w:val="28"/>
        </w:rPr>
        <w:t>скаржилися на свербіж, 1 (5%) – на біль. Скарги на печію не відзначалися.</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 xml:space="preserve">В 1-ій групі </w:t>
      </w:r>
      <w:r w:rsidR="00D96DA9">
        <w:rPr>
          <w:rFonts w:eastAsia="Calibri" w:cs="Calibri"/>
          <w:sz w:val="28"/>
          <w:szCs w:val="28"/>
        </w:rPr>
        <w:t>пацієнтів</w:t>
      </w:r>
      <w:r w:rsidRPr="00CA099F">
        <w:rPr>
          <w:rFonts w:eastAsia="Calibri" w:cs="Calibri"/>
          <w:sz w:val="28"/>
          <w:szCs w:val="28"/>
        </w:rPr>
        <w:t xml:space="preserve"> ознаки напруженості рубця відмічено в 10 випадках</w:t>
      </w:r>
      <w:r w:rsidR="00B5758E">
        <w:rPr>
          <w:rFonts w:eastAsia="Calibri" w:cs="Calibri"/>
          <w:sz w:val="28"/>
          <w:szCs w:val="28"/>
        </w:rPr>
        <w:t xml:space="preserve"> </w:t>
      </w:r>
      <w:r w:rsidR="00B5758E" w:rsidRPr="00CA099F">
        <w:rPr>
          <w:rFonts w:eastAsia="Calibri" w:cs="Calibri"/>
          <w:sz w:val="28"/>
          <w:szCs w:val="28"/>
        </w:rPr>
        <w:t>(50%)</w:t>
      </w:r>
      <w:r w:rsidRPr="00CA099F">
        <w:rPr>
          <w:rFonts w:eastAsia="Calibri" w:cs="Calibri"/>
          <w:sz w:val="28"/>
          <w:szCs w:val="28"/>
        </w:rPr>
        <w:t>, свербіж відзначався у 2 пацієнтів</w:t>
      </w:r>
      <w:r w:rsidR="007303A4" w:rsidRPr="007303A4">
        <w:rPr>
          <w:rFonts w:eastAsia="Calibri" w:cs="Calibri"/>
          <w:sz w:val="28"/>
          <w:szCs w:val="28"/>
        </w:rPr>
        <w:t xml:space="preserve"> </w:t>
      </w:r>
      <w:r w:rsidR="007303A4">
        <w:rPr>
          <w:rFonts w:eastAsia="Calibri" w:cs="Calibri"/>
          <w:sz w:val="28"/>
          <w:szCs w:val="28"/>
        </w:rPr>
        <w:t>(10%)</w:t>
      </w:r>
      <w:r w:rsidRPr="00CA099F">
        <w:rPr>
          <w:rFonts w:eastAsia="Calibri" w:cs="Calibri"/>
          <w:sz w:val="28"/>
          <w:szCs w:val="28"/>
        </w:rPr>
        <w:t xml:space="preserve"> та 1 (5%) відзначав печію. Скарги на біль хворі заперечували.</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 xml:space="preserve">В 2-ій групі на напруженість рубця скаржилося 5 </w:t>
      </w:r>
      <w:r w:rsidR="00D96DA9">
        <w:rPr>
          <w:rFonts w:eastAsia="Calibri" w:cs="Calibri"/>
          <w:sz w:val="28"/>
          <w:szCs w:val="28"/>
        </w:rPr>
        <w:t>пацієнтів</w:t>
      </w:r>
      <w:r w:rsidR="007303A4" w:rsidRPr="00FC1256">
        <w:rPr>
          <w:rFonts w:eastAsia="Calibri" w:cs="Calibri"/>
          <w:sz w:val="28"/>
          <w:szCs w:val="28"/>
        </w:rPr>
        <w:t xml:space="preserve"> </w:t>
      </w:r>
      <w:r w:rsidR="007303A4" w:rsidRPr="00CA099F">
        <w:rPr>
          <w:rFonts w:eastAsia="Calibri" w:cs="Calibri"/>
          <w:sz w:val="28"/>
          <w:szCs w:val="28"/>
        </w:rPr>
        <w:t>(25%)</w:t>
      </w:r>
      <w:r w:rsidRPr="00CA099F">
        <w:rPr>
          <w:rFonts w:eastAsia="Calibri" w:cs="Calibri"/>
          <w:sz w:val="28"/>
          <w:szCs w:val="28"/>
        </w:rPr>
        <w:t>, свербіж був виявлений у 2 пацієнтів</w:t>
      </w:r>
      <w:r w:rsidR="007303A4" w:rsidRPr="00FC1256">
        <w:rPr>
          <w:rFonts w:eastAsia="Calibri" w:cs="Calibri"/>
          <w:sz w:val="28"/>
          <w:szCs w:val="28"/>
        </w:rPr>
        <w:t xml:space="preserve"> </w:t>
      </w:r>
      <w:r w:rsidR="007303A4" w:rsidRPr="00CA099F">
        <w:rPr>
          <w:rFonts w:eastAsia="Calibri" w:cs="Calibri"/>
          <w:sz w:val="28"/>
          <w:szCs w:val="28"/>
        </w:rPr>
        <w:t>(10%)</w:t>
      </w:r>
      <w:r w:rsidRPr="00CA099F">
        <w:rPr>
          <w:rFonts w:eastAsia="Calibri" w:cs="Calibri"/>
          <w:sz w:val="28"/>
          <w:szCs w:val="28"/>
        </w:rPr>
        <w:t>, скарг на біль та печію не відзначалося.</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При аналізі даних щодо змін показника П5 встановлено, що на 6 місяць післяопераційного періоду в контрольній групі ознака малої площі була виявлена у 13 пацієнтів</w:t>
      </w:r>
      <w:r w:rsidR="007303A4">
        <w:rPr>
          <w:rFonts w:eastAsia="Calibri" w:cs="Calibri"/>
          <w:sz w:val="28"/>
          <w:szCs w:val="28"/>
          <w:lang w:val="ru-RU"/>
        </w:rPr>
        <w:t xml:space="preserve"> </w:t>
      </w:r>
      <w:r w:rsidR="007303A4" w:rsidRPr="00CA099F">
        <w:rPr>
          <w:rFonts w:eastAsia="Calibri" w:cs="Calibri"/>
          <w:sz w:val="28"/>
          <w:szCs w:val="28"/>
        </w:rPr>
        <w:t>(65%)</w:t>
      </w:r>
      <w:r w:rsidRPr="00CA099F">
        <w:rPr>
          <w:rFonts w:eastAsia="Calibri" w:cs="Calibri"/>
          <w:sz w:val="28"/>
          <w:szCs w:val="28"/>
        </w:rPr>
        <w:t xml:space="preserve">. У 4 </w:t>
      </w:r>
      <w:r w:rsidR="00D96DA9">
        <w:rPr>
          <w:rFonts w:eastAsia="Calibri" w:cs="Calibri"/>
          <w:sz w:val="28"/>
          <w:szCs w:val="28"/>
        </w:rPr>
        <w:t>пацієнтів</w:t>
      </w:r>
      <w:r w:rsidRPr="00CA099F">
        <w:rPr>
          <w:rFonts w:eastAsia="Calibri" w:cs="Calibri"/>
          <w:sz w:val="28"/>
          <w:szCs w:val="28"/>
        </w:rPr>
        <w:t xml:space="preserve"> </w:t>
      </w:r>
      <w:r w:rsidR="007303A4" w:rsidRPr="00CA099F">
        <w:rPr>
          <w:rFonts w:eastAsia="Calibri" w:cs="Calibri"/>
          <w:sz w:val="28"/>
          <w:szCs w:val="28"/>
        </w:rPr>
        <w:t xml:space="preserve">(20%) </w:t>
      </w:r>
      <w:r w:rsidRPr="00CA099F">
        <w:rPr>
          <w:rFonts w:eastAsia="Calibri" w:cs="Calibri"/>
          <w:sz w:val="28"/>
          <w:szCs w:val="28"/>
        </w:rPr>
        <w:t xml:space="preserve">середня площа не </w:t>
      </w:r>
      <w:r w:rsidRPr="00CA099F">
        <w:rPr>
          <w:rFonts w:eastAsia="Calibri" w:cs="Calibri"/>
          <w:sz w:val="28"/>
          <w:szCs w:val="28"/>
        </w:rPr>
        <w:lastRenderedPageBreak/>
        <w:t>перевищувала 9,5 мм</w:t>
      </w:r>
      <w:r w:rsidRPr="00CA099F">
        <w:rPr>
          <w:rFonts w:eastAsia="Calibri" w:cs="Calibri"/>
          <w:sz w:val="28"/>
          <w:szCs w:val="28"/>
          <w:vertAlign w:val="superscript"/>
        </w:rPr>
        <w:t>2</w:t>
      </w:r>
      <w:r w:rsidRPr="00CA099F">
        <w:rPr>
          <w:rFonts w:eastAsia="Calibri" w:cs="Calibri"/>
          <w:sz w:val="28"/>
          <w:szCs w:val="28"/>
        </w:rPr>
        <w:t xml:space="preserve">. У 3 пацієнтів </w:t>
      </w:r>
      <w:r w:rsidR="007303A4" w:rsidRPr="00CA099F">
        <w:rPr>
          <w:rFonts w:eastAsia="Calibri" w:cs="Calibri"/>
          <w:sz w:val="28"/>
          <w:szCs w:val="28"/>
        </w:rPr>
        <w:t xml:space="preserve">(15%) </w:t>
      </w:r>
      <w:r w:rsidRPr="00CA099F">
        <w:rPr>
          <w:rFonts w:eastAsia="Calibri" w:cs="Calibri"/>
          <w:sz w:val="28"/>
          <w:szCs w:val="28"/>
        </w:rPr>
        <w:t>була відмічена велика площа рубцевозмінених тканин.</w:t>
      </w:r>
    </w:p>
    <w:p w:rsidR="0030517B" w:rsidRPr="00CA099F" w:rsidRDefault="00FE0058" w:rsidP="005B77D6">
      <w:pPr>
        <w:spacing w:after="0" w:line="360" w:lineRule="auto"/>
        <w:ind w:firstLine="708"/>
        <w:jc w:val="both"/>
        <w:rPr>
          <w:rFonts w:eastAsia="Calibri" w:cs="Calibri"/>
          <w:sz w:val="28"/>
          <w:szCs w:val="28"/>
        </w:rPr>
      </w:pPr>
      <w:r>
        <w:rPr>
          <w:rFonts w:eastAsia="Calibri" w:cs="Calibri"/>
          <w:sz w:val="28"/>
          <w:szCs w:val="28"/>
        </w:rPr>
        <w:t>У</w:t>
      </w:r>
      <w:r w:rsidR="0030517B" w:rsidRPr="00CA099F">
        <w:rPr>
          <w:rFonts w:eastAsia="Calibri" w:cs="Calibri"/>
          <w:sz w:val="28"/>
          <w:szCs w:val="28"/>
        </w:rPr>
        <w:t xml:space="preserve"> 1 груп</w:t>
      </w:r>
      <w:r>
        <w:rPr>
          <w:rFonts w:eastAsia="Calibri" w:cs="Calibri"/>
          <w:sz w:val="28"/>
          <w:szCs w:val="28"/>
        </w:rPr>
        <w:t>і спостереження ознака малої площі визначалася у</w:t>
      </w:r>
      <w:r w:rsidR="0030517B" w:rsidRPr="00CA099F">
        <w:rPr>
          <w:rFonts w:eastAsia="Calibri" w:cs="Calibri"/>
          <w:sz w:val="28"/>
          <w:szCs w:val="28"/>
        </w:rPr>
        <w:t xml:space="preserve"> 16 пацієнтів</w:t>
      </w:r>
      <w:r>
        <w:rPr>
          <w:rFonts w:eastAsia="Calibri" w:cs="Calibri"/>
          <w:sz w:val="28"/>
          <w:szCs w:val="28"/>
        </w:rPr>
        <w:t xml:space="preserve"> </w:t>
      </w:r>
      <w:r w:rsidRPr="00CA099F">
        <w:rPr>
          <w:rFonts w:eastAsia="Calibri" w:cs="Calibri"/>
          <w:sz w:val="28"/>
          <w:szCs w:val="28"/>
        </w:rPr>
        <w:t>(80%)</w:t>
      </w:r>
      <w:r w:rsidR="0030517B" w:rsidRPr="00CA099F">
        <w:rPr>
          <w:rFonts w:eastAsia="Calibri" w:cs="Calibri"/>
          <w:sz w:val="28"/>
          <w:szCs w:val="28"/>
        </w:rPr>
        <w:t>, середня площа була зафіксована у 3 (15%) (не перевищувала 8,9 мм</w:t>
      </w:r>
      <w:r w:rsidR="0030517B" w:rsidRPr="00CA099F">
        <w:rPr>
          <w:rFonts w:eastAsia="Calibri" w:cs="Calibri"/>
          <w:sz w:val="28"/>
          <w:szCs w:val="28"/>
          <w:vertAlign w:val="superscript"/>
        </w:rPr>
        <w:t>2</w:t>
      </w:r>
      <w:r w:rsidR="0030517B" w:rsidRPr="00CA099F">
        <w:rPr>
          <w:rFonts w:eastAsia="Calibri" w:cs="Calibri"/>
          <w:sz w:val="28"/>
          <w:szCs w:val="28"/>
        </w:rPr>
        <w:t xml:space="preserve">) та у 1 </w:t>
      </w:r>
      <w:r>
        <w:rPr>
          <w:rFonts w:eastAsia="Calibri" w:cs="Calibri"/>
          <w:sz w:val="28"/>
          <w:szCs w:val="28"/>
        </w:rPr>
        <w:t xml:space="preserve">пацієнта </w:t>
      </w:r>
      <w:r w:rsidR="0030517B" w:rsidRPr="00CA099F">
        <w:rPr>
          <w:rFonts w:eastAsia="Calibri" w:cs="Calibri"/>
          <w:sz w:val="28"/>
          <w:szCs w:val="28"/>
        </w:rPr>
        <w:t>(5%) була відмічена велика площа.</w:t>
      </w:r>
    </w:p>
    <w:p w:rsidR="0030517B" w:rsidRPr="00CA099F" w:rsidRDefault="000B5DF6" w:rsidP="005B77D6">
      <w:pPr>
        <w:spacing w:after="0" w:line="360" w:lineRule="auto"/>
        <w:ind w:firstLine="708"/>
        <w:jc w:val="both"/>
        <w:rPr>
          <w:rFonts w:eastAsia="Calibri" w:cs="Calibri"/>
          <w:sz w:val="28"/>
          <w:szCs w:val="28"/>
        </w:rPr>
      </w:pPr>
      <w:r>
        <w:rPr>
          <w:rFonts w:eastAsia="Calibri" w:cs="Calibri"/>
          <w:sz w:val="28"/>
          <w:szCs w:val="28"/>
        </w:rPr>
        <w:t>У</w:t>
      </w:r>
      <w:r w:rsidR="0030517B" w:rsidRPr="00CA099F">
        <w:rPr>
          <w:rFonts w:eastAsia="Calibri" w:cs="Calibri"/>
          <w:sz w:val="28"/>
          <w:szCs w:val="28"/>
        </w:rPr>
        <w:t xml:space="preserve"> 2 групі ознака малої площі </w:t>
      </w:r>
      <w:r w:rsidR="004916A1">
        <w:rPr>
          <w:rFonts w:eastAsia="Calibri" w:cs="Calibri"/>
          <w:sz w:val="28"/>
          <w:szCs w:val="28"/>
        </w:rPr>
        <w:t>була наявна у</w:t>
      </w:r>
      <w:r w:rsidR="0030517B" w:rsidRPr="00CA099F">
        <w:rPr>
          <w:rFonts w:eastAsia="Calibri" w:cs="Calibri"/>
          <w:sz w:val="28"/>
          <w:szCs w:val="28"/>
        </w:rPr>
        <w:t xml:space="preserve"> 17 пацієнтів</w:t>
      </w:r>
      <w:r w:rsidR="00014E01">
        <w:rPr>
          <w:rFonts w:eastAsia="Calibri" w:cs="Calibri"/>
          <w:sz w:val="28"/>
          <w:szCs w:val="28"/>
          <w:lang w:val="ru-RU"/>
        </w:rPr>
        <w:t xml:space="preserve"> </w:t>
      </w:r>
      <w:r w:rsidR="00014E01" w:rsidRPr="00CA099F">
        <w:rPr>
          <w:rFonts w:eastAsia="Calibri" w:cs="Calibri"/>
          <w:sz w:val="28"/>
          <w:szCs w:val="28"/>
        </w:rPr>
        <w:t>(85%)</w:t>
      </w:r>
      <w:r w:rsidR="0030517B" w:rsidRPr="00CA099F">
        <w:rPr>
          <w:rFonts w:eastAsia="Calibri" w:cs="Calibri"/>
          <w:sz w:val="28"/>
          <w:szCs w:val="28"/>
        </w:rPr>
        <w:t>, у 3 (15%) були зафіксовані дані щодо середньої площі</w:t>
      </w:r>
      <w:r w:rsidR="001013D7">
        <w:rPr>
          <w:rFonts w:eastAsia="Calibri" w:cs="Calibri"/>
          <w:sz w:val="28"/>
          <w:szCs w:val="28"/>
        </w:rPr>
        <w:t>,</w:t>
      </w:r>
      <w:r w:rsidR="0030517B" w:rsidRPr="00CA099F">
        <w:rPr>
          <w:rFonts w:eastAsia="Calibri" w:cs="Calibri"/>
          <w:sz w:val="28"/>
          <w:szCs w:val="28"/>
        </w:rPr>
        <w:t xml:space="preserve"> яка не перевищувала 8,2 мм</w:t>
      </w:r>
      <w:r w:rsidR="0030517B" w:rsidRPr="00CA099F">
        <w:rPr>
          <w:rFonts w:eastAsia="Calibri" w:cs="Calibri"/>
          <w:sz w:val="28"/>
          <w:szCs w:val="28"/>
          <w:vertAlign w:val="superscript"/>
        </w:rPr>
        <w:t>2</w:t>
      </w:r>
      <w:r w:rsidR="0030517B" w:rsidRPr="00CA099F">
        <w:rPr>
          <w:rFonts w:eastAsia="Calibri" w:cs="Calibri"/>
          <w:sz w:val="28"/>
          <w:szCs w:val="28"/>
        </w:rPr>
        <w:t>. Ознак великої площі рубцевозмінених тканин нами не зафіксовано.</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Аналіз динаміки змін температури рубцевозмінених тканин шкіри встановив, що на 6 місяць досліджень середня температура в центральній частині рубця в контрольній групі складала 26,8</w:t>
      </w:r>
      <w:r w:rsidRPr="00CA099F">
        <w:rPr>
          <w:rFonts w:eastAsia="Calibri" w:cs="Times New Roman"/>
          <w:sz w:val="28"/>
          <w:szCs w:val="28"/>
        </w:rPr>
        <w:t>±</w:t>
      </w:r>
      <w:r w:rsidRPr="00CA099F">
        <w:rPr>
          <w:rFonts w:eastAsia="Calibri" w:cs="Calibri"/>
          <w:sz w:val="28"/>
          <w:szCs w:val="28"/>
        </w:rPr>
        <w:t>1,2</w:t>
      </w:r>
      <w:r w:rsidRPr="00CA099F">
        <w:rPr>
          <w:rFonts w:eastAsia="Calibri" w:cs="Times New Roman"/>
          <w:sz w:val="28"/>
          <w:szCs w:val="28"/>
        </w:rPr>
        <w:t xml:space="preserve">° </w:t>
      </w:r>
      <w:r w:rsidRPr="00CA099F">
        <w:rPr>
          <w:rFonts w:eastAsia="Calibri" w:cs="Calibri"/>
          <w:sz w:val="28"/>
          <w:szCs w:val="28"/>
        </w:rPr>
        <w:t>С. Дещо вища температура зафіксована в периферичних краях: у медіальному - 30,6</w:t>
      </w:r>
      <w:r w:rsidRPr="00CA099F">
        <w:rPr>
          <w:rFonts w:eastAsia="Calibri" w:cs="Times New Roman"/>
          <w:sz w:val="28"/>
          <w:szCs w:val="28"/>
        </w:rPr>
        <w:t>±</w:t>
      </w:r>
      <w:r w:rsidRPr="00CA099F">
        <w:rPr>
          <w:rFonts w:eastAsia="Calibri" w:cs="Calibri"/>
          <w:sz w:val="28"/>
          <w:szCs w:val="28"/>
        </w:rPr>
        <w:t>0,9</w:t>
      </w:r>
      <w:r w:rsidRPr="00CA099F">
        <w:rPr>
          <w:rFonts w:eastAsia="Calibri" w:cs="Times New Roman"/>
          <w:sz w:val="28"/>
          <w:szCs w:val="28"/>
        </w:rPr>
        <w:t xml:space="preserve">° </w:t>
      </w:r>
      <w:r w:rsidRPr="00CA099F">
        <w:rPr>
          <w:rFonts w:eastAsia="Calibri" w:cs="Calibri"/>
          <w:sz w:val="28"/>
          <w:szCs w:val="28"/>
        </w:rPr>
        <w:t>С та в латеральному - 30,1</w:t>
      </w:r>
      <w:r w:rsidRPr="00CA099F">
        <w:rPr>
          <w:rFonts w:eastAsia="Calibri" w:cs="Times New Roman"/>
          <w:sz w:val="28"/>
          <w:szCs w:val="28"/>
        </w:rPr>
        <w:t>±</w:t>
      </w:r>
      <w:r w:rsidRPr="00CA099F">
        <w:rPr>
          <w:rFonts w:eastAsia="Calibri" w:cs="Calibri"/>
          <w:sz w:val="28"/>
          <w:szCs w:val="28"/>
        </w:rPr>
        <w:t>1,4</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 xml:space="preserve">В 1 групі різниця в діапазоні середніх температур достовірно підвищилася. </w:t>
      </w:r>
      <w:r w:rsidR="005279F5">
        <w:rPr>
          <w:rFonts w:eastAsia="Calibri" w:cs="Calibri"/>
          <w:sz w:val="28"/>
          <w:szCs w:val="28"/>
        </w:rPr>
        <w:t>У</w:t>
      </w:r>
      <w:r w:rsidRPr="00CA099F">
        <w:rPr>
          <w:rFonts w:eastAsia="Calibri" w:cs="Calibri"/>
          <w:sz w:val="28"/>
          <w:szCs w:val="28"/>
        </w:rPr>
        <w:t xml:space="preserve"> центрі рубця вона фіксувалася найнижчою та становила 28,1</w:t>
      </w:r>
      <w:r w:rsidRPr="00CA099F">
        <w:rPr>
          <w:rFonts w:eastAsia="Calibri" w:cs="Times New Roman"/>
          <w:sz w:val="28"/>
          <w:szCs w:val="28"/>
        </w:rPr>
        <w:t>±</w:t>
      </w:r>
      <w:r w:rsidRPr="00CA099F">
        <w:rPr>
          <w:rFonts w:eastAsia="Calibri" w:cs="Calibri"/>
          <w:sz w:val="28"/>
          <w:szCs w:val="28"/>
        </w:rPr>
        <w:t>1,3</w:t>
      </w:r>
      <w:r w:rsidRPr="00CA099F">
        <w:rPr>
          <w:rFonts w:eastAsia="Calibri" w:cs="Times New Roman"/>
          <w:sz w:val="28"/>
          <w:szCs w:val="28"/>
        </w:rPr>
        <w:t xml:space="preserve">° </w:t>
      </w:r>
      <w:r w:rsidRPr="00CA099F">
        <w:rPr>
          <w:rFonts w:eastAsia="Calibri" w:cs="Calibri"/>
          <w:sz w:val="28"/>
          <w:szCs w:val="28"/>
        </w:rPr>
        <w:t>С. Найвища температура зафіксована в ділянці латерального краю - 31,3</w:t>
      </w:r>
      <w:r w:rsidRPr="00CA099F">
        <w:rPr>
          <w:rFonts w:eastAsia="Calibri" w:cs="Times New Roman"/>
          <w:sz w:val="28"/>
          <w:szCs w:val="28"/>
        </w:rPr>
        <w:t>±</w:t>
      </w:r>
      <w:r w:rsidRPr="00CA099F">
        <w:rPr>
          <w:rFonts w:eastAsia="Calibri" w:cs="Calibri"/>
          <w:sz w:val="28"/>
          <w:szCs w:val="28"/>
        </w:rPr>
        <w:t>0,8</w:t>
      </w:r>
      <w:r w:rsidRPr="00CA099F">
        <w:rPr>
          <w:rFonts w:eastAsia="Calibri" w:cs="Times New Roman"/>
          <w:sz w:val="28"/>
          <w:szCs w:val="28"/>
        </w:rPr>
        <w:t xml:space="preserve">° </w:t>
      </w:r>
      <w:r w:rsidR="005279F5">
        <w:rPr>
          <w:rFonts w:eastAsia="Calibri" w:cs="Calibri"/>
          <w:sz w:val="28"/>
          <w:szCs w:val="28"/>
        </w:rPr>
        <w:t>С. У</w:t>
      </w:r>
      <w:r w:rsidRPr="00CA099F">
        <w:rPr>
          <w:rFonts w:eastAsia="Calibri" w:cs="Calibri"/>
          <w:sz w:val="28"/>
          <w:szCs w:val="28"/>
        </w:rPr>
        <w:t xml:space="preserve"> медіальному краю спостерігалися проміжні значення, які дорівнювали 31,1</w:t>
      </w:r>
      <w:r w:rsidRPr="00CA099F">
        <w:rPr>
          <w:rFonts w:eastAsia="Calibri" w:cs="Times New Roman"/>
          <w:sz w:val="28"/>
          <w:szCs w:val="28"/>
        </w:rPr>
        <w:t>±</w:t>
      </w:r>
      <w:r w:rsidRPr="00CA099F">
        <w:rPr>
          <w:rFonts w:eastAsia="Calibri" w:cs="Calibri"/>
          <w:sz w:val="28"/>
          <w:szCs w:val="28"/>
        </w:rPr>
        <w:t>0,9</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5279F5" w:rsidP="005B77D6">
      <w:pPr>
        <w:spacing w:after="0" w:line="360" w:lineRule="auto"/>
        <w:ind w:firstLine="708"/>
        <w:jc w:val="both"/>
        <w:rPr>
          <w:rFonts w:eastAsia="Calibri" w:cs="Calibri"/>
          <w:sz w:val="28"/>
          <w:szCs w:val="28"/>
        </w:rPr>
      </w:pPr>
      <w:r>
        <w:rPr>
          <w:rFonts w:eastAsia="Calibri" w:cs="Calibri"/>
          <w:sz w:val="28"/>
          <w:szCs w:val="28"/>
        </w:rPr>
        <w:t>У</w:t>
      </w:r>
      <w:r w:rsidR="0030517B" w:rsidRPr="00CA099F">
        <w:rPr>
          <w:rFonts w:eastAsia="Calibri" w:cs="Calibri"/>
          <w:sz w:val="28"/>
          <w:szCs w:val="28"/>
        </w:rPr>
        <w:t xml:space="preserve"> 2 групі нами зафіксовано достовірне підвищення середньої температури. На 6 місяць спостереження в центрі рубцевозмінених тканин вона складала 28,9</w:t>
      </w:r>
      <w:r w:rsidR="0030517B" w:rsidRPr="00CA099F">
        <w:rPr>
          <w:rFonts w:eastAsia="Calibri" w:cs="Times New Roman"/>
          <w:sz w:val="28"/>
          <w:szCs w:val="28"/>
        </w:rPr>
        <w:t>±</w:t>
      </w:r>
      <w:r w:rsidR="0030517B" w:rsidRPr="00CA099F">
        <w:rPr>
          <w:rFonts w:eastAsia="Calibri" w:cs="Calibri"/>
          <w:sz w:val="28"/>
          <w:szCs w:val="28"/>
        </w:rPr>
        <w:t>1,2</w:t>
      </w:r>
      <w:r w:rsidR="0030517B" w:rsidRPr="00CA099F">
        <w:rPr>
          <w:rFonts w:eastAsia="Calibri" w:cs="Times New Roman"/>
          <w:sz w:val="28"/>
          <w:szCs w:val="28"/>
        </w:rPr>
        <w:t xml:space="preserve">° </w:t>
      </w:r>
      <w:r w:rsidR="0030517B" w:rsidRPr="00CA099F">
        <w:rPr>
          <w:rFonts w:eastAsia="Calibri" w:cs="Calibri"/>
          <w:sz w:val="28"/>
          <w:szCs w:val="28"/>
        </w:rPr>
        <w:t>С. У латеральній частині рубця продовжувалися фіксуватися найвищі значення, які дорівнювали 31,7</w:t>
      </w:r>
      <w:r w:rsidR="0030517B" w:rsidRPr="00CA099F">
        <w:rPr>
          <w:rFonts w:eastAsia="Calibri" w:cs="Times New Roman"/>
          <w:sz w:val="28"/>
          <w:szCs w:val="28"/>
        </w:rPr>
        <w:t>±</w:t>
      </w:r>
      <w:r w:rsidR="0030517B" w:rsidRPr="00CA099F">
        <w:rPr>
          <w:rFonts w:eastAsia="Calibri" w:cs="Calibri"/>
          <w:sz w:val="28"/>
          <w:szCs w:val="28"/>
        </w:rPr>
        <w:t>1,6</w:t>
      </w:r>
      <w:r w:rsidR="0030517B" w:rsidRPr="00CA099F">
        <w:rPr>
          <w:rFonts w:eastAsia="Calibri" w:cs="Times New Roman"/>
          <w:sz w:val="28"/>
          <w:szCs w:val="28"/>
        </w:rPr>
        <w:t xml:space="preserve">° </w:t>
      </w:r>
      <w:r w:rsidR="00014E01">
        <w:rPr>
          <w:rFonts w:eastAsia="Calibri" w:cs="Calibri"/>
          <w:sz w:val="28"/>
          <w:szCs w:val="28"/>
        </w:rPr>
        <w:t xml:space="preserve">С. </w:t>
      </w:r>
      <w:r w:rsidR="00014E01" w:rsidRPr="00014E01">
        <w:rPr>
          <w:rFonts w:eastAsia="Calibri" w:cs="Calibri"/>
          <w:sz w:val="28"/>
          <w:szCs w:val="28"/>
        </w:rPr>
        <w:t>У</w:t>
      </w:r>
      <w:r w:rsidR="0030517B" w:rsidRPr="00CA099F">
        <w:rPr>
          <w:rFonts w:eastAsia="Calibri" w:cs="Calibri"/>
          <w:sz w:val="28"/>
          <w:szCs w:val="28"/>
        </w:rPr>
        <w:t xml:space="preserve"> медіальній частині спостерігалися дещо нижчі показники, які в цій групі складали 31,4</w:t>
      </w:r>
      <w:r w:rsidR="0030517B" w:rsidRPr="00CA099F">
        <w:rPr>
          <w:rFonts w:eastAsia="Calibri" w:cs="Times New Roman"/>
          <w:sz w:val="28"/>
          <w:szCs w:val="28"/>
        </w:rPr>
        <w:t>±</w:t>
      </w:r>
      <w:r w:rsidR="0030517B" w:rsidRPr="00CA099F">
        <w:rPr>
          <w:rFonts w:eastAsia="Calibri" w:cs="Calibri"/>
          <w:sz w:val="28"/>
          <w:szCs w:val="28"/>
        </w:rPr>
        <w:t>1,4</w:t>
      </w:r>
      <w:r w:rsidR="0030517B" w:rsidRPr="00CA099F">
        <w:rPr>
          <w:rFonts w:eastAsia="Calibri" w:cs="Times New Roman"/>
          <w:sz w:val="28"/>
          <w:szCs w:val="28"/>
        </w:rPr>
        <w:t xml:space="preserve">° </w:t>
      </w:r>
      <w:r w:rsidR="0030517B" w:rsidRPr="00CA099F">
        <w:rPr>
          <w:rFonts w:eastAsia="Calibri" w:cs="Calibri"/>
          <w:sz w:val="28"/>
          <w:szCs w:val="28"/>
        </w:rPr>
        <w:t>С.</w:t>
      </w:r>
    </w:p>
    <w:p w:rsidR="0030517B" w:rsidRPr="00CA099F" w:rsidRDefault="0030517B" w:rsidP="005B77D6">
      <w:pPr>
        <w:spacing w:after="0" w:line="360" w:lineRule="auto"/>
        <w:ind w:firstLine="708"/>
        <w:jc w:val="both"/>
        <w:rPr>
          <w:rFonts w:eastAsia="Calibri" w:cs="Calibri"/>
          <w:sz w:val="28"/>
          <w:szCs w:val="28"/>
        </w:rPr>
      </w:pPr>
      <w:r w:rsidRPr="00CA099F">
        <w:rPr>
          <w:rFonts w:eastAsia="Calibri" w:cs="Calibri"/>
          <w:sz w:val="28"/>
          <w:szCs w:val="28"/>
        </w:rPr>
        <w:t>Графік динаміки змін показників середньої температури у різних зонах рубцевозмінених тканин в залежності від виду інтра- та пост-операційної профілактики на 6 мі</w:t>
      </w:r>
      <w:r w:rsidR="00270657">
        <w:rPr>
          <w:rFonts w:eastAsia="Calibri" w:cs="Calibri"/>
          <w:sz w:val="28"/>
          <w:szCs w:val="28"/>
        </w:rPr>
        <w:t>сяць досліджень наведено на рисунку</w:t>
      </w:r>
      <w:r w:rsidRPr="00CA099F">
        <w:rPr>
          <w:rFonts w:eastAsia="Calibri" w:cs="Calibri"/>
          <w:sz w:val="28"/>
          <w:szCs w:val="28"/>
        </w:rPr>
        <w:t xml:space="preserve"> 3.5.</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noProof/>
          <w:sz w:val="28"/>
          <w:szCs w:val="28"/>
          <w:lang w:val="ru-RU" w:eastAsia="ru-RU"/>
        </w:rPr>
        <w:lastRenderedPageBreak/>
        <w:drawing>
          <wp:inline distT="0" distB="0" distL="0" distR="0" wp14:anchorId="2DBF545A" wp14:editId="2013C09D">
            <wp:extent cx="5486400" cy="49149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Рис. 3.5. Графік динаміки змін показників середньої температури у різних зонах рубцевозмінених тканин на 6 місяць післяопераційного періоду.</w:t>
      </w:r>
    </w:p>
    <w:p w:rsidR="00FA3469" w:rsidRPr="00CA099F" w:rsidRDefault="00FA3469" w:rsidP="0030517B">
      <w:pPr>
        <w:spacing w:after="160" w:line="360" w:lineRule="auto"/>
        <w:ind w:firstLine="708"/>
        <w:jc w:val="both"/>
        <w:rPr>
          <w:rFonts w:eastAsia="Calibri" w:cs="Calibri"/>
          <w:b/>
          <w:sz w:val="28"/>
          <w:szCs w:val="28"/>
        </w:rPr>
      </w:pPr>
    </w:p>
    <w:p w:rsidR="0030517B" w:rsidRPr="00CA099F" w:rsidRDefault="0030517B" w:rsidP="0030517B">
      <w:pPr>
        <w:spacing w:after="160" w:line="360" w:lineRule="auto"/>
        <w:ind w:firstLine="708"/>
        <w:jc w:val="both"/>
        <w:rPr>
          <w:rFonts w:eastAsia="Calibri" w:cs="Calibri"/>
          <w:b/>
          <w:sz w:val="28"/>
          <w:szCs w:val="28"/>
        </w:rPr>
      </w:pPr>
      <w:r w:rsidRPr="00CA099F">
        <w:rPr>
          <w:rFonts w:eastAsia="Calibri" w:cs="Calibri"/>
          <w:b/>
          <w:sz w:val="28"/>
          <w:szCs w:val="28"/>
        </w:rPr>
        <w:t>3.4. Зміни клінічних показників рубцевозмінених тканин на 9 місяць післяопераційного періоду</w:t>
      </w:r>
    </w:p>
    <w:p w:rsidR="0030517B" w:rsidRPr="00CA099F" w:rsidRDefault="0030517B" w:rsidP="0030517B">
      <w:pPr>
        <w:spacing w:after="160" w:line="360" w:lineRule="auto"/>
        <w:ind w:firstLine="708"/>
        <w:jc w:val="both"/>
        <w:rPr>
          <w:rFonts w:eastAsia="Calibri" w:cs="Calibri"/>
          <w:b/>
          <w:sz w:val="28"/>
          <w:szCs w:val="28"/>
        </w:rPr>
      </w:pP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При дослідженні показника П1 у контрольній групі досліджень наявність атрофічного рубця нами спостерігалося в 50% випадках (10 пацієнтів). У 4 пацієнтів</w:t>
      </w:r>
      <w:r w:rsidR="008D1A57">
        <w:rPr>
          <w:rFonts w:eastAsia="Calibri" w:cs="Calibri"/>
          <w:sz w:val="28"/>
          <w:szCs w:val="28"/>
          <w:lang w:val="ru-RU"/>
        </w:rPr>
        <w:t xml:space="preserve"> </w:t>
      </w:r>
      <w:r w:rsidR="008D1A57" w:rsidRPr="00CA099F">
        <w:rPr>
          <w:rFonts w:eastAsia="Calibri" w:cs="Calibri"/>
          <w:sz w:val="28"/>
          <w:szCs w:val="28"/>
        </w:rPr>
        <w:t xml:space="preserve">(20%) </w:t>
      </w:r>
      <w:r w:rsidRPr="00CA099F">
        <w:rPr>
          <w:rFonts w:eastAsia="Calibri" w:cs="Calibri"/>
          <w:sz w:val="28"/>
          <w:szCs w:val="28"/>
        </w:rPr>
        <w:t xml:space="preserve"> нами зафіксовано наявність гіпертрофічного рубця гомогенної природи. У 2 пацієнтів </w:t>
      </w:r>
      <w:r w:rsidR="008D1A57" w:rsidRPr="00CA099F">
        <w:rPr>
          <w:rFonts w:eastAsia="Calibri" w:cs="Calibri"/>
          <w:sz w:val="28"/>
          <w:szCs w:val="28"/>
        </w:rPr>
        <w:t xml:space="preserve">(10%) </w:t>
      </w:r>
      <w:r w:rsidRPr="00CA099F">
        <w:rPr>
          <w:rFonts w:eastAsia="Calibri" w:cs="Calibri"/>
          <w:sz w:val="28"/>
          <w:szCs w:val="28"/>
        </w:rPr>
        <w:t>з`явилися ознаки вираженого келоїдного рубця.</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lastRenderedPageBreak/>
        <w:tab/>
        <w:t>У пацієнтів 1-ї групи на 9-й місяць спостереження ознаки утворення атрофічного рубця спостерігалися у 5 випадках</w:t>
      </w:r>
      <w:r w:rsidR="008D1A57">
        <w:rPr>
          <w:rFonts w:eastAsia="Calibri" w:cs="Calibri"/>
          <w:sz w:val="28"/>
          <w:szCs w:val="28"/>
          <w:lang w:val="ru-RU"/>
        </w:rPr>
        <w:t xml:space="preserve"> </w:t>
      </w:r>
      <w:r w:rsidR="008D1A57" w:rsidRPr="00CA099F">
        <w:rPr>
          <w:rFonts w:eastAsia="Calibri" w:cs="Calibri"/>
          <w:sz w:val="28"/>
          <w:szCs w:val="28"/>
        </w:rPr>
        <w:t>(25%)</w:t>
      </w:r>
      <w:r w:rsidRPr="00CA099F">
        <w:rPr>
          <w:rFonts w:eastAsia="Calibri" w:cs="Calibri"/>
          <w:sz w:val="28"/>
          <w:szCs w:val="28"/>
        </w:rPr>
        <w:t xml:space="preserve">. У 2 пацієнтів </w:t>
      </w:r>
      <w:r w:rsidR="008D1A57" w:rsidRPr="00CA099F">
        <w:rPr>
          <w:rFonts w:eastAsia="Calibri" w:cs="Calibri"/>
          <w:sz w:val="28"/>
          <w:szCs w:val="28"/>
        </w:rPr>
        <w:t xml:space="preserve">(10%) </w:t>
      </w:r>
      <w:r w:rsidRPr="00CA099F">
        <w:rPr>
          <w:rFonts w:eastAsia="Calibri" w:cs="Calibri"/>
          <w:sz w:val="28"/>
          <w:szCs w:val="28"/>
        </w:rPr>
        <w:t>відмічено наявність гомогенного гіпертрофічного рубця без вузликових розростань. Ознаки келоїдизації нами не зафіксовані. Наявність атрофічного рубця у пацієнтів 2-ї групи зафіксовано у 2 випадках</w:t>
      </w:r>
      <w:r w:rsidR="008D1A57">
        <w:rPr>
          <w:rFonts w:eastAsia="Calibri" w:cs="Calibri"/>
          <w:sz w:val="28"/>
          <w:szCs w:val="28"/>
          <w:lang w:val="ru-RU"/>
        </w:rPr>
        <w:t xml:space="preserve"> </w:t>
      </w:r>
      <w:r w:rsidR="008D1A57" w:rsidRPr="00CA099F">
        <w:rPr>
          <w:rFonts w:eastAsia="Calibri" w:cs="Calibri"/>
          <w:sz w:val="28"/>
          <w:szCs w:val="28"/>
        </w:rPr>
        <w:t>(10%)</w:t>
      </w:r>
      <w:r w:rsidRPr="00CA099F">
        <w:rPr>
          <w:rFonts w:eastAsia="Calibri" w:cs="Calibri"/>
          <w:sz w:val="28"/>
          <w:szCs w:val="28"/>
        </w:rPr>
        <w:t>. Також відмічено мінімальну можливість утворення гіпертрофічних рубців – у 1 пацієнта</w:t>
      </w:r>
      <w:r w:rsidR="008D1A57" w:rsidRPr="00FC1256">
        <w:rPr>
          <w:rFonts w:eastAsia="Calibri" w:cs="Calibri"/>
          <w:sz w:val="28"/>
          <w:szCs w:val="28"/>
        </w:rPr>
        <w:t xml:space="preserve"> </w:t>
      </w:r>
      <w:r w:rsidR="008D1A57" w:rsidRPr="00CA099F">
        <w:rPr>
          <w:rFonts w:eastAsia="Calibri" w:cs="Calibri"/>
          <w:sz w:val="28"/>
          <w:szCs w:val="28"/>
        </w:rPr>
        <w:t>(5%)</w:t>
      </w:r>
      <w:r w:rsidRPr="00CA099F">
        <w:rPr>
          <w:rFonts w:eastAsia="Calibri" w:cs="Calibri"/>
          <w:sz w:val="28"/>
          <w:szCs w:val="28"/>
        </w:rPr>
        <w:t>. Наявність келоїдних рубців в цій групі пацієнтів нами не відмічено.</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При аналізі показника П2 у пацієнтів контрольної групи слід зауважити що пальпаторно нормальна консистенція відзначалася у 12 пацієнтів</w:t>
      </w:r>
      <w:r w:rsidR="008D1A57">
        <w:rPr>
          <w:rFonts w:eastAsia="Calibri" w:cs="Calibri"/>
          <w:sz w:val="28"/>
          <w:szCs w:val="28"/>
          <w:lang w:val="ru-RU"/>
        </w:rPr>
        <w:t xml:space="preserve"> </w:t>
      </w:r>
      <w:r w:rsidR="008D1A57" w:rsidRPr="00CA099F">
        <w:rPr>
          <w:rFonts w:eastAsia="Calibri" w:cs="Calibri"/>
          <w:sz w:val="28"/>
          <w:szCs w:val="28"/>
        </w:rPr>
        <w:t>(60%)</w:t>
      </w:r>
      <w:r w:rsidRPr="00CA099F">
        <w:rPr>
          <w:rFonts w:eastAsia="Calibri" w:cs="Calibri"/>
          <w:sz w:val="28"/>
          <w:szCs w:val="28"/>
        </w:rPr>
        <w:t>,</w:t>
      </w:r>
      <w:r w:rsidR="008D1A57" w:rsidRPr="008D1A57">
        <w:rPr>
          <w:rFonts w:eastAsia="Calibri" w:cs="Calibri"/>
          <w:sz w:val="28"/>
          <w:szCs w:val="28"/>
        </w:rPr>
        <w:t xml:space="preserve"> </w:t>
      </w:r>
      <w:r w:rsidRPr="00CA099F">
        <w:rPr>
          <w:rFonts w:eastAsia="Calibri" w:cs="Calibri"/>
          <w:sz w:val="28"/>
          <w:szCs w:val="28"/>
        </w:rPr>
        <w:t xml:space="preserve">але при цьому у </w:t>
      </w:r>
      <w:r w:rsidR="000737E6">
        <w:rPr>
          <w:rFonts w:eastAsia="Calibri" w:cs="Calibri"/>
          <w:sz w:val="28"/>
          <w:szCs w:val="28"/>
        </w:rPr>
        <w:t>8</w:t>
      </w:r>
      <w:r w:rsidRPr="00CA099F">
        <w:rPr>
          <w:rFonts w:eastAsia="Calibri" w:cs="Calibri"/>
          <w:sz w:val="28"/>
          <w:szCs w:val="28"/>
        </w:rPr>
        <w:t xml:space="preserve"> (</w:t>
      </w:r>
      <w:r w:rsidR="000737E6">
        <w:rPr>
          <w:rFonts w:eastAsia="Calibri" w:cs="Calibri"/>
          <w:sz w:val="28"/>
          <w:szCs w:val="28"/>
        </w:rPr>
        <w:t>4</w:t>
      </w:r>
      <w:r w:rsidRPr="00CA099F">
        <w:rPr>
          <w:rFonts w:eastAsia="Calibri" w:cs="Calibri"/>
          <w:sz w:val="28"/>
          <w:szCs w:val="28"/>
        </w:rPr>
        <w:t xml:space="preserve">0%) – спостерігалося помірне ущільнення (у </w:t>
      </w:r>
      <w:r w:rsidR="000737E6">
        <w:rPr>
          <w:rFonts w:eastAsia="Calibri" w:cs="Calibri"/>
          <w:sz w:val="28"/>
          <w:szCs w:val="28"/>
        </w:rPr>
        <w:t>5</w:t>
      </w:r>
      <w:r w:rsidRPr="00CA099F">
        <w:rPr>
          <w:rFonts w:eastAsia="Calibri" w:cs="Calibri"/>
          <w:sz w:val="28"/>
          <w:szCs w:val="28"/>
        </w:rPr>
        <w:t xml:space="preserve"> (2</w:t>
      </w:r>
      <w:r w:rsidR="000737E6">
        <w:rPr>
          <w:rFonts w:eastAsia="Calibri" w:cs="Calibri"/>
          <w:sz w:val="28"/>
          <w:szCs w:val="28"/>
        </w:rPr>
        <w:t>5</w:t>
      </w:r>
      <w:r w:rsidRPr="00CA099F">
        <w:rPr>
          <w:rFonts w:eastAsia="Calibri" w:cs="Calibri"/>
          <w:sz w:val="28"/>
          <w:szCs w:val="28"/>
        </w:rPr>
        <w:t>%</w:t>
      </w:r>
      <w:r w:rsidR="000737E6">
        <w:rPr>
          <w:rFonts w:eastAsia="Calibri" w:cs="Calibri"/>
          <w:sz w:val="28"/>
          <w:szCs w:val="28"/>
        </w:rPr>
        <w:t>) – в центральній частині, а у 3</w:t>
      </w:r>
      <w:r w:rsidRPr="00CA099F">
        <w:rPr>
          <w:rFonts w:eastAsia="Calibri" w:cs="Calibri"/>
          <w:sz w:val="28"/>
          <w:szCs w:val="28"/>
        </w:rPr>
        <w:t xml:space="preserve"> (1</w:t>
      </w:r>
      <w:r w:rsidR="000737E6">
        <w:rPr>
          <w:rFonts w:eastAsia="Calibri" w:cs="Calibri"/>
          <w:sz w:val="28"/>
          <w:szCs w:val="28"/>
        </w:rPr>
        <w:t>5</w:t>
      </w:r>
      <w:r w:rsidRPr="00CA099F">
        <w:rPr>
          <w:rFonts w:eastAsia="Calibri" w:cs="Calibri"/>
          <w:sz w:val="28"/>
          <w:szCs w:val="28"/>
        </w:rPr>
        <w:t xml:space="preserve">%) – в дистальній частині рубця). Ознак індурації рубця виявлено не було. У </w:t>
      </w:r>
      <w:r w:rsidR="00D96DA9">
        <w:rPr>
          <w:rFonts w:eastAsia="Calibri" w:cs="Calibri"/>
          <w:sz w:val="28"/>
          <w:szCs w:val="28"/>
        </w:rPr>
        <w:t>пацієнтів</w:t>
      </w:r>
      <w:r w:rsidRPr="00CA099F">
        <w:rPr>
          <w:rFonts w:eastAsia="Calibri" w:cs="Calibri"/>
          <w:sz w:val="28"/>
          <w:szCs w:val="28"/>
        </w:rPr>
        <w:t xml:space="preserve"> 1-ї групи в 15 випадках пальпаторно визначалися ознаки нормальної консистенції рубця. Кількість пацієнтів з ущільненями в центральній частині зменшилося до 5 (25%) без наявності поодиноких ущільнень в маргінальних краях. Явищ індурації нами не </w:t>
      </w:r>
      <w:r w:rsidR="008D1A57">
        <w:rPr>
          <w:rFonts w:eastAsia="Calibri" w:cs="Calibri"/>
          <w:sz w:val="28"/>
          <w:szCs w:val="28"/>
          <w:lang w:val="ru-RU"/>
        </w:rPr>
        <w:t>виявлено</w:t>
      </w:r>
      <w:r w:rsidRPr="00CA099F">
        <w:rPr>
          <w:rFonts w:eastAsia="Calibri" w:cs="Calibri"/>
          <w:sz w:val="28"/>
          <w:szCs w:val="28"/>
        </w:rPr>
        <w:t xml:space="preserve">. У </w:t>
      </w:r>
      <w:r w:rsidR="00D96DA9">
        <w:rPr>
          <w:rFonts w:eastAsia="Calibri" w:cs="Calibri"/>
          <w:sz w:val="28"/>
          <w:szCs w:val="28"/>
        </w:rPr>
        <w:t>пацієнтів</w:t>
      </w:r>
      <w:r w:rsidRPr="00CA099F">
        <w:rPr>
          <w:rFonts w:eastAsia="Calibri" w:cs="Calibri"/>
          <w:sz w:val="28"/>
          <w:szCs w:val="28"/>
        </w:rPr>
        <w:t xml:space="preserve"> 2-ї групи зберігалася позитивна динаміка рубцювання, а саме: нормальна консист</w:t>
      </w:r>
      <w:r w:rsidR="000737E6">
        <w:rPr>
          <w:rFonts w:eastAsia="Calibri" w:cs="Calibri"/>
          <w:sz w:val="28"/>
          <w:szCs w:val="28"/>
        </w:rPr>
        <w:t>енція була нами зафіксована у 18</w:t>
      </w:r>
      <w:r w:rsidR="002C755C">
        <w:rPr>
          <w:rFonts w:eastAsia="Calibri" w:cs="Calibri"/>
          <w:sz w:val="28"/>
          <w:szCs w:val="28"/>
          <w:lang w:val="ru-RU"/>
        </w:rPr>
        <w:t xml:space="preserve"> </w:t>
      </w:r>
      <w:r w:rsidRPr="00CA099F">
        <w:rPr>
          <w:rFonts w:eastAsia="Calibri" w:cs="Calibri"/>
          <w:sz w:val="28"/>
          <w:szCs w:val="28"/>
        </w:rPr>
        <w:t>пацієнтів</w:t>
      </w:r>
      <w:r w:rsidR="002C755C">
        <w:rPr>
          <w:rFonts w:eastAsia="Calibri" w:cs="Calibri"/>
          <w:sz w:val="28"/>
          <w:szCs w:val="28"/>
          <w:lang w:val="ru-RU"/>
        </w:rPr>
        <w:t xml:space="preserve"> </w:t>
      </w:r>
      <w:r w:rsidR="009C31D5">
        <w:rPr>
          <w:rFonts w:eastAsia="Calibri" w:cs="Calibri"/>
          <w:sz w:val="28"/>
          <w:szCs w:val="28"/>
        </w:rPr>
        <w:t>(9</w:t>
      </w:r>
      <w:r w:rsidR="002C755C" w:rsidRPr="00CA099F">
        <w:rPr>
          <w:rFonts w:eastAsia="Calibri" w:cs="Calibri"/>
          <w:sz w:val="28"/>
          <w:szCs w:val="28"/>
        </w:rPr>
        <w:t>0%)</w:t>
      </w:r>
      <w:r w:rsidR="009C31D5">
        <w:rPr>
          <w:rFonts w:eastAsia="Calibri" w:cs="Calibri"/>
          <w:sz w:val="28"/>
          <w:szCs w:val="28"/>
        </w:rPr>
        <w:t>. У 2</w:t>
      </w:r>
      <w:r w:rsidRPr="00CA099F">
        <w:rPr>
          <w:rFonts w:eastAsia="Calibri" w:cs="Calibri"/>
          <w:sz w:val="28"/>
          <w:szCs w:val="28"/>
        </w:rPr>
        <w:t xml:space="preserve"> випадках </w:t>
      </w:r>
      <w:r w:rsidR="002C755C" w:rsidRPr="00CA099F">
        <w:rPr>
          <w:rFonts w:eastAsia="Calibri" w:cs="Calibri"/>
          <w:sz w:val="28"/>
          <w:szCs w:val="28"/>
        </w:rPr>
        <w:t>(</w:t>
      </w:r>
      <w:r w:rsidR="009C31D5">
        <w:rPr>
          <w:rFonts w:eastAsia="Calibri" w:cs="Calibri"/>
          <w:sz w:val="28"/>
          <w:szCs w:val="28"/>
        </w:rPr>
        <w:t>1</w:t>
      </w:r>
      <w:r w:rsidR="002C755C" w:rsidRPr="00CA099F">
        <w:rPr>
          <w:rFonts w:eastAsia="Calibri" w:cs="Calibri"/>
          <w:sz w:val="28"/>
          <w:szCs w:val="28"/>
        </w:rPr>
        <w:t xml:space="preserve">0%) </w:t>
      </w:r>
      <w:r w:rsidRPr="00CA099F">
        <w:rPr>
          <w:rFonts w:eastAsia="Calibri" w:cs="Calibri"/>
          <w:sz w:val="28"/>
          <w:szCs w:val="28"/>
        </w:rPr>
        <w:t>відмічалося зменшення осередків ущільнення лише в центральній частині рубця. Явищ індурації не виявлено.</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При дослідженні показника П3 </w:t>
      </w:r>
      <w:r w:rsidR="002C755C">
        <w:rPr>
          <w:rFonts w:eastAsia="Calibri" w:cs="Calibri"/>
          <w:sz w:val="28"/>
          <w:szCs w:val="28"/>
          <w:lang w:val="ru-RU"/>
        </w:rPr>
        <w:t>у</w:t>
      </w:r>
      <w:r w:rsidRPr="00CA099F">
        <w:rPr>
          <w:rFonts w:eastAsia="Calibri" w:cs="Calibri"/>
          <w:sz w:val="28"/>
          <w:szCs w:val="28"/>
        </w:rPr>
        <w:t xml:space="preserve"> контрольній групі </w:t>
      </w:r>
      <w:r w:rsidR="00D96DA9">
        <w:rPr>
          <w:rFonts w:eastAsia="Calibri" w:cs="Calibri"/>
          <w:sz w:val="28"/>
          <w:szCs w:val="28"/>
        </w:rPr>
        <w:t>пацієнтів</w:t>
      </w:r>
      <w:r w:rsidRPr="00CA099F">
        <w:rPr>
          <w:rFonts w:eastAsia="Calibri" w:cs="Calibri"/>
          <w:sz w:val="28"/>
          <w:szCs w:val="28"/>
        </w:rPr>
        <w:t xml:space="preserve"> ознаки здорової шкіри спостерігалися в 12 пацієнтів</w:t>
      </w:r>
      <w:r w:rsidR="002C755C">
        <w:rPr>
          <w:rFonts w:eastAsia="Calibri" w:cs="Calibri"/>
          <w:sz w:val="28"/>
          <w:szCs w:val="28"/>
          <w:lang w:val="ru-RU"/>
        </w:rPr>
        <w:t xml:space="preserve"> </w:t>
      </w:r>
      <w:r w:rsidR="002C755C" w:rsidRPr="00CA099F">
        <w:rPr>
          <w:rFonts w:eastAsia="Calibri" w:cs="Calibri"/>
          <w:sz w:val="28"/>
          <w:szCs w:val="28"/>
        </w:rPr>
        <w:t>(60%)</w:t>
      </w:r>
      <w:r w:rsidRPr="00CA099F">
        <w:rPr>
          <w:rFonts w:eastAsia="Calibri" w:cs="Calibri"/>
          <w:sz w:val="28"/>
          <w:szCs w:val="28"/>
        </w:rPr>
        <w:t xml:space="preserve">, у 6 (30%) </w:t>
      </w:r>
      <w:r w:rsidR="002C755C">
        <w:rPr>
          <w:rFonts w:eastAsia="Calibri" w:cs="Calibri"/>
          <w:sz w:val="28"/>
          <w:szCs w:val="28"/>
          <w:lang w:val="ru-RU"/>
        </w:rPr>
        <w:t xml:space="preserve">– </w:t>
      </w:r>
      <w:r w:rsidRPr="00CA099F">
        <w:rPr>
          <w:rFonts w:eastAsia="Calibri" w:cs="Calibri"/>
          <w:sz w:val="28"/>
          <w:szCs w:val="28"/>
        </w:rPr>
        <w:t xml:space="preserve">візуалізовано виражену, а в 3 (15%) – помірну еритему. В 1-ій групі </w:t>
      </w:r>
      <w:r w:rsidR="00D96DA9">
        <w:rPr>
          <w:rFonts w:eastAsia="Calibri" w:cs="Calibri"/>
          <w:sz w:val="28"/>
          <w:szCs w:val="28"/>
        </w:rPr>
        <w:t>пацієнтів</w:t>
      </w:r>
      <w:r w:rsidRPr="00CA099F">
        <w:rPr>
          <w:rFonts w:eastAsia="Calibri" w:cs="Calibri"/>
          <w:sz w:val="28"/>
          <w:szCs w:val="28"/>
        </w:rPr>
        <w:t xml:space="preserve"> у 12 випадках нами зафіксовано ознаки здорової шкіри з візуалізацією помірної еритеми у 6 та вираженої – у 2 </w:t>
      </w:r>
      <w:r w:rsidR="00D96DA9">
        <w:rPr>
          <w:rFonts w:eastAsia="Calibri" w:cs="Calibri"/>
          <w:sz w:val="28"/>
          <w:szCs w:val="28"/>
        </w:rPr>
        <w:t>пацієнтів</w:t>
      </w:r>
      <w:r w:rsidR="002C755C" w:rsidRPr="002C755C">
        <w:rPr>
          <w:rFonts w:eastAsia="Calibri" w:cs="Calibri"/>
          <w:sz w:val="28"/>
          <w:szCs w:val="28"/>
        </w:rPr>
        <w:t xml:space="preserve"> </w:t>
      </w:r>
      <w:r w:rsidR="002C755C" w:rsidRPr="00CA099F">
        <w:rPr>
          <w:rFonts w:eastAsia="Calibri" w:cs="Calibri"/>
          <w:sz w:val="28"/>
          <w:szCs w:val="28"/>
        </w:rPr>
        <w:t>(10%)</w:t>
      </w:r>
      <w:r w:rsidRPr="00CA099F">
        <w:rPr>
          <w:rFonts w:eastAsia="Calibri" w:cs="Calibri"/>
          <w:sz w:val="28"/>
          <w:szCs w:val="28"/>
        </w:rPr>
        <w:t xml:space="preserve">. В 2-ій групі близький до норми стан шкіри нами спостерігався в 15 (75%) випадках. У 4 пацієнтів </w:t>
      </w:r>
      <w:r w:rsidR="00BB39E8" w:rsidRPr="00CA099F">
        <w:rPr>
          <w:rFonts w:eastAsia="Calibri" w:cs="Calibri"/>
          <w:sz w:val="28"/>
          <w:szCs w:val="28"/>
        </w:rPr>
        <w:t xml:space="preserve">(20%) </w:t>
      </w:r>
      <w:r w:rsidRPr="00CA099F">
        <w:rPr>
          <w:rFonts w:eastAsia="Calibri" w:cs="Calibri"/>
          <w:sz w:val="28"/>
          <w:szCs w:val="28"/>
        </w:rPr>
        <w:t>встановлені ознаки помірної еритеми, кількість пацієнтів з вираженою еритемою зменшилося до 1 (5%).</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Аналіз характеру зміни параметрів утворення рубцевозмінених тканин за даними показника П4 встановив, що в контрольній групі на 9 місяць </w:t>
      </w:r>
      <w:r w:rsidRPr="00CA099F">
        <w:rPr>
          <w:rFonts w:eastAsia="Calibri" w:cs="Calibri"/>
          <w:sz w:val="28"/>
          <w:szCs w:val="28"/>
        </w:rPr>
        <w:lastRenderedPageBreak/>
        <w:t>післяопераційного періоду стан напруженості рубця пацієнти відмічали у 8 випадках</w:t>
      </w:r>
      <w:r w:rsidR="00FC1256">
        <w:rPr>
          <w:rFonts w:eastAsia="Calibri" w:cs="Calibri"/>
          <w:sz w:val="28"/>
          <w:szCs w:val="28"/>
          <w:lang w:val="ru-RU"/>
        </w:rPr>
        <w:t xml:space="preserve"> </w:t>
      </w:r>
      <w:r w:rsidR="00FC1256" w:rsidRPr="00CA099F">
        <w:rPr>
          <w:rFonts w:eastAsia="Calibri" w:cs="Calibri"/>
          <w:sz w:val="28"/>
          <w:szCs w:val="28"/>
        </w:rPr>
        <w:t>(40%)</w:t>
      </w:r>
      <w:r w:rsidRPr="00CA099F">
        <w:rPr>
          <w:rFonts w:eastAsia="Calibri" w:cs="Calibri"/>
          <w:sz w:val="28"/>
          <w:szCs w:val="28"/>
        </w:rPr>
        <w:t xml:space="preserve">. 3 пацієнта </w:t>
      </w:r>
      <w:r w:rsidR="00FC1256" w:rsidRPr="00CA099F">
        <w:rPr>
          <w:rFonts w:eastAsia="Calibri" w:cs="Calibri"/>
          <w:sz w:val="28"/>
          <w:szCs w:val="28"/>
        </w:rPr>
        <w:t xml:space="preserve">(15%) </w:t>
      </w:r>
      <w:r w:rsidRPr="00CA099F">
        <w:rPr>
          <w:rFonts w:eastAsia="Calibri" w:cs="Calibri"/>
          <w:sz w:val="28"/>
          <w:szCs w:val="28"/>
        </w:rPr>
        <w:t xml:space="preserve">скаржилися на свербіж, 1 (5%) – на біль. Скарги на печію не відзначалися. В 1 групі </w:t>
      </w:r>
      <w:r w:rsidR="00D96DA9">
        <w:rPr>
          <w:rFonts w:eastAsia="Calibri" w:cs="Calibri"/>
          <w:sz w:val="28"/>
          <w:szCs w:val="28"/>
        </w:rPr>
        <w:t>пацієнтів</w:t>
      </w:r>
      <w:r w:rsidRPr="00CA099F">
        <w:rPr>
          <w:rFonts w:eastAsia="Calibri" w:cs="Calibri"/>
          <w:sz w:val="28"/>
          <w:szCs w:val="28"/>
        </w:rPr>
        <w:t xml:space="preserve"> ознаки напруженості рубця відмічено в 8 випадках</w:t>
      </w:r>
      <w:r w:rsidR="00FC1256">
        <w:rPr>
          <w:rFonts w:eastAsia="Calibri" w:cs="Calibri"/>
          <w:sz w:val="28"/>
          <w:szCs w:val="28"/>
          <w:lang w:val="ru-RU"/>
        </w:rPr>
        <w:t xml:space="preserve"> </w:t>
      </w:r>
      <w:r w:rsidR="00FC1256" w:rsidRPr="00CA099F">
        <w:rPr>
          <w:rFonts w:eastAsia="Calibri" w:cs="Calibri"/>
          <w:sz w:val="28"/>
          <w:szCs w:val="28"/>
        </w:rPr>
        <w:t>(40%)</w:t>
      </w:r>
      <w:r w:rsidRPr="00CA099F">
        <w:rPr>
          <w:rFonts w:eastAsia="Calibri" w:cs="Calibri"/>
          <w:sz w:val="28"/>
          <w:szCs w:val="28"/>
        </w:rPr>
        <w:t>, свербіж відзначався у 1 пацієнта</w:t>
      </w:r>
      <w:r w:rsidR="00BD1681">
        <w:rPr>
          <w:rFonts w:eastAsia="Calibri" w:cs="Calibri"/>
          <w:sz w:val="28"/>
          <w:szCs w:val="28"/>
        </w:rPr>
        <w:t xml:space="preserve"> </w:t>
      </w:r>
      <w:r w:rsidR="00BD1681" w:rsidRPr="00CA099F">
        <w:rPr>
          <w:rFonts w:eastAsia="Calibri" w:cs="Calibri"/>
          <w:sz w:val="28"/>
          <w:szCs w:val="28"/>
        </w:rPr>
        <w:t>(5%)</w:t>
      </w:r>
      <w:r w:rsidRPr="00CA099F">
        <w:rPr>
          <w:rFonts w:eastAsia="Calibri" w:cs="Calibri"/>
          <w:sz w:val="28"/>
          <w:szCs w:val="28"/>
        </w:rPr>
        <w:t xml:space="preserve">. Скарги на біль та печію хворі заперечували. В 2-ій групі на напруженість рубця скаржилося 3 </w:t>
      </w:r>
      <w:r w:rsidR="00B93F9C">
        <w:rPr>
          <w:rFonts w:eastAsia="Calibri" w:cs="Calibri"/>
          <w:sz w:val="28"/>
          <w:szCs w:val="28"/>
        </w:rPr>
        <w:t xml:space="preserve">пацієнта </w:t>
      </w:r>
      <w:r w:rsidR="00B93F9C" w:rsidRPr="00CA099F">
        <w:rPr>
          <w:rFonts w:eastAsia="Calibri" w:cs="Calibri"/>
          <w:sz w:val="28"/>
          <w:szCs w:val="28"/>
        </w:rPr>
        <w:t>(15%)</w:t>
      </w:r>
      <w:r w:rsidRPr="00CA099F">
        <w:rPr>
          <w:rFonts w:eastAsia="Calibri" w:cs="Calibri"/>
          <w:sz w:val="28"/>
          <w:szCs w:val="28"/>
        </w:rPr>
        <w:t>, скарг на біль, печію та свербіж не відзначалося.</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При аналізі даних щодо змін показника П5 встановлено, що на 9 місяць післяопераційного періоду в контрольній групі ознака малої площі була виявлена у 14 пацієнтів</w:t>
      </w:r>
      <w:r w:rsidR="00BD1681">
        <w:rPr>
          <w:rFonts w:eastAsia="Calibri" w:cs="Calibri"/>
          <w:sz w:val="28"/>
          <w:szCs w:val="28"/>
        </w:rPr>
        <w:t xml:space="preserve"> </w:t>
      </w:r>
      <w:r w:rsidR="00BD1681" w:rsidRPr="00CA099F">
        <w:rPr>
          <w:rFonts w:eastAsia="Calibri" w:cs="Calibri"/>
          <w:sz w:val="28"/>
          <w:szCs w:val="28"/>
        </w:rPr>
        <w:t>(70%)</w:t>
      </w:r>
      <w:r w:rsidRPr="00CA099F">
        <w:rPr>
          <w:rFonts w:eastAsia="Calibri" w:cs="Calibri"/>
          <w:sz w:val="28"/>
          <w:szCs w:val="28"/>
        </w:rPr>
        <w:t xml:space="preserve">. У 4 </w:t>
      </w:r>
      <w:r w:rsidR="00D96DA9">
        <w:rPr>
          <w:rFonts w:eastAsia="Calibri" w:cs="Calibri"/>
          <w:sz w:val="28"/>
          <w:szCs w:val="28"/>
        </w:rPr>
        <w:t>пацієнтів</w:t>
      </w:r>
      <w:r w:rsidRPr="00CA099F">
        <w:rPr>
          <w:rFonts w:eastAsia="Calibri" w:cs="Calibri"/>
          <w:sz w:val="28"/>
          <w:szCs w:val="28"/>
        </w:rPr>
        <w:t xml:space="preserve"> </w:t>
      </w:r>
      <w:r w:rsidR="00BD1681" w:rsidRPr="00CA099F">
        <w:rPr>
          <w:rFonts w:eastAsia="Calibri" w:cs="Calibri"/>
          <w:sz w:val="28"/>
          <w:szCs w:val="28"/>
        </w:rPr>
        <w:t xml:space="preserve">(20%) </w:t>
      </w:r>
      <w:r w:rsidRPr="00CA099F">
        <w:rPr>
          <w:rFonts w:eastAsia="Calibri" w:cs="Calibri"/>
          <w:sz w:val="28"/>
          <w:szCs w:val="28"/>
        </w:rPr>
        <w:t>середня площа не перевищувала 9,2 мм</w:t>
      </w:r>
      <w:r w:rsidRPr="00CA099F">
        <w:rPr>
          <w:rFonts w:eastAsia="Calibri" w:cs="Calibri"/>
          <w:sz w:val="28"/>
          <w:szCs w:val="28"/>
          <w:vertAlign w:val="superscript"/>
        </w:rPr>
        <w:t>2</w:t>
      </w:r>
      <w:r w:rsidRPr="00CA099F">
        <w:rPr>
          <w:rFonts w:eastAsia="Calibri" w:cs="Calibri"/>
          <w:sz w:val="28"/>
          <w:szCs w:val="28"/>
        </w:rPr>
        <w:t xml:space="preserve"> . У 2 </w:t>
      </w:r>
      <w:r w:rsidR="00BD1681">
        <w:rPr>
          <w:rFonts w:eastAsia="Calibri" w:cs="Calibri"/>
          <w:sz w:val="28"/>
          <w:szCs w:val="28"/>
        </w:rPr>
        <w:t xml:space="preserve">випадках </w:t>
      </w:r>
      <w:r w:rsidRPr="00CA099F">
        <w:rPr>
          <w:rFonts w:eastAsia="Calibri" w:cs="Calibri"/>
          <w:sz w:val="28"/>
          <w:szCs w:val="28"/>
        </w:rPr>
        <w:t xml:space="preserve">(10%) була відмічена велика площа рубцевозмінених тканин. У </w:t>
      </w:r>
      <w:r w:rsidR="00D96DA9">
        <w:rPr>
          <w:rFonts w:eastAsia="Calibri" w:cs="Calibri"/>
          <w:sz w:val="28"/>
          <w:szCs w:val="28"/>
        </w:rPr>
        <w:t>пацієнтів</w:t>
      </w:r>
      <w:r w:rsidR="00BD1681">
        <w:rPr>
          <w:rFonts w:eastAsia="Calibri" w:cs="Calibri"/>
          <w:sz w:val="28"/>
          <w:szCs w:val="28"/>
        </w:rPr>
        <w:t xml:space="preserve"> 1 групи ознака малої площі виявлялася у</w:t>
      </w:r>
      <w:r w:rsidRPr="00CA099F">
        <w:rPr>
          <w:rFonts w:eastAsia="Calibri" w:cs="Calibri"/>
          <w:sz w:val="28"/>
          <w:szCs w:val="28"/>
        </w:rPr>
        <w:t xml:space="preserve"> 17 пацієнтів</w:t>
      </w:r>
      <w:r w:rsidR="00BD1681">
        <w:rPr>
          <w:rFonts w:eastAsia="Calibri" w:cs="Calibri"/>
          <w:sz w:val="28"/>
          <w:szCs w:val="28"/>
        </w:rPr>
        <w:t xml:space="preserve"> </w:t>
      </w:r>
      <w:r w:rsidR="00BD1681" w:rsidRPr="00CA099F">
        <w:rPr>
          <w:rFonts w:eastAsia="Calibri" w:cs="Calibri"/>
          <w:sz w:val="28"/>
          <w:szCs w:val="28"/>
        </w:rPr>
        <w:t>(85%)</w:t>
      </w:r>
      <w:r w:rsidRPr="00CA099F">
        <w:rPr>
          <w:rFonts w:eastAsia="Calibri" w:cs="Calibri"/>
          <w:sz w:val="28"/>
          <w:szCs w:val="28"/>
        </w:rPr>
        <w:t>, середня п</w:t>
      </w:r>
      <w:r w:rsidR="00C32A94">
        <w:rPr>
          <w:rFonts w:eastAsia="Calibri" w:cs="Calibri"/>
          <w:sz w:val="28"/>
          <w:szCs w:val="28"/>
        </w:rPr>
        <w:t>лоща була зафіксована у 2 (10%)</w:t>
      </w:r>
      <w:r w:rsidRPr="00CA099F">
        <w:rPr>
          <w:rFonts w:eastAsia="Calibri" w:cs="Calibri"/>
          <w:sz w:val="28"/>
          <w:szCs w:val="28"/>
        </w:rPr>
        <w:t xml:space="preserve"> (не перевищувала 8,4 мм</w:t>
      </w:r>
      <w:r w:rsidRPr="00CA099F">
        <w:rPr>
          <w:rFonts w:eastAsia="Calibri" w:cs="Calibri"/>
          <w:sz w:val="28"/>
          <w:szCs w:val="28"/>
          <w:vertAlign w:val="superscript"/>
        </w:rPr>
        <w:t>2</w:t>
      </w:r>
      <w:r w:rsidRPr="00CA099F">
        <w:rPr>
          <w:rFonts w:eastAsia="Calibri" w:cs="Calibri"/>
          <w:sz w:val="28"/>
          <w:szCs w:val="28"/>
        </w:rPr>
        <w:t xml:space="preserve">) та у 1 (5%) </w:t>
      </w:r>
      <w:r w:rsidR="00C32A94">
        <w:rPr>
          <w:rFonts w:eastAsia="Calibri" w:cs="Calibri"/>
          <w:sz w:val="28"/>
          <w:szCs w:val="28"/>
        </w:rPr>
        <w:t>–</w:t>
      </w:r>
      <w:r w:rsidRPr="00CA099F">
        <w:rPr>
          <w:rFonts w:eastAsia="Calibri" w:cs="Calibri"/>
          <w:sz w:val="28"/>
          <w:szCs w:val="28"/>
        </w:rPr>
        <w:t xml:space="preserve"> була відмічена велика площа.</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В 2 групі пацієнтів ознака малої площі складала 19 пацієнтів</w:t>
      </w:r>
      <w:r w:rsidR="00C32A94">
        <w:rPr>
          <w:rFonts w:eastAsia="Calibri" w:cs="Calibri"/>
          <w:sz w:val="28"/>
          <w:szCs w:val="28"/>
        </w:rPr>
        <w:t xml:space="preserve"> </w:t>
      </w:r>
      <w:r w:rsidR="00C32A94" w:rsidRPr="00CA099F">
        <w:rPr>
          <w:rFonts w:eastAsia="Calibri" w:cs="Calibri"/>
          <w:sz w:val="28"/>
          <w:szCs w:val="28"/>
        </w:rPr>
        <w:t>(95%)</w:t>
      </w:r>
      <w:r w:rsidRPr="00CA099F">
        <w:rPr>
          <w:rFonts w:eastAsia="Calibri" w:cs="Calibri"/>
          <w:sz w:val="28"/>
          <w:szCs w:val="28"/>
        </w:rPr>
        <w:t>, у 1 (5%) пацієнта були зафіксовані дані щодо середньої площі яка не перевищувала 7,5 мм</w:t>
      </w:r>
      <w:r w:rsidRPr="00CA099F">
        <w:rPr>
          <w:rFonts w:eastAsia="Calibri" w:cs="Calibri"/>
          <w:sz w:val="28"/>
          <w:szCs w:val="28"/>
          <w:vertAlign w:val="superscript"/>
        </w:rPr>
        <w:t>2</w:t>
      </w:r>
      <w:r w:rsidRPr="00CA099F">
        <w:rPr>
          <w:rFonts w:eastAsia="Calibri" w:cs="Calibri"/>
          <w:sz w:val="28"/>
          <w:szCs w:val="28"/>
        </w:rPr>
        <w:t>. Ознак великої площі рубцевозмінених тканин нами не зафіксовано.</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Аналіз динаміки змін температури рубцевозмінених тканин шкіри встановив, що на 9 місяць досліджень середня температура в центральній частині рубця в контрольній групі складала 28,1</w:t>
      </w:r>
      <w:r w:rsidRPr="00CA099F">
        <w:rPr>
          <w:rFonts w:eastAsia="Calibri" w:cs="Times New Roman"/>
          <w:sz w:val="28"/>
          <w:szCs w:val="28"/>
        </w:rPr>
        <w:t>±</w:t>
      </w:r>
      <w:r w:rsidRPr="00CA099F">
        <w:rPr>
          <w:rFonts w:eastAsia="Calibri" w:cs="Calibri"/>
          <w:sz w:val="28"/>
          <w:szCs w:val="28"/>
        </w:rPr>
        <w:t>1,1</w:t>
      </w:r>
      <w:r w:rsidRPr="00CA099F">
        <w:rPr>
          <w:rFonts w:eastAsia="Calibri" w:cs="Times New Roman"/>
          <w:sz w:val="28"/>
          <w:szCs w:val="28"/>
        </w:rPr>
        <w:t xml:space="preserve">° </w:t>
      </w:r>
      <w:r w:rsidRPr="00CA099F">
        <w:rPr>
          <w:rFonts w:eastAsia="Calibri" w:cs="Calibri"/>
          <w:sz w:val="28"/>
          <w:szCs w:val="28"/>
        </w:rPr>
        <w:t>С. Дещо вища температура зафіксована в периферичних краях: у медіальному - 31,1</w:t>
      </w:r>
      <w:r w:rsidRPr="00CA099F">
        <w:rPr>
          <w:rFonts w:eastAsia="Calibri" w:cs="Times New Roman"/>
          <w:sz w:val="28"/>
          <w:szCs w:val="28"/>
        </w:rPr>
        <w:t>±</w:t>
      </w:r>
      <w:r w:rsidRPr="00CA099F">
        <w:rPr>
          <w:rFonts w:eastAsia="Calibri" w:cs="Calibri"/>
          <w:sz w:val="28"/>
          <w:szCs w:val="28"/>
        </w:rPr>
        <w:t>0,9</w:t>
      </w:r>
      <w:r w:rsidRPr="00CA099F">
        <w:rPr>
          <w:rFonts w:eastAsia="Calibri" w:cs="Times New Roman"/>
          <w:sz w:val="28"/>
          <w:szCs w:val="28"/>
        </w:rPr>
        <w:t xml:space="preserve">° </w:t>
      </w:r>
      <w:r w:rsidRPr="00CA099F">
        <w:rPr>
          <w:rFonts w:eastAsia="Calibri" w:cs="Calibri"/>
          <w:sz w:val="28"/>
          <w:szCs w:val="28"/>
        </w:rPr>
        <w:t>С та в латеральному - 31,7</w:t>
      </w:r>
      <w:r w:rsidRPr="00CA099F">
        <w:rPr>
          <w:rFonts w:eastAsia="Calibri" w:cs="Times New Roman"/>
          <w:sz w:val="28"/>
          <w:szCs w:val="28"/>
        </w:rPr>
        <w:t>±</w:t>
      </w:r>
      <w:r w:rsidRPr="00CA099F">
        <w:rPr>
          <w:rFonts w:eastAsia="Calibri" w:cs="Calibri"/>
          <w:sz w:val="28"/>
          <w:szCs w:val="28"/>
        </w:rPr>
        <w:t>1,2</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В 1 групі різниця в діапазоні середніх темп</w:t>
      </w:r>
      <w:r w:rsidR="00C32A94">
        <w:rPr>
          <w:rFonts w:eastAsia="Calibri" w:cs="Calibri"/>
          <w:sz w:val="28"/>
          <w:szCs w:val="28"/>
        </w:rPr>
        <w:t>ератур достовірно підвищилася. У</w:t>
      </w:r>
      <w:r w:rsidRPr="00CA099F">
        <w:rPr>
          <w:rFonts w:eastAsia="Calibri" w:cs="Calibri"/>
          <w:sz w:val="28"/>
          <w:szCs w:val="28"/>
        </w:rPr>
        <w:t xml:space="preserve"> центрі рубця вона фіксувалася найнижчою та становила 29,2</w:t>
      </w:r>
      <w:r w:rsidRPr="00CA099F">
        <w:rPr>
          <w:rFonts w:eastAsia="Calibri" w:cs="Times New Roman"/>
          <w:sz w:val="28"/>
          <w:szCs w:val="28"/>
        </w:rPr>
        <w:t>±</w:t>
      </w:r>
      <w:r w:rsidRPr="00CA099F">
        <w:rPr>
          <w:rFonts w:eastAsia="Calibri" w:cs="Calibri"/>
          <w:sz w:val="28"/>
          <w:szCs w:val="28"/>
        </w:rPr>
        <w:t>1,7</w:t>
      </w:r>
      <w:r w:rsidRPr="00CA099F">
        <w:rPr>
          <w:rFonts w:eastAsia="Calibri" w:cs="Times New Roman"/>
          <w:sz w:val="28"/>
          <w:szCs w:val="28"/>
        </w:rPr>
        <w:t xml:space="preserve">° </w:t>
      </w:r>
      <w:r w:rsidRPr="00CA099F">
        <w:rPr>
          <w:rFonts w:eastAsia="Calibri" w:cs="Calibri"/>
          <w:sz w:val="28"/>
          <w:szCs w:val="28"/>
        </w:rPr>
        <w:t>С. Найвища температура зафіксована в ділянці латерального краю - 32,4</w:t>
      </w:r>
      <w:r w:rsidRPr="00CA099F">
        <w:rPr>
          <w:rFonts w:eastAsia="Calibri" w:cs="Times New Roman"/>
          <w:sz w:val="28"/>
          <w:szCs w:val="28"/>
        </w:rPr>
        <w:t>±</w:t>
      </w:r>
      <w:r w:rsidRPr="00CA099F">
        <w:rPr>
          <w:rFonts w:eastAsia="Calibri" w:cs="Calibri"/>
          <w:sz w:val="28"/>
          <w:szCs w:val="28"/>
        </w:rPr>
        <w:t>1,4</w:t>
      </w:r>
      <w:r w:rsidRPr="00CA099F">
        <w:rPr>
          <w:rFonts w:eastAsia="Calibri" w:cs="Times New Roman"/>
          <w:sz w:val="28"/>
          <w:szCs w:val="28"/>
        </w:rPr>
        <w:t xml:space="preserve">° </w:t>
      </w:r>
      <w:r w:rsidRPr="00CA099F">
        <w:rPr>
          <w:rFonts w:eastAsia="Calibri" w:cs="Calibri"/>
          <w:sz w:val="28"/>
          <w:szCs w:val="28"/>
        </w:rPr>
        <w:t>С. В медіальному краю спостерігалися проміжні значення, які дорівнювали 32,1</w:t>
      </w:r>
      <w:r w:rsidRPr="00CA099F">
        <w:rPr>
          <w:rFonts w:eastAsia="Calibri" w:cs="Times New Roman"/>
          <w:sz w:val="28"/>
          <w:szCs w:val="28"/>
        </w:rPr>
        <w:t>±</w:t>
      </w:r>
      <w:r w:rsidRPr="00CA099F">
        <w:rPr>
          <w:rFonts w:eastAsia="Calibri" w:cs="Calibri"/>
          <w:sz w:val="28"/>
          <w:szCs w:val="28"/>
        </w:rPr>
        <w:t>1,5</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lastRenderedPageBreak/>
        <w:t>В 2 групі нами зафіксовано достовірне підвищення середньої температури. На 9 місяць спостереження в центрі рубцевозмінених тканин вона складала 30,4</w:t>
      </w:r>
      <w:r w:rsidRPr="00CA099F">
        <w:rPr>
          <w:rFonts w:eastAsia="Calibri" w:cs="Times New Roman"/>
          <w:sz w:val="28"/>
          <w:szCs w:val="28"/>
        </w:rPr>
        <w:t>±</w:t>
      </w:r>
      <w:r w:rsidRPr="00CA099F">
        <w:rPr>
          <w:rFonts w:eastAsia="Calibri" w:cs="Calibri"/>
          <w:sz w:val="28"/>
          <w:szCs w:val="28"/>
        </w:rPr>
        <w:t>1,6</w:t>
      </w:r>
      <w:r w:rsidRPr="00CA099F">
        <w:rPr>
          <w:rFonts w:eastAsia="Calibri" w:cs="Times New Roman"/>
          <w:sz w:val="28"/>
          <w:szCs w:val="28"/>
        </w:rPr>
        <w:t xml:space="preserve">° </w:t>
      </w:r>
      <w:r w:rsidRPr="00CA099F">
        <w:rPr>
          <w:rFonts w:eastAsia="Calibri" w:cs="Calibri"/>
          <w:sz w:val="28"/>
          <w:szCs w:val="28"/>
        </w:rPr>
        <w:t>С. У латеральній частині рубця продовжувалися фіксуватися найвищі значення, які дорівнювали 33,2</w:t>
      </w:r>
      <w:r w:rsidRPr="00CA099F">
        <w:rPr>
          <w:rFonts w:eastAsia="Calibri" w:cs="Times New Roman"/>
          <w:sz w:val="28"/>
          <w:szCs w:val="28"/>
        </w:rPr>
        <w:t>±</w:t>
      </w:r>
      <w:r w:rsidRPr="00CA099F">
        <w:rPr>
          <w:rFonts w:eastAsia="Calibri" w:cs="Calibri"/>
          <w:sz w:val="28"/>
          <w:szCs w:val="28"/>
        </w:rPr>
        <w:t>1,9</w:t>
      </w:r>
      <w:r w:rsidRPr="00CA099F">
        <w:rPr>
          <w:rFonts w:eastAsia="Calibri" w:cs="Times New Roman"/>
          <w:sz w:val="28"/>
          <w:szCs w:val="28"/>
        </w:rPr>
        <w:t xml:space="preserve">° </w:t>
      </w:r>
      <w:r w:rsidRPr="00CA099F">
        <w:rPr>
          <w:rFonts w:eastAsia="Calibri" w:cs="Calibri"/>
          <w:sz w:val="28"/>
          <w:szCs w:val="28"/>
        </w:rPr>
        <w:t xml:space="preserve">С. </w:t>
      </w:r>
      <w:r w:rsidR="00C32A94">
        <w:rPr>
          <w:rFonts w:eastAsia="Calibri" w:cs="Calibri"/>
          <w:sz w:val="28"/>
          <w:szCs w:val="28"/>
        </w:rPr>
        <w:t>У</w:t>
      </w:r>
      <w:r w:rsidRPr="00CA099F">
        <w:rPr>
          <w:rFonts w:eastAsia="Calibri" w:cs="Calibri"/>
          <w:sz w:val="28"/>
          <w:szCs w:val="28"/>
        </w:rPr>
        <w:t xml:space="preserve"> медіальній частині спостерігалися дещо нижчі показники, які в цій групі складали 32,9</w:t>
      </w:r>
      <w:r w:rsidRPr="00CA099F">
        <w:rPr>
          <w:rFonts w:eastAsia="Calibri" w:cs="Times New Roman"/>
          <w:sz w:val="28"/>
          <w:szCs w:val="28"/>
        </w:rPr>
        <w:t>±</w:t>
      </w:r>
      <w:r w:rsidRPr="00CA099F">
        <w:rPr>
          <w:rFonts w:eastAsia="Calibri" w:cs="Calibri"/>
          <w:sz w:val="28"/>
          <w:szCs w:val="28"/>
        </w:rPr>
        <w:t>1,7</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Графік динаміки змін показників середньої температури у різних зонах рубцевозмінених тканин в залежності від виду інтра- та пост-операційної профілактики на 9 місяць досліджень наведено на рис. 3.6.</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noProof/>
          <w:sz w:val="28"/>
          <w:szCs w:val="28"/>
          <w:lang w:val="ru-RU" w:eastAsia="ru-RU"/>
        </w:rPr>
        <w:drawing>
          <wp:inline distT="0" distB="0" distL="0" distR="0" wp14:anchorId="30D0F830" wp14:editId="5BCE2945">
            <wp:extent cx="5486400" cy="49149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Рис. 3.6. Графік динаміки змін показників середньої температури у різних зонах рубцевозмінених тканин на 9 місяць післяопераційного періоду.</w:t>
      </w:r>
    </w:p>
    <w:p w:rsidR="0030517B" w:rsidRPr="00CA099F" w:rsidRDefault="0030517B" w:rsidP="0030517B">
      <w:pPr>
        <w:spacing w:after="160" w:line="360" w:lineRule="auto"/>
        <w:ind w:firstLine="708"/>
        <w:jc w:val="both"/>
        <w:rPr>
          <w:rFonts w:eastAsia="Calibri" w:cs="Calibri"/>
          <w:sz w:val="28"/>
          <w:szCs w:val="28"/>
        </w:rPr>
      </w:pPr>
    </w:p>
    <w:p w:rsidR="0030517B" w:rsidRPr="00CA099F" w:rsidRDefault="0030517B" w:rsidP="0030517B">
      <w:pPr>
        <w:spacing w:after="160" w:line="360" w:lineRule="auto"/>
        <w:ind w:firstLine="708"/>
        <w:jc w:val="both"/>
        <w:rPr>
          <w:rFonts w:eastAsia="Calibri" w:cs="Calibri"/>
          <w:b/>
          <w:sz w:val="28"/>
          <w:szCs w:val="28"/>
        </w:rPr>
      </w:pPr>
      <w:r w:rsidRPr="00CA099F">
        <w:rPr>
          <w:rFonts w:eastAsia="Calibri" w:cs="Calibri"/>
          <w:b/>
          <w:sz w:val="28"/>
          <w:szCs w:val="28"/>
        </w:rPr>
        <w:lastRenderedPageBreak/>
        <w:t>3.5 Зміни клінічних показників рубцевозмінених тканин на 12 місяць післяопераційного періоду</w:t>
      </w:r>
    </w:p>
    <w:p w:rsidR="0030517B" w:rsidRPr="00CA099F" w:rsidRDefault="0030517B" w:rsidP="0030517B">
      <w:pPr>
        <w:spacing w:after="160" w:line="360" w:lineRule="auto"/>
        <w:ind w:firstLine="708"/>
        <w:jc w:val="both"/>
        <w:rPr>
          <w:rFonts w:eastAsia="Calibri" w:cs="Calibri"/>
          <w:b/>
          <w:sz w:val="28"/>
          <w:szCs w:val="28"/>
        </w:rPr>
      </w:pP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При дослідженні показника П1 на 12-й місяць післяопераційного періоду у 9 пацієнтів </w:t>
      </w:r>
      <w:r w:rsidR="005E229C" w:rsidRPr="00CA099F">
        <w:rPr>
          <w:rFonts w:eastAsia="Calibri" w:cs="Calibri"/>
          <w:sz w:val="28"/>
          <w:szCs w:val="28"/>
        </w:rPr>
        <w:t xml:space="preserve">(45%) </w:t>
      </w:r>
      <w:r w:rsidRPr="00CA099F">
        <w:rPr>
          <w:rFonts w:eastAsia="Calibri" w:cs="Calibri"/>
          <w:sz w:val="28"/>
          <w:szCs w:val="28"/>
        </w:rPr>
        <w:t xml:space="preserve">контрольної групи нами зафіксовано наявність атрофічного гомогенного рубця (з них у 2 пацієнтів </w:t>
      </w:r>
      <w:r w:rsidR="005E229C" w:rsidRPr="00CA099F">
        <w:rPr>
          <w:rFonts w:eastAsia="Calibri" w:cs="Calibri"/>
          <w:sz w:val="28"/>
          <w:szCs w:val="28"/>
        </w:rPr>
        <w:t xml:space="preserve">(10%) </w:t>
      </w:r>
      <w:r w:rsidRPr="00CA099F">
        <w:rPr>
          <w:rFonts w:eastAsia="Calibri" w:cs="Calibri"/>
          <w:sz w:val="28"/>
          <w:szCs w:val="28"/>
        </w:rPr>
        <w:t>з наявністю інвагінації м`яких тканин в центральній частині та в одному випадку – медіальній частині рубця). Ознаки гіпертрофічного рубця спостерігалися у 4 пацієнтів</w:t>
      </w:r>
      <w:r w:rsidR="005E229C">
        <w:rPr>
          <w:rFonts w:eastAsia="Calibri" w:cs="Calibri"/>
          <w:sz w:val="28"/>
          <w:szCs w:val="28"/>
        </w:rPr>
        <w:t xml:space="preserve"> </w:t>
      </w:r>
      <w:r w:rsidR="005E229C" w:rsidRPr="00CA099F">
        <w:rPr>
          <w:rFonts w:eastAsia="Calibri" w:cs="Calibri"/>
          <w:sz w:val="28"/>
          <w:szCs w:val="28"/>
        </w:rPr>
        <w:t>(20%)</w:t>
      </w:r>
      <w:r w:rsidRPr="00CA099F">
        <w:rPr>
          <w:rFonts w:eastAsia="Calibri" w:cs="Calibri"/>
          <w:sz w:val="28"/>
          <w:szCs w:val="28"/>
        </w:rPr>
        <w:t xml:space="preserve">, у 2 (10%) з яких визначалися гіпертрофічні рубці з вузликоподібними розростаннями. Наявність келоїдних рубців нами зафіксовано у 2 </w:t>
      </w:r>
      <w:r w:rsidR="005E229C">
        <w:rPr>
          <w:rFonts w:eastAsia="Calibri" w:cs="Calibri"/>
          <w:sz w:val="28"/>
          <w:szCs w:val="28"/>
        </w:rPr>
        <w:t xml:space="preserve">випадках </w:t>
      </w:r>
      <w:r w:rsidRPr="00CA099F">
        <w:rPr>
          <w:rFonts w:eastAsia="Calibri" w:cs="Calibri"/>
          <w:sz w:val="28"/>
          <w:szCs w:val="28"/>
        </w:rPr>
        <w:t>(10%). В інших випадках спостерігалися нормотрофічні рубці, але гомогенних серед них визначалося 40%.</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У пацієнтів 1-ї групи утворення гомогенного атрофічного рубця нами зафіксовано у 4 випадках</w:t>
      </w:r>
      <w:r w:rsidR="005E229C">
        <w:rPr>
          <w:rFonts w:eastAsia="Calibri" w:cs="Calibri"/>
          <w:sz w:val="28"/>
          <w:szCs w:val="28"/>
        </w:rPr>
        <w:t xml:space="preserve"> </w:t>
      </w:r>
      <w:r w:rsidR="005E229C" w:rsidRPr="00CA099F">
        <w:rPr>
          <w:rFonts w:eastAsia="Calibri" w:cs="Calibri"/>
          <w:sz w:val="28"/>
          <w:szCs w:val="28"/>
        </w:rPr>
        <w:t>(20%)</w:t>
      </w:r>
      <w:r w:rsidRPr="00CA099F">
        <w:rPr>
          <w:rFonts w:eastAsia="Calibri" w:cs="Calibri"/>
          <w:sz w:val="28"/>
          <w:szCs w:val="28"/>
        </w:rPr>
        <w:t xml:space="preserve">. Як і на попередньому етапі спостереження у 2 пацієнтів </w:t>
      </w:r>
      <w:r w:rsidR="005E229C" w:rsidRPr="00CA099F">
        <w:rPr>
          <w:rFonts w:eastAsia="Calibri" w:cs="Calibri"/>
          <w:sz w:val="28"/>
          <w:szCs w:val="28"/>
        </w:rPr>
        <w:t xml:space="preserve">(10%) </w:t>
      </w:r>
      <w:r w:rsidRPr="00CA099F">
        <w:rPr>
          <w:rFonts w:eastAsia="Calibri" w:cs="Calibri"/>
          <w:sz w:val="28"/>
          <w:szCs w:val="28"/>
        </w:rPr>
        <w:t xml:space="preserve">зафіксовано гомогенний гіпертрофічний рубець без вузликових розростань та відсутність пацієнтів з наявністю келоїдних рубців. У 14 </w:t>
      </w:r>
      <w:r w:rsidR="009360C2" w:rsidRPr="00CA099F">
        <w:rPr>
          <w:rFonts w:eastAsia="Calibri" w:cs="Calibri"/>
          <w:sz w:val="28"/>
          <w:szCs w:val="28"/>
        </w:rPr>
        <w:t xml:space="preserve">пацієнтів </w:t>
      </w:r>
      <w:r w:rsidRPr="00CA099F">
        <w:rPr>
          <w:rFonts w:eastAsia="Calibri" w:cs="Calibri"/>
          <w:sz w:val="28"/>
          <w:szCs w:val="28"/>
        </w:rPr>
        <w:t>(70%) зафіксовані нормотрофічні рубці.</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На фінальному терміні спостереження у пацієнтів 2-ї групи в 2-х випадках </w:t>
      </w:r>
      <w:r w:rsidR="009360C2" w:rsidRPr="00CA099F">
        <w:rPr>
          <w:rFonts w:eastAsia="Calibri" w:cs="Calibri"/>
          <w:sz w:val="28"/>
          <w:szCs w:val="28"/>
        </w:rPr>
        <w:t xml:space="preserve">(10%) </w:t>
      </w:r>
      <w:r w:rsidRPr="00CA099F">
        <w:rPr>
          <w:rFonts w:eastAsia="Calibri" w:cs="Calibri"/>
          <w:sz w:val="28"/>
          <w:szCs w:val="28"/>
        </w:rPr>
        <w:t xml:space="preserve">спостерігався атрофічний гомогенний рубець, в 1 випадку </w:t>
      </w:r>
      <w:r w:rsidR="009360C2" w:rsidRPr="00CA099F">
        <w:rPr>
          <w:rFonts w:eastAsia="Calibri" w:cs="Calibri"/>
          <w:sz w:val="28"/>
          <w:szCs w:val="28"/>
        </w:rPr>
        <w:t xml:space="preserve">(5%) </w:t>
      </w:r>
      <w:r w:rsidRPr="00CA099F">
        <w:rPr>
          <w:rFonts w:eastAsia="Calibri" w:cs="Calibri"/>
          <w:sz w:val="28"/>
          <w:szCs w:val="28"/>
        </w:rPr>
        <w:t xml:space="preserve">– гіпертрофічний. Ознак келоїдизації нами не виявлено, а у 17 пацієнтів </w:t>
      </w:r>
      <w:r w:rsidR="009360C2" w:rsidRPr="00CA099F">
        <w:rPr>
          <w:rFonts w:eastAsia="Calibri" w:cs="Calibri"/>
          <w:sz w:val="28"/>
          <w:szCs w:val="28"/>
        </w:rPr>
        <w:t xml:space="preserve">(85%) </w:t>
      </w:r>
      <w:r w:rsidRPr="00CA099F">
        <w:rPr>
          <w:rFonts w:eastAsia="Calibri" w:cs="Calibri"/>
          <w:sz w:val="28"/>
          <w:szCs w:val="28"/>
        </w:rPr>
        <w:t>спостерігався нормотрофічний рубець.</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При аналізі якісної складової показника П2 у </w:t>
      </w:r>
      <w:r w:rsidR="00D96DA9">
        <w:rPr>
          <w:rFonts w:eastAsia="Calibri" w:cs="Calibri"/>
          <w:sz w:val="28"/>
          <w:szCs w:val="28"/>
        </w:rPr>
        <w:t>пацієнтів</w:t>
      </w:r>
      <w:r w:rsidRPr="00CA099F">
        <w:rPr>
          <w:rFonts w:eastAsia="Calibri" w:cs="Calibri"/>
          <w:sz w:val="28"/>
          <w:szCs w:val="28"/>
        </w:rPr>
        <w:t xml:space="preserve"> контрольної групи слід відзначити, що ознаки нормальн</w:t>
      </w:r>
      <w:r w:rsidR="00C131EE">
        <w:rPr>
          <w:rFonts w:eastAsia="Calibri" w:cs="Calibri"/>
          <w:sz w:val="28"/>
          <w:szCs w:val="28"/>
        </w:rPr>
        <w:t>ої консистенції зафіксовані у 13</w:t>
      </w:r>
      <w:r w:rsidRPr="00CA099F">
        <w:rPr>
          <w:rFonts w:eastAsia="Calibri" w:cs="Calibri"/>
          <w:sz w:val="28"/>
          <w:szCs w:val="28"/>
        </w:rPr>
        <w:t xml:space="preserve"> </w:t>
      </w:r>
      <w:r w:rsidR="00D96DA9">
        <w:rPr>
          <w:rFonts w:eastAsia="Calibri" w:cs="Calibri"/>
          <w:sz w:val="28"/>
          <w:szCs w:val="28"/>
        </w:rPr>
        <w:t>пацієнтів</w:t>
      </w:r>
      <w:r w:rsidR="009360C2">
        <w:rPr>
          <w:rFonts w:eastAsia="Calibri" w:cs="Calibri"/>
          <w:sz w:val="28"/>
          <w:szCs w:val="28"/>
        </w:rPr>
        <w:t xml:space="preserve"> </w:t>
      </w:r>
      <w:r w:rsidR="009360C2" w:rsidRPr="00CA099F">
        <w:rPr>
          <w:rFonts w:eastAsia="Calibri" w:cs="Calibri"/>
          <w:sz w:val="28"/>
          <w:szCs w:val="28"/>
        </w:rPr>
        <w:t>(6</w:t>
      </w:r>
      <w:r w:rsidR="00C131EE">
        <w:rPr>
          <w:rFonts w:eastAsia="Calibri" w:cs="Calibri"/>
          <w:sz w:val="28"/>
          <w:szCs w:val="28"/>
        </w:rPr>
        <w:t>5</w:t>
      </w:r>
      <w:r w:rsidR="009360C2" w:rsidRPr="00CA099F">
        <w:rPr>
          <w:rFonts w:eastAsia="Calibri" w:cs="Calibri"/>
          <w:sz w:val="28"/>
          <w:szCs w:val="28"/>
        </w:rPr>
        <w:t>%)</w:t>
      </w:r>
      <w:r w:rsidR="00E16F39">
        <w:rPr>
          <w:rFonts w:eastAsia="Calibri" w:cs="Calibri"/>
          <w:sz w:val="28"/>
          <w:szCs w:val="28"/>
        </w:rPr>
        <w:t>, але у 6</w:t>
      </w:r>
      <w:r w:rsidRPr="00CA099F">
        <w:rPr>
          <w:rFonts w:eastAsia="Calibri" w:cs="Calibri"/>
          <w:sz w:val="28"/>
          <w:szCs w:val="28"/>
        </w:rPr>
        <w:t xml:space="preserve"> (</w:t>
      </w:r>
      <w:r w:rsidR="00E16F39">
        <w:rPr>
          <w:rFonts w:eastAsia="Calibri" w:cs="Calibri"/>
          <w:sz w:val="28"/>
          <w:szCs w:val="28"/>
        </w:rPr>
        <w:t>30</w:t>
      </w:r>
      <w:r w:rsidRPr="00CA099F">
        <w:rPr>
          <w:rFonts w:eastAsia="Calibri" w:cs="Calibri"/>
          <w:sz w:val="28"/>
          <w:szCs w:val="28"/>
        </w:rPr>
        <w:t xml:space="preserve">%) </w:t>
      </w:r>
      <w:r w:rsidR="009360C2">
        <w:rPr>
          <w:rFonts w:eastAsia="Calibri" w:cs="Calibri"/>
          <w:sz w:val="28"/>
          <w:szCs w:val="28"/>
        </w:rPr>
        <w:t>–</w:t>
      </w:r>
      <w:r w:rsidRPr="00CA099F">
        <w:rPr>
          <w:rFonts w:eastAsia="Calibri" w:cs="Calibri"/>
          <w:sz w:val="28"/>
          <w:szCs w:val="28"/>
        </w:rPr>
        <w:t xml:space="preserve"> спостерігалися помірні ущільнення рубця (у </w:t>
      </w:r>
      <w:r w:rsidR="00E16F39">
        <w:rPr>
          <w:rFonts w:eastAsia="Calibri" w:cs="Calibri"/>
          <w:sz w:val="28"/>
          <w:szCs w:val="28"/>
        </w:rPr>
        <w:t>4</w:t>
      </w:r>
      <w:r w:rsidRPr="00CA099F">
        <w:rPr>
          <w:rFonts w:eastAsia="Calibri" w:cs="Calibri"/>
          <w:sz w:val="28"/>
          <w:szCs w:val="28"/>
        </w:rPr>
        <w:t xml:space="preserve"> (</w:t>
      </w:r>
      <w:r w:rsidR="00E16F39">
        <w:rPr>
          <w:rFonts w:eastAsia="Calibri" w:cs="Calibri"/>
          <w:sz w:val="28"/>
          <w:szCs w:val="28"/>
        </w:rPr>
        <w:t>20</w:t>
      </w:r>
      <w:r w:rsidRPr="00CA099F">
        <w:rPr>
          <w:rFonts w:eastAsia="Calibri" w:cs="Calibri"/>
          <w:sz w:val="28"/>
          <w:szCs w:val="28"/>
        </w:rPr>
        <w:t xml:space="preserve">%) – в центральній частині, у 2 (10%) – в дистальних відділах), у 1 (5%) </w:t>
      </w:r>
      <w:r w:rsidR="009360C2">
        <w:rPr>
          <w:rFonts w:eastAsia="Calibri" w:cs="Calibri"/>
          <w:sz w:val="28"/>
          <w:szCs w:val="28"/>
        </w:rPr>
        <w:t>пацієнта спостерігала</w:t>
      </w:r>
      <w:r w:rsidRPr="00CA099F">
        <w:rPr>
          <w:rFonts w:eastAsia="Calibri" w:cs="Calibri"/>
          <w:sz w:val="28"/>
          <w:szCs w:val="28"/>
        </w:rPr>
        <w:t xml:space="preserve">ся ледь помітна індурація. </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На 12 місяць дослідження у </w:t>
      </w:r>
      <w:r w:rsidR="00D96DA9">
        <w:rPr>
          <w:rFonts w:eastAsia="Calibri" w:cs="Calibri"/>
          <w:sz w:val="28"/>
          <w:szCs w:val="28"/>
        </w:rPr>
        <w:t>пацієнтів</w:t>
      </w:r>
      <w:r w:rsidRPr="00CA099F">
        <w:rPr>
          <w:rFonts w:eastAsia="Calibri" w:cs="Calibri"/>
          <w:sz w:val="28"/>
          <w:szCs w:val="28"/>
        </w:rPr>
        <w:t xml:space="preserve"> 1-ї групи позитивна динаміка рубцювання дещо у</w:t>
      </w:r>
      <w:r w:rsidR="00FA2E4F">
        <w:rPr>
          <w:rFonts w:eastAsia="Calibri" w:cs="Calibri"/>
          <w:sz w:val="28"/>
          <w:szCs w:val="28"/>
        </w:rPr>
        <w:t xml:space="preserve">повільнилась та складала: в 15 </w:t>
      </w:r>
      <w:r w:rsidRPr="00CA099F">
        <w:rPr>
          <w:rFonts w:eastAsia="Calibri" w:cs="Calibri"/>
          <w:sz w:val="28"/>
          <w:szCs w:val="28"/>
        </w:rPr>
        <w:t xml:space="preserve">випадках </w:t>
      </w:r>
      <w:r w:rsidR="00FA2E4F">
        <w:rPr>
          <w:rFonts w:eastAsia="Calibri" w:cs="Calibri"/>
          <w:sz w:val="28"/>
          <w:szCs w:val="28"/>
        </w:rPr>
        <w:t xml:space="preserve">(75%) </w:t>
      </w:r>
      <w:r w:rsidRPr="00CA099F">
        <w:rPr>
          <w:rFonts w:eastAsia="Calibri" w:cs="Calibri"/>
          <w:sz w:val="28"/>
          <w:szCs w:val="28"/>
        </w:rPr>
        <w:t xml:space="preserve">нами </w:t>
      </w:r>
      <w:r w:rsidRPr="00CA099F">
        <w:rPr>
          <w:rFonts w:eastAsia="Calibri" w:cs="Calibri"/>
          <w:sz w:val="28"/>
          <w:szCs w:val="28"/>
        </w:rPr>
        <w:lastRenderedPageBreak/>
        <w:t xml:space="preserve">пальпаторно визначено нормальну консистенцію рубця, та в 5 випадках </w:t>
      </w:r>
      <w:r w:rsidR="00FA2E4F">
        <w:rPr>
          <w:rFonts w:eastAsia="Calibri" w:cs="Calibri"/>
          <w:sz w:val="28"/>
          <w:szCs w:val="28"/>
        </w:rPr>
        <w:t xml:space="preserve">(25%) </w:t>
      </w:r>
      <w:r w:rsidRPr="00CA099F">
        <w:rPr>
          <w:rFonts w:eastAsia="Calibri" w:cs="Calibri"/>
          <w:sz w:val="28"/>
          <w:szCs w:val="28"/>
        </w:rPr>
        <w:t>спостерігалися поодинокі ущільнення в центральній частині без їх наявності в ділянці маргінальних країв. Ознаки індурації не спостерігалися.</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У </w:t>
      </w:r>
      <w:r w:rsidR="00D96DA9">
        <w:rPr>
          <w:rFonts w:eastAsia="Calibri" w:cs="Calibri"/>
          <w:sz w:val="28"/>
          <w:szCs w:val="28"/>
        </w:rPr>
        <w:t>пацієнтів</w:t>
      </w:r>
      <w:r w:rsidRPr="00CA099F">
        <w:rPr>
          <w:rFonts w:eastAsia="Calibri" w:cs="Calibri"/>
          <w:sz w:val="28"/>
          <w:szCs w:val="28"/>
        </w:rPr>
        <w:t xml:space="preserve"> 2-ї групи зберігалася позитивна динаміка яка в цифровому вигляді складала: у 18 пацієнтів </w:t>
      </w:r>
      <w:r w:rsidR="00FA2E4F" w:rsidRPr="00CA099F">
        <w:rPr>
          <w:rFonts w:eastAsia="Calibri" w:cs="Calibri"/>
          <w:sz w:val="28"/>
          <w:szCs w:val="28"/>
        </w:rPr>
        <w:t xml:space="preserve">(90%) </w:t>
      </w:r>
      <w:r w:rsidRPr="00CA099F">
        <w:rPr>
          <w:rFonts w:eastAsia="Calibri" w:cs="Calibri"/>
          <w:sz w:val="28"/>
          <w:szCs w:val="28"/>
        </w:rPr>
        <w:t xml:space="preserve">пальпаторно визначалася нормальна консистенція рубця, в 2 випадках </w:t>
      </w:r>
      <w:r w:rsidR="00FA2E4F" w:rsidRPr="00CA099F">
        <w:rPr>
          <w:rFonts w:eastAsia="Calibri" w:cs="Calibri"/>
          <w:sz w:val="28"/>
          <w:szCs w:val="28"/>
        </w:rPr>
        <w:t xml:space="preserve">(10%) </w:t>
      </w:r>
      <w:r w:rsidRPr="00CA099F">
        <w:rPr>
          <w:rFonts w:eastAsia="Calibri" w:cs="Calibri"/>
          <w:sz w:val="28"/>
          <w:szCs w:val="28"/>
        </w:rPr>
        <w:t>візуалізувався лише поодинокий осередок ущільнення в центральній частині рубця за умов глибокої пальпації рубця без видимих ознак індурації.</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При дослідженні показника П3 в контрольній групі ознаки здорової шкіри нами виявлено у 1</w:t>
      </w:r>
      <w:r w:rsidR="00E16F39">
        <w:rPr>
          <w:rFonts w:eastAsia="Calibri" w:cs="Calibri"/>
          <w:sz w:val="28"/>
          <w:szCs w:val="28"/>
        </w:rPr>
        <w:t>6</w:t>
      </w:r>
      <w:r w:rsidRPr="00CA099F">
        <w:rPr>
          <w:rFonts w:eastAsia="Calibri" w:cs="Calibri"/>
          <w:sz w:val="28"/>
          <w:szCs w:val="28"/>
        </w:rPr>
        <w:t xml:space="preserve"> пацієнтів </w:t>
      </w:r>
      <w:r w:rsidR="00264F3B" w:rsidRPr="00CA099F">
        <w:rPr>
          <w:rFonts w:eastAsia="Calibri" w:cs="Calibri"/>
          <w:sz w:val="28"/>
          <w:szCs w:val="28"/>
        </w:rPr>
        <w:t>(</w:t>
      </w:r>
      <w:r w:rsidR="00E16F39">
        <w:rPr>
          <w:rFonts w:eastAsia="Calibri" w:cs="Calibri"/>
          <w:sz w:val="28"/>
          <w:szCs w:val="28"/>
        </w:rPr>
        <w:t>8</w:t>
      </w:r>
      <w:r w:rsidR="00264F3B" w:rsidRPr="00CA099F">
        <w:rPr>
          <w:rFonts w:eastAsia="Calibri" w:cs="Calibri"/>
          <w:sz w:val="28"/>
          <w:szCs w:val="28"/>
        </w:rPr>
        <w:t xml:space="preserve">0%) </w:t>
      </w:r>
      <w:r w:rsidRPr="00CA099F">
        <w:rPr>
          <w:rFonts w:eastAsia="Calibri" w:cs="Calibri"/>
          <w:sz w:val="28"/>
          <w:szCs w:val="28"/>
        </w:rPr>
        <w:t xml:space="preserve">і виявлено по </w:t>
      </w:r>
      <w:r w:rsidR="00E16F39">
        <w:rPr>
          <w:rFonts w:eastAsia="Calibri" w:cs="Calibri"/>
          <w:sz w:val="28"/>
          <w:szCs w:val="28"/>
        </w:rPr>
        <w:t>2</w:t>
      </w:r>
      <w:r w:rsidRPr="00CA099F">
        <w:rPr>
          <w:rFonts w:eastAsia="Calibri" w:cs="Calibri"/>
          <w:sz w:val="28"/>
          <w:szCs w:val="28"/>
        </w:rPr>
        <w:t xml:space="preserve"> пацієнт</w:t>
      </w:r>
      <w:r w:rsidR="00E16F39">
        <w:rPr>
          <w:rFonts w:eastAsia="Calibri" w:cs="Calibri"/>
          <w:sz w:val="28"/>
          <w:szCs w:val="28"/>
        </w:rPr>
        <w:t>а</w:t>
      </w:r>
      <w:r w:rsidRPr="00CA099F">
        <w:rPr>
          <w:rFonts w:eastAsia="Calibri" w:cs="Calibri"/>
          <w:sz w:val="28"/>
          <w:szCs w:val="28"/>
        </w:rPr>
        <w:t xml:space="preserve"> </w:t>
      </w:r>
      <w:r w:rsidR="00264F3B" w:rsidRPr="00CA099F">
        <w:rPr>
          <w:rFonts w:eastAsia="Calibri" w:cs="Calibri"/>
          <w:sz w:val="28"/>
          <w:szCs w:val="28"/>
        </w:rPr>
        <w:t>(</w:t>
      </w:r>
      <w:r w:rsidR="00E16F39">
        <w:rPr>
          <w:rFonts w:eastAsia="Calibri" w:cs="Calibri"/>
          <w:sz w:val="28"/>
          <w:szCs w:val="28"/>
        </w:rPr>
        <w:t>10</w:t>
      </w:r>
      <w:r w:rsidR="00264F3B" w:rsidRPr="00CA099F">
        <w:rPr>
          <w:rFonts w:eastAsia="Calibri" w:cs="Calibri"/>
          <w:sz w:val="28"/>
          <w:szCs w:val="28"/>
        </w:rPr>
        <w:t xml:space="preserve">%) </w:t>
      </w:r>
      <w:r w:rsidRPr="00CA099F">
        <w:rPr>
          <w:rFonts w:eastAsia="Calibri" w:cs="Calibri"/>
          <w:sz w:val="28"/>
          <w:szCs w:val="28"/>
        </w:rPr>
        <w:t xml:space="preserve">з ознаками помірної та вираженої еритеми. </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 xml:space="preserve">В 1-ій групі </w:t>
      </w:r>
      <w:r w:rsidR="00D96DA9">
        <w:rPr>
          <w:rFonts w:eastAsia="Calibri" w:cs="Calibri"/>
          <w:sz w:val="28"/>
          <w:szCs w:val="28"/>
        </w:rPr>
        <w:t>пацієнтів</w:t>
      </w:r>
      <w:r w:rsidRPr="00CA099F">
        <w:rPr>
          <w:rFonts w:eastAsia="Calibri" w:cs="Calibri"/>
          <w:sz w:val="28"/>
          <w:szCs w:val="28"/>
        </w:rPr>
        <w:t xml:space="preserve"> у 17 випадках </w:t>
      </w:r>
      <w:r w:rsidR="00264F3B">
        <w:rPr>
          <w:rFonts w:eastAsia="Calibri" w:cs="Calibri"/>
          <w:sz w:val="28"/>
          <w:szCs w:val="28"/>
        </w:rPr>
        <w:t xml:space="preserve">(85%) </w:t>
      </w:r>
      <w:r w:rsidRPr="00CA099F">
        <w:rPr>
          <w:rFonts w:eastAsia="Calibri" w:cs="Calibri"/>
          <w:sz w:val="28"/>
          <w:szCs w:val="28"/>
        </w:rPr>
        <w:t>нами зафіксовано ознаки здорової шкіри з візуалізацією помірної еритеми у 2 (10%) та вираженої – у 1 (5%) хворого.</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В 2-ій групі близький до норми стан шкіри нами спостерігався в 18 випадках</w:t>
      </w:r>
      <w:r w:rsidR="00264F3B">
        <w:rPr>
          <w:rFonts w:eastAsia="Calibri" w:cs="Calibri"/>
          <w:sz w:val="28"/>
          <w:szCs w:val="28"/>
        </w:rPr>
        <w:t xml:space="preserve"> </w:t>
      </w:r>
      <w:r w:rsidR="00264F3B" w:rsidRPr="00CA099F">
        <w:rPr>
          <w:rFonts w:eastAsia="Calibri" w:cs="Calibri"/>
          <w:sz w:val="28"/>
          <w:szCs w:val="28"/>
        </w:rPr>
        <w:t>(90%)</w:t>
      </w:r>
      <w:r w:rsidRPr="00CA099F">
        <w:rPr>
          <w:rFonts w:eastAsia="Calibri" w:cs="Calibri"/>
          <w:sz w:val="28"/>
          <w:szCs w:val="28"/>
        </w:rPr>
        <w:t xml:space="preserve">. У 2 пацієнтів </w:t>
      </w:r>
      <w:r w:rsidR="00264F3B" w:rsidRPr="00CA099F">
        <w:rPr>
          <w:rFonts w:eastAsia="Calibri" w:cs="Calibri"/>
          <w:sz w:val="28"/>
          <w:szCs w:val="28"/>
        </w:rPr>
        <w:t xml:space="preserve">(10%) </w:t>
      </w:r>
      <w:r w:rsidRPr="00CA099F">
        <w:rPr>
          <w:rFonts w:eastAsia="Calibri" w:cs="Calibri"/>
          <w:sz w:val="28"/>
          <w:szCs w:val="28"/>
        </w:rPr>
        <w:t>встановлені ознаки помірної еритеми, пацієнти з вираженою еритемою не спостерігалися.</w:t>
      </w:r>
    </w:p>
    <w:p w:rsidR="0030517B" w:rsidRPr="00CA099F" w:rsidRDefault="0030517B" w:rsidP="0030517B">
      <w:pPr>
        <w:spacing w:after="160" w:line="360" w:lineRule="auto"/>
        <w:jc w:val="both"/>
        <w:rPr>
          <w:rFonts w:eastAsia="Calibri" w:cs="Calibri"/>
          <w:sz w:val="28"/>
          <w:szCs w:val="28"/>
        </w:rPr>
      </w:pPr>
      <w:r w:rsidRPr="00CA099F">
        <w:rPr>
          <w:rFonts w:eastAsia="Calibri" w:cs="Calibri"/>
          <w:sz w:val="28"/>
          <w:szCs w:val="28"/>
        </w:rPr>
        <w:tab/>
        <w:t>Аналіз характеру зміни параметрів утворення рубцевозмінених тканин за даними показника П4 встановив, що в контрольній групі на 12 місяць післяопераційного періоду стан напруженості рубця пацієнти відмічали у 4 випадках</w:t>
      </w:r>
      <w:r w:rsidR="004D3F29">
        <w:rPr>
          <w:rFonts w:eastAsia="Calibri" w:cs="Calibri"/>
          <w:sz w:val="28"/>
          <w:szCs w:val="28"/>
        </w:rPr>
        <w:t xml:space="preserve"> </w:t>
      </w:r>
      <w:r w:rsidR="004D3F29" w:rsidRPr="00CA099F">
        <w:rPr>
          <w:rFonts w:eastAsia="Calibri" w:cs="Calibri"/>
          <w:sz w:val="28"/>
          <w:szCs w:val="28"/>
        </w:rPr>
        <w:t>(20%)</w:t>
      </w:r>
      <w:r w:rsidRPr="00CA099F">
        <w:rPr>
          <w:rFonts w:eastAsia="Calibri" w:cs="Calibri"/>
          <w:sz w:val="28"/>
          <w:szCs w:val="28"/>
        </w:rPr>
        <w:t xml:space="preserve">. 2 пацієнта </w:t>
      </w:r>
      <w:r w:rsidR="004D3F29" w:rsidRPr="00CA099F">
        <w:rPr>
          <w:rFonts w:eastAsia="Calibri" w:cs="Calibri"/>
          <w:sz w:val="28"/>
          <w:szCs w:val="28"/>
        </w:rPr>
        <w:t xml:space="preserve">(10%) </w:t>
      </w:r>
      <w:r w:rsidRPr="00CA099F">
        <w:rPr>
          <w:rFonts w:eastAsia="Calibri" w:cs="Calibri"/>
          <w:sz w:val="28"/>
          <w:szCs w:val="28"/>
        </w:rPr>
        <w:t>скаржилися на свербіж, 1 (5%) – на біль. Скарги на печію не відзначалися.</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В 1 групі </w:t>
      </w:r>
      <w:r w:rsidR="00D96DA9">
        <w:rPr>
          <w:rFonts w:eastAsia="Calibri" w:cs="Calibri"/>
          <w:sz w:val="28"/>
          <w:szCs w:val="28"/>
        </w:rPr>
        <w:t>пацієнтів</w:t>
      </w:r>
      <w:r w:rsidRPr="00CA099F">
        <w:rPr>
          <w:rFonts w:eastAsia="Calibri" w:cs="Calibri"/>
          <w:sz w:val="28"/>
          <w:szCs w:val="28"/>
        </w:rPr>
        <w:t xml:space="preserve"> ознаки напруженості рубця відмічено в 3 випадках</w:t>
      </w:r>
      <w:r w:rsidR="004D3F29">
        <w:rPr>
          <w:rFonts w:eastAsia="Calibri" w:cs="Calibri"/>
          <w:sz w:val="28"/>
          <w:szCs w:val="28"/>
        </w:rPr>
        <w:t xml:space="preserve"> </w:t>
      </w:r>
      <w:r w:rsidR="004D3F29" w:rsidRPr="00CA099F">
        <w:rPr>
          <w:rFonts w:eastAsia="Calibri" w:cs="Calibri"/>
          <w:sz w:val="28"/>
          <w:szCs w:val="28"/>
        </w:rPr>
        <w:t>(15%)</w:t>
      </w:r>
      <w:r w:rsidRPr="00CA099F">
        <w:rPr>
          <w:rFonts w:eastAsia="Calibri" w:cs="Calibri"/>
          <w:sz w:val="28"/>
          <w:szCs w:val="28"/>
        </w:rPr>
        <w:t>, свербіж відзначався у 1 пацієнта</w:t>
      </w:r>
      <w:r w:rsidR="004D3F29">
        <w:rPr>
          <w:rFonts w:eastAsia="Calibri" w:cs="Calibri"/>
          <w:sz w:val="28"/>
          <w:szCs w:val="28"/>
        </w:rPr>
        <w:t xml:space="preserve"> </w:t>
      </w:r>
      <w:r w:rsidR="004D3F29" w:rsidRPr="00CA099F">
        <w:rPr>
          <w:rFonts w:eastAsia="Calibri" w:cs="Calibri"/>
          <w:sz w:val="28"/>
          <w:szCs w:val="28"/>
        </w:rPr>
        <w:t>(5%)</w:t>
      </w:r>
      <w:r w:rsidRPr="00CA099F">
        <w:rPr>
          <w:rFonts w:eastAsia="Calibri" w:cs="Calibri"/>
          <w:sz w:val="28"/>
          <w:szCs w:val="28"/>
        </w:rPr>
        <w:t>. Скарги на біль та печію хворі заперечували.</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В 2-ій групі на напруженість рубця скаржився 1</w:t>
      </w:r>
      <w:r w:rsidR="004D3F29">
        <w:rPr>
          <w:rFonts w:eastAsia="Calibri" w:cs="Calibri"/>
          <w:sz w:val="28"/>
          <w:szCs w:val="28"/>
        </w:rPr>
        <w:t xml:space="preserve"> пацієнт</w:t>
      </w:r>
      <w:r w:rsidRPr="00CA099F">
        <w:rPr>
          <w:rFonts w:eastAsia="Calibri" w:cs="Calibri"/>
          <w:sz w:val="28"/>
          <w:szCs w:val="28"/>
        </w:rPr>
        <w:t xml:space="preserve"> (5%), скарг на біль, печію та свербіж не відзначалося.</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lastRenderedPageBreak/>
        <w:t>При аналізі даних щодо змін показника П5 встановлено, що на 12 місяць післяопераційного періоду в контрольній групі ознака малої площі була виявлена у 16 пацієнтів</w:t>
      </w:r>
      <w:r w:rsidR="002A6FDE">
        <w:rPr>
          <w:rFonts w:eastAsia="Calibri" w:cs="Calibri"/>
          <w:sz w:val="28"/>
          <w:szCs w:val="28"/>
        </w:rPr>
        <w:t xml:space="preserve"> </w:t>
      </w:r>
      <w:r w:rsidR="002A6FDE" w:rsidRPr="00CA099F">
        <w:rPr>
          <w:rFonts w:eastAsia="Calibri" w:cs="Calibri"/>
          <w:sz w:val="28"/>
          <w:szCs w:val="28"/>
        </w:rPr>
        <w:t>(80%)</w:t>
      </w:r>
      <w:r w:rsidRPr="00CA099F">
        <w:rPr>
          <w:rFonts w:eastAsia="Calibri" w:cs="Calibri"/>
          <w:sz w:val="28"/>
          <w:szCs w:val="28"/>
        </w:rPr>
        <w:t xml:space="preserve">. У 3 </w:t>
      </w:r>
      <w:r w:rsidR="00D96DA9">
        <w:rPr>
          <w:rFonts w:eastAsia="Calibri" w:cs="Calibri"/>
          <w:sz w:val="28"/>
          <w:szCs w:val="28"/>
        </w:rPr>
        <w:t>пацієнтів</w:t>
      </w:r>
      <w:r w:rsidRPr="00CA099F">
        <w:rPr>
          <w:rFonts w:eastAsia="Calibri" w:cs="Calibri"/>
          <w:sz w:val="28"/>
          <w:szCs w:val="28"/>
        </w:rPr>
        <w:t xml:space="preserve"> </w:t>
      </w:r>
      <w:r w:rsidR="008E66D5" w:rsidRPr="00CA099F">
        <w:rPr>
          <w:rFonts w:eastAsia="Calibri" w:cs="Calibri"/>
          <w:sz w:val="28"/>
          <w:szCs w:val="28"/>
        </w:rPr>
        <w:t xml:space="preserve">(15%) </w:t>
      </w:r>
      <w:r w:rsidRPr="00CA099F">
        <w:rPr>
          <w:rFonts w:eastAsia="Calibri" w:cs="Calibri"/>
          <w:sz w:val="28"/>
          <w:szCs w:val="28"/>
        </w:rPr>
        <w:t>середня площа не перевищувала 8,6 мм</w:t>
      </w:r>
      <w:r w:rsidRPr="00CA099F">
        <w:rPr>
          <w:rFonts w:eastAsia="Calibri" w:cs="Calibri"/>
          <w:sz w:val="28"/>
          <w:szCs w:val="28"/>
          <w:vertAlign w:val="superscript"/>
        </w:rPr>
        <w:t>2</w:t>
      </w:r>
      <w:r w:rsidRPr="00CA099F">
        <w:rPr>
          <w:rFonts w:eastAsia="Calibri" w:cs="Calibri"/>
          <w:sz w:val="28"/>
          <w:szCs w:val="28"/>
        </w:rPr>
        <w:t>. У 1 (5%) була відмічена велика площа рубцевозмінених тканин.</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У </w:t>
      </w:r>
      <w:r w:rsidR="00D96DA9">
        <w:rPr>
          <w:rFonts w:eastAsia="Calibri" w:cs="Calibri"/>
          <w:sz w:val="28"/>
          <w:szCs w:val="28"/>
        </w:rPr>
        <w:t>пацієнтів</w:t>
      </w:r>
      <w:r w:rsidRPr="00CA099F">
        <w:rPr>
          <w:rFonts w:eastAsia="Calibri" w:cs="Calibri"/>
          <w:sz w:val="28"/>
          <w:szCs w:val="28"/>
        </w:rPr>
        <w:t xml:space="preserve"> 1 групи ознака малої площі </w:t>
      </w:r>
      <w:r w:rsidR="0046780B">
        <w:rPr>
          <w:rFonts w:eastAsia="Calibri" w:cs="Calibri"/>
          <w:sz w:val="28"/>
          <w:szCs w:val="28"/>
        </w:rPr>
        <w:t>була зафіксована</w:t>
      </w:r>
      <w:r w:rsidRPr="00CA099F">
        <w:rPr>
          <w:rFonts w:eastAsia="Calibri" w:cs="Calibri"/>
          <w:sz w:val="28"/>
          <w:szCs w:val="28"/>
        </w:rPr>
        <w:t xml:space="preserve"> </w:t>
      </w:r>
      <w:r w:rsidR="0046780B">
        <w:rPr>
          <w:rFonts w:eastAsia="Calibri" w:cs="Calibri"/>
          <w:sz w:val="28"/>
          <w:szCs w:val="28"/>
        </w:rPr>
        <w:t xml:space="preserve">у </w:t>
      </w:r>
      <w:r w:rsidRPr="00CA099F">
        <w:rPr>
          <w:rFonts w:eastAsia="Calibri" w:cs="Calibri"/>
          <w:sz w:val="28"/>
          <w:szCs w:val="28"/>
        </w:rPr>
        <w:t>18 пацієнтів</w:t>
      </w:r>
      <w:r w:rsidR="0046780B">
        <w:rPr>
          <w:rFonts w:eastAsia="Calibri" w:cs="Calibri"/>
          <w:sz w:val="28"/>
          <w:szCs w:val="28"/>
        </w:rPr>
        <w:t xml:space="preserve"> </w:t>
      </w:r>
      <w:r w:rsidR="0046780B" w:rsidRPr="00CA099F">
        <w:rPr>
          <w:rFonts w:eastAsia="Calibri" w:cs="Calibri"/>
          <w:sz w:val="28"/>
          <w:szCs w:val="28"/>
        </w:rPr>
        <w:t>(90%)</w:t>
      </w:r>
      <w:r w:rsidRPr="00CA099F">
        <w:rPr>
          <w:rFonts w:eastAsia="Calibri" w:cs="Calibri"/>
          <w:sz w:val="28"/>
          <w:szCs w:val="28"/>
        </w:rPr>
        <w:t xml:space="preserve">, середня площа </w:t>
      </w:r>
      <w:r w:rsidR="0046780B">
        <w:rPr>
          <w:rFonts w:eastAsia="Calibri" w:cs="Calibri"/>
          <w:sz w:val="28"/>
          <w:szCs w:val="28"/>
        </w:rPr>
        <w:t>–</w:t>
      </w:r>
      <w:r w:rsidRPr="00CA099F">
        <w:rPr>
          <w:rFonts w:eastAsia="Calibri" w:cs="Calibri"/>
          <w:sz w:val="28"/>
          <w:szCs w:val="28"/>
        </w:rPr>
        <w:t xml:space="preserve"> у 2 (10%) (не перевищувала 8,1 мм</w:t>
      </w:r>
      <w:r w:rsidRPr="00CA099F">
        <w:rPr>
          <w:rFonts w:eastAsia="Calibri" w:cs="Calibri"/>
          <w:sz w:val="28"/>
          <w:szCs w:val="28"/>
          <w:vertAlign w:val="superscript"/>
        </w:rPr>
        <w:t>2</w:t>
      </w:r>
      <w:r w:rsidRPr="00CA099F">
        <w:rPr>
          <w:rFonts w:eastAsia="Calibri" w:cs="Calibri"/>
          <w:sz w:val="28"/>
          <w:szCs w:val="28"/>
        </w:rPr>
        <w:t xml:space="preserve">) та </w:t>
      </w:r>
      <w:r w:rsidR="0046780B">
        <w:rPr>
          <w:rFonts w:eastAsia="Calibri" w:cs="Calibri"/>
          <w:sz w:val="28"/>
          <w:szCs w:val="28"/>
        </w:rPr>
        <w:t>пацієнти</w:t>
      </w:r>
      <w:r w:rsidRPr="00CA099F">
        <w:rPr>
          <w:rFonts w:eastAsia="Calibri" w:cs="Calibri"/>
          <w:sz w:val="28"/>
          <w:szCs w:val="28"/>
        </w:rPr>
        <w:t>, які мали ознаку великої площі</w:t>
      </w:r>
      <w:r w:rsidR="0046780B">
        <w:rPr>
          <w:rFonts w:eastAsia="Calibri" w:cs="Calibri"/>
          <w:sz w:val="28"/>
          <w:szCs w:val="28"/>
        </w:rPr>
        <w:t xml:space="preserve"> були</w:t>
      </w:r>
      <w:r w:rsidR="0046780B" w:rsidRPr="0046780B">
        <w:rPr>
          <w:rFonts w:eastAsia="Calibri" w:cs="Calibri"/>
          <w:sz w:val="28"/>
          <w:szCs w:val="28"/>
        </w:rPr>
        <w:t xml:space="preserve"> </w:t>
      </w:r>
      <w:r w:rsidR="0046780B">
        <w:rPr>
          <w:rFonts w:eastAsia="Calibri" w:cs="Calibri"/>
          <w:sz w:val="28"/>
          <w:szCs w:val="28"/>
        </w:rPr>
        <w:t>відсутні</w:t>
      </w:r>
      <w:r w:rsidRPr="00CA099F">
        <w:rPr>
          <w:rFonts w:eastAsia="Calibri" w:cs="Calibri"/>
          <w:sz w:val="28"/>
          <w:szCs w:val="28"/>
        </w:rPr>
        <w:t>.</w:t>
      </w:r>
    </w:p>
    <w:p w:rsidR="0030517B" w:rsidRPr="00CA099F" w:rsidRDefault="0030517B" w:rsidP="0030517B">
      <w:pPr>
        <w:spacing w:after="160" w:line="360" w:lineRule="auto"/>
        <w:ind w:firstLine="708"/>
        <w:jc w:val="both"/>
        <w:rPr>
          <w:rFonts w:eastAsia="Calibri" w:cs="Calibri"/>
          <w:sz w:val="28"/>
          <w:szCs w:val="28"/>
        </w:rPr>
      </w:pPr>
      <w:r w:rsidRPr="00EE78C9">
        <w:rPr>
          <w:rFonts w:eastAsia="Calibri" w:cs="Calibri"/>
          <w:sz w:val="28"/>
          <w:szCs w:val="28"/>
        </w:rPr>
        <w:t xml:space="preserve">В 2 групі пацієнтів ознака малої площі </w:t>
      </w:r>
      <w:r w:rsidR="007E37DA">
        <w:rPr>
          <w:rFonts w:eastAsia="Calibri" w:cs="Calibri"/>
          <w:sz w:val="28"/>
          <w:szCs w:val="28"/>
        </w:rPr>
        <w:t>спостерігалася у</w:t>
      </w:r>
      <w:r w:rsidRPr="00EE78C9">
        <w:rPr>
          <w:rFonts w:eastAsia="Calibri" w:cs="Calibri"/>
          <w:sz w:val="28"/>
          <w:szCs w:val="28"/>
        </w:rPr>
        <w:t xml:space="preserve"> 19 </w:t>
      </w:r>
      <w:r w:rsidR="007E37DA" w:rsidRPr="00EE78C9">
        <w:rPr>
          <w:rFonts w:eastAsia="Calibri" w:cs="Calibri"/>
          <w:sz w:val="28"/>
          <w:szCs w:val="28"/>
        </w:rPr>
        <w:t xml:space="preserve">пацієнтів </w:t>
      </w:r>
      <w:r w:rsidRPr="00EE78C9">
        <w:rPr>
          <w:rFonts w:eastAsia="Calibri" w:cs="Calibri"/>
          <w:sz w:val="28"/>
          <w:szCs w:val="28"/>
        </w:rPr>
        <w:t>(95%), у 1 (5%) були зафіксовані дані щодо середньої площі</w:t>
      </w:r>
      <w:r w:rsidR="007E37DA">
        <w:rPr>
          <w:rFonts w:eastAsia="Calibri" w:cs="Calibri"/>
          <w:sz w:val="28"/>
          <w:szCs w:val="28"/>
        </w:rPr>
        <w:t>,</w:t>
      </w:r>
      <w:r w:rsidRPr="00EE78C9">
        <w:rPr>
          <w:rFonts w:eastAsia="Calibri" w:cs="Calibri"/>
          <w:sz w:val="28"/>
          <w:szCs w:val="28"/>
        </w:rPr>
        <w:t xml:space="preserve"> яка не перевищувала 7,1 мм</w:t>
      </w:r>
      <w:r w:rsidRPr="00EE78C9">
        <w:rPr>
          <w:rFonts w:eastAsia="Calibri" w:cs="Calibri"/>
          <w:sz w:val="28"/>
          <w:szCs w:val="28"/>
          <w:vertAlign w:val="superscript"/>
        </w:rPr>
        <w:t>2</w:t>
      </w:r>
      <w:r w:rsidRPr="00EE78C9">
        <w:rPr>
          <w:rFonts w:eastAsia="Calibri" w:cs="Calibri"/>
          <w:sz w:val="28"/>
          <w:szCs w:val="28"/>
        </w:rPr>
        <w:t>. Ознак великої площі рубцевозмінених тканин нами не зафіксовано.</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Аналіз динаміки змін температури рубцевозмінених тканин шкіри встановив, що на 12 місяць досліджень середня температура в центральній частині рубця в контрольній групі складала 29,7</w:t>
      </w:r>
      <w:r w:rsidRPr="00CA099F">
        <w:rPr>
          <w:rFonts w:eastAsia="Calibri" w:cs="Times New Roman"/>
          <w:sz w:val="28"/>
          <w:szCs w:val="28"/>
        </w:rPr>
        <w:t>±</w:t>
      </w:r>
      <w:r w:rsidRPr="00CA099F">
        <w:rPr>
          <w:rFonts w:eastAsia="Calibri" w:cs="Calibri"/>
          <w:sz w:val="28"/>
          <w:szCs w:val="28"/>
        </w:rPr>
        <w:t>0,7</w:t>
      </w:r>
      <w:r w:rsidRPr="00CA099F">
        <w:rPr>
          <w:rFonts w:eastAsia="Calibri" w:cs="Times New Roman"/>
          <w:sz w:val="28"/>
          <w:szCs w:val="28"/>
        </w:rPr>
        <w:t xml:space="preserve">° </w:t>
      </w:r>
      <w:r w:rsidRPr="00CA099F">
        <w:rPr>
          <w:rFonts w:eastAsia="Calibri" w:cs="Calibri"/>
          <w:sz w:val="28"/>
          <w:szCs w:val="28"/>
        </w:rPr>
        <w:t>С. Достовірно вища температура зафіксована в периферичних краях: у медіальному - 32,3</w:t>
      </w:r>
      <w:r w:rsidRPr="00CA099F">
        <w:rPr>
          <w:rFonts w:eastAsia="Calibri" w:cs="Times New Roman"/>
          <w:sz w:val="28"/>
          <w:szCs w:val="28"/>
        </w:rPr>
        <w:t>±</w:t>
      </w:r>
      <w:r w:rsidRPr="00CA099F">
        <w:rPr>
          <w:rFonts w:eastAsia="Calibri" w:cs="Calibri"/>
          <w:sz w:val="28"/>
          <w:szCs w:val="28"/>
        </w:rPr>
        <w:t>1,2</w:t>
      </w:r>
      <w:r w:rsidRPr="00CA099F">
        <w:rPr>
          <w:rFonts w:eastAsia="Calibri" w:cs="Times New Roman"/>
          <w:sz w:val="28"/>
          <w:szCs w:val="28"/>
        </w:rPr>
        <w:t xml:space="preserve">° </w:t>
      </w:r>
      <w:r w:rsidRPr="00CA099F">
        <w:rPr>
          <w:rFonts w:eastAsia="Calibri" w:cs="Calibri"/>
          <w:sz w:val="28"/>
          <w:szCs w:val="28"/>
        </w:rPr>
        <w:t>С та в латеральному - 32,9</w:t>
      </w:r>
      <w:r w:rsidRPr="00CA099F">
        <w:rPr>
          <w:rFonts w:eastAsia="Calibri" w:cs="Times New Roman"/>
          <w:sz w:val="28"/>
          <w:szCs w:val="28"/>
        </w:rPr>
        <w:t>±</w:t>
      </w:r>
      <w:r w:rsidRPr="00CA099F">
        <w:rPr>
          <w:rFonts w:eastAsia="Calibri" w:cs="Calibri"/>
          <w:sz w:val="28"/>
          <w:szCs w:val="28"/>
        </w:rPr>
        <w:t>1,5</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В 1 групі різниця в діапазоні середніх температур достовірно підвищилася. </w:t>
      </w:r>
      <w:r w:rsidR="00EE78C9">
        <w:rPr>
          <w:rFonts w:eastAsia="Calibri" w:cs="Calibri"/>
          <w:sz w:val="28"/>
          <w:szCs w:val="28"/>
        </w:rPr>
        <w:t>У</w:t>
      </w:r>
      <w:r w:rsidRPr="00CA099F">
        <w:rPr>
          <w:rFonts w:eastAsia="Calibri" w:cs="Calibri"/>
          <w:sz w:val="28"/>
          <w:szCs w:val="28"/>
        </w:rPr>
        <w:t xml:space="preserve"> центрі рубця вона фіксувалася найнижчою та становила 30,2</w:t>
      </w:r>
      <w:r w:rsidRPr="00CA099F">
        <w:rPr>
          <w:rFonts w:eastAsia="Calibri" w:cs="Times New Roman"/>
          <w:sz w:val="28"/>
          <w:szCs w:val="28"/>
        </w:rPr>
        <w:t>±</w:t>
      </w:r>
      <w:r w:rsidRPr="00CA099F">
        <w:rPr>
          <w:rFonts w:eastAsia="Calibri" w:cs="Calibri"/>
          <w:sz w:val="28"/>
          <w:szCs w:val="28"/>
        </w:rPr>
        <w:t>0,8</w:t>
      </w:r>
      <w:r w:rsidRPr="00CA099F">
        <w:rPr>
          <w:rFonts w:eastAsia="Calibri" w:cs="Times New Roman"/>
          <w:sz w:val="28"/>
          <w:szCs w:val="28"/>
        </w:rPr>
        <w:t xml:space="preserve">° </w:t>
      </w:r>
      <w:r w:rsidRPr="00CA099F">
        <w:rPr>
          <w:rFonts w:eastAsia="Calibri" w:cs="Calibri"/>
          <w:sz w:val="28"/>
          <w:szCs w:val="28"/>
        </w:rPr>
        <w:t>С. Слід зауважити, що в периферійних ділянках рубця температура суттєво підвищилася: найвища температура зафіксована в ділянці латерального краю - 33,8</w:t>
      </w:r>
      <w:r w:rsidRPr="00CA099F">
        <w:rPr>
          <w:rFonts w:eastAsia="Calibri" w:cs="Times New Roman"/>
          <w:sz w:val="28"/>
          <w:szCs w:val="28"/>
        </w:rPr>
        <w:t>±</w:t>
      </w:r>
      <w:r w:rsidRPr="00CA099F">
        <w:rPr>
          <w:rFonts w:eastAsia="Calibri" w:cs="Calibri"/>
          <w:sz w:val="28"/>
          <w:szCs w:val="28"/>
        </w:rPr>
        <w:t>1,6</w:t>
      </w:r>
      <w:r w:rsidRPr="00CA099F">
        <w:rPr>
          <w:rFonts w:eastAsia="Calibri" w:cs="Times New Roman"/>
          <w:sz w:val="28"/>
          <w:szCs w:val="28"/>
        </w:rPr>
        <w:t xml:space="preserve">° </w:t>
      </w:r>
      <w:r w:rsidR="00EE78C9">
        <w:rPr>
          <w:rFonts w:eastAsia="Calibri" w:cs="Calibri"/>
          <w:sz w:val="28"/>
          <w:szCs w:val="28"/>
        </w:rPr>
        <w:t>С. У</w:t>
      </w:r>
      <w:r w:rsidRPr="00CA099F">
        <w:rPr>
          <w:rFonts w:eastAsia="Calibri" w:cs="Calibri"/>
          <w:sz w:val="28"/>
          <w:szCs w:val="28"/>
        </w:rPr>
        <w:t xml:space="preserve"> медіальному краю спостерігалися проміжні значення, які дорівнювали 33,6</w:t>
      </w:r>
      <w:r w:rsidRPr="00CA099F">
        <w:rPr>
          <w:rFonts w:eastAsia="Calibri" w:cs="Times New Roman"/>
          <w:sz w:val="28"/>
          <w:szCs w:val="28"/>
        </w:rPr>
        <w:t>±</w:t>
      </w:r>
      <w:r w:rsidRPr="00CA099F">
        <w:rPr>
          <w:rFonts w:eastAsia="Calibri" w:cs="Calibri"/>
          <w:sz w:val="28"/>
          <w:szCs w:val="28"/>
        </w:rPr>
        <w:t>1,4</w:t>
      </w:r>
      <w:r w:rsidRPr="00CA099F">
        <w:rPr>
          <w:rFonts w:eastAsia="Calibri" w:cs="Times New Roman"/>
          <w:sz w:val="28"/>
          <w:szCs w:val="28"/>
        </w:rPr>
        <w:t xml:space="preserve">° </w:t>
      </w:r>
      <w:r w:rsidRPr="00CA099F">
        <w:rPr>
          <w:rFonts w:eastAsia="Calibri" w:cs="Calibri"/>
          <w:sz w:val="28"/>
          <w:szCs w:val="28"/>
        </w:rPr>
        <w:t>С.</w:t>
      </w:r>
    </w:p>
    <w:p w:rsidR="0030517B" w:rsidRPr="00CA099F" w:rsidRDefault="00EE78C9" w:rsidP="0030517B">
      <w:pPr>
        <w:spacing w:after="160" w:line="360" w:lineRule="auto"/>
        <w:ind w:firstLine="708"/>
        <w:jc w:val="both"/>
        <w:rPr>
          <w:rFonts w:eastAsia="Calibri" w:cs="Calibri"/>
          <w:sz w:val="28"/>
          <w:szCs w:val="28"/>
        </w:rPr>
      </w:pPr>
      <w:r>
        <w:rPr>
          <w:rFonts w:eastAsia="Calibri" w:cs="Calibri"/>
          <w:sz w:val="28"/>
          <w:szCs w:val="28"/>
        </w:rPr>
        <w:t>У</w:t>
      </w:r>
      <w:r w:rsidR="0030517B" w:rsidRPr="00CA099F">
        <w:rPr>
          <w:rFonts w:eastAsia="Calibri" w:cs="Calibri"/>
          <w:sz w:val="28"/>
          <w:szCs w:val="28"/>
        </w:rPr>
        <w:t xml:space="preserve"> 2 групі нами зафіксовано найвище підвищення середньої температури. На 10 місяць спостереження в центрі рубцевозмінених тканин вона складала 33,9</w:t>
      </w:r>
      <w:r w:rsidR="0030517B" w:rsidRPr="00CA099F">
        <w:rPr>
          <w:rFonts w:eastAsia="Calibri" w:cs="Times New Roman"/>
          <w:sz w:val="28"/>
          <w:szCs w:val="28"/>
        </w:rPr>
        <w:t>±</w:t>
      </w:r>
      <w:r w:rsidR="0030517B" w:rsidRPr="00CA099F">
        <w:rPr>
          <w:rFonts w:eastAsia="Calibri" w:cs="Calibri"/>
          <w:sz w:val="28"/>
          <w:szCs w:val="28"/>
        </w:rPr>
        <w:t>1,7</w:t>
      </w:r>
      <w:r w:rsidR="0030517B" w:rsidRPr="00CA099F">
        <w:rPr>
          <w:rFonts w:eastAsia="Calibri" w:cs="Times New Roman"/>
          <w:sz w:val="28"/>
          <w:szCs w:val="28"/>
        </w:rPr>
        <w:t xml:space="preserve">° </w:t>
      </w:r>
      <w:r w:rsidR="0030517B" w:rsidRPr="00CA099F">
        <w:rPr>
          <w:rFonts w:eastAsia="Calibri" w:cs="Calibri"/>
          <w:sz w:val="28"/>
          <w:szCs w:val="28"/>
        </w:rPr>
        <w:t>С. У латеральній частині рубця продовжувалися фіксуватися найвищі значення, які дорівнювали 34,5</w:t>
      </w:r>
      <w:r w:rsidR="0030517B" w:rsidRPr="00CA099F">
        <w:rPr>
          <w:rFonts w:eastAsia="Calibri" w:cs="Times New Roman"/>
          <w:sz w:val="28"/>
          <w:szCs w:val="28"/>
        </w:rPr>
        <w:t>±</w:t>
      </w:r>
      <w:r w:rsidR="0030517B" w:rsidRPr="00CA099F">
        <w:rPr>
          <w:rFonts w:eastAsia="Calibri" w:cs="Calibri"/>
          <w:sz w:val="28"/>
          <w:szCs w:val="28"/>
        </w:rPr>
        <w:t>1,8</w:t>
      </w:r>
      <w:r w:rsidR="0030517B" w:rsidRPr="00CA099F">
        <w:rPr>
          <w:rFonts w:eastAsia="Calibri" w:cs="Times New Roman"/>
          <w:sz w:val="28"/>
          <w:szCs w:val="28"/>
        </w:rPr>
        <w:t xml:space="preserve">° </w:t>
      </w:r>
      <w:r w:rsidR="007E37DA">
        <w:rPr>
          <w:rFonts w:eastAsia="Calibri" w:cs="Calibri"/>
          <w:sz w:val="28"/>
          <w:szCs w:val="28"/>
        </w:rPr>
        <w:t>С. У</w:t>
      </w:r>
      <w:r w:rsidR="0030517B" w:rsidRPr="00CA099F">
        <w:rPr>
          <w:rFonts w:eastAsia="Calibri" w:cs="Calibri"/>
          <w:sz w:val="28"/>
          <w:szCs w:val="28"/>
        </w:rPr>
        <w:t xml:space="preserve"> медіальній частині спостерігалися дещо нижчі показники, які в цій групі складали 34,4</w:t>
      </w:r>
      <w:r w:rsidR="0030517B" w:rsidRPr="00CA099F">
        <w:rPr>
          <w:rFonts w:eastAsia="Calibri" w:cs="Times New Roman"/>
          <w:sz w:val="28"/>
          <w:szCs w:val="28"/>
        </w:rPr>
        <w:t>±</w:t>
      </w:r>
      <w:r w:rsidR="0030517B" w:rsidRPr="00CA099F">
        <w:rPr>
          <w:rFonts w:eastAsia="Calibri" w:cs="Calibri"/>
          <w:sz w:val="28"/>
          <w:szCs w:val="28"/>
        </w:rPr>
        <w:t>1,7</w:t>
      </w:r>
      <w:r w:rsidR="0030517B" w:rsidRPr="00CA099F">
        <w:rPr>
          <w:rFonts w:eastAsia="Calibri" w:cs="Times New Roman"/>
          <w:sz w:val="28"/>
          <w:szCs w:val="28"/>
        </w:rPr>
        <w:t xml:space="preserve">° </w:t>
      </w:r>
      <w:r w:rsidR="0030517B" w:rsidRPr="00CA099F">
        <w:rPr>
          <w:rFonts w:eastAsia="Calibri" w:cs="Calibri"/>
          <w:sz w:val="28"/>
          <w:szCs w:val="28"/>
        </w:rPr>
        <w:t>С.</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lastRenderedPageBreak/>
        <w:t>Графік динаміки змін показників середньої температури у різних зонах рубцевозмінених тканин в залежності від виду інтра- та пост-операційної профілактики на 12 місяць досліджень наведено на рис. 3.7.</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noProof/>
          <w:sz w:val="28"/>
          <w:szCs w:val="28"/>
          <w:lang w:val="ru-RU" w:eastAsia="ru-RU"/>
        </w:rPr>
        <w:drawing>
          <wp:inline distT="0" distB="0" distL="0" distR="0" wp14:anchorId="0F12221F" wp14:editId="45B3C1DF">
            <wp:extent cx="5486400" cy="49149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Рис. 3.7. Графік динаміки змін показників середньої температури у різних зонах рубцевозмінених тканин на 12 місяць післяопераційного періоду.</w:t>
      </w:r>
    </w:p>
    <w:p w:rsidR="0030517B" w:rsidRPr="00CA099F" w:rsidRDefault="0030517B" w:rsidP="0030517B">
      <w:pPr>
        <w:spacing w:after="160" w:line="360" w:lineRule="auto"/>
        <w:jc w:val="both"/>
        <w:rPr>
          <w:rFonts w:eastAsia="Calibri" w:cs="Calibri"/>
          <w:sz w:val="28"/>
          <w:szCs w:val="28"/>
        </w:rPr>
      </w:pP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Таким чином, аналіз динаміки клінічних показників цифрових параметрів типу, консистенції, кольору, чутливості, площі рубцевозмінених тканин шкіри після оперативних втручань з приводу кіст шиї ембріонального походження та їх бальної системи оцінки, аналіз динаміки змін цифрових показників температури зовнішньої поверхні рубців в різних ділянках дозволяє дійти до висновку, що застосування авторської методики </w:t>
      </w:r>
      <w:r w:rsidRPr="00CA099F">
        <w:rPr>
          <w:rFonts w:eastAsia="Calibri" w:cs="Calibri"/>
          <w:sz w:val="28"/>
          <w:szCs w:val="28"/>
        </w:rPr>
        <w:lastRenderedPageBreak/>
        <w:t xml:space="preserve">інтраопераційної профілактики утворення патологічних рубців шкіри в 1 групі зменшує наявність скарг </w:t>
      </w:r>
      <w:r w:rsidR="00D96DA9">
        <w:rPr>
          <w:rFonts w:eastAsia="Calibri" w:cs="Calibri"/>
          <w:sz w:val="28"/>
          <w:szCs w:val="28"/>
        </w:rPr>
        <w:t>пацієнтів</w:t>
      </w:r>
      <w:r w:rsidRPr="00CA099F">
        <w:rPr>
          <w:rFonts w:eastAsia="Calibri" w:cs="Calibri"/>
          <w:sz w:val="28"/>
          <w:szCs w:val="28"/>
        </w:rPr>
        <w:t xml:space="preserve">, прискорює строки епітелізації рани та покращує їх зовнішній вигляд. </w:t>
      </w:r>
    </w:p>
    <w:p w:rsidR="0030517B" w:rsidRPr="00CA099F" w:rsidRDefault="0030517B" w:rsidP="0030517B">
      <w:pPr>
        <w:spacing w:after="160" w:line="360" w:lineRule="auto"/>
        <w:ind w:firstLine="708"/>
        <w:jc w:val="both"/>
        <w:rPr>
          <w:rFonts w:eastAsia="Calibri" w:cs="Calibri"/>
          <w:sz w:val="28"/>
          <w:szCs w:val="28"/>
        </w:rPr>
      </w:pPr>
      <w:r w:rsidRPr="00CA099F">
        <w:rPr>
          <w:rFonts w:eastAsia="Calibri" w:cs="Calibri"/>
          <w:sz w:val="28"/>
          <w:szCs w:val="28"/>
        </w:rPr>
        <w:t xml:space="preserve">Найкращі функціональні та естетичні результати отримані в 2 групі пацієнтів де разом з інтраопераційним введенням в рану </w:t>
      </w:r>
      <w:r w:rsidRPr="00CA099F">
        <w:rPr>
          <w:rFonts w:eastAsia="Calibri" w:cs="Calibri"/>
          <w:sz w:val="28"/>
          <w:szCs w:val="28"/>
          <w:lang w:val="en-US"/>
        </w:rPr>
        <w:t>PRF</w:t>
      </w:r>
      <w:r w:rsidRPr="00CA099F">
        <w:rPr>
          <w:rFonts w:eastAsia="Calibri" w:cs="Calibri"/>
          <w:sz w:val="28"/>
          <w:szCs w:val="28"/>
        </w:rPr>
        <w:t xml:space="preserve"> мембран на етапах післяопераційного періоду в профілактичних цілях застосовувався церулоплазмін.</w:t>
      </w:r>
    </w:p>
    <w:p w:rsidR="0030517B" w:rsidRPr="00CA099F" w:rsidRDefault="0030517B" w:rsidP="0030517B">
      <w:pPr>
        <w:spacing w:after="0" w:line="360" w:lineRule="auto"/>
        <w:ind w:firstLine="709"/>
        <w:contextualSpacing/>
        <w:jc w:val="both"/>
        <w:rPr>
          <w:rFonts w:eastAsia="Calibri" w:cs="Times New Roman"/>
          <w:sz w:val="28"/>
          <w:szCs w:val="28"/>
        </w:rPr>
      </w:pPr>
      <w:r w:rsidRPr="00CA099F">
        <w:rPr>
          <w:rFonts w:eastAsia="Calibri" w:cs="Times New Roman"/>
          <w:snapToGrid w:val="0"/>
          <w:sz w:val="28"/>
          <w:szCs w:val="28"/>
        </w:rPr>
        <w:t>Дані, що наведені в розділі викладені в наступних працях:</w:t>
      </w:r>
    </w:p>
    <w:p w:rsidR="0030517B" w:rsidRPr="00CA099F" w:rsidRDefault="0030517B" w:rsidP="003236D6">
      <w:pPr>
        <w:spacing w:after="0" w:line="360" w:lineRule="auto"/>
        <w:ind w:firstLine="708"/>
        <w:contextualSpacing/>
        <w:jc w:val="both"/>
        <w:rPr>
          <w:rFonts w:eastAsia="Calibri" w:cs="Calibri"/>
          <w:sz w:val="28"/>
          <w:szCs w:val="28"/>
        </w:rPr>
      </w:pPr>
      <w:r w:rsidRPr="00CA099F">
        <w:rPr>
          <w:rFonts w:eastAsia="Calibri" w:cs="Calibri"/>
          <w:sz w:val="28"/>
          <w:szCs w:val="28"/>
        </w:rPr>
        <w:t>Аналіз динаміки клінічних змін рубцевозмінених тканин після хірургічного лікування бранхіогенних кіст у хронологічному аспекті / С.М.</w:t>
      </w:r>
      <w:r w:rsidRPr="00CA099F">
        <w:rPr>
          <w:rFonts w:eastAsia="Calibri" w:cs="Calibri"/>
          <w:sz w:val="28"/>
          <w:szCs w:val="28"/>
          <w:lang w:val="ru-RU"/>
        </w:rPr>
        <w:t> </w:t>
      </w:r>
      <w:r w:rsidRPr="00CA099F">
        <w:rPr>
          <w:rFonts w:eastAsia="Calibri" w:cs="Calibri"/>
          <w:sz w:val="28"/>
          <w:szCs w:val="28"/>
        </w:rPr>
        <w:t xml:space="preserve">Григоров, </w:t>
      </w:r>
      <w:r w:rsidRPr="00CA099F">
        <w:rPr>
          <w:rFonts w:eastAsia="Calibri" w:cs="Calibri"/>
          <w:b/>
          <w:sz w:val="28"/>
          <w:szCs w:val="28"/>
        </w:rPr>
        <w:t>Л.Р.</w:t>
      </w:r>
      <w:r w:rsidRPr="00CA099F">
        <w:rPr>
          <w:rFonts w:eastAsia="Calibri" w:cs="Calibri"/>
          <w:b/>
          <w:sz w:val="28"/>
          <w:szCs w:val="28"/>
          <w:lang w:val="ru-RU"/>
        </w:rPr>
        <w:t> </w:t>
      </w:r>
      <w:r w:rsidRPr="00CA099F">
        <w:rPr>
          <w:rFonts w:eastAsia="Calibri" w:cs="Calibri"/>
          <w:b/>
          <w:sz w:val="28"/>
          <w:szCs w:val="28"/>
        </w:rPr>
        <w:t>Криничко</w:t>
      </w:r>
      <w:r w:rsidRPr="00CA099F">
        <w:rPr>
          <w:rFonts w:eastAsia="Calibri" w:cs="Calibri"/>
          <w:sz w:val="28"/>
          <w:szCs w:val="28"/>
        </w:rPr>
        <w:t>, С.О.</w:t>
      </w:r>
      <w:r w:rsidRPr="00CA099F">
        <w:rPr>
          <w:rFonts w:eastAsia="Calibri" w:cs="Calibri"/>
          <w:sz w:val="28"/>
          <w:szCs w:val="28"/>
          <w:lang w:val="ru-RU"/>
        </w:rPr>
        <w:t> </w:t>
      </w:r>
      <w:r w:rsidRPr="00CA099F">
        <w:rPr>
          <w:rFonts w:eastAsia="Calibri" w:cs="Calibri"/>
          <w:sz w:val="28"/>
          <w:szCs w:val="28"/>
        </w:rPr>
        <w:t>Ставицький</w:t>
      </w:r>
      <w:r w:rsidR="00B030BA">
        <w:rPr>
          <w:rFonts w:eastAsia="Calibri" w:cs="Calibri"/>
          <w:sz w:val="28"/>
          <w:szCs w:val="28"/>
        </w:rPr>
        <w:t xml:space="preserve"> </w:t>
      </w:r>
      <w:r w:rsidR="00B030BA" w:rsidRPr="00CA099F">
        <w:rPr>
          <w:rFonts w:eastAsia="Calibri" w:cs="Calibri"/>
          <w:sz w:val="28"/>
          <w:szCs w:val="28"/>
        </w:rPr>
        <w:t>[та ін.]</w:t>
      </w:r>
      <w:r w:rsidR="00B030BA">
        <w:rPr>
          <w:rFonts w:eastAsia="Calibri" w:cs="Calibri"/>
          <w:sz w:val="28"/>
          <w:szCs w:val="28"/>
        </w:rPr>
        <w:t xml:space="preserve"> </w:t>
      </w:r>
      <w:r w:rsidRPr="00CA099F">
        <w:rPr>
          <w:rFonts w:eastAsia="Calibri" w:cs="Calibri"/>
          <w:sz w:val="28"/>
          <w:szCs w:val="28"/>
        </w:rPr>
        <w:t>// Клінічна хірургія. – 2018. – Т. 85 (№6). – С. 33-35.</w:t>
      </w:r>
    </w:p>
    <w:p w:rsidR="0030517B" w:rsidRPr="00CA099F" w:rsidRDefault="0030517B" w:rsidP="003236D6">
      <w:pPr>
        <w:spacing w:after="0" w:line="360" w:lineRule="auto"/>
        <w:ind w:firstLine="708"/>
        <w:contextualSpacing/>
        <w:jc w:val="both"/>
        <w:rPr>
          <w:rFonts w:eastAsia="Calibri" w:cs="Calibri"/>
          <w:sz w:val="28"/>
          <w:szCs w:val="28"/>
        </w:rPr>
      </w:pPr>
      <w:r w:rsidRPr="00CA099F">
        <w:rPr>
          <w:rFonts w:eastAsia="Calibri" w:cs="Calibri"/>
          <w:sz w:val="28"/>
          <w:szCs w:val="28"/>
        </w:rPr>
        <w:t xml:space="preserve">Сучасний погляд на експериментальне і клінічне обґрунтування використання </w:t>
      </w:r>
      <w:r w:rsidRPr="00CA099F">
        <w:rPr>
          <w:rFonts w:eastAsia="Calibri" w:cs="Calibri"/>
          <w:sz w:val="28"/>
          <w:szCs w:val="28"/>
          <w:lang w:val="ru-RU"/>
        </w:rPr>
        <w:t>PRF</w:t>
      </w:r>
      <w:r w:rsidRPr="00CA099F">
        <w:rPr>
          <w:rFonts w:eastAsia="Calibri" w:cs="Calibri"/>
          <w:sz w:val="28"/>
          <w:szCs w:val="28"/>
        </w:rPr>
        <w:t xml:space="preserve"> у процесі репаративної регенерації шкіри / </w:t>
      </w:r>
      <w:r w:rsidRPr="00CA099F">
        <w:rPr>
          <w:rFonts w:eastAsia="Calibri" w:cs="Calibri"/>
          <w:b/>
          <w:sz w:val="28"/>
          <w:szCs w:val="28"/>
        </w:rPr>
        <w:t>Л.Р.</w:t>
      </w:r>
      <w:r w:rsidRPr="00CA099F">
        <w:rPr>
          <w:rFonts w:eastAsia="Calibri" w:cs="Calibri"/>
          <w:b/>
          <w:sz w:val="28"/>
          <w:szCs w:val="28"/>
          <w:lang w:val="ru-RU"/>
        </w:rPr>
        <w:t> </w:t>
      </w:r>
      <w:r w:rsidRPr="00CA099F">
        <w:rPr>
          <w:rFonts w:eastAsia="Calibri" w:cs="Calibri"/>
          <w:b/>
          <w:sz w:val="28"/>
          <w:szCs w:val="28"/>
        </w:rPr>
        <w:t>Криничко</w:t>
      </w:r>
      <w:r w:rsidRPr="00CA099F">
        <w:rPr>
          <w:rFonts w:eastAsia="Calibri" w:cs="Calibri"/>
          <w:sz w:val="28"/>
          <w:szCs w:val="28"/>
        </w:rPr>
        <w:t>, С.М.</w:t>
      </w:r>
      <w:r w:rsidRPr="00CA099F">
        <w:rPr>
          <w:rFonts w:eastAsia="Calibri" w:cs="Calibri"/>
          <w:sz w:val="28"/>
          <w:szCs w:val="28"/>
          <w:lang w:val="ru-RU"/>
        </w:rPr>
        <w:t> </w:t>
      </w:r>
      <w:r w:rsidRPr="00CA099F">
        <w:rPr>
          <w:rFonts w:eastAsia="Calibri" w:cs="Calibri"/>
          <w:sz w:val="28"/>
          <w:szCs w:val="28"/>
        </w:rPr>
        <w:t>Григоров, Д.В.</w:t>
      </w:r>
      <w:r w:rsidRPr="00CA099F">
        <w:rPr>
          <w:rFonts w:eastAsia="Calibri" w:cs="Calibri"/>
          <w:sz w:val="28"/>
          <w:szCs w:val="28"/>
          <w:lang w:val="ru-RU"/>
        </w:rPr>
        <w:t> </w:t>
      </w:r>
      <w:r w:rsidRPr="00CA099F">
        <w:rPr>
          <w:rFonts w:eastAsia="Calibri" w:cs="Calibri"/>
          <w:sz w:val="28"/>
          <w:szCs w:val="28"/>
        </w:rPr>
        <w:t>Стебловський [та ін.] // Український стоматологічний альманах. – 2018. - №2. – С.</w:t>
      </w:r>
      <w:r w:rsidRPr="00CA099F">
        <w:rPr>
          <w:rFonts w:eastAsia="Calibri" w:cs="Calibri"/>
          <w:sz w:val="28"/>
          <w:szCs w:val="28"/>
          <w:lang w:val="ru-RU"/>
        </w:rPr>
        <w:t> </w:t>
      </w:r>
      <w:r w:rsidRPr="00CA099F">
        <w:rPr>
          <w:rFonts w:eastAsia="Calibri" w:cs="Calibri"/>
          <w:sz w:val="28"/>
          <w:szCs w:val="28"/>
        </w:rPr>
        <w:t>45-48.</w:t>
      </w:r>
    </w:p>
    <w:p w:rsidR="0030517B" w:rsidRPr="00CA099F" w:rsidRDefault="0030517B" w:rsidP="003236D6">
      <w:pPr>
        <w:spacing w:after="0" w:line="360" w:lineRule="auto"/>
        <w:ind w:firstLine="708"/>
        <w:contextualSpacing/>
        <w:jc w:val="both"/>
        <w:rPr>
          <w:rFonts w:eastAsia="Calibri" w:cs="Calibri"/>
          <w:sz w:val="28"/>
          <w:szCs w:val="28"/>
        </w:rPr>
      </w:pPr>
      <w:r w:rsidRPr="00CA099F">
        <w:rPr>
          <w:rFonts w:eastAsia="Calibri" w:cs="Calibri"/>
          <w:sz w:val="28"/>
          <w:szCs w:val="28"/>
        </w:rPr>
        <w:t xml:space="preserve">Динаміка змін показників рубцевозмінених тканин на 3 місяць післяопераційного періоду / </w:t>
      </w:r>
      <w:r w:rsidRPr="00CA099F">
        <w:rPr>
          <w:rFonts w:eastAsia="Calibri" w:cs="Calibri"/>
          <w:b/>
          <w:sz w:val="28"/>
          <w:szCs w:val="28"/>
        </w:rPr>
        <w:t>Л.Р.</w:t>
      </w:r>
      <w:r w:rsidRPr="00CA099F">
        <w:rPr>
          <w:rFonts w:eastAsia="Calibri" w:cs="Calibri"/>
          <w:b/>
          <w:sz w:val="28"/>
          <w:szCs w:val="28"/>
          <w:lang w:val="ru-RU"/>
        </w:rPr>
        <w:t> </w:t>
      </w:r>
      <w:r w:rsidRPr="00CA099F">
        <w:rPr>
          <w:rFonts w:eastAsia="Calibri" w:cs="Calibri"/>
          <w:b/>
          <w:sz w:val="28"/>
          <w:szCs w:val="28"/>
        </w:rPr>
        <w:t>Криничко</w:t>
      </w:r>
      <w:r w:rsidRPr="00CA099F">
        <w:rPr>
          <w:rFonts w:eastAsia="Calibri" w:cs="Calibri"/>
          <w:sz w:val="28"/>
          <w:szCs w:val="28"/>
        </w:rPr>
        <w:t>, С.М.</w:t>
      </w:r>
      <w:r w:rsidRPr="00CA099F">
        <w:rPr>
          <w:rFonts w:eastAsia="Calibri" w:cs="Calibri"/>
          <w:sz w:val="28"/>
          <w:szCs w:val="28"/>
          <w:lang w:val="ru-RU"/>
        </w:rPr>
        <w:t> </w:t>
      </w:r>
      <w:r w:rsidRPr="00CA099F">
        <w:rPr>
          <w:rFonts w:eastAsia="Calibri" w:cs="Calibri"/>
          <w:sz w:val="28"/>
          <w:szCs w:val="28"/>
        </w:rPr>
        <w:t>Григоров, С.О.</w:t>
      </w:r>
      <w:r w:rsidRPr="00CA099F">
        <w:rPr>
          <w:rFonts w:eastAsia="Calibri" w:cs="Calibri"/>
          <w:sz w:val="28"/>
          <w:szCs w:val="28"/>
          <w:lang w:val="ru-RU"/>
        </w:rPr>
        <w:t> </w:t>
      </w:r>
      <w:r w:rsidRPr="00CA099F">
        <w:rPr>
          <w:rFonts w:eastAsia="Calibri" w:cs="Calibri"/>
          <w:sz w:val="28"/>
          <w:szCs w:val="28"/>
        </w:rPr>
        <w:t>Ставицький</w:t>
      </w:r>
      <w:r w:rsidR="00B030BA">
        <w:rPr>
          <w:rFonts w:eastAsia="Calibri" w:cs="Calibri"/>
          <w:sz w:val="28"/>
          <w:szCs w:val="28"/>
        </w:rPr>
        <w:t xml:space="preserve"> </w:t>
      </w:r>
      <w:r w:rsidR="00B030BA" w:rsidRPr="00CA099F">
        <w:rPr>
          <w:rFonts w:eastAsia="Calibri" w:cs="Calibri"/>
          <w:sz w:val="28"/>
          <w:szCs w:val="28"/>
        </w:rPr>
        <w:t>[та ін.]</w:t>
      </w:r>
      <w:r w:rsidR="00B030BA">
        <w:rPr>
          <w:rFonts w:eastAsia="Calibri" w:cs="Calibri"/>
          <w:sz w:val="28"/>
          <w:szCs w:val="28"/>
        </w:rPr>
        <w:t xml:space="preserve"> </w:t>
      </w:r>
      <w:r w:rsidRPr="00CA099F">
        <w:rPr>
          <w:rFonts w:eastAsia="Calibri" w:cs="Calibri"/>
          <w:sz w:val="28"/>
          <w:szCs w:val="28"/>
        </w:rPr>
        <w:t>// Актуальні проблеми сучасної медицини : Вісник УМСА. – 2018. – Т.</w:t>
      </w:r>
      <w:r w:rsidRPr="00CA099F">
        <w:rPr>
          <w:rFonts w:eastAsia="Calibri" w:cs="Calibri"/>
          <w:sz w:val="28"/>
          <w:szCs w:val="28"/>
          <w:lang w:val="ru-RU"/>
        </w:rPr>
        <w:t> </w:t>
      </w:r>
      <w:r w:rsidRPr="00CA099F">
        <w:rPr>
          <w:rFonts w:eastAsia="Calibri" w:cs="Calibri"/>
          <w:sz w:val="28"/>
          <w:szCs w:val="28"/>
        </w:rPr>
        <w:t>18., Вип.2 (62). – С.</w:t>
      </w:r>
      <w:r w:rsidRPr="00CA099F">
        <w:rPr>
          <w:rFonts w:eastAsia="Calibri" w:cs="Calibri"/>
          <w:sz w:val="28"/>
          <w:szCs w:val="28"/>
          <w:lang w:val="ru-RU"/>
        </w:rPr>
        <w:t> </w:t>
      </w:r>
      <w:r w:rsidRPr="00CA099F">
        <w:rPr>
          <w:rFonts w:eastAsia="Calibri" w:cs="Calibri"/>
          <w:sz w:val="28"/>
          <w:szCs w:val="28"/>
        </w:rPr>
        <w:t>197-200.</w:t>
      </w:r>
    </w:p>
    <w:p w:rsidR="0030517B" w:rsidRPr="00CA099F" w:rsidRDefault="0030517B" w:rsidP="00B030BA">
      <w:pPr>
        <w:spacing w:after="0" w:line="360" w:lineRule="auto"/>
        <w:ind w:firstLine="708"/>
        <w:contextualSpacing/>
        <w:jc w:val="both"/>
        <w:rPr>
          <w:rFonts w:eastAsia="Calibri" w:cs="Calibri"/>
          <w:sz w:val="28"/>
          <w:szCs w:val="28"/>
        </w:rPr>
      </w:pPr>
      <w:r w:rsidRPr="00CA099F">
        <w:rPr>
          <w:rFonts w:eastAsia="Calibri" w:cs="Calibri"/>
          <w:sz w:val="28"/>
          <w:szCs w:val="28"/>
          <w:shd w:val="clear" w:color="auto" w:fill="FFFFFF"/>
        </w:rPr>
        <w:t xml:space="preserve">Патент 109267 </w:t>
      </w:r>
      <w:r w:rsidRPr="00CA099F">
        <w:rPr>
          <w:rFonts w:eastAsia="Calibri" w:cs="Calibri"/>
          <w:sz w:val="28"/>
          <w:szCs w:val="28"/>
          <w:shd w:val="clear" w:color="auto" w:fill="FFFFFF"/>
          <w:lang w:val="ru-RU"/>
        </w:rPr>
        <w:t>UA</w:t>
      </w:r>
      <w:r w:rsidRPr="00CA099F">
        <w:rPr>
          <w:rFonts w:eastAsia="Calibri" w:cs="Calibri"/>
          <w:sz w:val="28"/>
          <w:szCs w:val="28"/>
          <w:shd w:val="clear" w:color="auto" w:fill="FFFFFF"/>
        </w:rPr>
        <w:t xml:space="preserve">, МПК </w:t>
      </w:r>
      <w:r w:rsidRPr="00CA099F">
        <w:rPr>
          <w:rFonts w:eastAsia="Calibri" w:cs="Calibri"/>
          <w:sz w:val="28"/>
          <w:szCs w:val="28"/>
          <w:shd w:val="clear" w:color="auto" w:fill="FFFFFF"/>
          <w:lang w:val="ru-RU"/>
        </w:rPr>
        <w:t>A</w:t>
      </w:r>
      <w:r w:rsidRPr="00CA099F">
        <w:rPr>
          <w:rFonts w:eastAsia="Calibri" w:cs="Calibri"/>
          <w:sz w:val="28"/>
          <w:szCs w:val="28"/>
          <w:shd w:val="clear" w:color="auto" w:fill="FFFFFF"/>
        </w:rPr>
        <w:t>61</w:t>
      </w:r>
      <w:r w:rsidRPr="00CA099F">
        <w:rPr>
          <w:rFonts w:eastAsia="Calibri" w:cs="Calibri"/>
          <w:sz w:val="28"/>
          <w:szCs w:val="28"/>
          <w:shd w:val="clear" w:color="auto" w:fill="FFFFFF"/>
          <w:lang w:val="ru-RU"/>
        </w:rPr>
        <w:t>K</w:t>
      </w:r>
      <w:r w:rsidRPr="00CA099F">
        <w:rPr>
          <w:rFonts w:eastAsia="Calibri" w:cs="Calibri"/>
          <w:sz w:val="28"/>
          <w:szCs w:val="28"/>
          <w:shd w:val="clear" w:color="auto" w:fill="FFFFFF"/>
        </w:rPr>
        <w:t xml:space="preserve"> 31/00 (2016.01) </w:t>
      </w:r>
      <w:r w:rsidRPr="00CA099F">
        <w:rPr>
          <w:rFonts w:eastAsia="Calibri" w:cs="Calibri"/>
          <w:sz w:val="28"/>
          <w:szCs w:val="28"/>
          <w:shd w:val="clear" w:color="auto" w:fill="FFFFFF"/>
          <w:lang w:val="ru-RU"/>
        </w:rPr>
        <w:t>A</w:t>
      </w:r>
      <w:r w:rsidRPr="00CA099F">
        <w:rPr>
          <w:rFonts w:eastAsia="Calibri" w:cs="Calibri"/>
          <w:sz w:val="28"/>
          <w:szCs w:val="28"/>
          <w:shd w:val="clear" w:color="auto" w:fill="FFFFFF"/>
        </w:rPr>
        <w:t>61</w:t>
      </w:r>
      <w:r w:rsidRPr="00CA099F">
        <w:rPr>
          <w:rFonts w:eastAsia="Calibri" w:cs="Calibri"/>
          <w:sz w:val="28"/>
          <w:szCs w:val="28"/>
          <w:shd w:val="clear" w:color="auto" w:fill="FFFFFF"/>
          <w:lang w:val="ru-RU"/>
        </w:rPr>
        <w:t>P</w:t>
      </w:r>
      <w:r w:rsidRPr="00CA099F">
        <w:rPr>
          <w:rFonts w:eastAsia="Calibri" w:cs="Calibri"/>
          <w:sz w:val="28"/>
          <w:szCs w:val="28"/>
          <w:shd w:val="clear" w:color="auto" w:fill="FFFFFF"/>
        </w:rPr>
        <w:t xml:space="preserve"> 17/02 (2006.01) Спосіб інтраопераційної профілактики виникнення келоїдних та гіпертрофічних рубців шкіри при лікуванні кист шиї ембріонального походження / Григоров С. М., Криничко Л. Р., Ставицький С. О., Яценко І. В. ; заявник ВДНЗУ УМСА. — № </w:t>
      </w:r>
      <w:r w:rsidRPr="00CA099F">
        <w:rPr>
          <w:rFonts w:eastAsia="Calibri" w:cs="Calibri"/>
          <w:sz w:val="28"/>
          <w:szCs w:val="28"/>
          <w:shd w:val="clear" w:color="auto" w:fill="FFFFFF"/>
          <w:lang w:val="ru-RU"/>
        </w:rPr>
        <w:t>u</w:t>
      </w:r>
      <w:r w:rsidRPr="00CA099F">
        <w:rPr>
          <w:rFonts w:eastAsia="Calibri" w:cs="Calibri"/>
          <w:sz w:val="28"/>
          <w:szCs w:val="28"/>
          <w:shd w:val="clear" w:color="auto" w:fill="FFFFFF"/>
        </w:rPr>
        <w:t xml:space="preserve"> 2015 00026 ; заявл. </w:t>
      </w:r>
      <w:r w:rsidRPr="003236D6">
        <w:rPr>
          <w:rFonts w:eastAsia="Calibri" w:cs="Calibri"/>
          <w:sz w:val="28"/>
          <w:szCs w:val="28"/>
          <w:shd w:val="clear" w:color="auto" w:fill="FFFFFF"/>
        </w:rPr>
        <w:t>04.01.2016 ; опубл. 25.08.2016, Бюл. № 16.</w:t>
      </w:r>
      <w:r w:rsidRPr="00CA099F">
        <w:rPr>
          <w:rFonts w:eastAsia="Calibri" w:cs="Calibri"/>
          <w:sz w:val="28"/>
          <w:szCs w:val="28"/>
        </w:rPr>
        <w:br w:type="page"/>
      </w:r>
    </w:p>
    <w:p w:rsidR="0030517B" w:rsidRPr="00CA099F" w:rsidRDefault="0030517B" w:rsidP="0030517B">
      <w:pPr>
        <w:spacing w:after="0" w:line="360" w:lineRule="auto"/>
        <w:jc w:val="center"/>
        <w:rPr>
          <w:rFonts w:eastAsia="Calibri" w:cs="Times New Roman"/>
          <w:b/>
          <w:sz w:val="28"/>
          <w:szCs w:val="28"/>
        </w:rPr>
      </w:pPr>
      <w:r w:rsidRPr="00CA099F">
        <w:rPr>
          <w:rFonts w:eastAsia="Calibri" w:cs="Times New Roman"/>
          <w:b/>
          <w:sz w:val="28"/>
          <w:szCs w:val="28"/>
        </w:rPr>
        <w:lastRenderedPageBreak/>
        <w:t>РОЗДІЛ 4</w:t>
      </w:r>
    </w:p>
    <w:p w:rsidR="0030517B" w:rsidRPr="00CA099F" w:rsidRDefault="0030517B" w:rsidP="0030517B">
      <w:pPr>
        <w:spacing w:after="0" w:line="360" w:lineRule="auto"/>
        <w:ind w:firstLine="709"/>
        <w:jc w:val="center"/>
        <w:rPr>
          <w:rFonts w:eastAsia="Calibri" w:cs="Times New Roman"/>
          <w:b/>
          <w:sz w:val="28"/>
          <w:szCs w:val="28"/>
        </w:rPr>
      </w:pPr>
    </w:p>
    <w:p w:rsidR="0030517B" w:rsidRPr="00CA099F" w:rsidRDefault="0030517B" w:rsidP="0030517B">
      <w:pPr>
        <w:spacing w:after="0" w:line="360" w:lineRule="auto"/>
        <w:ind w:firstLine="709"/>
        <w:jc w:val="center"/>
        <w:rPr>
          <w:rFonts w:eastAsia="Calibri" w:cs="Times New Roman"/>
          <w:b/>
          <w:sz w:val="28"/>
          <w:szCs w:val="28"/>
        </w:rPr>
      </w:pPr>
    </w:p>
    <w:p w:rsidR="0030517B" w:rsidRPr="00CA099F" w:rsidRDefault="00270657" w:rsidP="0030517B">
      <w:pPr>
        <w:spacing w:after="0" w:line="360" w:lineRule="auto"/>
        <w:jc w:val="center"/>
        <w:rPr>
          <w:rFonts w:eastAsia="Calibri" w:cs="Times New Roman"/>
          <w:b/>
          <w:sz w:val="28"/>
          <w:szCs w:val="28"/>
        </w:rPr>
      </w:pPr>
      <w:r>
        <w:rPr>
          <w:rFonts w:eastAsia="Calibri" w:cs="Times New Roman"/>
          <w:b/>
          <w:sz w:val="28"/>
          <w:szCs w:val="28"/>
        </w:rPr>
        <w:t>РЕЗУЛЬТАТИ</w:t>
      </w:r>
      <w:r w:rsidR="0030517B" w:rsidRPr="00CA099F">
        <w:rPr>
          <w:rFonts w:eastAsia="Calibri" w:cs="Times New Roman"/>
          <w:b/>
          <w:sz w:val="28"/>
          <w:szCs w:val="28"/>
        </w:rPr>
        <w:t xml:space="preserve"> ГІСТОТОПОГРАФІЇ РУБЦІВ ШКІРИ НА РІЗНИХ ЕТАПАХ ПІСЛЯОПЕРАЦІЙНОГО ПЕРІОДУ</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b/>
          <w:sz w:val="28"/>
          <w:szCs w:val="28"/>
        </w:rPr>
      </w:pPr>
      <w:r w:rsidRPr="00CA099F">
        <w:rPr>
          <w:rFonts w:eastAsia="Calibri" w:cs="Times New Roman"/>
          <w:b/>
          <w:sz w:val="28"/>
          <w:szCs w:val="28"/>
        </w:rPr>
        <w:t>4.1 Особливості морфологічної будови рубцевозмінених тканин на 3 місяць післяопераційного періоду</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Мікроскопічне дослідження рубцевозмінених тканин у пацієнтів контрольної групи в області оперативного втручання дозволило виявити наявність епітеліального покриву над усією поверхнею сполучнотканинного рубця, який формується, що свідчило про практично завершений процес епітелізації.</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Детальне вивчення покривного епітелію за допомогою великих збільшень світлового мікроскопа дозволило виявити в ньому деякі відмінності, від описаної в літературі будови незміненого епідермісу цієї області</w:t>
      </w:r>
      <w:r w:rsidR="00BF604D">
        <w:rPr>
          <w:rFonts w:eastAsia="Calibri" w:cs="Times New Roman"/>
          <w:sz w:val="28"/>
          <w:szCs w:val="28"/>
        </w:rPr>
        <w:t xml:space="preserve"> </w:t>
      </w:r>
      <w:r w:rsidR="00BF604D" w:rsidRPr="00CA099F">
        <w:rPr>
          <w:rFonts w:eastAsia="Calibri" w:cs="Times New Roman"/>
          <w:sz w:val="28"/>
          <w:szCs w:val="28"/>
        </w:rPr>
        <w:t>[222]</w:t>
      </w:r>
      <w:r w:rsidRPr="00CA099F">
        <w:rPr>
          <w:rFonts w:eastAsia="Calibri" w:cs="Times New Roman"/>
          <w:sz w:val="28"/>
          <w:szCs w:val="28"/>
        </w:rPr>
        <w:t xml:space="preserve">. Так, у більшості спостережень епітеліальний покрив був представлений пластом багатошарового плоского ороговіваючого епітелію, завтовшки 32 ± 5 мкм, що дещо менше, ніж товщина інтактного епідермісу.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Стратифікація епітеліального пласту в цілому відповідала такій же незміненого епідермісу. Базальний шар був представлений розташованими в один ряд клітинними елементами кубічної форми з овальними ядрами. Досить часто у базальному шарі виявлялися мітотичні фігури. Наявність значної кількості останніх, що досить часто визначається терміном «базальноклітинна активність»</w:t>
      </w:r>
      <w:r w:rsidR="00DA29C8">
        <w:rPr>
          <w:rFonts w:eastAsia="Calibri" w:cs="Times New Roman"/>
          <w:sz w:val="28"/>
          <w:szCs w:val="28"/>
        </w:rPr>
        <w:t>,</w:t>
      </w:r>
      <w:r w:rsidRPr="00CA099F">
        <w:rPr>
          <w:rFonts w:eastAsia="Calibri" w:cs="Times New Roman"/>
          <w:sz w:val="28"/>
          <w:szCs w:val="28"/>
        </w:rPr>
        <w:t xml:space="preserve"> побічно свідчило про активізацію проліферативних процесів в епітеліальному пласті.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Також періодично серед епітеліоцитів базального шару, а в окремих випадках і серед епітеліальних клітин розташованого вище шипуватого шару, </w:t>
      </w:r>
      <w:r w:rsidRPr="00CA099F">
        <w:rPr>
          <w:rFonts w:eastAsia="Calibri" w:cs="Times New Roman"/>
          <w:sz w:val="28"/>
          <w:szCs w:val="28"/>
        </w:rPr>
        <w:lastRenderedPageBreak/>
        <w:t xml:space="preserve">нам зустрічалися інтраепітеліальні лімфоцити, що мігрували в епітеліальний пласт із підлеглої дерми, здолавши базальну мембрану. Прийнято вважати, що наявність великої кількості лімфоцитів у покривному епітелії, свідчить про наявність в підлеглих тканинах хронічного запального процесу, часто з імунним компонентом [223, 224].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шипуватому шарі, в порівнянні з інтактним епідермісом відповідної області у більшості випадків мало місце зменшення кількості клітинних рядів, місцями до 3-4, що було причиною зменшення загальної товщини епідермісу. Поверх шипуватого шару в усіх спостереженнях визначалися </w:t>
      </w:r>
      <w:r w:rsidRPr="006D382D">
        <w:rPr>
          <w:rFonts w:eastAsia="Calibri" w:cs="Times New Roman"/>
          <w:sz w:val="28"/>
          <w:szCs w:val="28"/>
        </w:rPr>
        <w:t>розташовані суці</w:t>
      </w:r>
      <w:r w:rsidR="00E45759" w:rsidRPr="006D382D">
        <w:rPr>
          <w:rFonts w:eastAsia="Calibri" w:cs="Times New Roman"/>
          <w:sz w:val="28"/>
          <w:szCs w:val="28"/>
        </w:rPr>
        <w:t>льним пластом рогові лусочки, які</w:t>
      </w:r>
      <w:r w:rsidR="006D382D" w:rsidRPr="006D382D">
        <w:rPr>
          <w:rFonts w:eastAsia="Calibri" w:cs="Times New Roman"/>
          <w:sz w:val="28"/>
          <w:szCs w:val="28"/>
        </w:rPr>
        <w:t xml:space="preserve"> утворювали</w:t>
      </w:r>
      <w:r w:rsidRPr="006D382D">
        <w:rPr>
          <w:rFonts w:eastAsia="Calibri" w:cs="Times New Roman"/>
          <w:sz w:val="28"/>
          <w:szCs w:val="28"/>
        </w:rPr>
        <w:t xml:space="preserve"> </w:t>
      </w:r>
      <w:r w:rsidR="00E45759" w:rsidRPr="006D382D">
        <w:rPr>
          <w:rFonts w:eastAsia="Calibri" w:cs="Times New Roman"/>
          <w:sz w:val="28"/>
          <w:szCs w:val="28"/>
        </w:rPr>
        <w:t>найбільш</w:t>
      </w:r>
      <w:r w:rsidRPr="006D382D">
        <w:rPr>
          <w:rFonts w:eastAsia="Calibri" w:cs="Times New Roman"/>
          <w:sz w:val="28"/>
          <w:szCs w:val="28"/>
        </w:rPr>
        <w:t xml:space="preserve"> поверхневий роговий шар, що побічно свідчить </w:t>
      </w:r>
      <w:r w:rsidR="006D382D" w:rsidRPr="006D382D">
        <w:rPr>
          <w:rFonts w:eastAsia="Calibri" w:cs="Times New Roman"/>
          <w:sz w:val="28"/>
          <w:szCs w:val="28"/>
        </w:rPr>
        <w:t xml:space="preserve">про </w:t>
      </w:r>
      <w:r w:rsidRPr="006D382D">
        <w:rPr>
          <w:rFonts w:eastAsia="Calibri" w:cs="Times New Roman"/>
          <w:sz w:val="28"/>
          <w:szCs w:val="28"/>
        </w:rPr>
        <w:t>практично повн</w:t>
      </w:r>
      <w:r w:rsidR="006D382D" w:rsidRPr="006D382D">
        <w:rPr>
          <w:rFonts w:eastAsia="Calibri" w:cs="Times New Roman"/>
          <w:sz w:val="28"/>
          <w:szCs w:val="28"/>
        </w:rPr>
        <w:t>е дозрівання</w:t>
      </w:r>
      <w:r w:rsidRPr="006D382D">
        <w:rPr>
          <w:rFonts w:eastAsia="Calibri" w:cs="Times New Roman"/>
          <w:sz w:val="28"/>
          <w:szCs w:val="28"/>
        </w:rPr>
        <w:t xml:space="preserve"> покривного епітелію на описуваному етапі репаративного процесу. Також, як і шипуватий, роговий шар досить часто мав дещо меншу</w:t>
      </w:r>
      <w:r w:rsidRPr="00CA099F">
        <w:rPr>
          <w:rFonts w:eastAsia="Calibri" w:cs="Times New Roman"/>
          <w:sz w:val="28"/>
          <w:szCs w:val="28"/>
        </w:rPr>
        <w:t xml:space="preserve"> товщину в порівнянні з таким інтактного епідермісу.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Окрім описаної вище типової картини епітелізації післяопераційної рани через 3 місяці, зрідка ми спостерігали поруш</w:t>
      </w:r>
      <w:r w:rsidR="00F433C8">
        <w:rPr>
          <w:rFonts w:eastAsia="Calibri" w:cs="Times New Roman"/>
          <w:sz w:val="28"/>
          <w:szCs w:val="28"/>
        </w:rPr>
        <w:t>ення цього процесу, що проявляло</w:t>
      </w:r>
      <w:r w:rsidRPr="00CA099F">
        <w:rPr>
          <w:rFonts w:eastAsia="Calibri" w:cs="Times New Roman"/>
          <w:sz w:val="28"/>
          <w:szCs w:val="28"/>
        </w:rPr>
        <w:t xml:space="preserve">ся як в недостатньому утворенні покривного епітелію (8 спостережень), так і в надмірній його проліферації з порушенням процесу кератинізації (6 спостережень).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першому випадку нам зустрічалися ділянки, як в проекції післяопераційного рубця, що формується, так і у безпосередній близькості від останнього покриті відносно тонким пластом покривного епітелію. В останньому також представлялося можливим розрізнити базальний, шипуватий, зернистий і роговий шари, проте в шипуватому шарі в подібних випадках налічувалися всього 1-2 шари клітинних елементів, при цьому по своїх морфологічних особливостях усі клітинні елементи епітеліального пласту не відрізнялися від описаних вище.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Дещо частіше нам доводилося спостерігати надмірну прол</w:t>
      </w:r>
      <w:r w:rsidR="00EF4C56">
        <w:rPr>
          <w:rFonts w:eastAsia="Calibri" w:cs="Times New Roman"/>
          <w:sz w:val="28"/>
          <w:szCs w:val="28"/>
        </w:rPr>
        <w:t>іферацію епітелію, що проявляло</w:t>
      </w:r>
      <w:r w:rsidRPr="00CA099F">
        <w:rPr>
          <w:rFonts w:eastAsia="Calibri" w:cs="Times New Roman"/>
          <w:sz w:val="28"/>
          <w:szCs w:val="28"/>
        </w:rPr>
        <w:t xml:space="preserve">ся як відносно рівномірним потовщенням пласта </w:t>
      </w:r>
      <w:r w:rsidRPr="00CA099F">
        <w:rPr>
          <w:rFonts w:eastAsia="Calibri" w:cs="Times New Roman"/>
          <w:sz w:val="28"/>
          <w:szCs w:val="28"/>
        </w:rPr>
        <w:lastRenderedPageBreak/>
        <w:t>останнього, так і появою, в одиничних випадках тяжів епітелію занурених всередину рубця, що формується.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Подібні епітеліальні комплекси розташовувалися відносно глибоко в рубці, що формується, і були практично повністю ізольовані від пласта покривного епітелію. Подібне поєднання явищ акантозу з масивною проліферацією епітелію спостерігається зазвичай у країв хронічних виразок, при дерматозах з явищами вегетації деякими авторами позначається як «псевдоепітеліоматозна гіперплазія» [96] (рис. 4.1).</w:t>
      </w:r>
    </w:p>
    <w:tbl>
      <w:tblPr>
        <w:tblW w:w="0" w:type="auto"/>
        <w:tblLook w:val="01E0" w:firstRow="1" w:lastRow="1" w:firstColumn="1" w:lastColumn="1" w:noHBand="0" w:noVBand="0"/>
      </w:tblPr>
      <w:tblGrid>
        <w:gridCol w:w="9355"/>
      </w:tblGrid>
      <w:tr w:rsidR="0030517B" w:rsidRPr="00CA099F" w:rsidTr="00E1448E">
        <w:tc>
          <w:tcPr>
            <w:tcW w:w="9356"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drawing>
                <wp:inline distT="0" distB="0" distL="0" distR="0" wp14:anchorId="1C217436" wp14:editId="4A73FA2F">
                  <wp:extent cx="5391150" cy="37433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1150" cy="3743325"/>
                          </a:xfrm>
                          <a:prstGeom prst="rect">
                            <a:avLst/>
                          </a:prstGeom>
                          <a:noFill/>
                          <a:ln>
                            <a:noFill/>
                          </a:ln>
                        </pic:spPr>
                      </pic:pic>
                    </a:graphicData>
                  </a:graphic>
                </wp:inline>
              </w:drawing>
            </w:r>
          </w:p>
        </w:tc>
      </w:tr>
      <w:tr w:rsidR="0030517B" w:rsidRPr="00CA099F" w:rsidTr="00E1448E">
        <w:tc>
          <w:tcPr>
            <w:tcW w:w="9356"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 xml:space="preserve">          Рис. 4.1. Епітеліальний покрив рубця, що формується, через 3 місяці після оперативного втручання. Контрольна група. Забарвлення гематоксилін-еозином. Об. 40х., ок. 10х. 1 – базальний шар епітелію; 2 – шипуватий шар епітелію; 3 – епітеліальний комплекс, занурений в рубець, що формується;  4 – сполучна тканина рубця. </w:t>
            </w:r>
          </w:p>
        </w:tc>
      </w:tr>
      <w:tr w:rsidR="0030517B" w:rsidRPr="00CA099F" w:rsidTr="00E1448E">
        <w:tc>
          <w:tcPr>
            <w:tcW w:w="9356" w:type="dxa"/>
          </w:tcPr>
          <w:p w:rsidR="0030517B" w:rsidRPr="00CA099F" w:rsidRDefault="0030517B" w:rsidP="00E1448E">
            <w:pPr>
              <w:spacing w:after="0" w:line="360" w:lineRule="auto"/>
              <w:jc w:val="both"/>
              <w:rPr>
                <w:rFonts w:eastAsia="Calibri" w:cs="Times New Roman"/>
                <w:szCs w:val="28"/>
              </w:rPr>
            </w:pPr>
          </w:p>
        </w:tc>
      </w:tr>
    </w:tbl>
    <w:p w:rsidR="0030517B" w:rsidRPr="00CA099F" w:rsidRDefault="0030517B" w:rsidP="0030517B">
      <w:pPr>
        <w:spacing w:after="0" w:line="360" w:lineRule="auto"/>
        <w:ind w:firstLine="708"/>
        <w:jc w:val="both"/>
        <w:rPr>
          <w:rFonts w:eastAsia="Calibri" w:cs="Times New Roman"/>
          <w:sz w:val="28"/>
          <w:szCs w:val="28"/>
        </w:rPr>
      </w:pPr>
      <w:r w:rsidRPr="00CA099F">
        <w:rPr>
          <w:rFonts w:eastAsia="Calibri" w:cs="Times New Roman"/>
          <w:sz w:val="28"/>
          <w:szCs w:val="28"/>
        </w:rPr>
        <w:t xml:space="preserve">Поява описаних комплексів може побічно свідчити про деяку затримку репаративного процесу в післяопераційній рані, яке мало місце в </w:t>
      </w:r>
      <w:r w:rsidR="00EF4C56">
        <w:rPr>
          <w:rFonts w:eastAsia="Calibri" w:cs="Times New Roman"/>
          <w:sz w:val="28"/>
          <w:szCs w:val="28"/>
        </w:rPr>
        <w:t>поодиноких</w:t>
      </w:r>
      <w:r w:rsidRPr="00CA099F">
        <w:rPr>
          <w:rFonts w:eastAsia="Calibri" w:cs="Times New Roman"/>
          <w:sz w:val="28"/>
          <w:szCs w:val="28"/>
        </w:rPr>
        <w:t xml:space="preserve"> випадках. Причиною цієї обставини, можливо, слід вважати індивідуальні </w:t>
      </w:r>
      <w:r w:rsidRPr="00CA099F">
        <w:rPr>
          <w:rFonts w:eastAsia="Calibri" w:cs="Times New Roman"/>
          <w:sz w:val="28"/>
          <w:szCs w:val="28"/>
        </w:rPr>
        <w:lastRenderedPageBreak/>
        <w:t>особливості окремих пацієнтів, що обумовлюють інтенсивність репаративних процесів в організмі.</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Межа між описаним вище покривним епітелієм і підлеглим сполучнотканинним рубцем</w:t>
      </w:r>
      <w:r w:rsidR="0042749C">
        <w:rPr>
          <w:rFonts w:eastAsia="Calibri" w:cs="Times New Roman"/>
          <w:sz w:val="28"/>
          <w:szCs w:val="28"/>
        </w:rPr>
        <w:t>,</w:t>
      </w:r>
      <w:r w:rsidRPr="00CA099F">
        <w:rPr>
          <w:rFonts w:eastAsia="Calibri" w:cs="Times New Roman"/>
          <w:sz w:val="28"/>
          <w:szCs w:val="28"/>
        </w:rPr>
        <w:t xml:space="preserve"> що формується</w:t>
      </w:r>
      <w:r w:rsidR="0042749C">
        <w:rPr>
          <w:rFonts w:eastAsia="Calibri" w:cs="Times New Roman"/>
          <w:sz w:val="28"/>
          <w:szCs w:val="28"/>
        </w:rPr>
        <w:t>,</w:t>
      </w:r>
      <w:r w:rsidRPr="00CA099F">
        <w:rPr>
          <w:rFonts w:eastAsia="Calibri" w:cs="Times New Roman"/>
          <w:sz w:val="28"/>
          <w:szCs w:val="28"/>
        </w:rPr>
        <w:t xml:space="preserve"> в усіх випадках мала звивистий характер, обумовлений чергуванням сполучнотканинних сосочків, що проникають до епітеліального пласта, і розташованими між ними пластами багатошарового плоского епітелію. У переважній більшості спостереження сосочки мали загальний план будови, типовий для такого інтактного епідермісу, проте помітно відрізнялися один від одного за метричними характеристиками, в першу чергу по висоті.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Так</w:t>
      </w:r>
      <w:r w:rsidR="0042749C">
        <w:rPr>
          <w:rFonts w:eastAsia="Calibri" w:cs="Times New Roman"/>
          <w:sz w:val="28"/>
          <w:szCs w:val="28"/>
        </w:rPr>
        <w:t>,</w:t>
      </w:r>
      <w:r w:rsidRPr="00CA099F">
        <w:rPr>
          <w:rFonts w:eastAsia="Calibri" w:cs="Times New Roman"/>
          <w:sz w:val="28"/>
          <w:szCs w:val="28"/>
        </w:rPr>
        <w:t xml:space="preserve"> найчастіше нам зустрічалися сп</w:t>
      </w:r>
      <w:r w:rsidR="0042749C">
        <w:rPr>
          <w:rFonts w:eastAsia="Calibri" w:cs="Times New Roman"/>
          <w:sz w:val="28"/>
          <w:szCs w:val="28"/>
        </w:rPr>
        <w:t>лощені сосочки, що характеризувалис</w:t>
      </w:r>
      <w:r w:rsidRPr="00CA099F">
        <w:rPr>
          <w:rFonts w:eastAsia="Calibri" w:cs="Times New Roman"/>
          <w:sz w:val="28"/>
          <w:szCs w:val="28"/>
        </w:rPr>
        <w:t>я відносно невеликою висотою. Останні розташовувалися переважно, в проекції центральної зони рубця, що формується, і відрізнялися варіабельною формою і розмірами. У них досить часто виявлялися дрібні вогнища кліт</w:t>
      </w:r>
      <w:r w:rsidR="00922F57">
        <w:rPr>
          <w:rFonts w:eastAsia="Calibri" w:cs="Times New Roman"/>
          <w:sz w:val="28"/>
          <w:szCs w:val="28"/>
        </w:rPr>
        <w:t>инної інфільтрації, що складали</w:t>
      </w:r>
      <w:r w:rsidRPr="00CA099F">
        <w:rPr>
          <w:rFonts w:eastAsia="Calibri" w:cs="Times New Roman"/>
          <w:sz w:val="28"/>
          <w:szCs w:val="28"/>
        </w:rPr>
        <w:t xml:space="preserve">ся переважно з лімфоцитів і плазматичних клітин.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Над периферичними відділами рубця, що формується, в </w:t>
      </w:r>
      <w:r w:rsidR="00922F57">
        <w:rPr>
          <w:rFonts w:eastAsia="Calibri" w:cs="Times New Roman"/>
          <w:sz w:val="28"/>
          <w:szCs w:val="28"/>
        </w:rPr>
        <w:t>ділянці</w:t>
      </w:r>
      <w:r w:rsidRPr="00CA099F">
        <w:rPr>
          <w:rFonts w:eastAsia="Calibri" w:cs="Times New Roman"/>
          <w:sz w:val="28"/>
          <w:szCs w:val="28"/>
        </w:rPr>
        <w:t xml:space="preserve"> межі з незміненою дермою, сполучнотканинні сосочки мали більшу висоту, порівняну з такою в незміненій дермі і помітно не відрізнялися один від одного за формою і метричним показником. </w:t>
      </w:r>
      <w:r w:rsidR="00922F57">
        <w:rPr>
          <w:rFonts w:eastAsia="Calibri" w:cs="Times New Roman"/>
          <w:sz w:val="28"/>
          <w:szCs w:val="28"/>
        </w:rPr>
        <w:t>В</w:t>
      </w:r>
      <w:r w:rsidRPr="00CA099F">
        <w:rPr>
          <w:rFonts w:eastAsia="Calibri" w:cs="Times New Roman"/>
          <w:sz w:val="28"/>
          <w:szCs w:val="28"/>
        </w:rPr>
        <w:t xml:space="preserve"> описаній зоні лімфоплазмоцитарні інфільтрати виявлялися значно рідше. У той же час, періодично по краю рубця виявлялися ділянки, в яких спостерігалося як стоншування епідермісу</w:t>
      </w:r>
      <w:r w:rsidR="00922F57">
        <w:rPr>
          <w:rFonts w:eastAsia="Calibri" w:cs="Times New Roman"/>
          <w:sz w:val="28"/>
          <w:szCs w:val="28"/>
        </w:rPr>
        <w:t>,</w:t>
      </w:r>
      <w:r w:rsidRPr="00CA099F">
        <w:rPr>
          <w:rFonts w:eastAsia="Calibri" w:cs="Times New Roman"/>
          <w:sz w:val="28"/>
          <w:szCs w:val="28"/>
        </w:rPr>
        <w:t xml:space="preserve"> так і зменшення висоти сосочків.</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Зрідка, в поверхневих шарах покривного епіт</w:t>
      </w:r>
      <w:r w:rsidR="00922F57">
        <w:rPr>
          <w:rFonts w:eastAsia="Calibri" w:cs="Times New Roman"/>
          <w:sz w:val="28"/>
          <w:szCs w:val="28"/>
        </w:rPr>
        <w:t>елію нам зустрічалися кістоподібні</w:t>
      </w:r>
      <w:r w:rsidRPr="00CA099F">
        <w:rPr>
          <w:rFonts w:eastAsia="Calibri" w:cs="Times New Roman"/>
          <w:sz w:val="28"/>
          <w:szCs w:val="28"/>
        </w:rPr>
        <w:t xml:space="preserve"> утворення, заповнені роговими масами (рис. 4.2).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noProof/>
          <w:sz w:val="28"/>
          <w:szCs w:val="28"/>
          <w:lang w:val="ru-RU" w:eastAsia="ru-RU"/>
        </w:rPr>
        <w:lastRenderedPageBreak/>
        <w:drawing>
          <wp:inline distT="0" distB="0" distL="0" distR="0" wp14:anchorId="5E51AA40" wp14:editId="7DFD3688">
            <wp:extent cx="5400675" cy="37528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0675" cy="3752850"/>
                    </a:xfrm>
                    <a:prstGeom prst="rect">
                      <a:avLst/>
                    </a:prstGeom>
                    <a:noFill/>
                    <a:ln>
                      <a:noFill/>
                    </a:ln>
                  </pic:spPr>
                </pic:pic>
              </a:graphicData>
            </a:graphic>
          </wp:inline>
        </w:drawing>
      </w:r>
    </w:p>
    <w:p w:rsidR="0030517B" w:rsidRPr="00CA099F" w:rsidRDefault="0030517B" w:rsidP="0030517B">
      <w:pPr>
        <w:spacing w:after="0" w:line="360" w:lineRule="auto"/>
        <w:ind w:firstLine="708"/>
        <w:jc w:val="both"/>
        <w:rPr>
          <w:rFonts w:eastAsia="Calibri" w:cs="Times New Roman"/>
          <w:sz w:val="28"/>
          <w:szCs w:val="28"/>
        </w:rPr>
      </w:pPr>
      <w:r w:rsidRPr="00CA099F">
        <w:rPr>
          <w:rFonts w:eastAsia="Calibri" w:cs="Times New Roman"/>
          <w:sz w:val="28"/>
          <w:szCs w:val="28"/>
        </w:rPr>
        <w:t>Рис. 4.2. Епітеліальний покрив рубця, що формується, через 3 місяці після оперативного втручання. Контрольна група. Забарвлення гематоксилін-еозином. Об. 40х., ок. 10х. 1 – кістоподібні утворення, заповнені роговими масами; 2 – покривний епітелій; 3 – сполучна тканина рубця.</w:t>
      </w:r>
    </w:p>
    <w:p w:rsidR="0030517B" w:rsidRPr="00CA099F" w:rsidRDefault="0030517B" w:rsidP="0030517B">
      <w:pPr>
        <w:spacing w:after="0" w:line="360" w:lineRule="auto"/>
        <w:ind w:firstLine="708"/>
        <w:jc w:val="both"/>
        <w:rPr>
          <w:rFonts w:eastAsia="Calibri" w:cs="Times New Roman"/>
          <w:sz w:val="28"/>
          <w:szCs w:val="28"/>
        </w:rPr>
      </w:pPr>
    </w:p>
    <w:p w:rsidR="0030517B" w:rsidRPr="00CA099F" w:rsidRDefault="0030517B" w:rsidP="0030517B">
      <w:pPr>
        <w:spacing w:after="0" w:line="360" w:lineRule="auto"/>
        <w:ind w:firstLine="708"/>
        <w:jc w:val="both"/>
        <w:rPr>
          <w:rFonts w:eastAsia="Calibri" w:cs="Times New Roman"/>
          <w:sz w:val="28"/>
          <w:szCs w:val="28"/>
        </w:rPr>
      </w:pPr>
      <w:r w:rsidRPr="00CA099F">
        <w:rPr>
          <w:rFonts w:eastAsia="Calibri" w:cs="Times New Roman"/>
          <w:sz w:val="28"/>
          <w:szCs w:val="28"/>
        </w:rPr>
        <w:t xml:space="preserve">Окрім описаних вище утворень, що дуже нагадують епідермоїдні </w:t>
      </w:r>
      <w:r w:rsidR="00D13B7F">
        <w:rPr>
          <w:rFonts w:eastAsia="Calibri" w:cs="Times New Roman"/>
          <w:sz w:val="28"/>
          <w:szCs w:val="28"/>
        </w:rPr>
        <w:t>кісти, в поодиноких</w:t>
      </w:r>
      <w:r w:rsidRPr="00CA099F">
        <w:rPr>
          <w:rFonts w:eastAsia="Calibri" w:cs="Times New Roman"/>
          <w:sz w:val="28"/>
          <w:szCs w:val="28"/>
        </w:rPr>
        <w:t xml:space="preserve"> спостереженнях над центральними зонами рубця, що формується, в розташованих між сполучнотканинними сосочками епітеліальних пластів виявлялися концентричні структури, утворені епітеліальними клітинами,</w:t>
      </w:r>
      <w:r w:rsidR="00D13B7F">
        <w:rPr>
          <w:rFonts w:eastAsia="Calibri" w:cs="Times New Roman"/>
          <w:sz w:val="28"/>
          <w:szCs w:val="28"/>
        </w:rPr>
        <w:t xml:space="preserve"> які</w:t>
      </w:r>
      <w:r w:rsidRPr="00CA099F">
        <w:rPr>
          <w:rFonts w:eastAsia="Calibri" w:cs="Times New Roman"/>
          <w:sz w:val="28"/>
          <w:szCs w:val="28"/>
        </w:rPr>
        <w:t xml:space="preserve"> за морфологічними властивостями</w:t>
      </w:r>
      <w:r w:rsidR="00D13B7F">
        <w:rPr>
          <w:rFonts w:eastAsia="Calibri" w:cs="Times New Roman"/>
          <w:sz w:val="28"/>
          <w:szCs w:val="28"/>
        </w:rPr>
        <w:t xml:space="preserve"> </w:t>
      </w:r>
      <w:r w:rsidRPr="00CA099F">
        <w:rPr>
          <w:rFonts w:eastAsia="Calibri" w:cs="Times New Roman"/>
          <w:sz w:val="28"/>
          <w:szCs w:val="28"/>
        </w:rPr>
        <w:t>нагадують епітеліоцити зернистого шару, в центрі яких зрідка виявлялися рогові маси. Ці структури дуже нагадують «ракові перлини», що виявляються, при деяких шкірних захворюваннях пухлинної і запальної природи і є проявами рогової дистрофії, свідчать про порушення процесу кератинізації в епітеліальному пласті.</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Іноді структури подібні до описаних вище, містили дрібні порожнини, заповнені масами кератогіаліну. Перераховані розлади процесу епітелізації </w:t>
      </w:r>
      <w:r w:rsidRPr="00CA099F">
        <w:rPr>
          <w:rFonts w:eastAsia="Calibri" w:cs="Times New Roman"/>
          <w:sz w:val="28"/>
          <w:szCs w:val="28"/>
        </w:rPr>
        <w:lastRenderedPageBreak/>
        <w:t>післяопераційного рубця, мабуть, пов'язані з індивідуальними особливостями, про що вже було сказано вище.</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Сполучнотканинний рубець, що формується, розташований під описаним вище епітелієм, містив помірну кількість клітинних елементів і фібриляр</w:t>
      </w:r>
      <w:r w:rsidR="00C96113">
        <w:rPr>
          <w:rFonts w:eastAsia="Calibri" w:cs="Times New Roman"/>
          <w:sz w:val="28"/>
          <w:szCs w:val="28"/>
        </w:rPr>
        <w:t>них структур, що виразно виявляли</w:t>
      </w:r>
      <w:r w:rsidRPr="00CA099F">
        <w:rPr>
          <w:rFonts w:eastAsia="Calibri" w:cs="Times New Roman"/>
          <w:sz w:val="28"/>
          <w:szCs w:val="28"/>
        </w:rPr>
        <w:t>ся при забарвленні пікрофуксином. Проведені морфометричні дослідження свідчать, що питома вага розташування клітин в рубці, що формується, складала в середньому 350±27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Як вже було сказано вище, серед клітинних елементів фіброблас</w:t>
      </w:r>
      <w:r w:rsidR="00C96113">
        <w:rPr>
          <w:rFonts w:eastAsia="Calibri" w:cs="Times New Roman"/>
          <w:sz w:val="28"/>
          <w:szCs w:val="28"/>
        </w:rPr>
        <w:t>тичного ряду виявлялися як мало</w:t>
      </w:r>
      <w:r w:rsidRPr="00CA099F">
        <w:rPr>
          <w:rFonts w:eastAsia="Calibri" w:cs="Times New Roman"/>
          <w:sz w:val="28"/>
          <w:szCs w:val="28"/>
        </w:rPr>
        <w:t>спеціалізовані (юні) фібробласти</w:t>
      </w:r>
      <w:r w:rsidR="00C96113">
        <w:rPr>
          <w:rFonts w:eastAsia="Calibri" w:cs="Times New Roman"/>
          <w:sz w:val="28"/>
          <w:szCs w:val="28"/>
        </w:rPr>
        <w:t>,</w:t>
      </w:r>
      <w:r w:rsidRPr="00CA099F">
        <w:rPr>
          <w:rFonts w:eastAsia="Calibri" w:cs="Times New Roman"/>
          <w:sz w:val="28"/>
          <w:szCs w:val="28"/>
        </w:rPr>
        <w:t xml:space="preserve"> так і зрілі, диференційовані форми. Останні зустрічалися значно частіше і характеризувалися витягнутою, веретеноподібною формою, базофільною</w:t>
      </w:r>
      <w:r w:rsidR="00C96113">
        <w:rPr>
          <w:rFonts w:eastAsia="Calibri" w:cs="Times New Roman"/>
          <w:sz w:val="28"/>
          <w:szCs w:val="28"/>
        </w:rPr>
        <w:t xml:space="preserve"> цитоплазмою, в якій розташовувало</w:t>
      </w:r>
      <w:r w:rsidRPr="00CA099F">
        <w:rPr>
          <w:rFonts w:eastAsia="Calibri" w:cs="Times New Roman"/>
          <w:sz w:val="28"/>
          <w:szCs w:val="28"/>
        </w:rPr>
        <w:t>ся світле, овальної форми ядро з 1-2 ядерцями. Малоспеціалізовані фібробласти</w:t>
      </w:r>
      <w:r w:rsidR="009612E7">
        <w:rPr>
          <w:rFonts w:eastAsia="Calibri" w:cs="Times New Roman"/>
          <w:sz w:val="28"/>
          <w:szCs w:val="28"/>
        </w:rPr>
        <w:t>, які</w:t>
      </w:r>
      <w:r w:rsidRPr="00CA099F">
        <w:rPr>
          <w:rFonts w:eastAsia="Calibri" w:cs="Times New Roman"/>
          <w:sz w:val="28"/>
          <w:szCs w:val="28"/>
        </w:rPr>
        <w:t xml:space="preserve"> зустрічалися нам в невеликій кількості переважно в апікальних відділах рубця, що формується, і, у ряді випадків, у безпосередній близькості від кровоносних мікросудин, були представлені досить поліморфною клітинною популяцією, що </w:t>
      </w:r>
      <w:r w:rsidR="009612E7">
        <w:rPr>
          <w:rFonts w:eastAsia="Calibri" w:cs="Times New Roman"/>
          <w:sz w:val="28"/>
          <w:szCs w:val="28"/>
        </w:rPr>
        <w:t>вочевидь</w:t>
      </w:r>
      <w:r w:rsidRPr="00CA099F">
        <w:rPr>
          <w:rFonts w:eastAsia="Calibri" w:cs="Times New Roman"/>
          <w:sz w:val="28"/>
          <w:szCs w:val="28"/>
        </w:rPr>
        <w:t>, відбивало різні етапи розвитку і диференціювання цих клітинних елементів. Так</w:t>
      </w:r>
      <w:r w:rsidR="009612E7">
        <w:rPr>
          <w:rFonts w:eastAsia="Calibri" w:cs="Times New Roman"/>
          <w:sz w:val="28"/>
          <w:szCs w:val="28"/>
        </w:rPr>
        <w:t>,</w:t>
      </w:r>
      <w:r w:rsidRPr="00CA099F">
        <w:rPr>
          <w:rFonts w:eastAsia="Calibri" w:cs="Times New Roman"/>
          <w:sz w:val="28"/>
          <w:szCs w:val="28"/>
        </w:rPr>
        <w:t xml:space="preserve"> досить часто нам зустрічалися відносно невеликі клітини округлої форми, ядро в яких займало велику частину цитоплазми. У той же час, виявлялися клітинні елементи великих розмірів, переважно овальної форми, в цитоплазмі яких також розташов</w:t>
      </w:r>
      <w:r w:rsidR="009612E7">
        <w:rPr>
          <w:rFonts w:eastAsia="Calibri" w:cs="Times New Roman"/>
          <w:sz w:val="28"/>
          <w:szCs w:val="28"/>
        </w:rPr>
        <w:t>увалися округлі ядра, що займали</w:t>
      </w:r>
      <w:r w:rsidRPr="00CA099F">
        <w:rPr>
          <w:rFonts w:eastAsia="Calibri" w:cs="Times New Roman"/>
          <w:sz w:val="28"/>
          <w:szCs w:val="28"/>
        </w:rPr>
        <w:t xml:space="preserve"> набагато менший об'єм внутрішньоклітинного простору.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Серед клітинних елементів гематогенного походження нам пос</w:t>
      </w:r>
      <w:r w:rsidR="00597D48">
        <w:rPr>
          <w:rFonts w:eastAsia="Calibri" w:cs="Times New Roman"/>
          <w:sz w:val="28"/>
          <w:szCs w:val="28"/>
        </w:rPr>
        <w:t>тійно зустрічалися локалізовані</w:t>
      </w:r>
      <w:r w:rsidRPr="00CA099F">
        <w:rPr>
          <w:rFonts w:eastAsia="Calibri" w:cs="Times New Roman"/>
          <w:sz w:val="28"/>
          <w:szCs w:val="28"/>
        </w:rPr>
        <w:t xml:space="preserve"> переважно в апікальних відділах рубця, що формується, лімфоцити і плазматичні клітини, які в окремих випадках утворювали невеликі клітинні скупчення. Мастоцити візуалізувалися у безпосередній близькості від кровоносних судин, кількість їх у порівнянні з іншими клітинними елементами була невелика. Досить рідко в рубці, що </w:t>
      </w:r>
      <w:r w:rsidRPr="00CA099F">
        <w:rPr>
          <w:rFonts w:eastAsia="Calibri" w:cs="Times New Roman"/>
          <w:sz w:val="28"/>
          <w:szCs w:val="28"/>
        </w:rPr>
        <w:lastRenderedPageBreak/>
        <w:t>формується, виявлялися макрофаги, які практично в усіх випадках були представлені зрілими, диференційованими формами (рис. 4.3).</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Кровоносні судини в рубці, що формується, були відносно нечисленними, серед них вдавалося диференціювати усі сегменти сформованого кровоносного мікроциркуляторного русла. Найбільша щільність кровоносних мікросудин відмічалася в апікальних відділах рубця, що формується, за рахунок наявності відносно великої кількості тонкостінних мікросудин капілярного типу.</w:t>
      </w:r>
    </w:p>
    <w:p w:rsidR="0030517B" w:rsidRPr="00CA099F" w:rsidRDefault="0030517B" w:rsidP="0030517B">
      <w:pPr>
        <w:spacing w:after="0" w:line="360" w:lineRule="auto"/>
        <w:ind w:firstLine="709"/>
        <w:jc w:val="both"/>
        <w:rPr>
          <w:rFonts w:eastAsia="Calibri" w:cs="Times New Roman"/>
          <w:sz w:val="28"/>
          <w:szCs w:val="28"/>
        </w:rPr>
      </w:pP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drawing>
                <wp:inline distT="0" distB="0" distL="0" distR="0" wp14:anchorId="76220513" wp14:editId="1229ABE8">
                  <wp:extent cx="5400675" cy="3638550"/>
                  <wp:effectExtent l="0" t="0" r="9525" b="0"/>
                  <wp:docPr id="15" name="Рисунок 15" descr="Tv2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Tv22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0675" cy="3638550"/>
                          </a:xfrm>
                          <a:prstGeom prst="rect">
                            <a:avLst/>
                          </a:prstGeom>
                          <a:noFill/>
                          <a:ln>
                            <a:noFill/>
                          </a:ln>
                        </pic:spPr>
                      </pic:pic>
                    </a:graphicData>
                  </a:graphic>
                </wp:inline>
              </w:drawing>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 xml:space="preserve">          Рис. 4.3. Сполучнотканинний рубець, що формується, через 3 місяці після оперативного втручання. Контрольна група. Забарвлення гематоксилін-еозином. Об. 40х., ок. 10х. 1 – лімфоцити; 2 – кровоносна мікросудина; 3 – мастоцити; 4 – фібробласти. </w:t>
            </w:r>
          </w:p>
        </w:tc>
      </w:tr>
    </w:tbl>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FA646B" w:rsidP="0030517B">
      <w:pPr>
        <w:spacing w:after="0" w:line="360" w:lineRule="auto"/>
        <w:ind w:firstLine="709"/>
        <w:jc w:val="both"/>
        <w:rPr>
          <w:rFonts w:eastAsia="Calibri" w:cs="Times New Roman"/>
          <w:sz w:val="28"/>
          <w:szCs w:val="28"/>
        </w:rPr>
      </w:pPr>
      <w:r>
        <w:rPr>
          <w:rFonts w:eastAsia="Calibri" w:cs="Times New Roman"/>
          <w:sz w:val="28"/>
          <w:szCs w:val="28"/>
        </w:rPr>
        <w:t>При проведенні іму</w:t>
      </w:r>
      <w:r w:rsidRPr="00CA099F">
        <w:rPr>
          <w:rFonts w:eastAsia="Calibri" w:cs="Times New Roman"/>
          <w:sz w:val="28"/>
          <w:szCs w:val="28"/>
        </w:rPr>
        <w:t>ногістохімічного дослідження з антитілами до універсального маркера проліферативної активності Кі - 67, у базальному шарі багатошарового плоского епітелію, приблизно в 30% клітинних елементів ми спостерігали інт</w:t>
      </w:r>
      <w:r>
        <w:rPr>
          <w:rFonts w:eastAsia="Calibri" w:cs="Times New Roman"/>
          <w:sz w:val="28"/>
          <w:szCs w:val="28"/>
        </w:rPr>
        <w:t>р</w:t>
      </w:r>
      <w:r w:rsidRPr="00CA099F">
        <w:rPr>
          <w:rFonts w:eastAsia="Calibri" w:cs="Times New Roman"/>
          <w:sz w:val="28"/>
          <w:szCs w:val="28"/>
        </w:rPr>
        <w:t xml:space="preserve">ануклеарну експресію цього маркера високої або середньої </w:t>
      </w:r>
      <w:r w:rsidRPr="00CA099F">
        <w:rPr>
          <w:rFonts w:eastAsia="Calibri" w:cs="Times New Roman"/>
          <w:sz w:val="28"/>
          <w:szCs w:val="28"/>
        </w:rPr>
        <w:lastRenderedPageBreak/>
        <w:t>інтенсивності. Також позитивна реакція до цих антитіл, але відносно рідше</w:t>
      </w:r>
      <w:r>
        <w:rPr>
          <w:rFonts w:eastAsia="Calibri" w:cs="Times New Roman"/>
          <w:sz w:val="28"/>
          <w:szCs w:val="28"/>
        </w:rPr>
        <w:t>,</w:t>
      </w:r>
      <w:r w:rsidRPr="00CA099F">
        <w:rPr>
          <w:rFonts w:eastAsia="Calibri" w:cs="Times New Roman"/>
          <w:sz w:val="28"/>
          <w:szCs w:val="28"/>
        </w:rPr>
        <w:t xml:space="preserve"> виявлялася в клітинних елементах фібробластичного ряду, переважно локалізованих в апікальних відділах рубця і структурах стінки дрібних кровоносних судин (як у ендотелії, так і в клітинних елементах зовнішньої оболонки). </w:t>
      </w:r>
      <w:r w:rsidR="0030517B" w:rsidRPr="00CA099F">
        <w:rPr>
          <w:rFonts w:eastAsia="Calibri" w:cs="Times New Roman"/>
          <w:sz w:val="28"/>
          <w:szCs w:val="28"/>
        </w:rPr>
        <w:t>У прилеглих до рубця, що формується, м'яких тканин</w:t>
      </w:r>
      <w:r w:rsidR="003C4020">
        <w:rPr>
          <w:rFonts w:eastAsia="Calibri" w:cs="Times New Roman"/>
          <w:sz w:val="28"/>
          <w:szCs w:val="28"/>
        </w:rPr>
        <w:t xml:space="preserve">ах і незміненій дермі, що </w:t>
      </w:r>
      <w:r w:rsidR="003C4020" w:rsidRPr="00CA099F">
        <w:rPr>
          <w:rFonts w:eastAsia="Calibri" w:cs="Times New Roman"/>
          <w:sz w:val="28"/>
          <w:szCs w:val="28"/>
        </w:rPr>
        <w:t>його</w:t>
      </w:r>
      <w:r w:rsidR="003C4020">
        <w:rPr>
          <w:rFonts w:eastAsia="Calibri" w:cs="Times New Roman"/>
          <w:sz w:val="28"/>
          <w:szCs w:val="28"/>
        </w:rPr>
        <w:t xml:space="preserve"> оточувала, в цій групі виявлялися не</w:t>
      </w:r>
      <w:r w:rsidR="0030517B" w:rsidRPr="00CA099F">
        <w:rPr>
          <w:rFonts w:eastAsia="Calibri" w:cs="Times New Roman"/>
          <w:sz w:val="28"/>
          <w:szCs w:val="28"/>
        </w:rPr>
        <w:t>численні дрібні клітинні інфільтрати, представлені переважно лімфоцитами і плазматичними клітинами, помірне повнокров’я венозних мікросудин, дрібні периваскулярні крововиливи.</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У пацієнтів 1 групи, яким був введений PRF-згусток, через 3 місяці макроскопічно область післяопераційного рубця не мала видимих відмінностей від контрольної групи.</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Мікроскопічне вивчення посіченого рубця при невеликих збільшеннях світлового мікроскопа дозволило виявити наявність пласта багатошарового плоского епітелію над усією поверхнею сполучнотканинного рубця, що формується. </w:t>
      </w:r>
      <w:r w:rsidR="003F7735">
        <w:rPr>
          <w:rFonts w:eastAsia="Calibri" w:cs="Times New Roman"/>
          <w:sz w:val="28"/>
          <w:szCs w:val="28"/>
        </w:rPr>
        <w:t>Майже</w:t>
      </w:r>
      <w:r w:rsidRPr="00CA099F">
        <w:rPr>
          <w:rFonts w:eastAsia="Calibri" w:cs="Times New Roman"/>
          <w:sz w:val="28"/>
          <w:szCs w:val="28"/>
        </w:rPr>
        <w:t xml:space="preserve"> в усіх спостереженнях товщина епітеліального покриву – 34 ± 5 мкм практично не відрізнялася від аналогічного показника в контрольній групі. Як і в контрольній групі, мало місце чітке розділення епітеліального пласта на чотири шари: базальний, шипуватий, зернистий і роговий.</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Слід зазначити, що випадки порушення процесу епітелізації в описуваній групі зустрічалися дещо рідше – 4 випадки затримки процесу, 6 спостережень над</w:t>
      </w:r>
      <w:r w:rsidR="003F7735">
        <w:rPr>
          <w:rFonts w:eastAsia="Calibri" w:cs="Times New Roman"/>
          <w:sz w:val="28"/>
          <w:szCs w:val="28"/>
        </w:rPr>
        <w:t>мірної проліферації, що проявляли</w:t>
      </w:r>
      <w:r w:rsidRPr="00CA099F">
        <w:rPr>
          <w:rFonts w:eastAsia="Calibri" w:cs="Times New Roman"/>
          <w:sz w:val="28"/>
          <w:szCs w:val="28"/>
        </w:rPr>
        <w:t>ся надмірним акантозом і кератинізацією.</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Окрім описаної вище типової картини епітелізації </w:t>
      </w:r>
      <w:r w:rsidRPr="00396FF0">
        <w:rPr>
          <w:rFonts w:eastAsia="Calibri" w:cs="Times New Roman"/>
          <w:sz w:val="28"/>
          <w:szCs w:val="28"/>
        </w:rPr>
        <w:t>післяопераційної рани</w:t>
      </w:r>
      <w:r w:rsidRPr="00CA099F">
        <w:rPr>
          <w:rFonts w:eastAsia="Calibri" w:cs="Times New Roman"/>
          <w:sz w:val="28"/>
          <w:szCs w:val="28"/>
        </w:rPr>
        <w:t xml:space="preserve"> через 3 місяці, зрідка ми спостерігали поруше</w:t>
      </w:r>
      <w:r w:rsidR="003F7735">
        <w:rPr>
          <w:rFonts w:eastAsia="Calibri" w:cs="Times New Roman"/>
          <w:sz w:val="28"/>
          <w:szCs w:val="28"/>
        </w:rPr>
        <w:t>ння цього процесу, що проявляло</w:t>
      </w:r>
      <w:r w:rsidRPr="00CA099F">
        <w:rPr>
          <w:rFonts w:eastAsia="Calibri" w:cs="Times New Roman"/>
          <w:sz w:val="28"/>
          <w:szCs w:val="28"/>
        </w:rPr>
        <w:t xml:space="preserve">ся як в недостатньому утворенні покривного епітелію (4 спостереження), так і в надмірній його проліферації з порушенням процесу кератинізації (6 спостережень).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lastRenderedPageBreak/>
        <w:t>Межа між покривним епітелієм і сполучнотканинним рубцем, що формується, також в усіх випадках мала звивистий характер за рахунок чергування пластів епітелію і сполучнотканинних сосочків. Останні мали типовий план будови і в порівнянні з такими в контрольній групі мали менш варіабельні форму і розміри над усією площею рубця, що формується. Тим не менше, в окремих випадках нам доводилося зустрічати як сплощені</w:t>
      </w:r>
      <w:r w:rsidR="005A3701">
        <w:rPr>
          <w:rFonts w:eastAsia="Calibri" w:cs="Times New Roman"/>
          <w:sz w:val="28"/>
          <w:szCs w:val="28"/>
        </w:rPr>
        <w:t>,</w:t>
      </w:r>
      <w:r w:rsidRPr="00CA099F">
        <w:rPr>
          <w:rFonts w:eastAsia="Calibri" w:cs="Times New Roman"/>
          <w:sz w:val="28"/>
          <w:szCs w:val="28"/>
        </w:rPr>
        <w:t xml:space="preserve"> так і подовжені сосочки, особливості будови яких було описано нами раніше. Формування епітеліальних кіст і вогнищ дискератозу в цій клінічній групі нами виявлено не було.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Вивчення сполучнотканинного рубця, що формується, не дозволило виявити помітних змін в його будові по порівнянню описаному вище. Проте, проведені морфометричні дослідження виявили деякі відмінності в кількісному і якісному складі клітинних елементів. Так, загальна питома вага розташування клітинних елементів була дещо менш</w:t>
      </w:r>
      <w:r w:rsidR="00630AC5">
        <w:rPr>
          <w:rFonts w:eastAsia="Calibri" w:cs="Times New Roman"/>
          <w:sz w:val="28"/>
          <w:szCs w:val="28"/>
        </w:rPr>
        <w:t>ою</w:t>
      </w:r>
      <w:r w:rsidRPr="00CA099F">
        <w:rPr>
          <w:rFonts w:eastAsia="Calibri" w:cs="Times New Roman"/>
          <w:sz w:val="28"/>
          <w:szCs w:val="28"/>
        </w:rPr>
        <w:t xml:space="preserve"> і складала в середньому 320 ± 22 в 10000 мкм. Серед клітинних елементів</w:t>
      </w:r>
      <w:r w:rsidR="00630AC5">
        <w:rPr>
          <w:rFonts w:eastAsia="Calibri" w:cs="Times New Roman"/>
          <w:sz w:val="28"/>
          <w:szCs w:val="28"/>
        </w:rPr>
        <w:t>, як і</w:t>
      </w:r>
      <w:r w:rsidRPr="00CA099F">
        <w:rPr>
          <w:rFonts w:eastAsia="Calibri" w:cs="Times New Roman"/>
          <w:sz w:val="28"/>
          <w:szCs w:val="28"/>
        </w:rPr>
        <w:t xml:space="preserve"> в описаній вище групі</w:t>
      </w:r>
      <w:r w:rsidR="00630AC5">
        <w:rPr>
          <w:rFonts w:eastAsia="Calibri" w:cs="Times New Roman"/>
          <w:sz w:val="28"/>
          <w:szCs w:val="28"/>
        </w:rPr>
        <w:t>,</w:t>
      </w:r>
      <w:r w:rsidRPr="00CA099F">
        <w:rPr>
          <w:rFonts w:eastAsia="Calibri" w:cs="Times New Roman"/>
          <w:sz w:val="28"/>
          <w:szCs w:val="28"/>
        </w:rPr>
        <w:t xml:space="preserve"> переважали фібробласти, вони складали 77 ±.5 % від усієї клітинної популяції, відповідно, на долю клітин гематогенного походження доводилося решта 23 ± 3.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Слід зазначити, що в цій групі зберігалася тенденція до нерівномірного розподілу клітинних елементів у рубці. Найбільшу щільність розташування клітин ми спостеріга</w:t>
      </w:r>
      <w:r w:rsidR="00630AC5">
        <w:rPr>
          <w:rFonts w:eastAsia="Calibri" w:cs="Times New Roman"/>
          <w:sz w:val="28"/>
          <w:szCs w:val="28"/>
        </w:rPr>
        <w:t>ли</w:t>
      </w:r>
      <w:r w:rsidRPr="00CA099F">
        <w:rPr>
          <w:rFonts w:eastAsia="Calibri" w:cs="Times New Roman"/>
          <w:sz w:val="28"/>
          <w:szCs w:val="28"/>
        </w:rPr>
        <w:t xml:space="preserve"> в апікальних відділах рубця, що формується, тут же візуалізувалася найбільша кількість клітинних елементів гематогенного походження і нечисленні м</w:t>
      </w:r>
      <w:r w:rsidR="0049240C">
        <w:rPr>
          <w:rFonts w:eastAsia="Calibri" w:cs="Times New Roman"/>
          <w:sz w:val="28"/>
          <w:szCs w:val="28"/>
        </w:rPr>
        <w:t>ало</w:t>
      </w:r>
      <w:r w:rsidRPr="00CA099F">
        <w:rPr>
          <w:rFonts w:eastAsia="Calibri" w:cs="Times New Roman"/>
          <w:sz w:val="28"/>
          <w:szCs w:val="28"/>
        </w:rPr>
        <w:t>диференційовані фібробласти.</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Найменша кількість клітин, практично тільки диференційованих фібробластів</w:t>
      </w:r>
      <w:r w:rsidR="0049240C">
        <w:rPr>
          <w:rFonts w:eastAsia="Calibri" w:cs="Times New Roman"/>
          <w:sz w:val="28"/>
          <w:szCs w:val="28"/>
        </w:rPr>
        <w:t>, виявляла</w:t>
      </w:r>
      <w:r w:rsidRPr="00CA099F">
        <w:rPr>
          <w:rFonts w:eastAsia="Calibri" w:cs="Times New Roman"/>
          <w:sz w:val="28"/>
          <w:szCs w:val="28"/>
        </w:rPr>
        <w:t>ся у базальних відділах. Прицільне виявлення колагенових волокон за допомогою фарбування гістологічни</w:t>
      </w:r>
      <w:r w:rsidR="0049240C">
        <w:rPr>
          <w:rFonts w:eastAsia="Calibri" w:cs="Times New Roman"/>
          <w:sz w:val="28"/>
          <w:szCs w:val="28"/>
        </w:rPr>
        <w:t>х зрізів пикрофуксином, дозволяло</w:t>
      </w:r>
      <w:r w:rsidRPr="00CA099F">
        <w:rPr>
          <w:rFonts w:eastAsia="Calibri" w:cs="Times New Roman"/>
          <w:sz w:val="28"/>
          <w:szCs w:val="28"/>
        </w:rPr>
        <w:t xml:space="preserve"> виявити найбільшу кількість останніх у базальних відділах рубця, що формується, де вони забарвлювалися в яскраво червоний колір і формували відносно товсті пучки, що перепліта</w:t>
      </w:r>
      <w:r w:rsidR="0049240C">
        <w:rPr>
          <w:rFonts w:eastAsia="Calibri" w:cs="Times New Roman"/>
          <w:sz w:val="28"/>
          <w:szCs w:val="28"/>
        </w:rPr>
        <w:t>ли</w:t>
      </w:r>
      <w:r w:rsidRPr="00CA099F">
        <w:rPr>
          <w:rFonts w:eastAsia="Calibri" w:cs="Times New Roman"/>
          <w:sz w:val="28"/>
          <w:szCs w:val="28"/>
        </w:rPr>
        <w:t xml:space="preserve">ся між собою. </w:t>
      </w:r>
      <w:r w:rsidRPr="00CA099F">
        <w:rPr>
          <w:rFonts w:eastAsia="Calibri" w:cs="Times New Roman"/>
          <w:sz w:val="28"/>
          <w:szCs w:val="28"/>
        </w:rPr>
        <w:lastRenderedPageBreak/>
        <w:t>Найменша кількість колагенових волокон візуалізувалася в поверхневих відділах рубця, що формується.</w:t>
      </w:r>
    </w:p>
    <w:p w:rsidR="0030517B" w:rsidRPr="00CA099F" w:rsidRDefault="0049240C" w:rsidP="0030517B">
      <w:pPr>
        <w:spacing w:after="0" w:line="360" w:lineRule="auto"/>
        <w:ind w:firstLine="709"/>
        <w:jc w:val="both"/>
        <w:rPr>
          <w:rFonts w:eastAsia="Calibri" w:cs="Times New Roman"/>
          <w:sz w:val="28"/>
          <w:szCs w:val="28"/>
        </w:rPr>
      </w:pPr>
      <w:r>
        <w:rPr>
          <w:rFonts w:eastAsia="Calibri" w:cs="Times New Roman"/>
          <w:sz w:val="28"/>
          <w:szCs w:val="28"/>
        </w:rPr>
        <w:t>Помітних відмінностей у</w:t>
      </w:r>
      <w:r w:rsidR="0030517B" w:rsidRPr="00CA099F">
        <w:rPr>
          <w:rFonts w:eastAsia="Calibri" w:cs="Times New Roman"/>
          <w:sz w:val="28"/>
          <w:szCs w:val="28"/>
        </w:rPr>
        <w:t xml:space="preserve"> структурній організації кровоносного мікроциркуляторного русла сполучнотканинного рубця, що формується, в описуваній групі виявлено не було.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Проведене нами імуногістохімічне дослідження з антитілами до універсального маркера про</w:t>
      </w:r>
      <w:r w:rsidR="00A94D98">
        <w:rPr>
          <w:rFonts w:eastAsia="Calibri" w:cs="Times New Roman"/>
          <w:sz w:val="28"/>
          <w:szCs w:val="28"/>
        </w:rPr>
        <w:t>ліферативної активності Кі - 67</w:t>
      </w:r>
      <w:r w:rsidRPr="00CA099F">
        <w:rPr>
          <w:rFonts w:eastAsia="Calibri" w:cs="Times New Roman"/>
          <w:sz w:val="28"/>
          <w:szCs w:val="28"/>
        </w:rPr>
        <w:t xml:space="preserve"> також дозволило приблизно в 30% базальних епітеліоцитів виявити інтрануклеарну експресію. Позитивна реакція до цих антитіл, як і в попередній групі, зрідка зустрічалася у фібробластах і клітинних структурах стінки дрібних кровоносних судин (рис. 4.4).</w:t>
      </w: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drawing>
                <wp:inline distT="0" distB="0" distL="0" distR="0" wp14:anchorId="63B49C73" wp14:editId="22E2D852">
                  <wp:extent cx="5400675" cy="36004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00675" cy="3600450"/>
                          </a:xfrm>
                          <a:prstGeom prst="rect">
                            <a:avLst/>
                          </a:prstGeom>
                          <a:noFill/>
                          <a:ln>
                            <a:noFill/>
                          </a:ln>
                        </pic:spPr>
                      </pic:pic>
                    </a:graphicData>
                  </a:graphic>
                </wp:inline>
              </w:drawing>
            </w:r>
          </w:p>
        </w:tc>
      </w:tr>
      <w:tr w:rsidR="0030517B" w:rsidRPr="00F03FBC" w:rsidTr="00E1448E">
        <w:tc>
          <w:tcPr>
            <w:tcW w:w="9571" w:type="dxa"/>
          </w:tcPr>
          <w:p w:rsidR="0030517B" w:rsidRPr="00F03FBC" w:rsidRDefault="002B33FD" w:rsidP="00E1448E">
            <w:pPr>
              <w:spacing w:after="0" w:line="360" w:lineRule="auto"/>
              <w:jc w:val="both"/>
              <w:rPr>
                <w:rFonts w:eastAsia="Calibri" w:cs="Times New Roman"/>
                <w:szCs w:val="28"/>
              </w:rPr>
            </w:pPr>
            <w:r w:rsidRPr="00F03FBC">
              <w:rPr>
                <w:rFonts w:eastAsia="Calibri" w:cs="Times New Roman"/>
                <w:sz w:val="28"/>
                <w:szCs w:val="28"/>
              </w:rPr>
              <w:t xml:space="preserve">          Рис. 4.4</w:t>
            </w:r>
            <w:r w:rsidR="0030517B" w:rsidRPr="00F03FBC">
              <w:rPr>
                <w:rFonts w:eastAsia="Calibri" w:cs="Times New Roman"/>
                <w:sz w:val="28"/>
                <w:szCs w:val="28"/>
              </w:rPr>
              <w:t xml:space="preserve"> Реакція моноклональних антитіл до Кі - 67 в сполучнотканинному рубці, що </w:t>
            </w:r>
            <w:r w:rsidRPr="00F03FBC">
              <w:rPr>
                <w:rFonts w:eastAsia="Calibri" w:cs="Times New Roman"/>
                <w:sz w:val="28"/>
                <w:szCs w:val="28"/>
              </w:rPr>
              <w:t>сформувався</w:t>
            </w:r>
            <w:r w:rsidR="0030517B" w:rsidRPr="00F03FBC">
              <w:rPr>
                <w:rFonts w:eastAsia="Calibri" w:cs="Times New Roman"/>
                <w:sz w:val="28"/>
                <w:szCs w:val="28"/>
              </w:rPr>
              <w:t>, через 3 місяці після оперативного втручання із введенням PRF-згустка. Об. 10х., ок. 10х. Спостеріга</w:t>
            </w:r>
            <w:r w:rsidR="00F03FBC" w:rsidRPr="00F03FBC">
              <w:rPr>
                <w:rFonts w:eastAsia="Calibri" w:cs="Times New Roman"/>
                <w:sz w:val="28"/>
                <w:szCs w:val="28"/>
              </w:rPr>
              <w:t>ла</w:t>
            </w:r>
            <w:r w:rsidR="0030517B" w:rsidRPr="00F03FBC">
              <w:rPr>
                <w:rFonts w:eastAsia="Calibri" w:cs="Times New Roman"/>
                <w:sz w:val="28"/>
                <w:szCs w:val="28"/>
              </w:rPr>
              <w:t>ся позитивна експресія в нечисленних фібробластах і клітинних елементах стінки кровоносної судини.</w:t>
            </w:r>
          </w:p>
          <w:p w:rsidR="0030517B" w:rsidRPr="00F03FBC" w:rsidRDefault="0030517B" w:rsidP="00E1448E">
            <w:pPr>
              <w:spacing w:after="0" w:line="360" w:lineRule="auto"/>
              <w:ind w:firstLine="709"/>
              <w:jc w:val="both"/>
              <w:rPr>
                <w:rFonts w:eastAsia="Calibri" w:cs="Times New Roman"/>
                <w:szCs w:val="28"/>
              </w:rPr>
            </w:pP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p>
        </w:tc>
      </w:tr>
    </w:tbl>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lastRenderedPageBreak/>
        <w:t xml:space="preserve">Навколо рубця, що формується, як в </w:t>
      </w:r>
      <w:r w:rsidR="006D2681">
        <w:rPr>
          <w:rFonts w:eastAsia="Calibri" w:cs="Times New Roman"/>
          <w:sz w:val="28"/>
          <w:szCs w:val="28"/>
        </w:rPr>
        <w:t>підлеглих</w:t>
      </w:r>
      <w:r w:rsidRPr="00CA099F">
        <w:rPr>
          <w:rFonts w:eastAsia="Calibri" w:cs="Times New Roman"/>
          <w:sz w:val="28"/>
          <w:szCs w:val="28"/>
        </w:rPr>
        <w:t xml:space="preserve"> тканинах так і в незміненій дермі нам періодично зустрічалися дрібні лімфоплазмоцитарні інфільтрати, незначні крововиливи.</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2 групі </w:t>
      </w:r>
      <w:r w:rsidR="00D96DA9">
        <w:rPr>
          <w:rFonts w:eastAsia="Calibri" w:cs="Times New Roman"/>
          <w:sz w:val="28"/>
          <w:szCs w:val="28"/>
        </w:rPr>
        <w:t>пацієнтів</w:t>
      </w:r>
      <w:r w:rsidRPr="00CA099F">
        <w:rPr>
          <w:rFonts w:eastAsia="Calibri" w:cs="Times New Roman"/>
          <w:sz w:val="28"/>
          <w:szCs w:val="28"/>
        </w:rPr>
        <w:t xml:space="preserve">, які разом з введенням PRF-згустка отримували препарат «Біоцирулін» область післяопераційного втручання через 3 місяці, при візуальному огляді практично не відрізнялася від такої у попередніх груп.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Мікроскопічно на препаратах забарвлених гематоксиліном і еозином над рубцем, що формується, всюди визначався багатошаровий плоский епітелій, товщина якого була дещо більше, ніж в попередніх групах і склад</w:t>
      </w:r>
      <w:r w:rsidR="005001AD">
        <w:rPr>
          <w:rFonts w:eastAsia="Calibri" w:cs="Times New Roman"/>
          <w:sz w:val="28"/>
          <w:szCs w:val="28"/>
        </w:rPr>
        <w:t>ала, в середньому, 38 ± 6 мкм. В</w:t>
      </w:r>
      <w:r w:rsidRPr="00CA099F">
        <w:rPr>
          <w:rFonts w:eastAsia="Calibri" w:cs="Times New Roman"/>
          <w:sz w:val="28"/>
          <w:szCs w:val="28"/>
        </w:rPr>
        <w:t xml:space="preserve"> епітеліальному пласті який покрива</w:t>
      </w:r>
      <w:r w:rsidR="005001AD">
        <w:rPr>
          <w:rFonts w:eastAsia="Calibri" w:cs="Times New Roman"/>
          <w:sz w:val="28"/>
          <w:szCs w:val="28"/>
        </w:rPr>
        <w:t>в</w:t>
      </w:r>
      <w:r w:rsidRPr="00CA099F">
        <w:rPr>
          <w:rFonts w:eastAsia="Calibri" w:cs="Times New Roman"/>
          <w:sz w:val="28"/>
          <w:szCs w:val="28"/>
        </w:rPr>
        <w:t xml:space="preserve"> рубець, що формується, простежувалося чітке розділення останнього на чотири шари: базальний, ш</w:t>
      </w:r>
      <w:r w:rsidR="005001AD">
        <w:rPr>
          <w:rFonts w:eastAsia="Calibri" w:cs="Times New Roman"/>
          <w:sz w:val="28"/>
          <w:szCs w:val="28"/>
        </w:rPr>
        <w:t>ипуватий, зернистий і роговий. У</w:t>
      </w:r>
      <w:r w:rsidRPr="00CA099F">
        <w:rPr>
          <w:rFonts w:eastAsia="Calibri" w:cs="Times New Roman"/>
          <w:sz w:val="28"/>
          <w:szCs w:val="28"/>
        </w:rPr>
        <w:t xml:space="preserve"> порівнянні з попередніми групами, в шипуватому шарі спостерігалося деяке збільшення клітинних рядів до 4-5, за рахунок чого і відбувалося збільшення загальної товщини епітеліального пласта. У описуваній групі нам практично не зустрічалися морфологічні ознаки порушення епітелізації у вигляді акантозу і дискератозу, описуваний епітеліальний пласт </w:t>
      </w:r>
      <w:r w:rsidR="005001AD" w:rsidRPr="00CA099F">
        <w:rPr>
          <w:rFonts w:eastAsia="Calibri" w:cs="Times New Roman"/>
          <w:sz w:val="28"/>
          <w:szCs w:val="28"/>
        </w:rPr>
        <w:t xml:space="preserve">мав </w:t>
      </w:r>
      <w:r w:rsidRPr="00CA099F">
        <w:rPr>
          <w:rFonts w:eastAsia="Calibri" w:cs="Times New Roman"/>
          <w:sz w:val="28"/>
          <w:szCs w:val="28"/>
        </w:rPr>
        <w:t xml:space="preserve">практично </w:t>
      </w:r>
      <w:r w:rsidR="005001AD">
        <w:rPr>
          <w:rFonts w:eastAsia="Calibri" w:cs="Times New Roman"/>
          <w:sz w:val="28"/>
          <w:szCs w:val="28"/>
        </w:rPr>
        <w:t xml:space="preserve">однакову </w:t>
      </w:r>
      <w:r w:rsidRPr="00CA099F">
        <w:rPr>
          <w:rFonts w:eastAsia="Calibri" w:cs="Times New Roman"/>
          <w:sz w:val="28"/>
          <w:szCs w:val="28"/>
        </w:rPr>
        <w:t>товщину</w:t>
      </w:r>
      <w:r w:rsidR="005001AD" w:rsidRPr="005001AD">
        <w:rPr>
          <w:rFonts w:eastAsia="Calibri" w:cs="Times New Roman"/>
          <w:sz w:val="28"/>
          <w:szCs w:val="28"/>
        </w:rPr>
        <w:t xml:space="preserve"> </w:t>
      </w:r>
      <w:r w:rsidR="005001AD" w:rsidRPr="00CA099F">
        <w:rPr>
          <w:rFonts w:eastAsia="Calibri" w:cs="Times New Roman"/>
          <w:sz w:val="28"/>
          <w:szCs w:val="28"/>
        </w:rPr>
        <w:t>з незначними коливаннями</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Як і в попередніх групах спостережень межа між покривним епітелієм і рубцем, що формується, була представлена чергуванням пластів епітелію і сполучнотканинних сосочків. Межа між покривним епітелієм і сполучнотканинним рубцем, що формується, також в усіх випадках мала звивистий характер за рахунок чергування пластів епітелію і сполучнотканинних сосочків. Сосочки характеризувалися типовою, досить мономорфною будовою, і помітно не відрізнялися від таких в інтактній шкірі. Сплощені сосочки зустрічалися виключно рідко, подовжених сосочків нами виявлено не було. Зрідка, в апікальних відділах сосочків зустрічалися дрібновогнищеві лімфоплазмоцитарні клітинні інфільтрати (рис. 4.5).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Розташований під покривним епітелієм рубець, що формується, мав деякі відмінності від такого в описаних раніше групах. Найбільш характерною </w:t>
      </w:r>
      <w:r w:rsidRPr="00CA099F">
        <w:rPr>
          <w:rFonts w:eastAsia="Calibri" w:cs="Times New Roman"/>
          <w:sz w:val="28"/>
          <w:szCs w:val="28"/>
        </w:rPr>
        <w:lastRenderedPageBreak/>
        <w:t>відмінністю було помітне зменшення питомої ваги розташування клітинних елементів 290 ± 25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noProof/>
          <w:sz w:val="28"/>
          <w:szCs w:val="28"/>
          <w:lang w:val="ru-RU" w:eastAsia="ru-RU"/>
        </w:rPr>
        <w:drawing>
          <wp:inline distT="0" distB="0" distL="0" distR="0" wp14:anchorId="739194E2" wp14:editId="33098CCD">
            <wp:extent cx="5400675" cy="38862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0675" cy="3886200"/>
                    </a:xfrm>
                    <a:prstGeom prst="rect">
                      <a:avLst/>
                    </a:prstGeom>
                    <a:noFill/>
                    <a:ln>
                      <a:noFill/>
                    </a:ln>
                  </pic:spPr>
                </pic:pic>
              </a:graphicData>
            </a:graphic>
          </wp:inline>
        </w:drawing>
      </w:r>
    </w:p>
    <w:p w:rsidR="0030517B" w:rsidRPr="00CA099F" w:rsidRDefault="0030517B" w:rsidP="0030517B">
      <w:pPr>
        <w:spacing w:after="0" w:line="360" w:lineRule="auto"/>
        <w:ind w:firstLine="708"/>
        <w:jc w:val="both"/>
        <w:rPr>
          <w:rFonts w:eastAsia="Calibri" w:cs="Times New Roman"/>
          <w:sz w:val="28"/>
          <w:szCs w:val="28"/>
        </w:rPr>
      </w:pPr>
      <w:r w:rsidRPr="00CA099F">
        <w:rPr>
          <w:rFonts w:eastAsia="Calibri" w:cs="Times New Roman"/>
          <w:sz w:val="28"/>
          <w:szCs w:val="28"/>
        </w:rPr>
        <w:t xml:space="preserve">Рис. 4.5. Апікальний відділ сполучнотканинного рубця, що формується, в 2 групі через 3 місяці після оперативного втручання. Забарвлення гематоксилін-еозином. Об. 40х., ок. 10х. 1 – кровоносні мікросудини; 2 – периваскулярні скупчення лімфоцитів і плазматичних клітин; 3 – фібробласти. </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У порівнянні з попередніми групами, рубець, що формується, мав більше мономорфну будову, внаслідок чого помітна різниця в щільності розташування і якіс</w:t>
      </w:r>
      <w:r w:rsidR="006A757A">
        <w:rPr>
          <w:rFonts w:eastAsia="Calibri" w:cs="Times New Roman"/>
          <w:sz w:val="28"/>
          <w:szCs w:val="28"/>
        </w:rPr>
        <w:t>ному складі клітинних елементів</w:t>
      </w:r>
      <w:r w:rsidRPr="00CA099F">
        <w:rPr>
          <w:rFonts w:eastAsia="Calibri" w:cs="Times New Roman"/>
          <w:sz w:val="28"/>
          <w:szCs w:val="28"/>
        </w:rPr>
        <w:t xml:space="preserve"> у базальних і апікальних відділах була виражена досить слабо.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Вивчення препаратів, забарвлених пикрофуксином</w:t>
      </w:r>
      <w:r w:rsidR="006A757A">
        <w:rPr>
          <w:rFonts w:eastAsia="Calibri" w:cs="Times New Roman"/>
          <w:sz w:val="28"/>
          <w:szCs w:val="28"/>
        </w:rPr>
        <w:t>,</w:t>
      </w:r>
      <w:r w:rsidRPr="00CA099F">
        <w:rPr>
          <w:rFonts w:eastAsia="Calibri" w:cs="Times New Roman"/>
          <w:sz w:val="28"/>
          <w:szCs w:val="28"/>
        </w:rPr>
        <w:t xml:space="preserve"> дозволило разом з клітинами прицільно вивчити фібрилярний компонент рубця, що формується, в першу чергу колагенові волокна. Останні інтенсивно забарвлювалися в яскраво - червоний кол</w:t>
      </w:r>
      <w:r w:rsidR="006A757A">
        <w:rPr>
          <w:rFonts w:eastAsia="Calibri" w:cs="Times New Roman"/>
          <w:sz w:val="28"/>
          <w:szCs w:val="28"/>
        </w:rPr>
        <w:t xml:space="preserve">ір, виявлялися як в апікальному, </w:t>
      </w:r>
      <w:r w:rsidRPr="00CA099F">
        <w:rPr>
          <w:rFonts w:eastAsia="Calibri" w:cs="Times New Roman"/>
          <w:sz w:val="28"/>
          <w:szCs w:val="28"/>
        </w:rPr>
        <w:t xml:space="preserve">так і у базальному відділах рубця, що формується, практично в усіх спостереженнях компонувалися в пучки, які хаотично перепліталися між собою. </w:t>
      </w:r>
      <w:r w:rsidR="006A757A">
        <w:rPr>
          <w:rFonts w:eastAsia="Calibri" w:cs="Times New Roman"/>
          <w:sz w:val="28"/>
          <w:szCs w:val="28"/>
        </w:rPr>
        <w:t>У</w:t>
      </w:r>
      <w:r w:rsidRPr="00CA099F">
        <w:rPr>
          <w:rFonts w:eastAsia="Calibri" w:cs="Times New Roman"/>
          <w:sz w:val="28"/>
          <w:szCs w:val="28"/>
        </w:rPr>
        <w:t xml:space="preserve"> порівнянні </w:t>
      </w:r>
      <w:r w:rsidRPr="00CA099F">
        <w:rPr>
          <w:rFonts w:eastAsia="Calibri" w:cs="Times New Roman"/>
          <w:sz w:val="28"/>
          <w:szCs w:val="28"/>
        </w:rPr>
        <w:lastRenderedPageBreak/>
        <w:t xml:space="preserve">з описаними раніше групами відносна кількість колагенових волокон була помітно більша, утворені ними пучки мали дещо </w:t>
      </w:r>
      <w:r w:rsidR="00005754">
        <w:rPr>
          <w:rFonts w:eastAsia="Calibri" w:cs="Times New Roman"/>
          <w:sz w:val="28"/>
          <w:szCs w:val="28"/>
        </w:rPr>
        <w:t>більшу товщину та</w:t>
      </w:r>
      <w:r w:rsidRPr="00CA099F">
        <w:rPr>
          <w:rFonts w:eastAsia="Calibri" w:cs="Times New Roman"/>
          <w:sz w:val="28"/>
          <w:szCs w:val="28"/>
        </w:rPr>
        <w:t xml:space="preserve"> інтенсивніше забарвлення, що побічно свідчило про практично повне дозрівання останніх.</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До особливостей васкуляризації рубця, що формується, в описуваній групі слід віднести деяке незначне зменшення загальної кількості обмінних кровоносних судин, внаслідок редукції, </w:t>
      </w:r>
      <w:r w:rsidR="000D1971">
        <w:rPr>
          <w:rFonts w:eastAsia="Calibri" w:cs="Times New Roman"/>
          <w:sz w:val="28"/>
          <w:szCs w:val="28"/>
        </w:rPr>
        <w:t>яка мала</w:t>
      </w:r>
      <w:r w:rsidRPr="00CA099F">
        <w:rPr>
          <w:rFonts w:eastAsia="Calibri" w:cs="Times New Roman"/>
          <w:sz w:val="28"/>
          <w:szCs w:val="28"/>
        </w:rPr>
        <w:t xml:space="preserve"> місце при дозріванні сполучнотканинного рубця. Також слід зазначити більш рівномірне розташування обмінних судин в усіх відділах рубця, що формується.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Визначення проліферативної активності клітинних елементів в області рубця, що формується, за допомогою універсального маркера проліферативної активності Кі - 67, не дозволило виявити помітних відмінностей в мітотичній активності клітин базального шару покривного епітелію, інтрануклеарна експресія цього маркера мала місце приблизно в 30% клітин.</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той же час, безпосередньо в клітинних елементах рубця, що формується, - фібробластах позитивна експресія цього маркера практично не виявлялася, що побічно може свідчити про дозрівання останніх в спеціалізовані фібробласти, основною функцією яких, як відомо, </w:t>
      </w:r>
      <w:r w:rsidR="00DE6032">
        <w:rPr>
          <w:rFonts w:eastAsia="Calibri" w:cs="Times New Roman"/>
          <w:sz w:val="28"/>
          <w:szCs w:val="28"/>
        </w:rPr>
        <w:t>є</w:t>
      </w:r>
      <w:r w:rsidRPr="00CA099F">
        <w:rPr>
          <w:rFonts w:eastAsia="Calibri" w:cs="Times New Roman"/>
          <w:sz w:val="28"/>
          <w:szCs w:val="28"/>
        </w:rPr>
        <w:t xml:space="preserve"> синтез колагену, внаслідок чого і спостерігалося збільшення кількості колагенових волокон. У клітинних елементах стінок кровоносних мікросудин позитивна реакція до Кі - 67 нами відмічена не була, що підтверджу</w:t>
      </w:r>
      <w:r w:rsidR="00DE6032">
        <w:rPr>
          <w:rFonts w:eastAsia="Calibri" w:cs="Times New Roman"/>
          <w:sz w:val="28"/>
          <w:szCs w:val="28"/>
        </w:rPr>
        <w:t>вало</w:t>
      </w:r>
      <w:r w:rsidRPr="00CA099F">
        <w:rPr>
          <w:rFonts w:eastAsia="Calibri" w:cs="Times New Roman"/>
          <w:sz w:val="28"/>
          <w:szCs w:val="28"/>
        </w:rPr>
        <w:t xml:space="preserve"> висловлене раніше нами припущення про редукційні зміни в кровоносному мікроциркуляторному руслі рубця, що формується.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Помітних змін в неушкодженій дермі, яка оточує рубець</w:t>
      </w:r>
      <w:r w:rsidR="00DE6032">
        <w:rPr>
          <w:rFonts w:eastAsia="Calibri" w:cs="Times New Roman"/>
          <w:sz w:val="28"/>
          <w:szCs w:val="28"/>
        </w:rPr>
        <w:t>, що формується, ми не виявляли.</w:t>
      </w:r>
      <w:r w:rsidRPr="00CA099F">
        <w:rPr>
          <w:rFonts w:eastAsia="Calibri" w:cs="Times New Roman"/>
          <w:sz w:val="28"/>
          <w:szCs w:val="28"/>
        </w:rPr>
        <w:t xml:space="preserve"> </w:t>
      </w:r>
      <w:r w:rsidR="00DE6032">
        <w:rPr>
          <w:rFonts w:eastAsia="Calibri" w:cs="Times New Roman"/>
          <w:sz w:val="28"/>
          <w:szCs w:val="28"/>
        </w:rPr>
        <w:t>Я</w:t>
      </w:r>
      <w:r w:rsidRPr="00CA099F">
        <w:rPr>
          <w:rFonts w:eastAsia="Calibri" w:cs="Times New Roman"/>
          <w:sz w:val="28"/>
          <w:szCs w:val="28"/>
        </w:rPr>
        <w:t>к і в описаних раніше групах найбільш стереотипними змінами були розладу кровообігу у вигляді повнокров’я дрібних венозних судин, дрібних периваскулярних крововиливів і клітинних реакцій у вигляді дрібновогнищевих скупчень лімфоцитів і плазматичних клітин.</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b/>
          <w:sz w:val="28"/>
          <w:szCs w:val="28"/>
        </w:rPr>
      </w:pPr>
      <w:r w:rsidRPr="00CA099F">
        <w:rPr>
          <w:rFonts w:eastAsia="Calibri" w:cs="Times New Roman"/>
          <w:b/>
          <w:sz w:val="28"/>
          <w:szCs w:val="28"/>
        </w:rPr>
        <w:lastRenderedPageBreak/>
        <w:t>4.2 Особливості морфологічної будови рубцевозмінених тканин на 6 місяць післяопераційного періоду</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Мікроскопічне дослідження рубцевої тканини пацієнтів контрольної групи дозволило виявити в усіх випадках над рубцем наявність суцільного епітеліального покриву, який при малих збільшеннях світлового мікроскопа практично не мав помітних відмінностей від інтактного епідермісу, що свідчило про завершений процес епітелізації.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Вивчення епітеліального покриву при великих збільшеннях світлового мікроскопа в переважній більшості спостережень дозволило виявити стратифікацію і клітинні елементи типові для незміненого епітелію цієї області, при цьому товщина його 39 ± 7 мкм, приблизно відповідала аналогічному показнику для інтактної шкіри.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У 5 спостереженнях нами відзначалися порушення типового процесу епітелізації, пов'язані, мабуть, з деяким порушенням проліферативної активності епітеліоцитів і процесом їх диференціювання. Як і в попередньому терміні інколи ми спостерігали стоншування епітеліального пласта, що відбувається, переважно за рахунок зменшення кількості рядів клітин шипуватого шару, при збереженні зернистого і рогового.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На описаних ділянках епітеліоцити базального і шипуватого шарів диференціювалися насилу і істотно відрізнялися від типових. Так в першу чергу слід зазначити деякий поліморфізм даних епітеліоцитів у різних зонах епітеліального покриву сполучнотканинного рубця. На одних ділянках вони мали округлу або полігональну форму, чіткі контури. У таких клітинах досить часто навколо ядра визначався прозорий, оптично порожній обідок, що займає у ряді випадків велику частину цитоплазми. Саме ядро мало досить інтенсивне забарвлення</w:t>
      </w:r>
      <w:r w:rsidR="006B4EB6">
        <w:rPr>
          <w:rFonts w:eastAsia="Calibri" w:cs="Times New Roman"/>
          <w:sz w:val="28"/>
          <w:szCs w:val="28"/>
        </w:rPr>
        <w:t xml:space="preserve"> і ядерце в нім не виявлялося. В окремих клітинах навколо</w:t>
      </w:r>
      <w:r w:rsidRPr="00CA099F">
        <w:rPr>
          <w:rFonts w:eastAsia="Calibri" w:cs="Times New Roman"/>
          <w:sz w:val="28"/>
          <w:szCs w:val="28"/>
        </w:rPr>
        <w:t xml:space="preserve">ядерні світлі зони не виявлялися, </w:t>
      </w:r>
      <w:r w:rsidR="006B4EB6">
        <w:rPr>
          <w:rFonts w:eastAsia="Calibri" w:cs="Times New Roman"/>
          <w:sz w:val="28"/>
          <w:szCs w:val="28"/>
        </w:rPr>
        <w:t>у</w:t>
      </w:r>
      <w:r w:rsidRPr="00CA099F">
        <w:rPr>
          <w:rFonts w:eastAsia="Calibri" w:cs="Times New Roman"/>
          <w:sz w:val="28"/>
          <w:szCs w:val="28"/>
        </w:rPr>
        <w:t xml:space="preserve"> той же час в цитоплазмі таких епітеліоцитів визначалися дрібні округлі прозорі вакуолі. У деяких клітинах ядро не виявлялося зовсім, а на його місці визначалася прозора вакуоль (рис. 4.6). </w:t>
      </w:r>
    </w:p>
    <w:p w:rsidR="0030517B" w:rsidRPr="00CA099F" w:rsidRDefault="006B4EB6" w:rsidP="0030517B">
      <w:pPr>
        <w:spacing w:after="0" w:line="360" w:lineRule="auto"/>
        <w:ind w:firstLine="709"/>
        <w:jc w:val="both"/>
        <w:rPr>
          <w:rFonts w:eastAsia="Calibri" w:cs="Times New Roman"/>
          <w:sz w:val="28"/>
          <w:szCs w:val="28"/>
        </w:rPr>
      </w:pPr>
      <w:r>
        <w:rPr>
          <w:rFonts w:eastAsia="Calibri" w:cs="Times New Roman"/>
          <w:sz w:val="28"/>
          <w:szCs w:val="28"/>
        </w:rPr>
        <w:lastRenderedPageBreak/>
        <w:t>По-</w:t>
      </w:r>
      <w:r w:rsidR="0030517B" w:rsidRPr="00CA099F">
        <w:rPr>
          <w:rFonts w:eastAsia="Calibri" w:cs="Times New Roman"/>
          <w:sz w:val="28"/>
          <w:szCs w:val="28"/>
        </w:rPr>
        <w:t>видимому, описані морфологічні зміни свідчать про внутрішньоклітинну дистрофію, що пустувала в епітеліальному пласті внаслідок розладу трофічних процесів. На інших ділянках епітеліальні клітини вакуолей не утримували, мали переважно витягнуту форму, нечітко виражені міжклітинні межі, ядра їх відрізнялися різною інтенсивністю забарвлення і містили у більшості спостереження 1-2 ядерця.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noProof/>
          <w:sz w:val="28"/>
          <w:szCs w:val="28"/>
          <w:lang w:val="ru-RU" w:eastAsia="ru-RU"/>
        </w:rPr>
        <w:drawing>
          <wp:inline distT="0" distB="0" distL="0" distR="0" wp14:anchorId="106B6121" wp14:editId="0279DB80">
            <wp:extent cx="5400675" cy="37719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00675" cy="3771900"/>
                    </a:xfrm>
                    <a:prstGeom prst="rect">
                      <a:avLst/>
                    </a:prstGeom>
                    <a:noFill/>
                    <a:ln>
                      <a:noFill/>
                    </a:ln>
                  </pic:spPr>
                </pic:pic>
              </a:graphicData>
            </a:graphic>
          </wp:inline>
        </w:drawing>
      </w:r>
    </w:p>
    <w:tbl>
      <w:tblPr>
        <w:tblW w:w="0" w:type="auto"/>
        <w:tblLook w:val="01E0" w:firstRow="1" w:lastRow="1" w:firstColumn="1" w:lastColumn="1" w:noHBand="0" w:noVBand="0"/>
      </w:tblPr>
      <w:tblGrid>
        <w:gridCol w:w="9355"/>
      </w:tblGrid>
      <w:tr w:rsidR="0030517B" w:rsidRPr="00CA099F" w:rsidTr="00E1448E">
        <w:tc>
          <w:tcPr>
            <w:tcW w:w="9464"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Рис. 4.6. Епітеліальний покрив сполучнотканинного рубця через 6 місяців після оперативного втручання. Контрольна група. Забарвлення гематоксилін-еозином. Об. 40х., ок. 10х. 1 – роговий шар; 2 – зернистий шар; 3 – клітини шипуватого шару з дистрофічними змінами. 4 – базальний шар; 5 – апікальний відділ сполучнотканинного рубця.</w:t>
            </w:r>
          </w:p>
        </w:tc>
      </w:tr>
    </w:tbl>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Слід з</w:t>
      </w:r>
      <w:r w:rsidR="00172638">
        <w:rPr>
          <w:rFonts w:eastAsia="Calibri" w:cs="Times New Roman"/>
          <w:sz w:val="28"/>
          <w:szCs w:val="28"/>
        </w:rPr>
        <w:t>азначити, що явищ акантозу, будь</w:t>
      </w:r>
      <w:r w:rsidRPr="00CA099F">
        <w:rPr>
          <w:rFonts w:eastAsia="Calibri" w:cs="Times New Roman"/>
          <w:sz w:val="28"/>
          <w:szCs w:val="28"/>
        </w:rPr>
        <w:t>-</w:t>
      </w:r>
      <w:r w:rsidR="00172638">
        <w:rPr>
          <w:rFonts w:eastAsia="Calibri" w:cs="Times New Roman"/>
          <w:sz w:val="28"/>
          <w:szCs w:val="28"/>
        </w:rPr>
        <w:t>яких</w:t>
      </w:r>
      <w:r w:rsidRPr="00CA099F">
        <w:rPr>
          <w:rFonts w:eastAsia="Calibri" w:cs="Times New Roman"/>
          <w:sz w:val="28"/>
          <w:szCs w:val="28"/>
        </w:rPr>
        <w:t xml:space="preserve"> ознак проліферативної активності епітелію на цих ділянках не спостерігалося, сполучнотканинні сосочки дерми практично не відрізнялися від таких в інтактній шкірі.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Розташований під епітелієм сполучнотканинний післяопераційний рубець, на описуваному етапі репаративного процесу зазнав значні зміни, що </w:t>
      </w:r>
      <w:r w:rsidRPr="00CA099F">
        <w:rPr>
          <w:rFonts w:eastAsia="Calibri" w:cs="Times New Roman"/>
          <w:sz w:val="28"/>
          <w:szCs w:val="28"/>
        </w:rPr>
        <w:lastRenderedPageBreak/>
        <w:t>стосуються як клітинно-фібрилярного його компонента, так і кровоносного мікросудинного русла. Так, у першу чергу слід зазначити значне зменшення питомої ваги розташування клітинних елементів у сполучнотканинному рубці, у порівнянні з попереднім терміном, яка, згідно проведеним мор</w:t>
      </w:r>
      <w:r w:rsidR="00A6190F">
        <w:rPr>
          <w:rFonts w:eastAsia="Calibri" w:cs="Times New Roman"/>
          <w:sz w:val="28"/>
          <w:szCs w:val="28"/>
        </w:rPr>
        <w:t>фометричним дослідженням складала</w:t>
      </w:r>
      <w:r w:rsidRPr="00CA099F">
        <w:rPr>
          <w:rFonts w:eastAsia="Calibri" w:cs="Times New Roman"/>
          <w:sz w:val="28"/>
          <w:szCs w:val="28"/>
        </w:rPr>
        <w:t xml:space="preserve"> в середньому 247 ± 14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Окрім фібробластів у рубцевій тканині в незначній кількості визначаються лімфоцити, плазматичні клітини, лаброцити. Сумарна доля перерахованих клітинних елементів склала 9 ± 2 % усіх клітинних популяцій. Слід зазначити, що характер розподілу клітинних структур практично однорідний в усіх відділах рубця, що не дозволя</w:t>
      </w:r>
      <w:r w:rsidR="00A6190F">
        <w:rPr>
          <w:rFonts w:eastAsia="Calibri" w:cs="Times New Roman"/>
          <w:sz w:val="28"/>
          <w:szCs w:val="28"/>
        </w:rPr>
        <w:t>ло</w:t>
      </w:r>
      <w:r w:rsidRPr="00CA099F">
        <w:rPr>
          <w:rFonts w:eastAsia="Calibri" w:cs="Times New Roman"/>
          <w:sz w:val="28"/>
          <w:szCs w:val="28"/>
        </w:rPr>
        <w:t xml:space="preserve"> виділити в н</w:t>
      </w:r>
      <w:r w:rsidR="00A6190F">
        <w:rPr>
          <w:rFonts w:eastAsia="Calibri" w:cs="Times New Roman"/>
          <w:sz w:val="28"/>
          <w:szCs w:val="28"/>
        </w:rPr>
        <w:t>ьому</w:t>
      </w:r>
      <w:r w:rsidRPr="00CA099F">
        <w:rPr>
          <w:rFonts w:eastAsia="Calibri" w:cs="Times New Roman"/>
          <w:sz w:val="28"/>
          <w:szCs w:val="28"/>
        </w:rPr>
        <w:t xml:space="preserve"> як раніше, окремі зони.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Помітно в рубці зросла відносна кількість колагенових волокон, пучки яких на препаратах забарвлених гематоксиліном і еозином мали вигляд еозинофільних, гомогенних тяжів, а пикрофуксином інтенсивно забарвлювалися в яскраво-червоний колір. Пучки колагенових волокон розташовувалися в апікальних частинах рубця переважно перпендикулярно по відношенню до епітеліального покриву, а в середніх і базальних відділах, в основному подовжньо. Слід зазначити, що подібне орієнтування </w:t>
      </w:r>
      <w:r w:rsidR="0090257C">
        <w:rPr>
          <w:rFonts w:eastAsia="Calibri" w:cs="Times New Roman"/>
          <w:sz w:val="28"/>
          <w:szCs w:val="28"/>
        </w:rPr>
        <w:t>колагенових волокон не співпадало</w:t>
      </w:r>
      <w:r w:rsidRPr="00CA099F">
        <w:rPr>
          <w:rFonts w:eastAsia="Calibri" w:cs="Times New Roman"/>
          <w:sz w:val="28"/>
          <w:szCs w:val="28"/>
        </w:rPr>
        <w:t xml:space="preserve"> з напрямом фібрилярних структур неушкодженої дерми, що разом з відсутністю придатків шкіри, є характерною відмінною ознакою післяопераційного рубця від неушкодженої дерми.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Значно, в порівнянні з попереднім етапом репаративного процесу</w:t>
      </w:r>
      <w:r w:rsidR="004D0CF5">
        <w:rPr>
          <w:rFonts w:eastAsia="Calibri" w:cs="Times New Roman"/>
          <w:sz w:val="28"/>
          <w:szCs w:val="28"/>
        </w:rPr>
        <w:t>,</w:t>
      </w:r>
      <w:r w:rsidRPr="00CA099F">
        <w:rPr>
          <w:rFonts w:eastAsia="Calibri" w:cs="Times New Roman"/>
          <w:sz w:val="28"/>
          <w:szCs w:val="28"/>
        </w:rPr>
        <w:t xml:space="preserve"> в сполучнотканинному рубці зменшилася кількість кровоносних мікросудин. </w:t>
      </w:r>
      <w:r w:rsidR="004D0CF5">
        <w:rPr>
          <w:rFonts w:eastAsia="Calibri" w:cs="Times New Roman"/>
          <w:sz w:val="28"/>
          <w:szCs w:val="28"/>
        </w:rPr>
        <w:t>Останні</w:t>
      </w:r>
      <w:r w:rsidRPr="00CA099F">
        <w:rPr>
          <w:rFonts w:eastAsia="Calibri" w:cs="Times New Roman"/>
          <w:sz w:val="28"/>
          <w:szCs w:val="28"/>
        </w:rPr>
        <w:t xml:space="preserve"> в незначній кількості виявлялися в усіх відділах рубця і</w:t>
      </w:r>
      <w:r w:rsidR="004D0CF5">
        <w:rPr>
          <w:rFonts w:eastAsia="Calibri" w:cs="Times New Roman"/>
          <w:sz w:val="28"/>
          <w:szCs w:val="28"/>
        </w:rPr>
        <w:t>,</w:t>
      </w:r>
      <w:r w:rsidRPr="00CA099F">
        <w:rPr>
          <w:rFonts w:eastAsia="Calibri" w:cs="Times New Roman"/>
          <w:sz w:val="28"/>
          <w:szCs w:val="28"/>
        </w:rPr>
        <w:t xml:space="preserve"> у ряді випадків, характеризувалися потовщеною гомогенною стінкою і звуженим просвітом, що може побічно свідчити про тривалі явища редукції кровоносного русла (рис. 4.7).</w:t>
      </w: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lastRenderedPageBreak/>
              <w:drawing>
                <wp:inline distT="0" distB="0" distL="0" distR="0" wp14:anchorId="17E66CEF" wp14:editId="7DEDBF7A">
                  <wp:extent cx="5381625" cy="38100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81625" cy="3810000"/>
                          </a:xfrm>
                          <a:prstGeom prst="rect">
                            <a:avLst/>
                          </a:prstGeom>
                          <a:noFill/>
                          <a:ln>
                            <a:noFill/>
                          </a:ln>
                        </pic:spPr>
                      </pic:pic>
                    </a:graphicData>
                  </a:graphic>
                </wp:inline>
              </w:drawing>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 xml:space="preserve">Рис. 4.7. Будова післяопераційного сполучнотканинного рубця через 6 місяців після оперативного втручання (контрольна група). Забарвлення гематоксилін-еозином. О. 40х., ок. 10х. 1 – кровоносні мікросудини з явищами редукції; 2 – пучки колагенових волокон; 3 – фібробласти; 4 – лімфоцит. </w:t>
            </w:r>
          </w:p>
        </w:tc>
      </w:tr>
    </w:tbl>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Проведене імуногістохімічне дослідження з антитілами до білку Кі-67, виявило приблизн</w:t>
      </w:r>
      <w:r w:rsidR="006631C9">
        <w:rPr>
          <w:rFonts w:eastAsia="Calibri" w:cs="Times New Roman"/>
          <w:sz w:val="28"/>
          <w:szCs w:val="28"/>
        </w:rPr>
        <w:t>о в 20% базальних епітеліоцитів</w:t>
      </w:r>
      <w:r w:rsidRPr="00CA099F">
        <w:rPr>
          <w:rFonts w:eastAsia="Calibri" w:cs="Times New Roman"/>
          <w:sz w:val="28"/>
          <w:szCs w:val="28"/>
        </w:rPr>
        <w:t xml:space="preserve"> позитивну інтрануклеарну експресію. Клітини сполучнотканинного рубця лише в </w:t>
      </w:r>
      <w:r w:rsidR="006631C9">
        <w:rPr>
          <w:rFonts w:eastAsia="Calibri" w:cs="Times New Roman"/>
          <w:sz w:val="28"/>
          <w:szCs w:val="28"/>
        </w:rPr>
        <w:t>поодиноких</w:t>
      </w:r>
      <w:r w:rsidRPr="00CA099F">
        <w:rPr>
          <w:rFonts w:eastAsia="Calibri" w:cs="Times New Roman"/>
          <w:sz w:val="28"/>
          <w:szCs w:val="28"/>
        </w:rPr>
        <w:t xml:space="preserve"> спостереженнях були позитивні до вказаного маркера, в клітинних елементах стінок кровоносних мікросудин позитивної реакції нами виявлено не було (рис. 4.8). </w:t>
      </w: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lastRenderedPageBreak/>
              <w:drawing>
                <wp:inline distT="0" distB="0" distL="0" distR="0" wp14:anchorId="24D79412" wp14:editId="7D584DFA">
                  <wp:extent cx="5391150" cy="36099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91150" cy="3609975"/>
                          </a:xfrm>
                          <a:prstGeom prst="rect">
                            <a:avLst/>
                          </a:prstGeom>
                          <a:noFill/>
                          <a:ln>
                            <a:noFill/>
                          </a:ln>
                        </pic:spPr>
                      </pic:pic>
                    </a:graphicData>
                  </a:graphic>
                </wp:inline>
              </w:drawing>
            </w:r>
          </w:p>
        </w:tc>
      </w:tr>
      <w:tr w:rsidR="006631C9" w:rsidRPr="006631C9" w:rsidTr="00E1448E">
        <w:tc>
          <w:tcPr>
            <w:tcW w:w="9571" w:type="dxa"/>
          </w:tcPr>
          <w:p w:rsidR="0030517B" w:rsidRPr="006631C9" w:rsidRDefault="002B33FD" w:rsidP="006631C9">
            <w:pPr>
              <w:spacing w:after="0" w:line="360" w:lineRule="auto"/>
              <w:jc w:val="both"/>
              <w:rPr>
                <w:rFonts w:eastAsia="Calibri" w:cs="Times New Roman"/>
                <w:szCs w:val="28"/>
              </w:rPr>
            </w:pPr>
            <w:r w:rsidRPr="006631C9">
              <w:rPr>
                <w:rFonts w:eastAsia="Calibri" w:cs="Times New Roman"/>
                <w:sz w:val="28"/>
                <w:szCs w:val="28"/>
              </w:rPr>
              <w:t>Рис. 4.8</w:t>
            </w:r>
            <w:r w:rsidR="0030517B" w:rsidRPr="006631C9">
              <w:rPr>
                <w:rFonts w:eastAsia="Calibri" w:cs="Times New Roman"/>
                <w:sz w:val="28"/>
                <w:szCs w:val="28"/>
              </w:rPr>
              <w:t xml:space="preserve"> Реакція моноклональних антитіл до Кі - 67 в сполучнотканинному рубці через 6 місяців після оперативного втручання (контрольна група)</w:t>
            </w:r>
            <w:r w:rsidR="006631C9" w:rsidRPr="006631C9">
              <w:rPr>
                <w:rFonts w:eastAsia="Calibri" w:cs="Times New Roman"/>
                <w:sz w:val="28"/>
                <w:szCs w:val="28"/>
              </w:rPr>
              <w:t>. Об.10х., ок. 10х. Спостерігалас</w:t>
            </w:r>
            <w:r w:rsidR="0030517B" w:rsidRPr="006631C9">
              <w:rPr>
                <w:rFonts w:eastAsia="Calibri" w:cs="Times New Roman"/>
                <w:sz w:val="28"/>
                <w:szCs w:val="28"/>
              </w:rPr>
              <w:t>я позитивна експресія в нечисленних фібробластах, в клітинних елементах стінки кровоносної судини експресія відсутня.</w:t>
            </w:r>
          </w:p>
        </w:tc>
      </w:tr>
    </w:tbl>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6631C9" w:rsidP="0030517B">
      <w:pPr>
        <w:spacing w:after="0" w:line="360" w:lineRule="auto"/>
        <w:ind w:firstLine="709"/>
        <w:jc w:val="both"/>
        <w:rPr>
          <w:rFonts w:eastAsia="Calibri" w:cs="Times New Roman"/>
          <w:sz w:val="28"/>
          <w:szCs w:val="28"/>
        </w:rPr>
      </w:pPr>
      <w:r>
        <w:rPr>
          <w:rFonts w:eastAsia="Calibri" w:cs="Times New Roman"/>
          <w:sz w:val="28"/>
          <w:szCs w:val="28"/>
        </w:rPr>
        <w:t>В</w:t>
      </w:r>
      <w:r w:rsidR="0030517B" w:rsidRPr="00CA099F">
        <w:rPr>
          <w:rFonts w:eastAsia="Calibri" w:cs="Times New Roman"/>
          <w:sz w:val="28"/>
          <w:szCs w:val="28"/>
        </w:rPr>
        <w:t xml:space="preserve"> інтактній дермі навколо сполучн</w:t>
      </w:r>
      <w:r w:rsidR="008F5DE6">
        <w:rPr>
          <w:rFonts w:eastAsia="Calibri" w:cs="Times New Roman"/>
          <w:sz w:val="28"/>
          <w:szCs w:val="28"/>
        </w:rPr>
        <w:t>отканинного</w:t>
      </w:r>
      <w:r w:rsidR="0030517B" w:rsidRPr="00CA099F">
        <w:rPr>
          <w:rFonts w:eastAsia="Calibri" w:cs="Times New Roman"/>
          <w:sz w:val="28"/>
          <w:szCs w:val="28"/>
        </w:rPr>
        <w:t xml:space="preserve"> рубця описані раніше клітинні і судинні реакції виявлялися досить рідко і були слабо виражені. У той же час, досить часто нами були відмічені зміни в сальних і п</w:t>
      </w:r>
      <w:r w:rsidR="008F5DE6">
        <w:rPr>
          <w:rFonts w:eastAsia="Calibri" w:cs="Times New Roman"/>
          <w:sz w:val="28"/>
          <w:szCs w:val="28"/>
        </w:rPr>
        <w:t>отових залозах тих, що знаходили</w:t>
      </w:r>
      <w:r w:rsidR="0030517B" w:rsidRPr="00CA099F">
        <w:rPr>
          <w:rFonts w:eastAsia="Calibri" w:cs="Times New Roman"/>
          <w:sz w:val="28"/>
          <w:szCs w:val="28"/>
        </w:rPr>
        <w:t>ся недалеко від сполучнотканинного рубця. Так, звертали на себе увагу гіперпла</w:t>
      </w:r>
      <w:r w:rsidR="008F5DE6">
        <w:rPr>
          <w:rFonts w:eastAsia="Calibri" w:cs="Times New Roman"/>
          <w:sz w:val="28"/>
          <w:szCs w:val="28"/>
        </w:rPr>
        <w:t>стичні процеси, що спостерігали</w:t>
      </w:r>
      <w:r w:rsidR="0030517B" w:rsidRPr="00CA099F">
        <w:rPr>
          <w:rFonts w:eastAsia="Calibri" w:cs="Times New Roman"/>
          <w:sz w:val="28"/>
          <w:szCs w:val="28"/>
        </w:rPr>
        <w:t>ся в кінцевих відділах сальних і потових залоз</w:t>
      </w:r>
      <w:r w:rsidR="008F5DE6">
        <w:rPr>
          <w:rFonts w:eastAsia="Calibri" w:cs="Times New Roman"/>
          <w:sz w:val="28"/>
          <w:szCs w:val="28"/>
        </w:rPr>
        <w:t xml:space="preserve"> і що проявляло</w:t>
      </w:r>
      <w:r w:rsidR="0030517B" w:rsidRPr="00CA099F">
        <w:rPr>
          <w:rFonts w:eastAsia="Calibri" w:cs="Times New Roman"/>
          <w:sz w:val="28"/>
          <w:szCs w:val="28"/>
        </w:rPr>
        <w:t>ся деяким збільшенням їх лінійних розмірів. Швидше за все, цей процес носив компенсаторно-пристосувальний характер і був спрямований</w:t>
      </w:r>
      <w:r w:rsidR="009D34FA">
        <w:rPr>
          <w:rFonts w:eastAsia="Calibri" w:cs="Times New Roman"/>
          <w:sz w:val="28"/>
          <w:szCs w:val="28"/>
        </w:rPr>
        <w:t>,</w:t>
      </w:r>
      <w:r w:rsidR="0030517B" w:rsidRPr="00CA099F">
        <w:rPr>
          <w:rFonts w:eastAsia="Calibri" w:cs="Times New Roman"/>
          <w:sz w:val="28"/>
          <w:szCs w:val="28"/>
        </w:rPr>
        <w:t xml:space="preserve"> в першу чергу</w:t>
      </w:r>
      <w:r w:rsidR="009D34FA">
        <w:rPr>
          <w:rFonts w:eastAsia="Calibri" w:cs="Times New Roman"/>
          <w:sz w:val="28"/>
          <w:szCs w:val="28"/>
        </w:rPr>
        <w:t>,</w:t>
      </w:r>
      <w:r w:rsidR="0030517B" w:rsidRPr="00CA099F">
        <w:rPr>
          <w:rFonts w:eastAsia="Calibri" w:cs="Times New Roman"/>
          <w:sz w:val="28"/>
          <w:szCs w:val="28"/>
        </w:rPr>
        <w:t xml:space="preserve"> на часткову компенсацію функції придатків шкіри, загиблих внаслідок травматичного ушкодження.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w:t>
      </w:r>
      <w:r w:rsidR="00D96DA9">
        <w:rPr>
          <w:rFonts w:eastAsia="Calibri" w:cs="Times New Roman"/>
          <w:sz w:val="28"/>
          <w:szCs w:val="28"/>
        </w:rPr>
        <w:t>пацієнтів</w:t>
      </w:r>
      <w:r w:rsidRPr="00CA099F">
        <w:rPr>
          <w:rFonts w:eastAsia="Calibri" w:cs="Times New Roman"/>
          <w:sz w:val="28"/>
          <w:szCs w:val="28"/>
        </w:rPr>
        <w:t xml:space="preserve"> 1 групи, яким був введений PRF-згусток, через 6 місяців </w:t>
      </w:r>
      <w:r w:rsidR="009D34FA">
        <w:rPr>
          <w:rFonts w:eastAsia="Calibri" w:cs="Times New Roman"/>
          <w:sz w:val="28"/>
          <w:szCs w:val="28"/>
        </w:rPr>
        <w:t>ділянка</w:t>
      </w:r>
      <w:r w:rsidRPr="00CA099F">
        <w:rPr>
          <w:rFonts w:eastAsia="Calibri" w:cs="Times New Roman"/>
          <w:sz w:val="28"/>
          <w:szCs w:val="28"/>
        </w:rPr>
        <w:t xml:space="preserve"> післяопераційного втручання візуально не мала істотних відмінностей від такої в контрольній групі.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lastRenderedPageBreak/>
        <w:t xml:space="preserve">На мікропрепаратах в усіх спостереженнях візуалізувався покривний епітелій, товщина якого коливалася в межах 41 ± 4 мкм, що в цілому відповідало товщині інтактного епідермісу цієї області. </w:t>
      </w:r>
      <w:r w:rsidR="001C7A6D">
        <w:rPr>
          <w:rFonts w:eastAsia="Calibri" w:cs="Times New Roman"/>
          <w:sz w:val="28"/>
          <w:szCs w:val="28"/>
        </w:rPr>
        <w:t>В</w:t>
      </w:r>
      <w:r w:rsidRPr="00CA099F">
        <w:rPr>
          <w:rFonts w:eastAsia="Calibri" w:cs="Times New Roman"/>
          <w:sz w:val="28"/>
          <w:szCs w:val="28"/>
        </w:rPr>
        <w:t xml:space="preserve"> епітеліальному пласті визначалися базальний, шипуватий, зернистий і роговий шари, клітинний склад яких не мав помітних відмінностей від інтактного епідермісу.</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Описані раніше процеси порушення епітелізації, які мали місце в контрольній групі, зустрічалися значно рідше (3 спостереження) і проявлялися в основному гідропічною дистрофією епітеліоцитів шипуватого шару, нерівномірною товщиною епітеліального покриву над сполучнотканинним рубцем. Сполучнотканинні сосочки, що розділяються акантотичними епітеліальними пластами, мали типову будову, відносно мономорфні розміри і практично не відрізнялися від таких в інтактній шкірі.</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Сполучнотканинний рубець, розташований під епітеліальним покривом</w:t>
      </w:r>
      <w:r w:rsidR="00A630AC">
        <w:rPr>
          <w:rFonts w:eastAsia="Calibri" w:cs="Times New Roman"/>
          <w:sz w:val="28"/>
          <w:szCs w:val="28"/>
        </w:rPr>
        <w:t>,</w:t>
      </w:r>
      <w:r w:rsidRPr="00CA099F">
        <w:rPr>
          <w:rFonts w:eastAsia="Calibri" w:cs="Times New Roman"/>
          <w:sz w:val="28"/>
          <w:szCs w:val="28"/>
        </w:rPr>
        <w:t xml:space="preserve"> не мав помітних відмінностей від такого в контрольній групі, проте при проведенні</w:t>
      </w:r>
      <w:r w:rsidR="00A630AC">
        <w:rPr>
          <w:rFonts w:eastAsia="Calibri" w:cs="Times New Roman"/>
          <w:sz w:val="28"/>
          <w:szCs w:val="28"/>
        </w:rPr>
        <w:t xml:space="preserve"> морфометричних досліджень вдало</w:t>
      </w:r>
      <w:r w:rsidRPr="00CA099F">
        <w:rPr>
          <w:rFonts w:eastAsia="Calibri" w:cs="Times New Roman"/>
          <w:sz w:val="28"/>
          <w:szCs w:val="28"/>
        </w:rPr>
        <w:t>ся відмітити деяке зменшення питомої ваги розташування клітинних елементів – 269 ± 23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Розташування пучків колагенових волокон зберігало виявлену раніше тенденцію – в апікальних відділах рубця вони розташовувалися переважно перпендикулярно до покривного епітелію, в середніх і базальних відділах – паралельно. Товщина фібрилярних пучків приблизно відповідала такій в контрольній групі. Слід зазначити, що в цій групі лінійні розміри рубця, візуально визначалися на мікропрепаратах були дещо менші в порівнянні з контрольною групою. Пов'язаний цей фа</w:t>
      </w:r>
      <w:r w:rsidR="008634E4">
        <w:rPr>
          <w:rFonts w:eastAsia="Calibri" w:cs="Times New Roman"/>
          <w:sz w:val="28"/>
          <w:szCs w:val="28"/>
        </w:rPr>
        <w:t>к</w:t>
      </w:r>
      <w:r w:rsidRPr="00CA099F">
        <w:rPr>
          <w:rFonts w:eastAsia="Calibri" w:cs="Times New Roman"/>
          <w:sz w:val="28"/>
          <w:szCs w:val="28"/>
        </w:rPr>
        <w:t xml:space="preserve">т, </w:t>
      </w:r>
      <w:r w:rsidR="008634E4">
        <w:rPr>
          <w:rFonts w:eastAsia="Calibri" w:cs="Times New Roman"/>
          <w:sz w:val="28"/>
          <w:szCs w:val="28"/>
        </w:rPr>
        <w:t>вірогідно, з тим, що активно відбувало</w:t>
      </w:r>
      <w:r w:rsidRPr="00CA099F">
        <w:rPr>
          <w:rFonts w:eastAsia="Calibri" w:cs="Times New Roman"/>
          <w:sz w:val="28"/>
          <w:szCs w:val="28"/>
        </w:rPr>
        <w:t>ся на цьому етапі, під дією проведеної терапії, ущільнення сформованого рубця, що супроводжу</w:t>
      </w:r>
      <w:r w:rsidR="008634E4">
        <w:rPr>
          <w:rFonts w:eastAsia="Calibri" w:cs="Times New Roman"/>
          <w:sz w:val="28"/>
          <w:szCs w:val="28"/>
        </w:rPr>
        <w:t>ва</w:t>
      </w:r>
      <w:r w:rsidRPr="00CA099F">
        <w:rPr>
          <w:rFonts w:eastAsia="Calibri" w:cs="Times New Roman"/>
          <w:sz w:val="28"/>
          <w:szCs w:val="28"/>
        </w:rPr>
        <w:t xml:space="preserve">ся збільшенням в ньому відносної кількості фібрилярних структур і зменшенням </w:t>
      </w:r>
      <w:r w:rsidR="00B544CA">
        <w:rPr>
          <w:rFonts w:eastAsia="Calibri" w:cs="Times New Roman"/>
          <w:sz w:val="28"/>
          <w:szCs w:val="28"/>
        </w:rPr>
        <w:t>лінійних розмірів. Також звертала</w:t>
      </w:r>
      <w:r w:rsidRPr="00CA099F">
        <w:rPr>
          <w:rFonts w:eastAsia="Calibri" w:cs="Times New Roman"/>
          <w:sz w:val="28"/>
          <w:szCs w:val="28"/>
        </w:rPr>
        <w:t xml:space="preserve"> на себе увагу слабка вираженість межі між рубцем і незміненою дермою, в порівнянні з попереднім терміном і контрольною групою.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Помітних змін у конструкції кровоносного мікроциркуляторного русла рубця нами виявлено не було, реакція з антитілами до білку Кі - 67, також </w:t>
      </w:r>
      <w:r w:rsidRPr="00CA099F">
        <w:rPr>
          <w:rFonts w:eastAsia="Calibri" w:cs="Times New Roman"/>
          <w:sz w:val="28"/>
          <w:szCs w:val="28"/>
        </w:rPr>
        <w:lastRenderedPageBreak/>
        <w:t>виявило приблизно в 20% базальних епітеліоцитів позитивну інтрануклеарну експресію, що можливо є досить стабільним показником, клітини сполучнотканинного рубця украй рідко були позитивні до вказаного маркера, в клітинних елементах стінок кровоносних мікросудин позитивної реакції нами виявлено не було.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Як вже було сказано вище за чітку межу між рубцем і навколишньою незміненою дермою в цій групі не виявлялося, у зв'язку з чим помітних реактивних змін по периферії післяопераційного рубця виявлено не було, проте, як і в контрольній групі, досить часто нам зустрічалися характерні гіперпластичні зміни в сальних і потових залозах, морфогенез яких ми обговорювали раніше.</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2 групі </w:t>
      </w:r>
      <w:r w:rsidR="00D96DA9">
        <w:rPr>
          <w:rFonts w:eastAsia="Calibri" w:cs="Times New Roman"/>
          <w:sz w:val="28"/>
          <w:szCs w:val="28"/>
        </w:rPr>
        <w:t>пацієнтів</w:t>
      </w:r>
      <w:r w:rsidRPr="00CA099F">
        <w:rPr>
          <w:rFonts w:eastAsia="Calibri" w:cs="Times New Roman"/>
          <w:sz w:val="28"/>
          <w:szCs w:val="28"/>
        </w:rPr>
        <w:t>, які разом з введенням PRF-згустка отримували препарат «Біоцирулін»</w:t>
      </w:r>
      <w:r w:rsidR="00A43557">
        <w:rPr>
          <w:rFonts w:eastAsia="Calibri" w:cs="Times New Roman"/>
          <w:sz w:val="28"/>
          <w:szCs w:val="28"/>
        </w:rPr>
        <w:t>,</w:t>
      </w:r>
      <w:r w:rsidRPr="00CA099F">
        <w:rPr>
          <w:rFonts w:eastAsia="Calibri" w:cs="Times New Roman"/>
          <w:sz w:val="28"/>
          <w:szCs w:val="28"/>
        </w:rPr>
        <w:t xml:space="preserve"> рубець, сформований в області післяопераційного втручання через 6 місяців, при зовнішньому огляді практично не відрізнявся від такого ж у попередніх груп.</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В усіх випадках спостерігалася повна епітелізація рубця, товщина покривного епітелію складала, в середньому 38 ± 3 мкм, і коливалася в незначних межах. Клітинний склад епітеліального пласта практично не відрізнявся від такого ж інтактного епідермісу. Помітних порушень в процесі епітелізації, в цій групі нами виявлено не було. Зрідка, в шипуватому шарі мала місце надмірна кількість епітеліоцитів з явищами гідропічної дистрофії. Як і в попередній групі, сполучнотканинні сосочки візуально не відрізнялися від таких в інтактній дермі, розташовані між ними епітеліальні пласти характеризувалися мономорфною картиною і відносно однаковими розмірами. Украй рідко мало місце формування акантотичних тяжів, які глибоко занурювалися до підлеглого сполучнотканинного рубця (рис. 4.9).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Проведене морфометричне вивчення клітинного складу сполучнотканинного рубця дозволило виявити, в порівнянні з попередніми групами, незначне зменшення кількості клітинних елементів, питома вага розташування яких склала, в середньому 251 ± 19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drawing>
                <wp:inline distT="0" distB="0" distL="0" distR="0" wp14:anchorId="3FB46F0D" wp14:editId="081509B0">
                  <wp:extent cx="5286375" cy="39052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86375" cy="3905250"/>
                          </a:xfrm>
                          <a:prstGeom prst="rect">
                            <a:avLst/>
                          </a:prstGeom>
                          <a:noFill/>
                          <a:ln>
                            <a:noFill/>
                          </a:ln>
                        </pic:spPr>
                      </pic:pic>
                    </a:graphicData>
                  </a:graphic>
                </wp:inline>
              </w:drawing>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 xml:space="preserve">          Рис. 4.9. Базальний відділ сполучнотканинного рубця через 6 місяців після оперативного втручання. Забарвлення гематоксилін-еозином. Об. 40х., ок. 10х. 1 – зрілі фібробласти; 2 – пучки колагенових волокон; 3–кровоносна мікросудина; 4 – лімфоцит. </w:t>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p>
        </w:tc>
      </w:tr>
    </w:tbl>
    <w:p w:rsidR="0030517B" w:rsidRPr="00CA099F" w:rsidRDefault="002803D2" w:rsidP="0030517B">
      <w:pPr>
        <w:spacing w:after="0" w:line="360" w:lineRule="auto"/>
        <w:ind w:firstLine="709"/>
        <w:jc w:val="both"/>
        <w:rPr>
          <w:rFonts w:eastAsia="Calibri" w:cs="Times New Roman"/>
          <w:sz w:val="28"/>
          <w:szCs w:val="28"/>
        </w:rPr>
      </w:pPr>
      <w:r>
        <w:rPr>
          <w:rFonts w:eastAsia="Calibri" w:cs="Times New Roman"/>
          <w:sz w:val="28"/>
          <w:szCs w:val="28"/>
        </w:rPr>
        <w:t>Помітні зміни спостерігали</w:t>
      </w:r>
      <w:r w:rsidR="0030517B" w:rsidRPr="00CA099F">
        <w:rPr>
          <w:rFonts w:eastAsia="Calibri" w:cs="Times New Roman"/>
          <w:sz w:val="28"/>
          <w:szCs w:val="28"/>
        </w:rPr>
        <w:t>ся з боку фібрилярного компонент</w:t>
      </w:r>
      <w:r>
        <w:rPr>
          <w:rFonts w:eastAsia="Calibri" w:cs="Times New Roman"/>
          <w:sz w:val="28"/>
          <w:szCs w:val="28"/>
        </w:rPr>
        <w:t>у</w:t>
      </w:r>
      <w:r w:rsidR="0030517B" w:rsidRPr="00CA099F">
        <w:rPr>
          <w:rFonts w:eastAsia="Calibri" w:cs="Times New Roman"/>
          <w:sz w:val="28"/>
          <w:szCs w:val="28"/>
        </w:rPr>
        <w:t xml:space="preserve"> сполучнотканинного рубця. Пучки колагенових волокон, як і в описаних вище групах в апікальних відділах рубця розташовувалися переважно перпендикулярно до покривного епітелію, в середніх і базальних відділах – паралельно. Проте, в середніх і базальних відділах фібрилярні пучки, що </w:t>
      </w:r>
      <w:r w:rsidR="00B4770F">
        <w:rPr>
          <w:rFonts w:eastAsia="Calibri" w:cs="Times New Roman"/>
          <w:sz w:val="28"/>
          <w:szCs w:val="28"/>
        </w:rPr>
        <w:t>переплітали</w:t>
      </w:r>
      <w:r w:rsidR="0030517B" w:rsidRPr="00CA099F">
        <w:rPr>
          <w:rFonts w:eastAsia="Calibri" w:cs="Times New Roman"/>
          <w:sz w:val="28"/>
          <w:szCs w:val="28"/>
        </w:rPr>
        <w:t>ся між собою, формували плексиморфні структури, подібні до таких в сітчастому шарі інтактної дерми, внаслідок чого межу між рубцем і незміненою дермою чі</w:t>
      </w:r>
      <w:r w:rsidR="00B4770F">
        <w:rPr>
          <w:rFonts w:eastAsia="Calibri" w:cs="Times New Roman"/>
          <w:sz w:val="28"/>
          <w:szCs w:val="28"/>
        </w:rPr>
        <w:t>тко виявит</w:t>
      </w:r>
      <w:r w:rsidR="0030517B" w:rsidRPr="00CA099F">
        <w:rPr>
          <w:rFonts w:eastAsia="Calibri" w:cs="Times New Roman"/>
          <w:sz w:val="28"/>
          <w:szCs w:val="28"/>
        </w:rPr>
        <w:t xml:space="preserve">и не </w:t>
      </w:r>
      <w:r w:rsidR="00B4770F">
        <w:rPr>
          <w:rFonts w:eastAsia="Calibri" w:cs="Times New Roman"/>
          <w:sz w:val="28"/>
          <w:szCs w:val="28"/>
        </w:rPr>
        <w:t>було</w:t>
      </w:r>
      <w:r w:rsidR="0030517B" w:rsidRPr="00CA099F">
        <w:rPr>
          <w:rFonts w:eastAsia="Calibri" w:cs="Times New Roman"/>
          <w:sz w:val="28"/>
          <w:szCs w:val="28"/>
        </w:rPr>
        <w:t xml:space="preserve"> можливим. У той же час в апікальних відділах рубця напрям ходу пучків колагенових волокон помітно відрізнявся від такого в незміненій дермі, внаслідок чого в апікальних відділах контури рубця представлялося можливим виявити виразніше. Також, слід </w:t>
      </w:r>
      <w:r w:rsidR="0030517B" w:rsidRPr="00CA099F">
        <w:rPr>
          <w:rFonts w:eastAsia="Calibri" w:cs="Times New Roman"/>
          <w:sz w:val="28"/>
          <w:szCs w:val="28"/>
        </w:rPr>
        <w:lastRenderedPageBreak/>
        <w:t xml:space="preserve">зазначити деяке візуальне зменшення лінійних розмірів рубця, в порівнянні з попередніми групами, проте цей показник не можна вважати абсолютно достовірним, у зв'язку з неможливістю виявлення чіткої межі між рубцем і дермою, про що вже було сказано вище, проте, характерна відсутність придатків шкіри в рубці, дозволяє нам в деякому наближенні судити про його розміри. Проведена реакція з антитілами до білку Кі - 67, виявила проліферативну активність в 20% епітеліальних клітин базального шару епідермісу і практично повну відсутність такий в клітинах сполучнотканинного рубця.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Зрідка в незмінній дермі поблизу рубця нам зустрічалися нечисленні потові і сальні залози з ознаками гіперпластичних змін. </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b/>
          <w:sz w:val="28"/>
          <w:szCs w:val="28"/>
        </w:rPr>
      </w:pPr>
      <w:r w:rsidRPr="009C26CF">
        <w:rPr>
          <w:rFonts w:eastAsia="Calibri" w:cs="Times New Roman"/>
          <w:b/>
          <w:sz w:val="28"/>
          <w:szCs w:val="28"/>
        </w:rPr>
        <w:t>4.3 Особливості морфологічної будови рубцевозмінених тканин на 9 місяц</w:t>
      </w:r>
      <w:r w:rsidR="003B58F0" w:rsidRPr="009C26CF">
        <w:rPr>
          <w:rFonts w:eastAsia="Calibri" w:cs="Times New Roman"/>
          <w:b/>
          <w:sz w:val="28"/>
          <w:szCs w:val="28"/>
        </w:rPr>
        <w:t>ь</w:t>
      </w:r>
      <w:r w:rsidRPr="009C26CF">
        <w:rPr>
          <w:rFonts w:eastAsia="Calibri" w:cs="Times New Roman"/>
          <w:b/>
          <w:sz w:val="28"/>
          <w:szCs w:val="28"/>
        </w:rPr>
        <w:t xml:space="preserve"> післяопераційного періоду</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На 9 місяць після оперативного втручання у </w:t>
      </w:r>
      <w:r w:rsidR="00D96DA9">
        <w:rPr>
          <w:rFonts w:eastAsia="Calibri" w:cs="Times New Roman"/>
          <w:sz w:val="28"/>
          <w:szCs w:val="28"/>
        </w:rPr>
        <w:t>пацієнтів</w:t>
      </w:r>
      <w:r w:rsidRPr="00CA099F">
        <w:rPr>
          <w:rFonts w:eastAsia="Calibri" w:cs="Times New Roman"/>
          <w:sz w:val="28"/>
          <w:szCs w:val="28"/>
        </w:rPr>
        <w:t xml:space="preserve"> контрольної</w:t>
      </w:r>
      <w:r w:rsidR="009C26CF">
        <w:rPr>
          <w:rFonts w:eastAsia="Calibri" w:cs="Times New Roman"/>
          <w:sz w:val="28"/>
          <w:szCs w:val="28"/>
        </w:rPr>
        <w:t xml:space="preserve"> групи мікроскопічно над усією </w:t>
      </w:r>
      <w:r w:rsidR="009C26CF" w:rsidRPr="009C26CF">
        <w:rPr>
          <w:rFonts w:eastAsia="Calibri" w:cs="Times New Roman"/>
          <w:sz w:val="28"/>
          <w:szCs w:val="28"/>
        </w:rPr>
        <w:t>д</w:t>
      </w:r>
      <w:r w:rsidR="009C26CF">
        <w:rPr>
          <w:rFonts w:eastAsia="Calibri" w:cs="Times New Roman"/>
          <w:sz w:val="28"/>
          <w:szCs w:val="28"/>
        </w:rPr>
        <w:t>ілянкою</w:t>
      </w:r>
      <w:r w:rsidRPr="00CA099F">
        <w:rPr>
          <w:rFonts w:eastAsia="Calibri" w:cs="Times New Roman"/>
          <w:sz w:val="28"/>
          <w:szCs w:val="28"/>
        </w:rPr>
        <w:t xml:space="preserve"> післяопераційного рубця візуалізувався суцільний епітеліальний покрив, який за морфологічними показниками не відрізнявся від інтактного епідермісу.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Сполучнотканинний рубець, який розташовувався під епітелієм мав дещо менші лінійні розміри в порівнянні з попереднім терміном спостереження. На малих збільшеннях світлового мікроскопа значних помітних характерних змін виявити не вдалося, проте детальніше вивчення рубцевої тканини на препаратах забарвлених пикрофуксином дозволило виявити деякі зміни характеру компонування фібрилярних структур. Так, у базальних відділах пучки колагенових волокон, товщина яких практично відповідала такій в тримісячному терміні спостереження, переплітаючись між собою </w:t>
      </w:r>
      <w:r w:rsidR="00981D29">
        <w:rPr>
          <w:rFonts w:eastAsia="Calibri" w:cs="Times New Roman"/>
          <w:sz w:val="28"/>
          <w:szCs w:val="28"/>
        </w:rPr>
        <w:t>формували структури, що нагадували</w:t>
      </w:r>
      <w:r w:rsidRPr="00CA099F">
        <w:rPr>
          <w:rFonts w:eastAsia="Calibri" w:cs="Times New Roman"/>
          <w:sz w:val="28"/>
          <w:szCs w:val="28"/>
        </w:rPr>
        <w:t xml:space="preserve"> такі в сітчастому шарі дерми, що спостерігалося через 3 місяці у </w:t>
      </w:r>
      <w:r w:rsidR="00D96DA9">
        <w:rPr>
          <w:rFonts w:eastAsia="Calibri" w:cs="Times New Roman"/>
          <w:sz w:val="28"/>
          <w:szCs w:val="28"/>
        </w:rPr>
        <w:t>пацієнтів</w:t>
      </w:r>
      <w:r w:rsidRPr="00CA099F">
        <w:rPr>
          <w:rFonts w:eastAsia="Calibri" w:cs="Times New Roman"/>
          <w:sz w:val="28"/>
          <w:szCs w:val="28"/>
        </w:rPr>
        <w:t xml:space="preserve">, яким разом з введенням PRF-згустка вводили препарат «Біоцирулін». Ця обставина ускладнювала виразне </w:t>
      </w:r>
      <w:r w:rsidRPr="00CA099F">
        <w:rPr>
          <w:rFonts w:eastAsia="Calibri" w:cs="Times New Roman"/>
          <w:sz w:val="28"/>
          <w:szCs w:val="28"/>
        </w:rPr>
        <w:lastRenderedPageBreak/>
        <w:t>виявлення межі між тканиною рубця і незміненою дермою. Помітних клітинних і судинних реакцій по периферії рубця також практично не виявлялося.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У той же час, в апікальних відділах рубця колагенові волокна</w:t>
      </w:r>
      <w:r w:rsidR="00151EDB">
        <w:rPr>
          <w:rFonts w:eastAsia="Calibri" w:cs="Times New Roman"/>
          <w:sz w:val="28"/>
          <w:szCs w:val="28"/>
        </w:rPr>
        <w:t xml:space="preserve"> мали переважно перпендикулярне</w:t>
      </w:r>
      <w:r w:rsidRPr="00CA099F">
        <w:rPr>
          <w:rFonts w:eastAsia="Calibri" w:cs="Times New Roman"/>
          <w:sz w:val="28"/>
          <w:szCs w:val="28"/>
        </w:rPr>
        <w:t xml:space="preserve"> по відношенню до епідермісу розташування, внаслідок чого на описуваній ділянці межа між рубцем і незміненою дермою виявлялася досить виразно. В 9 спостереженнях у базальних і середніх відділах рубця, ближче до центральної його частини на препаратах забарвлених гематоксиліном і еозином визначалися </w:t>
      </w:r>
      <w:r w:rsidRPr="006F51BD">
        <w:rPr>
          <w:rFonts w:eastAsia="Calibri" w:cs="Times New Roman"/>
          <w:sz w:val="28"/>
          <w:szCs w:val="28"/>
        </w:rPr>
        <w:t xml:space="preserve">невеликі </w:t>
      </w:r>
      <w:r w:rsidR="00AC01F7">
        <w:rPr>
          <w:rFonts w:eastAsia="Calibri" w:cs="Times New Roman"/>
          <w:sz w:val="28"/>
          <w:szCs w:val="28"/>
        </w:rPr>
        <w:t xml:space="preserve">за </w:t>
      </w:r>
      <w:r w:rsidR="006F51BD">
        <w:rPr>
          <w:rFonts w:eastAsia="Calibri" w:cs="Times New Roman"/>
          <w:sz w:val="28"/>
          <w:szCs w:val="28"/>
        </w:rPr>
        <w:t>протяжністю</w:t>
      </w:r>
      <w:r w:rsidR="00AC01F7">
        <w:rPr>
          <w:rFonts w:eastAsia="Calibri" w:cs="Times New Roman"/>
          <w:sz w:val="28"/>
          <w:szCs w:val="28"/>
        </w:rPr>
        <w:t xml:space="preserve"> </w:t>
      </w:r>
      <w:r w:rsidRPr="00CA099F">
        <w:rPr>
          <w:rFonts w:eastAsia="Calibri" w:cs="Times New Roman"/>
          <w:sz w:val="28"/>
          <w:szCs w:val="28"/>
        </w:rPr>
        <w:t xml:space="preserve"> безструктурні, гомогенні, позбавлені клітинних елементів і кровоносних мікросудин ділянки рожевого кольору з незначною лімфоплазмоцитарною інфільтрацією по периферії. Поді</w:t>
      </w:r>
      <w:r w:rsidR="00151EDB">
        <w:rPr>
          <w:rFonts w:eastAsia="Calibri" w:cs="Times New Roman"/>
          <w:sz w:val="28"/>
          <w:szCs w:val="28"/>
        </w:rPr>
        <w:t>бна морфологічна картина свідчила</w:t>
      </w:r>
      <w:r w:rsidRPr="00CA099F">
        <w:rPr>
          <w:rFonts w:eastAsia="Calibri" w:cs="Times New Roman"/>
          <w:sz w:val="28"/>
          <w:szCs w:val="28"/>
        </w:rPr>
        <w:t>, швидше за все, про розвиток гіалінозу - різновид стромально-судинної дистрофії, який нерідко зустрічається в посттравматичних і післяопераційних рубцях, обумовлюючи, у ряді випадків, їх несприятлив</w:t>
      </w:r>
      <w:r w:rsidR="009B67B6">
        <w:rPr>
          <w:rFonts w:eastAsia="Calibri" w:cs="Times New Roman"/>
          <w:sz w:val="28"/>
          <w:szCs w:val="28"/>
        </w:rPr>
        <w:t>ий перебіг</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Проведені морфометричні дослідження дозволили виявити незначне зменшення клітинних елементів в рубцевій тканині, яке в середньому склало 244 ± 16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Помітних змін проліферативної активності клітинних елементів покривного епітелію і сполучнотканинного рубця</w:t>
      </w:r>
      <w:r w:rsidR="009F6A43">
        <w:rPr>
          <w:rFonts w:eastAsia="Calibri" w:cs="Times New Roman"/>
          <w:sz w:val="28"/>
          <w:szCs w:val="28"/>
        </w:rPr>
        <w:t>, що виявлялося за допомогою білка</w:t>
      </w:r>
      <w:r w:rsidRPr="00CA099F">
        <w:rPr>
          <w:rFonts w:eastAsia="Calibri" w:cs="Times New Roman"/>
          <w:sz w:val="28"/>
          <w:szCs w:val="28"/>
        </w:rPr>
        <w:t xml:space="preserve"> Кі - 67, нами відмічено не було.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w:t>
      </w:r>
      <w:r w:rsidR="00D96DA9">
        <w:rPr>
          <w:rFonts w:eastAsia="Calibri" w:cs="Times New Roman"/>
          <w:sz w:val="28"/>
          <w:szCs w:val="28"/>
        </w:rPr>
        <w:t>пацієнтів</w:t>
      </w:r>
      <w:r w:rsidRPr="00CA099F">
        <w:rPr>
          <w:rFonts w:eastAsia="Calibri" w:cs="Times New Roman"/>
          <w:sz w:val="28"/>
          <w:szCs w:val="28"/>
        </w:rPr>
        <w:t xml:space="preserve"> 1 групи, яким був введений PRF-згусток, через 9 місяців область післяопераційного втручання візуально практично не відрізнялася від такої в контрольній групі.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В усіх випадках мала місце повна епітелізація післяопераційного рубця, при цьому багатошаровий плоский епітелій, розташований над рубцем не мав помітних метричних і морфологічних відмінностей від інтактного епідермісу. Межа між епітелієм і рубцем, що залягає глибше, мала звивистий характер</w:t>
      </w:r>
      <w:r w:rsidR="0095113A">
        <w:rPr>
          <w:rFonts w:eastAsia="Calibri" w:cs="Times New Roman"/>
          <w:sz w:val="28"/>
          <w:szCs w:val="28"/>
        </w:rPr>
        <w:t>.</w:t>
      </w:r>
      <w:r w:rsidRPr="00CA099F">
        <w:rPr>
          <w:rFonts w:eastAsia="Calibri" w:cs="Times New Roman"/>
          <w:sz w:val="28"/>
          <w:szCs w:val="28"/>
        </w:rPr>
        <w:t xml:space="preserve"> </w:t>
      </w:r>
      <w:r w:rsidR="0095113A">
        <w:rPr>
          <w:rFonts w:eastAsia="Calibri" w:cs="Times New Roman"/>
          <w:sz w:val="28"/>
          <w:szCs w:val="28"/>
        </w:rPr>
        <w:t>С</w:t>
      </w:r>
      <w:r w:rsidRPr="00CA099F">
        <w:rPr>
          <w:rFonts w:eastAsia="Calibri" w:cs="Times New Roman"/>
          <w:sz w:val="28"/>
          <w:szCs w:val="28"/>
        </w:rPr>
        <w:t xml:space="preserve">получнотканинні сосочки, про своїй будові практично повністю відповідали таким в інтактній шкірі.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lastRenderedPageBreak/>
        <w:t>Проведені морфометричні дослідження дозволили виявити незначні зміни у кількості клітинних елементів, питома вага яких склала - 236 ± 14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Помітніші зміни були виявлені з боку фібрилярного компонента сполучнотканинного рубця: характер компонування пучків колагенових волокон, не мав помітних відмінностей від такого в інтактній дермі не лише у базальних, але і в середніх відділах рубця, внаслідок чого межа між останнім і незміненій шкірі ставала ще менш помітною. Проте, слід зазначити, що площа сполучнотканинного рубця, </w:t>
      </w:r>
      <w:r w:rsidR="0014797D">
        <w:rPr>
          <w:rFonts w:eastAsia="Calibri" w:cs="Times New Roman"/>
          <w:sz w:val="28"/>
          <w:szCs w:val="28"/>
        </w:rPr>
        <w:t>яка визначалася</w:t>
      </w:r>
      <w:r w:rsidRPr="00CA099F">
        <w:rPr>
          <w:rFonts w:eastAsia="Calibri" w:cs="Times New Roman"/>
          <w:sz w:val="28"/>
          <w:szCs w:val="28"/>
        </w:rPr>
        <w:t xml:space="preserve"> на гістологічних препаратах, була дещо менше, в порівнянні з контрольною групою, при цьому відбувалося зменшення як його вертикального, так і поперечного розмірів.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Пучки колагенових волокон сполучнотканинного рубця за метричними показниками і тенкторіальними властивостями практично не відрізнялися від таких в незміненій дермі. Тільки в найбільш поверхневих відділах рубця періодично виявлялися пучки дещо меншої товщини, які пикрофуксином забарвлювалися у блідо-рожевий колір, що свідчило про морфологічну незрілість останніх.</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Також слід зазначити, значне зменшення, в описуваній групі випадків виявлення гіалінової дистрофії в сполучнотканинному рубці. Відповідні морфологічні зміни мали місце у 8 випадках.</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Проліферативна активність клітинних елементів покривного епітелію і </w:t>
      </w:r>
      <w:r w:rsidR="00A8018C">
        <w:rPr>
          <w:rFonts w:eastAsia="Calibri" w:cs="Times New Roman"/>
          <w:sz w:val="28"/>
          <w:szCs w:val="28"/>
        </w:rPr>
        <w:t>сполучнотканинного рубця виявляла</w:t>
      </w:r>
      <w:r w:rsidRPr="00CA099F">
        <w:rPr>
          <w:rFonts w:eastAsia="Calibri" w:cs="Times New Roman"/>
          <w:sz w:val="28"/>
          <w:szCs w:val="28"/>
        </w:rPr>
        <w:t xml:space="preserve">ся за допомогою білку Кі </w:t>
      </w:r>
      <w:r w:rsidR="00D55EE9">
        <w:rPr>
          <w:rFonts w:eastAsia="Calibri" w:cs="Times New Roman"/>
          <w:sz w:val="28"/>
          <w:szCs w:val="28"/>
        </w:rPr>
        <w:t>–</w:t>
      </w:r>
      <w:r w:rsidRPr="00CA099F">
        <w:rPr>
          <w:rFonts w:eastAsia="Calibri" w:cs="Times New Roman"/>
          <w:sz w:val="28"/>
          <w:szCs w:val="28"/>
        </w:rPr>
        <w:t xml:space="preserve"> 67</w:t>
      </w:r>
      <w:r w:rsidR="00D55EE9">
        <w:rPr>
          <w:rFonts w:eastAsia="Calibri" w:cs="Times New Roman"/>
          <w:sz w:val="28"/>
          <w:szCs w:val="28"/>
        </w:rPr>
        <w:t xml:space="preserve"> та</w:t>
      </w:r>
      <w:r w:rsidRPr="00CA099F">
        <w:rPr>
          <w:rFonts w:eastAsia="Calibri" w:cs="Times New Roman"/>
          <w:sz w:val="28"/>
          <w:szCs w:val="28"/>
        </w:rPr>
        <w:t xml:space="preserve"> практично відповідала, такій в контрольній групі.</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У 2 групі </w:t>
      </w:r>
      <w:r w:rsidR="00D96DA9">
        <w:rPr>
          <w:rFonts w:eastAsia="Calibri" w:cs="Times New Roman"/>
          <w:sz w:val="28"/>
          <w:szCs w:val="28"/>
        </w:rPr>
        <w:t>пацієнтів</w:t>
      </w:r>
      <w:r w:rsidRPr="00CA099F">
        <w:rPr>
          <w:rFonts w:eastAsia="Calibri" w:cs="Times New Roman"/>
          <w:sz w:val="28"/>
          <w:szCs w:val="28"/>
        </w:rPr>
        <w:t xml:space="preserve">, які разом з введенням PRF-згустка отримували препарат «Біоцирулін» область післяопераційного втручання через 9 місяців, при зовнішньому огляді практично не відрізнялася від такої у попередніх групах цього терміну спостереження.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Мікроскопічні відмінності від першої групи також були мінімальними. В усіх випадках мала місце повна епітелізація сполучнотканинного рубця, покривний епітелій над усією поверхнею рубця характеризувався </w:t>
      </w:r>
      <w:r w:rsidRPr="00CA099F">
        <w:rPr>
          <w:rFonts w:eastAsia="Calibri" w:cs="Times New Roman"/>
          <w:sz w:val="28"/>
          <w:szCs w:val="28"/>
        </w:rPr>
        <w:lastRenderedPageBreak/>
        <w:t>рівномірною товщиною і чіткою стратифікацією. Порушень процесу епітелізації, подібних до описаних раніше в усіх випадках виявлено не було.</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Серед основних відмінностей структурної організації сполучнотканинного рубця слід зазначити відсутність в усіх спостереженнях помітних дистрофічних змін, наявність зріліших пучків колагенових волокон в апікальних відділах, що проявлялося деяким збільшення їх середньої товщини та інтенсивнішим забарвленням пикрофуксином, внаслідок чого, в типових випадках вони мали яскраво-червоний колір. Помітно змінився також характер компонування пучків колагенових волокон в середніх відділах рубця. </w:t>
      </w:r>
    </w:p>
    <w:p w:rsidR="0030517B" w:rsidRPr="00CA099F" w:rsidRDefault="006F51BD" w:rsidP="0030517B">
      <w:pPr>
        <w:spacing w:after="0" w:line="360" w:lineRule="auto"/>
        <w:ind w:firstLine="709"/>
        <w:jc w:val="both"/>
        <w:rPr>
          <w:rFonts w:eastAsia="Calibri" w:cs="Times New Roman"/>
          <w:sz w:val="28"/>
          <w:szCs w:val="28"/>
        </w:rPr>
      </w:pPr>
      <w:r>
        <w:rPr>
          <w:rFonts w:eastAsia="Calibri" w:cs="Times New Roman"/>
          <w:sz w:val="28"/>
          <w:szCs w:val="28"/>
        </w:rPr>
        <w:t xml:space="preserve">У регіоні, що вивчався, </w:t>
      </w:r>
      <w:r w:rsidR="0030517B" w:rsidRPr="00CA099F">
        <w:rPr>
          <w:rFonts w:eastAsia="Calibri" w:cs="Times New Roman"/>
          <w:sz w:val="28"/>
          <w:szCs w:val="28"/>
        </w:rPr>
        <w:t xml:space="preserve">розташування останніх практично не відрізнялося від інтактної дерми. </w:t>
      </w:r>
      <w:r w:rsidR="0030517B" w:rsidRPr="00425DEA">
        <w:rPr>
          <w:rFonts w:eastAsia="Calibri" w:cs="Times New Roman"/>
          <w:sz w:val="28"/>
          <w:szCs w:val="28"/>
        </w:rPr>
        <w:t xml:space="preserve">Таким чином, в цій групі має місце практично повне ремоделювання фібрилярного компонента базальних і середніх відділів сполучнотканинного рубця, що не дозволяє </w:t>
      </w:r>
      <w:r w:rsidR="00425DEA" w:rsidRPr="00425DEA">
        <w:rPr>
          <w:rFonts w:eastAsia="Calibri" w:cs="Times New Roman"/>
          <w:sz w:val="28"/>
          <w:szCs w:val="28"/>
        </w:rPr>
        <w:t>візуалізувати чітку межу</w:t>
      </w:r>
      <w:r w:rsidR="0030517B" w:rsidRPr="00425DEA">
        <w:rPr>
          <w:rFonts w:eastAsia="Calibri" w:cs="Times New Roman"/>
          <w:sz w:val="28"/>
          <w:szCs w:val="28"/>
        </w:rPr>
        <w:t xml:space="preserve"> між останнім і неушкодженою дермою</w:t>
      </w:r>
      <w:r w:rsidR="0030517B" w:rsidRPr="00CA099F">
        <w:rPr>
          <w:rFonts w:eastAsia="Calibri" w:cs="Times New Roman"/>
          <w:sz w:val="28"/>
          <w:szCs w:val="28"/>
        </w:rPr>
        <w:t>. Єдиною достовірною ознакою на цьому етапі ре</w:t>
      </w:r>
      <w:r w:rsidR="006179C3">
        <w:rPr>
          <w:rFonts w:eastAsia="Calibri" w:cs="Times New Roman"/>
          <w:sz w:val="28"/>
          <w:szCs w:val="28"/>
        </w:rPr>
        <w:t>паративного процесу, що дозволяла</w:t>
      </w:r>
      <w:r w:rsidR="0030517B" w:rsidRPr="00CA099F">
        <w:rPr>
          <w:rFonts w:eastAsia="Calibri" w:cs="Times New Roman"/>
          <w:sz w:val="28"/>
          <w:szCs w:val="28"/>
        </w:rPr>
        <w:t xml:space="preserve"> відрізнити інтактну дерму від с</w:t>
      </w:r>
      <w:r w:rsidR="006179C3">
        <w:rPr>
          <w:rFonts w:eastAsia="Calibri" w:cs="Times New Roman"/>
          <w:sz w:val="28"/>
          <w:szCs w:val="28"/>
        </w:rPr>
        <w:t>получнотканинного рубця залишала</w:t>
      </w:r>
      <w:r w:rsidR="0030517B" w:rsidRPr="00CA099F">
        <w:rPr>
          <w:rFonts w:eastAsia="Calibri" w:cs="Times New Roman"/>
          <w:sz w:val="28"/>
          <w:szCs w:val="28"/>
        </w:rPr>
        <w:t xml:space="preserve">ся повна відсутність в зоні останнього придатків шкіри. </w:t>
      </w:r>
    </w:p>
    <w:p w:rsidR="0030517B" w:rsidRPr="00CA099F" w:rsidRDefault="00E74185" w:rsidP="0030517B">
      <w:pPr>
        <w:spacing w:after="0" w:line="360" w:lineRule="auto"/>
        <w:ind w:firstLine="709"/>
        <w:jc w:val="both"/>
        <w:rPr>
          <w:rFonts w:eastAsia="Calibri" w:cs="Times New Roman"/>
          <w:sz w:val="28"/>
          <w:szCs w:val="28"/>
        </w:rPr>
      </w:pPr>
      <w:r>
        <w:rPr>
          <w:rFonts w:eastAsia="Calibri" w:cs="Times New Roman"/>
          <w:sz w:val="28"/>
          <w:szCs w:val="28"/>
        </w:rPr>
        <w:t>У</w:t>
      </w:r>
      <w:r w:rsidR="0030517B" w:rsidRPr="00CA099F">
        <w:rPr>
          <w:rFonts w:eastAsia="Calibri" w:cs="Times New Roman"/>
          <w:sz w:val="28"/>
          <w:szCs w:val="28"/>
        </w:rPr>
        <w:t xml:space="preserve"> порівнянні з поп</w:t>
      </w:r>
      <w:r>
        <w:rPr>
          <w:rFonts w:eastAsia="Calibri" w:cs="Times New Roman"/>
          <w:sz w:val="28"/>
          <w:szCs w:val="28"/>
        </w:rPr>
        <w:t>ередніми групами не спостерігало</w:t>
      </w:r>
      <w:r w:rsidR="0030517B" w:rsidRPr="00CA099F">
        <w:rPr>
          <w:rFonts w:eastAsia="Calibri" w:cs="Times New Roman"/>
          <w:sz w:val="28"/>
          <w:szCs w:val="28"/>
        </w:rPr>
        <w:t xml:space="preserve">ся помітних змін в </w:t>
      </w:r>
      <w:r w:rsidR="0030517B" w:rsidRPr="0095796A">
        <w:rPr>
          <w:rFonts w:eastAsia="Calibri" w:cs="Times New Roman"/>
          <w:sz w:val="28"/>
          <w:szCs w:val="28"/>
        </w:rPr>
        <w:t>клітинному складі рубця</w:t>
      </w:r>
      <w:r w:rsidR="0095796A" w:rsidRPr="0095796A">
        <w:rPr>
          <w:rFonts w:eastAsia="Calibri" w:cs="Times New Roman"/>
          <w:sz w:val="28"/>
          <w:szCs w:val="28"/>
        </w:rPr>
        <w:t>:</w:t>
      </w:r>
      <w:r w:rsidR="0030517B" w:rsidRPr="0095796A">
        <w:rPr>
          <w:rFonts w:eastAsia="Calibri" w:cs="Times New Roman"/>
          <w:sz w:val="28"/>
          <w:szCs w:val="28"/>
        </w:rPr>
        <w:t xml:space="preserve"> питома вага клітинних елементів склала 234 ± 14 в 10000 мкм</w:t>
      </w:r>
      <w:r w:rsidR="0030517B" w:rsidRPr="0095796A">
        <w:rPr>
          <w:rFonts w:eastAsia="Calibri" w:cs="Times New Roman"/>
          <w:sz w:val="28"/>
          <w:szCs w:val="28"/>
          <w:vertAlign w:val="superscript"/>
        </w:rPr>
        <w:t>2</w:t>
      </w:r>
      <w:r w:rsidRPr="0095796A">
        <w:rPr>
          <w:rFonts w:eastAsia="Calibri" w:cs="Times New Roman"/>
          <w:sz w:val="28"/>
          <w:szCs w:val="28"/>
        </w:rPr>
        <w:t>,</w:t>
      </w:r>
      <w:r w:rsidR="0030517B" w:rsidRPr="0095796A">
        <w:rPr>
          <w:rFonts w:eastAsia="Calibri" w:cs="Times New Roman"/>
          <w:sz w:val="28"/>
          <w:szCs w:val="28"/>
          <w:vertAlign w:val="superscript"/>
        </w:rPr>
        <w:t xml:space="preserve"> </w:t>
      </w:r>
      <w:r w:rsidR="0030517B" w:rsidRPr="0095796A">
        <w:rPr>
          <w:rFonts w:eastAsia="Calibri" w:cs="Times New Roman"/>
          <w:sz w:val="28"/>
          <w:szCs w:val="28"/>
        </w:rPr>
        <w:t xml:space="preserve"> 92,6 ± 4 % усіх клітинних популяцій 7,4 ± 2 %. Слід зазначити практично рівномірний розподіл клітин</w:t>
      </w:r>
      <w:r w:rsidR="0030517B" w:rsidRPr="00CA099F">
        <w:rPr>
          <w:rFonts w:eastAsia="Calibri" w:cs="Times New Roman"/>
          <w:sz w:val="28"/>
          <w:szCs w:val="28"/>
        </w:rPr>
        <w:t xml:space="preserve"> по усій товщі сполучнотканинного рубця, при цьому щільність їх розташування, кількісний і якісний склад, показники пролі</w:t>
      </w:r>
      <w:r w:rsidR="000B6DDC">
        <w:rPr>
          <w:rFonts w:eastAsia="Calibri" w:cs="Times New Roman"/>
          <w:sz w:val="28"/>
          <w:szCs w:val="28"/>
        </w:rPr>
        <w:t>феративної активності наближали</w:t>
      </w:r>
      <w:r w:rsidR="0030517B" w:rsidRPr="00CA099F">
        <w:rPr>
          <w:rFonts w:eastAsia="Calibri" w:cs="Times New Roman"/>
          <w:sz w:val="28"/>
          <w:szCs w:val="28"/>
        </w:rPr>
        <w:t>ся до відповідних показників сітчастого шару інтактної дерми.</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jc w:val="both"/>
        <w:rPr>
          <w:rFonts w:eastAsia="Calibri" w:cs="Times New Roman"/>
          <w:b/>
          <w:sz w:val="28"/>
          <w:szCs w:val="28"/>
        </w:rPr>
      </w:pPr>
      <w:r w:rsidRPr="00CA099F">
        <w:rPr>
          <w:rFonts w:eastAsia="Calibri" w:cs="Times New Roman"/>
          <w:b/>
          <w:sz w:val="28"/>
          <w:szCs w:val="28"/>
        </w:rPr>
        <w:t>4.4 Особливості морфологічної будови рубцевозмінених тканин на 12 місяць післяопераційного періоду</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725115" w:rsidP="0030517B">
      <w:pPr>
        <w:spacing w:after="0" w:line="360" w:lineRule="auto"/>
        <w:ind w:firstLine="709"/>
        <w:jc w:val="both"/>
        <w:rPr>
          <w:rFonts w:eastAsia="Calibri" w:cs="Times New Roman"/>
          <w:sz w:val="28"/>
          <w:szCs w:val="28"/>
        </w:rPr>
      </w:pPr>
      <w:r>
        <w:rPr>
          <w:rFonts w:eastAsia="Calibri" w:cs="Times New Roman"/>
          <w:sz w:val="28"/>
          <w:szCs w:val="28"/>
        </w:rPr>
        <w:t>В</w:t>
      </w:r>
      <w:r w:rsidR="0030517B" w:rsidRPr="00CA099F">
        <w:rPr>
          <w:rFonts w:eastAsia="Calibri" w:cs="Times New Roman"/>
          <w:sz w:val="28"/>
          <w:szCs w:val="28"/>
        </w:rPr>
        <w:t xml:space="preserve"> обговорюваний термін згідно даних літератури [77, 164, 225] і отриманих нами попередніх результатів має місце практично повне </w:t>
      </w:r>
      <w:r w:rsidR="0030517B" w:rsidRPr="00CA099F">
        <w:rPr>
          <w:rFonts w:eastAsia="Calibri" w:cs="Times New Roman"/>
          <w:sz w:val="28"/>
          <w:szCs w:val="28"/>
        </w:rPr>
        <w:lastRenderedPageBreak/>
        <w:t xml:space="preserve">завершення формування післяопераційного рубця, у зв'язку з чим, слід чекати мінімальних, таких, що виявляються доступними нам методами, морфологічних відмінностей між окремими групами. Таким чином, ми вважаємо доцільним акцентувати увагу лише на найбільш характерних показниках, які надалі, дозволять нам зробити висновок про переваги і недоліки методів лікування, що </w:t>
      </w:r>
      <w:r w:rsidR="00344078" w:rsidRPr="00CA099F">
        <w:rPr>
          <w:rFonts w:eastAsia="Calibri" w:cs="Times New Roman"/>
          <w:sz w:val="28"/>
          <w:szCs w:val="28"/>
        </w:rPr>
        <w:t xml:space="preserve">нами </w:t>
      </w:r>
      <w:r w:rsidR="0030517B" w:rsidRPr="00CA099F">
        <w:rPr>
          <w:rFonts w:eastAsia="Calibri" w:cs="Times New Roman"/>
          <w:sz w:val="28"/>
          <w:szCs w:val="28"/>
        </w:rPr>
        <w:t xml:space="preserve">вивчаються.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Як і в контрольній групі в 12-ти місячний термін в усіх випадках мала місце повна епітелізація сполучнотканинного рубця, при цьому покривний епітелій повністю відповідав інтактному епідермісу, помітних порушень процесів епітелізації виявлено нами не було.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Сполучнотканинний рубець характеризувався рівномірним розподілом клітинних елементів по усій глибині, питома вага розташування яких склала 228 ± 12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Характер розподілу пучків колагенових волокон в нижній третині рубця практично повністю відповідав такому в сітчастому шарі інтактної дерми, у базальних відділах рубця волокна були орієнтовані переважно перпендикулярно по відношенню до епідермісу. Дещо рідше, ніж в контрольній групі 9-ти місячного терміну виявлялися незрілі волокна, морфологічні ознаки яких були описані нами раніше. </w:t>
      </w:r>
    </w:p>
    <w:p w:rsidR="003B7FCB"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Слід відмітити появу в середніх і базальних відділах рубця окремих, хаотично розташованих пучків колагенових волокон. Незважаючи на значну товщину, для них досить часто була характерна слабковиражена фуксинофілія, що є непрямою ознакою початкових стадій розвитку дистрофічних процесів. Мабуть, описані пучки волокон, зазнавши дегенеративних змін не братимуть надалі </w:t>
      </w:r>
      <w:r w:rsidR="00735EFC">
        <w:rPr>
          <w:rFonts w:eastAsia="Calibri" w:cs="Times New Roman"/>
          <w:sz w:val="28"/>
          <w:szCs w:val="28"/>
        </w:rPr>
        <w:t>участі у репаративном процесі, оскільки вони є</w:t>
      </w:r>
      <w:r w:rsidRPr="00CA099F">
        <w:rPr>
          <w:rFonts w:eastAsia="Calibri" w:cs="Times New Roman"/>
          <w:sz w:val="28"/>
          <w:szCs w:val="28"/>
        </w:rPr>
        <w:t>, по суті</w:t>
      </w:r>
      <w:r w:rsidR="006071EA">
        <w:rPr>
          <w:rFonts w:eastAsia="Calibri" w:cs="Times New Roman"/>
          <w:sz w:val="28"/>
          <w:szCs w:val="28"/>
        </w:rPr>
        <w:t>,</w:t>
      </w:r>
      <w:r w:rsidRPr="00CA099F">
        <w:rPr>
          <w:rFonts w:eastAsia="Calibri" w:cs="Times New Roman"/>
          <w:sz w:val="28"/>
          <w:szCs w:val="28"/>
        </w:rPr>
        <w:t xml:space="preserve"> абортивними структурами (рис. 4.10).</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 </w:t>
      </w:r>
    </w:p>
    <w:tbl>
      <w:tblPr>
        <w:tblW w:w="0" w:type="auto"/>
        <w:tblLook w:val="01E0" w:firstRow="1" w:lastRow="1" w:firstColumn="1" w:lastColumn="1" w:noHBand="0" w:noVBand="0"/>
      </w:tblPr>
      <w:tblGrid>
        <w:gridCol w:w="9355"/>
      </w:tblGrid>
      <w:tr w:rsidR="0030517B" w:rsidRPr="00CA099F" w:rsidTr="00E1448E">
        <w:tc>
          <w:tcPr>
            <w:tcW w:w="9571" w:type="dxa"/>
          </w:tcPr>
          <w:p w:rsidR="0030517B" w:rsidRPr="00CA099F" w:rsidRDefault="0030517B" w:rsidP="00E1448E">
            <w:pPr>
              <w:spacing w:after="0" w:line="360" w:lineRule="auto"/>
              <w:ind w:firstLine="709"/>
              <w:jc w:val="both"/>
              <w:rPr>
                <w:rFonts w:eastAsia="Calibri" w:cs="Times New Roman"/>
                <w:szCs w:val="28"/>
              </w:rPr>
            </w:pPr>
            <w:r w:rsidRPr="00CA099F">
              <w:rPr>
                <w:rFonts w:eastAsia="Calibri" w:cs="Times New Roman"/>
                <w:noProof/>
                <w:sz w:val="28"/>
                <w:szCs w:val="28"/>
                <w:lang w:val="ru-RU" w:eastAsia="ru-RU"/>
              </w:rPr>
              <w:lastRenderedPageBreak/>
              <w:drawing>
                <wp:inline distT="0" distB="0" distL="0" distR="0" wp14:anchorId="2A214EC0" wp14:editId="5AD6DCDD">
                  <wp:extent cx="5381625" cy="37909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81625" cy="3790950"/>
                          </a:xfrm>
                          <a:prstGeom prst="rect">
                            <a:avLst/>
                          </a:prstGeom>
                          <a:noFill/>
                          <a:ln>
                            <a:noFill/>
                          </a:ln>
                        </pic:spPr>
                      </pic:pic>
                    </a:graphicData>
                  </a:graphic>
                </wp:inline>
              </w:drawing>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r w:rsidRPr="00CA099F">
              <w:rPr>
                <w:rFonts w:eastAsia="Calibri" w:cs="Times New Roman"/>
                <w:sz w:val="28"/>
                <w:szCs w:val="28"/>
              </w:rPr>
              <w:t xml:space="preserve">          Рис. 4.10. Хаотично розташовані пучки колагенових волокон із слабко вираженою фуксинофілією в сполучнотканинному рубці через 12 місяців після оперативного втручання Забарвлення за ван Гізон. Об. 40х., ок. 10х. </w:t>
            </w:r>
          </w:p>
        </w:tc>
      </w:tr>
      <w:tr w:rsidR="0030517B" w:rsidRPr="00CA099F" w:rsidTr="00E1448E">
        <w:tc>
          <w:tcPr>
            <w:tcW w:w="9571" w:type="dxa"/>
          </w:tcPr>
          <w:p w:rsidR="0030517B" w:rsidRPr="00CA099F" w:rsidRDefault="0030517B" w:rsidP="00E1448E">
            <w:pPr>
              <w:spacing w:after="0" w:line="360" w:lineRule="auto"/>
              <w:jc w:val="both"/>
              <w:rPr>
                <w:rFonts w:eastAsia="Calibri" w:cs="Times New Roman"/>
                <w:szCs w:val="28"/>
              </w:rPr>
            </w:pPr>
          </w:p>
        </w:tc>
      </w:tr>
    </w:tbl>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Підтвердженням цієї гіпотези є те, що періодично </w:t>
      </w:r>
      <w:r w:rsidR="006071EA" w:rsidRPr="00CA099F">
        <w:rPr>
          <w:rFonts w:eastAsia="Calibri" w:cs="Times New Roman"/>
          <w:sz w:val="28"/>
          <w:szCs w:val="28"/>
        </w:rPr>
        <w:t xml:space="preserve">нами </w:t>
      </w:r>
      <w:r w:rsidR="006071EA">
        <w:rPr>
          <w:rFonts w:eastAsia="Calibri" w:cs="Times New Roman"/>
          <w:sz w:val="28"/>
          <w:szCs w:val="28"/>
        </w:rPr>
        <w:t>виявляли</w:t>
      </w:r>
      <w:r w:rsidRPr="00CA099F">
        <w:rPr>
          <w:rFonts w:eastAsia="Calibri" w:cs="Times New Roman"/>
          <w:sz w:val="28"/>
          <w:szCs w:val="28"/>
        </w:rPr>
        <w:t>ся (у 7 спостереженнях) явища гіалінозу, який, як відомо, у ряді випадків є фінальною стадією розвитку дегенеративних процесів в сполучній тканині.</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При введенні PRF-згустка в термін, що вивчається, покривний епітелій не відрізнявся від такого в контрольній групі і мав повну структурну схожість з інтактним епідермісом.</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Післяопераційний сполучнотканинний рубець в усіх відділах мав відносно мономорфну будову, при цьому, питома вага розташування клітинних елементів помітно не відрізнялася від контрольної групи і складала, в середньому, 223 ± 12 в 10000 мкм</w:t>
      </w:r>
      <w:r w:rsidRPr="00CA099F">
        <w:rPr>
          <w:rFonts w:eastAsia="Calibri" w:cs="Times New Roman"/>
          <w:sz w:val="28"/>
          <w:szCs w:val="28"/>
          <w:vertAlign w:val="superscript"/>
        </w:rPr>
        <w:t>2</w:t>
      </w:r>
      <w:r w:rsidRPr="00CA099F">
        <w:rPr>
          <w:rFonts w:eastAsia="Calibri" w:cs="Times New Roman"/>
          <w:sz w:val="28"/>
          <w:szCs w:val="28"/>
        </w:rPr>
        <w:t xml:space="preserve">. Клітини фибробластического ряду припадали на частку 92,8 ± 4 % усіх клітинних популяцій, на клітини гематогенного походження – 7,2 ± 2 %. Серед фібробластів частіше за інші нам зустрічалися зрілі, спеціалізовані форми, мало спеціалізовані фібробласти </w:t>
      </w:r>
      <w:r w:rsidRPr="00CA099F">
        <w:rPr>
          <w:rFonts w:eastAsia="Calibri" w:cs="Times New Roman"/>
          <w:sz w:val="28"/>
          <w:szCs w:val="28"/>
        </w:rPr>
        <w:lastRenderedPageBreak/>
        <w:t>виявлялися украй рідко в навколосудинному просторі апікальних відділів рубця.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Колагенові волокна у базальних і середніх відділах рубця, переплітаючись між собою</w:t>
      </w:r>
      <w:r w:rsidR="00133E3F">
        <w:rPr>
          <w:rFonts w:eastAsia="Calibri" w:cs="Times New Roman"/>
          <w:sz w:val="28"/>
          <w:szCs w:val="28"/>
        </w:rPr>
        <w:t>,</w:t>
      </w:r>
      <w:r w:rsidRPr="00CA099F">
        <w:rPr>
          <w:rFonts w:eastAsia="Calibri" w:cs="Times New Roman"/>
          <w:sz w:val="28"/>
          <w:szCs w:val="28"/>
        </w:rPr>
        <w:t xml:space="preserve"> практично повністю повторювали напрям</w:t>
      </w:r>
      <w:r w:rsidR="00793BD4">
        <w:rPr>
          <w:rFonts w:eastAsia="Calibri" w:cs="Times New Roman"/>
          <w:sz w:val="28"/>
          <w:szCs w:val="28"/>
        </w:rPr>
        <w:t>ок</w:t>
      </w:r>
      <w:r w:rsidRPr="00CA099F">
        <w:rPr>
          <w:rFonts w:eastAsia="Calibri" w:cs="Times New Roman"/>
          <w:sz w:val="28"/>
          <w:szCs w:val="28"/>
        </w:rPr>
        <w:t xml:space="preserve"> волокон сітчастого шару дерми, помітно не відрізняючись від останніх по товщині. У апікальних відділах пучки колагенових волокон зберігали перпендикулярний, по відношенню до епідермісу напрям</w:t>
      </w:r>
      <w:r w:rsidR="00793BD4">
        <w:rPr>
          <w:rFonts w:eastAsia="Calibri" w:cs="Times New Roman"/>
          <w:sz w:val="28"/>
          <w:szCs w:val="28"/>
        </w:rPr>
        <w:t>ок</w:t>
      </w:r>
      <w:r w:rsidRPr="00CA099F">
        <w:rPr>
          <w:rFonts w:eastAsia="Calibri" w:cs="Times New Roman"/>
          <w:sz w:val="28"/>
          <w:szCs w:val="28"/>
        </w:rPr>
        <w:t xml:space="preserve">, незрілих форм серед них не виявлялося.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Набагато рідше, в порівнянні з контрольною групою (3 спостереження) ми спостерігали явища гіалінозу в сполучнотканинному рубці, також значно рідше нам зустрічалися колагенові волокна з початковими ознаками альтеративных змін. </w:t>
      </w:r>
      <w:r w:rsidRPr="00716654">
        <w:rPr>
          <w:rFonts w:eastAsia="Calibri" w:cs="Times New Roman"/>
          <w:sz w:val="28"/>
          <w:szCs w:val="28"/>
        </w:rPr>
        <w:t>Як і в контрольній групі, ознаки проліферативної активності, дослідження, що виявляються за допомогою імунногістохімічних методів, виявляли</w:t>
      </w:r>
      <w:r w:rsidR="00716654" w:rsidRPr="00716654">
        <w:rPr>
          <w:rFonts w:eastAsia="Calibri" w:cs="Times New Roman"/>
          <w:sz w:val="28"/>
          <w:szCs w:val="28"/>
        </w:rPr>
        <w:t>ся</w:t>
      </w:r>
      <w:r w:rsidRPr="00716654">
        <w:rPr>
          <w:rFonts w:eastAsia="Calibri" w:cs="Times New Roman"/>
          <w:sz w:val="28"/>
          <w:szCs w:val="28"/>
        </w:rPr>
        <w:t xml:space="preserve"> у базальному шарі епітелію і в одиничних клітинах фібробластичного ряду,</w:t>
      </w:r>
      <w:r w:rsidRPr="00CA099F">
        <w:rPr>
          <w:rFonts w:eastAsia="Calibri" w:cs="Times New Roman"/>
          <w:sz w:val="28"/>
          <w:szCs w:val="28"/>
        </w:rPr>
        <w:t xml:space="preserve"> розташованих у безпосередній близькості від дрібних кровоносних судин в апікальних відділах рубця.</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Додаткове введення разом з PRF-згустком препарату «Біоцирулін» не при</w:t>
      </w:r>
      <w:r w:rsidR="00DC0151">
        <w:rPr>
          <w:rFonts w:eastAsia="Calibri" w:cs="Times New Roman"/>
          <w:sz w:val="28"/>
          <w:szCs w:val="28"/>
        </w:rPr>
        <w:t>з</w:t>
      </w:r>
      <w:r w:rsidRPr="00CA099F">
        <w:rPr>
          <w:rFonts w:eastAsia="Calibri" w:cs="Times New Roman"/>
          <w:sz w:val="28"/>
          <w:szCs w:val="28"/>
        </w:rPr>
        <w:t>вело до помітних змін в епітелізації рубця через 12 місяців після оперативного втручання в порівнянні з попередньою групою. Не спостерігалося також помітних змін в ангіоархітектоніці та клітинному складі післяопераційного рубця. Так, щільність розташування клітинних елементів складала, в середньому - 218 ± 15 в 10000 мкм</w:t>
      </w:r>
      <w:r w:rsidRPr="00CA099F">
        <w:rPr>
          <w:rFonts w:eastAsia="Calibri" w:cs="Times New Roman"/>
          <w:sz w:val="28"/>
          <w:szCs w:val="28"/>
          <w:vertAlign w:val="superscript"/>
        </w:rPr>
        <w:t>2</w:t>
      </w:r>
      <w:r w:rsidRPr="00CA099F">
        <w:rPr>
          <w:rFonts w:eastAsia="Calibri" w:cs="Times New Roman"/>
          <w:sz w:val="28"/>
          <w:szCs w:val="28"/>
        </w:rPr>
        <w:t>, при цьому фібробласти складали 93,1 ± 4% усієї клітинної популяції, клітини гематогенного походження, відповідно - 6,9 ± 2 %.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Заслуговуючи на увагу відмінності мали місце в характері розташування пучків колагенових волокон, характер напряму яких практично по усій глибині рубця, аж до самих апікальних відділів співпадав з таким же в інтактній дермі. При цьому пучки колагенових волокон післяопераційного рубця за тинкторіальними характеристиками і метричними показниками практично не відрізнялися від таких в незміненій дермі, через що було </w:t>
      </w:r>
      <w:r w:rsidRPr="00CA099F">
        <w:rPr>
          <w:rFonts w:eastAsia="Calibri" w:cs="Times New Roman"/>
          <w:sz w:val="28"/>
          <w:szCs w:val="28"/>
        </w:rPr>
        <w:lastRenderedPageBreak/>
        <w:t xml:space="preserve">неможливо, у ряді випадків, навіть приблизно визначити межі зони післяопераційного рубця. </w:t>
      </w:r>
      <w:r w:rsidR="00792DB2">
        <w:rPr>
          <w:rFonts w:eastAsia="Calibri" w:cs="Times New Roman"/>
          <w:sz w:val="28"/>
          <w:szCs w:val="28"/>
        </w:rPr>
        <w:t>П</w:t>
      </w:r>
      <w:r w:rsidR="00792DB2" w:rsidRPr="00CA099F">
        <w:rPr>
          <w:rFonts w:eastAsia="Calibri" w:cs="Times New Roman"/>
          <w:sz w:val="28"/>
          <w:szCs w:val="28"/>
        </w:rPr>
        <w:t>роте</w:t>
      </w:r>
      <w:r w:rsidR="00792DB2">
        <w:rPr>
          <w:rFonts w:eastAsia="Calibri" w:cs="Times New Roman"/>
          <w:sz w:val="28"/>
          <w:szCs w:val="28"/>
        </w:rPr>
        <w:t>,</w:t>
      </w:r>
      <w:r w:rsidR="00792DB2" w:rsidRPr="00CA099F">
        <w:rPr>
          <w:rFonts w:eastAsia="Calibri" w:cs="Times New Roman"/>
          <w:sz w:val="28"/>
          <w:szCs w:val="28"/>
        </w:rPr>
        <w:t xml:space="preserve"> </w:t>
      </w:r>
      <w:r w:rsidR="00792DB2">
        <w:rPr>
          <w:rFonts w:eastAsia="Calibri" w:cs="Times New Roman"/>
          <w:sz w:val="28"/>
          <w:szCs w:val="28"/>
        </w:rPr>
        <w:t>н</w:t>
      </w:r>
      <w:r w:rsidRPr="00CA099F">
        <w:rPr>
          <w:rFonts w:eastAsia="Calibri" w:cs="Times New Roman"/>
          <w:sz w:val="28"/>
          <w:szCs w:val="28"/>
        </w:rPr>
        <w:t>еобхідно відмітити, що, як і раніше в зоні післяопераційного рубця мала місце повна відсутність потових і сальних залоз, що підтверджу</w:t>
      </w:r>
      <w:r w:rsidR="001062EE">
        <w:rPr>
          <w:rFonts w:eastAsia="Calibri" w:cs="Times New Roman"/>
          <w:sz w:val="28"/>
          <w:szCs w:val="28"/>
        </w:rPr>
        <w:t>вало</w:t>
      </w:r>
      <w:r w:rsidRPr="00CA099F">
        <w:rPr>
          <w:rFonts w:eastAsia="Calibri" w:cs="Times New Roman"/>
          <w:sz w:val="28"/>
          <w:szCs w:val="28"/>
        </w:rPr>
        <w:t xml:space="preserve"> неможливість реституції цих структур. Мабуть, часткова компенсація функції загиблих залозистих структур відбувається за рахунок гіперпластичних процесів у потових і сальних залозах, розташованих в незміненій дермі поблизу області оперативного втручання, про що вже було сказано вище.</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Також слід зазначити, що пучки колагенових волокон мали відносно рівномірну товщину, волокна з ознаками альтеративних змін зустрічалися нам украй рідко. У той же час, ознак гіалінозу нами не було виявлено ні в одному із спостережень.</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 xml:space="preserve">Таким чином, викладені в цьому розділі результати морфологічних досліджень дозволяють виявити деякі відмінності в </w:t>
      </w:r>
      <w:r w:rsidR="00616635">
        <w:rPr>
          <w:rFonts w:eastAsia="Calibri" w:cs="Times New Roman"/>
          <w:sz w:val="28"/>
          <w:szCs w:val="28"/>
        </w:rPr>
        <w:t>перебігу</w:t>
      </w:r>
      <w:r w:rsidRPr="00CA099F">
        <w:rPr>
          <w:rFonts w:eastAsia="Calibri" w:cs="Times New Roman"/>
          <w:sz w:val="28"/>
          <w:szCs w:val="28"/>
        </w:rPr>
        <w:t xml:space="preserve"> репаративного процесу при використанні різних методів лікування. Так, отримані дані свідчать про істотну оптимізацію регенераторних процесів при комбінованому введенні PRF-згустка і препарату «Біоцирулін». На ранніх етапах морфологічного дослідження це проявилося</w:t>
      </w:r>
      <w:r w:rsidR="00616635">
        <w:rPr>
          <w:rFonts w:eastAsia="Calibri" w:cs="Times New Roman"/>
          <w:sz w:val="28"/>
          <w:szCs w:val="28"/>
        </w:rPr>
        <w:t>,</w:t>
      </w:r>
      <w:r w:rsidRPr="00CA099F">
        <w:rPr>
          <w:rFonts w:eastAsia="Calibri" w:cs="Times New Roman"/>
          <w:sz w:val="28"/>
          <w:szCs w:val="28"/>
        </w:rPr>
        <w:t xml:space="preserve"> в першу чергу</w:t>
      </w:r>
      <w:r w:rsidR="00616635">
        <w:rPr>
          <w:rFonts w:eastAsia="Calibri" w:cs="Times New Roman"/>
          <w:sz w:val="28"/>
          <w:szCs w:val="28"/>
        </w:rPr>
        <w:t>,</w:t>
      </w:r>
      <w:r w:rsidRPr="00CA099F">
        <w:rPr>
          <w:rFonts w:eastAsia="Calibri" w:cs="Times New Roman"/>
          <w:sz w:val="28"/>
          <w:szCs w:val="28"/>
        </w:rPr>
        <w:t xml:space="preserve"> прискоренням динаміки зменшення відносної кількості клітин гематогенного походження і, навпаки, збільшення числа клітинних елементів механоцитарного дифферона сполучної тканини. </w:t>
      </w:r>
    </w:p>
    <w:p w:rsidR="0030517B" w:rsidRPr="00CA099F" w:rsidRDefault="0030517B" w:rsidP="0030517B">
      <w:pPr>
        <w:spacing w:after="0" w:line="360" w:lineRule="auto"/>
        <w:ind w:firstLine="709"/>
        <w:jc w:val="both"/>
        <w:rPr>
          <w:rFonts w:eastAsia="Calibri" w:cs="Times New Roman"/>
          <w:sz w:val="28"/>
          <w:szCs w:val="28"/>
        </w:rPr>
      </w:pPr>
      <w:r w:rsidRPr="00CA099F">
        <w:rPr>
          <w:rFonts w:eastAsia="Calibri" w:cs="Times New Roman"/>
          <w:sz w:val="28"/>
          <w:szCs w:val="28"/>
        </w:rPr>
        <w:t>Цей процес свідчив про прискорений процес дозрівання сполучної тканини, при цьому виникали передумови для оптимізації процесу епітелізації післяопераційного рубця, що виникли, мабуть, внаслідок кращої трофіки базального шару епітелію, внаслідок чого ми спостерігали більш високу проліферативну активність останнього і практично повну відсутність дисрегенерації. Дещо гірше ці процеси протікали при ізольованому застосуванні PRF-згустка в післяопераційному періоді.</w:t>
      </w:r>
    </w:p>
    <w:p w:rsidR="0030517B" w:rsidRPr="00CA099F" w:rsidRDefault="001473B4" w:rsidP="0030517B">
      <w:pPr>
        <w:spacing w:after="0" w:line="360" w:lineRule="auto"/>
        <w:ind w:firstLine="709"/>
        <w:jc w:val="both"/>
        <w:rPr>
          <w:rFonts w:eastAsia="Calibri" w:cs="Times New Roman"/>
          <w:sz w:val="28"/>
          <w:szCs w:val="28"/>
        </w:rPr>
      </w:pPr>
      <w:r>
        <w:rPr>
          <w:rFonts w:eastAsia="Calibri" w:cs="Times New Roman"/>
          <w:sz w:val="28"/>
          <w:szCs w:val="28"/>
        </w:rPr>
        <w:t>У</w:t>
      </w:r>
      <w:r w:rsidR="0030517B" w:rsidRPr="00CA099F">
        <w:rPr>
          <w:rFonts w:eastAsia="Calibri" w:cs="Times New Roman"/>
          <w:sz w:val="28"/>
          <w:szCs w:val="28"/>
        </w:rPr>
        <w:t xml:space="preserve"> період 6-12 місяців після оперативного втручання вплив застосованих лікарських засобів на динаміку зміни клітинного складу рубця і процес </w:t>
      </w:r>
      <w:r w:rsidR="0030517B" w:rsidRPr="00CA099F">
        <w:rPr>
          <w:rFonts w:eastAsia="Calibri" w:cs="Times New Roman"/>
          <w:sz w:val="28"/>
          <w:szCs w:val="28"/>
        </w:rPr>
        <w:lastRenderedPageBreak/>
        <w:t>епітелізації останнього помітно знижується. На цьому етапі позитивний вплив застосування PRF-згустка і препарату «Біоцирулін» проявляється прискоренням ремоделювання фібрилярного компонента дерми в області післяопераційного рубця, більш тісної, конформної інтеграції останнього з навколишніми тканинами, помітним зменшенням кількості дистрофічних ушкоджень колагенових волокон, наслідки яких, як відомо, часто призводять до розвитку келоїдних рубців.</w:t>
      </w:r>
    </w:p>
    <w:p w:rsidR="0030517B" w:rsidRPr="00CA099F" w:rsidRDefault="0030517B" w:rsidP="0030517B">
      <w:pPr>
        <w:spacing w:after="0" w:line="360" w:lineRule="auto"/>
        <w:ind w:firstLine="709"/>
        <w:jc w:val="both"/>
        <w:rPr>
          <w:rFonts w:eastAsia="Calibri" w:cs="Times New Roman"/>
          <w:sz w:val="28"/>
          <w:szCs w:val="28"/>
        </w:rPr>
      </w:pPr>
    </w:p>
    <w:p w:rsidR="0030517B" w:rsidRPr="00CA099F" w:rsidRDefault="0030517B" w:rsidP="0030517B">
      <w:pPr>
        <w:spacing w:after="0" w:line="360" w:lineRule="auto"/>
        <w:ind w:firstLine="709"/>
        <w:contextualSpacing/>
        <w:jc w:val="both"/>
        <w:rPr>
          <w:rFonts w:eastAsia="Calibri" w:cs="Times New Roman"/>
          <w:sz w:val="28"/>
          <w:szCs w:val="28"/>
        </w:rPr>
      </w:pPr>
      <w:r w:rsidRPr="00CA099F">
        <w:rPr>
          <w:rFonts w:eastAsia="Calibri" w:cs="Times New Roman"/>
          <w:snapToGrid w:val="0"/>
          <w:sz w:val="28"/>
          <w:szCs w:val="28"/>
        </w:rPr>
        <w:t>Дані, що наведені в розділі викладені в наступних працях:</w:t>
      </w:r>
    </w:p>
    <w:p w:rsidR="0030517B" w:rsidRPr="00CA099F" w:rsidRDefault="0030517B" w:rsidP="0030517B">
      <w:pPr>
        <w:spacing w:after="0" w:line="360" w:lineRule="auto"/>
        <w:ind w:firstLine="708"/>
        <w:jc w:val="both"/>
        <w:rPr>
          <w:rFonts w:eastAsia="Calibri" w:cs="Times New Roman"/>
          <w:sz w:val="28"/>
          <w:szCs w:val="28"/>
        </w:rPr>
      </w:pPr>
      <w:r w:rsidRPr="00CA099F">
        <w:rPr>
          <w:rFonts w:eastAsia="Calibri" w:cs="Times New Roman"/>
          <w:sz w:val="28"/>
          <w:szCs w:val="28"/>
        </w:rPr>
        <w:t xml:space="preserve">Гістотопографічні особливості регенеративних процесів, що відбуваються в шкірі шиї на 3-й місяць післяопераційного періоду / </w:t>
      </w:r>
      <w:r w:rsidRPr="00CA099F">
        <w:rPr>
          <w:rFonts w:eastAsia="Calibri" w:cs="Times New Roman"/>
          <w:b/>
          <w:sz w:val="28"/>
          <w:szCs w:val="28"/>
        </w:rPr>
        <w:t>Л.Р. Криничко</w:t>
      </w:r>
      <w:r w:rsidRPr="00CA099F">
        <w:rPr>
          <w:rFonts w:eastAsia="Calibri" w:cs="Times New Roman"/>
          <w:sz w:val="28"/>
          <w:szCs w:val="28"/>
        </w:rPr>
        <w:t>, С.М. Григоров, С.О. Ставицький [та ін.] // Вісник проблем біології і медицини. – 2018. – Bип. 2(144). – С. 315-319.</w:t>
      </w:r>
    </w:p>
    <w:p w:rsidR="009B1E15" w:rsidRPr="009B1E15" w:rsidRDefault="009B1E15" w:rsidP="009B1E15">
      <w:pPr>
        <w:spacing w:after="0" w:line="360" w:lineRule="auto"/>
        <w:ind w:firstLine="709"/>
        <w:contextualSpacing/>
        <w:jc w:val="both"/>
        <w:rPr>
          <w:rFonts w:eastAsia="Times New Roman" w:cs="Times New Roman"/>
          <w:sz w:val="28"/>
          <w:szCs w:val="20"/>
          <w:lang w:eastAsia="uk-UA"/>
        </w:rPr>
      </w:pPr>
      <w:r w:rsidRPr="009B1E15">
        <w:rPr>
          <w:rFonts w:eastAsia="Times New Roman" w:cs="Times New Roman"/>
          <w:sz w:val="28"/>
          <w:szCs w:val="20"/>
          <w:lang w:eastAsia="uk-UA"/>
        </w:rPr>
        <w:t>Криничко Л.Р. Особливості морфологічної будови рубцевозмінених тканин шкіри при хірургічному лікуванні кіст шиї ембріонального походження на 6, 9 та 12 місяць післяопераційного періоду / Л.Р. Криничко // Актуальні проблеми сучасної медицини : Вісник УМСА. – 2018. – Т. 18., Вип. 3 (63). – С. 219-222.</w:t>
      </w:r>
    </w:p>
    <w:p w:rsidR="0030517B" w:rsidRPr="00CA099F" w:rsidRDefault="0030517B" w:rsidP="0030517B">
      <w:pPr>
        <w:spacing w:after="0" w:line="360" w:lineRule="auto"/>
        <w:ind w:left="709"/>
        <w:jc w:val="both"/>
        <w:rPr>
          <w:rFonts w:eastAsia="Calibri" w:cs="Times New Roman"/>
          <w:sz w:val="28"/>
          <w:szCs w:val="28"/>
        </w:rPr>
      </w:pPr>
    </w:p>
    <w:p w:rsidR="0030517B" w:rsidRPr="00CA099F" w:rsidRDefault="0030517B" w:rsidP="0030517B">
      <w:pPr>
        <w:rPr>
          <w:rFonts w:eastAsia="Calibri" w:cs="Calibri"/>
          <w:sz w:val="28"/>
          <w:szCs w:val="28"/>
        </w:rPr>
      </w:pPr>
      <w:r w:rsidRPr="00CA099F">
        <w:rPr>
          <w:rFonts w:eastAsia="Calibri" w:cs="Calibri"/>
          <w:sz w:val="28"/>
          <w:szCs w:val="28"/>
        </w:rPr>
        <w:br w:type="page"/>
      </w:r>
    </w:p>
    <w:p w:rsidR="0030517B" w:rsidRPr="00CA099F" w:rsidRDefault="0030517B" w:rsidP="0030517B">
      <w:pPr>
        <w:spacing w:after="0" w:line="360" w:lineRule="auto"/>
        <w:jc w:val="center"/>
        <w:rPr>
          <w:rFonts w:eastAsia="Times New Roman" w:cs="Times New Roman"/>
          <w:b/>
          <w:sz w:val="28"/>
          <w:szCs w:val="28"/>
        </w:rPr>
      </w:pPr>
      <w:r w:rsidRPr="00CA099F">
        <w:rPr>
          <w:rFonts w:eastAsia="Times New Roman" w:cs="Times New Roman"/>
          <w:b/>
          <w:sz w:val="28"/>
          <w:szCs w:val="28"/>
        </w:rPr>
        <w:lastRenderedPageBreak/>
        <w:t>РОЗДІЛ 5</w:t>
      </w:r>
    </w:p>
    <w:p w:rsidR="0030517B" w:rsidRPr="00CA099F" w:rsidRDefault="0030517B" w:rsidP="0030517B">
      <w:pPr>
        <w:spacing w:after="0" w:line="360" w:lineRule="auto"/>
        <w:jc w:val="center"/>
        <w:rPr>
          <w:rFonts w:eastAsia="Times New Roman" w:cs="Times New Roman"/>
          <w:b/>
          <w:sz w:val="28"/>
          <w:szCs w:val="28"/>
        </w:rPr>
      </w:pPr>
    </w:p>
    <w:p w:rsidR="0030517B" w:rsidRPr="00CA099F" w:rsidRDefault="0030517B" w:rsidP="0030517B">
      <w:pPr>
        <w:spacing w:after="0" w:line="360" w:lineRule="auto"/>
        <w:jc w:val="center"/>
        <w:rPr>
          <w:rFonts w:eastAsia="Times New Roman" w:cs="Times New Roman"/>
          <w:b/>
          <w:sz w:val="28"/>
          <w:szCs w:val="28"/>
        </w:rPr>
      </w:pPr>
    </w:p>
    <w:p w:rsidR="0030517B" w:rsidRPr="00CA099F" w:rsidRDefault="002B33FD" w:rsidP="0030517B">
      <w:pPr>
        <w:spacing w:after="0" w:line="360" w:lineRule="auto"/>
        <w:jc w:val="center"/>
        <w:rPr>
          <w:rFonts w:eastAsia="Times New Roman" w:cs="Times New Roman"/>
          <w:b/>
          <w:sz w:val="28"/>
          <w:szCs w:val="28"/>
        </w:rPr>
      </w:pPr>
      <w:r>
        <w:rPr>
          <w:rFonts w:eastAsia="Times New Roman" w:cs="Times New Roman"/>
          <w:b/>
          <w:sz w:val="28"/>
          <w:szCs w:val="28"/>
        </w:rPr>
        <w:t>РЕЗУЛЬТАТИ ПОРІВНЯННЯ</w:t>
      </w:r>
      <w:r w:rsidR="000D5686">
        <w:rPr>
          <w:rFonts w:eastAsia="Times New Roman" w:cs="Times New Roman"/>
          <w:b/>
          <w:sz w:val="28"/>
          <w:szCs w:val="28"/>
        </w:rPr>
        <w:t xml:space="preserve"> ЗМІН БІОХІМІЧНИХ ПОКАЗНИКІВ </w:t>
      </w:r>
      <w:r w:rsidR="000D5686" w:rsidRPr="000D5686">
        <w:rPr>
          <w:rFonts w:eastAsia="Times New Roman" w:cs="Times New Roman"/>
          <w:b/>
          <w:sz w:val="28"/>
          <w:szCs w:val="28"/>
        </w:rPr>
        <w:t>У</w:t>
      </w:r>
      <w:r w:rsidR="0030517B" w:rsidRPr="00CA099F">
        <w:rPr>
          <w:rFonts w:eastAsia="Times New Roman" w:cs="Times New Roman"/>
          <w:b/>
          <w:sz w:val="28"/>
          <w:szCs w:val="28"/>
        </w:rPr>
        <w:t xml:space="preserve"> ГОМОГЕНАТАХ РУБЦЕВОЗМІНЕНИХ ТКАНИН В РІЗНІ ТЕРМІНИ ПІСЛЯОПЕРАЦІЙНОГО ПЕРІОДУ </w:t>
      </w:r>
    </w:p>
    <w:p w:rsidR="0030517B" w:rsidRPr="00CA099F" w:rsidRDefault="0030517B" w:rsidP="0030517B">
      <w:pPr>
        <w:spacing w:after="0" w:line="360" w:lineRule="auto"/>
        <w:jc w:val="both"/>
        <w:rPr>
          <w:rFonts w:eastAsia="Times New Roman" w:cs="Times New Roman"/>
          <w:b/>
          <w:sz w:val="28"/>
          <w:szCs w:val="28"/>
        </w:rPr>
      </w:pPr>
    </w:p>
    <w:p w:rsidR="0030517B" w:rsidRPr="00CA099F" w:rsidRDefault="0030517B" w:rsidP="0030517B">
      <w:pPr>
        <w:spacing w:after="0" w:line="360" w:lineRule="auto"/>
        <w:jc w:val="both"/>
        <w:rPr>
          <w:rFonts w:eastAsia="Times New Roman" w:cs="Times New Roman"/>
          <w:b/>
          <w:sz w:val="28"/>
          <w:szCs w:val="28"/>
        </w:rPr>
      </w:pPr>
    </w:p>
    <w:p w:rsidR="0030517B" w:rsidRPr="000D5686" w:rsidRDefault="0030517B" w:rsidP="0030517B">
      <w:pPr>
        <w:spacing w:after="0" w:line="360" w:lineRule="auto"/>
        <w:jc w:val="both"/>
        <w:rPr>
          <w:rFonts w:eastAsia="Times New Roman" w:cs="Times New Roman"/>
          <w:b/>
          <w:sz w:val="28"/>
          <w:szCs w:val="28"/>
        </w:rPr>
      </w:pPr>
      <w:r w:rsidRPr="000D5686">
        <w:rPr>
          <w:rFonts w:eastAsia="Times New Roman" w:cs="Times New Roman"/>
          <w:b/>
          <w:sz w:val="28"/>
          <w:szCs w:val="28"/>
        </w:rPr>
        <w:t>5.1 Динаміка змін показників продукції активних форм оксигену</w:t>
      </w:r>
    </w:p>
    <w:p w:rsidR="0030517B" w:rsidRPr="00CA099F" w:rsidRDefault="0030517B" w:rsidP="0030517B">
      <w:pPr>
        <w:spacing w:after="0" w:line="360" w:lineRule="auto"/>
        <w:jc w:val="both"/>
        <w:rPr>
          <w:rFonts w:eastAsia="Times New Roman" w:cs="Times New Roman"/>
          <w:b/>
          <w:sz w:val="28"/>
          <w:szCs w:val="28"/>
        </w:rPr>
      </w:pP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Дослідження показни</w:t>
      </w:r>
      <w:r>
        <w:rPr>
          <w:rFonts w:eastAsia="Times New Roman" w:cs="Times New Roman"/>
          <w:sz w:val="28"/>
          <w:szCs w:val="28"/>
        </w:rPr>
        <w:t>ків вільнорадикального окислення</w:t>
      </w:r>
      <w:r w:rsidR="0030517B" w:rsidRPr="00CA099F">
        <w:rPr>
          <w:rFonts w:eastAsia="Times New Roman" w:cs="Times New Roman"/>
          <w:sz w:val="28"/>
          <w:szCs w:val="28"/>
        </w:rPr>
        <w:t xml:space="preserve"> вказує на достовірні відмінності загоювання рани, що залежало від виду інтра- та післяопераційної профілактики патологічних рубців шкіри при хірургічному лікуванні кіст шиї ембріонального походження. Враховуючи те, що будь-який адаптаційний чи патол</w:t>
      </w:r>
      <w:r w:rsidR="000337E1">
        <w:rPr>
          <w:rFonts w:eastAsia="Times New Roman" w:cs="Times New Roman"/>
          <w:sz w:val="28"/>
          <w:szCs w:val="28"/>
        </w:rPr>
        <w:t>огічний процес перебігає на тлі</w:t>
      </w:r>
      <w:r w:rsidR="0030517B" w:rsidRPr="00CA099F">
        <w:rPr>
          <w:rFonts w:eastAsia="Times New Roman" w:cs="Times New Roman"/>
          <w:sz w:val="28"/>
          <w:szCs w:val="28"/>
        </w:rPr>
        <w:t xml:space="preserve"> гіперпродукції активних форм оксигену (АФО), насамперед, було вивчено динаміку їх змін у гомоген</w:t>
      </w:r>
      <w:r>
        <w:rPr>
          <w:rFonts w:eastAsia="Times New Roman" w:cs="Times New Roman"/>
          <w:sz w:val="28"/>
          <w:szCs w:val="28"/>
        </w:rPr>
        <w:t>аті шкіри людей різних</w:t>
      </w:r>
      <w:r w:rsidR="0030517B" w:rsidRPr="00CA099F">
        <w:rPr>
          <w:rFonts w:eastAsia="Times New Roman" w:cs="Times New Roman"/>
          <w:sz w:val="28"/>
          <w:szCs w:val="28"/>
        </w:rPr>
        <w:t xml:space="preserve"> груп</w:t>
      </w:r>
      <w:r>
        <w:rPr>
          <w:rFonts w:eastAsia="Times New Roman" w:cs="Times New Roman"/>
          <w:sz w:val="28"/>
          <w:szCs w:val="28"/>
        </w:rPr>
        <w:t xml:space="preserve"> обстеження</w:t>
      </w:r>
      <w:r w:rsidR="0030517B" w:rsidRPr="00CA099F">
        <w:rPr>
          <w:rFonts w:eastAsia="Times New Roman" w:cs="Times New Roman"/>
          <w:sz w:val="28"/>
          <w:szCs w:val="28"/>
        </w:rPr>
        <w:t>.</w:t>
      </w: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Встановлено, що у пацієнтів, яким під час оперативного втручання введено PRF-згусток (перша група), відсоток АФО через 3 місяці спостереження був достовірно меншим на 26,6 % , через 6 місяців – на 10,9 % і через 9 місяців – на 12,2 %, стосовно даних пацієнтів контрольної (третьої) групи. У пацієнтів першої і третьої груп через 12 місяців спостереження відсоток АФО практично не відрізнявся (рис. 5.1). </w:t>
      </w: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Слід зазначити, що рівень досліджуваного показника змінювався впродовж терміну спостереження. Так, у пацієнтів, яким під час оперативного втручання введено PRF-згусток, через 6 місяців відсоток АФО був на 18,5 % нижчий, стосовно даних попереднього терміну спостереження, відповідно, через 9 місяців – на 16,2 % (</w:t>
      </w:r>
      <w:r w:rsidR="0030517B" w:rsidRPr="00CA099F">
        <w:rPr>
          <w:rFonts w:eastAsia="Times New Roman" w:cs="Times New Roman"/>
          <w:color w:val="000000"/>
          <w:sz w:val="28"/>
          <w:szCs w:val="28"/>
        </w:rPr>
        <w:t>р&lt;0,01)</w:t>
      </w:r>
      <w:r w:rsidR="0030517B" w:rsidRPr="00CA099F">
        <w:rPr>
          <w:rFonts w:eastAsia="Times New Roman" w:cs="Times New Roman"/>
          <w:sz w:val="28"/>
          <w:szCs w:val="28"/>
        </w:rPr>
        <w:t xml:space="preserve">. </w:t>
      </w: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Аналіз динаміки змін відсотку АФО стосовно показника пацієнтів інтактної групи свідчить про позитивну динаміку з нормалізацією </w:t>
      </w:r>
      <w:r w:rsidR="0030517B" w:rsidRPr="00CA099F">
        <w:rPr>
          <w:rFonts w:eastAsia="Times New Roman" w:cs="Times New Roman"/>
          <w:sz w:val="28"/>
          <w:szCs w:val="28"/>
        </w:rPr>
        <w:lastRenderedPageBreak/>
        <w:t>досліджуваних величин через 12 місяців спостереження. Так, відсоток АФО у всіх дослідних групах через 3 і 6 місяців був достовірн</w:t>
      </w:r>
      <w:r w:rsidR="00F66EC0">
        <w:rPr>
          <w:rFonts w:eastAsia="Times New Roman" w:cs="Times New Roman"/>
          <w:sz w:val="28"/>
          <w:szCs w:val="28"/>
        </w:rPr>
        <w:t>о вищий рівня інтактної групи (</w:t>
      </w:r>
      <w:r w:rsidR="0030517B" w:rsidRPr="00CA099F">
        <w:rPr>
          <w:rFonts w:eastAsia="Times New Roman" w:cs="Times New Roman"/>
          <w:sz w:val="28"/>
          <w:szCs w:val="28"/>
        </w:rPr>
        <w:t xml:space="preserve">13,63±0,60 %). </w:t>
      </w:r>
    </w:p>
    <w:p w:rsidR="0030517B" w:rsidRPr="00CA099F" w:rsidRDefault="0030517B" w:rsidP="00F66EC0">
      <w:pPr>
        <w:spacing w:after="0" w:line="360" w:lineRule="auto"/>
        <w:ind w:firstLine="709"/>
        <w:jc w:val="both"/>
        <w:rPr>
          <w:rFonts w:eastAsia="Times New Roman" w:cs="Times New Roman"/>
          <w:sz w:val="28"/>
          <w:szCs w:val="28"/>
        </w:rPr>
      </w:pPr>
      <w:r w:rsidRPr="00CA099F">
        <w:rPr>
          <w:rFonts w:eastAsia="Times New Roman" w:cs="Times New Roman"/>
          <w:sz w:val="28"/>
          <w:szCs w:val="28"/>
        </w:rPr>
        <w:t xml:space="preserve">Через 9 місяців спостереження відмічена позитивна динаміка, яка характеризувалася достовірним зниженням відсотку АФО у всіх дослідних групах, стосовно даних через 3 місяці спостереження, при цьому рівень досліджуваного показника у другій групі досягав контрольних значень. </w:t>
      </w:r>
    </w:p>
    <w:p w:rsidR="0030517B" w:rsidRPr="00CA099F" w:rsidRDefault="0030517B" w:rsidP="00F66EC0">
      <w:pPr>
        <w:spacing w:after="0" w:line="360" w:lineRule="auto"/>
        <w:ind w:firstLine="709"/>
        <w:jc w:val="both"/>
        <w:rPr>
          <w:rFonts w:eastAsia="Times New Roman" w:cs="Times New Roman"/>
          <w:sz w:val="28"/>
          <w:szCs w:val="28"/>
        </w:rPr>
      </w:pPr>
      <w:r w:rsidRPr="00CA099F">
        <w:rPr>
          <w:rFonts w:eastAsia="Times New Roman" w:cs="Times New Roman"/>
          <w:sz w:val="28"/>
          <w:szCs w:val="28"/>
        </w:rPr>
        <w:t>Заслуговує на увагу той факт, що у пацієнтів другої і третьої  груп через 12 місяців відсоток АФО практично не відрізнявся від даних інтактної групи (рис. 5.2).</w:t>
      </w:r>
    </w:p>
    <w:p w:rsidR="0030517B" w:rsidRPr="00CA099F" w:rsidRDefault="0030517B" w:rsidP="0030517B">
      <w:pPr>
        <w:spacing w:after="0" w:line="360" w:lineRule="auto"/>
        <w:jc w:val="both"/>
        <w:rPr>
          <w:rFonts w:eastAsia="Times New Roman" w:cs="Times New Roman"/>
          <w:sz w:val="28"/>
          <w:szCs w:val="28"/>
        </w:rPr>
      </w:pPr>
      <w:r w:rsidRPr="00CA099F">
        <w:rPr>
          <w:rFonts w:eastAsia="Times New Roman" w:cs="Times New Roman"/>
          <w:noProof/>
          <w:sz w:val="28"/>
          <w:szCs w:val="28"/>
          <w:lang w:val="ru-RU" w:eastAsia="ru-RU"/>
        </w:rPr>
        <w:drawing>
          <wp:inline distT="0" distB="0" distL="0" distR="0" wp14:anchorId="7FE3DE34" wp14:editId="63D05B83">
            <wp:extent cx="5699760" cy="3697605"/>
            <wp:effectExtent l="0" t="0" r="15240" b="17145"/>
            <wp:docPr id="31" name="Диаграмма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0517B" w:rsidRPr="00CA099F" w:rsidRDefault="0030517B" w:rsidP="0030517B">
      <w:pPr>
        <w:spacing w:after="0" w:line="360" w:lineRule="auto"/>
        <w:jc w:val="both"/>
        <w:rPr>
          <w:rFonts w:eastAsia="Times New Roman" w:cs="Times New Roman"/>
          <w:sz w:val="28"/>
          <w:szCs w:val="28"/>
        </w:rPr>
      </w:pP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Рис. 5.1</w:t>
      </w:r>
      <w:r w:rsidR="0030517B" w:rsidRPr="00CA099F">
        <w:rPr>
          <w:rFonts w:eastAsia="Times New Roman" w:cs="Times New Roman"/>
          <w:sz w:val="28"/>
          <w:szCs w:val="28"/>
        </w:rPr>
        <w:t xml:space="preserve"> </w:t>
      </w:r>
      <w:r>
        <w:rPr>
          <w:rFonts w:eastAsia="Times New Roman" w:cs="Times New Roman"/>
          <w:sz w:val="28"/>
          <w:szCs w:val="28"/>
        </w:rPr>
        <w:t>Графічне зображення рівня</w:t>
      </w:r>
      <w:r w:rsidR="0030517B" w:rsidRPr="00CA099F">
        <w:rPr>
          <w:rFonts w:eastAsia="Times New Roman" w:cs="Times New Roman"/>
          <w:sz w:val="28"/>
          <w:szCs w:val="28"/>
        </w:rPr>
        <w:t xml:space="preserve"> активних форм оксигену </w:t>
      </w:r>
      <w:r w:rsidR="00F66EC0">
        <w:rPr>
          <w:rFonts w:eastAsia="Times New Roman" w:cs="Times New Roman"/>
          <w:sz w:val="28"/>
          <w:szCs w:val="28"/>
        </w:rPr>
        <w:t>в</w:t>
      </w:r>
      <w:r w:rsidR="0030517B" w:rsidRPr="00CA099F">
        <w:rPr>
          <w:rFonts w:eastAsia="Times New Roman" w:cs="Times New Roman"/>
          <w:sz w:val="28"/>
          <w:szCs w:val="28"/>
        </w:rPr>
        <w:t xml:space="preserve"> лейкоцитарній фракції гомогенату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w:t>
      </w:r>
    </w:p>
    <w:p w:rsidR="0030517B" w:rsidRPr="00CA099F" w:rsidRDefault="0030517B" w:rsidP="0030517B">
      <w:pPr>
        <w:spacing w:after="0" w:line="360" w:lineRule="auto"/>
        <w:jc w:val="both"/>
        <w:rPr>
          <w:rFonts w:eastAsia="Times New Roman" w:cs="Times New Roman"/>
          <w:sz w:val="28"/>
          <w:szCs w:val="28"/>
        </w:rPr>
      </w:pPr>
    </w:p>
    <w:p w:rsidR="0030517B" w:rsidRPr="00CA099F" w:rsidRDefault="0030517B" w:rsidP="0030517B">
      <w:pPr>
        <w:spacing w:after="0" w:line="360" w:lineRule="auto"/>
        <w:jc w:val="both"/>
        <w:rPr>
          <w:rFonts w:eastAsia="Times New Roman" w:cs="Times New Roman"/>
          <w:sz w:val="28"/>
          <w:szCs w:val="28"/>
        </w:rPr>
      </w:pPr>
      <w:r w:rsidRPr="00CA099F">
        <w:rPr>
          <w:rFonts w:eastAsia="Times New Roman" w:cs="Times New Roman"/>
          <w:noProof/>
          <w:sz w:val="28"/>
          <w:szCs w:val="28"/>
          <w:lang w:val="ru-RU" w:eastAsia="ru-RU"/>
        </w:rPr>
        <w:lastRenderedPageBreak/>
        <w:drawing>
          <wp:inline distT="0" distB="0" distL="0" distR="0" wp14:anchorId="4B539CB6" wp14:editId="61AFD013">
            <wp:extent cx="5795010" cy="3383280"/>
            <wp:effectExtent l="0" t="0" r="15240" b="26670"/>
            <wp:docPr id="30"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Рис. 5.2 Графічне зображення</w:t>
      </w:r>
      <w:r w:rsidR="0030517B" w:rsidRPr="00CA099F">
        <w:rPr>
          <w:rFonts w:eastAsia="Times New Roman" w:cs="Times New Roman"/>
          <w:sz w:val="28"/>
          <w:szCs w:val="28"/>
        </w:rPr>
        <w:t xml:space="preserve"> відсотку активних форм оксигену </w:t>
      </w:r>
      <w:r w:rsidR="006B6C8C">
        <w:rPr>
          <w:rFonts w:eastAsia="Times New Roman" w:cs="Times New Roman"/>
          <w:sz w:val="28"/>
          <w:szCs w:val="28"/>
        </w:rPr>
        <w:t>в</w:t>
      </w:r>
      <w:r w:rsidR="0030517B" w:rsidRPr="00CA099F">
        <w:rPr>
          <w:rFonts w:eastAsia="Times New Roman" w:cs="Times New Roman"/>
          <w:sz w:val="28"/>
          <w:szCs w:val="28"/>
        </w:rPr>
        <w:t xml:space="preserve"> лейкоцитарній фракції гомогенату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 різниця достовірна стосовно даних інтактної групи).</w:t>
      </w:r>
    </w:p>
    <w:p w:rsidR="0030517B" w:rsidRPr="00CA099F" w:rsidRDefault="0030517B" w:rsidP="0030517B">
      <w:pPr>
        <w:spacing w:after="0" w:line="360" w:lineRule="auto"/>
        <w:jc w:val="both"/>
        <w:rPr>
          <w:rFonts w:eastAsia="Times New Roman" w:cs="Times New Roman"/>
          <w:sz w:val="28"/>
          <w:szCs w:val="28"/>
        </w:rPr>
      </w:pPr>
    </w:p>
    <w:p w:rsidR="0030517B" w:rsidRPr="006B6C8C" w:rsidRDefault="0030517B" w:rsidP="0030517B">
      <w:pPr>
        <w:spacing w:after="0" w:line="360" w:lineRule="auto"/>
        <w:jc w:val="both"/>
        <w:rPr>
          <w:rFonts w:eastAsia="Times New Roman" w:cs="Times New Roman"/>
          <w:b/>
          <w:sz w:val="28"/>
          <w:szCs w:val="28"/>
        </w:rPr>
      </w:pPr>
      <w:r w:rsidRPr="006B6C8C">
        <w:rPr>
          <w:rFonts w:eastAsia="Times New Roman" w:cs="Times New Roman"/>
          <w:b/>
          <w:sz w:val="28"/>
          <w:szCs w:val="28"/>
        </w:rPr>
        <w:t>5</w:t>
      </w:r>
      <w:r w:rsidR="001A4A21">
        <w:rPr>
          <w:rFonts w:eastAsia="Times New Roman" w:cs="Times New Roman"/>
          <w:b/>
          <w:sz w:val="28"/>
          <w:szCs w:val="28"/>
        </w:rPr>
        <w:t>.2 Динаміка змін показників пере</w:t>
      </w:r>
      <w:r w:rsidRPr="006B6C8C">
        <w:rPr>
          <w:rFonts w:eastAsia="Times New Roman" w:cs="Times New Roman"/>
          <w:b/>
          <w:sz w:val="28"/>
          <w:szCs w:val="28"/>
        </w:rPr>
        <w:t>ки</w:t>
      </w:r>
      <w:r w:rsidR="001A4A21">
        <w:rPr>
          <w:rFonts w:eastAsia="Times New Roman" w:cs="Times New Roman"/>
          <w:b/>
          <w:sz w:val="28"/>
          <w:szCs w:val="28"/>
        </w:rPr>
        <w:t>с</w:t>
      </w:r>
      <w:r w:rsidRPr="006B6C8C">
        <w:rPr>
          <w:rFonts w:eastAsia="Times New Roman" w:cs="Times New Roman"/>
          <w:b/>
          <w:sz w:val="28"/>
          <w:szCs w:val="28"/>
        </w:rPr>
        <w:t>ного окиснення ліпідів</w:t>
      </w:r>
    </w:p>
    <w:p w:rsidR="0030517B" w:rsidRPr="00CA099F" w:rsidRDefault="0030517B" w:rsidP="0030517B">
      <w:pPr>
        <w:spacing w:after="0" w:line="360" w:lineRule="auto"/>
        <w:jc w:val="both"/>
        <w:rPr>
          <w:rFonts w:eastAsia="Times New Roman" w:cs="Times New Roman"/>
          <w:b/>
          <w:sz w:val="28"/>
          <w:szCs w:val="28"/>
        </w:rPr>
      </w:pP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Активація пер</w:t>
      </w:r>
      <w:r w:rsidR="001A4A21">
        <w:rPr>
          <w:rFonts w:eastAsia="Times New Roman" w:cs="Times New Roman"/>
          <w:sz w:val="28"/>
          <w:szCs w:val="28"/>
        </w:rPr>
        <w:t>е</w:t>
      </w:r>
      <w:r w:rsidR="0030517B" w:rsidRPr="00CA099F">
        <w:rPr>
          <w:rFonts w:eastAsia="Times New Roman" w:cs="Times New Roman"/>
          <w:sz w:val="28"/>
          <w:szCs w:val="28"/>
        </w:rPr>
        <w:t>ки</w:t>
      </w:r>
      <w:r w:rsidR="001A4A21">
        <w:rPr>
          <w:rFonts w:eastAsia="Times New Roman" w:cs="Times New Roman"/>
          <w:sz w:val="28"/>
          <w:szCs w:val="28"/>
        </w:rPr>
        <w:t>с</w:t>
      </w:r>
      <w:r w:rsidR="0030517B" w:rsidRPr="00CA099F">
        <w:rPr>
          <w:rFonts w:eastAsia="Times New Roman" w:cs="Times New Roman"/>
          <w:sz w:val="28"/>
          <w:szCs w:val="28"/>
        </w:rPr>
        <w:t>ного окиснення ліпідів (ПОЛ) є одним із пускових механізмів стресорних ушкоджень із порушенням метаболізму клітин, які, у першу чергу, пов'язані з пошкодженням клітинних і субклітинних мембран. До продуктів ПОЛ відносяться гідроперекиси ліпідів, дієнові і трієнові кон’югати, ТБК- активні продукти. Встановлено, що у пацієнтів, яким під час оперативного втручання введено PRF-згусток, концентрація ГПЛ через 3 місяці спостереження була достовірно меншою на 26,7 % , через 6 місяців – на 15,6 % і через 9 – на 7,0 %, стосовно даних третьої групи. У пацієнтів першої і третьої  груп через 12 місяців спостереження концентрація ГПЛ практично не відрізнялася (табл. 5.1).</w:t>
      </w:r>
    </w:p>
    <w:p w:rsidR="0030517B" w:rsidRPr="00CA099F" w:rsidRDefault="004A0205" w:rsidP="0030517B">
      <w:pPr>
        <w:spacing w:after="0" w:line="360" w:lineRule="auto"/>
        <w:jc w:val="both"/>
        <w:rPr>
          <w:rFonts w:eastAsia="Times New Roman" w:cs="Times New Roman"/>
          <w:sz w:val="28"/>
          <w:szCs w:val="28"/>
        </w:rPr>
      </w:pPr>
      <w:r>
        <w:rPr>
          <w:rFonts w:eastAsia="Times New Roman" w:cs="Times New Roman"/>
          <w:sz w:val="28"/>
          <w:szCs w:val="28"/>
        </w:rPr>
        <w:lastRenderedPageBreak/>
        <w:tab/>
      </w:r>
      <w:r w:rsidR="0030517B" w:rsidRPr="00CA099F">
        <w:rPr>
          <w:rFonts w:eastAsia="Times New Roman" w:cs="Times New Roman"/>
          <w:sz w:val="28"/>
          <w:szCs w:val="28"/>
        </w:rPr>
        <w:t>Слід зазначити, що досліджуваний показник змінювався впродовж терміну спостереження. Так, у пацієнтів, яким під час оперативного втручання введено PRF-згусток, через 6 місяців концентрація ГПЛ була на 19,7 % нижча, стосовно даних попереднього терміну спостереження, відповідно, через 9 і 12 місяців рівень досліджуваної величини був менший на 9,5 % і 3,4 %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 xml:space="preserve">. </w:t>
      </w:r>
    </w:p>
    <w:p w:rsidR="0030517B" w:rsidRPr="00CA099F" w:rsidRDefault="00F46CA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У пацієнтів, яким під час оперативного втручання введено PRF-згусток, концентрація ДК через 3 місяці спостереже</w:t>
      </w:r>
      <w:r w:rsidR="003A6E92">
        <w:rPr>
          <w:rFonts w:eastAsia="Times New Roman" w:cs="Times New Roman"/>
          <w:sz w:val="28"/>
          <w:szCs w:val="28"/>
        </w:rPr>
        <w:t>ння була достовірно меншою на 24,1 %</w:t>
      </w:r>
      <w:r w:rsidR="0030517B" w:rsidRPr="00CA099F">
        <w:rPr>
          <w:rFonts w:eastAsia="Times New Roman" w:cs="Times New Roman"/>
          <w:sz w:val="28"/>
          <w:szCs w:val="28"/>
        </w:rPr>
        <w:t>, через 6 місяців – на 19,7 %, через 9 – на 13,8 % і через 12 – на 6,1 %, стосовно даних третьої групи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 Слід зазначити, що досліджуваний показник змінювався впродовж терміну спостереження. Так, у пацієнтів, яким під час оперативного втручання введено PRF-згусток, через 6 місяців концентрація ДК була на 23,8 % нижча, стосовно даних попереднього терміну спостереження, відповідно, через 9 і 12 місяців рівень досліджуваної величини був менший на 13,9 % і 4,0 %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 Така ж тенденція відмічена щодо змін концентрації ТК у гомогенаті шкіри пацієнтів першої і третьої дослідних груп у різні терміни спостереження (табл. 5.1).</w:t>
      </w:r>
    </w:p>
    <w:p w:rsidR="0030517B" w:rsidRPr="00CA099F" w:rsidRDefault="00F46CA5"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Аналіз рівня ТБК-активних продуктів у гомогенаті шкіри пацієнтів, яким під час оперативного втручання введено PRF-згусток, показав, що концентрація ТБК-АП через 3 місяці спостереження була достовірно меншою на 17,8 % , через 6 – на 22,8 % і через 9 – на 5,0 %, стосовно даних третьої групи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 У пацієнтів першої і третьої груп через 12 місяців спостереження концентрація ТБК-АП практично не відрізнялася. Слід зазначити, що рівень досліджуваного показника змінювався впродовж 9 місяців спостереження. Так, у пацієнтів, яким під час оперативного втручання введено PRF-згусток, через 6 місяців концентрація ТБК-АП була на 25,0 % нижча, стосовно даних попереднього терміну спостереження, відповідно, через 9 місяців рівень досліджув</w:t>
      </w:r>
      <w:r w:rsidR="00E879AB">
        <w:rPr>
          <w:rFonts w:eastAsia="Times New Roman" w:cs="Times New Roman"/>
          <w:sz w:val="28"/>
          <w:szCs w:val="28"/>
        </w:rPr>
        <w:t>аної величини був менший на 7,4 </w:t>
      </w:r>
      <w:r w:rsidR="0030517B" w:rsidRPr="00CA099F">
        <w:rPr>
          <w:rFonts w:eastAsia="Times New Roman" w:cs="Times New Roman"/>
          <w:sz w:val="28"/>
          <w:szCs w:val="28"/>
        </w:rPr>
        <w:t>% (</w:t>
      </w:r>
      <w:r w:rsidR="0030517B" w:rsidRPr="00CA099F">
        <w:rPr>
          <w:rFonts w:eastAsia="Times New Roman" w:cs="Times New Roman"/>
          <w:color w:val="000000"/>
          <w:sz w:val="28"/>
          <w:szCs w:val="28"/>
        </w:rPr>
        <w:t xml:space="preserve">р&lt;0,05) </w:t>
      </w:r>
      <w:r w:rsidR="0030517B" w:rsidRPr="00CA099F">
        <w:rPr>
          <w:rFonts w:eastAsia="Times New Roman" w:cs="Times New Roman"/>
          <w:sz w:val="28"/>
          <w:szCs w:val="28"/>
        </w:rPr>
        <w:t>(табл. 5.1).</w:t>
      </w:r>
    </w:p>
    <w:p w:rsidR="0030517B" w:rsidRPr="00CA099F" w:rsidRDefault="0030517B" w:rsidP="0030517B">
      <w:pPr>
        <w:spacing w:after="0" w:line="360" w:lineRule="auto"/>
        <w:jc w:val="both"/>
        <w:rPr>
          <w:rFonts w:eastAsia="Times New Roman" w:cs="Times New Roman"/>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5.1</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lastRenderedPageBreak/>
        <w:t>Показники вільнорадикального окиснення ліпідів у гомогенаті шкіри за умови використання PRF-згустка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29"/>
        <w:gridCol w:w="1089"/>
        <w:gridCol w:w="824"/>
        <w:gridCol w:w="1088"/>
        <w:gridCol w:w="1049"/>
        <w:gridCol w:w="1088"/>
        <w:gridCol w:w="1049"/>
        <w:gridCol w:w="994"/>
        <w:gridCol w:w="935"/>
      </w:tblGrid>
      <w:tr w:rsidR="0030517B" w:rsidRPr="00CA099F" w:rsidTr="00DC5C24">
        <w:tc>
          <w:tcPr>
            <w:tcW w:w="658" w:type="pct"/>
            <w:vMerge w:val="restart"/>
            <w:vAlign w:val="center"/>
          </w:tcPr>
          <w:p w:rsidR="0030517B" w:rsidRPr="00CA099F" w:rsidRDefault="0030517B" w:rsidP="00E1448E">
            <w:pPr>
              <w:spacing w:after="0"/>
              <w:jc w:val="center"/>
              <w:rPr>
                <w:rFonts w:eastAsia="Times New Roman" w:cs="Times New Roman"/>
                <w:szCs w:val="24"/>
              </w:rPr>
            </w:pPr>
            <w:r w:rsidRPr="00CA099F">
              <w:rPr>
                <w:rFonts w:eastAsia="Times New Roman" w:cs="Times New Roman"/>
                <w:szCs w:val="24"/>
              </w:rPr>
              <w:t>Показник</w:t>
            </w:r>
          </w:p>
        </w:tc>
        <w:tc>
          <w:tcPr>
            <w:tcW w:w="1024"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 місяці</w:t>
            </w:r>
          </w:p>
        </w:tc>
        <w:tc>
          <w:tcPr>
            <w:tcW w:w="1143"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6 місяців</w:t>
            </w:r>
          </w:p>
        </w:tc>
        <w:tc>
          <w:tcPr>
            <w:tcW w:w="1143"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9 місяців</w:t>
            </w:r>
          </w:p>
        </w:tc>
        <w:tc>
          <w:tcPr>
            <w:tcW w:w="1033"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DC5C24">
        <w:tc>
          <w:tcPr>
            <w:tcW w:w="658" w:type="pct"/>
            <w:vMerge/>
          </w:tcPr>
          <w:p w:rsidR="0030517B" w:rsidRPr="00CA099F" w:rsidRDefault="0030517B" w:rsidP="00E1448E">
            <w:pPr>
              <w:spacing w:after="0"/>
              <w:jc w:val="center"/>
              <w:rPr>
                <w:rFonts w:eastAsia="Times New Roman" w:cs="Times New Roman"/>
                <w:szCs w:val="28"/>
              </w:rPr>
            </w:pPr>
          </w:p>
        </w:tc>
        <w:tc>
          <w:tcPr>
            <w:tcW w:w="583" w:type="pct"/>
          </w:tcPr>
          <w:p w:rsidR="0030517B" w:rsidRPr="00CA099F" w:rsidRDefault="0030517B" w:rsidP="00E1448E">
            <w:pPr>
              <w:spacing w:after="0"/>
              <w:ind w:right="-87"/>
              <w:jc w:val="center"/>
              <w:rPr>
                <w:rFonts w:eastAsia="Times New Roman" w:cs="Times New Roman"/>
                <w:szCs w:val="24"/>
              </w:rPr>
            </w:pPr>
            <w:r w:rsidRPr="00CA099F">
              <w:rPr>
                <w:rFonts w:eastAsia="Times New Roman" w:cs="Times New Roman"/>
                <w:szCs w:val="24"/>
              </w:rPr>
              <w:t>Група контролю</w:t>
            </w:r>
            <w:r w:rsidR="00F46CA5">
              <w:rPr>
                <w:rFonts w:eastAsia="Times New Roman" w:cs="Times New Roman"/>
                <w:szCs w:val="24"/>
              </w:rPr>
              <w:t xml:space="preserve"> (</w:t>
            </w:r>
            <w:r w:rsidR="00F46CA5">
              <w:rPr>
                <w:rFonts w:eastAsia="Times New Roman" w:cs="Times New Roman"/>
                <w:szCs w:val="24"/>
                <w:lang w:val="en-US"/>
              </w:rPr>
              <w:t>n=20</w:t>
            </w:r>
            <w:r w:rsidR="00F46CA5">
              <w:rPr>
                <w:rFonts w:eastAsia="Times New Roman" w:cs="Times New Roman"/>
                <w:szCs w:val="24"/>
              </w:rPr>
              <w:t>)</w:t>
            </w:r>
          </w:p>
        </w:tc>
        <w:tc>
          <w:tcPr>
            <w:tcW w:w="441" w:type="pct"/>
          </w:tcPr>
          <w:p w:rsidR="0030517B"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1 група</w:t>
            </w:r>
          </w:p>
          <w:p w:rsidR="00F46CA5" w:rsidRPr="00F46CA5" w:rsidRDefault="00F46CA5" w:rsidP="00E1448E">
            <w:pPr>
              <w:spacing w:after="0"/>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2" w:type="pct"/>
          </w:tcPr>
          <w:p w:rsidR="0030517B" w:rsidRPr="00F46CA5"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Група контролю</w:t>
            </w:r>
            <w:r w:rsidR="00F46CA5">
              <w:rPr>
                <w:rFonts w:eastAsia="Times New Roman" w:cs="Times New Roman"/>
                <w:szCs w:val="24"/>
                <w:lang w:val="en-US"/>
              </w:rPr>
              <w:t xml:space="preserve"> </w:t>
            </w:r>
            <w:r w:rsidR="00F46CA5">
              <w:rPr>
                <w:rFonts w:eastAsia="Times New Roman" w:cs="Times New Roman"/>
                <w:szCs w:val="24"/>
              </w:rPr>
              <w:t>(</w:t>
            </w:r>
            <w:r w:rsidR="00F46CA5">
              <w:rPr>
                <w:rFonts w:eastAsia="Times New Roman" w:cs="Times New Roman"/>
                <w:szCs w:val="24"/>
                <w:lang w:val="en-US"/>
              </w:rPr>
              <w:t>n=20</w:t>
            </w:r>
            <w:r w:rsidR="00F46CA5">
              <w:rPr>
                <w:rFonts w:eastAsia="Times New Roman" w:cs="Times New Roman"/>
                <w:szCs w:val="24"/>
              </w:rPr>
              <w:t>)</w:t>
            </w:r>
          </w:p>
        </w:tc>
        <w:tc>
          <w:tcPr>
            <w:tcW w:w="560" w:type="pct"/>
          </w:tcPr>
          <w:p w:rsidR="0030517B"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1 група</w:t>
            </w:r>
          </w:p>
          <w:p w:rsidR="00F46CA5" w:rsidRPr="00F46CA5" w:rsidRDefault="00F46CA5" w:rsidP="00E1448E">
            <w:pPr>
              <w:spacing w:after="0"/>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2" w:type="pct"/>
          </w:tcPr>
          <w:p w:rsidR="0030517B" w:rsidRPr="00F46CA5"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Група контролю</w:t>
            </w:r>
            <w:r w:rsidR="00F46CA5">
              <w:rPr>
                <w:rFonts w:eastAsia="Times New Roman" w:cs="Times New Roman"/>
                <w:szCs w:val="24"/>
                <w:lang w:val="en-US"/>
              </w:rPr>
              <w:t xml:space="preserve"> </w:t>
            </w:r>
            <w:r w:rsidR="00F46CA5">
              <w:rPr>
                <w:rFonts w:eastAsia="Times New Roman" w:cs="Times New Roman"/>
                <w:szCs w:val="24"/>
              </w:rPr>
              <w:t>(</w:t>
            </w:r>
            <w:r w:rsidR="00F46CA5">
              <w:rPr>
                <w:rFonts w:eastAsia="Times New Roman" w:cs="Times New Roman"/>
                <w:szCs w:val="24"/>
                <w:lang w:val="en-US"/>
              </w:rPr>
              <w:t>n=20</w:t>
            </w:r>
            <w:r w:rsidR="00F46CA5">
              <w:rPr>
                <w:rFonts w:eastAsia="Times New Roman" w:cs="Times New Roman"/>
                <w:szCs w:val="24"/>
              </w:rPr>
              <w:t>)</w:t>
            </w:r>
          </w:p>
        </w:tc>
        <w:tc>
          <w:tcPr>
            <w:tcW w:w="560" w:type="pct"/>
          </w:tcPr>
          <w:p w:rsidR="0030517B"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1 група</w:t>
            </w:r>
          </w:p>
          <w:p w:rsidR="00F46CA5" w:rsidRPr="00F46CA5" w:rsidRDefault="00F46CA5" w:rsidP="00E1448E">
            <w:pPr>
              <w:spacing w:after="0"/>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32" w:type="pct"/>
          </w:tcPr>
          <w:p w:rsidR="0030517B" w:rsidRPr="00F46CA5" w:rsidRDefault="0030517B" w:rsidP="00DC5C24">
            <w:pPr>
              <w:spacing w:after="0"/>
              <w:ind w:left="-83" w:right="-87"/>
              <w:jc w:val="center"/>
              <w:rPr>
                <w:rFonts w:eastAsia="Times New Roman" w:cs="Times New Roman"/>
                <w:szCs w:val="24"/>
                <w:lang w:val="en-US"/>
              </w:rPr>
            </w:pPr>
            <w:r w:rsidRPr="00CA099F">
              <w:rPr>
                <w:rFonts w:eastAsia="Times New Roman" w:cs="Times New Roman"/>
                <w:szCs w:val="24"/>
              </w:rPr>
              <w:t>Група контролю</w:t>
            </w:r>
            <w:r w:rsidR="00F46CA5">
              <w:rPr>
                <w:rFonts w:eastAsia="Times New Roman" w:cs="Times New Roman"/>
                <w:szCs w:val="24"/>
                <w:lang w:val="en-US"/>
              </w:rPr>
              <w:t xml:space="preserve"> </w:t>
            </w:r>
            <w:r w:rsidR="00F46CA5">
              <w:rPr>
                <w:rFonts w:eastAsia="Times New Roman" w:cs="Times New Roman"/>
                <w:szCs w:val="24"/>
              </w:rPr>
              <w:t>(</w:t>
            </w:r>
            <w:r w:rsidR="00F46CA5">
              <w:rPr>
                <w:rFonts w:eastAsia="Times New Roman" w:cs="Times New Roman"/>
                <w:szCs w:val="24"/>
                <w:lang w:val="en-US"/>
              </w:rPr>
              <w:t>n=20</w:t>
            </w:r>
            <w:r w:rsidR="00F46CA5">
              <w:rPr>
                <w:rFonts w:eastAsia="Times New Roman" w:cs="Times New Roman"/>
                <w:szCs w:val="24"/>
              </w:rPr>
              <w:t>)</w:t>
            </w:r>
          </w:p>
        </w:tc>
        <w:tc>
          <w:tcPr>
            <w:tcW w:w="500" w:type="pct"/>
          </w:tcPr>
          <w:p w:rsidR="0030517B" w:rsidRDefault="0030517B" w:rsidP="00E1448E">
            <w:pPr>
              <w:spacing w:after="0"/>
              <w:ind w:right="-87"/>
              <w:jc w:val="center"/>
              <w:rPr>
                <w:rFonts w:eastAsia="Times New Roman" w:cs="Times New Roman"/>
                <w:szCs w:val="24"/>
                <w:lang w:val="en-US"/>
              </w:rPr>
            </w:pPr>
            <w:r w:rsidRPr="00CA099F">
              <w:rPr>
                <w:rFonts w:eastAsia="Times New Roman" w:cs="Times New Roman"/>
                <w:szCs w:val="24"/>
              </w:rPr>
              <w:t>1 група</w:t>
            </w:r>
          </w:p>
          <w:p w:rsidR="00F46CA5" w:rsidRPr="00F46CA5" w:rsidRDefault="00F46CA5" w:rsidP="00E1448E">
            <w:pPr>
              <w:spacing w:after="0"/>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DC5C24">
        <w:tc>
          <w:tcPr>
            <w:tcW w:w="658" w:type="pct"/>
          </w:tcPr>
          <w:p w:rsidR="0030517B" w:rsidRPr="00CA099F" w:rsidRDefault="0030517B" w:rsidP="00716654">
            <w:pPr>
              <w:spacing w:after="0"/>
              <w:ind w:right="-118"/>
              <w:jc w:val="center"/>
              <w:rPr>
                <w:rFonts w:eastAsia="Times New Roman" w:cs="Times New Roman"/>
                <w:szCs w:val="28"/>
              </w:rPr>
            </w:pPr>
            <w:r w:rsidRPr="00716654">
              <w:rPr>
                <w:rFonts w:eastAsia="Times New Roman" w:cs="Times New Roman"/>
                <w:sz w:val="28"/>
                <w:szCs w:val="28"/>
              </w:rPr>
              <w:t>ГПЛ, ум.од./</w:t>
            </w:r>
            <w:r w:rsidR="00F46CA5" w:rsidRPr="00716654">
              <w:rPr>
                <w:rFonts w:eastAsia="Times New Roman" w:cs="Times New Roman"/>
                <w:sz w:val="28"/>
                <w:szCs w:val="28"/>
              </w:rPr>
              <w:t>к</w:t>
            </w:r>
            <w:r w:rsidR="00716654" w:rsidRPr="00716654">
              <w:rPr>
                <w:rFonts w:eastAsia="Times New Roman" w:cs="Times New Roman"/>
                <w:sz w:val="28"/>
                <w:szCs w:val="28"/>
              </w:rPr>
              <w:t>г</w:t>
            </w:r>
          </w:p>
        </w:tc>
        <w:tc>
          <w:tcPr>
            <w:tcW w:w="583"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6,14±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0,13</w:t>
            </w:r>
          </w:p>
        </w:tc>
        <w:tc>
          <w:tcPr>
            <w:tcW w:w="441"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4,50±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0,10*</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4,26±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0,09</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3,61±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0,13*</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3,52±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3,27±</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0,09*</w:t>
            </w:r>
          </w:p>
        </w:tc>
        <w:tc>
          <w:tcPr>
            <w:tcW w:w="53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3,23±</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0,12</w:t>
            </w:r>
          </w:p>
        </w:tc>
        <w:tc>
          <w:tcPr>
            <w:tcW w:w="50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3,16±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p>
        </w:tc>
        <w:tc>
          <w:tcPr>
            <w:tcW w:w="583" w:type="pct"/>
          </w:tcPr>
          <w:p w:rsidR="0030517B" w:rsidRPr="00CA099F" w:rsidRDefault="0030517B" w:rsidP="00E1448E">
            <w:pPr>
              <w:spacing w:after="0"/>
              <w:jc w:val="center"/>
              <w:rPr>
                <w:rFonts w:eastAsia="Times New Roman" w:cs="Times New Roman"/>
                <w:szCs w:val="28"/>
              </w:rPr>
            </w:pPr>
          </w:p>
        </w:tc>
        <w:tc>
          <w:tcPr>
            <w:tcW w:w="441" w:type="pct"/>
          </w:tcPr>
          <w:p w:rsidR="0030517B" w:rsidRPr="00CA099F" w:rsidRDefault="0030517B" w:rsidP="00DC5C24">
            <w:pPr>
              <w:spacing w:after="0"/>
              <w:ind w:left="-85" w:right="-131"/>
              <w:jc w:val="center"/>
              <w:rPr>
                <w:rFonts w:eastAsia="Times New Roman" w:cs="Times New Roman"/>
                <w:szCs w:val="28"/>
              </w:rPr>
            </w:pPr>
          </w:p>
        </w:tc>
        <w:tc>
          <w:tcPr>
            <w:tcW w:w="582" w:type="pct"/>
          </w:tcPr>
          <w:p w:rsidR="0030517B" w:rsidRPr="00CA099F" w:rsidRDefault="0030517B" w:rsidP="00DC5C24">
            <w:pPr>
              <w:spacing w:after="0"/>
              <w:ind w:left="-85" w:right="-131"/>
              <w:jc w:val="center"/>
              <w:rPr>
                <w:rFonts w:eastAsia="Times New Roman" w:cs="Times New Roman"/>
                <w:szCs w:val="28"/>
              </w:rPr>
            </w:pPr>
          </w:p>
        </w:tc>
        <w:tc>
          <w:tcPr>
            <w:tcW w:w="560" w:type="pct"/>
          </w:tcPr>
          <w:p w:rsidR="0030517B" w:rsidRPr="00CA099F" w:rsidRDefault="0030517B" w:rsidP="00DC5C24">
            <w:pPr>
              <w:spacing w:after="0"/>
              <w:ind w:left="-85" w:right="-131"/>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2" w:type="pct"/>
          </w:tcPr>
          <w:p w:rsidR="0030517B" w:rsidRPr="00CA099F" w:rsidRDefault="0030517B" w:rsidP="00DC5C24">
            <w:pPr>
              <w:spacing w:after="0"/>
              <w:ind w:left="-85" w:right="-131"/>
              <w:jc w:val="center"/>
              <w:rPr>
                <w:rFonts w:eastAsia="Times New Roman" w:cs="Times New Roman"/>
                <w:szCs w:val="28"/>
              </w:rPr>
            </w:pPr>
          </w:p>
        </w:tc>
        <w:tc>
          <w:tcPr>
            <w:tcW w:w="560" w:type="pct"/>
          </w:tcPr>
          <w:p w:rsidR="0030517B" w:rsidRPr="00CA099F" w:rsidRDefault="0030517B" w:rsidP="00DC5C24">
            <w:pPr>
              <w:spacing w:after="0"/>
              <w:ind w:left="-85" w:right="-131"/>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2" w:type="pct"/>
          </w:tcPr>
          <w:p w:rsidR="0030517B" w:rsidRPr="00CA099F" w:rsidRDefault="0030517B" w:rsidP="00DC5C24">
            <w:pPr>
              <w:spacing w:after="0"/>
              <w:ind w:left="-85" w:right="-131"/>
              <w:jc w:val="center"/>
              <w:rPr>
                <w:rFonts w:eastAsia="Times New Roman" w:cs="Times New Roman"/>
                <w:szCs w:val="28"/>
              </w:rPr>
            </w:pPr>
          </w:p>
        </w:tc>
        <w:tc>
          <w:tcPr>
            <w:tcW w:w="500" w:type="pct"/>
          </w:tcPr>
          <w:p w:rsidR="0030517B" w:rsidRPr="00CA099F" w:rsidRDefault="0030517B" w:rsidP="00DC5C24">
            <w:pPr>
              <w:spacing w:after="0"/>
              <w:ind w:left="-85" w:right="-131"/>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ДК, ум.од./кг</w:t>
            </w:r>
          </w:p>
        </w:tc>
        <w:tc>
          <w:tcPr>
            <w:tcW w:w="583"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4,49±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c>
          <w:tcPr>
            <w:tcW w:w="441"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3,41±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3,24±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0,02</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2,24±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3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2,29±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0,02</w:t>
            </w:r>
          </w:p>
        </w:tc>
        <w:tc>
          <w:tcPr>
            <w:tcW w:w="50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2,15±</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p>
        </w:tc>
        <w:tc>
          <w:tcPr>
            <w:tcW w:w="583" w:type="pct"/>
          </w:tcPr>
          <w:p w:rsidR="0030517B" w:rsidRPr="00CA099F" w:rsidRDefault="0030517B" w:rsidP="00E1448E">
            <w:pPr>
              <w:spacing w:after="0"/>
              <w:jc w:val="center"/>
              <w:rPr>
                <w:rFonts w:eastAsia="Times New Roman" w:cs="Times New Roman"/>
                <w:szCs w:val="28"/>
              </w:rPr>
            </w:pPr>
          </w:p>
        </w:tc>
        <w:tc>
          <w:tcPr>
            <w:tcW w:w="441" w:type="pct"/>
          </w:tcPr>
          <w:p w:rsidR="0030517B" w:rsidRPr="00CA099F" w:rsidRDefault="0030517B" w:rsidP="00E1448E">
            <w:pPr>
              <w:spacing w:after="0"/>
              <w:jc w:val="center"/>
              <w:rPr>
                <w:rFonts w:eastAsia="Times New Roman" w:cs="Times New Roman"/>
                <w:szCs w:val="28"/>
              </w:rPr>
            </w:pPr>
          </w:p>
        </w:tc>
        <w:tc>
          <w:tcPr>
            <w:tcW w:w="582" w:type="pct"/>
          </w:tcPr>
          <w:p w:rsidR="0030517B" w:rsidRPr="00CA099F" w:rsidRDefault="0030517B" w:rsidP="00E1448E">
            <w:pPr>
              <w:spacing w:after="0"/>
              <w:jc w:val="center"/>
              <w:rPr>
                <w:rFonts w:eastAsia="Times New Roman" w:cs="Times New Roman"/>
                <w:szCs w:val="28"/>
              </w:rPr>
            </w:pPr>
          </w:p>
        </w:tc>
        <w:tc>
          <w:tcPr>
            <w:tcW w:w="560" w:type="pct"/>
          </w:tcPr>
          <w:p w:rsidR="0030517B" w:rsidRPr="00CA099F" w:rsidRDefault="0030517B" w:rsidP="003B7FCB">
            <w:pPr>
              <w:spacing w:after="0"/>
              <w:ind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2" w:type="pct"/>
          </w:tcPr>
          <w:p w:rsidR="0030517B" w:rsidRPr="00CA099F" w:rsidRDefault="0030517B" w:rsidP="003B7FCB">
            <w:pPr>
              <w:spacing w:after="0"/>
              <w:ind w:right="-170"/>
              <w:jc w:val="center"/>
              <w:rPr>
                <w:rFonts w:eastAsia="Times New Roman" w:cs="Times New Roman"/>
                <w:szCs w:val="28"/>
              </w:rPr>
            </w:pPr>
          </w:p>
        </w:tc>
        <w:tc>
          <w:tcPr>
            <w:tcW w:w="560" w:type="pct"/>
          </w:tcPr>
          <w:p w:rsidR="0030517B" w:rsidRPr="00CA099F" w:rsidRDefault="0030517B" w:rsidP="003B7FCB">
            <w:pPr>
              <w:spacing w:after="0"/>
              <w:ind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2" w:type="pct"/>
          </w:tcPr>
          <w:p w:rsidR="0030517B" w:rsidRPr="00CA099F" w:rsidRDefault="0030517B" w:rsidP="003B7FCB">
            <w:pPr>
              <w:spacing w:after="0"/>
              <w:ind w:right="-170"/>
              <w:jc w:val="center"/>
              <w:rPr>
                <w:rFonts w:eastAsia="Times New Roman" w:cs="Times New Roman"/>
                <w:szCs w:val="28"/>
              </w:rPr>
            </w:pPr>
          </w:p>
        </w:tc>
        <w:tc>
          <w:tcPr>
            <w:tcW w:w="500" w:type="pct"/>
          </w:tcPr>
          <w:p w:rsidR="0030517B" w:rsidRPr="00CA099F" w:rsidRDefault="0030517B" w:rsidP="00DC5C24">
            <w:pPr>
              <w:spacing w:after="0"/>
              <w:ind w:left="-62"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ТК, ум.од./кг</w:t>
            </w:r>
          </w:p>
        </w:tc>
        <w:tc>
          <w:tcPr>
            <w:tcW w:w="583"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4,56±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0,10</w:t>
            </w:r>
          </w:p>
        </w:tc>
        <w:tc>
          <w:tcPr>
            <w:tcW w:w="441"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3,79±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3,43±</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2,68±</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2,32±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3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2,42±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0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2,21±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p>
        </w:tc>
        <w:tc>
          <w:tcPr>
            <w:tcW w:w="583" w:type="pct"/>
          </w:tcPr>
          <w:p w:rsidR="0030517B" w:rsidRPr="00CA099F" w:rsidRDefault="0030517B" w:rsidP="00E1448E">
            <w:pPr>
              <w:spacing w:after="0"/>
              <w:jc w:val="center"/>
              <w:rPr>
                <w:rFonts w:eastAsia="Times New Roman" w:cs="Times New Roman"/>
                <w:szCs w:val="28"/>
              </w:rPr>
            </w:pPr>
          </w:p>
        </w:tc>
        <w:tc>
          <w:tcPr>
            <w:tcW w:w="441" w:type="pct"/>
          </w:tcPr>
          <w:p w:rsidR="0030517B" w:rsidRPr="00CA099F" w:rsidRDefault="0030517B" w:rsidP="00E1448E">
            <w:pPr>
              <w:spacing w:after="0"/>
              <w:jc w:val="center"/>
              <w:rPr>
                <w:rFonts w:eastAsia="Times New Roman" w:cs="Times New Roman"/>
                <w:szCs w:val="28"/>
              </w:rPr>
            </w:pPr>
          </w:p>
        </w:tc>
        <w:tc>
          <w:tcPr>
            <w:tcW w:w="582" w:type="pct"/>
          </w:tcPr>
          <w:p w:rsidR="0030517B" w:rsidRPr="00CA099F" w:rsidRDefault="0030517B" w:rsidP="00E1448E">
            <w:pPr>
              <w:spacing w:after="0"/>
              <w:jc w:val="center"/>
              <w:rPr>
                <w:rFonts w:eastAsia="Times New Roman" w:cs="Times New Roman"/>
                <w:szCs w:val="28"/>
              </w:rPr>
            </w:pPr>
          </w:p>
        </w:tc>
        <w:tc>
          <w:tcPr>
            <w:tcW w:w="560" w:type="pct"/>
          </w:tcPr>
          <w:p w:rsidR="0030517B" w:rsidRPr="00CA099F" w:rsidRDefault="0030517B" w:rsidP="00DC5C24">
            <w:pPr>
              <w:spacing w:after="0"/>
              <w:ind w:left="-61"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2" w:type="pct"/>
          </w:tcPr>
          <w:p w:rsidR="0030517B" w:rsidRPr="00CA099F" w:rsidRDefault="0030517B" w:rsidP="00DC5C24">
            <w:pPr>
              <w:spacing w:after="0"/>
              <w:ind w:left="-61" w:right="-170"/>
              <w:jc w:val="center"/>
              <w:rPr>
                <w:rFonts w:eastAsia="Times New Roman" w:cs="Times New Roman"/>
                <w:szCs w:val="28"/>
              </w:rPr>
            </w:pPr>
          </w:p>
        </w:tc>
        <w:tc>
          <w:tcPr>
            <w:tcW w:w="560" w:type="pct"/>
          </w:tcPr>
          <w:p w:rsidR="0030517B" w:rsidRPr="00CA099F" w:rsidRDefault="0030517B" w:rsidP="00DC5C24">
            <w:pPr>
              <w:spacing w:after="0"/>
              <w:ind w:left="-61"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2" w:type="pct"/>
          </w:tcPr>
          <w:p w:rsidR="0030517B" w:rsidRPr="00CA099F" w:rsidRDefault="0030517B" w:rsidP="00DC5C24">
            <w:pPr>
              <w:spacing w:after="0"/>
              <w:ind w:left="-61" w:right="-170"/>
              <w:jc w:val="center"/>
              <w:rPr>
                <w:rFonts w:eastAsia="Times New Roman" w:cs="Times New Roman"/>
                <w:szCs w:val="28"/>
              </w:rPr>
            </w:pPr>
          </w:p>
        </w:tc>
        <w:tc>
          <w:tcPr>
            <w:tcW w:w="500" w:type="pct"/>
          </w:tcPr>
          <w:p w:rsidR="0030517B" w:rsidRPr="00CA099F" w:rsidRDefault="0030517B" w:rsidP="00DC5C24">
            <w:pPr>
              <w:spacing w:after="0"/>
              <w:ind w:left="-61" w:right="-17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DC5C24">
        <w:tc>
          <w:tcPr>
            <w:tcW w:w="658" w:type="pct"/>
          </w:tcPr>
          <w:p w:rsidR="0030517B" w:rsidRPr="00CA099F" w:rsidRDefault="0030517B" w:rsidP="00065B03">
            <w:pPr>
              <w:spacing w:after="0"/>
              <w:ind w:right="-118"/>
              <w:jc w:val="center"/>
              <w:rPr>
                <w:rFonts w:eastAsia="Times New Roman" w:cs="Times New Roman"/>
                <w:szCs w:val="28"/>
              </w:rPr>
            </w:pPr>
            <w:r w:rsidRPr="00CA099F">
              <w:rPr>
                <w:rFonts w:eastAsia="Times New Roman" w:cs="Times New Roman"/>
                <w:sz w:val="28"/>
                <w:szCs w:val="28"/>
              </w:rPr>
              <w:t>ТБК-АП, ммоль/кг</w:t>
            </w:r>
          </w:p>
        </w:tc>
        <w:tc>
          <w:tcPr>
            <w:tcW w:w="583"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4,63±</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p w:rsidR="0030517B" w:rsidRPr="00CA099F" w:rsidRDefault="0030517B" w:rsidP="00E1448E">
            <w:pPr>
              <w:spacing w:after="0"/>
              <w:jc w:val="center"/>
              <w:rPr>
                <w:rFonts w:eastAsia="Times New Roman" w:cs="Times New Roman"/>
                <w:szCs w:val="28"/>
              </w:rPr>
            </w:pPr>
          </w:p>
        </w:tc>
        <w:tc>
          <w:tcPr>
            <w:tcW w:w="441"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3,81±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3,70±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2,86±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8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2,79±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6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2,65±</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c>
          <w:tcPr>
            <w:tcW w:w="53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2,64±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0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2,56±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r>
      <w:tr w:rsidR="0030517B" w:rsidRPr="00CA099F" w:rsidTr="00DC5C24">
        <w:tc>
          <w:tcPr>
            <w:tcW w:w="658" w:type="pct"/>
          </w:tcPr>
          <w:p w:rsidR="0030517B" w:rsidRPr="00CA099F" w:rsidRDefault="0030517B" w:rsidP="00E1448E">
            <w:pPr>
              <w:spacing w:after="0"/>
              <w:jc w:val="center"/>
              <w:rPr>
                <w:rFonts w:eastAsia="Times New Roman" w:cs="Times New Roman"/>
                <w:szCs w:val="28"/>
              </w:rPr>
            </w:pPr>
          </w:p>
        </w:tc>
        <w:tc>
          <w:tcPr>
            <w:tcW w:w="583" w:type="pct"/>
          </w:tcPr>
          <w:p w:rsidR="0030517B" w:rsidRPr="00CA099F" w:rsidRDefault="0030517B" w:rsidP="00E1448E">
            <w:pPr>
              <w:spacing w:after="0"/>
              <w:jc w:val="center"/>
              <w:rPr>
                <w:rFonts w:eastAsia="Times New Roman" w:cs="Times New Roman"/>
                <w:szCs w:val="28"/>
              </w:rPr>
            </w:pPr>
          </w:p>
        </w:tc>
        <w:tc>
          <w:tcPr>
            <w:tcW w:w="441" w:type="pct"/>
          </w:tcPr>
          <w:p w:rsidR="0030517B" w:rsidRPr="00CA099F" w:rsidRDefault="0030517B" w:rsidP="00E1448E">
            <w:pPr>
              <w:spacing w:after="0"/>
              <w:jc w:val="center"/>
              <w:rPr>
                <w:rFonts w:eastAsia="Times New Roman" w:cs="Times New Roman"/>
                <w:szCs w:val="28"/>
              </w:rPr>
            </w:pPr>
          </w:p>
        </w:tc>
        <w:tc>
          <w:tcPr>
            <w:tcW w:w="582" w:type="pct"/>
          </w:tcPr>
          <w:p w:rsidR="0030517B" w:rsidRPr="00CA099F" w:rsidRDefault="0030517B" w:rsidP="00E1448E">
            <w:pPr>
              <w:spacing w:after="0"/>
              <w:jc w:val="center"/>
              <w:rPr>
                <w:rFonts w:eastAsia="Times New Roman" w:cs="Times New Roman"/>
                <w:szCs w:val="28"/>
              </w:rPr>
            </w:pPr>
          </w:p>
        </w:tc>
        <w:tc>
          <w:tcPr>
            <w:tcW w:w="560" w:type="pct"/>
          </w:tcPr>
          <w:p w:rsidR="0030517B" w:rsidRPr="00CA099F" w:rsidRDefault="0030517B" w:rsidP="001C5630">
            <w:pPr>
              <w:spacing w:after="0"/>
              <w:ind w:right="-53"/>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2" w:type="pct"/>
          </w:tcPr>
          <w:p w:rsidR="0030517B" w:rsidRPr="00CA099F" w:rsidRDefault="0030517B" w:rsidP="001C5630">
            <w:pPr>
              <w:spacing w:after="0"/>
              <w:ind w:right="-53"/>
              <w:jc w:val="center"/>
              <w:rPr>
                <w:rFonts w:eastAsia="Times New Roman" w:cs="Times New Roman"/>
                <w:szCs w:val="28"/>
              </w:rPr>
            </w:pPr>
          </w:p>
        </w:tc>
        <w:tc>
          <w:tcPr>
            <w:tcW w:w="560" w:type="pct"/>
          </w:tcPr>
          <w:p w:rsidR="0030517B" w:rsidRPr="00CA099F" w:rsidRDefault="0030517B" w:rsidP="001C5630">
            <w:pPr>
              <w:spacing w:after="0"/>
              <w:ind w:right="-53"/>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2" w:type="pct"/>
          </w:tcPr>
          <w:p w:rsidR="0030517B" w:rsidRPr="00CA099F" w:rsidRDefault="0030517B" w:rsidP="00E1448E">
            <w:pPr>
              <w:spacing w:after="0"/>
              <w:jc w:val="center"/>
              <w:rPr>
                <w:rFonts w:eastAsia="Times New Roman" w:cs="Times New Roman"/>
                <w:szCs w:val="28"/>
              </w:rPr>
            </w:pPr>
          </w:p>
        </w:tc>
        <w:tc>
          <w:tcPr>
            <w:tcW w:w="500" w:type="pct"/>
          </w:tcPr>
          <w:p w:rsidR="0030517B" w:rsidRPr="00CA099F" w:rsidRDefault="0030517B" w:rsidP="00E1448E">
            <w:pPr>
              <w:spacing w:after="0"/>
              <w:jc w:val="center"/>
              <w:rPr>
                <w:rFonts w:eastAsia="Times New Roman" w:cs="Times New Roman"/>
                <w:szCs w:val="28"/>
              </w:rPr>
            </w:pPr>
          </w:p>
        </w:tc>
      </w:tr>
      <w:tr w:rsidR="0030517B" w:rsidRPr="00CA099F" w:rsidTr="00DC5C24">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30517B" w:rsidRPr="00CA099F" w:rsidRDefault="0030517B" w:rsidP="0030517B">
      <w:pPr>
        <w:spacing w:after="0"/>
        <w:jc w:val="both"/>
        <w:rPr>
          <w:rFonts w:eastAsia="Times New Roman" w:cs="Times New Roman"/>
          <w:sz w:val="28"/>
          <w:szCs w:val="28"/>
        </w:rPr>
      </w:pP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lang w:val="ru-RU"/>
        </w:rPr>
        <w:tab/>
      </w:r>
      <w:r w:rsidR="0030517B" w:rsidRPr="00CA099F">
        <w:rPr>
          <w:rFonts w:eastAsia="Times New Roman" w:cs="Times New Roman"/>
          <w:sz w:val="28"/>
          <w:szCs w:val="28"/>
        </w:rPr>
        <w:t xml:space="preserve">Встановлено, що у пацієнтів, яким під час оперативного втручання введено PRF-згусток, а на післяопераційному етапі було застосовано </w:t>
      </w:r>
      <w:r w:rsidR="001B1A4E">
        <w:rPr>
          <w:rFonts w:eastAsia="Times New Roman" w:cs="Times New Roman"/>
          <w:sz w:val="28"/>
          <w:szCs w:val="28"/>
        </w:rPr>
        <w:t>церулоплазмін</w:t>
      </w:r>
      <w:r w:rsidR="0030517B" w:rsidRPr="00CA099F">
        <w:rPr>
          <w:rFonts w:eastAsia="Times New Roman" w:cs="Times New Roman"/>
          <w:sz w:val="28"/>
          <w:szCs w:val="28"/>
        </w:rPr>
        <w:t xml:space="preserve">, концентрація ГПЛ через 3 місяці спостереження була </w:t>
      </w:r>
      <w:r w:rsidR="0030517B" w:rsidRPr="00CA099F">
        <w:rPr>
          <w:rFonts w:eastAsia="Times New Roman" w:cs="Times New Roman"/>
          <w:sz w:val="28"/>
          <w:szCs w:val="28"/>
        </w:rPr>
        <w:lastRenderedPageBreak/>
        <w:t>достовірно меншою на 39,0 % , через 6</w:t>
      </w:r>
      <w:r w:rsidR="004E3904">
        <w:rPr>
          <w:rFonts w:eastAsia="Times New Roman" w:cs="Times New Roman"/>
          <w:sz w:val="28"/>
          <w:szCs w:val="28"/>
        </w:rPr>
        <w:t xml:space="preserve"> </w:t>
      </w:r>
      <w:r w:rsidR="0030517B" w:rsidRPr="00CA099F">
        <w:rPr>
          <w:rFonts w:eastAsia="Times New Roman" w:cs="Times New Roman"/>
          <w:sz w:val="28"/>
          <w:szCs w:val="28"/>
        </w:rPr>
        <w:t>– на 19,7 % і через 9 – на 9,2 %, стосовно даних 3-ої групи. У пацієнтів 2-ої і 3-ої груп через 12 місяців спостереження концентрація ГПЛ практично не відрізнялася.</w:t>
      </w: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lang w:val="ru-RU"/>
        </w:rPr>
        <w:tab/>
      </w:r>
      <w:r w:rsidR="0030517B" w:rsidRPr="00CA099F">
        <w:rPr>
          <w:rFonts w:eastAsia="Times New Roman" w:cs="Times New Roman"/>
          <w:sz w:val="28"/>
          <w:szCs w:val="28"/>
        </w:rPr>
        <w:t>Слід зазначити, що рівень досліджуваного показника змінювався впродовж терміну спостереження. Так, у пацієнтів другої групи через 6 місяців концентрація ГПЛ була на 8,6 % нижча (</w:t>
      </w:r>
      <w:r w:rsidR="0030517B" w:rsidRPr="00CA099F">
        <w:rPr>
          <w:rFonts w:eastAsia="Times New Roman" w:cs="Times New Roman"/>
          <w:color w:val="000000"/>
          <w:sz w:val="28"/>
          <w:szCs w:val="28"/>
        </w:rPr>
        <w:t>р&lt;0,01)</w:t>
      </w:r>
      <w:r w:rsidR="0030517B" w:rsidRPr="00CA099F">
        <w:rPr>
          <w:rFonts w:eastAsia="Times New Roman" w:cs="Times New Roman"/>
          <w:sz w:val="28"/>
          <w:szCs w:val="28"/>
        </w:rPr>
        <w:t>, стосовно даних попереднього терміну спостереження, відповідно, через 9 місяців рівень досліджуваної величини був менший на 6,7 % (</w:t>
      </w:r>
      <w:r w:rsidR="0030517B" w:rsidRPr="00CA099F">
        <w:rPr>
          <w:rFonts w:eastAsia="Times New Roman" w:cs="Times New Roman"/>
          <w:color w:val="000000"/>
          <w:sz w:val="28"/>
          <w:szCs w:val="28"/>
        </w:rPr>
        <w:t>р&lt;0,01)</w:t>
      </w:r>
      <w:r w:rsidR="0030517B" w:rsidRPr="00CA099F">
        <w:rPr>
          <w:rFonts w:eastAsia="Times New Roman" w:cs="Times New Roman"/>
          <w:sz w:val="28"/>
          <w:szCs w:val="28"/>
        </w:rPr>
        <w:t xml:space="preserve">, тоді як через 12 </w:t>
      </w:r>
      <w:r w:rsidR="004E3904">
        <w:rPr>
          <w:rFonts w:eastAsia="Times New Roman" w:cs="Times New Roman"/>
          <w:sz w:val="28"/>
          <w:szCs w:val="28"/>
        </w:rPr>
        <w:t xml:space="preserve">– </w:t>
      </w:r>
      <w:r w:rsidR="0030517B" w:rsidRPr="00CA099F">
        <w:rPr>
          <w:rFonts w:eastAsia="Times New Roman" w:cs="Times New Roman"/>
          <w:sz w:val="28"/>
          <w:szCs w:val="28"/>
        </w:rPr>
        <w:t xml:space="preserve">концентрація ГПЛ у першій і третій групах була практично однакова. </w:t>
      </w:r>
    </w:p>
    <w:p w:rsidR="0030517B" w:rsidRPr="00CA099F" w:rsidRDefault="0030517B" w:rsidP="004E3904">
      <w:pPr>
        <w:spacing w:after="0" w:line="360" w:lineRule="auto"/>
        <w:ind w:firstLine="709"/>
        <w:jc w:val="both"/>
        <w:rPr>
          <w:rFonts w:eastAsia="Times New Roman" w:cs="Times New Roman"/>
          <w:sz w:val="28"/>
          <w:szCs w:val="28"/>
        </w:rPr>
      </w:pPr>
      <w:r w:rsidRPr="00CA099F">
        <w:rPr>
          <w:rFonts w:eastAsia="Times New Roman" w:cs="Times New Roman"/>
          <w:sz w:val="28"/>
          <w:szCs w:val="28"/>
        </w:rPr>
        <w:t>У пацієнтів другої групи, яким під час оперативного втручання введено PRF-згусток, а на післяопераційному етапі було застос</w:t>
      </w:r>
      <w:r w:rsidR="001B1A4E">
        <w:rPr>
          <w:rFonts w:eastAsia="Times New Roman" w:cs="Times New Roman"/>
          <w:sz w:val="28"/>
          <w:szCs w:val="28"/>
        </w:rPr>
        <w:t>овано церулоплазмін</w:t>
      </w:r>
      <w:r w:rsidRPr="00CA099F">
        <w:rPr>
          <w:rFonts w:eastAsia="Times New Roman" w:cs="Times New Roman"/>
          <w:sz w:val="28"/>
          <w:szCs w:val="28"/>
        </w:rPr>
        <w:t>, концентрація ДК через 3 місяці спостереження була достові</w:t>
      </w:r>
      <w:r w:rsidR="004E3904">
        <w:rPr>
          <w:rFonts w:eastAsia="Times New Roman" w:cs="Times New Roman"/>
          <w:sz w:val="28"/>
          <w:szCs w:val="28"/>
        </w:rPr>
        <w:t>рно меншою на 38,6 % , через 6</w:t>
      </w:r>
      <w:r w:rsidRPr="00CA099F">
        <w:rPr>
          <w:rFonts w:eastAsia="Times New Roman" w:cs="Times New Roman"/>
          <w:sz w:val="28"/>
          <w:szCs w:val="28"/>
        </w:rPr>
        <w:t xml:space="preserve"> – на 25,3 % і через 9</w:t>
      </w:r>
      <w:r w:rsidR="004E3904">
        <w:rPr>
          <w:rFonts w:eastAsia="Times New Roman" w:cs="Times New Roman"/>
          <w:sz w:val="28"/>
          <w:szCs w:val="28"/>
        </w:rPr>
        <w:t xml:space="preserve"> </w:t>
      </w:r>
      <w:r w:rsidRPr="00CA099F">
        <w:rPr>
          <w:rFonts w:eastAsia="Times New Roman" w:cs="Times New Roman"/>
          <w:sz w:val="28"/>
          <w:szCs w:val="28"/>
        </w:rPr>
        <w:t xml:space="preserve">– на 13,0 %, стосовно даних третьої групи. У пацієнтів 2-ої і 3-ої груп через 12 місяців спостереження концентрація ДК практично не відрізнялася. </w:t>
      </w: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lang w:val="ru-RU"/>
        </w:rPr>
        <w:tab/>
      </w:r>
      <w:r w:rsidR="0030517B" w:rsidRPr="00CA099F">
        <w:rPr>
          <w:rFonts w:eastAsia="Times New Roman" w:cs="Times New Roman"/>
          <w:sz w:val="28"/>
          <w:szCs w:val="28"/>
        </w:rPr>
        <w:t xml:space="preserve">Звертає на себе увагу, що рівень досліджуваного показника змінювався впродовж 9 місяців спостереження. Так, у пацієнтів, яким під час оперативного втручання введено PRF-згусток, а на післяопераційному етапі було застосовано препарат </w:t>
      </w:r>
      <w:r w:rsidR="001B1A4E">
        <w:rPr>
          <w:rFonts w:eastAsia="Times New Roman" w:cs="Times New Roman"/>
          <w:sz w:val="28"/>
          <w:szCs w:val="28"/>
        </w:rPr>
        <w:t>церулоплазмін</w:t>
      </w:r>
      <w:r w:rsidR="0030517B" w:rsidRPr="00CA099F">
        <w:rPr>
          <w:rFonts w:eastAsia="Times New Roman" w:cs="Times New Roman"/>
          <w:sz w:val="28"/>
          <w:szCs w:val="28"/>
        </w:rPr>
        <w:t>, через 6 місяців концентрація ДК була на 12,4 % нижча, стосовно даних попереднього терміну спостереження, відповідно, через 9 місяців рівень досліджув</w:t>
      </w:r>
      <w:r w:rsidR="00E80214">
        <w:rPr>
          <w:rFonts w:eastAsia="Times New Roman" w:cs="Times New Roman"/>
          <w:sz w:val="28"/>
          <w:szCs w:val="28"/>
        </w:rPr>
        <w:t>аної величини був менший на 6,6 </w:t>
      </w:r>
      <w:r w:rsidR="0030517B" w:rsidRPr="00CA099F">
        <w:rPr>
          <w:rFonts w:eastAsia="Times New Roman" w:cs="Times New Roman"/>
          <w:sz w:val="28"/>
          <w:szCs w:val="28"/>
        </w:rPr>
        <w:t>% (</w:t>
      </w:r>
      <w:r w:rsidR="0030517B" w:rsidRPr="00CA099F">
        <w:rPr>
          <w:rFonts w:eastAsia="Times New Roman" w:cs="Times New Roman"/>
          <w:color w:val="000000"/>
          <w:sz w:val="28"/>
          <w:szCs w:val="28"/>
        </w:rPr>
        <w:t xml:space="preserve">р&lt;0,01). </w:t>
      </w:r>
      <w:r w:rsidR="0030517B" w:rsidRPr="00CA099F">
        <w:rPr>
          <w:rFonts w:eastAsia="Times New Roman" w:cs="Times New Roman"/>
          <w:sz w:val="28"/>
          <w:szCs w:val="28"/>
        </w:rPr>
        <w:t>Така ж тенденція відмічена щодо змін концентрації ТК у гомогенаті шкіри пацієнтів другої і третьої груп у різні терміни спостереження (табл. 5.2).</w:t>
      </w: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rPr>
        <w:tab/>
      </w:r>
      <w:r w:rsidR="0030517B" w:rsidRPr="00CA099F">
        <w:rPr>
          <w:rFonts w:eastAsia="Times New Roman" w:cs="Times New Roman"/>
          <w:sz w:val="28"/>
          <w:szCs w:val="28"/>
        </w:rPr>
        <w:t>Аналіз рівня ТБК-активних продуктів у шкірі пацієнтів другої групи показав, що концентрація ТБК-АП через 3 місяці спостереження достовірно зменшувалася на 35,1 %, через 6 – на 27,7 % і через 9</w:t>
      </w:r>
      <w:r w:rsidR="00E80214">
        <w:rPr>
          <w:rFonts w:eastAsia="Times New Roman" w:cs="Times New Roman"/>
          <w:sz w:val="28"/>
          <w:szCs w:val="28"/>
        </w:rPr>
        <w:t xml:space="preserve"> </w:t>
      </w:r>
      <w:r w:rsidR="0030517B" w:rsidRPr="00CA099F">
        <w:rPr>
          <w:rFonts w:eastAsia="Times New Roman" w:cs="Times New Roman"/>
          <w:sz w:val="28"/>
          <w:szCs w:val="28"/>
        </w:rPr>
        <w:t xml:space="preserve">– 8,7 на %, стосовно даних третьої групи. У пацієнтів другої і третьої груп через 12 місяців спостереження концентрація ТБК-АП практично не відрізнялася (табл. 5.2). Нами встановлено, що рівень досліджуваного показника змінювався впродовж </w:t>
      </w:r>
      <w:r w:rsidR="0030517B" w:rsidRPr="00CA099F">
        <w:rPr>
          <w:rFonts w:eastAsia="Times New Roman" w:cs="Times New Roman"/>
          <w:sz w:val="28"/>
          <w:szCs w:val="28"/>
        </w:rPr>
        <w:lastRenderedPageBreak/>
        <w:t>терміну спостереження. Так, у пацієнтів, яким під час оперативного втручання введено PRF-згусток, а на післяопераційн</w:t>
      </w:r>
      <w:r w:rsidR="001B1A4E">
        <w:rPr>
          <w:rFonts w:eastAsia="Times New Roman" w:cs="Times New Roman"/>
          <w:sz w:val="28"/>
          <w:szCs w:val="28"/>
        </w:rPr>
        <w:t>ому етапі застосовано церулоплазмін</w:t>
      </w:r>
      <w:r w:rsidR="0030517B" w:rsidRPr="00CA099F">
        <w:rPr>
          <w:rFonts w:eastAsia="Times New Roman" w:cs="Times New Roman"/>
          <w:sz w:val="28"/>
          <w:szCs w:val="28"/>
        </w:rPr>
        <w:t>, через 6 місяців концентрація ТБК-АП була на 10,9 % нижча, стосовно даних попереднього терміну спостереження, відповідно, через 9 - на 3,1 % і через 12 місяців рівень досліджуваної величини практично не відрізнявся від даних третьої групи (табл. 5.2).</w:t>
      </w: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5.2</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вільнорадикального окиснення ліпідів у гомогенаті шкіри за умови використання PRF-згустка та церулоплазміну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94"/>
        <w:gridCol w:w="1139"/>
        <w:gridCol w:w="817"/>
        <w:gridCol w:w="1140"/>
        <w:gridCol w:w="979"/>
        <w:gridCol w:w="1140"/>
        <w:gridCol w:w="979"/>
        <w:gridCol w:w="1140"/>
        <w:gridCol w:w="817"/>
      </w:tblGrid>
      <w:tr w:rsidR="0030517B" w:rsidRPr="00CA099F" w:rsidTr="00E1448E">
        <w:tc>
          <w:tcPr>
            <w:tcW w:w="483" w:type="pct"/>
            <w:vMerge w:val="restart"/>
            <w:vAlign w:val="center"/>
          </w:tcPr>
          <w:p w:rsidR="0030517B" w:rsidRPr="00CA099F" w:rsidRDefault="0030517B" w:rsidP="00E1448E">
            <w:pPr>
              <w:spacing w:after="0" w:line="240" w:lineRule="auto"/>
              <w:jc w:val="center"/>
              <w:rPr>
                <w:rFonts w:eastAsia="Times New Roman" w:cs="Times New Roman"/>
                <w:szCs w:val="24"/>
              </w:rPr>
            </w:pPr>
            <w:r w:rsidRPr="00CA099F">
              <w:rPr>
                <w:rFonts w:eastAsia="Times New Roman" w:cs="Times New Roman"/>
                <w:szCs w:val="24"/>
              </w:rPr>
              <w:t>Показник</w:t>
            </w:r>
          </w:p>
        </w:tc>
        <w:tc>
          <w:tcPr>
            <w:tcW w:w="1132"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13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37"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11"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483" w:type="pct"/>
            <w:vMerge/>
          </w:tcPr>
          <w:p w:rsidR="0030517B" w:rsidRPr="00CA099F" w:rsidRDefault="0030517B" w:rsidP="00E1448E">
            <w:pPr>
              <w:spacing w:after="0" w:line="240" w:lineRule="auto"/>
              <w:jc w:val="center"/>
              <w:rPr>
                <w:rFonts w:eastAsia="Times New Roman" w:cs="Times New Roman"/>
                <w:szCs w:val="28"/>
              </w:rPr>
            </w:pPr>
          </w:p>
        </w:tc>
        <w:tc>
          <w:tcPr>
            <w:tcW w:w="565" w:type="pct"/>
          </w:tcPr>
          <w:p w:rsidR="00432A0D"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Група контролю</w:t>
            </w:r>
          </w:p>
          <w:p w:rsidR="0030517B" w:rsidRPr="00432A0D" w:rsidRDefault="00432A0D" w:rsidP="00E1448E">
            <w:pPr>
              <w:spacing w:after="0" w:line="240" w:lineRule="auto"/>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r>
              <w:rPr>
                <w:rFonts w:eastAsia="Times New Roman" w:cs="Times New Roman"/>
                <w:szCs w:val="24"/>
                <w:lang w:val="en-US"/>
              </w:rPr>
              <w:t xml:space="preserve"> </w:t>
            </w:r>
          </w:p>
        </w:tc>
        <w:tc>
          <w:tcPr>
            <w:tcW w:w="567" w:type="pct"/>
          </w:tcPr>
          <w:p w:rsidR="0030517B"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2 група</w:t>
            </w:r>
          </w:p>
          <w:p w:rsidR="00432A0D" w:rsidRPr="00432A0D" w:rsidRDefault="00432A0D" w:rsidP="00E1448E">
            <w:pPr>
              <w:spacing w:after="0" w:line="240" w:lineRule="auto"/>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6" w:type="pct"/>
          </w:tcPr>
          <w:p w:rsidR="0030517B" w:rsidRPr="00432A0D"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Група контролю</w:t>
            </w:r>
            <w:r w:rsidR="00432A0D">
              <w:rPr>
                <w:rFonts w:eastAsia="Times New Roman" w:cs="Times New Roman"/>
                <w:szCs w:val="24"/>
                <w:lang w:val="en-US"/>
              </w:rPr>
              <w:t xml:space="preserve"> </w:t>
            </w:r>
            <w:r w:rsidR="00432A0D">
              <w:rPr>
                <w:rFonts w:eastAsia="Times New Roman" w:cs="Times New Roman"/>
                <w:szCs w:val="24"/>
              </w:rPr>
              <w:t>(</w:t>
            </w:r>
            <w:r w:rsidR="00432A0D">
              <w:rPr>
                <w:rFonts w:eastAsia="Times New Roman" w:cs="Times New Roman"/>
                <w:szCs w:val="24"/>
                <w:lang w:val="en-US"/>
              </w:rPr>
              <w:t>n=20</w:t>
            </w:r>
            <w:r w:rsidR="00432A0D">
              <w:rPr>
                <w:rFonts w:eastAsia="Times New Roman" w:cs="Times New Roman"/>
                <w:szCs w:val="24"/>
              </w:rPr>
              <w:t>)</w:t>
            </w:r>
          </w:p>
        </w:tc>
        <w:tc>
          <w:tcPr>
            <w:tcW w:w="572" w:type="pct"/>
          </w:tcPr>
          <w:p w:rsidR="0030517B"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2 група</w:t>
            </w:r>
          </w:p>
          <w:p w:rsidR="00432A0D" w:rsidRPr="00432A0D" w:rsidRDefault="00432A0D" w:rsidP="00E1448E">
            <w:pPr>
              <w:spacing w:after="0" w:line="240" w:lineRule="auto"/>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5" w:type="pct"/>
          </w:tcPr>
          <w:p w:rsidR="0030517B" w:rsidRPr="00432A0D"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Група контролю</w:t>
            </w:r>
            <w:r w:rsidR="00432A0D">
              <w:rPr>
                <w:rFonts w:eastAsia="Times New Roman" w:cs="Times New Roman"/>
                <w:szCs w:val="24"/>
                <w:lang w:val="en-US"/>
              </w:rPr>
              <w:t xml:space="preserve"> </w:t>
            </w:r>
            <w:r w:rsidR="00432A0D">
              <w:rPr>
                <w:rFonts w:eastAsia="Times New Roman" w:cs="Times New Roman"/>
                <w:szCs w:val="24"/>
              </w:rPr>
              <w:t>(</w:t>
            </w:r>
            <w:r w:rsidR="00432A0D">
              <w:rPr>
                <w:rFonts w:eastAsia="Times New Roman" w:cs="Times New Roman"/>
                <w:szCs w:val="24"/>
                <w:lang w:val="en-US"/>
              </w:rPr>
              <w:t>n=20</w:t>
            </w:r>
            <w:r w:rsidR="00432A0D">
              <w:rPr>
                <w:rFonts w:eastAsia="Times New Roman" w:cs="Times New Roman"/>
                <w:szCs w:val="24"/>
              </w:rPr>
              <w:t>)</w:t>
            </w:r>
          </w:p>
        </w:tc>
        <w:tc>
          <w:tcPr>
            <w:tcW w:w="572" w:type="pct"/>
          </w:tcPr>
          <w:p w:rsidR="0030517B" w:rsidRPr="00432A0D"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2 група</w:t>
            </w:r>
            <w:r w:rsidR="00432A0D">
              <w:rPr>
                <w:rFonts w:eastAsia="Times New Roman" w:cs="Times New Roman"/>
                <w:szCs w:val="24"/>
                <w:lang w:val="en-US"/>
              </w:rPr>
              <w:t xml:space="preserve"> </w:t>
            </w:r>
            <w:r w:rsidR="00432A0D">
              <w:rPr>
                <w:rFonts w:eastAsia="Times New Roman" w:cs="Times New Roman"/>
                <w:szCs w:val="24"/>
              </w:rPr>
              <w:t>(</w:t>
            </w:r>
            <w:r w:rsidR="00432A0D">
              <w:rPr>
                <w:rFonts w:eastAsia="Times New Roman" w:cs="Times New Roman"/>
                <w:szCs w:val="24"/>
                <w:lang w:val="en-US"/>
              </w:rPr>
              <w:t>n=20</w:t>
            </w:r>
            <w:r w:rsidR="00432A0D">
              <w:rPr>
                <w:rFonts w:eastAsia="Times New Roman" w:cs="Times New Roman"/>
                <w:szCs w:val="24"/>
              </w:rPr>
              <w:t>)</w:t>
            </w:r>
          </w:p>
        </w:tc>
        <w:tc>
          <w:tcPr>
            <w:tcW w:w="535" w:type="pct"/>
          </w:tcPr>
          <w:p w:rsidR="0030517B" w:rsidRPr="00432A0D"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Група контролю</w:t>
            </w:r>
            <w:r w:rsidR="00432A0D">
              <w:rPr>
                <w:rFonts w:eastAsia="Times New Roman" w:cs="Times New Roman"/>
                <w:szCs w:val="24"/>
                <w:lang w:val="en-US"/>
              </w:rPr>
              <w:t xml:space="preserve"> </w:t>
            </w:r>
            <w:r w:rsidR="00432A0D">
              <w:rPr>
                <w:rFonts w:eastAsia="Times New Roman" w:cs="Times New Roman"/>
                <w:szCs w:val="24"/>
              </w:rPr>
              <w:t>(</w:t>
            </w:r>
            <w:r w:rsidR="00432A0D">
              <w:rPr>
                <w:rFonts w:eastAsia="Times New Roman" w:cs="Times New Roman"/>
                <w:szCs w:val="24"/>
                <w:lang w:val="en-US"/>
              </w:rPr>
              <w:t>n=20</w:t>
            </w:r>
            <w:r w:rsidR="00432A0D">
              <w:rPr>
                <w:rFonts w:eastAsia="Times New Roman" w:cs="Times New Roman"/>
                <w:szCs w:val="24"/>
              </w:rPr>
              <w:t>)</w:t>
            </w:r>
          </w:p>
        </w:tc>
        <w:tc>
          <w:tcPr>
            <w:tcW w:w="575" w:type="pct"/>
          </w:tcPr>
          <w:p w:rsidR="0030517B" w:rsidRDefault="0030517B" w:rsidP="00E1448E">
            <w:pPr>
              <w:spacing w:after="0" w:line="240" w:lineRule="auto"/>
              <w:ind w:right="-87"/>
              <w:jc w:val="center"/>
              <w:rPr>
                <w:rFonts w:eastAsia="Times New Roman" w:cs="Times New Roman"/>
                <w:szCs w:val="24"/>
                <w:lang w:val="en-US"/>
              </w:rPr>
            </w:pPr>
            <w:r w:rsidRPr="00CA099F">
              <w:rPr>
                <w:rFonts w:eastAsia="Times New Roman" w:cs="Times New Roman"/>
                <w:szCs w:val="24"/>
              </w:rPr>
              <w:t>2 група</w:t>
            </w:r>
          </w:p>
          <w:p w:rsidR="00432A0D" w:rsidRPr="00432A0D" w:rsidRDefault="00432A0D" w:rsidP="00E1448E">
            <w:pPr>
              <w:spacing w:after="0" w:line="240" w:lineRule="auto"/>
              <w:ind w:right="-87"/>
              <w:jc w:val="center"/>
              <w:rPr>
                <w:rFonts w:eastAsia="Times New Roman" w:cs="Times New Roman"/>
                <w:szCs w:val="24"/>
                <w:lang w:val="en-US"/>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483" w:type="pct"/>
          </w:tcPr>
          <w:p w:rsidR="0030517B" w:rsidRPr="00CA099F" w:rsidRDefault="0030517B" w:rsidP="00065B03">
            <w:pPr>
              <w:spacing w:after="0"/>
              <w:ind w:right="-88"/>
              <w:jc w:val="center"/>
              <w:rPr>
                <w:rFonts w:eastAsia="Times New Roman" w:cs="Times New Roman"/>
                <w:szCs w:val="28"/>
              </w:rPr>
            </w:pPr>
            <w:r w:rsidRPr="00065B03">
              <w:rPr>
                <w:rFonts w:eastAsia="Times New Roman" w:cs="Times New Roman"/>
                <w:sz w:val="28"/>
                <w:szCs w:val="28"/>
              </w:rPr>
              <w:t>ГПЛ, ум.од./</w:t>
            </w:r>
            <w:r w:rsidR="00432A0D" w:rsidRPr="00065B03">
              <w:rPr>
                <w:rFonts w:eastAsia="Times New Roman" w:cs="Times New Roman"/>
                <w:sz w:val="28"/>
                <w:szCs w:val="28"/>
              </w:rPr>
              <w:t>к</w:t>
            </w:r>
            <w:r w:rsidR="00065B03" w:rsidRPr="00065B03">
              <w:rPr>
                <w:rFonts w:eastAsia="Times New Roman" w:cs="Times New Roman"/>
                <w:sz w:val="28"/>
                <w:szCs w:val="28"/>
              </w:rPr>
              <w:t>г</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6,14±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0,13</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3,74±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0,09</w:t>
            </w:r>
          </w:p>
        </w:tc>
        <w:tc>
          <w:tcPr>
            <w:tcW w:w="56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4,26±</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0,09</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3,42±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0,11</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3,52±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3,19±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0,09</w:t>
            </w:r>
          </w:p>
        </w:tc>
        <w:tc>
          <w:tcPr>
            <w:tcW w:w="53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3,23±</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0,12</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3,14±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r>
      <w:tr w:rsidR="0030517B" w:rsidRPr="00CA099F" w:rsidTr="00E1448E">
        <w:tc>
          <w:tcPr>
            <w:tcW w:w="483" w:type="pct"/>
          </w:tcPr>
          <w:p w:rsidR="0030517B" w:rsidRPr="00CA099F" w:rsidRDefault="0030517B" w:rsidP="00E1448E">
            <w:pPr>
              <w:spacing w:after="0"/>
              <w:jc w:val="center"/>
              <w:rPr>
                <w:rFonts w:eastAsia="Times New Roman" w:cs="Times New Roman"/>
                <w:szCs w:val="28"/>
              </w:rPr>
            </w:pPr>
          </w:p>
        </w:tc>
        <w:tc>
          <w:tcPr>
            <w:tcW w:w="565" w:type="pct"/>
          </w:tcPr>
          <w:p w:rsidR="0030517B" w:rsidRPr="00CA099F" w:rsidRDefault="0030517B" w:rsidP="00E1448E">
            <w:pPr>
              <w:spacing w:after="0" w:line="240" w:lineRule="auto"/>
              <w:jc w:val="center"/>
              <w:rPr>
                <w:rFonts w:eastAsia="Times New Roman" w:cs="Times New Roman"/>
                <w:szCs w:val="28"/>
              </w:rPr>
            </w:pPr>
          </w:p>
        </w:tc>
        <w:tc>
          <w:tcPr>
            <w:tcW w:w="567" w:type="pct"/>
          </w:tcPr>
          <w:p w:rsidR="0030517B" w:rsidRPr="00CA099F" w:rsidRDefault="0030517B" w:rsidP="00E1448E">
            <w:pPr>
              <w:spacing w:after="0" w:line="240" w:lineRule="auto"/>
              <w:jc w:val="center"/>
              <w:rPr>
                <w:rFonts w:eastAsia="Times New Roman" w:cs="Times New Roman"/>
                <w:szCs w:val="28"/>
              </w:rPr>
            </w:pPr>
          </w:p>
        </w:tc>
        <w:tc>
          <w:tcPr>
            <w:tcW w:w="566" w:type="pct"/>
          </w:tcPr>
          <w:p w:rsidR="0030517B" w:rsidRPr="00CA099F" w:rsidRDefault="0030517B" w:rsidP="00E1448E">
            <w:pPr>
              <w:spacing w:after="0" w:line="240" w:lineRule="auto"/>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65" w:type="pct"/>
          </w:tcPr>
          <w:p w:rsidR="0030517B" w:rsidRPr="00CA099F" w:rsidRDefault="0030517B" w:rsidP="001C5630">
            <w:pPr>
              <w:spacing w:after="0"/>
              <w:ind w:left="-44"/>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5"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483" w:type="pct"/>
          </w:tcPr>
          <w:p w:rsidR="0030517B" w:rsidRPr="00CA099F" w:rsidRDefault="0030517B" w:rsidP="00065B03">
            <w:pPr>
              <w:spacing w:after="0"/>
              <w:ind w:right="-88"/>
              <w:jc w:val="center"/>
              <w:rPr>
                <w:rFonts w:eastAsia="Times New Roman" w:cs="Times New Roman"/>
                <w:szCs w:val="28"/>
              </w:rPr>
            </w:pPr>
            <w:r w:rsidRPr="00CA099F">
              <w:rPr>
                <w:rFonts w:eastAsia="Times New Roman" w:cs="Times New Roman"/>
                <w:sz w:val="28"/>
                <w:szCs w:val="28"/>
              </w:rPr>
              <w:t>ДК, ум.од./кг</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4,49±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0,06</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2,76±</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0,06</w:t>
            </w:r>
          </w:p>
        </w:tc>
        <w:tc>
          <w:tcPr>
            <w:tcW w:w="56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3,24±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2,42±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2,60±</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2,26±</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3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2,21±</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r>
      <w:tr w:rsidR="0030517B" w:rsidRPr="00CA099F" w:rsidTr="00E1448E">
        <w:tc>
          <w:tcPr>
            <w:tcW w:w="483" w:type="pct"/>
          </w:tcPr>
          <w:p w:rsidR="0030517B" w:rsidRPr="00CA099F" w:rsidRDefault="0030517B" w:rsidP="00065B03">
            <w:pPr>
              <w:spacing w:after="0"/>
              <w:ind w:right="-88"/>
              <w:jc w:val="center"/>
              <w:rPr>
                <w:rFonts w:eastAsia="Times New Roman" w:cs="Times New Roman"/>
                <w:szCs w:val="28"/>
              </w:rPr>
            </w:pPr>
          </w:p>
        </w:tc>
        <w:tc>
          <w:tcPr>
            <w:tcW w:w="565" w:type="pct"/>
          </w:tcPr>
          <w:p w:rsidR="0030517B" w:rsidRPr="00CA099F" w:rsidRDefault="0030517B" w:rsidP="00E1448E">
            <w:pPr>
              <w:spacing w:after="0" w:line="240" w:lineRule="auto"/>
              <w:jc w:val="center"/>
              <w:rPr>
                <w:rFonts w:eastAsia="Times New Roman" w:cs="Times New Roman"/>
                <w:szCs w:val="28"/>
              </w:rPr>
            </w:pPr>
          </w:p>
        </w:tc>
        <w:tc>
          <w:tcPr>
            <w:tcW w:w="567" w:type="pct"/>
          </w:tcPr>
          <w:p w:rsidR="0030517B" w:rsidRPr="00CA099F" w:rsidRDefault="0030517B" w:rsidP="00E1448E">
            <w:pPr>
              <w:spacing w:after="0" w:line="240" w:lineRule="auto"/>
              <w:jc w:val="center"/>
              <w:rPr>
                <w:rFonts w:eastAsia="Times New Roman" w:cs="Times New Roman"/>
                <w:szCs w:val="28"/>
              </w:rPr>
            </w:pPr>
          </w:p>
        </w:tc>
        <w:tc>
          <w:tcPr>
            <w:tcW w:w="566" w:type="pct"/>
          </w:tcPr>
          <w:p w:rsidR="0030517B" w:rsidRPr="00CA099F" w:rsidRDefault="0030517B" w:rsidP="00E1448E">
            <w:pPr>
              <w:spacing w:after="0" w:line="240" w:lineRule="auto"/>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65" w:type="pct"/>
          </w:tcPr>
          <w:p w:rsidR="0030517B" w:rsidRPr="00CA099F" w:rsidRDefault="0030517B" w:rsidP="001C5630">
            <w:pPr>
              <w:spacing w:after="0"/>
              <w:ind w:left="-44"/>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sz w:val="28"/>
                <w:szCs w:val="28"/>
              </w:rPr>
              <w:t>р</w:t>
            </w:r>
            <w:r w:rsidRPr="00CA099F">
              <w:rPr>
                <w:rFonts w:eastAsia="Times New Roman" w:cs="Times New Roman"/>
                <w:sz w:val="28"/>
                <w:szCs w:val="28"/>
                <w:vertAlign w:val="subscript"/>
              </w:rPr>
              <w:t>2</w:t>
            </w:r>
            <w:r w:rsidRPr="00CA099F">
              <w:rPr>
                <w:rFonts w:eastAsia="Times New Roman" w:cs="Times New Roman"/>
                <w:sz w:val="28"/>
                <w:szCs w:val="28"/>
              </w:rPr>
              <w:t>&lt;0,01</w:t>
            </w:r>
          </w:p>
        </w:tc>
        <w:tc>
          <w:tcPr>
            <w:tcW w:w="535"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483" w:type="pct"/>
          </w:tcPr>
          <w:p w:rsidR="0030517B" w:rsidRPr="00CA099F" w:rsidRDefault="0030517B" w:rsidP="00065B03">
            <w:pPr>
              <w:spacing w:after="0"/>
              <w:ind w:right="-88"/>
              <w:jc w:val="center"/>
              <w:rPr>
                <w:rFonts w:eastAsia="Times New Roman" w:cs="Times New Roman"/>
                <w:szCs w:val="28"/>
              </w:rPr>
            </w:pPr>
            <w:r w:rsidRPr="00CA099F">
              <w:rPr>
                <w:rFonts w:eastAsia="Times New Roman" w:cs="Times New Roman"/>
                <w:sz w:val="28"/>
                <w:szCs w:val="28"/>
              </w:rPr>
              <w:t>ТК, ум.од./кг</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4,56±</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0,10</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3,21±</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c>
          <w:tcPr>
            <w:tcW w:w="56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3,43±</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2,61±</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2,39±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tc>
        <w:tc>
          <w:tcPr>
            <w:tcW w:w="53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2,42±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2,44±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 xml:space="preserve">0,04 </w:t>
            </w:r>
          </w:p>
        </w:tc>
      </w:tr>
      <w:tr w:rsidR="0030517B" w:rsidRPr="00CA099F" w:rsidTr="00E1448E">
        <w:tc>
          <w:tcPr>
            <w:tcW w:w="483" w:type="pct"/>
          </w:tcPr>
          <w:p w:rsidR="0030517B" w:rsidRPr="00CA099F" w:rsidRDefault="0030517B" w:rsidP="00E1448E">
            <w:pPr>
              <w:spacing w:after="0"/>
              <w:jc w:val="center"/>
              <w:rPr>
                <w:rFonts w:eastAsia="Times New Roman" w:cs="Times New Roman"/>
                <w:szCs w:val="28"/>
              </w:rPr>
            </w:pPr>
          </w:p>
        </w:tc>
        <w:tc>
          <w:tcPr>
            <w:tcW w:w="565" w:type="pct"/>
          </w:tcPr>
          <w:p w:rsidR="0030517B" w:rsidRPr="00CA099F" w:rsidRDefault="0030517B" w:rsidP="00E1448E">
            <w:pPr>
              <w:spacing w:after="0" w:line="240" w:lineRule="auto"/>
              <w:jc w:val="center"/>
              <w:rPr>
                <w:rFonts w:eastAsia="Times New Roman" w:cs="Times New Roman"/>
                <w:szCs w:val="28"/>
              </w:rPr>
            </w:pPr>
          </w:p>
        </w:tc>
        <w:tc>
          <w:tcPr>
            <w:tcW w:w="567" w:type="pct"/>
          </w:tcPr>
          <w:p w:rsidR="0030517B" w:rsidRPr="00CA099F" w:rsidRDefault="0030517B" w:rsidP="00E1448E">
            <w:pPr>
              <w:spacing w:after="0" w:line="240" w:lineRule="auto"/>
              <w:jc w:val="center"/>
              <w:rPr>
                <w:rFonts w:eastAsia="Times New Roman" w:cs="Times New Roman"/>
                <w:szCs w:val="28"/>
              </w:rPr>
            </w:pPr>
          </w:p>
        </w:tc>
        <w:tc>
          <w:tcPr>
            <w:tcW w:w="566" w:type="pct"/>
          </w:tcPr>
          <w:p w:rsidR="0030517B" w:rsidRPr="00CA099F" w:rsidRDefault="0030517B" w:rsidP="00E1448E">
            <w:pPr>
              <w:spacing w:after="0" w:line="240" w:lineRule="auto"/>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65" w:type="pct"/>
          </w:tcPr>
          <w:p w:rsidR="0030517B" w:rsidRPr="00CA099F" w:rsidRDefault="0030517B" w:rsidP="001C5630">
            <w:pPr>
              <w:spacing w:after="0"/>
              <w:ind w:left="-44"/>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&lt;0,01</w:t>
            </w:r>
          </w:p>
        </w:tc>
        <w:tc>
          <w:tcPr>
            <w:tcW w:w="535"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483" w:type="pct"/>
          </w:tcPr>
          <w:p w:rsidR="0030517B" w:rsidRPr="00CA099F" w:rsidRDefault="0030517B" w:rsidP="00065B03">
            <w:pPr>
              <w:spacing w:after="0"/>
              <w:ind w:left="-142" w:right="-65"/>
              <w:jc w:val="center"/>
              <w:rPr>
                <w:rFonts w:eastAsia="Times New Roman" w:cs="Times New Roman"/>
                <w:szCs w:val="28"/>
              </w:rPr>
            </w:pPr>
            <w:r w:rsidRPr="00CA099F">
              <w:rPr>
                <w:rFonts w:eastAsia="Times New Roman" w:cs="Times New Roman"/>
                <w:sz w:val="28"/>
                <w:szCs w:val="28"/>
              </w:rPr>
              <w:t>ТБК-АП, ммоль/кг</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4,63±</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3,00±</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tc>
        <w:tc>
          <w:tcPr>
            <w:tcW w:w="56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3,70±</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2,68±</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2,79±</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7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2,54±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3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2,50±</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0,03</w:t>
            </w:r>
          </w:p>
        </w:tc>
      </w:tr>
      <w:tr w:rsidR="0030517B" w:rsidRPr="00CA099F" w:rsidTr="00E1448E">
        <w:tc>
          <w:tcPr>
            <w:tcW w:w="483" w:type="pct"/>
          </w:tcPr>
          <w:p w:rsidR="0030517B" w:rsidRPr="00CA099F" w:rsidRDefault="0030517B" w:rsidP="00E1448E">
            <w:pPr>
              <w:spacing w:after="0" w:line="240" w:lineRule="auto"/>
              <w:jc w:val="center"/>
              <w:rPr>
                <w:rFonts w:eastAsia="Times New Roman" w:cs="Times New Roman"/>
                <w:szCs w:val="28"/>
              </w:rPr>
            </w:pPr>
          </w:p>
        </w:tc>
        <w:tc>
          <w:tcPr>
            <w:tcW w:w="565" w:type="pct"/>
          </w:tcPr>
          <w:p w:rsidR="0030517B" w:rsidRPr="00CA099F" w:rsidRDefault="0030517B" w:rsidP="00E1448E">
            <w:pPr>
              <w:spacing w:after="0" w:line="240" w:lineRule="auto"/>
              <w:jc w:val="center"/>
              <w:rPr>
                <w:rFonts w:eastAsia="Times New Roman" w:cs="Times New Roman"/>
                <w:szCs w:val="28"/>
              </w:rPr>
            </w:pPr>
          </w:p>
        </w:tc>
        <w:tc>
          <w:tcPr>
            <w:tcW w:w="567" w:type="pct"/>
          </w:tcPr>
          <w:p w:rsidR="0030517B" w:rsidRPr="00CA099F" w:rsidRDefault="0030517B" w:rsidP="00E1448E">
            <w:pPr>
              <w:spacing w:after="0" w:line="240" w:lineRule="auto"/>
              <w:jc w:val="center"/>
              <w:rPr>
                <w:rFonts w:eastAsia="Times New Roman" w:cs="Times New Roman"/>
                <w:szCs w:val="28"/>
              </w:rPr>
            </w:pPr>
          </w:p>
        </w:tc>
        <w:tc>
          <w:tcPr>
            <w:tcW w:w="566" w:type="pct"/>
          </w:tcPr>
          <w:p w:rsidR="0030517B" w:rsidRPr="00CA099F" w:rsidRDefault="0030517B" w:rsidP="00E1448E">
            <w:pPr>
              <w:spacing w:after="0" w:line="240" w:lineRule="auto"/>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65" w:type="pct"/>
          </w:tcPr>
          <w:p w:rsidR="0030517B" w:rsidRPr="00CA099F" w:rsidRDefault="0030517B" w:rsidP="001C5630">
            <w:pPr>
              <w:spacing w:after="0"/>
              <w:ind w:left="-44"/>
              <w:jc w:val="center"/>
              <w:rPr>
                <w:rFonts w:eastAsia="Times New Roman" w:cs="Times New Roman"/>
                <w:szCs w:val="28"/>
              </w:rPr>
            </w:pPr>
          </w:p>
        </w:tc>
        <w:tc>
          <w:tcPr>
            <w:tcW w:w="572" w:type="pct"/>
          </w:tcPr>
          <w:p w:rsidR="0030517B" w:rsidRPr="00CA099F" w:rsidRDefault="0030517B" w:rsidP="001C5630">
            <w:pPr>
              <w:spacing w:after="0"/>
              <w:ind w:left="-44"/>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&lt;0,05</w:t>
            </w:r>
          </w:p>
        </w:tc>
        <w:tc>
          <w:tcPr>
            <w:tcW w:w="535"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lastRenderedPageBreak/>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30517B" w:rsidRPr="00CA099F" w:rsidRDefault="0030517B" w:rsidP="0030517B">
      <w:pPr>
        <w:spacing w:after="0"/>
        <w:jc w:val="center"/>
        <w:rPr>
          <w:rFonts w:eastAsia="Times New Roman" w:cs="Times New Roman"/>
          <w:b/>
          <w:sz w:val="28"/>
          <w:szCs w:val="28"/>
        </w:rPr>
      </w:pP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lang w:val="ru-RU"/>
        </w:rPr>
        <w:tab/>
      </w:r>
      <w:r w:rsidR="0030517B" w:rsidRPr="00CA099F">
        <w:rPr>
          <w:rFonts w:eastAsia="Times New Roman" w:cs="Times New Roman"/>
          <w:sz w:val="28"/>
          <w:szCs w:val="28"/>
        </w:rPr>
        <w:t xml:space="preserve">Отримані дані мають важливе значення для оцінки біохімічних процесів, що протікають в тканині рубця пацієнта, оскільки накопичення </w:t>
      </w:r>
      <w:r w:rsidR="0030517B" w:rsidRPr="00065B03">
        <w:rPr>
          <w:rFonts w:eastAsia="Times New Roman" w:cs="Times New Roman"/>
          <w:sz w:val="28"/>
          <w:szCs w:val="28"/>
        </w:rPr>
        <w:t>гідропере</w:t>
      </w:r>
      <w:r w:rsidR="00065B03" w:rsidRPr="00065B03">
        <w:rPr>
          <w:rFonts w:eastAsia="Times New Roman" w:cs="Times New Roman"/>
          <w:sz w:val="28"/>
          <w:szCs w:val="28"/>
        </w:rPr>
        <w:t>ки</w:t>
      </w:r>
      <w:r w:rsidR="0030517B" w:rsidRPr="00065B03">
        <w:rPr>
          <w:rFonts w:eastAsia="Times New Roman" w:cs="Times New Roman"/>
          <w:sz w:val="28"/>
          <w:szCs w:val="28"/>
        </w:rPr>
        <w:t>сів</w:t>
      </w:r>
      <w:r w:rsidR="0030517B" w:rsidRPr="00CA099F">
        <w:rPr>
          <w:rFonts w:eastAsia="Times New Roman" w:cs="Times New Roman"/>
          <w:sz w:val="28"/>
          <w:szCs w:val="28"/>
        </w:rPr>
        <w:t xml:space="preserve"> ліпідів свідчить про активний перебіг початкових стадій ланцюгового окиснення ліпідів, а підвищення концентрації ТБК-активних продуктів свідчить про тривалий патологічний процес, що не втрачає своєї гостроти. </w:t>
      </w:r>
    </w:p>
    <w:p w:rsidR="0030517B" w:rsidRPr="00CA099F" w:rsidRDefault="00432A0D" w:rsidP="0030517B">
      <w:pPr>
        <w:spacing w:after="0" w:line="360" w:lineRule="auto"/>
        <w:jc w:val="both"/>
        <w:rPr>
          <w:rFonts w:eastAsia="Times New Roman" w:cs="Times New Roman"/>
          <w:sz w:val="28"/>
          <w:szCs w:val="28"/>
        </w:rPr>
      </w:pPr>
      <w:r w:rsidRPr="00D96DA9">
        <w:rPr>
          <w:rFonts w:eastAsia="Times New Roman" w:cs="Times New Roman"/>
          <w:sz w:val="28"/>
          <w:szCs w:val="28"/>
          <w:lang w:val="ru-RU"/>
        </w:rPr>
        <w:tab/>
      </w:r>
      <w:r w:rsidR="0030517B" w:rsidRPr="00CA099F">
        <w:rPr>
          <w:rFonts w:eastAsia="Times New Roman" w:cs="Times New Roman"/>
          <w:sz w:val="28"/>
          <w:szCs w:val="28"/>
        </w:rPr>
        <w:t>Аналіз динаміки змін показників вільнорадикального окиснення стосовно рівня інтактної групи свідчить про спільні тенденції з поступовою нормалізацією досліджуваних величин через 12 місяців спостереження. Так, вміст ГПЛ у всіх дослідних групах через 3 місяці був достовірно вищий рівня інтактної групи ((3,02±0,04) ум.од./кг). Через 6 місяців відмічена позитивна динаміка, яка характеризувалася достовірним зниженням вмісту ГПЛ у всіх дослідних групах, стосовно даних через 3 місяці, проте досліджувана величина все ще була вища значень інтактної групи. У пацієнтів другої і третьої груп через 9 місяців і до кінця терміну спостереження рівень ГПЛ відповідав значенням інтактної групи (рис. 5.3)</w:t>
      </w:r>
    </w:p>
    <w:p w:rsidR="0030517B" w:rsidRPr="00CA099F" w:rsidRDefault="0030517B" w:rsidP="0030517B">
      <w:pPr>
        <w:spacing w:after="0"/>
        <w:jc w:val="center"/>
        <w:rPr>
          <w:rFonts w:ascii="Calibri" w:eastAsia="Times New Roman" w:hAnsi="Calibri" w:cs="Times New Roman"/>
          <w:sz w:val="22"/>
        </w:rPr>
      </w:pPr>
      <w:r w:rsidRPr="00CA099F">
        <w:rPr>
          <w:rFonts w:ascii="Calibri" w:eastAsia="Times New Roman" w:hAnsi="Calibri" w:cs="Times New Roman"/>
          <w:noProof/>
          <w:sz w:val="22"/>
          <w:lang w:val="ru-RU" w:eastAsia="ru-RU"/>
        </w:rPr>
        <w:drawing>
          <wp:inline distT="0" distB="0" distL="0" distR="0" wp14:anchorId="30CE6090" wp14:editId="785B5138">
            <wp:extent cx="5657850" cy="2724150"/>
            <wp:effectExtent l="0" t="0" r="0" b="0"/>
            <wp:docPr id="29" name="Диаграмма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0517B" w:rsidRPr="00CA099F" w:rsidRDefault="00432A0D" w:rsidP="0030517B">
      <w:pPr>
        <w:spacing w:after="0" w:line="360" w:lineRule="auto"/>
        <w:jc w:val="both"/>
        <w:rPr>
          <w:rFonts w:eastAsia="Times New Roman" w:cs="Times New Roman"/>
          <w:sz w:val="28"/>
          <w:szCs w:val="28"/>
        </w:rPr>
      </w:pPr>
      <w:r>
        <w:rPr>
          <w:rFonts w:eastAsia="Times New Roman" w:cs="Times New Roman"/>
          <w:sz w:val="28"/>
          <w:szCs w:val="28"/>
        </w:rPr>
        <w:lastRenderedPageBreak/>
        <w:t>Рис. 5.3. Графічне зображення</w:t>
      </w:r>
      <w:r w:rsidR="0030517B" w:rsidRPr="00CA099F">
        <w:rPr>
          <w:rFonts w:eastAsia="Times New Roman" w:cs="Times New Roman"/>
          <w:sz w:val="28"/>
          <w:szCs w:val="28"/>
        </w:rPr>
        <w:t xml:space="preserve"> змін вмісту гідроперекисів ліпідів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 різниця достовірна стосовно даних інтактної групи).</w:t>
      </w:r>
    </w:p>
    <w:p w:rsidR="0030517B" w:rsidRPr="00CA099F" w:rsidRDefault="00432A0D"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Вміст ДК у всіх дослідних групах через 3, 6 і 9 місяців був достовірн</w:t>
      </w:r>
      <w:r w:rsidR="00F77D41">
        <w:rPr>
          <w:rFonts w:eastAsia="Times New Roman" w:cs="Times New Roman"/>
          <w:sz w:val="28"/>
          <w:szCs w:val="28"/>
        </w:rPr>
        <w:t>о вищий рівня інтактної групи (</w:t>
      </w:r>
      <w:r w:rsidR="0030517B" w:rsidRPr="00CA099F">
        <w:rPr>
          <w:rFonts w:eastAsia="Times New Roman" w:cs="Times New Roman"/>
          <w:sz w:val="28"/>
          <w:szCs w:val="28"/>
        </w:rPr>
        <w:t>2,02±0,04 ум.од./кг). У пацієнтів другої і третьої груп через 12 місяців рівень ДК відповідав значенням інтактної групи (рис. 5.4). Така ж динаміка відмічалась щодо змін концентрації ТК в гомогенаті шкіри пацієнтів, стосовно показників інтактної групи (рис. 5.5).</w:t>
      </w:r>
    </w:p>
    <w:p w:rsidR="0030517B" w:rsidRDefault="0030517B" w:rsidP="0030517B">
      <w:pPr>
        <w:spacing w:after="0" w:line="360" w:lineRule="auto"/>
        <w:jc w:val="both"/>
        <w:rPr>
          <w:rFonts w:eastAsia="Times New Roman" w:cs="Times New Roman"/>
          <w:sz w:val="28"/>
          <w:szCs w:val="28"/>
        </w:rPr>
      </w:pPr>
      <w:r w:rsidRPr="00CA099F">
        <w:rPr>
          <w:rFonts w:eastAsia="Times New Roman" w:cs="Times New Roman"/>
          <w:noProof/>
          <w:sz w:val="28"/>
          <w:szCs w:val="28"/>
          <w:lang w:val="ru-RU" w:eastAsia="ru-RU"/>
        </w:rPr>
        <w:drawing>
          <wp:inline distT="0" distB="0" distL="0" distR="0" wp14:anchorId="6247DA89" wp14:editId="7997AA15">
            <wp:extent cx="5943600" cy="2638425"/>
            <wp:effectExtent l="0" t="0" r="0" b="0"/>
            <wp:docPr id="28" name="Диаграмма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00432A0D">
        <w:rPr>
          <w:rFonts w:eastAsia="Times New Roman" w:cs="Times New Roman"/>
          <w:sz w:val="28"/>
          <w:szCs w:val="28"/>
        </w:rPr>
        <w:t>Рис. 5.4</w:t>
      </w:r>
      <w:r w:rsidRPr="00CA099F">
        <w:rPr>
          <w:rFonts w:eastAsia="Times New Roman" w:cs="Times New Roman"/>
          <w:sz w:val="28"/>
          <w:szCs w:val="28"/>
        </w:rPr>
        <w:t xml:space="preserve"> </w:t>
      </w:r>
      <w:r w:rsidR="00432A0D">
        <w:rPr>
          <w:rFonts w:eastAsia="Times New Roman" w:cs="Times New Roman"/>
          <w:sz w:val="28"/>
          <w:szCs w:val="28"/>
        </w:rPr>
        <w:t>Графічне зображення</w:t>
      </w:r>
      <w:r w:rsidRPr="00CA099F">
        <w:rPr>
          <w:rFonts w:eastAsia="Times New Roman" w:cs="Times New Roman"/>
          <w:sz w:val="28"/>
          <w:szCs w:val="28"/>
        </w:rPr>
        <w:t xml:space="preserve"> змін вмісту дієнових кон’югатів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 різниця достовірна стосовно даних інтактної групи).</w:t>
      </w:r>
    </w:p>
    <w:p w:rsidR="004713FC" w:rsidRDefault="004713FC" w:rsidP="0030517B">
      <w:pPr>
        <w:spacing w:after="0" w:line="360" w:lineRule="auto"/>
        <w:jc w:val="both"/>
        <w:rPr>
          <w:rFonts w:eastAsia="Times New Roman" w:cs="Times New Roman"/>
          <w:sz w:val="28"/>
          <w:szCs w:val="28"/>
        </w:rPr>
      </w:pPr>
    </w:p>
    <w:p w:rsidR="004713FC" w:rsidRPr="00CA099F" w:rsidRDefault="004713FC" w:rsidP="004713FC">
      <w:pPr>
        <w:spacing w:after="0" w:line="360" w:lineRule="auto"/>
        <w:jc w:val="both"/>
        <w:rPr>
          <w:rFonts w:eastAsia="Times New Roman" w:cs="Times New Roman"/>
          <w:sz w:val="28"/>
          <w:szCs w:val="28"/>
        </w:rPr>
      </w:pPr>
      <w:r>
        <w:rPr>
          <w:rFonts w:eastAsia="Times New Roman" w:cs="Times New Roman"/>
          <w:sz w:val="28"/>
          <w:szCs w:val="28"/>
        </w:rPr>
        <w:tab/>
      </w:r>
      <w:r w:rsidRPr="00CA099F">
        <w:rPr>
          <w:rFonts w:eastAsia="Times New Roman" w:cs="Times New Roman"/>
          <w:sz w:val="28"/>
          <w:szCs w:val="28"/>
        </w:rPr>
        <w:t>Вміст ТБК-АП у всіх дослідних групах через 3 і 6 місяців був достовірн</w:t>
      </w:r>
      <w:r>
        <w:rPr>
          <w:rFonts w:eastAsia="Times New Roman" w:cs="Times New Roman"/>
          <w:sz w:val="28"/>
          <w:szCs w:val="28"/>
        </w:rPr>
        <w:t>о вищий рівня інтактної групи (</w:t>
      </w:r>
      <w:r w:rsidRPr="00CA099F">
        <w:rPr>
          <w:rFonts w:eastAsia="Times New Roman" w:cs="Times New Roman"/>
          <w:sz w:val="28"/>
          <w:szCs w:val="28"/>
        </w:rPr>
        <w:t xml:space="preserve">2,45±0,08 ммоль/кг). Через 9 місяців і до закінчення терміну спостереження відмічена позитивна динаміка, яка характеризувалася достовірним зниженням вмісту ТБК-АП у першій і другій </w:t>
      </w:r>
      <w:r w:rsidRPr="00CA099F">
        <w:rPr>
          <w:rFonts w:eastAsia="Times New Roman" w:cs="Times New Roman"/>
          <w:sz w:val="28"/>
          <w:szCs w:val="28"/>
        </w:rPr>
        <w:lastRenderedPageBreak/>
        <w:t>групах, стосовно даних через 3 і 6 місяців, при цьому рівень цього показника практично відповідав значенням інтактної групи (рис. 5.6).</w:t>
      </w:r>
    </w:p>
    <w:p w:rsidR="004713FC" w:rsidRPr="00CA099F" w:rsidRDefault="004713FC" w:rsidP="0030517B">
      <w:pPr>
        <w:spacing w:after="0" w:line="360" w:lineRule="auto"/>
        <w:jc w:val="both"/>
        <w:rPr>
          <w:rFonts w:eastAsia="Times New Roman" w:cs="Times New Roman"/>
          <w:sz w:val="28"/>
          <w:szCs w:val="28"/>
        </w:rPr>
      </w:pPr>
    </w:p>
    <w:p w:rsidR="0030517B" w:rsidRPr="00CA099F" w:rsidRDefault="0030517B" w:rsidP="0030517B">
      <w:pPr>
        <w:spacing w:after="0" w:line="360" w:lineRule="auto"/>
        <w:jc w:val="both"/>
        <w:rPr>
          <w:rFonts w:eastAsia="Times New Roman" w:cs="Times New Roman"/>
          <w:sz w:val="28"/>
          <w:szCs w:val="28"/>
        </w:rPr>
      </w:pPr>
      <w:r w:rsidRPr="00CA099F">
        <w:rPr>
          <w:rFonts w:eastAsia="Times New Roman" w:cs="Times New Roman"/>
          <w:noProof/>
          <w:sz w:val="28"/>
          <w:szCs w:val="28"/>
          <w:lang w:val="ru-RU" w:eastAsia="ru-RU"/>
        </w:rPr>
        <w:drawing>
          <wp:inline distT="0" distB="0" distL="0" distR="0" wp14:anchorId="4A64F28C" wp14:editId="1DB9B5B6">
            <wp:extent cx="6315075" cy="2676525"/>
            <wp:effectExtent l="0" t="0" r="0" b="0"/>
            <wp:docPr id="27"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00432A0D">
        <w:rPr>
          <w:rFonts w:eastAsia="Times New Roman" w:cs="Times New Roman"/>
          <w:sz w:val="28"/>
          <w:szCs w:val="28"/>
        </w:rPr>
        <w:t>Рис. 5.5</w:t>
      </w:r>
      <w:r w:rsidRPr="00CA099F">
        <w:rPr>
          <w:rFonts w:eastAsia="Times New Roman" w:cs="Times New Roman"/>
          <w:sz w:val="28"/>
          <w:szCs w:val="28"/>
        </w:rPr>
        <w:t xml:space="preserve"> </w:t>
      </w:r>
      <w:r w:rsidR="00432A0D">
        <w:rPr>
          <w:rFonts w:eastAsia="Times New Roman" w:cs="Times New Roman"/>
          <w:sz w:val="28"/>
          <w:szCs w:val="28"/>
        </w:rPr>
        <w:t>Графічне зображення</w:t>
      </w:r>
      <w:r w:rsidRPr="00CA099F">
        <w:rPr>
          <w:rFonts w:eastAsia="Times New Roman" w:cs="Times New Roman"/>
          <w:sz w:val="28"/>
          <w:szCs w:val="28"/>
        </w:rPr>
        <w:t xml:space="preserve"> змін вмісту трієнових кон’югатів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 різниця достовірна стосовно даних інтактної групи).</w:t>
      </w:r>
    </w:p>
    <w:p w:rsidR="0030517B" w:rsidRPr="00CA099F" w:rsidRDefault="0030517B" w:rsidP="0030517B">
      <w:pPr>
        <w:spacing w:after="0" w:line="360" w:lineRule="auto"/>
        <w:jc w:val="both"/>
        <w:rPr>
          <w:rFonts w:eastAsia="Times New Roman" w:cs="Times New Roman"/>
          <w:sz w:val="28"/>
          <w:szCs w:val="28"/>
        </w:rPr>
      </w:pPr>
      <w:r w:rsidRPr="00CA099F">
        <w:rPr>
          <w:rFonts w:eastAsia="Times New Roman" w:cs="Times New Roman"/>
          <w:noProof/>
          <w:sz w:val="28"/>
          <w:szCs w:val="28"/>
          <w:lang w:val="ru-RU" w:eastAsia="ru-RU"/>
        </w:rPr>
        <w:drawing>
          <wp:inline distT="0" distB="0" distL="0" distR="0" wp14:anchorId="787CBA37" wp14:editId="6400CB89">
            <wp:extent cx="5648325" cy="3019425"/>
            <wp:effectExtent l="0" t="0" r="0" b="0"/>
            <wp:docPr id="26" name="Диаграмма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0517B" w:rsidRPr="00CA099F" w:rsidRDefault="00432A0D" w:rsidP="0030517B">
      <w:pPr>
        <w:spacing w:after="0" w:line="360" w:lineRule="auto"/>
        <w:jc w:val="both"/>
        <w:rPr>
          <w:rFonts w:eastAsia="Times New Roman" w:cs="Times New Roman"/>
          <w:sz w:val="28"/>
          <w:szCs w:val="28"/>
        </w:rPr>
      </w:pPr>
      <w:r>
        <w:rPr>
          <w:rFonts w:eastAsia="Times New Roman" w:cs="Times New Roman"/>
          <w:sz w:val="28"/>
          <w:szCs w:val="28"/>
        </w:rPr>
        <w:t>Рис. 5.6. Графічне зображення</w:t>
      </w:r>
      <w:r w:rsidR="0030517B" w:rsidRPr="00CA099F">
        <w:rPr>
          <w:rFonts w:eastAsia="Times New Roman" w:cs="Times New Roman"/>
          <w:sz w:val="28"/>
          <w:szCs w:val="28"/>
        </w:rPr>
        <w:t xml:space="preserve"> змін вмісту ТБК – активних продуктів (% від рівня інтактної групи) у гомогенаті шкіри пацієнтів з різними видами інтра- та післяопераційної профілактики патологічних рубців шкіри при хірургічному </w:t>
      </w:r>
      <w:r w:rsidR="0030517B" w:rsidRPr="00CA099F">
        <w:rPr>
          <w:rFonts w:eastAsia="Times New Roman" w:cs="Times New Roman"/>
          <w:sz w:val="28"/>
          <w:szCs w:val="28"/>
        </w:rPr>
        <w:lastRenderedPageBreak/>
        <w:t>лікуванні кіст шиї ембріонального походження (*- різниця достовірна стосовно даних інтактної групи).</w:t>
      </w:r>
    </w:p>
    <w:p w:rsidR="0030517B" w:rsidRPr="00CA099F" w:rsidRDefault="0030517B" w:rsidP="0030517B">
      <w:pPr>
        <w:spacing w:after="135" w:line="360" w:lineRule="auto"/>
        <w:jc w:val="both"/>
        <w:outlineLvl w:val="0"/>
        <w:rPr>
          <w:rFonts w:eastAsia="Times New Roman" w:cs="Times New Roman"/>
          <w:bCs/>
          <w:kern w:val="36"/>
          <w:sz w:val="28"/>
          <w:szCs w:val="28"/>
          <w:lang w:eastAsia="ru-RU"/>
        </w:rPr>
      </w:pPr>
    </w:p>
    <w:p w:rsidR="0030517B" w:rsidRDefault="0030517B" w:rsidP="00F12A79">
      <w:pPr>
        <w:spacing w:after="135" w:line="360" w:lineRule="auto"/>
        <w:ind w:firstLine="709"/>
        <w:jc w:val="both"/>
        <w:outlineLvl w:val="0"/>
        <w:rPr>
          <w:rFonts w:eastAsia="Times New Roman" w:cs="Times New Roman"/>
          <w:b/>
          <w:bCs/>
          <w:kern w:val="36"/>
          <w:sz w:val="28"/>
          <w:szCs w:val="28"/>
          <w:lang w:eastAsia="ru-RU"/>
        </w:rPr>
      </w:pPr>
      <w:r w:rsidRPr="00F12A79">
        <w:rPr>
          <w:rFonts w:eastAsia="Times New Roman" w:cs="Times New Roman"/>
          <w:b/>
          <w:bCs/>
          <w:kern w:val="36"/>
          <w:sz w:val="28"/>
          <w:szCs w:val="28"/>
          <w:lang w:eastAsia="ru-RU"/>
        </w:rPr>
        <w:t>5.3 Динаміка змін показників вільнорадикального окислення білків</w:t>
      </w:r>
    </w:p>
    <w:p w:rsidR="004713FC" w:rsidRPr="00FC37AF" w:rsidRDefault="004713FC" w:rsidP="00F12A79">
      <w:pPr>
        <w:spacing w:after="135" w:line="360" w:lineRule="auto"/>
        <w:ind w:firstLine="709"/>
        <w:jc w:val="both"/>
        <w:outlineLvl w:val="0"/>
        <w:rPr>
          <w:rFonts w:eastAsia="Times New Roman" w:cs="Times New Roman"/>
          <w:b/>
          <w:bCs/>
          <w:kern w:val="36"/>
          <w:sz w:val="28"/>
          <w:szCs w:val="28"/>
          <w:lang w:eastAsia="ru-RU"/>
        </w:rPr>
      </w:pPr>
    </w:p>
    <w:p w:rsidR="0030517B" w:rsidRPr="00CA099F" w:rsidRDefault="00432A0D" w:rsidP="0030517B">
      <w:pPr>
        <w:spacing w:after="135" w:line="360" w:lineRule="auto"/>
        <w:jc w:val="both"/>
        <w:outlineLvl w:val="0"/>
        <w:rPr>
          <w:rFonts w:eastAsia="Times New Roman" w:cs="Times New Roman"/>
          <w:bCs/>
          <w:color w:val="000000"/>
          <w:kern w:val="36"/>
          <w:sz w:val="28"/>
          <w:szCs w:val="28"/>
          <w:lang w:eastAsia="ru-RU"/>
        </w:rPr>
      </w:pPr>
      <w:r>
        <w:rPr>
          <w:rFonts w:eastAsia="Times New Roman" w:cs="Times New Roman"/>
          <w:bCs/>
          <w:kern w:val="36"/>
          <w:sz w:val="28"/>
          <w:szCs w:val="28"/>
          <w:lang w:eastAsia="ru-RU"/>
        </w:rPr>
        <w:tab/>
      </w:r>
      <w:r w:rsidR="0030517B" w:rsidRPr="00CA099F">
        <w:rPr>
          <w:rFonts w:eastAsia="Times New Roman" w:cs="Times New Roman"/>
          <w:bCs/>
          <w:kern w:val="36"/>
          <w:sz w:val="28"/>
          <w:szCs w:val="28"/>
          <w:lang w:eastAsia="ru-RU"/>
        </w:rPr>
        <w:t>Руйнування білків є більш надійним маркером окисних пошкоджень тканин, ніж ПОЛ, оскільки продукти окисної модифікації білків (ОМБ) стабільніші, порівняно з пероксидами ліпідів, які швидко метаболізуються під дією пероксидаз і низькомолекулярних антиоксидантів. В умовах окисного стресу й надмірної генерації АФО розвиваються процеси неконтрольованої модифікації білків, які з</w:t>
      </w:r>
      <w:r w:rsidR="00290497">
        <w:rPr>
          <w:rFonts w:eastAsia="Times New Roman" w:cs="Times New Roman"/>
          <w:bCs/>
          <w:kern w:val="36"/>
          <w:sz w:val="28"/>
          <w:szCs w:val="28"/>
          <w:lang w:eastAsia="ru-RU"/>
        </w:rPr>
        <w:t>умовлюють фрагментацію білків, їх</w:t>
      </w:r>
      <w:r w:rsidR="0030517B" w:rsidRPr="00CA099F">
        <w:rPr>
          <w:rFonts w:eastAsia="Times New Roman" w:cs="Times New Roman"/>
          <w:bCs/>
          <w:kern w:val="36"/>
          <w:sz w:val="28"/>
          <w:szCs w:val="28"/>
          <w:lang w:eastAsia="ru-RU"/>
        </w:rPr>
        <w:t xml:space="preserve"> денатурацію, а також утворення перв</w:t>
      </w:r>
      <w:r w:rsidR="00290497">
        <w:rPr>
          <w:rFonts w:eastAsia="Times New Roman" w:cs="Times New Roman"/>
          <w:bCs/>
          <w:kern w:val="36"/>
          <w:sz w:val="28"/>
          <w:szCs w:val="28"/>
          <w:lang w:eastAsia="ru-RU"/>
        </w:rPr>
        <w:t>инних амінокислотних радикалів,</w:t>
      </w:r>
      <w:r w:rsidR="0030517B" w:rsidRPr="00CA099F">
        <w:rPr>
          <w:rFonts w:eastAsia="Times New Roman" w:cs="Times New Roman"/>
          <w:bCs/>
          <w:kern w:val="36"/>
          <w:sz w:val="28"/>
          <w:szCs w:val="28"/>
          <w:lang w:eastAsia="ru-RU"/>
        </w:rPr>
        <w:t xml:space="preserve"> що далі вступають у вторинну взаємодію із сусідніми амінокислотними залишками, а це в цілому створює досить складну картину пошкоджувальної дії</w:t>
      </w:r>
      <w:r w:rsidR="00290497">
        <w:rPr>
          <w:rFonts w:eastAsia="Times New Roman" w:cs="Times New Roman"/>
          <w:bCs/>
          <w:kern w:val="36"/>
          <w:sz w:val="28"/>
          <w:szCs w:val="28"/>
          <w:lang w:eastAsia="ru-RU"/>
        </w:rPr>
        <w:t xml:space="preserve"> АФО на білкові макромолекули. </w:t>
      </w:r>
      <w:r w:rsidR="0030517B" w:rsidRPr="00CA099F">
        <w:rPr>
          <w:rFonts w:eastAsia="Times New Roman" w:cs="Times New Roman"/>
          <w:bCs/>
          <w:kern w:val="36"/>
          <w:sz w:val="28"/>
          <w:szCs w:val="28"/>
          <w:lang w:eastAsia="ru-RU"/>
        </w:rPr>
        <w:t>Все це пр</w:t>
      </w:r>
      <w:r w:rsidR="00290497">
        <w:rPr>
          <w:rFonts w:eastAsia="Times New Roman" w:cs="Times New Roman"/>
          <w:bCs/>
          <w:kern w:val="36"/>
          <w:sz w:val="28"/>
          <w:szCs w:val="28"/>
          <w:lang w:eastAsia="ru-RU"/>
        </w:rPr>
        <w:t>изводить до втрати білками їх</w:t>
      </w:r>
      <w:r w:rsidR="0030517B" w:rsidRPr="00CA099F">
        <w:rPr>
          <w:rFonts w:eastAsia="Times New Roman" w:cs="Times New Roman"/>
          <w:bCs/>
          <w:kern w:val="36"/>
          <w:sz w:val="28"/>
          <w:szCs w:val="28"/>
          <w:lang w:eastAsia="ru-RU"/>
        </w:rPr>
        <w:t xml:space="preserve"> біологічної активності й порушення обмінних, зокрема регенеративних процесів. </w:t>
      </w:r>
    </w:p>
    <w:p w:rsidR="0030517B" w:rsidRDefault="0030517B" w:rsidP="00290497">
      <w:pPr>
        <w:spacing w:after="0" w:line="360" w:lineRule="auto"/>
        <w:ind w:firstLine="709"/>
        <w:jc w:val="both"/>
        <w:rPr>
          <w:rFonts w:eastAsia="Times New Roman" w:cs="Times New Roman"/>
          <w:sz w:val="28"/>
          <w:szCs w:val="28"/>
        </w:rPr>
      </w:pPr>
      <w:r w:rsidRPr="00CA099F">
        <w:rPr>
          <w:rFonts w:eastAsia="Times New Roman" w:cs="Times New Roman"/>
          <w:sz w:val="28"/>
          <w:szCs w:val="28"/>
        </w:rPr>
        <w:t>Про інтенсивність окиснювальної модифікації білків судили за вмістом у гомогенаті шкіри альдегідо- і кетонопохідних, що утворюються при дії активних радикалів на амінокислотні залишки в молекулах білків (табл. 5.3).</w:t>
      </w:r>
    </w:p>
    <w:p w:rsidR="00CB4E9E" w:rsidRPr="00CA099F" w:rsidRDefault="00CB4E9E" w:rsidP="00CB4E9E">
      <w:pPr>
        <w:spacing w:after="0" w:line="360" w:lineRule="auto"/>
        <w:jc w:val="both"/>
        <w:rPr>
          <w:rFonts w:eastAsia="Times New Roman" w:cs="Times New Roman"/>
          <w:sz w:val="28"/>
          <w:szCs w:val="28"/>
        </w:rPr>
      </w:pPr>
      <w:r>
        <w:rPr>
          <w:rFonts w:eastAsia="Times New Roman" w:cs="Times New Roman"/>
          <w:sz w:val="28"/>
          <w:szCs w:val="28"/>
        </w:rPr>
        <w:tab/>
      </w:r>
      <w:r w:rsidRPr="00CA099F">
        <w:rPr>
          <w:rFonts w:eastAsia="Times New Roman" w:cs="Times New Roman"/>
          <w:sz w:val="28"/>
          <w:szCs w:val="28"/>
        </w:rPr>
        <w:t>Встановлено, що у пацієнтів, яким під час оперативного втручання введено PRF-згусток, вміст 2,4-динітрофенілгідразонів, що визначалися при 370 нм (відображає концентрацію альдегідо- і кетонопохідних нейтрального характеру) через 3 місяці спостереження був достовірно меншим на 45,5 %, через 6 місяців – на 38,7 % і через 9 – на 14,5 %, стосовно даних контрольної групи. У пацієнтів першої і третьої груп через 12 місяців спостереження вміст 2,4-динітрофенілгідразонів, що визначалися при 370 нм практично не відрізнявся.</w:t>
      </w:r>
    </w:p>
    <w:p w:rsidR="00CB4E9E" w:rsidRPr="00CA099F" w:rsidRDefault="00CB4E9E" w:rsidP="00CB4E9E">
      <w:pPr>
        <w:spacing w:after="0" w:line="360" w:lineRule="auto"/>
        <w:jc w:val="both"/>
        <w:rPr>
          <w:rFonts w:eastAsia="Times New Roman" w:cs="Times New Roman"/>
          <w:sz w:val="28"/>
          <w:szCs w:val="28"/>
        </w:rPr>
      </w:pPr>
      <w:r w:rsidRPr="00CA099F">
        <w:rPr>
          <w:rFonts w:eastAsia="Times New Roman" w:cs="Times New Roman"/>
          <w:sz w:val="28"/>
          <w:szCs w:val="28"/>
        </w:rPr>
        <w:t xml:space="preserve">Слід зазначити, що рівень досліджуваного показника змінювався впродовж терміну спостереження. Так, у пацієнтів, яким під час оперативного втручання </w:t>
      </w:r>
      <w:r w:rsidRPr="00CA099F">
        <w:rPr>
          <w:rFonts w:eastAsia="Times New Roman" w:cs="Times New Roman"/>
          <w:sz w:val="28"/>
          <w:szCs w:val="28"/>
        </w:rPr>
        <w:lastRenderedPageBreak/>
        <w:t>введено PRF-згусток, через 6 місяців вміст 2,4-динітрофенілгідразонів, що визначалися при 370 нм був на 25,6 % (</w:t>
      </w:r>
      <w:r w:rsidRPr="00CA099F">
        <w:rPr>
          <w:rFonts w:eastAsia="Times New Roman" w:cs="Times New Roman"/>
          <w:color w:val="000000"/>
          <w:sz w:val="28"/>
          <w:szCs w:val="28"/>
        </w:rPr>
        <w:t xml:space="preserve">р&lt;0,001) </w:t>
      </w:r>
      <w:r w:rsidRPr="00CA099F">
        <w:rPr>
          <w:rFonts w:eastAsia="Times New Roman" w:cs="Times New Roman"/>
          <w:sz w:val="28"/>
          <w:szCs w:val="28"/>
        </w:rPr>
        <w:t>нижчий, стосовно даних попереднього терміну спостереження, відповідно, через 9 місяців - на 17,7 % (</w:t>
      </w:r>
      <w:r w:rsidRPr="00CA099F">
        <w:rPr>
          <w:rFonts w:eastAsia="Times New Roman" w:cs="Times New Roman"/>
          <w:color w:val="000000"/>
          <w:sz w:val="28"/>
          <w:szCs w:val="28"/>
        </w:rPr>
        <w:t xml:space="preserve">р&lt;0,002), </w:t>
      </w:r>
      <w:r w:rsidRPr="00CA099F">
        <w:rPr>
          <w:rFonts w:eastAsia="Times New Roman" w:cs="Times New Roman"/>
          <w:sz w:val="28"/>
          <w:szCs w:val="28"/>
        </w:rPr>
        <w:t>через 12 - на 13,4 % (</w:t>
      </w:r>
      <w:r w:rsidRPr="00CA099F">
        <w:rPr>
          <w:rFonts w:eastAsia="Times New Roman" w:cs="Times New Roman"/>
          <w:color w:val="000000"/>
          <w:sz w:val="28"/>
          <w:szCs w:val="28"/>
        </w:rPr>
        <w:t>р&lt;0,05)</w:t>
      </w:r>
      <w:r w:rsidRPr="00CA099F">
        <w:rPr>
          <w:rFonts w:eastAsia="Times New Roman" w:cs="Times New Roman"/>
          <w:sz w:val="28"/>
          <w:szCs w:val="28"/>
        </w:rPr>
        <w:t xml:space="preserve">. </w:t>
      </w:r>
    </w:p>
    <w:p w:rsidR="00CB4E9E" w:rsidRPr="00CA099F" w:rsidRDefault="00CB4E9E" w:rsidP="00290497">
      <w:pPr>
        <w:spacing w:after="0" w:line="360" w:lineRule="auto"/>
        <w:ind w:firstLine="709"/>
        <w:jc w:val="both"/>
        <w:rPr>
          <w:rFonts w:eastAsia="Times New Roman" w:cs="Times New Roman"/>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5.3</w:t>
      </w:r>
    </w:p>
    <w:p w:rsidR="0030517B" w:rsidRPr="00CA099F" w:rsidRDefault="0030517B" w:rsidP="0030517B">
      <w:pPr>
        <w:spacing w:after="0" w:line="360" w:lineRule="auto"/>
        <w:jc w:val="center"/>
        <w:rPr>
          <w:rFonts w:eastAsia="Times New Roman" w:cs="Times New Roman"/>
          <w:sz w:val="28"/>
          <w:szCs w:val="28"/>
        </w:rPr>
      </w:pPr>
      <w:r w:rsidRPr="00F12A79">
        <w:rPr>
          <w:rFonts w:eastAsia="Times New Roman" w:cs="Times New Roman"/>
          <w:sz w:val="28"/>
          <w:szCs w:val="28"/>
        </w:rPr>
        <w:t>Показники вільнорадикального окиснення білків у гомогенаті шкіри за умови використання PRF-згустка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0"/>
        <w:gridCol w:w="990"/>
        <w:gridCol w:w="819"/>
        <w:gridCol w:w="991"/>
        <w:gridCol w:w="1154"/>
        <w:gridCol w:w="991"/>
        <w:gridCol w:w="1154"/>
        <w:gridCol w:w="991"/>
        <w:gridCol w:w="1025"/>
      </w:tblGrid>
      <w:tr w:rsidR="0030517B" w:rsidRPr="00CA099F" w:rsidTr="00E1448E">
        <w:tc>
          <w:tcPr>
            <w:tcW w:w="669" w:type="pct"/>
            <w:vMerge w:val="restart"/>
            <w:vAlign w:val="center"/>
          </w:tcPr>
          <w:p w:rsidR="0030517B" w:rsidRPr="00CA099F" w:rsidRDefault="0030517B" w:rsidP="00E1448E">
            <w:pPr>
              <w:spacing w:after="0"/>
              <w:jc w:val="center"/>
              <w:rPr>
                <w:rFonts w:eastAsia="Times New Roman" w:cs="Times New Roman"/>
                <w:szCs w:val="24"/>
              </w:rPr>
            </w:pPr>
            <w:r w:rsidRPr="00CA099F">
              <w:rPr>
                <w:rFonts w:eastAsia="Times New Roman" w:cs="Times New Roman"/>
                <w:szCs w:val="24"/>
              </w:rPr>
              <w:t>Показник</w:t>
            </w:r>
          </w:p>
        </w:tc>
        <w:tc>
          <w:tcPr>
            <w:tcW w:w="958"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 місяці</w:t>
            </w:r>
          </w:p>
        </w:tc>
        <w:tc>
          <w:tcPr>
            <w:tcW w:w="1148"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6 місяців</w:t>
            </w:r>
          </w:p>
        </w:tc>
        <w:tc>
          <w:tcPr>
            <w:tcW w:w="1148"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9 місяців</w:t>
            </w:r>
          </w:p>
        </w:tc>
        <w:tc>
          <w:tcPr>
            <w:tcW w:w="1077"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669" w:type="pct"/>
            <w:vMerge/>
          </w:tcPr>
          <w:p w:rsidR="0030517B" w:rsidRPr="00CA099F" w:rsidRDefault="0030517B" w:rsidP="00E1448E">
            <w:pPr>
              <w:spacing w:after="0"/>
              <w:jc w:val="center"/>
              <w:rPr>
                <w:rFonts w:eastAsia="Times New Roman" w:cs="Times New Roman"/>
                <w:szCs w:val="28"/>
              </w:rPr>
            </w:pPr>
          </w:p>
        </w:tc>
        <w:tc>
          <w:tcPr>
            <w:tcW w:w="520"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Група контролю</w:t>
            </w:r>
            <w:r w:rsidR="00432A0D">
              <w:rPr>
                <w:rFonts w:eastAsia="Times New Roman" w:cs="Times New Roman"/>
                <w:sz w:val="20"/>
                <w:szCs w:val="20"/>
              </w:rPr>
              <w:t xml:space="preserve"> </w:t>
            </w:r>
            <w:r w:rsidR="00432A0D">
              <w:rPr>
                <w:rFonts w:eastAsia="Times New Roman" w:cs="Times New Roman"/>
                <w:szCs w:val="24"/>
              </w:rPr>
              <w:t>(</w:t>
            </w:r>
            <w:r w:rsidR="00432A0D">
              <w:rPr>
                <w:rFonts w:eastAsia="Times New Roman" w:cs="Times New Roman"/>
                <w:szCs w:val="24"/>
                <w:lang w:val="en-US"/>
              </w:rPr>
              <w:t>n=20</w:t>
            </w:r>
            <w:r w:rsidR="00432A0D">
              <w:rPr>
                <w:rFonts w:eastAsia="Times New Roman" w:cs="Times New Roman"/>
                <w:szCs w:val="24"/>
              </w:rPr>
              <w:t>)</w:t>
            </w:r>
          </w:p>
        </w:tc>
        <w:tc>
          <w:tcPr>
            <w:tcW w:w="438" w:type="pct"/>
          </w:tcPr>
          <w:p w:rsidR="00150FDA"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1 група</w:t>
            </w:r>
          </w:p>
          <w:p w:rsidR="0030517B" w:rsidRPr="00CA099F" w:rsidRDefault="00150FDA" w:rsidP="00E1448E">
            <w:pPr>
              <w:spacing w:after="0"/>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r>
              <w:rPr>
                <w:rFonts w:eastAsia="Times New Roman" w:cs="Times New Roman"/>
                <w:sz w:val="20"/>
                <w:szCs w:val="20"/>
              </w:rPr>
              <w:t xml:space="preserve"> </w:t>
            </w:r>
          </w:p>
        </w:tc>
        <w:tc>
          <w:tcPr>
            <w:tcW w:w="520"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Група контролю</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627"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1 група</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20"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Група контролю</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627"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1 група</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20"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Група контролю</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56" w:type="pct"/>
          </w:tcPr>
          <w:p w:rsidR="0030517B" w:rsidRPr="00CA099F" w:rsidRDefault="0030517B" w:rsidP="00E1448E">
            <w:pPr>
              <w:spacing w:after="0"/>
              <w:ind w:right="-87"/>
              <w:jc w:val="center"/>
              <w:rPr>
                <w:rFonts w:eastAsia="Times New Roman" w:cs="Times New Roman"/>
                <w:sz w:val="20"/>
                <w:szCs w:val="20"/>
              </w:rPr>
            </w:pPr>
            <w:r w:rsidRPr="00CA099F">
              <w:rPr>
                <w:rFonts w:eastAsia="Times New Roman" w:cs="Times New Roman"/>
                <w:sz w:val="20"/>
                <w:szCs w:val="20"/>
              </w:rPr>
              <w:t>1 група</w:t>
            </w:r>
            <w:r w:rsidR="00150FDA">
              <w:rPr>
                <w:rFonts w:eastAsia="Times New Roman" w:cs="Times New Roman"/>
                <w:sz w:val="20"/>
                <w:szCs w:val="20"/>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r>
      <w:tr w:rsidR="0030517B" w:rsidRPr="00CA099F" w:rsidTr="00E1448E">
        <w:tc>
          <w:tcPr>
            <w:tcW w:w="669"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ОМБ370, ммоль/г білка</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4,09±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438"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2,81±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2,90±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2,09±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1,97±</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0,10</w:t>
            </w: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1,72±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1,51±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56"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1,49±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r>
      <w:tr w:rsidR="0030517B" w:rsidRPr="00CA099F" w:rsidTr="00E1448E">
        <w:tc>
          <w:tcPr>
            <w:tcW w:w="669" w:type="pct"/>
          </w:tcPr>
          <w:p w:rsidR="0030517B" w:rsidRPr="00CA099F" w:rsidRDefault="0030517B" w:rsidP="00E1448E">
            <w:pPr>
              <w:spacing w:after="0"/>
              <w:jc w:val="center"/>
              <w:rPr>
                <w:rFonts w:eastAsia="Times New Roman" w:cs="Times New Roman"/>
                <w:szCs w:val="28"/>
              </w:rPr>
            </w:pPr>
          </w:p>
        </w:tc>
        <w:tc>
          <w:tcPr>
            <w:tcW w:w="520" w:type="pct"/>
          </w:tcPr>
          <w:p w:rsidR="0030517B" w:rsidRPr="00CA099F" w:rsidRDefault="0030517B" w:rsidP="00E1448E">
            <w:pPr>
              <w:spacing w:after="0"/>
              <w:jc w:val="center"/>
              <w:rPr>
                <w:rFonts w:eastAsia="Times New Roman" w:cs="Times New Roman"/>
                <w:szCs w:val="28"/>
              </w:rPr>
            </w:pPr>
          </w:p>
        </w:tc>
        <w:tc>
          <w:tcPr>
            <w:tcW w:w="438" w:type="pct"/>
          </w:tcPr>
          <w:p w:rsidR="0030517B" w:rsidRPr="00CA099F" w:rsidRDefault="0030517B" w:rsidP="00E1448E">
            <w:pPr>
              <w:spacing w:after="0"/>
              <w:jc w:val="center"/>
              <w:rPr>
                <w:rFonts w:eastAsia="Times New Roman" w:cs="Times New Roman"/>
                <w:szCs w:val="28"/>
              </w:rPr>
            </w:pPr>
          </w:p>
        </w:tc>
        <w:tc>
          <w:tcPr>
            <w:tcW w:w="520" w:type="pct"/>
          </w:tcPr>
          <w:p w:rsidR="0030517B" w:rsidRPr="00CA099F" w:rsidRDefault="0030517B" w:rsidP="00E1448E">
            <w:pPr>
              <w:spacing w:after="0"/>
              <w:jc w:val="center"/>
              <w:rPr>
                <w:rFonts w:eastAsia="Times New Roman" w:cs="Times New Roman"/>
                <w:szCs w:val="28"/>
              </w:rPr>
            </w:pP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&lt;0,001</w:t>
            </w:r>
          </w:p>
        </w:tc>
        <w:tc>
          <w:tcPr>
            <w:tcW w:w="520" w:type="pct"/>
          </w:tcPr>
          <w:p w:rsidR="0030517B" w:rsidRPr="00CA099F" w:rsidRDefault="0030517B" w:rsidP="00E1448E">
            <w:pPr>
              <w:spacing w:after="0"/>
              <w:jc w:val="center"/>
              <w:rPr>
                <w:rFonts w:eastAsia="Times New Roman" w:cs="Times New Roman"/>
                <w:szCs w:val="28"/>
              </w:rPr>
            </w:pPr>
          </w:p>
        </w:tc>
        <w:tc>
          <w:tcPr>
            <w:tcW w:w="627" w:type="pct"/>
          </w:tcPr>
          <w:p w:rsidR="0030517B" w:rsidRPr="00CA099F" w:rsidRDefault="0030517B" w:rsidP="00E1448E">
            <w:pPr>
              <w:spacing w:after="0"/>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&lt;0,002</w:t>
            </w:r>
          </w:p>
        </w:tc>
        <w:tc>
          <w:tcPr>
            <w:tcW w:w="520" w:type="pct"/>
          </w:tcPr>
          <w:p w:rsidR="0030517B" w:rsidRPr="00CA099F" w:rsidRDefault="0030517B" w:rsidP="00E1448E">
            <w:pPr>
              <w:spacing w:after="0"/>
              <w:jc w:val="center"/>
              <w:rPr>
                <w:rFonts w:eastAsia="Times New Roman" w:cs="Times New Roman"/>
                <w:szCs w:val="28"/>
              </w:rPr>
            </w:pPr>
          </w:p>
        </w:tc>
        <w:tc>
          <w:tcPr>
            <w:tcW w:w="556" w:type="pct"/>
          </w:tcPr>
          <w:p w:rsidR="0030517B" w:rsidRPr="00CA099F" w:rsidRDefault="0030517B" w:rsidP="00E1448E">
            <w:pPr>
              <w:spacing w:after="0"/>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E1448E">
        <w:tc>
          <w:tcPr>
            <w:tcW w:w="669"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ОМБ430, ммоль/г білка</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1,85±</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438"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1,45±</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0,03*</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1,40±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0,98±</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0,84±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0,72±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c>
          <w:tcPr>
            <w:tcW w:w="52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0,61±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56"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0,62±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r>
      <w:tr w:rsidR="0030517B" w:rsidRPr="00CA099F" w:rsidTr="00E1448E">
        <w:tc>
          <w:tcPr>
            <w:tcW w:w="669" w:type="pct"/>
          </w:tcPr>
          <w:p w:rsidR="0030517B" w:rsidRPr="00CA099F" w:rsidRDefault="0030517B" w:rsidP="00E1448E">
            <w:pPr>
              <w:spacing w:after="0"/>
              <w:jc w:val="center"/>
              <w:rPr>
                <w:rFonts w:eastAsia="Times New Roman" w:cs="Times New Roman"/>
                <w:szCs w:val="28"/>
              </w:rPr>
            </w:pPr>
          </w:p>
        </w:tc>
        <w:tc>
          <w:tcPr>
            <w:tcW w:w="520" w:type="pct"/>
          </w:tcPr>
          <w:p w:rsidR="0030517B" w:rsidRPr="00CA099F" w:rsidRDefault="0030517B" w:rsidP="00E1448E">
            <w:pPr>
              <w:spacing w:after="0"/>
              <w:jc w:val="center"/>
              <w:rPr>
                <w:rFonts w:eastAsia="Times New Roman" w:cs="Times New Roman"/>
                <w:szCs w:val="28"/>
              </w:rPr>
            </w:pPr>
          </w:p>
        </w:tc>
        <w:tc>
          <w:tcPr>
            <w:tcW w:w="438" w:type="pct"/>
          </w:tcPr>
          <w:p w:rsidR="0030517B" w:rsidRPr="00CA099F" w:rsidRDefault="0030517B" w:rsidP="00E1448E">
            <w:pPr>
              <w:spacing w:after="0"/>
              <w:jc w:val="center"/>
              <w:rPr>
                <w:rFonts w:eastAsia="Times New Roman" w:cs="Times New Roman"/>
                <w:szCs w:val="28"/>
              </w:rPr>
            </w:pPr>
          </w:p>
        </w:tc>
        <w:tc>
          <w:tcPr>
            <w:tcW w:w="520" w:type="pct"/>
          </w:tcPr>
          <w:p w:rsidR="0030517B" w:rsidRPr="00CA099F" w:rsidRDefault="0030517B" w:rsidP="00E1448E">
            <w:pPr>
              <w:spacing w:after="0"/>
              <w:jc w:val="center"/>
              <w:rPr>
                <w:rFonts w:eastAsia="Times New Roman" w:cs="Times New Roman"/>
                <w:szCs w:val="28"/>
              </w:rPr>
            </w:pP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&lt;0,001</w:t>
            </w:r>
          </w:p>
        </w:tc>
        <w:tc>
          <w:tcPr>
            <w:tcW w:w="520" w:type="pct"/>
          </w:tcPr>
          <w:p w:rsidR="0030517B" w:rsidRPr="00CA099F" w:rsidRDefault="0030517B" w:rsidP="00E1448E">
            <w:pPr>
              <w:spacing w:after="0"/>
              <w:jc w:val="center"/>
              <w:rPr>
                <w:rFonts w:eastAsia="Times New Roman" w:cs="Times New Roman"/>
                <w:szCs w:val="28"/>
              </w:rPr>
            </w:pPr>
          </w:p>
        </w:tc>
        <w:tc>
          <w:tcPr>
            <w:tcW w:w="627"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&lt;0,02</w:t>
            </w:r>
          </w:p>
        </w:tc>
        <w:tc>
          <w:tcPr>
            <w:tcW w:w="520" w:type="pct"/>
          </w:tcPr>
          <w:p w:rsidR="0030517B" w:rsidRPr="00CA099F" w:rsidRDefault="0030517B" w:rsidP="00E1448E">
            <w:pPr>
              <w:spacing w:after="0"/>
              <w:jc w:val="center"/>
              <w:rPr>
                <w:rFonts w:eastAsia="Times New Roman" w:cs="Times New Roman"/>
                <w:szCs w:val="28"/>
              </w:rPr>
            </w:pPr>
          </w:p>
        </w:tc>
        <w:tc>
          <w:tcPr>
            <w:tcW w:w="556"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30517B" w:rsidRPr="00CA099F" w:rsidRDefault="0030517B" w:rsidP="0030517B">
      <w:pPr>
        <w:spacing w:after="0" w:line="360" w:lineRule="auto"/>
        <w:jc w:val="both"/>
        <w:rPr>
          <w:rFonts w:eastAsia="Times New Roman" w:cs="Times New Roman"/>
          <w:sz w:val="28"/>
          <w:szCs w:val="28"/>
        </w:rPr>
      </w:pPr>
    </w:p>
    <w:p w:rsidR="0030517B" w:rsidRPr="00CA099F" w:rsidRDefault="0030517B" w:rsidP="00D10E54">
      <w:pPr>
        <w:spacing w:after="0" w:line="360" w:lineRule="auto"/>
        <w:ind w:firstLine="709"/>
        <w:jc w:val="both"/>
        <w:rPr>
          <w:rFonts w:eastAsia="Times New Roman" w:cs="Times New Roman"/>
          <w:sz w:val="28"/>
          <w:szCs w:val="28"/>
        </w:rPr>
      </w:pPr>
      <w:r w:rsidRPr="00CA099F">
        <w:rPr>
          <w:rFonts w:eastAsia="Times New Roman" w:cs="Times New Roman"/>
          <w:sz w:val="28"/>
          <w:szCs w:val="28"/>
        </w:rPr>
        <w:t xml:space="preserve">Вміст 2,4-динітрофенілгідразонів, що визначалися при 430 нм (відображає концентрацію альдегідо- і кетонопохідних основного характеру) у пацієнтів, яким під час оперативного втручання введено PRF-згусток через 3 </w:t>
      </w:r>
      <w:r w:rsidRPr="00CA099F">
        <w:rPr>
          <w:rFonts w:eastAsia="Times New Roman" w:cs="Times New Roman"/>
          <w:sz w:val="28"/>
          <w:szCs w:val="28"/>
        </w:rPr>
        <w:lastRenderedPageBreak/>
        <w:t>місяці спостереження був достовірно меншим на 21,6 %, через 6 місяців – на 30,0 % і через 9</w:t>
      </w:r>
      <w:r w:rsidR="00D10E54">
        <w:rPr>
          <w:rFonts w:eastAsia="Times New Roman" w:cs="Times New Roman"/>
          <w:sz w:val="28"/>
          <w:szCs w:val="28"/>
        </w:rPr>
        <w:t xml:space="preserve"> </w:t>
      </w:r>
      <w:r w:rsidRPr="00CA099F">
        <w:rPr>
          <w:rFonts w:eastAsia="Times New Roman" w:cs="Times New Roman"/>
          <w:sz w:val="28"/>
          <w:szCs w:val="28"/>
        </w:rPr>
        <w:t>– на 14,3 %, стосовно даних третьої групи. У пацієнтів першої і третьої груп через 12 місяців спостереження даний показник практично не відрізнявся.</w:t>
      </w: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Щодо пацієнтів, яким під час оперативного втручання введено PRF-згусток, а на післяопераційному етапі було застосовано </w:t>
      </w:r>
      <w:r w:rsidR="001B1A4E">
        <w:rPr>
          <w:rFonts w:eastAsia="Times New Roman" w:cs="Times New Roman"/>
          <w:sz w:val="28"/>
          <w:szCs w:val="28"/>
        </w:rPr>
        <w:t>церулоплазмін</w:t>
      </w:r>
      <w:r w:rsidR="0030517B" w:rsidRPr="00CA099F">
        <w:rPr>
          <w:rFonts w:eastAsia="Times New Roman" w:cs="Times New Roman"/>
          <w:sz w:val="28"/>
          <w:szCs w:val="28"/>
        </w:rPr>
        <w:t>, то вміст 2,4-динітрофенілгід</w:t>
      </w:r>
      <w:r w:rsidR="00DE51B0">
        <w:rPr>
          <w:rFonts w:eastAsia="Times New Roman" w:cs="Times New Roman"/>
          <w:sz w:val="28"/>
          <w:szCs w:val="28"/>
        </w:rPr>
        <w:t>разонів, що визначалися при 370 </w:t>
      </w:r>
      <w:r w:rsidR="0030517B" w:rsidRPr="00CA099F">
        <w:rPr>
          <w:rFonts w:eastAsia="Times New Roman" w:cs="Times New Roman"/>
          <w:sz w:val="28"/>
          <w:szCs w:val="28"/>
        </w:rPr>
        <w:t>нм через 3 місяці спостереження був достовірно меншим на 43,3 %, через 6</w:t>
      </w:r>
      <w:r w:rsidR="00DE51B0">
        <w:rPr>
          <w:rFonts w:eastAsia="Times New Roman" w:cs="Times New Roman"/>
          <w:sz w:val="28"/>
          <w:szCs w:val="28"/>
        </w:rPr>
        <w:t xml:space="preserve"> </w:t>
      </w:r>
      <w:r w:rsidR="0030517B" w:rsidRPr="00CA099F">
        <w:rPr>
          <w:rFonts w:eastAsia="Times New Roman" w:cs="Times New Roman"/>
          <w:sz w:val="28"/>
          <w:szCs w:val="28"/>
        </w:rPr>
        <w:t xml:space="preserve">– на 38,6 % і через 9 – на 21,8 %, стосовно даних 3-ої групи. У пацієнтів першої і третьої груп через 12 місяців спостереження вміст 2,4-динітрофенілгідразонів, що визначалися при 370 нм практично не відрізнявся. </w:t>
      </w:r>
    </w:p>
    <w:p w:rsidR="0030517B"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Рівень досліджуваного показника також змінювався впродовж терміну спостереження. Так, у пацієнтів, яким під час оперативного втручання введено PRF-згусток, а на післяопераційному етапі було застосовано </w:t>
      </w:r>
      <w:r w:rsidR="001B1A4E">
        <w:rPr>
          <w:rFonts w:eastAsia="Times New Roman" w:cs="Times New Roman"/>
          <w:sz w:val="28"/>
          <w:szCs w:val="28"/>
        </w:rPr>
        <w:t>церулоплазмін</w:t>
      </w:r>
      <w:r w:rsidR="001B1A4E" w:rsidRPr="00CA099F">
        <w:rPr>
          <w:rFonts w:eastAsia="Times New Roman" w:cs="Times New Roman"/>
          <w:sz w:val="28"/>
          <w:szCs w:val="28"/>
        </w:rPr>
        <w:t xml:space="preserve"> </w:t>
      </w:r>
      <w:r w:rsidR="0030517B" w:rsidRPr="00CA099F">
        <w:rPr>
          <w:rFonts w:eastAsia="Times New Roman" w:cs="Times New Roman"/>
          <w:sz w:val="28"/>
          <w:szCs w:val="28"/>
        </w:rPr>
        <w:t>через 6 місяців вміст 2,4-динітрофенілгідразонів, що визначалися при 370 нм був на 23,3 % (</w:t>
      </w:r>
      <w:r w:rsidR="0030517B" w:rsidRPr="00CA099F">
        <w:rPr>
          <w:rFonts w:eastAsia="Times New Roman" w:cs="Times New Roman"/>
          <w:color w:val="000000"/>
          <w:sz w:val="28"/>
          <w:szCs w:val="28"/>
        </w:rPr>
        <w:t xml:space="preserve">р&lt;0,001) </w:t>
      </w:r>
      <w:r w:rsidR="0030517B" w:rsidRPr="00CA099F">
        <w:rPr>
          <w:rFonts w:eastAsia="Times New Roman" w:cs="Times New Roman"/>
          <w:sz w:val="28"/>
          <w:szCs w:val="28"/>
        </w:rPr>
        <w:t>нижчий, стосовно даних попереднього терміну спостереження, через 9 місяців – на 13,5 % (</w:t>
      </w:r>
      <w:r w:rsidR="0030517B" w:rsidRPr="00CA099F">
        <w:rPr>
          <w:rFonts w:eastAsia="Times New Roman" w:cs="Times New Roman"/>
          <w:color w:val="000000"/>
          <w:sz w:val="28"/>
          <w:szCs w:val="28"/>
        </w:rPr>
        <w:t xml:space="preserve">р&lt;0,002), </w:t>
      </w:r>
      <w:r w:rsidR="0030517B" w:rsidRPr="00CA099F">
        <w:rPr>
          <w:rFonts w:eastAsia="Times New Roman" w:cs="Times New Roman"/>
          <w:sz w:val="28"/>
          <w:szCs w:val="28"/>
        </w:rPr>
        <w:t>через 12 – на 9,1 % (</w:t>
      </w:r>
      <w:r w:rsidR="0030517B" w:rsidRPr="00CA099F">
        <w:rPr>
          <w:rFonts w:eastAsia="Times New Roman" w:cs="Times New Roman"/>
          <w:color w:val="000000"/>
          <w:sz w:val="28"/>
          <w:szCs w:val="28"/>
        </w:rPr>
        <w:t>р&lt;0,05) (табл. 5.4)</w:t>
      </w:r>
      <w:r w:rsidR="0030517B" w:rsidRPr="00CA099F">
        <w:rPr>
          <w:rFonts w:eastAsia="Times New Roman" w:cs="Times New Roman"/>
          <w:sz w:val="28"/>
          <w:szCs w:val="28"/>
        </w:rPr>
        <w:t>.</w:t>
      </w:r>
    </w:p>
    <w:p w:rsidR="00CB4E9E" w:rsidRPr="00CA099F" w:rsidRDefault="00CB4E9E" w:rsidP="00CB4E9E">
      <w:pPr>
        <w:spacing w:after="0" w:line="360" w:lineRule="auto"/>
        <w:jc w:val="both"/>
        <w:rPr>
          <w:rFonts w:eastAsia="Times New Roman" w:cs="Times New Roman"/>
          <w:sz w:val="28"/>
          <w:szCs w:val="28"/>
        </w:rPr>
      </w:pPr>
      <w:r>
        <w:rPr>
          <w:rFonts w:eastAsia="Times New Roman" w:cs="Times New Roman"/>
          <w:sz w:val="28"/>
          <w:szCs w:val="28"/>
        </w:rPr>
        <w:tab/>
      </w:r>
      <w:r w:rsidRPr="00CA099F">
        <w:rPr>
          <w:rFonts w:eastAsia="Times New Roman" w:cs="Times New Roman"/>
          <w:sz w:val="28"/>
          <w:szCs w:val="28"/>
        </w:rPr>
        <w:t xml:space="preserve">Вміст 2,4-динітрофенілгідразонів, що визначалися при 430 нм через 3 місяці спостереження був достовірно меншим на 36,2 %, через 6 – на 47,1 % і через 9 – на 28,6 %, стосовно даних 3-ої групи. </w:t>
      </w:r>
    </w:p>
    <w:p w:rsidR="00CB4E9E" w:rsidRPr="00CA099F" w:rsidRDefault="00CB4E9E" w:rsidP="00CB4E9E">
      <w:pPr>
        <w:spacing w:after="0" w:line="360" w:lineRule="auto"/>
        <w:jc w:val="both"/>
        <w:rPr>
          <w:rFonts w:eastAsia="Times New Roman" w:cs="Times New Roman"/>
          <w:sz w:val="28"/>
          <w:szCs w:val="28"/>
        </w:rPr>
      </w:pPr>
      <w:r>
        <w:rPr>
          <w:rFonts w:eastAsia="Times New Roman" w:cs="Times New Roman"/>
          <w:sz w:val="28"/>
          <w:szCs w:val="28"/>
        </w:rPr>
        <w:tab/>
      </w:r>
      <w:r w:rsidRPr="00CA099F">
        <w:rPr>
          <w:rFonts w:eastAsia="Times New Roman" w:cs="Times New Roman"/>
          <w:sz w:val="28"/>
          <w:szCs w:val="28"/>
        </w:rPr>
        <w:t>У пацієнтів першої і третьої груп через 12 місяців спостереження вміст 2,4-динітрофенілгідразонів, що визначалися при 430 нм практично не відрізнявся. Рівень досліджуваного показника також змінювався впродовж терміну спостереження. Так, у пацієнтів, яким під час оперативного втручання введено PRF-згусток, а на післяопераційному е</w:t>
      </w:r>
      <w:r w:rsidR="001B1A4E">
        <w:rPr>
          <w:rFonts w:eastAsia="Times New Roman" w:cs="Times New Roman"/>
          <w:sz w:val="28"/>
          <w:szCs w:val="28"/>
        </w:rPr>
        <w:t>тапі було застосовано церулоплазмін</w:t>
      </w:r>
      <w:r w:rsidRPr="00CA099F">
        <w:rPr>
          <w:rFonts w:eastAsia="Times New Roman" w:cs="Times New Roman"/>
          <w:sz w:val="28"/>
          <w:szCs w:val="28"/>
        </w:rPr>
        <w:t xml:space="preserve"> через 6 місяців вміст 2,4-динітрофенілгідразонів, що визначалися при 430 нм був на 37,3 % (</w:t>
      </w:r>
      <w:r w:rsidRPr="00CA099F">
        <w:rPr>
          <w:rFonts w:eastAsia="Times New Roman" w:cs="Times New Roman"/>
          <w:color w:val="000000"/>
          <w:sz w:val="28"/>
          <w:szCs w:val="28"/>
        </w:rPr>
        <w:t xml:space="preserve">р&lt;0,001) </w:t>
      </w:r>
      <w:r w:rsidRPr="00CA099F">
        <w:rPr>
          <w:rFonts w:eastAsia="Times New Roman" w:cs="Times New Roman"/>
          <w:sz w:val="28"/>
          <w:szCs w:val="28"/>
        </w:rPr>
        <w:t>нижчий, стосовно даних попереднього терміну спостереження, через 9 місяців – на 18,9 % (</w:t>
      </w:r>
      <w:r w:rsidRPr="00CA099F">
        <w:rPr>
          <w:rFonts w:eastAsia="Times New Roman" w:cs="Times New Roman"/>
          <w:color w:val="000000"/>
          <w:sz w:val="28"/>
          <w:szCs w:val="28"/>
        </w:rPr>
        <w:t>р&lt;0,05)</w:t>
      </w:r>
      <w:r w:rsidRPr="00CA099F">
        <w:rPr>
          <w:rFonts w:eastAsia="Times New Roman" w:cs="Times New Roman"/>
          <w:sz w:val="28"/>
          <w:szCs w:val="28"/>
        </w:rPr>
        <w:t>.</w:t>
      </w:r>
    </w:p>
    <w:p w:rsidR="00CB4E9E" w:rsidRDefault="00CB4E9E" w:rsidP="0030517B">
      <w:pPr>
        <w:spacing w:after="0" w:line="360" w:lineRule="auto"/>
        <w:jc w:val="both"/>
        <w:rPr>
          <w:rFonts w:eastAsia="Times New Roman" w:cs="Times New Roman"/>
          <w:sz w:val="28"/>
          <w:szCs w:val="28"/>
        </w:rPr>
      </w:pPr>
    </w:p>
    <w:p w:rsidR="00727F19" w:rsidRDefault="00727F19" w:rsidP="0030517B">
      <w:pPr>
        <w:spacing w:after="0" w:line="360" w:lineRule="auto"/>
        <w:jc w:val="both"/>
        <w:rPr>
          <w:rFonts w:eastAsia="Times New Roman" w:cs="Times New Roman"/>
          <w:sz w:val="28"/>
          <w:szCs w:val="28"/>
        </w:rPr>
      </w:pPr>
    </w:p>
    <w:p w:rsidR="00727F19" w:rsidRPr="00CA099F" w:rsidRDefault="00727F19" w:rsidP="0030517B">
      <w:pPr>
        <w:spacing w:after="0" w:line="360" w:lineRule="auto"/>
        <w:jc w:val="both"/>
        <w:rPr>
          <w:rFonts w:eastAsia="Times New Roman" w:cs="Times New Roman"/>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5.4</w:t>
      </w:r>
    </w:p>
    <w:p w:rsidR="0030517B" w:rsidRPr="00CA099F" w:rsidRDefault="0030517B" w:rsidP="0030517B">
      <w:pPr>
        <w:spacing w:after="0" w:line="360" w:lineRule="auto"/>
        <w:jc w:val="center"/>
        <w:rPr>
          <w:rFonts w:eastAsia="Times New Roman" w:cs="Times New Roman"/>
          <w:sz w:val="28"/>
          <w:szCs w:val="28"/>
        </w:rPr>
      </w:pPr>
      <w:r w:rsidRPr="00F12A79">
        <w:rPr>
          <w:rFonts w:eastAsia="Times New Roman" w:cs="Times New Roman"/>
          <w:sz w:val="28"/>
          <w:szCs w:val="28"/>
        </w:rPr>
        <w:t>Показники вільнорадикального окиснення білків у гомогенаті шкіри за умови використання PRF-згустка та церулоплазміну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2"/>
        <w:gridCol w:w="1052"/>
        <w:gridCol w:w="809"/>
        <w:gridCol w:w="1051"/>
        <w:gridCol w:w="1135"/>
        <w:gridCol w:w="1051"/>
        <w:gridCol w:w="1135"/>
        <w:gridCol w:w="1051"/>
        <w:gridCol w:w="1009"/>
      </w:tblGrid>
      <w:tr w:rsidR="0030517B" w:rsidRPr="00CA099F" w:rsidTr="00EF5D25">
        <w:tc>
          <w:tcPr>
            <w:tcW w:w="649" w:type="pct"/>
            <w:vMerge w:val="restart"/>
            <w:vAlign w:val="center"/>
          </w:tcPr>
          <w:p w:rsidR="0030517B" w:rsidRPr="00EF5D25" w:rsidRDefault="0030517B" w:rsidP="00F12A79">
            <w:pPr>
              <w:spacing w:after="0"/>
              <w:ind w:left="-142"/>
              <w:jc w:val="center"/>
              <w:rPr>
                <w:rFonts w:eastAsia="Times New Roman" w:cs="Times New Roman"/>
                <w:sz w:val="26"/>
                <w:szCs w:val="26"/>
              </w:rPr>
            </w:pPr>
            <w:r w:rsidRPr="00EF5D25">
              <w:rPr>
                <w:rFonts w:eastAsia="Times New Roman" w:cs="Times New Roman"/>
                <w:sz w:val="26"/>
                <w:szCs w:val="26"/>
              </w:rPr>
              <w:t>Показник</w:t>
            </w:r>
          </w:p>
        </w:tc>
        <w:tc>
          <w:tcPr>
            <w:tcW w:w="896"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3 місяці</w:t>
            </w:r>
          </w:p>
        </w:tc>
        <w:tc>
          <w:tcPr>
            <w:tcW w:w="1175"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6 місяців</w:t>
            </w:r>
          </w:p>
        </w:tc>
        <w:tc>
          <w:tcPr>
            <w:tcW w:w="1175"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9 місяців</w:t>
            </w:r>
          </w:p>
        </w:tc>
        <w:tc>
          <w:tcPr>
            <w:tcW w:w="1104" w:type="pct"/>
            <w:gridSpan w:val="2"/>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F5D25">
        <w:tc>
          <w:tcPr>
            <w:tcW w:w="649" w:type="pct"/>
            <w:vMerge/>
          </w:tcPr>
          <w:p w:rsidR="0030517B" w:rsidRPr="00EF5D25" w:rsidRDefault="0030517B" w:rsidP="00E1448E">
            <w:pPr>
              <w:spacing w:after="0"/>
              <w:jc w:val="center"/>
              <w:rPr>
                <w:rFonts w:eastAsia="Times New Roman" w:cs="Times New Roman"/>
                <w:sz w:val="26"/>
                <w:szCs w:val="26"/>
              </w:rPr>
            </w:pPr>
          </w:p>
        </w:tc>
        <w:tc>
          <w:tcPr>
            <w:tcW w:w="454"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Група контролю</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442" w:type="pct"/>
          </w:tcPr>
          <w:p w:rsidR="00150FDA" w:rsidRDefault="0030517B" w:rsidP="00E1448E">
            <w:pPr>
              <w:spacing w:after="0"/>
              <w:ind w:right="-87"/>
              <w:jc w:val="center"/>
              <w:rPr>
                <w:rFonts w:eastAsia="Times New Roman" w:cs="Times New Roman"/>
                <w:sz w:val="22"/>
              </w:rPr>
            </w:pPr>
            <w:r w:rsidRPr="00CA099F">
              <w:rPr>
                <w:rFonts w:eastAsia="Times New Roman" w:cs="Times New Roman"/>
                <w:sz w:val="22"/>
              </w:rPr>
              <w:t>2 група</w:t>
            </w:r>
          </w:p>
          <w:p w:rsidR="0030517B" w:rsidRPr="00CA099F" w:rsidRDefault="00150FDA" w:rsidP="00E1448E">
            <w:pPr>
              <w:spacing w:after="0"/>
              <w:ind w:right="-87"/>
              <w:jc w:val="center"/>
              <w:rPr>
                <w:rFonts w:eastAsia="Times New Roman" w:cs="Times New Roman"/>
                <w:sz w:val="22"/>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r>
              <w:rPr>
                <w:rFonts w:eastAsia="Times New Roman" w:cs="Times New Roman"/>
                <w:sz w:val="22"/>
              </w:rPr>
              <w:t xml:space="preserve"> </w:t>
            </w:r>
          </w:p>
        </w:tc>
        <w:tc>
          <w:tcPr>
            <w:tcW w:w="542"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Група контролю</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634"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2 група</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42"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Група контролю</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634"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2 група</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42"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Група контролю</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62" w:type="pct"/>
          </w:tcPr>
          <w:p w:rsidR="0030517B" w:rsidRPr="00CA099F" w:rsidRDefault="0030517B" w:rsidP="00E1448E">
            <w:pPr>
              <w:spacing w:after="0"/>
              <w:ind w:right="-87"/>
              <w:jc w:val="center"/>
              <w:rPr>
                <w:rFonts w:eastAsia="Times New Roman" w:cs="Times New Roman"/>
                <w:sz w:val="22"/>
              </w:rPr>
            </w:pPr>
            <w:r w:rsidRPr="00CA099F">
              <w:rPr>
                <w:rFonts w:eastAsia="Times New Roman" w:cs="Times New Roman"/>
                <w:sz w:val="22"/>
              </w:rPr>
              <w:t>2 група</w:t>
            </w:r>
            <w:r w:rsidR="00150FDA">
              <w:rPr>
                <w:rFonts w:eastAsia="Times New Roman" w:cs="Times New Roman"/>
                <w:sz w:val="22"/>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r>
      <w:tr w:rsidR="0030517B" w:rsidRPr="00CA099F" w:rsidTr="00EF5D25">
        <w:tc>
          <w:tcPr>
            <w:tcW w:w="649" w:type="pct"/>
          </w:tcPr>
          <w:p w:rsidR="0030517B" w:rsidRPr="00EF5D25" w:rsidRDefault="0030517B" w:rsidP="00F12A79">
            <w:pPr>
              <w:spacing w:after="0"/>
              <w:ind w:left="-142" w:right="-86"/>
              <w:jc w:val="center"/>
              <w:rPr>
                <w:rFonts w:eastAsia="Times New Roman" w:cs="Times New Roman"/>
                <w:sz w:val="26"/>
                <w:szCs w:val="26"/>
              </w:rPr>
            </w:pPr>
            <w:r w:rsidRPr="00EF5D25">
              <w:rPr>
                <w:rFonts w:eastAsia="Times New Roman" w:cs="Times New Roman"/>
                <w:sz w:val="26"/>
                <w:szCs w:val="26"/>
              </w:rPr>
              <w:t>ОМБ370, ммоль/г білка</w:t>
            </w:r>
          </w:p>
        </w:tc>
        <w:tc>
          <w:tcPr>
            <w:tcW w:w="45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4,09±</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4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2,32±</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2,90±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1,78±</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1,97±</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0,10</w:t>
            </w: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1,54±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0,02*</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1,51±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6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1,40±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0,06</w:t>
            </w:r>
          </w:p>
        </w:tc>
      </w:tr>
      <w:tr w:rsidR="0030517B" w:rsidRPr="00CA099F" w:rsidTr="00EF5D25">
        <w:tc>
          <w:tcPr>
            <w:tcW w:w="649" w:type="pct"/>
          </w:tcPr>
          <w:p w:rsidR="0030517B" w:rsidRPr="00EF5D25" w:rsidRDefault="0030517B" w:rsidP="00F12A79">
            <w:pPr>
              <w:spacing w:after="0"/>
              <w:ind w:left="-142" w:right="-86"/>
              <w:jc w:val="center"/>
              <w:rPr>
                <w:rFonts w:eastAsia="Times New Roman" w:cs="Times New Roman"/>
                <w:sz w:val="26"/>
                <w:szCs w:val="26"/>
              </w:rPr>
            </w:pPr>
          </w:p>
        </w:tc>
        <w:tc>
          <w:tcPr>
            <w:tcW w:w="454" w:type="pct"/>
          </w:tcPr>
          <w:p w:rsidR="0030517B" w:rsidRPr="00CA099F" w:rsidRDefault="0030517B" w:rsidP="00E1448E">
            <w:pPr>
              <w:spacing w:after="0"/>
              <w:jc w:val="center"/>
              <w:rPr>
                <w:rFonts w:eastAsia="Times New Roman" w:cs="Times New Roman"/>
                <w:szCs w:val="28"/>
              </w:rPr>
            </w:pPr>
          </w:p>
        </w:tc>
        <w:tc>
          <w:tcPr>
            <w:tcW w:w="442" w:type="pct"/>
          </w:tcPr>
          <w:p w:rsidR="0030517B" w:rsidRPr="00CA099F" w:rsidRDefault="0030517B" w:rsidP="00E1448E">
            <w:pPr>
              <w:spacing w:after="0"/>
              <w:jc w:val="center"/>
              <w:rPr>
                <w:rFonts w:eastAsia="Times New Roman" w:cs="Times New Roman"/>
                <w:szCs w:val="28"/>
              </w:rPr>
            </w:pPr>
          </w:p>
        </w:tc>
        <w:tc>
          <w:tcPr>
            <w:tcW w:w="542" w:type="pct"/>
          </w:tcPr>
          <w:p w:rsidR="0030517B" w:rsidRPr="00CA099F" w:rsidRDefault="0030517B" w:rsidP="00E1448E">
            <w:pPr>
              <w:spacing w:after="0"/>
              <w:jc w:val="center"/>
              <w:rPr>
                <w:rFonts w:eastAsia="Times New Roman" w:cs="Times New Roman"/>
                <w:szCs w:val="28"/>
              </w:rPr>
            </w:pP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&lt;0,001</w:t>
            </w:r>
          </w:p>
        </w:tc>
        <w:tc>
          <w:tcPr>
            <w:tcW w:w="542" w:type="pct"/>
          </w:tcPr>
          <w:p w:rsidR="0030517B" w:rsidRPr="00CA099F" w:rsidRDefault="0030517B" w:rsidP="00E1448E">
            <w:pPr>
              <w:spacing w:after="0"/>
              <w:jc w:val="center"/>
              <w:rPr>
                <w:rFonts w:eastAsia="Times New Roman" w:cs="Times New Roman"/>
                <w:szCs w:val="28"/>
              </w:rPr>
            </w:pP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&lt;0,002</w:t>
            </w:r>
          </w:p>
        </w:tc>
        <w:tc>
          <w:tcPr>
            <w:tcW w:w="542" w:type="pct"/>
          </w:tcPr>
          <w:p w:rsidR="0030517B" w:rsidRPr="00CA099F" w:rsidRDefault="0030517B" w:rsidP="00E1448E">
            <w:pPr>
              <w:spacing w:after="0"/>
              <w:jc w:val="center"/>
              <w:rPr>
                <w:rFonts w:eastAsia="Times New Roman" w:cs="Times New Roman"/>
                <w:szCs w:val="28"/>
              </w:rPr>
            </w:pPr>
          </w:p>
        </w:tc>
        <w:tc>
          <w:tcPr>
            <w:tcW w:w="56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EF5D25">
        <w:tc>
          <w:tcPr>
            <w:tcW w:w="649" w:type="pct"/>
          </w:tcPr>
          <w:p w:rsidR="0030517B" w:rsidRPr="00EF5D25" w:rsidRDefault="0030517B" w:rsidP="00F12A79">
            <w:pPr>
              <w:spacing w:after="0"/>
              <w:ind w:left="-142" w:right="-86"/>
              <w:jc w:val="center"/>
              <w:rPr>
                <w:rFonts w:eastAsia="Times New Roman" w:cs="Times New Roman"/>
                <w:sz w:val="26"/>
                <w:szCs w:val="26"/>
              </w:rPr>
            </w:pPr>
            <w:r w:rsidRPr="00EF5D25">
              <w:rPr>
                <w:rFonts w:eastAsia="Times New Roman" w:cs="Times New Roman"/>
                <w:sz w:val="26"/>
                <w:szCs w:val="26"/>
              </w:rPr>
              <w:t>ОМБ430, ммоль/г білка</w:t>
            </w:r>
          </w:p>
        </w:tc>
        <w:tc>
          <w:tcPr>
            <w:tcW w:w="45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1,85±</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4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1,18±</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1,40±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0,08</w:t>
            </w: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0,74±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0,84±</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0,07</w:t>
            </w: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0,60±</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c>
          <w:tcPr>
            <w:tcW w:w="54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0,61±</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0,05</w:t>
            </w:r>
          </w:p>
        </w:tc>
        <w:tc>
          <w:tcPr>
            <w:tcW w:w="562"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0,56±</w:t>
            </w:r>
          </w:p>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0,04</w:t>
            </w:r>
          </w:p>
        </w:tc>
      </w:tr>
      <w:tr w:rsidR="0030517B" w:rsidRPr="00CA099F" w:rsidTr="00EF5D25">
        <w:tc>
          <w:tcPr>
            <w:tcW w:w="649" w:type="pct"/>
          </w:tcPr>
          <w:p w:rsidR="0030517B" w:rsidRPr="00CA099F" w:rsidRDefault="0030517B" w:rsidP="00E1448E">
            <w:pPr>
              <w:spacing w:after="0"/>
              <w:jc w:val="center"/>
              <w:rPr>
                <w:rFonts w:eastAsia="Times New Roman" w:cs="Times New Roman"/>
                <w:szCs w:val="28"/>
              </w:rPr>
            </w:pPr>
          </w:p>
        </w:tc>
        <w:tc>
          <w:tcPr>
            <w:tcW w:w="454" w:type="pct"/>
          </w:tcPr>
          <w:p w:rsidR="0030517B" w:rsidRPr="00CA099F" w:rsidRDefault="0030517B" w:rsidP="00E1448E">
            <w:pPr>
              <w:spacing w:after="0"/>
              <w:jc w:val="center"/>
              <w:rPr>
                <w:rFonts w:eastAsia="Times New Roman" w:cs="Times New Roman"/>
                <w:szCs w:val="28"/>
              </w:rPr>
            </w:pPr>
          </w:p>
        </w:tc>
        <w:tc>
          <w:tcPr>
            <w:tcW w:w="442" w:type="pct"/>
          </w:tcPr>
          <w:p w:rsidR="0030517B" w:rsidRPr="00CA099F" w:rsidRDefault="0030517B" w:rsidP="00E1448E">
            <w:pPr>
              <w:spacing w:after="0"/>
              <w:jc w:val="center"/>
              <w:rPr>
                <w:rFonts w:eastAsia="Times New Roman" w:cs="Times New Roman"/>
                <w:szCs w:val="28"/>
              </w:rPr>
            </w:pPr>
          </w:p>
        </w:tc>
        <w:tc>
          <w:tcPr>
            <w:tcW w:w="542" w:type="pct"/>
          </w:tcPr>
          <w:p w:rsidR="0030517B" w:rsidRPr="00CA099F" w:rsidRDefault="0030517B" w:rsidP="00E1448E">
            <w:pPr>
              <w:spacing w:after="0"/>
              <w:jc w:val="center"/>
              <w:rPr>
                <w:rFonts w:eastAsia="Times New Roman" w:cs="Times New Roman"/>
                <w:szCs w:val="28"/>
              </w:rPr>
            </w:pP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&lt;0,001</w:t>
            </w:r>
          </w:p>
        </w:tc>
        <w:tc>
          <w:tcPr>
            <w:tcW w:w="542" w:type="pct"/>
          </w:tcPr>
          <w:p w:rsidR="0030517B" w:rsidRPr="00CA099F" w:rsidRDefault="0030517B" w:rsidP="00E1448E">
            <w:pPr>
              <w:spacing w:after="0"/>
              <w:jc w:val="center"/>
              <w:rPr>
                <w:rFonts w:eastAsia="Times New Roman" w:cs="Times New Roman"/>
                <w:szCs w:val="28"/>
              </w:rPr>
            </w:pPr>
          </w:p>
        </w:tc>
        <w:tc>
          <w:tcPr>
            <w:tcW w:w="63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&lt;0,05</w:t>
            </w:r>
          </w:p>
        </w:tc>
        <w:tc>
          <w:tcPr>
            <w:tcW w:w="542" w:type="pct"/>
          </w:tcPr>
          <w:p w:rsidR="0030517B" w:rsidRPr="00CA099F" w:rsidRDefault="0030517B" w:rsidP="00E1448E">
            <w:pPr>
              <w:spacing w:after="0"/>
              <w:jc w:val="center"/>
              <w:rPr>
                <w:rFonts w:eastAsia="Times New Roman" w:cs="Times New Roman"/>
                <w:szCs w:val="28"/>
              </w:rPr>
            </w:pPr>
          </w:p>
        </w:tc>
        <w:tc>
          <w:tcPr>
            <w:tcW w:w="562" w:type="pct"/>
          </w:tcPr>
          <w:p w:rsidR="0030517B" w:rsidRPr="00CA099F" w:rsidRDefault="0030517B" w:rsidP="00E1448E">
            <w:pPr>
              <w:spacing w:after="0"/>
              <w:jc w:val="center"/>
              <w:rPr>
                <w:rFonts w:eastAsia="Times New Roman" w:cs="Times New Roman"/>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30517B" w:rsidRPr="00CA099F" w:rsidRDefault="0030517B" w:rsidP="0030517B">
      <w:pPr>
        <w:spacing w:after="0" w:line="360" w:lineRule="auto"/>
        <w:jc w:val="both"/>
        <w:rPr>
          <w:rFonts w:eastAsia="Times New Roman" w:cs="Times New Roman"/>
          <w:sz w:val="28"/>
          <w:szCs w:val="28"/>
        </w:rPr>
      </w:pP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Аналізуючи зміни вмісту 2,4-динітрофенілгідразонів, що визначалися при 370 нм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найвищі показники встановлено у пацієнтів контрольної групи (через 3 </w:t>
      </w:r>
      <w:r w:rsidR="0030517B" w:rsidRPr="00CA099F">
        <w:rPr>
          <w:rFonts w:eastAsia="Times New Roman" w:cs="Times New Roman"/>
          <w:sz w:val="28"/>
          <w:szCs w:val="28"/>
        </w:rPr>
        <w:lastRenderedPageBreak/>
        <w:t xml:space="preserve">місяці спостереження достовірне переважання у 2,8 рази, через 6 місяців – у 2 рази і через 9 місяців – на 33,0 %). </w:t>
      </w: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Найнижчі показники окиснювальної модифікації білків спостерігалися у пацієнтів, яким під час оперативного втручання введено PRF-згусток, а на післяопераційному етапі було застосовано препарат </w:t>
      </w:r>
      <w:r w:rsidR="001B1A4E">
        <w:rPr>
          <w:rFonts w:eastAsia="Times New Roman" w:cs="Times New Roman"/>
          <w:sz w:val="28"/>
          <w:szCs w:val="28"/>
        </w:rPr>
        <w:t>церулоплазмін</w:t>
      </w:r>
      <w:r w:rsidR="001B1A4E" w:rsidRPr="00CA099F">
        <w:rPr>
          <w:rFonts w:eastAsia="Times New Roman" w:cs="Times New Roman"/>
          <w:sz w:val="28"/>
          <w:szCs w:val="28"/>
        </w:rPr>
        <w:t xml:space="preserve"> </w:t>
      </w:r>
      <w:r w:rsidR="0030517B" w:rsidRPr="00CA099F">
        <w:rPr>
          <w:rFonts w:eastAsia="Times New Roman" w:cs="Times New Roman"/>
          <w:sz w:val="28"/>
          <w:szCs w:val="28"/>
        </w:rPr>
        <w:t>Так, через 3 місяці даний показник перевищував показник інтактної групи на 60,0 %, через 6 – на 20,0 % і через 9 – на 6,5 % (рис. 5.7).</w:t>
      </w:r>
    </w:p>
    <w:p w:rsidR="0030517B" w:rsidRPr="009A789C" w:rsidRDefault="0030517B" w:rsidP="0030517B">
      <w:pPr>
        <w:spacing w:after="0" w:line="360" w:lineRule="auto"/>
        <w:jc w:val="center"/>
        <w:rPr>
          <w:rFonts w:eastAsia="Times New Roman" w:cs="Times New Roman"/>
          <w:sz w:val="28"/>
          <w:szCs w:val="28"/>
          <w:lang w:val="en-US"/>
        </w:rPr>
      </w:pPr>
      <w:r w:rsidRPr="00CA099F">
        <w:rPr>
          <w:rFonts w:ascii="Calibri" w:eastAsia="Times New Roman" w:hAnsi="Calibri" w:cs="Times New Roman"/>
          <w:noProof/>
          <w:sz w:val="22"/>
          <w:lang w:val="ru-RU" w:eastAsia="ru-RU"/>
        </w:rPr>
        <w:drawing>
          <wp:inline distT="0" distB="0" distL="0" distR="0" wp14:anchorId="0D8D34D8" wp14:editId="7D30EF6C">
            <wp:extent cx="5419725" cy="30861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19725" cy="3086100"/>
                    </a:xfrm>
                    <a:prstGeom prst="rect">
                      <a:avLst/>
                    </a:prstGeom>
                    <a:noFill/>
                    <a:ln>
                      <a:noFill/>
                    </a:ln>
                  </pic:spPr>
                </pic:pic>
              </a:graphicData>
            </a:graphic>
          </wp:inline>
        </w:drawing>
      </w:r>
    </w:p>
    <w:p w:rsidR="0030517B" w:rsidRDefault="0030517B" w:rsidP="0030517B">
      <w:pPr>
        <w:spacing w:after="0" w:line="360" w:lineRule="auto"/>
        <w:jc w:val="both"/>
        <w:rPr>
          <w:rFonts w:eastAsia="Times New Roman" w:cs="Times New Roman"/>
          <w:sz w:val="28"/>
          <w:szCs w:val="28"/>
        </w:rPr>
      </w:pPr>
      <w:r w:rsidRPr="00CA099F">
        <w:rPr>
          <w:rFonts w:eastAsia="Times New Roman" w:cs="Times New Roman"/>
          <w:sz w:val="28"/>
          <w:szCs w:val="28"/>
        </w:rPr>
        <w:t xml:space="preserve">Рис. 5.7. </w:t>
      </w:r>
      <w:r w:rsidR="00150FDA">
        <w:rPr>
          <w:rFonts w:eastAsia="Times New Roman" w:cs="Times New Roman"/>
          <w:sz w:val="28"/>
          <w:szCs w:val="28"/>
        </w:rPr>
        <w:t>Графічне зображення</w:t>
      </w:r>
      <w:r w:rsidRPr="00CA099F">
        <w:rPr>
          <w:rFonts w:eastAsia="Times New Roman" w:cs="Times New Roman"/>
          <w:sz w:val="28"/>
          <w:szCs w:val="28"/>
        </w:rPr>
        <w:t xml:space="preserve"> змін вмісту 2,4-динітрофенілгідразонів, що визначалися при 370 нм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CB4E9E" w:rsidRPr="00CA099F" w:rsidRDefault="00CB4E9E" w:rsidP="0030517B">
      <w:pPr>
        <w:spacing w:after="0" w:line="360" w:lineRule="auto"/>
        <w:jc w:val="both"/>
        <w:rPr>
          <w:rFonts w:eastAsia="Times New Roman" w:cs="Times New Roman"/>
          <w:sz w:val="28"/>
          <w:szCs w:val="28"/>
        </w:rPr>
      </w:pP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Аналізуючи зміни вмісту 2,4-динітрофенілгідразонів, що визначалися при 430 нм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пацієнтів найвищі показники також встановлено у пацієнтів контрольної групи (через 3 місяці спостереження достовірне переважання у </w:t>
      </w:r>
      <w:r w:rsidR="0030517B" w:rsidRPr="00CA099F">
        <w:rPr>
          <w:rFonts w:eastAsia="Times New Roman" w:cs="Times New Roman"/>
          <w:sz w:val="28"/>
          <w:szCs w:val="28"/>
        </w:rPr>
        <w:lastRenderedPageBreak/>
        <w:t xml:space="preserve">3,2 рази, через 6 – у 2,4 рази і через 9 – на 44,8 %). Найнижчі показники окиснювальної модифікації білків також спостерігалися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30517B" w:rsidRPr="00CA099F">
        <w:rPr>
          <w:rFonts w:eastAsia="Times New Roman" w:cs="Times New Roman"/>
          <w:sz w:val="28"/>
          <w:szCs w:val="28"/>
        </w:rPr>
        <w:t>. Так, через 3 місяці даний показник перевищував показник інтактної групи у 2 рази, через 6</w:t>
      </w:r>
      <w:r w:rsidR="00605BB4">
        <w:rPr>
          <w:rFonts w:eastAsia="Times New Roman" w:cs="Times New Roman"/>
          <w:sz w:val="28"/>
          <w:szCs w:val="28"/>
        </w:rPr>
        <w:t xml:space="preserve"> – на 27,6 % і через 9</w:t>
      </w:r>
      <w:r w:rsidR="0030517B" w:rsidRPr="00CA099F">
        <w:rPr>
          <w:rFonts w:eastAsia="Times New Roman" w:cs="Times New Roman"/>
          <w:sz w:val="28"/>
          <w:szCs w:val="28"/>
        </w:rPr>
        <w:t xml:space="preserve"> – на 3,4 % (рис. 3.8).</w:t>
      </w:r>
    </w:p>
    <w:p w:rsidR="0030517B" w:rsidRPr="00CA099F" w:rsidRDefault="0030517B" w:rsidP="0030517B">
      <w:pPr>
        <w:spacing w:after="0" w:line="360" w:lineRule="auto"/>
        <w:jc w:val="both"/>
        <w:rPr>
          <w:rFonts w:eastAsia="Times New Roman" w:cs="Times New Roman"/>
          <w:sz w:val="28"/>
          <w:szCs w:val="28"/>
        </w:rPr>
      </w:pPr>
      <w:r w:rsidRPr="00CA099F">
        <w:rPr>
          <w:rFonts w:ascii="Calibri" w:eastAsia="Times New Roman" w:hAnsi="Calibri" w:cs="Times New Roman"/>
          <w:noProof/>
          <w:sz w:val="22"/>
          <w:lang w:val="ru-RU" w:eastAsia="ru-RU"/>
        </w:rPr>
        <w:drawing>
          <wp:inline distT="0" distB="0" distL="0" distR="0" wp14:anchorId="595E01D6" wp14:editId="06795579">
            <wp:extent cx="5553075" cy="30861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53075" cy="3086100"/>
                    </a:xfrm>
                    <a:prstGeom prst="rect">
                      <a:avLst/>
                    </a:prstGeom>
                    <a:noFill/>
                    <a:ln>
                      <a:noFill/>
                    </a:ln>
                  </pic:spPr>
                </pic:pic>
              </a:graphicData>
            </a:graphic>
          </wp:inline>
        </w:drawing>
      </w:r>
    </w:p>
    <w:p w:rsidR="0030517B" w:rsidRDefault="0030517B" w:rsidP="0030517B">
      <w:pPr>
        <w:spacing w:after="0" w:line="360" w:lineRule="auto"/>
        <w:jc w:val="both"/>
        <w:rPr>
          <w:rFonts w:eastAsia="Times New Roman" w:cs="Times New Roman"/>
          <w:sz w:val="28"/>
          <w:szCs w:val="28"/>
        </w:rPr>
      </w:pPr>
      <w:r w:rsidRPr="00CA099F">
        <w:rPr>
          <w:rFonts w:eastAsia="Times New Roman" w:cs="Times New Roman"/>
          <w:sz w:val="28"/>
          <w:szCs w:val="28"/>
        </w:rPr>
        <w:t xml:space="preserve">Рис. 5.8 </w:t>
      </w:r>
      <w:r w:rsidR="00150FDA">
        <w:rPr>
          <w:rFonts w:eastAsia="Times New Roman" w:cs="Times New Roman"/>
          <w:sz w:val="28"/>
          <w:szCs w:val="28"/>
        </w:rPr>
        <w:t xml:space="preserve">Графічне зображення </w:t>
      </w:r>
      <w:r w:rsidRPr="00CA099F">
        <w:rPr>
          <w:rFonts w:eastAsia="Times New Roman" w:cs="Times New Roman"/>
          <w:sz w:val="28"/>
          <w:szCs w:val="28"/>
        </w:rPr>
        <w:t>змін вмісту 2,4-динітрофенілгідразонів, що визначалися при 430 нм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CB4E9E" w:rsidRPr="00CA099F" w:rsidRDefault="00CB4E9E" w:rsidP="0030517B">
      <w:pPr>
        <w:spacing w:after="0" w:line="360" w:lineRule="auto"/>
        <w:jc w:val="both"/>
        <w:rPr>
          <w:rFonts w:eastAsia="Times New Roman" w:cs="Times New Roman"/>
          <w:sz w:val="28"/>
          <w:szCs w:val="28"/>
        </w:rPr>
      </w:pP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Отримані дані свідчать про те, що через 3 місяці після хірургічного лікування кіст шиї ембріонального походження в тканинах рубців шкіри пацієнтів активність вільнорадикальних процесів достовірно вища показників інтактної групи. </w:t>
      </w: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Введення PRF-згустка під час хірургічного лікування кіст шиї ембріонального походження позитивно впливає на патобіохімічні процеси в тканинах шкіри, зменшуючи активність пер</w:t>
      </w:r>
      <w:r w:rsidR="00393EA1" w:rsidRPr="00393EA1">
        <w:rPr>
          <w:rFonts w:eastAsia="Times New Roman" w:cs="Times New Roman"/>
          <w:sz w:val="28"/>
          <w:szCs w:val="28"/>
        </w:rPr>
        <w:t>е</w:t>
      </w:r>
      <w:r w:rsidR="0030517B" w:rsidRPr="00CA099F">
        <w:rPr>
          <w:rFonts w:eastAsia="Times New Roman" w:cs="Times New Roman"/>
          <w:sz w:val="28"/>
          <w:szCs w:val="28"/>
        </w:rPr>
        <w:t>ки</w:t>
      </w:r>
      <w:r w:rsidR="00393EA1" w:rsidRPr="00393EA1">
        <w:rPr>
          <w:rFonts w:eastAsia="Times New Roman" w:cs="Times New Roman"/>
          <w:sz w:val="28"/>
          <w:szCs w:val="28"/>
        </w:rPr>
        <w:t>с</w:t>
      </w:r>
      <w:r w:rsidR="0030517B" w:rsidRPr="00CA099F">
        <w:rPr>
          <w:rFonts w:eastAsia="Times New Roman" w:cs="Times New Roman"/>
          <w:sz w:val="28"/>
          <w:szCs w:val="28"/>
        </w:rPr>
        <w:t xml:space="preserve">ного окиснення ліпідів, проте </w:t>
      </w:r>
      <w:r w:rsidR="0030517B" w:rsidRPr="00CA099F">
        <w:rPr>
          <w:rFonts w:eastAsia="Times New Roman" w:cs="Times New Roman"/>
          <w:sz w:val="28"/>
          <w:szCs w:val="28"/>
        </w:rPr>
        <w:lastRenderedPageBreak/>
        <w:t xml:space="preserve">максимальне зниження вільнорадикальних процесів відмічено у пацієнтів, яким під час оперативного втручання введено PRF-згусток, а на післяопераційному етапі застосовано </w:t>
      </w:r>
      <w:r w:rsidR="009A789C">
        <w:rPr>
          <w:rFonts w:eastAsia="Times New Roman" w:cs="Times New Roman"/>
          <w:sz w:val="28"/>
          <w:szCs w:val="28"/>
        </w:rPr>
        <w:t>церулоплазмін</w:t>
      </w:r>
      <w:r w:rsidR="0030517B" w:rsidRPr="00CA099F">
        <w:rPr>
          <w:rFonts w:eastAsia="Times New Roman" w:cs="Times New Roman"/>
          <w:sz w:val="28"/>
          <w:szCs w:val="28"/>
        </w:rPr>
        <w:t>.</w:t>
      </w: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Будь-яке запалення разом з місцевим характером ушкодження є системною реакцією, яка зум</w:t>
      </w:r>
      <w:r w:rsidR="00393EA1">
        <w:rPr>
          <w:rFonts w:eastAsia="Times New Roman" w:cs="Times New Roman"/>
          <w:sz w:val="28"/>
          <w:szCs w:val="28"/>
        </w:rPr>
        <w:t>овлює накопичення продуктів пер</w:t>
      </w:r>
      <w:r w:rsidR="00393EA1" w:rsidRPr="00393EA1">
        <w:rPr>
          <w:rFonts w:eastAsia="Times New Roman" w:cs="Times New Roman"/>
          <w:sz w:val="28"/>
          <w:szCs w:val="28"/>
        </w:rPr>
        <w:t>е</w:t>
      </w:r>
      <w:r w:rsidR="0030517B" w:rsidRPr="00CA099F">
        <w:rPr>
          <w:rFonts w:eastAsia="Times New Roman" w:cs="Times New Roman"/>
          <w:sz w:val="28"/>
          <w:szCs w:val="28"/>
        </w:rPr>
        <w:t>ки</w:t>
      </w:r>
      <w:r w:rsidR="00393EA1" w:rsidRPr="00393EA1">
        <w:rPr>
          <w:rFonts w:eastAsia="Times New Roman" w:cs="Times New Roman"/>
          <w:sz w:val="28"/>
          <w:szCs w:val="28"/>
        </w:rPr>
        <w:t>с</w:t>
      </w:r>
      <w:r w:rsidR="0030517B" w:rsidRPr="00CA099F">
        <w:rPr>
          <w:rFonts w:eastAsia="Times New Roman" w:cs="Times New Roman"/>
          <w:sz w:val="28"/>
          <w:szCs w:val="28"/>
        </w:rPr>
        <w:t xml:space="preserve">ного окиснення ліпідів, які підсилюють запальний процес та порушують процеси репарації. Встановлено, що вміст РНК у першій і другій дослідних групах був достовірно </w:t>
      </w:r>
      <w:r w:rsidR="00393EA1">
        <w:rPr>
          <w:rFonts w:eastAsia="Times New Roman" w:cs="Times New Roman"/>
          <w:sz w:val="28"/>
          <w:szCs w:val="28"/>
        </w:rPr>
        <w:t>вищий, відповідно, через 3 на 37,3% і 73,0 %</w:t>
      </w:r>
      <w:r w:rsidR="00393EA1" w:rsidRPr="00393EA1">
        <w:rPr>
          <w:rFonts w:eastAsia="Times New Roman" w:cs="Times New Roman"/>
          <w:sz w:val="28"/>
          <w:szCs w:val="28"/>
        </w:rPr>
        <w:t>,</w:t>
      </w:r>
      <w:r w:rsidR="00393EA1">
        <w:rPr>
          <w:rFonts w:eastAsia="Times New Roman" w:cs="Times New Roman"/>
          <w:sz w:val="28"/>
          <w:szCs w:val="28"/>
        </w:rPr>
        <w:t xml:space="preserve"> і 6 місяців </w:t>
      </w:r>
      <w:r w:rsidR="00393EA1" w:rsidRPr="00393EA1">
        <w:rPr>
          <w:rFonts w:eastAsia="Times New Roman" w:cs="Times New Roman"/>
          <w:sz w:val="28"/>
          <w:szCs w:val="28"/>
        </w:rPr>
        <w:t xml:space="preserve">– </w:t>
      </w:r>
      <w:r w:rsidR="0030517B" w:rsidRPr="00CA099F">
        <w:rPr>
          <w:rFonts w:eastAsia="Times New Roman" w:cs="Times New Roman"/>
          <w:sz w:val="28"/>
          <w:szCs w:val="28"/>
        </w:rPr>
        <w:t>на 11,4 % і 20,8 %, порівняно з даними контрольної групи пацієнтів (</w:t>
      </w:r>
      <w:r w:rsidR="0030517B" w:rsidRPr="00CA099F">
        <w:rPr>
          <w:rFonts w:eastAsia="Times New Roman" w:cs="Times New Roman"/>
          <w:color w:val="000000"/>
          <w:sz w:val="28"/>
          <w:szCs w:val="28"/>
        </w:rPr>
        <w:t>р</w:t>
      </w:r>
      <w:r w:rsidR="0030517B" w:rsidRPr="00CA099F">
        <w:rPr>
          <w:rFonts w:eastAsia="Times New Roman" w:cs="Times New Roman"/>
          <w:color w:val="000000"/>
          <w:sz w:val="28"/>
          <w:szCs w:val="28"/>
          <w:vertAlign w:val="subscript"/>
        </w:rPr>
        <w:t>1</w:t>
      </w:r>
      <w:r w:rsidR="0030517B" w:rsidRPr="00CA099F">
        <w:rPr>
          <w:rFonts w:eastAsia="Times New Roman" w:cs="Times New Roman"/>
          <w:color w:val="000000"/>
          <w:sz w:val="28"/>
          <w:szCs w:val="28"/>
        </w:rPr>
        <w:t>&lt;0,01</w:t>
      </w:r>
      <w:r w:rsidR="0030517B" w:rsidRPr="00CA099F">
        <w:rPr>
          <w:rFonts w:eastAsia="Times New Roman" w:cs="Times New Roman"/>
          <w:sz w:val="28"/>
          <w:szCs w:val="28"/>
        </w:rPr>
        <w:t>). Через 9 і 12 місяців рівень РНК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статистично значимо не відрізнявся від показників групи порівняння (табл. 3.3 і 3.4). Слід зазначити, що у другій дослідній групі максимально регенераторні процеси проходили перші 3 місяці після оперативного втручання.</w:t>
      </w: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Аналіз отриманих результатів показав зростання вмісту ДНК через 3 місяці у першій дослідній групі на 41,9 %, стосовно групи порівняння у цей термін (</w:t>
      </w:r>
      <w:r w:rsidR="0030517B" w:rsidRPr="00CA099F">
        <w:rPr>
          <w:rFonts w:eastAsia="Times New Roman" w:cs="Times New Roman"/>
          <w:color w:val="000000"/>
          <w:sz w:val="28"/>
          <w:szCs w:val="28"/>
        </w:rPr>
        <w:t xml:space="preserve">р&lt;0,01). Слід зазначити, що </w:t>
      </w:r>
      <w:r w:rsidR="0030517B" w:rsidRPr="00CA099F">
        <w:rPr>
          <w:rFonts w:eastAsia="Times New Roman" w:cs="Times New Roman"/>
          <w:sz w:val="28"/>
          <w:szCs w:val="28"/>
        </w:rPr>
        <w:t>введення PRF-згустка під час хірургічного лікування кіст шиї ембріонального походження характеризувалось найвищими значеннями вмісту ДНК через 3 місяці, тоді як вже через 6 місяців рівень досліджуваного показника був на 17,20 % нижчий даних через 3 місяці (табл. 5.5).</w:t>
      </w:r>
    </w:p>
    <w:p w:rsidR="0030517B" w:rsidRPr="00CA099F" w:rsidRDefault="0030517B" w:rsidP="0030517B">
      <w:pPr>
        <w:spacing w:after="0" w:line="360" w:lineRule="auto"/>
        <w:jc w:val="both"/>
        <w:rPr>
          <w:rFonts w:eastAsia="Times New Roman" w:cs="Times New Roman"/>
          <w:b/>
          <w:sz w:val="28"/>
          <w:szCs w:val="28"/>
        </w:rPr>
      </w:pPr>
    </w:p>
    <w:p w:rsidR="0030517B" w:rsidRPr="00A46C15" w:rsidRDefault="0030517B" w:rsidP="0030517B">
      <w:pPr>
        <w:spacing w:after="0" w:line="360" w:lineRule="auto"/>
        <w:jc w:val="both"/>
        <w:rPr>
          <w:rFonts w:eastAsia="Times New Roman" w:cs="Times New Roman"/>
          <w:b/>
          <w:sz w:val="28"/>
          <w:szCs w:val="28"/>
        </w:rPr>
      </w:pPr>
      <w:r w:rsidRPr="00EF5D25">
        <w:rPr>
          <w:rFonts w:eastAsia="Times New Roman" w:cs="Times New Roman"/>
          <w:b/>
          <w:sz w:val="28"/>
          <w:szCs w:val="28"/>
        </w:rPr>
        <w:t>5.4 Динаміка змін показників регенераторних процесів</w:t>
      </w:r>
    </w:p>
    <w:p w:rsidR="0030517B" w:rsidRPr="00CA099F" w:rsidRDefault="0030517B" w:rsidP="0030517B">
      <w:pPr>
        <w:spacing w:after="0" w:line="360" w:lineRule="auto"/>
        <w:jc w:val="both"/>
        <w:rPr>
          <w:rFonts w:eastAsia="Times New Roman" w:cs="Times New Roman"/>
          <w:sz w:val="28"/>
          <w:szCs w:val="28"/>
        </w:rPr>
      </w:pPr>
    </w:p>
    <w:p w:rsidR="0030517B" w:rsidRPr="00CA099F" w:rsidRDefault="00150FDA"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Показники регенераторних процесів у гомогенаті шкіри за умови використання PRF-зг</w:t>
      </w:r>
      <w:r w:rsidR="00C05B9D">
        <w:rPr>
          <w:rFonts w:eastAsia="Times New Roman" w:cs="Times New Roman"/>
          <w:sz w:val="28"/>
          <w:szCs w:val="28"/>
        </w:rPr>
        <w:t>устка та церулоплазміну вказу</w:t>
      </w:r>
      <w:r w:rsidR="00C05B9D" w:rsidRPr="00E56627">
        <w:rPr>
          <w:rFonts w:eastAsia="Times New Roman" w:cs="Times New Roman"/>
          <w:sz w:val="28"/>
          <w:szCs w:val="28"/>
        </w:rPr>
        <w:t>вали</w:t>
      </w:r>
      <w:r w:rsidR="0030517B" w:rsidRPr="00CA099F">
        <w:rPr>
          <w:rFonts w:eastAsia="Times New Roman" w:cs="Times New Roman"/>
          <w:sz w:val="28"/>
          <w:szCs w:val="28"/>
        </w:rPr>
        <w:t xml:space="preserve"> на достовірне зростання рівня ДНК через 3 місяці на 75,1 %, через 6 – на 31,9 % і через 9 місяців – на 10,2 %, порівняно з даними 3-ої групи (табл. 5.5). Слід зазначити, що вміст ДНК зменшувався у часовому проміжку, зокрема, через 6 місяців – </w:t>
      </w:r>
      <w:r w:rsidR="0030517B" w:rsidRPr="00CA099F">
        <w:rPr>
          <w:rFonts w:eastAsia="Times New Roman" w:cs="Times New Roman"/>
          <w:sz w:val="28"/>
          <w:szCs w:val="28"/>
        </w:rPr>
        <w:lastRenderedPageBreak/>
        <w:t xml:space="preserve">на 12,1 %, через 9 місяців – на 16,1 % і через 12 місяців – на 6,6 %, відповідно даних 3-ої групи. </w:t>
      </w:r>
    </w:p>
    <w:p w:rsidR="0030517B" w:rsidRDefault="0030517B" w:rsidP="00C05B9D">
      <w:pPr>
        <w:spacing w:after="0" w:line="360" w:lineRule="auto"/>
        <w:ind w:firstLine="709"/>
        <w:jc w:val="both"/>
        <w:rPr>
          <w:rFonts w:eastAsia="Times New Roman" w:cs="Times New Roman"/>
          <w:sz w:val="28"/>
          <w:szCs w:val="28"/>
        </w:rPr>
      </w:pPr>
      <w:r w:rsidRPr="00CA099F">
        <w:rPr>
          <w:rFonts w:eastAsia="Times New Roman" w:cs="Times New Roman"/>
          <w:sz w:val="28"/>
          <w:szCs w:val="28"/>
        </w:rPr>
        <w:t>Порівнюючи отримані результати з різними видами інтра- та післяопераційної профілактики патологічних рубців шкіри при хірургічному лікуванні кіст шиї ембріонального походження, можна говорити про активний перебіг регенераторних процесів в ушкодженій шкірі, який найбільш вираженіший був через 3 місяці спостереження при застосуванні PRF-згустка і церулоплазміну (табл. 5.5 і 5.6).</w:t>
      </w:r>
    </w:p>
    <w:p w:rsidR="00C76B4A" w:rsidRPr="00CA099F" w:rsidRDefault="00C76B4A" w:rsidP="00C05B9D">
      <w:pPr>
        <w:spacing w:after="0" w:line="360" w:lineRule="auto"/>
        <w:ind w:firstLine="709"/>
        <w:jc w:val="both"/>
        <w:rPr>
          <w:rFonts w:eastAsia="Times New Roman" w:cs="Times New Roman"/>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5.5</w:t>
      </w:r>
    </w:p>
    <w:p w:rsidR="0030517B" w:rsidRPr="00CA099F" w:rsidRDefault="0030517B" w:rsidP="0030517B">
      <w:pPr>
        <w:spacing w:after="0" w:line="360" w:lineRule="auto"/>
        <w:jc w:val="center"/>
        <w:rPr>
          <w:rFonts w:ascii="Calibri" w:eastAsia="Times New Roman" w:hAnsi="Calibri" w:cs="Times New Roman"/>
          <w:sz w:val="22"/>
        </w:rPr>
      </w:pPr>
      <w:r w:rsidRPr="00CA099F">
        <w:rPr>
          <w:rFonts w:eastAsia="Times New Roman" w:cs="Times New Roman"/>
          <w:sz w:val="28"/>
          <w:szCs w:val="28"/>
        </w:rPr>
        <w:t>Показники регенераторних процесів у гомогенаті шкіри за умови використання PRF-згустка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98"/>
        <w:gridCol w:w="1106"/>
        <w:gridCol w:w="994"/>
        <w:gridCol w:w="1060"/>
        <w:gridCol w:w="1151"/>
        <w:gridCol w:w="1060"/>
        <w:gridCol w:w="1060"/>
        <w:gridCol w:w="1060"/>
        <w:gridCol w:w="1056"/>
      </w:tblGrid>
      <w:tr w:rsidR="0030517B" w:rsidRPr="00CA099F" w:rsidTr="00E1448E">
        <w:tc>
          <w:tcPr>
            <w:tcW w:w="427" w:type="pct"/>
            <w:vMerge w:val="restart"/>
            <w:vAlign w:val="center"/>
          </w:tcPr>
          <w:p w:rsidR="0030517B" w:rsidRPr="00CA099F" w:rsidRDefault="0030517B" w:rsidP="00E1448E">
            <w:pPr>
              <w:spacing w:after="0" w:line="240" w:lineRule="auto"/>
              <w:jc w:val="center"/>
              <w:rPr>
                <w:rFonts w:eastAsia="Times New Roman" w:cs="Times New Roman"/>
                <w:sz w:val="18"/>
                <w:szCs w:val="18"/>
              </w:rPr>
            </w:pPr>
            <w:r w:rsidRPr="00CA099F">
              <w:rPr>
                <w:rFonts w:eastAsia="Times New Roman" w:cs="Times New Roman"/>
                <w:sz w:val="18"/>
                <w:szCs w:val="18"/>
              </w:rPr>
              <w:t>Показ-ник</w:t>
            </w:r>
          </w:p>
        </w:tc>
        <w:tc>
          <w:tcPr>
            <w:tcW w:w="1124"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183"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34"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32"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427" w:type="pct"/>
            <w:vMerge/>
          </w:tcPr>
          <w:p w:rsidR="0030517B" w:rsidRPr="00CA099F" w:rsidRDefault="0030517B" w:rsidP="00E1448E">
            <w:pPr>
              <w:spacing w:after="0" w:line="240" w:lineRule="auto"/>
              <w:jc w:val="center"/>
              <w:rPr>
                <w:rFonts w:eastAsia="Times New Roman" w:cs="Times New Roman"/>
                <w:szCs w:val="28"/>
              </w:rPr>
            </w:pPr>
          </w:p>
        </w:tc>
        <w:tc>
          <w:tcPr>
            <w:tcW w:w="592" w:type="pct"/>
          </w:tcPr>
          <w:p w:rsidR="0030517B" w:rsidRPr="00CA099F" w:rsidRDefault="0030517B" w:rsidP="00E1448E">
            <w:pPr>
              <w:spacing w:after="0"/>
              <w:ind w:right="-87"/>
              <w:jc w:val="center"/>
              <w:rPr>
                <w:rFonts w:eastAsia="Times New Roman" w:cs="Times New Roman"/>
                <w:szCs w:val="28"/>
              </w:rPr>
            </w:pPr>
            <w:r w:rsidRPr="00CA099F">
              <w:rPr>
                <w:rFonts w:eastAsia="Times New Roman" w:cs="Times New Roman"/>
                <w:sz w:val="28"/>
                <w:szCs w:val="28"/>
              </w:rPr>
              <w:t xml:space="preserve">Група </w:t>
            </w:r>
            <w:r w:rsidRPr="00CA099F">
              <w:rPr>
                <w:rFonts w:eastAsia="Times New Roman" w:cs="Times New Roman"/>
                <w:sz w:val="26"/>
                <w:szCs w:val="26"/>
              </w:rPr>
              <w:t>контролю</w:t>
            </w:r>
            <w:r w:rsidR="00150FDA">
              <w:rPr>
                <w:rFonts w:eastAsia="Times New Roman" w:cs="Times New Roman"/>
                <w:sz w:val="26"/>
                <w:szCs w:val="26"/>
              </w:rPr>
              <w:t xml:space="preserve"> </w:t>
            </w:r>
            <w:r w:rsidR="00150FDA">
              <w:rPr>
                <w:rFonts w:eastAsia="Times New Roman" w:cs="Times New Roman"/>
                <w:szCs w:val="24"/>
              </w:rPr>
              <w:t>(</w:t>
            </w:r>
            <w:r w:rsidR="00150FDA">
              <w:rPr>
                <w:rFonts w:eastAsia="Times New Roman" w:cs="Times New Roman"/>
                <w:szCs w:val="24"/>
                <w:lang w:val="en-US"/>
              </w:rPr>
              <w:t>n=20</w:t>
            </w:r>
            <w:r w:rsidR="00150FDA">
              <w:rPr>
                <w:rFonts w:eastAsia="Times New Roman" w:cs="Times New Roman"/>
                <w:szCs w:val="24"/>
              </w:rPr>
              <w:t>)</w:t>
            </w:r>
          </w:p>
        </w:tc>
        <w:tc>
          <w:tcPr>
            <w:tcW w:w="532" w:type="pct"/>
          </w:tcPr>
          <w:p w:rsidR="0030517B" w:rsidRDefault="0030517B" w:rsidP="00E1448E">
            <w:pPr>
              <w:spacing w:after="0"/>
              <w:ind w:right="-87"/>
              <w:jc w:val="center"/>
              <w:rPr>
                <w:rFonts w:eastAsia="Times New Roman" w:cs="Times New Roman"/>
                <w:szCs w:val="28"/>
              </w:rPr>
            </w:pPr>
            <w:r w:rsidRPr="00CA099F">
              <w:rPr>
                <w:rFonts w:eastAsia="Times New Roman" w:cs="Times New Roman"/>
                <w:sz w:val="28"/>
                <w:szCs w:val="28"/>
              </w:rPr>
              <w:t>1 група</w:t>
            </w:r>
          </w:p>
          <w:p w:rsidR="00150FDA" w:rsidRPr="00CA099F" w:rsidRDefault="00150FDA" w:rsidP="00E1448E">
            <w:pPr>
              <w:spacing w:after="0"/>
              <w:ind w:right="-87"/>
              <w:jc w:val="center"/>
              <w:rPr>
                <w:rFonts w:eastAsia="Times New Roman" w:cs="Times New Roman"/>
                <w:szCs w:val="28"/>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7" w:type="pct"/>
          </w:tcPr>
          <w:p w:rsidR="0030517B" w:rsidRPr="00CA099F" w:rsidRDefault="0030517B" w:rsidP="00E1448E">
            <w:pPr>
              <w:spacing w:after="0"/>
              <w:ind w:right="-87"/>
              <w:jc w:val="center"/>
              <w:rPr>
                <w:rFonts w:eastAsia="Times New Roman" w:cs="Times New Roman"/>
                <w:szCs w:val="28"/>
              </w:rPr>
            </w:pPr>
            <w:r w:rsidRPr="00CA099F">
              <w:rPr>
                <w:rFonts w:eastAsia="Times New Roman" w:cs="Times New Roman"/>
                <w:sz w:val="28"/>
                <w:szCs w:val="28"/>
              </w:rPr>
              <w:t xml:space="preserve">Група </w:t>
            </w:r>
            <w:r w:rsidRPr="00CA099F">
              <w:rPr>
                <w:rFonts w:eastAsia="Times New Roman" w:cs="Times New Roman"/>
                <w:szCs w:val="24"/>
              </w:rPr>
              <w:t>контролю</w:t>
            </w:r>
            <w:r w:rsidR="00150FDA">
              <w:rPr>
                <w:rFonts w:eastAsia="Times New Roman" w:cs="Times New Roman"/>
                <w:szCs w:val="24"/>
              </w:rPr>
              <w:t xml:space="preserve"> (</w:t>
            </w:r>
            <w:r w:rsidR="00150FDA">
              <w:rPr>
                <w:rFonts w:eastAsia="Times New Roman" w:cs="Times New Roman"/>
                <w:szCs w:val="24"/>
                <w:lang w:val="en-US"/>
              </w:rPr>
              <w:t>n=20</w:t>
            </w:r>
            <w:r w:rsidR="00150FDA">
              <w:rPr>
                <w:rFonts w:eastAsia="Times New Roman" w:cs="Times New Roman"/>
                <w:szCs w:val="24"/>
              </w:rPr>
              <w:t>)</w:t>
            </w:r>
          </w:p>
        </w:tc>
        <w:tc>
          <w:tcPr>
            <w:tcW w:w="616" w:type="pct"/>
          </w:tcPr>
          <w:p w:rsidR="0030517B" w:rsidRDefault="0030517B" w:rsidP="00E1448E">
            <w:pPr>
              <w:spacing w:after="0"/>
              <w:ind w:right="-87"/>
              <w:jc w:val="center"/>
              <w:rPr>
                <w:rFonts w:eastAsia="Times New Roman" w:cs="Times New Roman"/>
                <w:szCs w:val="28"/>
              </w:rPr>
            </w:pPr>
            <w:r w:rsidRPr="00CA099F">
              <w:rPr>
                <w:rFonts w:eastAsia="Times New Roman" w:cs="Times New Roman"/>
                <w:sz w:val="28"/>
                <w:szCs w:val="28"/>
              </w:rPr>
              <w:t>1 група</w:t>
            </w:r>
          </w:p>
          <w:p w:rsidR="00150FDA" w:rsidRPr="00CA099F" w:rsidRDefault="00150FDA" w:rsidP="00E1448E">
            <w:pPr>
              <w:spacing w:after="0"/>
              <w:ind w:right="-87"/>
              <w:jc w:val="center"/>
              <w:rPr>
                <w:rFonts w:eastAsia="Times New Roman" w:cs="Times New Roman"/>
                <w:szCs w:val="28"/>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7" w:type="pct"/>
          </w:tcPr>
          <w:p w:rsidR="0030517B" w:rsidRPr="00CA099F" w:rsidRDefault="0030517B" w:rsidP="00E1448E">
            <w:pPr>
              <w:spacing w:after="0"/>
              <w:ind w:right="-87"/>
              <w:jc w:val="center"/>
              <w:rPr>
                <w:rFonts w:eastAsia="Times New Roman" w:cs="Times New Roman"/>
                <w:szCs w:val="28"/>
              </w:rPr>
            </w:pPr>
            <w:r w:rsidRPr="00CA099F">
              <w:rPr>
                <w:rFonts w:eastAsia="Times New Roman" w:cs="Times New Roman"/>
                <w:sz w:val="28"/>
                <w:szCs w:val="28"/>
              </w:rPr>
              <w:t xml:space="preserve">Група </w:t>
            </w:r>
            <w:r w:rsidRPr="00CA099F">
              <w:rPr>
                <w:rFonts w:eastAsia="Times New Roman" w:cs="Times New Roman"/>
                <w:szCs w:val="24"/>
              </w:rPr>
              <w:t>контролю</w:t>
            </w:r>
            <w:r w:rsidR="00150FDA">
              <w:rPr>
                <w:rFonts w:eastAsia="Times New Roman" w:cs="Times New Roman"/>
                <w:szCs w:val="24"/>
              </w:rPr>
              <w:t xml:space="preserve"> (</w:t>
            </w:r>
            <w:r w:rsidR="00150FDA">
              <w:rPr>
                <w:rFonts w:eastAsia="Times New Roman" w:cs="Times New Roman"/>
                <w:szCs w:val="24"/>
                <w:lang w:val="en-US"/>
              </w:rPr>
              <w:t>n=20</w:t>
            </w:r>
            <w:r w:rsidR="00150FDA">
              <w:rPr>
                <w:rFonts w:eastAsia="Times New Roman" w:cs="Times New Roman"/>
                <w:szCs w:val="24"/>
              </w:rPr>
              <w:t>)</w:t>
            </w:r>
          </w:p>
        </w:tc>
        <w:tc>
          <w:tcPr>
            <w:tcW w:w="567" w:type="pct"/>
          </w:tcPr>
          <w:p w:rsidR="0030517B" w:rsidRDefault="0030517B" w:rsidP="00E1448E">
            <w:pPr>
              <w:spacing w:after="0"/>
              <w:ind w:right="-87"/>
              <w:jc w:val="center"/>
              <w:rPr>
                <w:rFonts w:eastAsia="Times New Roman" w:cs="Times New Roman"/>
                <w:szCs w:val="28"/>
              </w:rPr>
            </w:pPr>
            <w:r w:rsidRPr="00CA099F">
              <w:rPr>
                <w:rFonts w:eastAsia="Times New Roman" w:cs="Times New Roman"/>
                <w:sz w:val="28"/>
                <w:szCs w:val="28"/>
              </w:rPr>
              <w:t>1 група</w:t>
            </w:r>
          </w:p>
          <w:p w:rsidR="00150FDA" w:rsidRPr="00CA099F" w:rsidRDefault="00150FDA" w:rsidP="00E1448E">
            <w:pPr>
              <w:spacing w:after="0"/>
              <w:ind w:right="-87"/>
              <w:jc w:val="center"/>
              <w:rPr>
                <w:rFonts w:eastAsia="Times New Roman" w:cs="Times New Roman"/>
                <w:szCs w:val="28"/>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7" w:type="pct"/>
          </w:tcPr>
          <w:p w:rsidR="0030517B" w:rsidRPr="00CA099F" w:rsidRDefault="0030517B" w:rsidP="00E1448E">
            <w:pPr>
              <w:spacing w:after="0"/>
              <w:ind w:right="-87"/>
              <w:jc w:val="center"/>
              <w:rPr>
                <w:rFonts w:eastAsia="Times New Roman" w:cs="Times New Roman"/>
                <w:szCs w:val="28"/>
              </w:rPr>
            </w:pPr>
            <w:r w:rsidRPr="00CA099F">
              <w:rPr>
                <w:rFonts w:eastAsia="Times New Roman" w:cs="Times New Roman"/>
                <w:sz w:val="28"/>
                <w:szCs w:val="28"/>
              </w:rPr>
              <w:t xml:space="preserve">Група </w:t>
            </w:r>
            <w:r w:rsidRPr="00CA099F">
              <w:rPr>
                <w:rFonts w:eastAsia="Times New Roman" w:cs="Times New Roman"/>
                <w:szCs w:val="24"/>
              </w:rPr>
              <w:t>контролю</w:t>
            </w:r>
            <w:r w:rsidR="00150FDA">
              <w:rPr>
                <w:rFonts w:eastAsia="Times New Roman" w:cs="Times New Roman"/>
                <w:szCs w:val="24"/>
              </w:rPr>
              <w:t xml:space="preserve"> (</w:t>
            </w:r>
            <w:r w:rsidR="00150FDA">
              <w:rPr>
                <w:rFonts w:eastAsia="Times New Roman" w:cs="Times New Roman"/>
                <w:szCs w:val="24"/>
                <w:lang w:val="en-US"/>
              </w:rPr>
              <w:t>n=20</w:t>
            </w:r>
            <w:r w:rsidR="00150FDA">
              <w:rPr>
                <w:rFonts w:eastAsia="Times New Roman" w:cs="Times New Roman"/>
                <w:szCs w:val="24"/>
              </w:rPr>
              <w:t>)</w:t>
            </w:r>
          </w:p>
        </w:tc>
        <w:tc>
          <w:tcPr>
            <w:tcW w:w="565" w:type="pct"/>
          </w:tcPr>
          <w:p w:rsidR="0030517B" w:rsidRDefault="0030517B" w:rsidP="00E1448E">
            <w:pPr>
              <w:spacing w:after="0"/>
              <w:ind w:right="-87"/>
              <w:jc w:val="center"/>
              <w:rPr>
                <w:rFonts w:eastAsia="Times New Roman" w:cs="Times New Roman"/>
                <w:szCs w:val="28"/>
              </w:rPr>
            </w:pPr>
            <w:r w:rsidRPr="00CA099F">
              <w:rPr>
                <w:rFonts w:eastAsia="Times New Roman" w:cs="Times New Roman"/>
                <w:sz w:val="28"/>
                <w:szCs w:val="28"/>
              </w:rPr>
              <w:t>1 група</w:t>
            </w:r>
          </w:p>
          <w:p w:rsidR="00801EEF" w:rsidRPr="00CA099F" w:rsidRDefault="00801EEF" w:rsidP="00E1448E">
            <w:pPr>
              <w:spacing w:after="0"/>
              <w:ind w:right="-87"/>
              <w:jc w:val="center"/>
              <w:rPr>
                <w:rFonts w:eastAsia="Times New Roman" w:cs="Times New Roman"/>
                <w:szCs w:val="28"/>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427" w:type="pct"/>
          </w:tcPr>
          <w:p w:rsidR="0030517B" w:rsidRPr="00CA099F" w:rsidRDefault="0030517B" w:rsidP="00E1448E">
            <w:pPr>
              <w:spacing w:after="0" w:line="240" w:lineRule="auto"/>
              <w:ind w:right="-152"/>
              <w:jc w:val="center"/>
              <w:rPr>
                <w:rFonts w:eastAsia="Times New Roman" w:cs="Times New Roman"/>
                <w:szCs w:val="28"/>
              </w:rPr>
            </w:pPr>
            <w:r w:rsidRPr="00CA099F">
              <w:rPr>
                <w:rFonts w:eastAsia="Times New Roman" w:cs="Times New Roman"/>
                <w:sz w:val="28"/>
                <w:szCs w:val="28"/>
              </w:rPr>
              <w:t>РНК, мкг/мг</w:t>
            </w:r>
          </w:p>
        </w:tc>
        <w:tc>
          <w:tcPr>
            <w:tcW w:w="59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22,15±0,57</w:t>
            </w:r>
          </w:p>
        </w:tc>
        <w:tc>
          <w:tcPr>
            <w:tcW w:w="53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30,41±0,26*</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26,41±0,57</w:t>
            </w:r>
          </w:p>
        </w:tc>
        <w:tc>
          <w:tcPr>
            <w:tcW w:w="61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29,41±</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0,38*</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28,30±0,36</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28,45±0,27</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27,46±0,35</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27,99±0,25</w:t>
            </w:r>
          </w:p>
        </w:tc>
      </w:tr>
      <w:tr w:rsidR="0030517B" w:rsidRPr="00CA099F" w:rsidTr="00E1448E">
        <w:tc>
          <w:tcPr>
            <w:tcW w:w="427" w:type="pct"/>
          </w:tcPr>
          <w:p w:rsidR="0030517B" w:rsidRPr="00CA099F" w:rsidRDefault="0030517B" w:rsidP="00E1448E">
            <w:pPr>
              <w:spacing w:after="0" w:line="240" w:lineRule="auto"/>
              <w:ind w:right="-152"/>
              <w:jc w:val="center"/>
              <w:rPr>
                <w:rFonts w:eastAsia="Times New Roman" w:cs="Times New Roman"/>
                <w:szCs w:val="28"/>
              </w:rPr>
            </w:pPr>
            <w:r w:rsidRPr="00CA099F">
              <w:rPr>
                <w:rFonts w:eastAsia="Times New Roman" w:cs="Times New Roman"/>
                <w:sz w:val="28"/>
                <w:szCs w:val="28"/>
              </w:rPr>
              <w:t xml:space="preserve">ДНК, мкг/мг </w:t>
            </w:r>
          </w:p>
        </w:tc>
        <w:tc>
          <w:tcPr>
            <w:tcW w:w="59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17,09±0,27</w:t>
            </w:r>
          </w:p>
        </w:tc>
        <w:tc>
          <w:tcPr>
            <w:tcW w:w="53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24,25±0,24*</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19,95±0,42</w:t>
            </w:r>
          </w:p>
        </w:tc>
        <w:tc>
          <w:tcPr>
            <w:tcW w:w="61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20,08±</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0,54</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20,02±0,27</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20,94±0,28</w:t>
            </w:r>
          </w:p>
        </w:tc>
        <w:tc>
          <w:tcPr>
            <w:tcW w:w="5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20,47±0,40</w:t>
            </w:r>
          </w:p>
        </w:tc>
        <w:tc>
          <w:tcPr>
            <w:tcW w:w="56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21,94±0,45</w:t>
            </w:r>
          </w:p>
        </w:tc>
      </w:tr>
      <w:tr w:rsidR="0030517B" w:rsidRPr="00CA099F" w:rsidTr="00E1448E">
        <w:tc>
          <w:tcPr>
            <w:tcW w:w="427" w:type="pct"/>
          </w:tcPr>
          <w:p w:rsidR="0030517B" w:rsidRPr="00CA099F" w:rsidRDefault="0030517B" w:rsidP="00E1448E">
            <w:pPr>
              <w:spacing w:after="0" w:line="240" w:lineRule="auto"/>
              <w:jc w:val="center"/>
              <w:rPr>
                <w:rFonts w:eastAsia="Times New Roman" w:cs="Times New Roman"/>
                <w:szCs w:val="28"/>
              </w:rPr>
            </w:pPr>
          </w:p>
        </w:tc>
        <w:tc>
          <w:tcPr>
            <w:tcW w:w="592" w:type="pct"/>
          </w:tcPr>
          <w:p w:rsidR="0030517B" w:rsidRPr="00CA099F" w:rsidRDefault="0030517B" w:rsidP="00E1448E">
            <w:pPr>
              <w:spacing w:after="0" w:line="240" w:lineRule="auto"/>
              <w:jc w:val="center"/>
              <w:rPr>
                <w:rFonts w:eastAsia="Times New Roman" w:cs="Times New Roman"/>
                <w:szCs w:val="28"/>
              </w:rPr>
            </w:pPr>
          </w:p>
        </w:tc>
        <w:tc>
          <w:tcPr>
            <w:tcW w:w="532" w:type="pct"/>
          </w:tcPr>
          <w:p w:rsidR="0030517B" w:rsidRPr="00CA099F" w:rsidRDefault="0030517B" w:rsidP="00E1448E">
            <w:pPr>
              <w:spacing w:after="0" w:line="240" w:lineRule="auto"/>
              <w:jc w:val="center"/>
              <w:rPr>
                <w:rFonts w:eastAsia="Times New Roman" w:cs="Times New Roman"/>
                <w:szCs w:val="28"/>
              </w:rPr>
            </w:pPr>
          </w:p>
        </w:tc>
        <w:tc>
          <w:tcPr>
            <w:tcW w:w="567" w:type="pct"/>
          </w:tcPr>
          <w:p w:rsidR="0030517B" w:rsidRPr="00CA099F" w:rsidRDefault="0030517B" w:rsidP="00E1448E">
            <w:pPr>
              <w:spacing w:after="0" w:line="240" w:lineRule="auto"/>
              <w:jc w:val="center"/>
              <w:rPr>
                <w:rFonts w:eastAsia="Times New Roman" w:cs="Times New Roman"/>
                <w:szCs w:val="28"/>
              </w:rPr>
            </w:pPr>
          </w:p>
        </w:tc>
        <w:tc>
          <w:tcPr>
            <w:tcW w:w="616"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67" w:type="pct"/>
          </w:tcPr>
          <w:p w:rsidR="0030517B" w:rsidRPr="00CA099F" w:rsidRDefault="0030517B" w:rsidP="00E1448E">
            <w:pPr>
              <w:spacing w:after="0"/>
              <w:jc w:val="center"/>
              <w:rPr>
                <w:rFonts w:eastAsia="Times New Roman" w:cs="Times New Roman"/>
                <w:szCs w:val="28"/>
              </w:rPr>
            </w:pPr>
          </w:p>
        </w:tc>
        <w:tc>
          <w:tcPr>
            <w:tcW w:w="567" w:type="pct"/>
          </w:tcPr>
          <w:p w:rsidR="0030517B" w:rsidRPr="00CA099F" w:rsidRDefault="0030517B" w:rsidP="00E1448E">
            <w:pPr>
              <w:spacing w:after="0"/>
              <w:jc w:val="center"/>
              <w:rPr>
                <w:rFonts w:eastAsia="Times New Roman" w:cs="Times New Roman"/>
                <w:szCs w:val="28"/>
              </w:rPr>
            </w:pPr>
          </w:p>
        </w:tc>
        <w:tc>
          <w:tcPr>
            <w:tcW w:w="567" w:type="pct"/>
          </w:tcPr>
          <w:p w:rsidR="0030517B" w:rsidRPr="00CA099F" w:rsidRDefault="0030517B" w:rsidP="00E1448E">
            <w:pPr>
              <w:spacing w:after="0"/>
              <w:jc w:val="center"/>
              <w:rPr>
                <w:rFonts w:eastAsia="Times New Roman" w:cs="Times New Roman"/>
                <w:szCs w:val="28"/>
              </w:rPr>
            </w:pPr>
          </w:p>
        </w:tc>
        <w:tc>
          <w:tcPr>
            <w:tcW w:w="565"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w:t>
            </w:r>
          </w:p>
        </w:tc>
      </w:tr>
    </w:tbl>
    <w:p w:rsidR="0030517B" w:rsidRDefault="0030517B" w:rsidP="0030517B">
      <w:pPr>
        <w:spacing w:after="0" w:line="360" w:lineRule="auto"/>
        <w:jc w:val="both"/>
        <w:rPr>
          <w:rFonts w:ascii="Calibri" w:eastAsia="Times New Roman" w:hAnsi="Calibri" w:cs="Times New Roman"/>
          <w:sz w:val="22"/>
        </w:rPr>
      </w:pPr>
    </w:p>
    <w:p w:rsidR="00C76B4A" w:rsidRPr="00CA099F" w:rsidRDefault="00C76B4A" w:rsidP="0030517B">
      <w:pPr>
        <w:spacing w:after="0" w:line="360" w:lineRule="auto"/>
        <w:jc w:val="both"/>
        <w:rPr>
          <w:rFonts w:ascii="Calibri" w:eastAsia="Times New Roman" w:hAnsi="Calibri" w:cs="Times New Roman"/>
          <w:sz w:val="22"/>
        </w:rPr>
      </w:pPr>
    </w:p>
    <w:p w:rsidR="00C76B4A" w:rsidRPr="00CA099F" w:rsidRDefault="00C76B4A" w:rsidP="00C76B4A">
      <w:pPr>
        <w:spacing w:after="0" w:line="360" w:lineRule="auto"/>
        <w:ind w:firstLine="709"/>
        <w:jc w:val="both"/>
        <w:rPr>
          <w:rFonts w:eastAsia="Times New Roman" w:cs="Times New Roman"/>
          <w:sz w:val="28"/>
          <w:szCs w:val="28"/>
        </w:rPr>
      </w:pPr>
      <w:r w:rsidRPr="00CA099F">
        <w:rPr>
          <w:rFonts w:eastAsia="Times New Roman" w:cs="Times New Roman"/>
          <w:sz w:val="28"/>
          <w:szCs w:val="28"/>
        </w:rPr>
        <w:t>Як відомо, активність процесів ліпопероксидації та окисної модифікації білків залежить не лише від інтенсивності утворення вільних радикалів у тканинах, а й від функціонального стану системи антиоксидного захисту.</w:t>
      </w:r>
    </w:p>
    <w:p w:rsidR="0030517B" w:rsidRDefault="0030517B" w:rsidP="0030517B">
      <w:pPr>
        <w:spacing w:after="0" w:line="360" w:lineRule="auto"/>
        <w:jc w:val="right"/>
        <w:rPr>
          <w:rFonts w:eastAsia="Times New Roman" w:cs="Times New Roman"/>
          <w:i/>
          <w:sz w:val="28"/>
          <w:szCs w:val="28"/>
        </w:rPr>
      </w:pPr>
    </w:p>
    <w:p w:rsidR="00C76B4A" w:rsidRPr="00CA099F" w:rsidRDefault="00C76B4A" w:rsidP="0030517B">
      <w:pPr>
        <w:spacing w:after="0" w:line="360" w:lineRule="auto"/>
        <w:jc w:val="right"/>
        <w:rPr>
          <w:rFonts w:eastAsia="Times New Roman" w:cs="Times New Roman"/>
          <w:i/>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lastRenderedPageBreak/>
        <w:t>Таблиця 5.6.</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регенераторних процесів у гомогенаті шкіри за умови використання PRF-згустка та церулоплазміну</w:t>
      </w:r>
    </w:p>
    <w:p w:rsidR="0030517B" w:rsidRPr="00CA099F" w:rsidRDefault="0030517B" w:rsidP="0030517B">
      <w:pPr>
        <w:spacing w:after="0"/>
        <w:rPr>
          <w:rFonts w:ascii="Calibri" w:eastAsia="Times New Roman" w:hAnsi="Calibri" w:cs="Times New Roman"/>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99"/>
        <w:gridCol w:w="969"/>
        <w:gridCol w:w="1038"/>
        <w:gridCol w:w="1091"/>
        <w:gridCol w:w="1091"/>
        <w:gridCol w:w="1091"/>
        <w:gridCol w:w="1091"/>
        <w:gridCol w:w="1091"/>
        <w:gridCol w:w="1084"/>
      </w:tblGrid>
      <w:tr w:rsidR="0030517B" w:rsidRPr="00CA099F" w:rsidTr="00E1448E">
        <w:tc>
          <w:tcPr>
            <w:tcW w:w="427" w:type="pct"/>
            <w:vMerge w:val="restart"/>
            <w:vAlign w:val="center"/>
          </w:tcPr>
          <w:p w:rsidR="0030517B" w:rsidRPr="00CA099F" w:rsidRDefault="0030517B" w:rsidP="00E1448E">
            <w:pPr>
              <w:spacing w:after="0" w:line="240" w:lineRule="auto"/>
              <w:ind w:right="-90"/>
              <w:rPr>
                <w:rFonts w:eastAsia="Times New Roman" w:cs="Times New Roman"/>
                <w:sz w:val="22"/>
              </w:rPr>
            </w:pPr>
            <w:r w:rsidRPr="00CA099F">
              <w:rPr>
                <w:rFonts w:eastAsia="Times New Roman" w:cs="Times New Roman"/>
                <w:sz w:val="22"/>
              </w:rPr>
              <w:t>П</w:t>
            </w:r>
            <w:r w:rsidRPr="00CA099F">
              <w:rPr>
                <w:rFonts w:eastAsia="Times New Roman" w:cs="Times New Roman"/>
                <w:sz w:val="18"/>
                <w:szCs w:val="18"/>
              </w:rPr>
              <w:t>оказник</w:t>
            </w:r>
          </w:p>
        </w:tc>
        <w:tc>
          <w:tcPr>
            <w:tcW w:w="1073"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16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6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64"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427" w:type="pct"/>
            <w:vMerge/>
          </w:tcPr>
          <w:p w:rsidR="0030517B" w:rsidRPr="00CA099F" w:rsidRDefault="0030517B" w:rsidP="00E1448E">
            <w:pPr>
              <w:spacing w:after="0" w:line="240" w:lineRule="auto"/>
              <w:ind w:right="-90"/>
              <w:jc w:val="center"/>
              <w:rPr>
                <w:rFonts w:eastAsia="Times New Roman" w:cs="Times New Roman"/>
                <w:szCs w:val="28"/>
              </w:rPr>
            </w:pPr>
          </w:p>
        </w:tc>
        <w:tc>
          <w:tcPr>
            <w:tcW w:w="518"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801EEF">
              <w:rPr>
                <w:rFonts w:eastAsia="Times New Roman" w:cs="Times New Roman"/>
                <w:sz w:val="20"/>
                <w:szCs w:val="20"/>
              </w:rPr>
              <w:t xml:space="preserve"> </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55"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4" w:type="pct"/>
          </w:tcPr>
          <w:p w:rsidR="00801EE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30517B"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r>
              <w:rPr>
                <w:rFonts w:eastAsia="Times New Roman" w:cs="Times New Roman"/>
                <w:sz w:val="20"/>
                <w:szCs w:val="20"/>
              </w:rPr>
              <w:t xml:space="preserve"> </w:t>
            </w:r>
          </w:p>
        </w:tc>
        <w:tc>
          <w:tcPr>
            <w:tcW w:w="584"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r w:rsidR="00801EEF">
              <w:rPr>
                <w:rFonts w:eastAsia="Times New Roman" w:cs="Times New Roman"/>
                <w:sz w:val="20"/>
                <w:szCs w:val="20"/>
              </w:rPr>
              <w:t xml:space="preserve"> </w:t>
            </w:r>
            <w:r w:rsidR="00801EEF">
              <w:rPr>
                <w:rFonts w:eastAsia="Times New Roman" w:cs="Times New Roman"/>
                <w:szCs w:val="24"/>
              </w:rPr>
              <w:t>(</w:t>
            </w:r>
            <w:r w:rsidR="00801EEF">
              <w:rPr>
                <w:rFonts w:eastAsia="Times New Roman" w:cs="Times New Roman"/>
                <w:szCs w:val="24"/>
                <w:lang w:val="en-US"/>
              </w:rPr>
              <w:t>n=20</w:t>
            </w:r>
            <w:r w:rsidR="00801EEF">
              <w:rPr>
                <w:rFonts w:eastAsia="Times New Roman" w:cs="Times New Roman"/>
                <w:szCs w:val="24"/>
              </w:rPr>
              <w:t>)</w:t>
            </w:r>
          </w:p>
        </w:tc>
        <w:tc>
          <w:tcPr>
            <w:tcW w:w="58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427"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РНК, мкг/мг</w:t>
            </w:r>
          </w:p>
        </w:tc>
        <w:tc>
          <w:tcPr>
            <w:tcW w:w="518"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22,15±0,57</w:t>
            </w:r>
          </w:p>
        </w:tc>
        <w:tc>
          <w:tcPr>
            <w:tcW w:w="55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38,31±0,66*</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26,41±0,57</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31,90±0,53*</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28,30±0,36</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29,86±0,38</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27,46±0,35</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30,04±0,49*</w:t>
            </w:r>
          </w:p>
        </w:tc>
      </w:tr>
      <w:tr w:rsidR="0030517B" w:rsidRPr="00CA099F" w:rsidTr="00E1448E">
        <w:tc>
          <w:tcPr>
            <w:tcW w:w="427" w:type="pct"/>
          </w:tcPr>
          <w:p w:rsidR="0030517B" w:rsidRPr="00CA099F" w:rsidRDefault="0030517B" w:rsidP="00E1448E">
            <w:pPr>
              <w:spacing w:after="0" w:line="240" w:lineRule="auto"/>
              <w:ind w:right="-90"/>
              <w:jc w:val="center"/>
              <w:rPr>
                <w:rFonts w:eastAsia="Times New Roman" w:cs="Times New Roman"/>
                <w:szCs w:val="28"/>
              </w:rPr>
            </w:pPr>
          </w:p>
        </w:tc>
        <w:tc>
          <w:tcPr>
            <w:tcW w:w="518" w:type="pct"/>
          </w:tcPr>
          <w:p w:rsidR="0030517B" w:rsidRPr="00CA099F" w:rsidRDefault="0030517B" w:rsidP="00E1448E">
            <w:pPr>
              <w:spacing w:after="0" w:line="240" w:lineRule="auto"/>
              <w:jc w:val="center"/>
              <w:rPr>
                <w:rFonts w:eastAsia="Times New Roman" w:cs="Times New Roman"/>
                <w:szCs w:val="28"/>
              </w:rPr>
            </w:pPr>
          </w:p>
        </w:tc>
        <w:tc>
          <w:tcPr>
            <w:tcW w:w="555" w:type="pct"/>
          </w:tcPr>
          <w:p w:rsidR="0030517B" w:rsidRPr="00CA099F" w:rsidRDefault="0030517B" w:rsidP="00E1448E">
            <w:pPr>
              <w:spacing w:after="0" w:line="240" w:lineRule="auto"/>
              <w:jc w:val="center"/>
              <w:rPr>
                <w:rFonts w:eastAsia="Times New Roman" w:cs="Times New Roman"/>
                <w:szCs w:val="28"/>
              </w:rPr>
            </w:pPr>
          </w:p>
        </w:tc>
        <w:tc>
          <w:tcPr>
            <w:tcW w:w="584" w:type="pct"/>
          </w:tcPr>
          <w:p w:rsidR="0030517B" w:rsidRPr="00CA099F" w:rsidRDefault="0030517B" w:rsidP="00E1448E">
            <w:pPr>
              <w:spacing w:after="0" w:line="240" w:lineRule="auto"/>
              <w:jc w:val="center"/>
              <w:rPr>
                <w:rFonts w:eastAsia="Times New Roman" w:cs="Times New Roman"/>
                <w:szCs w:val="28"/>
              </w:rPr>
            </w:pPr>
          </w:p>
        </w:tc>
        <w:tc>
          <w:tcPr>
            <w:tcW w:w="58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4" w:type="pct"/>
          </w:tcPr>
          <w:p w:rsidR="0030517B" w:rsidRPr="00CA099F" w:rsidRDefault="0030517B" w:rsidP="00E1448E">
            <w:pPr>
              <w:spacing w:after="0"/>
              <w:jc w:val="center"/>
              <w:rPr>
                <w:rFonts w:eastAsia="Times New Roman" w:cs="Times New Roman"/>
                <w:szCs w:val="28"/>
              </w:rPr>
            </w:pPr>
          </w:p>
        </w:tc>
        <w:tc>
          <w:tcPr>
            <w:tcW w:w="58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&lt;0,05</w:t>
            </w:r>
          </w:p>
        </w:tc>
        <w:tc>
          <w:tcPr>
            <w:tcW w:w="584" w:type="pct"/>
          </w:tcPr>
          <w:p w:rsidR="0030517B" w:rsidRPr="00CA099F" w:rsidRDefault="0030517B" w:rsidP="00E1448E">
            <w:pPr>
              <w:spacing w:after="0"/>
              <w:jc w:val="center"/>
              <w:rPr>
                <w:rFonts w:eastAsia="Times New Roman" w:cs="Times New Roman"/>
                <w:szCs w:val="28"/>
              </w:rPr>
            </w:pPr>
          </w:p>
        </w:tc>
        <w:tc>
          <w:tcPr>
            <w:tcW w:w="580"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427"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 xml:space="preserve">ДНК, мкг/мг </w:t>
            </w:r>
          </w:p>
        </w:tc>
        <w:tc>
          <w:tcPr>
            <w:tcW w:w="518"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17,09±0,27</w:t>
            </w:r>
          </w:p>
        </w:tc>
        <w:tc>
          <w:tcPr>
            <w:tcW w:w="55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29,92±0,39*</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19,95±0,42</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26,31±0,32*</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20,02±0,27</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22,07±0,40*</w:t>
            </w:r>
          </w:p>
        </w:tc>
        <w:tc>
          <w:tcPr>
            <w:tcW w:w="5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20,47±0,40</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20,62±0,64</w:t>
            </w:r>
          </w:p>
        </w:tc>
      </w:tr>
      <w:tr w:rsidR="0030517B" w:rsidRPr="00CA099F" w:rsidTr="00E1448E">
        <w:tc>
          <w:tcPr>
            <w:tcW w:w="427" w:type="pct"/>
          </w:tcPr>
          <w:p w:rsidR="0030517B" w:rsidRPr="00CA099F" w:rsidRDefault="0030517B" w:rsidP="00E1448E">
            <w:pPr>
              <w:spacing w:after="0" w:line="240" w:lineRule="auto"/>
              <w:jc w:val="center"/>
              <w:rPr>
                <w:rFonts w:eastAsia="Times New Roman" w:cs="Times New Roman"/>
                <w:szCs w:val="28"/>
              </w:rPr>
            </w:pPr>
          </w:p>
        </w:tc>
        <w:tc>
          <w:tcPr>
            <w:tcW w:w="518" w:type="pct"/>
          </w:tcPr>
          <w:p w:rsidR="0030517B" w:rsidRPr="00CA099F" w:rsidRDefault="0030517B" w:rsidP="00E1448E">
            <w:pPr>
              <w:spacing w:after="0" w:line="240" w:lineRule="auto"/>
              <w:jc w:val="center"/>
              <w:rPr>
                <w:rFonts w:eastAsia="Times New Roman" w:cs="Times New Roman"/>
                <w:szCs w:val="28"/>
              </w:rPr>
            </w:pPr>
          </w:p>
        </w:tc>
        <w:tc>
          <w:tcPr>
            <w:tcW w:w="555" w:type="pct"/>
          </w:tcPr>
          <w:p w:rsidR="0030517B" w:rsidRPr="00CA099F" w:rsidRDefault="0030517B" w:rsidP="00E1448E">
            <w:pPr>
              <w:spacing w:after="0" w:line="240" w:lineRule="auto"/>
              <w:jc w:val="center"/>
              <w:rPr>
                <w:rFonts w:eastAsia="Times New Roman" w:cs="Times New Roman"/>
                <w:szCs w:val="28"/>
              </w:rPr>
            </w:pPr>
          </w:p>
        </w:tc>
        <w:tc>
          <w:tcPr>
            <w:tcW w:w="584" w:type="pct"/>
          </w:tcPr>
          <w:p w:rsidR="0030517B" w:rsidRPr="00CA099F" w:rsidRDefault="0030517B" w:rsidP="00E1448E">
            <w:pPr>
              <w:spacing w:after="0" w:line="240" w:lineRule="auto"/>
              <w:jc w:val="center"/>
              <w:rPr>
                <w:rFonts w:eastAsia="Times New Roman" w:cs="Times New Roman"/>
                <w:szCs w:val="28"/>
              </w:rPr>
            </w:pPr>
          </w:p>
        </w:tc>
        <w:tc>
          <w:tcPr>
            <w:tcW w:w="58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&lt;0,01</w:t>
            </w:r>
          </w:p>
        </w:tc>
        <w:tc>
          <w:tcPr>
            <w:tcW w:w="584" w:type="pct"/>
          </w:tcPr>
          <w:p w:rsidR="0030517B" w:rsidRPr="00CA099F" w:rsidRDefault="0030517B" w:rsidP="00E1448E">
            <w:pPr>
              <w:spacing w:after="0"/>
              <w:jc w:val="center"/>
              <w:rPr>
                <w:rFonts w:eastAsia="Times New Roman" w:cs="Times New Roman"/>
                <w:szCs w:val="28"/>
              </w:rPr>
            </w:pPr>
          </w:p>
        </w:tc>
        <w:tc>
          <w:tcPr>
            <w:tcW w:w="58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2</w:t>
            </w:r>
            <w:r w:rsidRPr="00CA099F">
              <w:rPr>
                <w:rFonts w:eastAsia="Times New Roman" w:cs="Times New Roman"/>
                <w:color w:val="000000"/>
                <w:sz w:val="28"/>
                <w:szCs w:val="28"/>
              </w:rPr>
              <w:t>&lt;0,05</w:t>
            </w:r>
          </w:p>
        </w:tc>
        <w:tc>
          <w:tcPr>
            <w:tcW w:w="584" w:type="pct"/>
          </w:tcPr>
          <w:p w:rsidR="0030517B" w:rsidRPr="00CA099F" w:rsidRDefault="0030517B" w:rsidP="00E1448E">
            <w:pPr>
              <w:spacing w:after="0" w:line="240" w:lineRule="auto"/>
              <w:jc w:val="center"/>
              <w:rPr>
                <w:rFonts w:eastAsia="Times New Roman" w:cs="Times New Roman"/>
                <w:szCs w:val="28"/>
              </w:rPr>
            </w:pP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3</w:t>
            </w:r>
            <w:r w:rsidRPr="00CA099F">
              <w:rPr>
                <w:rFonts w:eastAsia="Times New Roman" w:cs="Times New Roman"/>
                <w:color w:val="000000"/>
                <w:sz w:val="28"/>
                <w:szCs w:val="28"/>
              </w:rPr>
              <w:t>&lt;0,05</w:t>
            </w:r>
          </w:p>
        </w:tc>
      </w:tr>
      <w:tr w:rsidR="0030517B" w:rsidRPr="00CA099F" w:rsidTr="00C76B4A">
        <w:tblPrEx>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Ex>
        <w:tc>
          <w:tcPr>
            <w:tcW w:w="5000" w:type="pct"/>
            <w:gridSpan w:val="9"/>
            <w:tcBorders>
              <w:left w:val="single" w:sz="4" w:space="0" w:color="auto"/>
              <w:bottom w:val="single" w:sz="4" w:space="0" w:color="auto"/>
              <w:right w:val="single" w:sz="4" w:space="0" w:color="auto"/>
            </w:tcBorders>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30517B" w:rsidRPr="00CA099F" w:rsidRDefault="0030517B" w:rsidP="0030517B">
      <w:pPr>
        <w:spacing w:after="0"/>
        <w:rPr>
          <w:rFonts w:ascii="Calibri" w:eastAsia="Times New Roman" w:hAnsi="Calibri" w:cs="Times New Roman"/>
          <w:sz w:val="22"/>
        </w:rPr>
      </w:pPr>
    </w:p>
    <w:p w:rsidR="0030517B" w:rsidRPr="00CA099F" w:rsidRDefault="0030517B" w:rsidP="00DB77F1">
      <w:pPr>
        <w:spacing w:after="0" w:line="360" w:lineRule="auto"/>
        <w:ind w:firstLine="709"/>
        <w:jc w:val="both"/>
        <w:rPr>
          <w:rFonts w:eastAsia="Times New Roman" w:cs="Times New Roman"/>
          <w:sz w:val="28"/>
          <w:szCs w:val="28"/>
        </w:rPr>
      </w:pPr>
      <w:r w:rsidRPr="00CA099F">
        <w:rPr>
          <w:rFonts w:eastAsia="Times New Roman" w:cs="Times New Roman"/>
          <w:sz w:val="28"/>
          <w:szCs w:val="28"/>
        </w:rPr>
        <w:t>Встановлено, що у пацієнтів, яким під час оперативного втручання введено PRF-згусток, активність СОД через 3 місяці спостереження була достовірно меншою на 12,4 %, через 9 місяців – на 11,1 %, стосовно даних третьої групи. У пацієнтів першої і третьої груп через 6 та 12 місяців даний показник достовірно не відрізнявся (табл. 5.7).</w:t>
      </w:r>
    </w:p>
    <w:p w:rsidR="0030517B" w:rsidRDefault="0030517B" w:rsidP="00DB77F1">
      <w:pPr>
        <w:spacing w:after="0" w:line="360" w:lineRule="auto"/>
        <w:ind w:firstLine="709"/>
        <w:jc w:val="both"/>
        <w:rPr>
          <w:rFonts w:eastAsia="Times New Roman" w:cs="Times New Roman"/>
          <w:color w:val="000000"/>
          <w:sz w:val="28"/>
          <w:szCs w:val="28"/>
        </w:rPr>
      </w:pPr>
      <w:r w:rsidRPr="00CA099F">
        <w:rPr>
          <w:rFonts w:eastAsia="Times New Roman" w:cs="Times New Roman"/>
          <w:sz w:val="28"/>
          <w:szCs w:val="28"/>
        </w:rPr>
        <w:t xml:space="preserve">Слід зазначити, що рівень досліджуваного показника змінювався впродовж </w:t>
      </w:r>
      <w:r w:rsidR="00DB77F1">
        <w:rPr>
          <w:rFonts w:eastAsia="Times New Roman" w:cs="Times New Roman"/>
          <w:sz w:val="28"/>
          <w:szCs w:val="28"/>
          <w:lang w:val="ru-RU"/>
        </w:rPr>
        <w:t xml:space="preserve">всього </w:t>
      </w:r>
      <w:r w:rsidRPr="00CA099F">
        <w:rPr>
          <w:rFonts w:eastAsia="Times New Roman" w:cs="Times New Roman"/>
          <w:sz w:val="28"/>
          <w:szCs w:val="28"/>
        </w:rPr>
        <w:t>терміну спостереження. Так, у пацієнтів, яким під час оперативного втручання введено PRF-згусток, через 6 місяців активність СОД була на 23,0 % нижчою</w:t>
      </w:r>
      <w:r w:rsidR="00DB77F1">
        <w:rPr>
          <w:rFonts w:eastAsia="Times New Roman" w:cs="Times New Roman"/>
          <w:sz w:val="28"/>
          <w:szCs w:val="28"/>
          <w:lang w:val="ru-RU"/>
        </w:rPr>
        <w:t xml:space="preserve"> </w:t>
      </w:r>
      <w:r w:rsidR="00DB77F1" w:rsidRPr="00CA099F">
        <w:rPr>
          <w:rFonts w:eastAsia="Times New Roman" w:cs="Times New Roman"/>
          <w:sz w:val="28"/>
          <w:szCs w:val="28"/>
        </w:rPr>
        <w:t>(</w:t>
      </w:r>
      <w:r w:rsidR="00DB77F1" w:rsidRPr="00CA099F">
        <w:rPr>
          <w:rFonts w:eastAsia="Times New Roman" w:cs="Times New Roman"/>
          <w:color w:val="000000"/>
          <w:sz w:val="28"/>
          <w:szCs w:val="28"/>
        </w:rPr>
        <w:t>р&lt;0,001)</w:t>
      </w:r>
      <w:r w:rsidRPr="00CA099F">
        <w:rPr>
          <w:rFonts w:eastAsia="Times New Roman" w:cs="Times New Roman"/>
          <w:sz w:val="28"/>
          <w:szCs w:val="28"/>
        </w:rPr>
        <w:t>, стосовно даних попереднього терміну спостереження, відповідно, через 9 місяців - на 21,8 % (</w:t>
      </w:r>
      <w:r w:rsidRPr="00CA099F">
        <w:rPr>
          <w:rFonts w:eastAsia="Times New Roman" w:cs="Times New Roman"/>
          <w:color w:val="000000"/>
          <w:sz w:val="28"/>
          <w:szCs w:val="28"/>
        </w:rPr>
        <w:t xml:space="preserve">р&lt;0,001). </w:t>
      </w:r>
    </w:p>
    <w:p w:rsidR="00E6030B" w:rsidRDefault="00E6030B" w:rsidP="00DB77F1">
      <w:pPr>
        <w:spacing w:after="0" w:line="360" w:lineRule="auto"/>
        <w:ind w:firstLine="709"/>
        <w:jc w:val="both"/>
        <w:rPr>
          <w:rFonts w:eastAsia="Times New Roman" w:cs="Times New Roman"/>
          <w:color w:val="000000"/>
          <w:sz w:val="28"/>
          <w:szCs w:val="28"/>
        </w:rPr>
      </w:pPr>
    </w:p>
    <w:p w:rsidR="00E6030B" w:rsidRPr="00CA099F" w:rsidRDefault="00E6030B" w:rsidP="00DB77F1">
      <w:pPr>
        <w:spacing w:after="0" w:line="360" w:lineRule="auto"/>
        <w:ind w:firstLine="709"/>
        <w:jc w:val="both"/>
        <w:rPr>
          <w:rFonts w:eastAsia="Times New Roman" w:cs="Times New Roman"/>
          <w:color w:val="000000"/>
          <w:sz w:val="28"/>
          <w:szCs w:val="28"/>
        </w:rPr>
      </w:pP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5.7.</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системи антиоксидного захисту у гомогенаті шкіри за умови використання PRF-згустка</w:t>
      </w:r>
    </w:p>
    <w:p w:rsidR="0030517B" w:rsidRPr="00CA099F" w:rsidRDefault="0030517B" w:rsidP="0030517B">
      <w:pPr>
        <w:spacing w:after="0"/>
        <w:rPr>
          <w:rFonts w:ascii="Calibri" w:eastAsia="Times New Roman" w:hAnsi="Calibri" w:cs="Times New Roman"/>
          <w:sz w:val="22"/>
        </w:rPr>
      </w:pPr>
    </w:p>
    <w:tbl>
      <w:tblPr>
        <w:tblW w:w="5038"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49"/>
        <w:gridCol w:w="883"/>
        <w:gridCol w:w="1055"/>
        <w:gridCol w:w="879"/>
        <w:gridCol w:w="1188"/>
        <w:gridCol w:w="921"/>
        <w:gridCol w:w="1264"/>
        <w:gridCol w:w="1092"/>
        <w:gridCol w:w="1085"/>
      </w:tblGrid>
      <w:tr w:rsidR="0030517B" w:rsidRPr="00CA099F" w:rsidTr="00E1448E">
        <w:tc>
          <w:tcPr>
            <w:tcW w:w="557" w:type="pct"/>
            <w:vMerge w:val="restart"/>
            <w:vAlign w:val="center"/>
          </w:tcPr>
          <w:p w:rsidR="0030517B" w:rsidRPr="00CA099F" w:rsidRDefault="0030517B" w:rsidP="00E1448E">
            <w:pPr>
              <w:spacing w:after="0" w:line="240" w:lineRule="auto"/>
              <w:ind w:right="-90"/>
              <w:jc w:val="center"/>
              <w:rPr>
                <w:rFonts w:eastAsia="Times New Roman" w:cs="Times New Roman"/>
                <w:sz w:val="22"/>
              </w:rPr>
            </w:pPr>
            <w:r w:rsidRPr="00CA099F">
              <w:rPr>
                <w:rFonts w:eastAsia="Times New Roman" w:cs="Times New Roman"/>
                <w:sz w:val="22"/>
              </w:rPr>
              <w:t>Показник</w:t>
            </w:r>
          </w:p>
        </w:tc>
        <w:tc>
          <w:tcPr>
            <w:tcW w:w="1029"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09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60"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55"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557" w:type="pct"/>
            <w:vMerge/>
          </w:tcPr>
          <w:p w:rsidR="0030517B" w:rsidRPr="00CA099F" w:rsidRDefault="0030517B" w:rsidP="00E1448E">
            <w:pPr>
              <w:spacing w:after="0" w:line="240" w:lineRule="auto"/>
              <w:ind w:right="-90"/>
              <w:jc w:val="center"/>
              <w:rPr>
                <w:rFonts w:eastAsia="Times New Roman" w:cs="Times New Roman"/>
                <w:szCs w:val="28"/>
              </w:rPr>
            </w:pPr>
          </w:p>
        </w:tc>
        <w:tc>
          <w:tcPr>
            <w:tcW w:w="469"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801EEF">
              <w:rPr>
                <w:rFonts w:eastAsia="Times New Roman" w:cs="Times New Roman"/>
                <w:sz w:val="20"/>
                <w:szCs w:val="20"/>
              </w:rPr>
              <w:t xml:space="preserve"> </w:t>
            </w:r>
            <w:r w:rsidR="00801EEF">
              <w:rPr>
                <w:rFonts w:eastAsia="Times New Roman" w:cs="Times New Roman"/>
                <w:szCs w:val="24"/>
              </w:rPr>
              <w:t>(</w:t>
            </w:r>
            <w:r w:rsidR="00801EEF">
              <w:rPr>
                <w:rFonts w:eastAsia="Times New Roman" w:cs="Times New Roman"/>
                <w:szCs w:val="24"/>
                <w:lang w:val="en-US"/>
              </w:rPr>
              <w:t>n=20</w:t>
            </w:r>
            <w:r w:rsidR="00801EEF">
              <w:rPr>
                <w:rFonts w:eastAsia="Times New Roman" w:cs="Times New Roman"/>
                <w:szCs w:val="24"/>
              </w:rPr>
              <w:t>)</w:t>
            </w:r>
          </w:p>
        </w:tc>
        <w:tc>
          <w:tcPr>
            <w:tcW w:w="56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467"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801EEF">
              <w:rPr>
                <w:rFonts w:eastAsia="Times New Roman" w:cs="Times New Roman"/>
                <w:sz w:val="20"/>
                <w:szCs w:val="20"/>
              </w:rPr>
              <w:t xml:space="preserve"> </w:t>
            </w:r>
            <w:r w:rsidR="00801EEF">
              <w:rPr>
                <w:rFonts w:eastAsia="Times New Roman" w:cs="Times New Roman"/>
                <w:szCs w:val="24"/>
              </w:rPr>
              <w:t>(</w:t>
            </w:r>
            <w:r w:rsidR="00801EEF">
              <w:rPr>
                <w:rFonts w:eastAsia="Times New Roman" w:cs="Times New Roman"/>
                <w:szCs w:val="24"/>
                <w:lang w:val="en-US"/>
              </w:rPr>
              <w:t>n=20</w:t>
            </w:r>
            <w:r w:rsidR="00801EEF">
              <w:rPr>
                <w:rFonts w:eastAsia="Times New Roman" w:cs="Times New Roman"/>
                <w:szCs w:val="24"/>
              </w:rPr>
              <w:t>)</w:t>
            </w:r>
            <w:r w:rsidR="00801EEF">
              <w:rPr>
                <w:rFonts w:eastAsia="Times New Roman" w:cs="Times New Roman"/>
                <w:sz w:val="20"/>
                <w:szCs w:val="20"/>
              </w:rPr>
              <w:t xml:space="preserve"> </w:t>
            </w:r>
          </w:p>
        </w:tc>
        <w:tc>
          <w:tcPr>
            <w:tcW w:w="631"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489"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801EEF">
              <w:rPr>
                <w:rFonts w:eastAsia="Times New Roman" w:cs="Times New Roman"/>
                <w:sz w:val="20"/>
                <w:szCs w:val="20"/>
              </w:rPr>
              <w:t xml:space="preserve"> </w:t>
            </w:r>
            <w:r w:rsidR="00801EEF">
              <w:rPr>
                <w:rFonts w:eastAsia="Times New Roman" w:cs="Times New Roman"/>
                <w:szCs w:val="24"/>
              </w:rPr>
              <w:t>(</w:t>
            </w:r>
            <w:r w:rsidR="00801EEF">
              <w:rPr>
                <w:rFonts w:eastAsia="Times New Roman" w:cs="Times New Roman"/>
                <w:szCs w:val="24"/>
                <w:lang w:val="en-US"/>
              </w:rPr>
              <w:t>n=20</w:t>
            </w:r>
            <w:r w:rsidR="00801EEF">
              <w:rPr>
                <w:rFonts w:eastAsia="Times New Roman" w:cs="Times New Roman"/>
                <w:szCs w:val="24"/>
              </w:rPr>
              <w:t>)</w:t>
            </w:r>
          </w:p>
        </w:tc>
        <w:tc>
          <w:tcPr>
            <w:tcW w:w="671"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5"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557"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СОД, ум.од.</w:t>
            </w:r>
          </w:p>
        </w:tc>
        <w:tc>
          <w:tcPr>
            <w:tcW w:w="4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119,43±4,86</w:t>
            </w:r>
          </w:p>
        </w:tc>
        <w:tc>
          <w:tcPr>
            <w:tcW w:w="56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104,60±3,54*</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86,96±2,69</w:t>
            </w:r>
          </w:p>
        </w:tc>
        <w:tc>
          <w:tcPr>
            <w:tcW w:w="631"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80,54±2,41</w:t>
            </w:r>
          </w:p>
        </w:tc>
        <w:tc>
          <w:tcPr>
            <w:tcW w:w="48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70,82±2,28</w:t>
            </w:r>
          </w:p>
        </w:tc>
        <w:tc>
          <w:tcPr>
            <w:tcW w:w="671"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62,97±2,13*</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62,97±2,13</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59,10±1,42</w:t>
            </w:r>
          </w:p>
        </w:tc>
      </w:tr>
      <w:tr w:rsidR="0030517B" w:rsidRPr="00CA099F" w:rsidTr="00E1448E">
        <w:tc>
          <w:tcPr>
            <w:tcW w:w="557" w:type="pct"/>
          </w:tcPr>
          <w:p w:rsidR="0030517B" w:rsidRPr="00CA099F" w:rsidRDefault="0030517B" w:rsidP="00E1448E">
            <w:pPr>
              <w:spacing w:after="0" w:line="240" w:lineRule="auto"/>
              <w:ind w:right="-90"/>
              <w:jc w:val="center"/>
              <w:rPr>
                <w:rFonts w:eastAsia="Times New Roman" w:cs="Times New Roman"/>
                <w:szCs w:val="28"/>
              </w:rPr>
            </w:pPr>
          </w:p>
        </w:tc>
        <w:tc>
          <w:tcPr>
            <w:tcW w:w="469" w:type="pct"/>
          </w:tcPr>
          <w:p w:rsidR="0030517B" w:rsidRPr="00CA099F" w:rsidRDefault="0030517B" w:rsidP="00E1448E">
            <w:pPr>
              <w:spacing w:after="0" w:line="240" w:lineRule="auto"/>
              <w:jc w:val="center"/>
              <w:rPr>
                <w:rFonts w:eastAsia="Times New Roman" w:cs="Times New Roman"/>
                <w:szCs w:val="28"/>
              </w:rPr>
            </w:pPr>
          </w:p>
        </w:tc>
        <w:tc>
          <w:tcPr>
            <w:tcW w:w="560" w:type="pct"/>
          </w:tcPr>
          <w:p w:rsidR="0030517B" w:rsidRPr="00CA099F" w:rsidRDefault="0030517B" w:rsidP="00E1448E">
            <w:pPr>
              <w:spacing w:after="0" w:line="240" w:lineRule="auto"/>
              <w:jc w:val="center"/>
              <w:rPr>
                <w:rFonts w:eastAsia="Times New Roman" w:cs="Times New Roman"/>
                <w:szCs w:val="28"/>
              </w:rPr>
            </w:pPr>
          </w:p>
        </w:tc>
        <w:tc>
          <w:tcPr>
            <w:tcW w:w="467" w:type="pct"/>
          </w:tcPr>
          <w:p w:rsidR="0030517B" w:rsidRPr="00CA099F" w:rsidRDefault="0030517B" w:rsidP="00E1448E">
            <w:pPr>
              <w:spacing w:after="0" w:line="240" w:lineRule="auto"/>
              <w:jc w:val="center"/>
              <w:rPr>
                <w:rFonts w:eastAsia="Times New Roman" w:cs="Times New Roman"/>
                <w:szCs w:val="28"/>
              </w:rPr>
            </w:pPr>
          </w:p>
        </w:tc>
        <w:tc>
          <w:tcPr>
            <w:tcW w:w="631" w:type="pct"/>
          </w:tcPr>
          <w:p w:rsidR="0030517B" w:rsidRPr="00CA099F" w:rsidRDefault="0030517B" w:rsidP="00E1448E">
            <w:pPr>
              <w:spacing w:after="0"/>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489" w:type="pct"/>
          </w:tcPr>
          <w:p w:rsidR="0030517B" w:rsidRPr="00CA099F" w:rsidRDefault="0030517B" w:rsidP="00E1448E">
            <w:pPr>
              <w:spacing w:after="0"/>
              <w:jc w:val="center"/>
              <w:rPr>
                <w:rFonts w:eastAsia="Times New Roman" w:cs="Times New Roman"/>
                <w:szCs w:val="28"/>
              </w:rPr>
            </w:pPr>
          </w:p>
        </w:tc>
        <w:tc>
          <w:tcPr>
            <w:tcW w:w="671"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2</w:t>
            </w:r>
            <w:r w:rsidRPr="00CA099F">
              <w:rPr>
                <w:rFonts w:eastAsia="Times New Roman" w:cs="Times New Roman"/>
                <w:color w:val="000000"/>
                <w:szCs w:val="24"/>
              </w:rPr>
              <w:t>&lt;0,001</w:t>
            </w:r>
          </w:p>
        </w:tc>
        <w:tc>
          <w:tcPr>
            <w:tcW w:w="580"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557"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Катала-за,</w:t>
            </w:r>
          </w:p>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 xml:space="preserve"> кат/кг </w:t>
            </w:r>
          </w:p>
        </w:tc>
        <w:tc>
          <w:tcPr>
            <w:tcW w:w="4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80,04±2,24</w:t>
            </w:r>
          </w:p>
        </w:tc>
        <w:tc>
          <w:tcPr>
            <w:tcW w:w="56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69,10±1,59*</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64,48±2,03</w:t>
            </w:r>
          </w:p>
        </w:tc>
        <w:tc>
          <w:tcPr>
            <w:tcW w:w="631"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59,43±2,36</w:t>
            </w:r>
          </w:p>
        </w:tc>
        <w:tc>
          <w:tcPr>
            <w:tcW w:w="48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60,43±1,52</w:t>
            </w:r>
          </w:p>
        </w:tc>
        <w:tc>
          <w:tcPr>
            <w:tcW w:w="671"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58,43±2,08</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59,41±1,93</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58,10±1,88</w:t>
            </w:r>
          </w:p>
        </w:tc>
      </w:tr>
      <w:tr w:rsidR="0030517B" w:rsidRPr="00CA099F" w:rsidTr="00E1448E">
        <w:tc>
          <w:tcPr>
            <w:tcW w:w="557" w:type="pct"/>
          </w:tcPr>
          <w:p w:rsidR="0030517B" w:rsidRPr="00CA099F" w:rsidRDefault="0030517B" w:rsidP="00E1448E">
            <w:pPr>
              <w:spacing w:after="0" w:line="240" w:lineRule="auto"/>
              <w:jc w:val="center"/>
              <w:rPr>
                <w:rFonts w:eastAsia="Times New Roman" w:cs="Times New Roman"/>
                <w:szCs w:val="28"/>
              </w:rPr>
            </w:pPr>
          </w:p>
        </w:tc>
        <w:tc>
          <w:tcPr>
            <w:tcW w:w="469" w:type="pct"/>
          </w:tcPr>
          <w:p w:rsidR="0030517B" w:rsidRPr="00CA099F" w:rsidRDefault="0030517B" w:rsidP="00E1448E">
            <w:pPr>
              <w:spacing w:after="0" w:line="240" w:lineRule="auto"/>
              <w:jc w:val="center"/>
              <w:rPr>
                <w:rFonts w:eastAsia="Times New Roman" w:cs="Times New Roman"/>
                <w:szCs w:val="28"/>
              </w:rPr>
            </w:pPr>
          </w:p>
        </w:tc>
        <w:tc>
          <w:tcPr>
            <w:tcW w:w="560" w:type="pct"/>
          </w:tcPr>
          <w:p w:rsidR="0030517B" w:rsidRPr="00CA099F" w:rsidRDefault="0030517B" w:rsidP="00E1448E">
            <w:pPr>
              <w:spacing w:after="0" w:line="240" w:lineRule="auto"/>
              <w:jc w:val="center"/>
              <w:rPr>
                <w:rFonts w:eastAsia="Times New Roman" w:cs="Times New Roman"/>
                <w:szCs w:val="28"/>
              </w:rPr>
            </w:pPr>
          </w:p>
        </w:tc>
        <w:tc>
          <w:tcPr>
            <w:tcW w:w="467" w:type="pct"/>
          </w:tcPr>
          <w:p w:rsidR="0030517B" w:rsidRPr="00CA099F" w:rsidRDefault="0030517B" w:rsidP="00E1448E">
            <w:pPr>
              <w:spacing w:after="0" w:line="240" w:lineRule="auto"/>
              <w:jc w:val="center"/>
              <w:rPr>
                <w:rFonts w:eastAsia="Times New Roman" w:cs="Times New Roman"/>
                <w:szCs w:val="28"/>
              </w:rPr>
            </w:pPr>
          </w:p>
        </w:tc>
        <w:tc>
          <w:tcPr>
            <w:tcW w:w="631"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&lt;0,002</w:t>
            </w:r>
          </w:p>
        </w:tc>
        <w:tc>
          <w:tcPr>
            <w:tcW w:w="489" w:type="pct"/>
          </w:tcPr>
          <w:p w:rsidR="0030517B" w:rsidRPr="00CA099F" w:rsidRDefault="0030517B" w:rsidP="00E1448E">
            <w:pPr>
              <w:spacing w:after="0"/>
              <w:jc w:val="center"/>
              <w:rPr>
                <w:rFonts w:eastAsia="Times New Roman" w:cs="Times New Roman"/>
                <w:szCs w:val="28"/>
              </w:rPr>
            </w:pPr>
          </w:p>
        </w:tc>
        <w:tc>
          <w:tcPr>
            <w:tcW w:w="671" w:type="pct"/>
          </w:tcPr>
          <w:p w:rsidR="0030517B" w:rsidRPr="00CA099F" w:rsidRDefault="0030517B" w:rsidP="00E1448E">
            <w:pPr>
              <w:spacing w:after="0"/>
              <w:jc w:val="center"/>
              <w:rPr>
                <w:rFonts w:eastAsia="Times New Roman" w:cs="Times New Roman"/>
                <w:szCs w:val="28"/>
              </w:rPr>
            </w:pPr>
          </w:p>
        </w:tc>
        <w:tc>
          <w:tcPr>
            <w:tcW w:w="580" w:type="pct"/>
          </w:tcPr>
          <w:p w:rsidR="0030517B" w:rsidRPr="00CA099F" w:rsidRDefault="0030517B" w:rsidP="00E1448E">
            <w:pPr>
              <w:spacing w:after="0" w:line="240" w:lineRule="auto"/>
              <w:jc w:val="center"/>
              <w:rPr>
                <w:rFonts w:eastAsia="Times New Roman" w:cs="Times New Roman"/>
                <w:szCs w:val="28"/>
              </w:rPr>
            </w:pPr>
          </w:p>
        </w:tc>
        <w:tc>
          <w:tcPr>
            <w:tcW w:w="575"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55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SH-групи, ммоль/кг</w:t>
            </w:r>
          </w:p>
        </w:tc>
        <w:tc>
          <w:tcPr>
            <w:tcW w:w="4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59,01±2,08</w:t>
            </w:r>
          </w:p>
        </w:tc>
        <w:tc>
          <w:tcPr>
            <w:tcW w:w="56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52,83± 2,02*</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51,92±2,53</w:t>
            </w:r>
          </w:p>
        </w:tc>
        <w:tc>
          <w:tcPr>
            <w:tcW w:w="631"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49,97</w:t>
            </w:r>
            <w:r w:rsidRPr="00CA099F">
              <w:rPr>
                <w:rFonts w:eastAsia="Times New Roman" w:cs="Times New Roman"/>
                <w:sz w:val="28"/>
                <w:szCs w:val="28"/>
              </w:rPr>
              <w:t>±</w:t>
            </w:r>
            <w:r w:rsidRPr="00CA099F">
              <w:rPr>
                <w:rFonts w:eastAsia="Times New Roman" w:cs="Times New Roman"/>
                <w:color w:val="000000"/>
                <w:sz w:val="28"/>
                <w:szCs w:val="28"/>
              </w:rPr>
              <w:t xml:space="preserve"> 2,02</w:t>
            </w:r>
          </w:p>
        </w:tc>
        <w:tc>
          <w:tcPr>
            <w:tcW w:w="489"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49,98±2,25</w:t>
            </w:r>
          </w:p>
        </w:tc>
        <w:tc>
          <w:tcPr>
            <w:tcW w:w="671"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47,35</w:t>
            </w:r>
            <w:r w:rsidRPr="00CA099F">
              <w:rPr>
                <w:rFonts w:eastAsia="Times New Roman" w:cs="Times New Roman"/>
                <w:sz w:val="28"/>
                <w:szCs w:val="28"/>
              </w:rPr>
              <w:t>±</w:t>
            </w:r>
            <w:r w:rsidRPr="00CA099F">
              <w:rPr>
                <w:rFonts w:eastAsia="Times New Roman" w:cs="Times New Roman"/>
                <w:color w:val="000000"/>
                <w:sz w:val="28"/>
                <w:szCs w:val="28"/>
              </w:rPr>
              <w:t xml:space="preserve"> 2,16</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49,41±1,93</w:t>
            </w:r>
          </w:p>
        </w:tc>
        <w:tc>
          <w:tcPr>
            <w:tcW w:w="575" w:type="pct"/>
          </w:tcPr>
          <w:p w:rsidR="0030517B" w:rsidRPr="00CA099F" w:rsidRDefault="0030517B" w:rsidP="00E1448E">
            <w:pPr>
              <w:spacing w:after="0" w:line="240" w:lineRule="auto"/>
              <w:jc w:val="center"/>
              <w:rPr>
                <w:rFonts w:eastAsia="Times New Roman" w:cs="Times New Roman"/>
                <w:color w:val="000000"/>
                <w:szCs w:val="28"/>
              </w:rPr>
            </w:pPr>
            <w:r w:rsidRPr="00CA099F">
              <w:rPr>
                <w:rFonts w:eastAsia="Times New Roman" w:cs="Times New Roman"/>
                <w:color w:val="000000"/>
                <w:sz w:val="28"/>
                <w:szCs w:val="28"/>
              </w:rPr>
              <w:t>46,75</w:t>
            </w:r>
            <w:r w:rsidRPr="00CA099F">
              <w:rPr>
                <w:rFonts w:eastAsia="Times New Roman" w:cs="Times New Roman"/>
                <w:sz w:val="28"/>
                <w:szCs w:val="28"/>
              </w:rPr>
              <w:t>±</w:t>
            </w:r>
            <w:r w:rsidRPr="00CA099F">
              <w:rPr>
                <w:rFonts w:eastAsia="Times New Roman" w:cs="Times New Roman"/>
                <w:color w:val="000000"/>
                <w:sz w:val="28"/>
                <w:szCs w:val="28"/>
              </w:rPr>
              <w:t>1,95</w:t>
            </w: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9A4DD8" w:rsidRDefault="0030517B" w:rsidP="00E1448E">
            <w:pPr>
              <w:spacing w:after="0" w:line="240" w:lineRule="auto"/>
              <w:jc w:val="both"/>
              <w:rPr>
                <w:rFonts w:eastAsia="Times New Roman" w:cs="Times New Roman"/>
                <w:color w:val="000000"/>
                <w:szCs w:val="28"/>
                <w:lang w:val="ru-RU"/>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w:t>
            </w:r>
            <w:r w:rsidR="009A4DD8">
              <w:rPr>
                <w:rFonts w:eastAsia="Times New Roman" w:cs="Times New Roman"/>
                <w:color w:val="000000"/>
                <w:sz w:val="28"/>
                <w:szCs w:val="28"/>
              </w:rPr>
              <w:t>мін спостереження 6 і 9 місяців</w:t>
            </w:r>
            <w:r w:rsidR="009A4DD8">
              <w:rPr>
                <w:rFonts w:eastAsia="Times New Roman" w:cs="Times New Roman"/>
                <w:color w:val="000000"/>
                <w:sz w:val="28"/>
                <w:szCs w:val="28"/>
                <w:lang w:val="ru-RU"/>
              </w:rPr>
              <w:t>.</w:t>
            </w:r>
          </w:p>
        </w:tc>
      </w:tr>
    </w:tbl>
    <w:p w:rsidR="0030517B" w:rsidRPr="00CA099F" w:rsidRDefault="0030517B" w:rsidP="0030517B">
      <w:pPr>
        <w:spacing w:after="0" w:line="360" w:lineRule="auto"/>
        <w:jc w:val="right"/>
        <w:rPr>
          <w:rFonts w:eastAsia="Times New Roman" w:cs="Times New Roman"/>
          <w:i/>
          <w:sz w:val="28"/>
          <w:szCs w:val="28"/>
        </w:rPr>
      </w:pP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Щодо пацієнтів, яким під час оперативного втручання введено PRF-згусток, а на післяопераційному етапі було застосовано препарат </w:t>
      </w:r>
      <w:r w:rsidR="009A789C">
        <w:rPr>
          <w:rFonts w:eastAsia="Times New Roman" w:cs="Times New Roman"/>
          <w:sz w:val="28"/>
          <w:szCs w:val="28"/>
        </w:rPr>
        <w:t>церулоплазмін</w:t>
      </w:r>
      <w:r w:rsidR="0030517B" w:rsidRPr="00CA099F">
        <w:rPr>
          <w:rFonts w:eastAsia="Times New Roman" w:cs="Times New Roman"/>
          <w:sz w:val="28"/>
          <w:szCs w:val="28"/>
        </w:rPr>
        <w:t>, то активність СОД через 3 місяці спостереження була достовірно меншою на 24,6 %, через 6 місяців – на 16,7 % і через 9 – на 14,7</w:t>
      </w:r>
      <w:r w:rsidR="009A4DD8">
        <w:rPr>
          <w:rFonts w:eastAsia="Times New Roman" w:cs="Times New Roman"/>
          <w:sz w:val="28"/>
          <w:szCs w:val="28"/>
          <w:lang w:val="ru-RU"/>
        </w:rPr>
        <w:t> </w:t>
      </w:r>
      <w:r w:rsidR="0030517B" w:rsidRPr="00CA099F">
        <w:rPr>
          <w:rFonts w:eastAsia="Times New Roman" w:cs="Times New Roman"/>
          <w:sz w:val="28"/>
          <w:szCs w:val="28"/>
        </w:rPr>
        <w:t xml:space="preserve">%, стосовно даних 3-ої групи. У пацієнтів 1-ої і 3-ої груп через 12 місяців спостереження активність СОД практично не відрізнялася (табл. 5.8). </w:t>
      </w:r>
    </w:p>
    <w:p w:rsidR="0030517B" w:rsidRPr="00CA099F" w:rsidRDefault="0030517B" w:rsidP="009A4DD8">
      <w:pPr>
        <w:spacing w:after="0" w:line="360" w:lineRule="auto"/>
        <w:ind w:firstLine="709"/>
        <w:jc w:val="both"/>
        <w:rPr>
          <w:rFonts w:eastAsia="Times New Roman" w:cs="Times New Roman"/>
          <w:color w:val="000000"/>
          <w:sz w:val="28"/>
          <w:szCs w:val="28"/>
        </w:rPr>
      </w:pPr>
      <w:r w:rsidRPr="00CA099F">
        <w:rPr>
          <w:rFonts w:eastAsia="Times New Roman" w:cs="Times New Roman"/>
          <w:sz w:val="28"/>
          <w:szCs w:val="28"/>
        </w:rPr>
        <w:t xml:space="preserve">Слід зазначити, що рівень досліджуваного показника також змінювався впродовж терміну спостереження. Так, у пацієнтів, яким під час оперативного </w:t>
      </w:r>
      <w:r w:rsidRPr="00CA099F">
        <w:rPr>
          <w:rFonts w:eastAsia="Times New Roman" w:cs="Times New Roman"/>
          <w:sz w:val="28"/>
          <w:szCs w:val="28"/>
        </w:rPr>
        <w:lastRenderedPageBreak/>
        <w:t xml:space="preserve">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9A789C" w:rsidRPr="00CA099F">
        <w:rPr>
          <w:rFonts w:eastAsia="Times New Roman" w:cs="Times New Roman"/>
          <w:sz w:val="28"/>
          <w:szCs w:val="28"/>
        </w:rPr>
        <w:t xml:space="preserve"> </w:t>
      </w:r>
      <w:r w:rsidRPr="00CA099F">
        <w:rPr>
          <w:rFonts w:eastAsia="Times New Roman" w:cs="Times New Roman"/>
          <w:sz w:val="28"/>
          <w:szCs w:val="28"/>
        </w:rPr>
        <w:t>через 6 міся</w:t>
      </w:r>
      <w:r w:rsidR="009A4DD8">
        <w:rPr>
          <w:rFonts w:eastAsia="Times New Roman" w:cs="Times New Roman"/>
          <w:sz w:val="28"/>
          <w:szCs w:val="28"/>
        </w:rPr>
        <w:t>ців активність СОД була на 19,6</w:t>
      </w:r>
      <w:r w:rsidR="009A4DD8">
        <w:rPr>
          <w:rFonts w:eastAsia="Times New Roman" w:cs="Times New Roman"/>
          <w:sz w:val="28"/>
          <w:szCs w:val="28"/>
          <w:lang w:val="ru-RU"/>
        </w:rPr>
        <w:t> </w:t>
      </w:r>
      <w:r w:rsidRPr="00CA099F">
        <w:rPr>
          <w:rFonts w:eastAsia="Times New Roman" w:cs="Times New Roman"/>
          <w:sz w:val="28"/>
          <w:szCs w:val="28"/>
        </w:rPr>
        <w:t xml:space="preserve">% </w:t>
      </w:r>
      <w:r w:rsidR="009A4DD8">
        <w:rPr>
          <w:rFonts w:eastAsia="Times New Roman" w:cs="Times New Roman"/>
          <w:sz w:val="28"/>
          <w:szCs w:val="28"/>
        </w:rPr>
        <w:t>нижч</w:t>
      </w:r>
      <w:r w:rsidR="009A4DD8" w:rsidRPr="009A4DD8">
        <w:rPr>
          <w:rFonts w:eastAsia="Times New Roman" w:cs="Times New Roman"/>
          <w:sz w:val="28"/>
          <w:szCs w:val="28"/>
        </w:rPr>
        <w:t>ою</w:t>
      </w:r>
      <w:r w:rsidR="009A4DD8">
        <w:rPr>
          <w:rFonts w:eastAsia="Times New Roman" w:cs="Times New Roman"/>
          <w:sz w:val="28"/>
          <w:szCs w:val="28"/>
          <w:lang w:val="ru-RU"/>
        </w:rPr>
        <w:t xml:space="preserve"> </w:t>
      </w:r>
      <w:r w:rsidR="009A4DD8" w:rsidRPr="00CA099F">
        <w:rPr>
          <w:rFonts w:eastAsia="Times New Roman" w:cs="Times New Roman"/>
          <w:sz w:val="28"/>
          <w:szCs w:val="28"/>
        </w:rPr>
        <w:t>(</w:t>
      </w:r>
      <w:r w:rsidR="009A4DD8" w:rsidRPr="00CA099F">
        <w:rPr>
          <w:rFonts w:eastAsia="Times New Roman" w:cs="Times New Roman"/>
          <w:color w:val="000000"/>
          <w:sz w:val="28"/>
          <w:szCs w:val="28"/>
        </w:rPr>
        <w:t>р&lt;0,001)</w:t>
      </w:r>
      <w:r w:rsidRPr="00CA099F">
        <w:rPr>
          <w:rFonts w:eastAsia="Times New Roman" w:cs="Times New Roman"/>
          <w:sz w:val="28"/>
          <w:szCs w:val="28"/>
        </w:rPr>
        <w:t>, стосовно даних попереднього терміну спостереження, через 9 місяців – на 16,6 % (</w:t>
      </w:r>
      <w:r w:rsidRPr="00CA099F">
        <w:rPr>
          <w:rFonts w:eastAsia="Times New Roman" w:cs="Times New Roman"/>
          <w:color w:val="000000"/>
          <w:sz w:val="28"/>
          <w:szCs w:val="28"/>
        </w:rPr>
        <w:t xml:space="preserve">р&lt;0,001). </w:t>
      </w: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5.8.</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системи антиоксидного захисту у гомогенаті шкіри за умови використання PRF-згустка та церулоплазміну</w:t>
      </w:r>
    </w:p>
    <w:p w:rsidR="0030517B" w:rsidRPr="00CA099F" w:rsidRDefault="0030517B" w:rsidP="0030517B">
      <w:pPr>
        <w:spacing w:after="0"/>
        <w:rPr>
          <w:rFonts w:ascii="Calibri" w:eastAsia="Times New Roman" w:hAnsi="Calibri" w:cs="Times New Roman"/>
          <w:sz w:val="22"/>
        </w:rPr>
      </w:pPr>
    </w:p>
    <w:tbl>
      <w:tblPr>
        <w:tblW w:w="5038"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48"/>
        <w:gridCol w:w="880"/>
        <w:gridCol w:w="1053"/>
        <w:gridCol w:w="977"/>
        <w:gridCol w:w="1092"/>
        <w:gridCol w:w="1092"/>
        <w:gridCol w:w="1092"/>
        <w:gridCol w:w="1092"/>
        <w:gridCol w:w="1090"/>
      </w:tblGrid>
      <w:tr w:rsidR="0030517B" w:rsidRPr="00CA099F" w:rsidTr="00E1448E">
        <w:tc>
          <w:tcPr>
            <w:tcW w:w="556" w:type="pct"/>
            <w:vMerge w:val="restart"/>
            <w:vAlign w:val="center"/>
          </w:tcPr>
          <w:p w:rsidR="0030517B" w:rsidRPr="00CA099F" w:rsidRDefault="0030517B" w:rsidP="00E1448E">
            <w:pPr>
              <w:spacing w:after="0" w:line="240" w:lineRule="auto"/>
              <w:ind w:right="-90"/>
              <w:jc w:val="center"/>
              <w:rPr>
                <w:rFonts w:eastAsia="Times New Roman" w:cs="Times New Roman"/>
                <w:szCs w:val="24"/>
              </w:rPr>
            </w:pPr>
            <w:r w:rsidRPr="00CA099F">
              <w:rPr>
                <w:rFonts w:eastAsia="Times New Roman" w:cs="Times New Roman"/>
                <w:szCs w:val="24"/>
              </w:rPr>
              <w:t>Показник</w:t>
            </w:r>
          </w:p>
        </w:tc>
        <w:tc>
          <w:tcPr>
            <w:tcW w:w="1026"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099"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60"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5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556" w:type="pct"/>
            <w:vMerge/>
          </w:tcPr>
          <w:p w:rsidR="0030517B" w:rsidRPr="00CA099F" w:rsidRDefault="0030517B" w:rsidP="00E1448E">
            <w:pPr>
              <w:spacing w:after="0" w:line="240" w:lineRule="auto"/>
              <w:ind w:right="-90"/>
              <w:jc w:val="center"/>
              <w:rPr>
                <w:rFonts w:eastAsia="Times New Roman" w:cs="Times New Roman"/>
                <w:szCs w:val="28"/>
              </w:rPr>
            </w:pPr>
          </w:p>
        </w:tc>
        <w:tc>
          <w:tcPr>
            <w:tcW w:w="467"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801EEF">
              <w:rPr>
                <w:rFonts w:eastAsia="Times New Roman" w:cs="Times New Roman"/>
                <w:sz w:val="20"/>
                <w:szCs w:val="20"/>
              </w:rPr>
              <w:t xml:space="preserve"> </w:t>
            </w:r>
            <w:r w:rsidR="00801EEF">
              <w:rPr>
                <w:rFonts w:eastAsia="Times New Roman" w:cs="Times New Roman"/>
                <w:szCs w:val="24"/>
              </w:rPr>
              <w:t>(</w:t>
            </w:r>
            <w:r w:rsidR="00801EEF">
              <w:rPr>
                <w:rFonts w:eastAsia="Times New Roman" w:cs="Times New Roman"/>
                <w:szCs w:val="24"/>
                <w:lang w:val="en-US"/>
              </w:rPr>
              <w:t>n=20</w:t>
            </w:r>
            <w:r w:rsidR="00801EEF">
              <w:rPr>
                <w:rFonts w:eastAsia="Times New Roman" w:cs="Times New Roman"/>
                <w:szCs w:val="24"/>
              </w:rPr>
              <w:t>)</w:t>
            </w:r>
          </w:p>
        </w:tc>
        <w:tc>
          <w:tcPr>
            <w:tcW w:w="559"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19"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80"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8"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2 група</w:t>
            </w:r>
          </w:p>
          <w:p w:rsidR="00801EEF" w:rsidRPr="00CA099F" w:rsidRDefault="00801EE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556"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СОД, ум.од.</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119,43±4,86</w:t>
            </w:r>
          </w:p>
        </w:tc>
        <w:tc>
          <w:tcPr>
            <w:tcW w:w="55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90,07±2,57*</w:t>
            </w:r>
          </w:p>
        </w:tc>
        <w:tc>
          <w:tcPr>
            <w:tcW w:w="51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86,96±2,69</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72,45±2,05*</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70,82±2,28</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60,43±1,52*</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62,97±2,13</w:t>
            </w:r>
          </w:p>
        </w:tc>
        <w:tc>
          <w:tcPr>
            <w:tcW w:w="578"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60,41±2,02</w:t>
            </w:r>
          </w:p>
        </w:tc>
      </w:tr>
      <w:tr w:rsidR="0030517B" w:rsidRPr="00CA099F" w:rsidTr="00E1448E">
        <w:tc>
          <w:tcPr>
            <w:tcW w:w="556" w:type="pct"/>
          </w:tcPr>
          <w:p w:rsidR="0030517B" w:rsidRPr="00CA099F" w:rsidRDefault="0030517B" w:rsidP="00E1448E">
            <w:pPr>
              <w:spacing w:after="0" w:line="240" w:lineRule="auto"/>
              <w:ind w:right="-90"/>
              <w:jc w:val="center"/>
              <w:rPr>
                <w:rFonts w:eastAsia="Times New Roman" w:cs="Times New Roman"/>
                <w:szCs w:val="28"/>
              </w:rPr>
            </w:pPr>
          </w:p>
        </w:tc>
        <w:tc>
          <w:tcPr>
            <w:tcW w:w="467" w:type="pct"/>
          </w:tcPr>
          <w:p w:rsidR="0030517B" w:rsidRPr="00CA099F" w:rsidRDefault="0030517B" w:rsidP="00E1448E">
            <w:pPr>
              <w:spacing w:after="0" w:line="240" w:lineRule="auto"/>
              <w:jc w:val="center"/>
              <w:rPr>
                <w:rFonts w:eastAsia="Times New Roman" w:cs="Times New Roman"/>
                <w:szCs w:val="28"/>
              </w:rPr>
            </w:pPr>
          </w:p>
        </w:tc>
        <w:tc>
          <w:tcPr>
            <w:tcW w:w="559" w:type="pct"/>
          </w:tcPr>
          <w:p w:rsidR="0030517B" w:rsidRPr="00CA099F" w:rsidRDefault="0030517B" w:rsidP="00E1448E">
            <w:pPr>
              <w:spacing w:after="0" w:line="240" w:lineRule="auto"/>
              <w:jc w:val="center"/>
              <w:rPr>
                <w:rFonts w:eastAsia="Times New Roman" w:cs="Times New Roman"/>
                <w:szCs w:val="28"/>
              </w:rPr>
            </w:pPr>
          </w:p>
        </w:tc>
        <w:tc>
          <w:tcPr>
            <w:tcW w:w="519" w:type="pct"/>
          </w:tcPr>
          <w:p w:rsidR="0030517B" w:rsidRPr="00CA099F" w:rsidRDefault="0030517B" w:rsidP="00E1448E">
            <w:pPr>
              <w:spacing w:after="0" w:line="240" w:lineRule="auto"/>
              <w:jc w:val="center"/>
              <w:rPr>
                <w:rFonts w:eastAsia="Times New Roman" w:cs="Times New Roman"/>
                <w:szCs w:val="28"/>
              </w:rPr>
            </w:pPr>
          </w:p>
        </w:tc>
        <w:tc>
          <w:tcPr>
            <w:tcW w:w="580"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580" w:type="pct"/>
          </w:tcPr>
          <w:p w:rsidR="0030517B" w:rsidRPr="00CA099F" w:rsidRDefault="0030517B" w:rsidP="00E1448E">
            <w:pPr>
              <w:spacing w:after="0"/>
              <w:jc w:val="center"/>
              <w:rPr>
                <w:rFonts w:eastAsia="Times New Roman" w:cs="Times New Roman"/>
                <w:szCs w:val="28"/>
              </w:rPr>
            </w:pPr>
          </w:p>
        </w:tc>
        <w:tc>
          <w:tcPr>
            <w:tcW w:w="58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2</w:t>
            </w:r>
            <w:r w:rsidRPr="00CA099F">
              <w:rPr>
                <w:rFonts w:eastAsia="Times New Roman" w:cs="Times New Roman"/>
                <w:color w:val="000000"/>
                <w:szCs w:val="24"/>
              </w:rPr>
              <w:t>&lt;0,001</w:t>
            </w:r>
          </w:p>
        </w:tc>
        <w:tc>
          <w:tcPr>
            <w:tcW w:w="580" w:type="pct"/>
          </w:tcPr>
          <w:p w:rsidR="0030517B" w:rsidRPr="00CA099F" w:rsidRDefault="0030517B" w:rsidP="00E1448E">
            <w:pPr>
              <w:spacing w:after="0"/>
              <w:jc w:val="center"/>
              <w:rPr>
                <w:rFonts w:eastAsia="Times New Roman" w:cs="Times New Roman"/>
                <w:szCs w:val="28"/>
              </w:rPr>
            </w:pPr>
          </w:p>
        </w:tc>
        <w:tc>
          <w:tcPr>
            <w:tcW w:w="578"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556"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Катала-за,</w:t>
            </w:r>
          </w:p>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 xml:space="preserve"> кат/кг </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80,04±2,24</w:t>
            </w:r>
          </w:p>
        </w:tc>
        <w:tc>
          <w:tcPr>
            <w:tcW w:w="55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63,42±1,65*</w:t>
            </w:r>
          </w:p>
        </w:tc>
        <w:tc>
          <w:tcPr>
            <w:tcW w:w="51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64,48±2,03</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58,27±1,81</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60,43±1,52</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58,48±2,18</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59,41±1,93</w:t>
            </w:r>
          </w:p>
        </w:tc>
        <w:tc>
          <w:tcPr>
            <w:tcW w:w="578"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55,25±1,90</w:t>
            </w:r>
          </w:p>
        </w:tc>
      </w:tr>
      <w:tr w:rsidR="0030517B" w:rsidRPr="00CA099F" w:rsidTr="00E1448E">
        <w:tc>
          <w:tcPr>
            <w:tcW w:w="556" w:type="pct"/>
          </w:tcPr>
          <w:p w:rsidR="0030517B" w:rsidRPr="00CA099F" w:rsidRDefault="0030517B" w:rsidP="00E1448E">
            <w:pPr>
              <w:spacing w:after="0" w:line="240" w:lineRule="auto"/>
              <w:jc w:val="center"/>
              <w:rPr>
                <w:rFonts w:eastAsia="Times New Roman" w:cs="Times New Roman"/>
                <w:szCs w:val="28"/>
              </w:rPr>
            </w:pPr>
          </w:p>
        </w:tc>
        <w:tc>
          <w:tcPr>
            <w:tcW w:w="467" w:type="pct"/>
          </w:tcPr>
          <w:p w:rsidR="0030517B" w:rsidRPr="00CA099F" w:rsidRDefault="0030517B" w:rsidP="00E1448E">
            <w:pPr>
              <w:spacing w:after="0" w:line="240" w:lineRule="auto"/>
              <w:jc w:val="center"/>
              <w:rPr>
                <w:rFonts w:eastAsia="Times New Roman" w:cs="Times New Roman"/>
                <w:szCs w:val="28"/>
              </w:rPr>
            </w:pPr>
          </w:p>
        </w:tc>
        <w:tc>
          <w:tcPr>
            <w:tcW w:w="559" w:type="pct"/>
          </w:tcPr>
          <w:p w:rsidR="0030517B" w:rsidRPr="00CA099F" w:rsidRDefault="0030517B" w:rsidP="00E1448E">
            <w:pPr>
              <w:spacing w:after="0" w:line="240" w:lineRule="auto"/>
              <w:jc w:val="center"/>
              <w:rPr>
                <w:rFonts w:eastAsia="Times New Roman" w:cs="Times New Roman"/>
                <w:szCs w:val="28"/>
              </w:rPr>
            </w:pPr>
          </w:p>
        </w:tc>
        <w:tc>
          <w:tcPr>
            <w:tcW w:w="519" w:type="pct"/>
          </w:tcPr>
          <w:p w:rsidR="0030517B" w:rsidRPr="00CA099F" w:rsidRDefault="0030517B" w:rsidP="00E1448E">
            <w:pPr>
              <w:spacing w:after="0" w:line="240" w:lineRule="auto"/>
              <w:jc w:val="center"/>
              <w:rPr>
                <w:rFonts w:eastAsia="Times New Roman" w:cs="Times New Roman"/>
                <w:szCs w:val="28"/>
              </w:rPr>
            </w:pPr>
          </w:p>
        </w:tc>
        <w:tc>
          <w:tcPr>
            <w:tcW w:w="58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&lt;0,05</w:t>
            </w:r>
          </w:p>
        </w:tc>
        <w:tc>
          <w:tcPr>
            <w:tcW w:w="580" w:type="pct"/>
          </w:tcPr>
          <w:p w:rsidR="0030517B" w:rsidRPr="00CA099F" w:rsidRDefault="0030517B" w:rsidP="00E1448E">
            <w:pPr>
              <w:spacing w:after="0"/>
              <w:jc w:val="center"/>
              <w:rPr>
                <w:rFonts w:eastAsia="Times New Roman" w:cs="Times New Roman"/>
                <w:szCs w:val="28"/>
              </w:rPr>
            </w:pPr>
          </w:p>
        </w:tc>
        <w:tc>
          <w:tcPr>
            <w:tcW w:w="580" w:type="pct"/>
          </w:tcPr>
          <w:p w:rsidR="0030517B" w:rsidRPr="00CA099F" w:rsidRDefault="0030517B" w:rsidP="00E1448E">
            <w:pPr>
              <w:spacing w:after="0"/>
              <w:jc w:val="center"/>
              <w:rPr>
                <w:rFonts w:eastAsia="Times New Roman" w:cs="Times New Roman"/>
                <w:szCs w:val="28"/>
              </w:rPr>
            </w:pPr>
          </w:p>
        </w:tc>
        <w:tc>
          <w:tcPr>
            <w:tcW w:w="580" w:type="pct"/>
          </w:tcPr>
          <w:p w:rsidR="0030517B" w:rsidRPr="00CA099F" w:rsidRDefault="0030517B" w:rsidP="00E1448E">
            <w:pPr>
              <w:spacing w:after="0" w:line="240" w:lineRule="auto"/>
              <w:jc w:val="center"/>
              <w:rPr>
                <w:rFonts w:eastAsia="Times New Roman" w:cs="Times New Roman"/>
                <w:szCs w:val="28"/>
              </w:rPr>
            </w:pPr>
          </w:p>
        </w:tc>
        <w:tc>
          <w:tcPr>
            <w:tcW w:w="578"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556"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SH-групи, ммоль/кг</w:t>
            </w:r>
          </w:p>
        </w:tc>
        <w:tc>
          <w:tcPr>
            <w:tcW w:w="467"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59,01±2,08</w:t>
            </w:r>
          </w:p>
        </w:tc>
        <w:tc>
          <w:tcPr>
            <w:tcW w:w="55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49,48±1,76*</w:t>
            </w:r>
          </w:p>
        </w:tc>
        <w:tc>
          <w:tcPr>
            <w:tcW w:w="51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51,92±2,53</w:t>
            </w:r>
          </w:p>
        </w:tc>
        <w:tc>
          <w:tcPr>
            <w:tcW w:w="580"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46,20</w:t>
            </w:r>
            <w:r w:rsidRPr="00CA099F">
              <w:rPr>
                <w:rFonts w:eastAsia="Times New Roman" w:cs="Times New Roman"/>
                <w:sz w:val="28"/>
                <w:szCs w:val="28"/>
              </w:rPr>
              <w:t>±</w:t>
            </w:r>
            <w:r w:rsidRPr="00CA099F">
              <w:rPr>
                <w:rFonts w:eastAsia="Times New Roman" w:cs="Times New Roman"/>
                <w:color w:val="000000"/>
                <w:sz w:val="28"/>
                <w:szCs w:val="28"/>
              </w:rPr>
              <w:t>2,39</w:t>
            </w:r>
          </w:p>
        </w:tc>
        <w:tc>
          <w:tcPr>
            <w:tcW w:w="580"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49,98±2,25</w:t>
            </w:r>
          </w:p>
        </w:tc>
        <w:tc>
          <w:tcPr>
            <w:tcW w:w="580"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45,99</w:t>
            </w:r>
            <w:r w:rsidRPr="00CA099F">
              <w:rPr>
                <w:rFonts w:eastAsia="Times New Roman" w:cs="Times New Roman"/>
                <w:sz w:val="28"/>
                <w:szCs w:val="28"/>
              </w:rPr>
              <w:t>±</w:t>
            </w:r>
            <w:r w:rsidRPr="00CA099F">
              <w:rPr>
                <w:rFonts w:eastAsia="Times New Roman" w:cs="Times New Roman"/>
                <w:color w:val="000000"/>
                <w:sz w:val="28"/>
                <w:szCs w:val="28"/>
              </w:rPr>
              <w:t>2,08</w:t>
            </w:r>
          </w:p>
        </w:tc>
        <w:tc>
          <w:tcPr>
            <w:tcW w:w="58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49,41±1,93</w:t>
            </w:r>
          </w:p>
        </w:tc>
        <w:tc>
          <w:tcPr>
            <w:tcW w:w="578"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45,30±2,09</w:t>
            </w: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6509D4" w:rsidRDefault="0030517B" w:rsidP="00E1448E">
            <w:pPr>
              <w:spacing w:after="0" w:line="240" w:lineRule="auto"/>
              <w:jc w:val="both"/>
              <w:rPr>
                <w:rFonts w:eastAsia="Times New Roman" w:cs="Times New Roman"/>
                <w:color w:val="000000"/>
                <w:szCs w:val="28"/>
                <w:lang w:val="ru-RU"/>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w:t>
            </w:r>
            <w:r w:rsidR="006509D4">
              <w:rPr>
                <w:rFonts w:eastAsia="Times New Roman" w:cs="Times New Roman"/>
                <w:color w:val="000000"/>
                <w:sz w:val="28"/>
                <w:szCs w:val="28"/>
              </w:rPr>
              <w:t>мін спостереження 6 і 9 місяців</w:t>
            </w:r>
            <w:r w:rsidR="006509D4">
              <w:rPr>
                <w:rFonts w:eastAsia="Times New Roman" w:cs="Times New Roman"/>
                <w:color w:val="000000"/>
                <w:sz w:val="28"/>
                <w:szCs w:val="28"/>
                <w:lang w:val="ru-RU"/>
              </w:rPr>
              <w:t>.</w:t>
            </w:r>
          </w:p>
        </w:tc>
      </w:tr>
    </w:tbl>
    <w:p w:rsidR="0030517B" w:rsidRPr="00CA099F" w:rsidRDefault="0030517B" w:rsidP="0030517B">
      <w:pPr>
        <w:spacing w:after="0" w:line="360" w:lineRule="auto"/>
        <w:jc w:val="both"/>
        <w:rPr>
          <w:rFonts w:eastAsia="Times New Roman" w:cs="Times New Roman"/>
          <w:sz w:val="28"/>
          <w:szCs w:val="28"/>
        </w:rPr>
      </w:pP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Аналізуючи зміни активності СОД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пацієнтів (рис. 5.9) найвищі показники встановлено у пацієнтів контрольної групи (через 3 місяці спостереження </w:t>
      </w:r>
      <w:r w:rsidR="0030517B" w:rsidRPr="00CA099F">
        <w:rPr>
          <w:rFonts w:eastAsia="Times New Roman" w:cs="Times New Roman"/>
          <w:sz w:val="28"/>
          <w:szCs w:val="28"/>
        </w:rPr>
        <w:lastRenderedPageBreak/>
        <w:t xml:space="preserve">достовірне переважання на 85,9 %, через 6 місяців – на 35,4 % і через 9 – на 10,2 %). </w:t>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Найнижчі показники активності СОД спостерігалися у пацієнтів, яким під час оперативного втручання введено PRF-згусток, а на післяопераційному етапі було застосовано препарат </w:t>
      </w:r>
      <w:r w:rsidR="009A789C">
        <w:rPr>
          <w:rFonts w:eastAsia="Times New Roman" w:cs="Times New Roman"/>
          <w:sz w:val="28"/>
          <w:szCs w:val="28"/>
        </w:rPr>
        <w:t>церулоплазмін</w:t>
      </w:r>
      <w:r w:rsidR="0030517B" w:rsidRPr="00CA099F">
        <w:rPr>
          <w:rFonts w:eastAsia="Times New Roman" w:cs="Times New Roman"/>
          <w:sz w:val="28"/>
          <w:szCs w:val="28"/>
        </w:rPr>
        <w:t>. Так, через 3 місяці даний показник перевищував показник інтактної групи на 40,2 %, через 6 місяців – на 12,8 % і через 9</w:t>
      </w:r>
      <w:r w:rsidR="006509D4">
        <w:rPr>
          <w:rFonts w:eastAsia="Times New Roman" w:cs="Times New Roman"/>
          <w:sz w:val="28"/>
          <w:szCs w:val="28"/>
          <w:lang w:val="ru-RU"/>
        </w:rPr>
        <w:t xml:space="preserve"> </w:t>
      </w:r>
      <w:r w:rsidR="0030517B" w:rsidRPr="00CA099F">
        <w:rPr>
          <w:rFonts w:eastAsia="Times New Roman" w:cs="Times New Roman"/>
          <w:sz w:val="28"/>
          <w:szCs w:val="28"/>
        </w:rPr>
        <w:t>– достовірно не відрізнявся.</w:t>
      </w:r>
    </w:p>
    <w:p w:rsidR="0030517B" w:rsidRPr="00CA099F" w:rsidRDefault="0030517B" w:rsidP="0030517B">
      <w:pPr>
        <w:spacing w:after="0" w:line="360" w:lineRule="auto"/>
        <w:jc w:val="both"/>
        <w:rPr>
          <w:rFonts w:eastAsia="Times New Roman" w:cs="Times New Roman"/>
          <w:color w:val="000000"/>
          <w:sz w:val="28"/>
          <w:szCs w:val="28"/>
        </w:rPr>
      </w:pPr>
    </w:p>
    <w:p w:rsidR="0030517B" w:rsidRPr="00CA099F" w:rsidRDefault="0030517B" w:rsidP="0030517B">
      <w:pPr>
        <w:spacing w:after="0" w:line="360" w:lineRule="auto"/>
        <w:jc w:val="both"/>
        <w:rPr>
          <w:rFonts w:ascii="Calibri" w:eastAsia="Times New Roman" w:hAnsi="Calibri" w:cs="Times New Roman"/>
          <w:sz w:val="22"/>
          <w:szCs w:val="28"/>
        </w:rPr>
      </w:pPr>
      <w:r w:rsidRPr="00CA099F">
        <w:rPr>
          <w:rFonts w:ascii="Calibri" w:eastAsia="Times New Roman" w:hAnsi="Calibri" w:cs="Times New Roman"/>
          <w:noProof/>
          <w:sz w:val="22"/>
          <w:lang w:val="ru-RU" w:eastAsia="ru-RU"/>
        </w:rPr>
        <w:drawing>
          <wp:inline distT="0" distB="0" distL="0" distR="0" wp14:anchorId="77D0B78E" wp14:editId="1D1EB00F">
            <wp:extent cx="5219700" cy="29146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19700" cy="2914650"/>
                    </a:xfrm>
                    <a:prstGeom prst="rect">
                      <a:avLst/>
                    </a:prstGeom>
                    <a:noFill/>
                    <a:ln>
                      <a:noFill/>
                    </a:ln>
                  </pic:spPr>
                </pic:pic>
              </a:graphicData>
            </a:graphic>
          </wp:inline>
        </w:drawing>
      </w:r>
    </w:p>
    <w:p w:rsidR="0030517B" w:rsidRDefault="00801EEF" w:rsidP="0030517B">
      <w:pPr>
        <w:spacing w:after="0" w:line="360" w:lineRule="auto"/>
        <w:jc w:val="both"/>
        <w:rPr>
          <w:rFonts w:eastAsia="Times New Roman" w:cs="Times New Roman"/>
          <w:sz w:val="28"/>
          <w:szCs w:val="28"/>
        </w:rPr>
      </w:pPr>
      <w:r>
        <w:rPr>
          <w:rFonts w:eastAsia="Times New Roman" w:cs="Times New Roman"/>
          <w:sz w:val="28"/>
          <w:szCs w:val="28"/>
        </w:rPr>
        <w:t>Рисунок 5.9 Графічне зображення</w:t>
      </w:r>
      <w:r w:rsidR="0030517B" w:rsidRPr="00CA099F">
        <w:rPr>
          <w:rFonts w:eastAsia="Times New Roman" w:cs="Times New Roman"/>
          <w:sz w:val="28"/>
          <w:szCs w:val="28"/>
        </w:rPr>
        <w:t xml:space="preserve"> змін активності СОД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E6030B" w:rsidRPr="00CA099F" w:rsidRDefault="00E6030B" w:rsidP="0030517B">
      <w:pPr>
        <w:spacing w:after="0" w:line="360" w:lineRule="auto"/>
        <w:jc w:val="both"/>
        <w:rPr>
          <w:rFonts w:eastAsia="Times New Roman" w:cs="Times New Roman"/>
          <w:sz w:val="28"/>
          <w:szCs w:val="28"/>
        </w:rPr>
      </w:pP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Активність каталази відносно активності СОД впродовж експерименту зазнала менш виражених змін. Аналізуючи зміни активності каталази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показника інтактної групи пацієнтів у контрольній групі встановлено через 3 місяці спостереження переважання </w:t>
      </w:r>
      <w:r w:rsidR="0030517B" w:rsidRPr="00CA099F">
        <w:rPr>
          <w:rFonts w:eastAsia="Times New Roman" w:cs="Times New Roman"/>
          <w:sz w:val="28"/>
          <w:szCs w:val="28"/>
        </w:rPr>
        <w:lastRenderedPageBreak/>
        <w:t>даного показника на 39,4 % (</w:t>
      </w:r>
      <w:r w:rsidR="0030517B" w:rsidRPr="00CA099F">
        <w:rPr>
          <w:rFonts w:eastAsia="Times New Roman" w:cs="Times New Roman"/>
          <w:color w:val="000000"/>
          <w:sz w:val="28"/>
          <w:szCs w:val="28"/>
        </w:rPr>
        <w:t>р&lt;0,001</w:t>
      </w:r>
      <w:r w:rsidR="0030517B" w:rsidRPr="00CA099F">
        <w:rPr>
          <w:rFonts w:eastAsia="Times New Roman" w:cs="Times New Roman"/>
          <w:sz w:val="28"/>
          <w:szCs w:val="28"/>
        </w:rPr>
        <w:t>), через 6 місяців – на 12,3 %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 xml:space="preserve">) (рис. 5.10). </w:t>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Через 9 та 12 місяців спостереження активність каталази достовірно не відрізнялася від показника інтактної групи пацієнтів у всіх групах спостереження. Варто вказати на те, що у пацієнтів, яким під час оперативного втручанн</w:t>
      </w:r>
      <w:r w:rsidR="00985FE4">
        <w:rPr>
          <w:rFonts w:eastAsia="Times New Roman" w:cs="Times New Roman"/>
          <w:sz w:val="28"/>
          <w:szCs w:val="28"/>
        </w:rPr>
        <w:t xml:space="preserve">я введено PRF-згусток </w:t>
      </w:r>
      <w:r w:rsidR="0030517B" w:rsidRPr="00CA099F">
        <w:rPr>
          <w:rFonts w:eastAsia="Times New Roman" w:cs="Times New Roman"/>
          <w:sz w:val="28"/>
          <w:szCs w:val="28"/>
        </w:rPr>
        <w:t xml:space="preserve">та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9A789C" w:rsidRPr="00CA099F">
        <w:rPr>
          <w:rFonts w:eastAsia="Times New Roman" w:cs="Times New Roman"/>
          <w:sz w:val="28"/>
          <w:szCs w:val="28"/>
        </w:rPr>
        <w:t xml:space="preserve"> </w:t>
      </w:r>
      <w:r w:rsidR="0030517B" w:rsidRPr="00CA099F">
        <w:rPr>
          <w:rFonts w:eastAsia="Times New Roman" w:cs="Times New Roman"/>
          <w:sz w:val="28"/>
          <w:szCs w:val="28"/>
        </w:rPr>
        <w:t>активність каталази достовірно не відрізнялася від показника інтактної групи пацієнтів вже через 6 місяців спостереження. Крім цього, через 3 місяці спостереження активність каталази у пацієнтів контрольної групи зросла на 39,4 % (</w:t>
      </w:r>
      <w:r w:rsidR="0030517B" w:rsidRPr="00CA099F">
        <w:rPr>
          <w:rFonts w:eastAsia="Times New Roman" w:cs="Times New Roman"/>
          <w:color w:val="000000"/>
          <w:sz w:val="28"/>
          <w:szCs w:val="28"/>
        </w:rPr>
        <w:t>р&lt;0,001</w:t>
      </w:r>
      <w:r w:rsidR="0030517B" w:rsidRPr="00CA099F">
        <w:rPr>
          <w:rFonts w:eastAsia="Times New Roman" w:cs="Times New Roman"/>
          <w:sz w:val="28"/>
          <w:szCs w:val="28"/>
        </w:rPr>
        <w:t>), у пацієнтів, яким під час оперативного втручання введено PRF-згусток – на 20,3 % (</w:t>
      </w:r>
      <w:r w:rsidR="0030517B" w:rsidRPr="00CA099F">
        <w:rPr>
          <w:rFonts w:eastAsia="Times New Roman" w:cs="Times New Roman"/>
          <w:color w:val="000000"/>
          <w:sz w:val="28"/>
          <w:szCs w:val="28"/>
        </w:rPr>
        <w:t>р&lt;0,001</w:t>
      </w:r>
      <w:r w:rsidR="0030517B" w:rsidRPr="00CA099F">
        <w:rPr>
          <w:rFonts w:eastAsia="Times New Roman" w:cs="Times New Roman"/>
          <w:sz w:val="28"/>
          <w:szCs w:val="28"/>
        </w:rPr>
        <w:t xml:space="preserve">),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30517B" w:rsidRPr="00CA099F">
        <w:rPr>
          <w:rFonts w:eastAsia="Times New Roman" w:cs="Times New Roman"/>
          <w:sz w:val="28"/>
          <w:szCs w:val="28"/>
        </w:rPr>
        <w:t xml:space="preserve"> – на 10,4 % (</w:t>
      </w:r>
      <w:r w:rsidR="0030517B" w:rsidRPr="00CA099F">
        <w:rPr>
          <w:rFonts w:eastAsia="Times New Roman" w:cs="Times New Roman"/>
          <w:color w:val="000000"/>
          <w:sz w:val="28"/>
          <w:szCs w:val="28"/>
        </w:rPr>
        <w:t>р&lt;0,05</w:t>
      </w:r>
      <w:r w:rsidR="0030517B" w:rsidRPr="00CA099F">
        <w:rPr>
          <w:rFonts w:eastAsia="Times New Roman" w:cs="Times New Roman"/>
          <w:sz w:val="28"/>
          <w:szCs w:val="28"/>
        </w:rPr>
        <w:t>).</w:t>
      </w:r>
    </w:p>
    <w:p w:rsidR="0030517B" w:rsidRPr="00CA099F" w:rsidRDefault="0030517B" w:rsidP="0030517B">
      <w:pPr>
        <w:spacing w:after="0" w:line="360" w:lineRule="auto"/>
        <w:jc w:val="both"/>
        <w:rPr>
          <w:rFonts w:eastAsia="Times New Roman" w:cs="Times New Roman"/>
          <w:sz w:val="28"/>
          <w:szCs w:val="28"/>
        </w:rPr>
      </w:pPr>
    </w:p>
    <w:p w:rsidR="0030517B" w:rsidRPr="00CA099F" w:rsidRDefault="0030517B" w:rsidP="0030517B">
      <w:pPr>
        <w:spacing w:after="0" w:line="360" w:lineRule="auto"/>
        <w:jc w:val="both"/>
        <w:rPr>
          <w:rFonts w:ascii="Calibri" w:eastAsia="Times New Roman" w:hAnsi="Calibri" w:cs="Times New Roman"/>
          <w:sz w:val="22"/>
          <w:szCs w:val="28"/>
        </w:rPr>
      </w:pPr>
      <w:r w:rsidRPr="00CA099F">
        <w:rPr>
          <w:rFonts w:ascii="Calibri" w:eastAsia="Times New Roman" w:hAnsi="Calibri" w:cs="Times New Roman"/>
          <w:noProof/>
          <w:sz w:val="22"/>
          <w:lang w:val="ru-RU" w:eastAsia="ru-RU"/>
        </w:rPr>
        <w:drawing>
          <wp:inline distT="0" distB="0" distL="0" distR="0" wp14:anchorId="3D54F176" wp14:editId="7EC016AD">
            <wp:extent cx="5553075" cy="31718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53075" cy="3171825"/>
                    </a:xfrm>
                    <a:prstGeom prst="rect">
                      <a:avLst/>
                    </a:prstGeom>
                    <a:noFill/>
                    <a:ln>
                      <a:noFill/>
                    </a:ln>
                  </pic:spPr>
                </pic:pic>
              </a:graphicData>
            </a:graphic>
          </wp:inline>
        </w:drawing>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Рисунок 5.10</w:t>
      </w:r>
      <w:r w:rsidR="0030517B" w:rsidRPr="00CA099F">
        <w:rPr>
          <w:rFonts w:eastAsia="Times New Roman" w:cs="Times New Roman"/>
          <w:sz w:val="28"/>
          <w:szCs w:val="28"/>
        </w:rPr>
        <w:t xml:space="preserve"> </w:t>
      </w:r>
      <w:r>
        <w:rPr>
          <w:rFonts w:eastAsia="Times New Roman" w:cs="Times New Roman"/>
          <w:sz w:val="28"/>
          <w:szCs w:val="28"/>
        </w:rPr>
        <w:t>Графічне зображення</w:t>
      </w:r>
      <w:r w:rsidR="0030517B" w:rsidRPr="00CA099F">
        <w:rPr>
          <w:rFonts w:eastAsia="Times New Roman" w:cs="Times New Roman"/>
          <w:sz w:val="28"/>
          <w:szCs w:val="28"/>
        </w:rPr>
        <w:t xml:space="preserve"> змін активності каталази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w:t>
      </w:r>
      <w:r w:rsidR="0030517B" w:rsidRPr="00CA099F">
        <w:rPr>
          <w:rFonts w:eastAsia="Times New Roman" w:cs="Times New Roman"/>
          <w:sz w:val="28"/>
          <w:szCs w:val="28"/>
        </w:rPr>
        <w:lastRenderedPageBreak/>
        <w:t>ембріонального походження у відсотках (*- різниця достовірна стосовно даних інтактної групи).</w:t>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Важливим складником системи антиоксидного захисту є біомолекули, що містять сульфгідрильні групи. Основним мобільним фондом SH-груп є глутатіон. Динаміка змін вмісту SH-груп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була менш вираженою відносно динаміки змін ферментативної ланки системи антиоксидного захисту.</w:t>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Так, аналізуючи зміни вмісту SH-груп відносно показника інтактної групи пацієнтів у контрольній групі встановлено через 3 місяці спостереження переважання даного показника на 25,0 % (</w:t>
      </w:r>
      <w:r w:rsidR="0030517B" w:rsidRPr="00CA099F">
        <w:rPr>
          <w:rFonts w:eastAsia="Times New Roman" w:cs="Times New Roman"/>
          <w:color w:val="000000"/>
          <w:sz w:val="28"/>
          <w:szCs w:val="28"/>
        </w:rPr>
        <w:t>р&lt;0,01</w:t>
      </w:r>
      <w:r w:rsidR="0030517B" w:rsidRPr="00CA099F">
        <w:rPr>
          <w:rFonts w:eastAsia="Times New Roman" w:cs="Times New Roman"/>
          <w:sz w:val="28"/>
          <w:szCs w:val="28"/>
        </w:rPr>
        <w:t>), у пацієнтів першої та другої групи даний показник достовірно не відрізнявся (рис. 5.11). Через 6, 9 та 12 місяців спостереження вміст SH-груп достовірно не відрізнявся від показника інтактної групи пацієнтів у всіх групах спостереження.</w:t>
      </w:r>
    </w:p>
    <w:p w:rsidR="0030517B" w:rsidRPr="00CA099F" w:rsidRDefault="0030517B" w:rsidP="0030517B">
      <w:pPr>
        <w:spacing w:after="0" w:line="360" w:lineRule="auto"/>
        <w:jc w:val="center"/>
        <w:rPr>
          <w:rFonts w:eastAsia="Times New Roman" w:cs="Times New Roman"/>
          <w:sz w:val="28"/>
          <w:szCs w:val="28"/>
        </w:rPr>
      </w:pPr>
      <w:r w:rsidRPr="00CA099F">
        <w:rPr>
          <w:rFonts w:ascii="Calibri" w:eastAsia="Times New Roman" w:hAnsi="Calibri" w:cs="Times New Roman"/>
          <w:noProof/>
          <w:sz w:val="22"/>
          <w:lang w:val="ru-RU" w:eastAsia="ru-RU"/>
        </w:rPr>
        <w:drawing>
          <wp:inline distT="0" distB="0" distL="0" distR="0" wp14:anchorId="2A32F0BF" wp14:editId="7F4A99A3">
            <wp:extent cx="5591175" cy="33147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91175" cy="3314700"/>
                    </a:xfrm>
                    <a:prstGeom prst="rect">
                      <a:avLst/>
                    </a:prstGeom>
                    <a:noFill/>
                    <a:ln>
                      <a:noFill/>
                    </a:ln>
                  </pic:spPr>
                </pic:pic>
              </a:graphicData>
            </a:graphic>
          </wp:inline>
        </w:drawing>
      </w:r>
    </w:p>
    <w:p w:rsidR="0030517B" w:rsidRPr="00CA099F" w:rsidRDefault="00801EEF" w:rsidP="0030517B">
      <w:pPr>
        <w:spacing w:after="0" w:line="360" w:lineRule="auto"/>
        <w:jc w:val="both"/>
        <w:rPr>
          <w:rFonts w:eastAsia="Times New Roman" w:cs="Times New Roman"/>
          <w:sz w:val="28"/>
          <w:szCs w:val="28"/>
        </w:rPr>
      </w:pPr>
      <w:r>
        <w:rPr>
          <w:rFonts w:eastAsia="Times New Roman" w:cs="Times New Roman"/>
          <w:sz w:val="28"/>
          <w:szCs w:val="28"/>
        </w:rPr>
        <w:t>Рисунок 5.11</w:t>
      </w:r>
      <w:r w:rsidR="00E61D0F">
        <w:rPr>
          <w:rFonts w:eastAsia="Times New Roman" w:cs="Times New Roman"/>
          <w:sz w:val="28"/>
          <w:szCs w:val="28"/>
        </w:rPr>
        <w:t xml:space="preserve"> Графічне зображення</w:t>
      </w:r>
      <w:r w:rsidR="0030517B" w:rsidRPr="00CA099F">
        <w:rPr>
          <w:rFonts w:eastAsia="Times New Roman" w:cs="Times New Roman"/>
          <w:sz w:val="28"/>
          <w:szCs w:val="28"/>
        </w:rPr>
        <w:t xml:space="preserve"> змін вмісту SH-груп у гомогенаті шкіри пацієнтів з різними видами інтра- та післяопераційної профілактики патологічних рубців шкіри при хірургічному лікуванні кіст шиї </w:t>
      </w:r>
      <w:r w:rsidR="0030517B" w:rsidRPr="00CA099F">
        <w:rPr>
          <w:rFonts w:eastAsia="Times New Roman" w:cs="Times New Roman"/>
          <w:sz w:val="28"/>
          <w:szCs w:val="28"/>
        </w:rPr>
        <w:lastRenderedPageBreak/>
        <w:t>ембріонального походження у відсотках (*- різниця достовірна стосовно даних інтактної групи).</w:t>
      </w:r>
    </w:p>
    <w:p w:rsidR="0030517B"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Відомо, що </w:t>
      </w:r>
      <w:r w:rsidR="0030517B" w:rsidRPr="009C2EE8">
        <w:rPr>
          <w:rFonts w:eastAsia="Times New Roman" w:cs="Times New Roman"/>
          <w:sz w:val="28"/>
          <w:szCs w:val="28"/>
        </w:rPr>
        <w:t>пер</w:t>
      </w:r>
      <w:r w:rsidR="00EF5D25" w:rsidRPr="009C2EE8">
        <w:rPr>
          <w:rFonts w:eastAsia="Times New Roman" w:cs="Times New Roman"/>
          <w:sz w:val="28"/>
          <w:szCs w:val="28"/>
        </w:rPr>
        <w:t>еки</w:t>
      </w:r>
      <w:r w:rsidR="0030517B" w:rsidRPr="009C2EE8">
        <w:rPr>
          <w:rFonts w:eastAsia="Times New Roman" w:cs="Times New Roman"/>
          <w:sz w:val="28"/>
          <w:szCs w:val="28"/>
        </w:rPr>
        <w:t>сне окиснення білків</w:t>
      </w:r>
      <w:r w:rsidR="0030517B" w:rsidRPr="00CA099F">
        <w:rPr>
          <w:rFonts w:eastAsia="Times New Roman" w:cs="Times New Roman"/>
          <w:sz w:val="28"/>
          <w:szCs w:val="28"/>
        </w:rPr>
        <w:t xml:space="preserve"> призводить до утворення фрагментованих та агрегованих білкових сполук, які є субстратом для протеолітичних ферментів, що активує протеоліз та сприяє подальшому посиленню деструктивних процесів. Еластаза – це протеаза, яка локалізується в азурофільних гранулах поліморфноядерних лейкоцитів. Активність еластази є показником деструктивного протеолізу тканини і маркером запальних змін. Результати наших досліджень показали, що даний показник у гомогенаті шкіри пацієнтів, яким під час оперативного втручання введено PRF-згусток, через 3 місяці спостереження був достовірно меншим на 14,8 %, через 9 місяців – на 10,2 %, стосовно даних третьої групи (табл. 5.9). У пацієнтів першої і третьої груп через 6 та 12 місяців даний показник достовірно не відрізнявся.</w:t>
      </w:r>
    </w:p>
    <w:p w:rsidR="00E6030B" w:rsidRPr="00CA099F" w:rsidRDefault="00E6030B" w:rsidP="00E6030B">
      <w:pPr>
        <w:spacing w:after="0" w:line="360" w:lineRule="auto"/>
        <w:jc w:val="both"/>
        <w:rPr>
          <w:rFonts w:eastAsia="Times New Roman" w:cs="Times New Roman"/>
          <w:color w:val="000000"/>
          <w:sz w:val="28"/>
          <w:szCs w:val="28"/>
        </w:rPr>
      </w:pPr>
      <w:r>
        <w:rPr>
          <w:rFonts w:eastAsia="Times New Roman" w:cs="Times New Roman"/>
          <w:sz w:val="28"/>
          <w:szCs w:val="28"/>
        </w:rPr>
        <w:tab/>
      </w:r>
      <w:r w:rsidRPr="00CA099F">
        <w:rPr>
          <w:rFonts w:eastAsia="Times New Roman" w:cs="Times New Roman"/>
          <w:sz w:val="28"/>
          <w:szCs w:val="28"/>
        </w:rPr>
        <w:t>Слід зазначити, що рівень досліджуваного показника змінювався впродовж терміну спостереження. Так, у пацієнтів, яким під час оперативного втручання введено PRF-згусток, через 6 місяців активність еластази була на 19,4 % (</w:t>
      </w:r>
      <w:r w:rsidRPr="00CA099F">
        <w:rPr>
          <w:rFonts w:eastAsia="Times New Roman" w:cs="Times New Roman"/>
          <w:color w:val="000000"/>
          <w:sz w:val="28"/>
          <w:szCs w:val="28"/>
        </w:rPr>
        <w:t xml:space="preserve">р&lt;0,001) </w:t>
      </w:r>
      <w:r w:rsidRPr="00CA099F">
        <w:rPr>
          <w:rFonts w:eastAsia="Times New Roman" w:cs="Times New Roman"/>
          <w:sz w:val="28"/>
          <w:szCs w:val="28"/>
        </w:rPr>
        <w:t>нижчою, стосовно даних попереднього терміну спостереження, через 9 – на 14,0 % (</w:t>
      </w:r>
      <w:r w:rsidRPr="00CA099F">
        <w:rPr>
          <w:rFonts w:eastAsia="Times New Roman" w:cs="Times New Roman"/>
          <w:color w:val="000000"/>
          <w:sz w:val="28"/>
          <w:szCs w:val="28"/>
        </w:rPr>
        <w:t xml:space="preserve">р&lt;0,001), через 12 </w:t>
      </w:r>
      <w:r>
        <w:rPr>
          <w:rFonts w:eastAsia="Times New Roman" w:cs="Times New Roman"/>
          <w:sz w:val="28"/>
          <w:szCs w:val="28"/>
        </w:rPr>
        <w:t>– на 10,2</w:t>
      </w:r>
      <w:r>
        <w:rPr>
          <w:rFonts w:eastAsia="Times New Roman" w:cs="Times New Roman"/>
          <w:sz w:val="28"/>
          <w:szCs w:val="28"/>
          <w:lang w:val="ru-RU"/>
        </w:rPr>
        <w:t> </w:t>
      </w:r>
      <w:r w:rsidRPr="00CA099F">
        <w:rPr>
          <w:rFonts w:eastAsia="Times New Roman" w:cs="Times New Roman"/>
          <w:sz w:val="28"/>
          <w:szCs w:val="28"/>
        </w:rPr>
        <w:t>% (</w:t>
      </w:r>
      <w:r w:rsidRPr="00CA099F">
        <w:rPr>
          <w:rFonts w:eastAsia="Times New Roman" w:cs="Times New Roman"/>
          <w:color w:val="000000"/>
          <w:sz w:val="28"/>
          <w:szCs w:val="28"/>
        </w:rPr>
        <w:t xml:space="preserve">р&lt;0,02). </w:t>
      </w:r>
    </w:p>
    <w:p w:rsidR="00E6030B" w:rsidRPr="00CA099F" w:rsidRDefault="00E6030B" w:rsidP="00E6030B">
      <w:pPr>
        <w:spacing w:after="0" w:line="360" w:lineRule="auto"/>
        <w:jc w:val="both"/>
        <w:rPr>
          <w:rFonts w:eastAsia="Times New Roman" w:cs="Times New Roman"/>
          <w:color w:val="000000"/>
          <w:sz w:val="28"/>
          <w:szCs w:val="28"/>
        </w:rPr>
      </w:pPr>
      <w:r>
        <w:rPr>
          <w:rFonts w:eastAsia="Times New Roman" w:cs="Times New Roman"/>
          <w:sz w:val="28"/>
          <w:szCs w:val="28"/>
        </w:rPr>
        <w:tab/>
      </w:r>
      <w:r w:rsidRPr="00CA099F">
        <w:rPr>
          <w:rFonts w:eastAsia="Times New Roman" w:cs="Times New Roman"/>
          <w:sz w:val="28"/>
          <w:szCs w:val="28"/>
        </w:rPr>
        <w:t xml:space="preserve">Щодо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Pr="00CA099F">
        <w:rPr>
          <w:rFonts w:eastAsia="Times New Roman" w:cs="Times New Roman"/>
          <w:sz w:val="28"/>
          <w:szCs w:val="28"/>
        </w:rPr>
        <w:t xml:space="preserve">, то активність еластази через 3 місяці спостереження була достовірно меншою на 30,9 %, через 6 місяців – на 28,6 % і через 9 </w:t>
      </w:r>
      <w:r>
        <w:rPr>
          <w:rFonts w:eastAsia="Times New Roman" w:cs="Times New Roman"/>
          <w:sz w:val="28"/>
          <w:szCs w:val="28"/>
        </w:rPr>
        <w:t>– на 12,1</w:t>
      </w:r>
      <w:r>
        <w:rPr>
          <w:rFonts w:eastAsia="Times New Roman" w:cs="Times New Roman"/>
          <w:sz w:val="28"/>
          <w:szCs w:val="28"/>
          <w:lang w:val="ru-RU"/>
        </w:rPr>
        <w:t> </w:t>
      </w:r>
      <w:r w:rsidRPr="00CA099F">
        <w:rPr>
          <w:rFonts w:eastAsia="Times New Roman" w:cs="Times New Roman"/>
          <w:sz w:val="28"/>
          <w:szCs w:val="28"/>
        </w:rPr>
        <w:t xml:space="preserve">%, стосовно даних третьої групи. У пацієнтів другої </w:t>
      </w:r>
      <w:r>
        <w:rPr>
          <w:rFonts w:eastAsia="Times New Roman" w:cs="Times New Roman"/>
          <w:sz w:val="28"/>
          <w:szCs w:val="28"/>
          <w:lang w:val="ru-RU"/>
        </w:rPr>
        <w:t>та</w:t>
      </w:r>
      <w:r w:rsidRPr="00CA099F">
        <w:rPr>
          <w:rFonts w:eastAsia="Times New Roman" w:cs="Times New Roman"/>
          <w:sz w:val="28"/>
          <w:szCs w:val="28"/>
        </w:rPr>
        <w:t xml:space="preserve"> третьої груп через 12 місяців спостереження активність еластази практично не відрізнялася. Слід зазначити, що рівень досліджуваного показника також змінювався впродовж терміну спостереження. Так, у пацієнтів, яким під час оперативного втручання введено PRF-згусток, а на післяопераційному етапі було застосовано препарат </w:t>
      </w:r>
      <w:r w:rsidR="009A789C">
        <w:rPr>
          <w:rFonts w:eastAsia="Times New Roman" w:cs="Times New Roman"/>
          <w:sz w:val="28"/>
          <w:szCs w:val="28"/>
        </w:rPr>
        <w:t>церулоплазмін</w:t>
      </w:r>
      <w:r w:rsidR="009A789C" w:rsidRPr="00CA099F">
        <w:rPr>
          <w:rFonts w:eastAsia="Times New Roman" w:cs="Times New Roman"/>
          <w:sz w:val="28"/>
          <w:szCs w:val="28"/>
        </w:rPr>
        <w:t xml:space="preserve"> </w:t>
      </w:r>
      <w:r w:rsidRPr="00CA099F">
        <w:rPr>
          <w:rFonts w:eastAsia="Times New Roman" w:cs="Times New Roman"/>
          <w:sz w:val="28"/>
          <w:szCs w:val="28"/>
        </w:rPr>
        <w:t>через 6 місяців активність еластази була на 21,0 % (</w:t>
      </w:r>
      <w:r w:rsidRPr="00CA099F">
        <w:rPr>
          <w:rFonts w:eastAsia="Times New Roman" w:cs="Times New Roman"/>
          <w:color w:val="000000"/>
          <w:sz w:val="28"/>
          <w:szCs w:val="28"/>
        </w:rPr>
        <w:t xml:space="preserve">р&lt;0,001) </w:t>
      </w:r>
      <w:r w:rsidRPr="00CA099F">
        <w:rPr>
          <w:rFonts w:eastAsia="Times New Roman" w:cs="Times New Roman"/>
          <w:sz w:val="28"/>
          <w:szCs w:val="28"/>
        </w:rPr>
        <w:t>нижчою, стосовно даних попереднього терміну спостереження</w:t>
      </w:r>
      <w:r w:rsidRPr="00CA099F">
        <w:rPr>
          <w:rFonts w:eastAsia="Times New Roman" w:cs="Times New Roman"/>
          <w:color w:val="000000"/>
          <w:sz w:val="28"/>
          <w:szCs w:val="28"/>
        </w:rPr>
        <w:t xml:space="preserve">. </w:t>
      </w: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lastRenderedPageBreak/>
        <w:t>Таблиця 5.9.</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запалення, мікробного обсіменіння та неспецифічного імунітету у гомогенаті шкіри за умови використання PRF-згустка</w:t>
      </w:r>
    </w:p>
    <w:tbl>
      <w:tblPr>
        <w:tblW w:w="5092"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52"/>
        <w:gridCol w:w="883"/>
        <w:gridCol w:w="1054"/>
        <w:gridCol w:w="879"/>
        <w:gridCol w:w="1188"/>
        <w:gridCol w:w="921"/>
        <w:gridCol w:w="1264"/>
        <w:gridCol w:w="1093"/>
        <w:gridCol w:w="1083"/>
      </w:tblGrid>
      <w:tr w:rsidR="0030517B" w:rsidRPr="00CA099F" w:rsidTr="00E1448E">
        <w:tc>
          <w:tcPr>
            <w:tcW w:w="605" w:type="pct"/>
            <w:vMerge w:val="restart"/>
            <w:vAlign w:val="center"/>
          </w:tcPr>
          <w:p w:rsidR="0030517B" w:rsidRPr="00CA099F" w:rsidRDefault="0030517B" w:rsidP="00E1448E">
            <w:pPr>
              <w:spacing w:after="0" w:line="240" w:lineRule="auto"/>
              <w:ind w:right="-90"/>
              <w:jc w:val="center"/>
              <w:rPr>
                <w:rFonts w:eastAsia="Times New Roman" w:cs="Times New Roman"/>
                <w:sz w:val="20"/>
                <w:szCs w:val="20"/>
              </w:rPr>
            </w:pPr>
            <w:r w:rsidRPr="00CA099F">
              <w:rPr>
                <w:rFonts w:eastAsia="Times New Roman" w:cs="Times New Roman"/>
                <w:sz w:val="20"/>
                <w:szCs w:val="20"/>
              </w:rPr>
              <w:t>Показник</w:t>
            </w:r>
          </w:p>
        </w:tc>
        <w:tc>
          <w:tcPr>
            <w:tcW w:w="101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086"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47"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43"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605" w:type="pct"/>
            <w:vMerge/>
          </w:tcPr>
          <w:p w:rsidR="0030517B" w:rsidRPr="00CA099F" w:rsidRDefault="0030517B" w:rsidP="00E1448E">
            <w:pPr>
              <w:spacing w:after="0" w:line="240" w:lineRule="auto"/>
              <w:ind w:right="-90"/>
              <w:jc w:val="center"/>
              <w:rPr>
                <w:rFonts w:eastAsia="Times New Roman" w:cs="Times New Roman"/>
                <w:szCs w:val="28"/>
              </w:rPr>
            </w:pPr>
          </w:p>
        </w:tc>
        <w:tc>
          <w:tcPr>
            <w:tcW w:w="464" w:type="pct"/>
          </w:tcPr>
          <w:p w:rsidR="00E61D0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30517B"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r>
              <w:rPr>
                <w:rFonts w:eastAsia="Times New Roman" w:cs="Times New Roman"/>
                <w:sz w:val="20"/>
                <w:szCs w:val="20"/>
              </w:rPr>
              <w:t xml:space="preserve"> </w:t>
            </w:r>
          </w:p>
        </w:tc>
        <w:tc>
          <w:tcPr>
            <w:tcW w:w="55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462"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E61D0F">
              <w:rPr>
                <w:rFonts w:eastAsia="Times New Roman" w:cs="Times New Roman"/>
                <w:sz w:val="20"/>
                <w:szCs w:val="20"/>
              </w:rPr>
              <w:t xml:space="preserve"> </w:t>
            </w:r>
            <w:r w:rsidR="00E61D0F">
              <w:rPr>
                <w:rFonts w:eastAsia="Times New Roman" w:cs="Times New Roman"/>
                <w:szCs w:val="24"/>
              </w:rPr>
              <w:t>(</w:t>
            </w:r>
            <w:r w:rsidR="00E61D0F">
              <w:rPr>
                <w:rFonts w:eastAsia="Times New Roman" w:cs="Times New Roman"/>
                <w:szCs w:val="24"/>
                <w:lang w:val="en-US"/>
              </w:rPr>
              <w:t>n=20</w:t>
            </w:r>
            <w:r w:rsidR="00E61D0F">
              <w:rPr>
                <w:rFonts w:eastAsia="Times New Roman" w:cs="Times New Roman"/>
                <w:szCs w:val="24"/>
              </w:rPr>
              <w:t>)</w:t>
            </w:r>
          </w:p>
        </w:tc>
        <w:tc>
          <w:tcPr>
            <w:tcW w:w="62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484"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E61D0F">
              <w:rPr>
                <w:rFonts w:eastAsia="Times New Roman" w:cs="Times New Roman"/>
                <w:sz w:val="20"/>
                <w:szCs w:val="20"/>
              </w:rPr>
              <w:t xml:space="preserve"> </w:t>
            </w:r>
            <w:r w:rsidR="00E61D0F">
              <w:rPr>
                <w:rFonts w:eastAsia="Times New Roman" w:cs="Times New Roman"/>
                <w:szCs w:val="24"/>
              </w:rPr>
              <w:t>(</w:t>
            </w:r>
            <w:r w:rsidR="00E61D0F">
              <w:rPr>
                <w:rFonts w:eastAsia="Times New Roman" w:cs="Times New Roman"/>
                <w:szCs w:val="24"/>
                <w:lang w:val="en-US"/>
              </w:rPr>
              <w:t>n=20</w:t>
            </w:r>
            <w:r w:rsidR="00E61D0F">
              <w:rPr>
                <w:rFonts w:eastAsia="Times New Roman" w:cs="Times New Roman"/>
                <w:szCs w:val="24"/>
              </w:rPr>
              <w:t>)</w:t>
            </w:r>
          </w:p>
        </w:tc>
        <w:tc>
          <w:tcPr>
            <w:tcW w:w="66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69"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605"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Еластаза, мккат/кг</w:t>
            </w:r>
          </w:p>
        </w:tc>
        <w:tc>
          <w:tcPr>
            <w:tcW w:w="46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15,94±0,54</w:t>
            </w:r>
          </w:p>
        </w:tc>
        <w:tc>
          <w:tcPr>
            <w:tcW w:w="55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13,58±3,54*</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12,19±0,41</w:t>
            </w:r>
          </w:p>
        </w:tc>
        <w:tc>
          <w:tcPr>
            <w:tcW w:w="62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10,95±0,30*</w:t>
            </w:r>
          </w:p>
        </w:tc>
        <w:tc>
          <w:tcPr>
            <w:tcW w:w="4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9,56±0,36</w:t>
            </w:r>
          </w:p>
        </w:tc>
        <w:tc>
          <w:tcPr>
            <w:tcW w:w="66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9,42±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0,20</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8,89±0,24</w:t>
            </w:r>
          </w:p>
        </w:tc>
        <w:tc>
          <w:tcPr>
            <w:tcW w:w="5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8,46±0,30</w:t>
            </w:r>
          </w:p>
        </w:tc>
      </w:tr>
      <w:tr w:rsidR="0030517B" w:rsidRPr="00CA099F" w:rsidTr="00E1448E">
        <w:tc>
          <w:tcPr>
            <w:tcW w:w="605" w:type="pct"/>
          </w:tcPr>
          <w:p w:rsidR="0030517B" w:rsidRPr="00CA099F" w:rsidRDefault="0030517B" w:rsidP="00E1448E">
            <w:pPr>
              <w:spacing w:after="0" w:line="240" w:lineRule="auto"/>
              <w:ind w:right="-90"/>
              <w:jc w:val="center"/>
              <w:rPr>
                <w:rFonts w:eastAsia="Times New Roman" w:cs="Times New Roman"/>
                <w:szCs w:val="28"/>
              </w:rPr>
            </w:pPr>
          </w:p>
        </w:tc>
        <w:tc>
          <w:tcPr>
            <w:tcW w:w="464" w:type="pct"/>
          </w:tcPr>
          <w:p w:rsidR="0030517B" w:rsidRPr="00CA099F" w:rsidRDefault="0030517B" w:rsidP="00E1448E">
            <w:pPr>
              <w:spacing w:after="0" w:line="240" w:lineRule="auto"/>
              <w:jc w:val="center"/>
              <w:rPr>
                <w:rFonts w:eastAsia="Times New Roman" w:cs="Times New Roman"/>
                <w:szCs w:val="28"/>
              </w:rPr>
            </w:pPr>
          </w:p>
        </w:tc>
        <w:tc>
          <w:tcPr>
            <w:tcW w:w="554" w:type="pct"/>
          </w:tcPr>
          <w:p w:rsidR="0030517B" w:rsidRPr="00CA099F" w:rsidRDefault="0030517B" w:rsidP="00E1448E">
            <w:pPr>
              <w:spacing w:after="0" w:line="240" w:lineRule="auto"/>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624" w:type="pct"/>
          </w:tcPr>
          <w:p w:rsidR="0030517B" w:rsidRPr="00CA099F" w:rsidRDefault="0030517B" w:rsidP="00E1448E">
            <w:pPr>
              <w:spacing w:after="0"/>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484" w:type="pct"/>
          </w:tcPr>
          <w:p w:rsidR="0030517B" w:rsidRPr="00CA099F" w:rsidRDefault="0030517B" w:rsidP="00E1448E">
            <w:pPr>
              <w:spacing w:after="0"/>
              <w:jc w:val="center"/>
              <w:rPr>
                <w:rFonts w:eastAsia="Times New Roman" w:cs="Times New Roman"/>
                <w:szCs w:val="28"/>
              </w:rPr>
            </w:pPr>
          </w:p>
        </w:tc>
        <w:tc>
          <w:tcPr>
            <w:tcW w:w="664"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2</w:t>
            </w:r>
            <w:r w:rsidRPr="00CA099F">
              <w:rPr>
                <w:rFonts w:eastAsia="Times New Roman" w:cs="Times New Roman"/>
                <w:color w:val="000000"/>
                <w:szCs w:val="24"/>
              </w:rPr>
              <w:t>&lt;0,001</w:t>
            </w:r>
          </w:p>
        </w:tc>
        <w:tc>
          <w:tcPr>
            <w:tcW w:w="574" w:type="pct"/>
          </w:tcPr>
          <w:p w:rsidR="0030517B" w:rsidRPr="00CA099F" w:rsidRDefault="0030517B" w:rsidP="00E1448E">
            <w:pPr>
              <w:spacing w:after="0"/>
              <w:jc w:val="center"/>
              <w:rPr>
                <w:rFonts w:eastAsia="Times New Roman" w:cs="Times New Roman"/>
                <w:szCs w:val="28"/>
              </w:rPr>
            </w:pPr>
          </w:p>
        </w:tc>
        <w:tc>
          <w:tcPr>
            <w:tcW w:w="5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3</w:t>
            </w:r>
            <w:r w:rsidRPr="00CA099F">
              <w:rPr>
                <w:rFonts w:eastAsia="Times New Roman" w:cs="Times New Roman"/>
                <w:color w:val="000000"/>
                <w:szCs w:val="24"/>
              </w:rPr>
              <w:t>&lt;0,02</w:t>
            </w:r>
          </w:p>
        </w:tc>
      </w:tr>
      <w:tr w:rsidR="0030517B" w:rsidRPr="00CA099F" w:rsidTr="00E1448E">
        <w:tc>
          <w:tcPr>
            <w:tcW w:w="605"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Уреаза,</w:t>
            </w:r>
          </w:p>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 xml:space="preserve"> мккат/кг</w:t>
            </w:r>
          </w:p>
        </w:tc>
        <w:tc>
          <w:tcPr>
            <w:tcW w:w="46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0,32±0,02</w:t>
            </w:r>
          </w:p>
        </w:tc>
        <w:tc>
          <w:tcPr>
            <w:tcW w:w="55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0,22±</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0,17±0,02</w:t>
            </w:r>
          </w:p>
        </w:tc>
        <w:tc>
          <w:tcPr>
            <w:tcW w:w="62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0,13±</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c>
          <w:tcPr>
            <w:tcW w:w="48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0,08±0,01</w:t>
            </w:r>
          </w:p>
        </w:tc>
        <w:tc>
          <w:tcPr>
            <w:tcW w:w="66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0,06±</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69"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0,05±</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r>
      <w:tr w:rsidR="0030517B" w:rsidRPr="00CA099F" w:rsidTr="00E1448E">
        <w:tc>
          <w:tcPr>
            <w:tcW w:w="605" w:type="pct"/>
          </w:tcPr>
          <w:p w:rsidR="0030517B" w:rsidRPr="00CA099F" w:rsidRDefault="0030517B" w:rsidP="00E1448E">
            <w:pPr>
              <w:spacing w:after="0" w:line="240" w:lineRule="auto"/>
              <w:jc w:val="center"/>
              <w:rPr>
                <w:rFonts w:eastAsia="Times New Roman" w:cs="Times New Roman"/>
                <w:szCs w:val="28"/>
              </w:rPr>
            </w:pPr>
          </w:p>
        </w:tc>
        <w:tc>
          <w:tcPr>
            <w:tcW w:w="464" w:type="pct"/>
          </w:tcPr>
          <w:p w:rsidR="0030517B" w:rsidRPr="00CA099F" w:rsidRDefault="0030517B" w:rsidP="00E1448E">
            <w:pPr>
              <w:spacing w:after="0" w:line="240" w:lineRule="auto"/>
              <w:jc w:val="center"/>
              <w:rPr>
                <w:rFonts w:eastAsia="Times New Roman" w:cs="Times New Roman"/>
                <w:szCs w:val="28"/>
              </w:rPr>
            </w:pPr>
          </w:p>
        </w:tc>
        <w:tc>
          <w:tcPr>
            <w:tcW w:w="554" w:type="pct"/>
          </w:tcPr>
          <w:p w:rsidR="0030517B" w:rsidRPr="00CA099F" w:rsidRDefault="0030517B" w:rsidP="00E1448E">
            <w:pPr>
              <w:spacing w:after="0" w:line="240" w:lineRule="auto"/>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624"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484" w:type="pct"/>
          </w:tcPr>
          <w:p w:rsidR="0030517B" w:rsidRPr="00CA099F" w:rsidRDefault="0030517B" w:rsidP="00E1448E">
            <w:pPr>
              <w:spacing w:after="0"/>
              <w:jc w:val="center"/>
              <w:rPr>
                <w:rFonts w:eastAsia="Times New Roman" w:cs="Times New Roman"/>
                <w:szCs w:val="28"/>
              </w:rPr>
            </w:pPr>
          </w:p>
        </w:tc>
        <w:tc>
          <w:tcPr>
            <w:tcW w:w="66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2</w:t>
            </w:r>
            <w:r w:rsidRPr="00CA099F">
              <w:rPr>
                <w:rFonts w:eastAsia="Times New Roman" w:cs="Times New Roman"/>
                <w:color w:val="000000"/>
                <w:szCs w:val="24"/>
              </w:rPr>
              <w:t>&lt;0,001</w:t>
            </w:r>
          </w:p>
        </w:tc>
        <w:tc>
          <w:tcPr>
            <w:tcW w:w="574" w:type="pct"/>
          </w:tcPr>
          <w:p w:rsidR="0030517B" w:rsidRPr="00CA099F" w:rsidRDefault="0030517B" w:rsidP="00E1448E">
            <w:pPr>
              <w:spacing w:after="0" w:line="240" w:lineRule="auto"/>
              <w:jc w:val="center"/>
              <w:rPr>
                <w:rFonts w:eastAsia="Times New Roman" w:cs="Times New Roman"/>
                <w:szCs w:val="28"/>
              </w:rPr>
            </w:pPr>
          </w:p>
        </w:tc>
        <w:tc>
          <w:tcPr>
            <w:tcW w:w="569"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605" w:type="pct"/>
          </w:tcPr>
          <w:p w:rsidR="0030517B" w:rsidRPr="00CA099F" w:rsidRDefault="0030517B" w:rsidP="00E1448E">
            <w:pPr>
              <w:spacing w:after="0" w:line="240" w:lineRule="auto"/>
              <w:rPr>
                <w:rFonts w:eastAsia="Times New Roman" w:cs="Times New Roman"/>
                <w:szCs w:val="28"/>
              </w:rPr>
            </w:pPr>
            <w:r w:rsidRPr="00CA099F">
              <w:rPr>
                <w:rFonts w:eastAsia="Times New Roman" w:cs="Times New Roman"/>
                <w:sz w:val="28"/>
                <w:szCs w:val="28"/>
              </w:rPr>
              <w:t>Лізоцим, Од/кг</w:t>
            </w:r>
          </w:p>
        </w:tc>
        <w:tc>
          <w:tcPr>
            <w:tcW w:w="46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47,81±1,32</w:t>
            </w:r>
          </w:p>
        </w:tc>
        <w:tc>
          <w:tcPr>
            <w:tcW w:w="55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60,54± 1,90*</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60,53±2,08</w:t>
            </w:r>
          </w:p>
        </w:tc>
        <w:tc>
          <w:tcPr>
            <w:tcW w:w="62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73,81</w:t>
            </w:r>
            <w:r w:rsidRPr="00CA099F">
              <w:rPr>
                <w:rFonts w:eastAsia="Times New Roman" w:cs="Times New Roman"/>
                <w:sz w:val="28"/>
                <w:szCs w:val="28"/>
              </w:rPr>
              <w:t>±</w:t>
            </w:r>
            <w:r w:rsidRPr="00CA099F">
              <w:rPr>
                <w:rFonts w:eastAsia="Times New Roman" w:cs="Times New Roman"/>
                <w:color w:val="000000"/>
                <w:sz w:val="28"/>
                <w:szCs w:val="28"/>
              </w:rPr>
              <w:t xml:space="preserve"> 2,35</w:t>
            </w:r>
            <w:r w:rsidRPr="00CA099F">
              <w:rPr>
                <w:rFonts w:eastAsia="Times New Roman" w:cs="Times New Roman"/>
                <w:sz w:val="28"/>
                <w:szCs w:val="28"/>
              </w:rPr>
              <w:t>*</w:t>
            </w:r>
          </w:p>
        </w:tc>
        <w:tc>
          <w:tcPr>
            <w:tcW w:w="48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80,09±3,08</w:t>
            </w:r>
          </w:p>
        </w:tc>
        <w:tc>
          <w:tcPr>
            <w:tcW w:w="66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84,32</w:t>
            </w:r>
            <w:r w:rsidRPr="00CA099F">
              <w:rPr>
                <w:rFonts w:eastAsia="Times New Roman" w:cs="Times New Roman"/>
                <w:sz w:val="28"/>
                <w:szCs w:val="28"/>
              </w:rPr>
              <w:t>±</w:t>
            </w:r>
            <w:r w:rsidRPr="00CA099F">
              <w:rPr>
                <w:rFonts w:eastAsia="Times New Roman" w:cs="Times New Roman"/>
                <w:color w:val="000000"/>
                <w:sz w:val="28"/>
                <w:szCs w:val="28"/>
              </w:rPr>
              <w:t xml:space="preserve"> 2,45</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90,22±2,60</w:t>
            </w:r>
          </w:p>
        </w:tc>
        <w:tc>
          <w:tcPr>
            <w:tcW w:w="569" w:type="pct"/>
          </w:tcPr>
          <w:p w:rsidR="0030517B" w:rsidRPr="00CA099F" w:rsidRDefault="0030517B" w:rsidP="00E1448E">
            <w:pPr>
              <w:spacing w:after="0" w:line="240" w:lineRule="auto"/>
              <w:jc w:val="center"/>
              <w:rPr>
                <w:rFonts w:eastAsia="Times New Roman" w:cs="Times New Roman"/>
                <w:color w:val="000000"/>
                <w:szCs w:val="28"/>
              </w:rPr>
            </w:pPr>
            <w:r w:rsidRPr="00CA099F">
              <w:rPr>
                <w:rFonts w:eastAsia="Times New Roman" w:cs="Times New Roman"/>
                <w:color w:val="000000"/>
                <w:sz w:val="28"/>
                <w:szCs w:val="28"/>
              </w:rPr>
              <w:t>88,11</w:t>
            </w:r>
            <w:r w:rsidRPr="00CA099F">
              <w:rPr>
                <w:rFonts w:eastAsia="Times New Roman" w:cs="Times New Roman"/>
                <w:sz w:val="28"/>
                <w:szCs w:val="28"/>
              </w:rPr>
              <w:t>±</w:t>
            </w:r>
            <w:r w:rsidRPr="00CA099F">
              <w:rPr>
                <w:rFonts w:eastAsia="Times New Roman" w:cs="Times New Roman"/>
                <w:color w:val="000000"/>
                <w:sz w:val="28"/>
                <w:szCs w:val="28"/>
              </w:rPr>
              <w:t>2,85</w:t>
            </w:r>
          </w:p>
        </w:tc>
      </w:tr>
      <w:tr w:rsidR="0030517B" w:rsidRPr="00CA099F" w:rsidTr="00E1448E">
        <w:tc>
          <w:tcPr>
            <w:tcW w:w="605" w:type="pct"/>
          </w:tcPr>
          <w:p w:rsidR="0030517B" w:rsidRPr="00CA099F" w:rsidRDefault="0030517B" w:rsidP="00E1448E">
            <w:pPr>
              <w:spacing w:after="0" w:line="240" w:lineRule="auto"/>
              <w:jc w:val="center"/>
              <w:rPr>
                <w:rFonts w:eastAsia="Times New Roman" w:cs="Times New Roman"/>
                <w:szCs w:val="28"/>
              </w:rPr>
            </w:pPr>
          </w:p>
        </w:tc>
        <w:tc>
          <w:tcPr>
            <w:tcW w:w="464" w:type="pct"/>
          </w:tcPr>
          <w:p w:rsidR="0030517B" w:rsidRPr="00CA099F" w:rsidRDefault="0030517B" w:rsidP="00E1448E">
            <w:pPr>
              <w:spacing w:after="0" w:line="240" w:lineRule="auto"/>
              <w:jc w:val="center"/>
              <w:rPr>
                <w:rFonts w:eastAsia="Times New Roman" w:cs="Times New Roman"/>
                <w:szCs w:val="28"/>
              </w:rPr>
            </w:pPr>
          </w:p>
        </w:tc>
        <w:tc>
          <w:tcPr>
            <w:tcW w:w="554" w:type="pct"/>
          </w:tcPr>
          <w:p w:rsidR="0030517B" w:rsidRPr="00CA099F" w:rsidRDefault="0030517B" w:rsidP="00E1448E">
            <w:pPr>
              <w:spacing w:after="0" w:line="240" w:lineRule="auto"/>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62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484" w:type="pct"/>
          </w:tcPr>
          <w:p w:rsidR="0030517B" w:rsidRPr="00CA099F" w:rsidRDefault="0030517B" w:rsidP="00E1448E">
            <w:pPr>
              <w:spacing w:after="0"/>
              <w:jc w:val="center"/>
              <w:rPr>
                <w:rFonts w:eastAsia="Times New Roman" w:cs="Times New Roman"/>
                <w:szCs w:val="28"/>
              </w:rPr>
            </w:pPr>
          </w:p>
        </w:tc>
        <w:tc>
          <w:tcPr>
            <w:tcW w:w="66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2</w:t>
            </w:r>
            <w:r w:rsidRPr="00CA099F">
              <w:rPr>
                <w:rFonts w:eastAsia="Times New Roman" w:cs="Times New Roman"/>
                <w:color w:val="000000"/>
                <w:szCs w:val="24"/>
              </w:rPr>
              <w:t>&lt;0,01</w:t>
            </w:r>
          </w:p>
        </w:tc>
        <w:tc>
          <w:tcPr>
            <w:tcW w:w="574" w:type="pct"/>
          </w:tcPr>
          <w:p w:rsidR="0030517B" w:rsidRPr="00CA099F" w:rsidRDefault="0030517B" w:rsidP="00E1448E">
            <w:pPr>
              <w:spacing w:after="0" w:line="240" w:lineRule="auto"/>
              <w:jc w:val="center"/>
              <w:rPr>
                <w:rFonts w:eastAsia="Times New Roman" w:cs="Times New Roman"/>
                <w:szCs w:val="28"/>
              </w:rPr>
            </w:pPr>
          </w:p>
        </w:tc>
        <w:tc>
          <w:tcPr>
            <w:tcW w:w="569" w:type="pct"/>
          </w:tcPr>
          <w:p w:rsidR="0030517B" w:rsidRPr="00CA099F" w:rsidRDefault="0030517B" w:rsidP="00E1448E">
            <w:pPr>
              <w:spacing w:after="0" w:line="240" w:lineRule="auto"/>
              <w:jc w:val="center"/>
              <w:rPr>
                <w:rFonts w:eastAsia="Times New Roman" w:cs="Times New Roman"/>
                <w:color w:val="000000"/>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 </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2 </w:t>
            </w:r>
            <w:r w:rsidRPr="00CA099F">
              <w:rPr>
                <w:rFonts w:eastAsia="Times New Roman" w:cs="Times New Roman"/>
                <w:color w:val="000000"/>
                <w:sz w:val="28"/>
                <w:szCs w:val="28"/>
              </w:rPr>
              <w:t>–показник достовірності між дослідними групами, термін спостереження 6 і 9 місяців;</w:t>
            </w:r>
          </w:p>
          <w:p w:rsidR="0030517B" w:rsidRPr="00CA099F" w:rsidRDefault="0030517B" w:rsidP="00E1448E">
            <w:pPr>
              <w:spacing w:after="0" w:line="240" w:lineRule="auto"/>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 xml:space="preserve">3 </w:t>
            </w:r>
            <w:r w:rsidRPr="00CA099F">
              <w:rPr>
                <w:rFonts w:eastAsia="Times New Roman" w:cs="Times New Roman"/>
                <w:color w:val="000000"/>
                <w:sz w:val="28"/>
                <w:szCs w:val="28"/>
              </w:rPr>
              <w:t>–показник достовірності між дослідними групами, термін спостереження 9 і 12 місяців</w:t>
            </w:r>
          </w:p>
        </w:tc>
      </w:tr>
    </w:tbl>
    <w:p w:rsidR="00E6030B" w:rsidRDefault="00E6030B" w:rsidP="0030517B">
      <w:pPr>
        <w:spacing w:after="0" w:line="360" w:lineRule="auto"/>
        <w:jc w:val="both"/>
        <w:rPr>
          <w:rFonts w:eastAsia="Times New Roman" w:cs="Times New Roman"/>
          <w:sz w:val="28"/>
          <w:szCs w:val="28"/>
        </w:rPr>
      </w:pPr>
    </w:p>
    <w:p w:rsidR="0030517B" w:rsidRPr="00CA099F" w:rsidRDefault="0030517B" w:rsidP="00FC65A6">
      <w:pPr>
        <w:spacing w:after="0" w:line="360" w:lineRule="auto"/>
        <w:ind w:firstLine="709"/>
        <w:jc w:val="both"/>
        <w:rPr>
          <w:rFonts w:eastAsia="Times New Roman" w:cs="Times New Roman"/>
          <w:sz w:val="28"/>
          <w:szCs w:val="28"/>
        </w:rPr>
      </w:pPr>
      <w:r w:rsidRPr="00CA099F">
        <w:rPr>
          <w:rFonts w:eastAsia="Times New Roman" w:cs="Times New Roman"/>
          <w:sz w:val="28"/>
          <w:szCs w:val="28"/>
        </w:rPr>
        <w:t xml:space="preserve">Аналізуючи зміни активності еластази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пацієнтів (рис. 5.12) найвищі показники встановлено у пацієнтів контрольної групи (через 3 місяці спостереження достовірне переважання на 90,0 %, через 6 – на 44,9 % і через 9 – на 13,7 %). Найнижчі показники активності еластази спостерігалися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Pr="00CA099F">
        <w:rPr>
          <w:rFonts w:eastAsia="Times New Roman" w:cs="Times New Roman"/>
          <w:sz w:val="28"/>
          <w:szCs w:val="28"/>
        </w:rPr>
        <w:t xml:space="preserve">. Так, через 3 місяці даний показник </w:t>
      </w:r>
      <w:r w:rsidRPr="00CA099F">
        <w:rPr>
          <w:rFonts w:eastAsia="Times New Roman" w:cs="Times New Roman"/>
          <w:sz w:val="28"/>
          <w:szCs w:val="28"/>
        </w:rPr>
        <w:lastRenderedPageBreak/>
        <w:t xml:space="preserve">перевищував показник інтактної групи на 31,0 %, </w:t>
      </w:r>
      <w:r w:rsidR="00F41B42">
        <w:rPr>
          <w:rFonts w:eastAsia="Times New Roman" w:cs="Times New Roman"/>
          <w:sz w:val="28"/>
          <w:szCs w:val="28"/>
          <w:lang w:val="ru-RU"/>
        </w:rPr>
        <w:t xml:space="preserve">а </w:t>
      </w:r>
      <w:r w:rsidRPr="00CA099F">
        <w:rPr>
          <w:rFonts w:eastAsia="Times New Roman" w:cs="Times New Roman"/>
          <w:sz w:val="28"/>
          <w:szCs w:val="28"/>
        </w:rPr>
        <w:t>через 6, 9 та 12 місяців – достовірно не відрізнявся.</w:t>
      </w:r>
    </w:p>
    <w:p w:rsidR="0030517B" w:rsidRPr="00CA099F" w:rsidRDefault="0030517B" w:rsidP="0030517B">
      <w:pPr>
        <w:spacing w:after="0" w:line="360" w:lineRule="auto"/>
        <w:jc w:val="both"/>
        <w:rPr>
          <w:rFonts w:eastAsia="Times New Roman" w:cs="Times New Roman"/>
          <w:sz w:val="28"/>
          <w:szCs w:val="28"/>
        </w:rPr>
      </w:pPr>
      <w:r w:rsidRPr="00CA099F">
        <w:rPr>
          <w:rFonts w:ascii="Calibri" w:eastAsia="Times New Roman" w:hAnsi="Calibri" w:cs="Times New Roman"/>
          <w:noProof/>
          <w:sz w:val="22"/>
          <w:lang w:val="ru-RU" w:eastAsia="ru-RU"/>
        </w:rPr>
        <w:drawing>
          <wp:inline distT="0" distB="0" distL="0" distR="0" wp14:anchorId="6BF502A4" wp14:editId="3173344E">
            <wp:extent cx="5248275" cy="24860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48275" cy="2486025"/>
                    </a:xfrm>
                    <a:prstGeom prst="rect">
                      <a:avLst/>
                    </a:prstGeom>
                    <a:noFill/>
                    <a:ln>
                      <a:noFill/>
                    </a:ln>
                  </pic:spPr>
                </pic:pic>
              </a:graphicData>
            </a:graphic>
          </wp:inline>
        </w:drawing>
      </w: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Рисунок 5.12 Графічне зображення</w:t>
      </w:r>
      <w:r w:rsidR="0030517B" w:rsidRPr="00CA099F">
        <w:rPr>
          <w:rFonts w:eastAsia="Times New Roman" w:cs="Times New Roman"/>
          <w:sz w:val="28"/>
          <w:szCs w:val="28"/>
        </w:rPr>
        <w:t xml:space="preserve"> змін активності еластази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30517B" w:rsidRPr="00CA099F" w:rsidRDefault="0030517B" w:rsidP="0030517B">
      <w:pPr>
        <w:spacing w:after="0" w:line="360" w:lineRule="auto"/>
        <w:jc w:val="both"/>
        <w:rPr>
          <w:rFonts w:eastAsia="Times New Roman" w:cs="Times New Roman"/>
          <w:sz w:val="28"/>
          <w:szCs w:val="28"/>
        </w:rPr>
      </w:pPr>
    </w:p>
    <w:p w:rsidR="0030517B" w:rsidRPr="009C2EE8" w:rsidRDefault="0030517B" w:rsidP="009C2EE8">
      <w:pPr>
        <w:spacing w:after="0" w:line="360" w:lineRule="auto"/>
        <w:ind w:firstLine="709"/>
        <w:jc w:val="both"/>
        <w:rPr>
          <w:rFonts w:eastAsia="Times New Roman" w:cs="Times New Roman"/>
          <w:b/>
          <w:sz w:val="28"/>
          <w:szCs w:val="28"/>
        </w:rPr>
      </w:pPr>
      <w:r w:rsidRPr="009C2EE8">
        <w:rPr>
          <w:rFonts w:eastAsia="Times New Roman" w:cs="Times New Roman"/>
          <w:b/>
          <w:sz w:val="28"/>
          <w:szCs w:val="28"/>
        </w:rPr>
        <w:t>5.5 Динаміка змін показників запалення, мікробного обсіменіння та неспецифічного імунітету</w:t>
      </w:r>
    </w:p>
    <w:p w:rsidR="0030517B" w:rsidRPr="00CA099F" w:rsidRDefault="0030517B" w:rsidP="0030517B">
      <w:pPr>
        <w:spacing w:after="0" w:line="360" w:lineRule="auto"/>
        <w:jc w:val="both"/>
        <w:rPr>
          <w:rFonts w:eastAsia="Times New Roman" w:cs="Times New Roman"/>
          <w:b/>
          <w:sz w:val="28"/>
          <w:szCs w:val="28"/>
        </w:rPr>
      </w:pPr>
    </w:p>
    <w:p w:rsidR="0030517B" w:rsidRPr="00CA099F" w:rsidRDefault="00E61D0F" w:rsidP="0030517B">
      <w:pPr>
        <w:spacing w:after="0" w:line="360" w:lineRule="auto"/>
        <w:jc w:val="both"/>
        <w:rPr>
          <w:rFonts w:ascii="Calibri" w:eastAsia="Times New Roman" w:hAnsi="Calibri" w:cs="Times New Roman"/>
          <w:sz w:val="28"/>
          <w:szCs w:val="28"/>
        </w:rPr>
      </w:pPr>
      <w:r>
        <w:rPr>
          <w:rFonts w:eastAsia="Times New Roman" w:cs="Times New Roman"/>
          <w:sz w:val="28"/>
          <w:szCs w:val="28"/>
        </w:rPr>
        <w:tab/>
      </w:r>
      <w:r w:rsidR="0030517B" w:rsidRPr="00CA099F">
        <w:rPr>
          <w:rFonts w:eastAsia="Times New Roman" w:cs="Times New Roman"/>
          <w:sz w:val="28"/>
          <w:szCs w:val="28"/>
        </w:rPr>
        <w:t>Лізоцим є ферментом мурамідазою (ацетил амінополісахаридазою), який володіє літичною і бактерицидною дією, руйнуючи мурамову кислоту клітинних оболонок.</w:t>
      </w: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Результати наших досліджень показали, що даний показник у гомогенаті шкіри пацієнтів, яким під час оперативного втручання введено PRF-згусток, через 3 місяці спостереження</w:t>
      </w:r>
      <w:r w:rsidR="00A77B45">
        <w:rPr>
          <w:rFonts w:eastAsia="Times New Roman" w:cs="Times New Roman"/>
          <w:sz w:val="28"/>
          <w:szCs w:val="28"/>
        </w:rPr>
        <w:t xml:space="preserve"> був достовірно більшим на 26,6</w:t>
      </w:r>
      <w:r w:rsidR="00A77B45">
        <w:rPr>
          <w:rFonts w:eastAsia="Times New Roman" w:cs="Times New Roman"/>
          <w:sz w:val="28"/>
          <w:szCs w:val="28"/>
          <w:lang w:val="ru-RU"/>
        </w:rPr>
        <w:t> </w:t>
      </w:r>
      <w:r w:rsidR="0030517B" w:rsidRPr="00CA099F">
        <w:rPr>
          <w:rFonts w:eastAsia="Times New Roman" w:cs="Times New Roman"/>
          <w:sz w:val="28"/>
          <w:szCs w:val="28"/>
        </w:rPr>
        <w:t>%, через 6 – на 21,9 %, стосовно даних третьої групи (табл. 5.10). У пацієнтів першої і третьої груп через 9 та 12 місяців даний показник достовірно не відрізнявся.</w:t>
      </w:r>
    </w:p>
    <w:p w:rsidR="0030517B" w:rsidRPr="00CA099F" w:rsidRDefault="00E61D0F" w:rsidP="0030517B">
      <w:pPr>
        <w:spacing w:after="0" w:line="360" w:lineRule="auto"/>
        <w:jc w:val="both"/>
        <w:rPr>
          <w:rFonts w:eastAsia="Times New Roman" w:cs="Times New Roman"/>
          <w:color w:val="000000"/>
          <w:sz w:val="28"/>
          <w:szCs w:val="28"/>
        </w:rPr>
      </w:pPr>
      <w:r>
        <w:rPr>
          <w:rFonts w:eastAsia="Times New Roman" w:cs="Times New Roman"/>
          <w:sz w:val="28"/>
          <w:szCs w:val="28"/>
        </w:rPr>
        <w:tab/>
      </w:r>
      <w:r w:rsidR="0030517B" w:rsidRPr="00CA099F">
        <w:rPr>
          <w:rFonts w:eastAsia="Times New Roman" w:cs="Times New Roman"/>
          <w:sz w:val="28"/>
          <w:szCs w:val="28"/>
        </w:rPr>
        <w:t xml:space="preserve">Слід зазначити, що вміст лізоциму змінювався впродовж терміну спостереження. Так, у пацієнтів, яким під час оперативного втручання введено </w:t>
      </w:r>
      <w:r w:rsidR="0030517B" w:rsidRPr="00CA099F">
        <w:rPr>
          <w:rFonts w:eastAsia="Times New Roman" w:cs="Times New Roman"/>
          <w:sz w:val="28"/>
          <w:szCs w:val="28"/>
        </w:rPr>
        <w:lastRenderedPageBreak/>
        <w:t>PRF-згусток, через 6 місяців даний показник був на 21,9 % (</w:t>
      </w:r>
      <w:r w:rsidR="0030517B" w:rsidRPr="00CA099F">
        <w:rPr>
          <w:rFonts w:eastAsia="Times New Roman" w:cs="Times New Roman"/>
          <w:color w:val="000000"/>
          <w:sz w:val="28"/>
          <w:szCs w:val="28"/>
        </w:rPr>
        <w:t xml:space="preserve">р&lt;0,001) </w:t>
      </w:r>
      <w:r w:rsidR="0030517B" w:rsidRPr="00CA099F">
        <w:rPr>
          <w:rFonts w:eastAsia="Times New Roman" w:cs="Times New Roman"/>
          <w:sz w:val="28"/>
          <w:szCs w:val="28"/>
        </w:rPr>
        <w:t>вищим, стосовно даних попереднього терміну спостереження, через 9 місяців – на 14,2 % (</w:t>
      </w:r>
      <w:r w:rsidR="0030517B" w:rsidRPr="00CA099F">
        <w:rPr>
          <w:rFonts w:eastAsia="Times New Roman" w:cs="Times New Roman"/>
          <w:color w:val="000000"/>
          <w:sz w:val="28"/>
          <w:szCs w:val="28"/>
        </w:rPr>
        <w:t xml:space="preserve">р&lt;0,01), через 12 </w:t>
      </w:r>
      <w:r w:rsidR="0030517B" w:rsidRPr="00CA099F">
        <w:rPr>
          <w:rFonts w:eastAsia="Times New Roman" w:cs="Times New Roman"/>
          <w:sz w:val="28"/>
          <w:szCs w:val="28"/>
        </w:rPr>
        <w:t>– на 4,5  %</w:t>
      </w:r>
      <w:r w:rsidR="0030517B" w:rsidRPr="00CA099F">
        <w:rPr>
          <w:rFonts w:eastAsia="Times New Roman" w:cs="Times New Roman"/>
          <w:color w:val="000000"/>
          <w:sz w:val="28"/>
          <w:szCs w:val="28"/>
        </w:rPr>
        <w:t xml:space="preserve">. </w:t>
      </w:r>
    </w:p>
    <w:p w:rsidR="0030517B" w:rsidRPr="00CA099F" w:rsidRDefault="0030517B" w:rsidP="0030517B">
      <w:pPr>
        <w:spacing w:after="0" w:line="360" w:lineRule="auto"/>
        <w:jc w:val="right"/>
        <w:rPr>
          <w:rFonts w:eastAsia="Times New Roman" w:cs="Times New Roman"/>
          <w:i/>
          <w:sz w:val="28"/>
          <w:szCs w:val="28"/>
        </w:rPr>
      </w:pPr>
      <w:r w:rsidRPr="00CA099F">
        <w:rPr>
          <w:rFonts w:eastAsia="Times New Roman" w:cs="Times New Roman"/>
          <w:i/>
          <w:sz w:val="28"/>
          <w:szCs w:val="28"/>
        </w:rPr>
        <w:t>Таблиця 5.10.</w:t>
      </w:r>
    </w:p>
    <w:p w:rsidR="0030517B" w:rsidRPr="00CA099F" w:rsidRDefault="0030517B" w:rsidP="0030517B">
      <w:pPr>
        <w:spacing w:after="0" w:line="360" w:lineRule="auto"/>
        <w:jc w:val="center"/>
        <w:rPr>
          <w:rFonts w:eastAsia="Times New Roman" w:cs="Times New Roman"/>
          <w:sz w:val="28"/>
          <w:szCs w:val="28"/>
        </w:rPr>
      </w:pPr>
      <w:r w:rsidRPr="00CA099F">
        <w:rPr>
          <w:rFonts w:eastAsia="Times New Roman" w:cs="Times New Roman"/>
          <w:sz w:val="28"/>
          <w:szCs w:val="28"/>
        </w:rPr>
        <w:t>Показники запалення, мікробного обсіменіння та неспецифічного імунітету у гомогенаті шкіри за умови використання PRF-згустка та церулоплазміну</w:t>
      </w:r>
    </w:p>
    <w:p w:rsidR="0030517B" w:rsidRPr="00CA099F" w:rsidRDefault="0030517B" w:rsidP="0030517B">
      <w:pPr>
        <w:spacing w:after="0"/>
        <w:rPr>
          <w:rFonts w:ascii="Calibri" w:eastAsia="Times New Roman" w:hAnsi="Calibri" w:cs="Times New Roman"/>
          <w:sz w:val="22"/>
        </w:rPr>
      </w:pPr>
    </w:p>
    <w:tbl>
      <w:tblPr>
        <w:tblW w:w="5092"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1"/>
        <w:gridCol w:w="879"/>
        <w:gridCol w:w="1053"/>
        <w:gridCol w:w="976"/>
        <w:gridCol w:w="1093"/>
        <w:gridCol w:w="1093"/>
        <w:gridCol w:w="1093"/>
        <w:gridCol w:w="1093"/>
        <w:gridCol w:w="1096"/>
      </w:tblGrid>
      <w:tr w:rsidR="0030517B" w:rsidRPr="00CA099F" w:rsidTr="00E1448E">
        <w:tc>
          <w:tcPr>
            <w:tcW w:w="600" w:type="pct"/>
            <w:vMerge w:val="restart"/>
            <w:vAlign w:val="center"/>
          </w:tcPr>
          <w:p w:rsidR="0030517B" w:rsidRPr="00CA099F" w:rsidRDefault="0030517B" w:rsidP="00E1448E">
            <w:pPr>
              <w:spacing w:after="0" w:line="240" w:lineRule="auto"/>
              <w:ind w:right="-90"/>
              <w:jc w:val="center"/>
              <w:rPr>
                <w:rFonts w:eastAsia="Times New Roman" w:cs="Times New Roman"/>
                <w:szCs w:val="24"/>
              </w:rPr>
            </w:pPr>
            <w:r w:rsidRPr="00CA099F">
              <w:rPr>
                <w:rFonts w:eastAsia="Times New Roman" w:cs="Times New Roman"/>
                <w:szCs w:val="24"/>
              </w:rPr>
              <w:t>Показник</w:t>
            </w:r>
          </w:p>
        </w:tc>
        <w:tc>
          <w:tcPr>
            <w:tcW w:w="1015"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3 місяці</w:t>
            </w:r>
          </w:p>
        </w:tc>
        <w:tc>
          <w:tcPr>
            <w:tcW w:w="1087"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 місяців</w:t>
            </w:r>
          </w:p>
        </w:tc>
        <w:tc>
          <w:tcPr>
            <w:tcW w:w="1148"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 місяців</w:t>
            </w:r>
          </w:p>
        </w:tc>
        <w:tc>
          <w:tcPr>
            <w:tcW w:w="1149" w:type="pct"/>
            <w:gridSpan w:val="2"/>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 місяців</w:t>
            </w:r>
          </w:p>
        </w:tc>
      </w:tr>
      <w:tr w:rsidR="0030517B" w:rsidRPr="00CA099F" w:rsidTr="00E1448E">
        <w:tc>
          <w:tcPr>
            <w:tcW w:w="600" w:type="pct"/>
            <w:vMerge/>
          </w:tcPr>
          <w:p w:rsidR="0030517B" w:rsidRPr="00CA099F" w:rsidRDefault="0030517B" w:rsidP="00E1448E">
            <w:pPr>
              <w:spacing w:after="0" w:line="240" w:lineRule="auto"/>
              <w:ind w:right="-90"/>
              <w:jc w:val="center"/>
              <w:rPr>
                <w:rFonts w:eastAsia="Times New Roman" w:cs="Times New Roman"/>
                <w:szCs w:val="28"/>
              </w:rPr>
            </w:pPr>
          </w:p>
        </w:tc>
        <w:tc>
          <w:tcPr>
            <w:tcW w:w="462" w:type="pct"/>
          </w:tcPr>
          <w:p w:rsidR="0030517B" w:rsidRPr="00CA099F"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r w:rsidR="00E61D0F">
              <w:rPr>
                <w:rFonts w:eastAsia="Times New Roman" w:cs="Times New Roman"/>
                <w:sz w:val="20"/>
                <w:szCs w:val="20"/>
              </w:rPr>
              <w:t xml:space="preserve"> </w:t>
            </w:r>
            <w:r w:rsidR="00E61D0F">
              <w:rPr>
                <w:rFonts w:eastAsia="Times New Roman" w:cs="Times New Roman"/>
                <w:szCs w:val="24"/>
              </w:rPr>
              <w:t>(</w:t>
            </w:r>
            <w:r w:rsidR="00E61D0F">
              <w:rPr>
                <w:rFonts w:eastAsia="Times New Roman" w:cs="Times New Roman"/>
                <w:szCs w:val="24"/>
                <w:lang w:val="en-US"/>
              </w:rPr>
              <w:t>n=20</w:t>
            </w:r>
            <w:r w:rsidR="00E61D0F">
              <w:rPr>
                <w:rFonts w:eastAsia="Times New Roman" w:cs="Times New Roman"/>
                <w:szCs w:val="24"/>
              </w:rPr>
              <w:t>)</w:t>
            </w:r>
          </w:p>
        </w:tc>
        <w:tc>
          <w:tcPr>
            <w:tcW w:w="553"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13"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4"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Група контролю</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c>
          <w:tcPr>
            <w:tcW w:w="575" w:type="pct"/>
          </w:tcPr>
          <w:p w:rsidR="0030517B" w:rsidRDefault="0030517B" w:rsidP="00E1448E">
            <w:pPr>
              <w:spacing w:after="0" w:line="240" w:lineRule="auto"/>
              <w:ind w:right="-87"/>
              <w:jc w:val="center"/>
              <w:rPr>
                <w:rFonts w:eastAsia="Times New Roman" w:cs="Times New Roman"/>
                <w:sz w:val="20"/>
                <w:szCs w:val="20"/>
              </w:rPr>
            </w:pPr>
            <w:r w:rsidRPr="00CA099F">
              <w:rPr>
                <w:rFonts w:eastAsia="Times New Roman" w:cs="Times New Roman"/>
                <w:sz w:val="20"/>
                <w:szCs w:val="20"/>
              </w:rPr>
              <w:t>1 група</w:t>
            </w:r>
          </w:p>
          <w:p w:rsidR="00E61D0F" w:rsidRPr="00CA099F" w:rsidRDefault="00E61D0F" w:rsidP="00E1448E">
            <w:pPr>
              <w:spacing w:after="0" w:line="240" w:lineRule="auto"/>
              <w:ind w:right="-87"/>
              <w:jc w:val="center"/>
              <w:rPr>
                <w:rFonts w:eastAsia="Times New Roman" w:cs="Times New Roman"/>
                <w:sz w:val="20"/>
                <w:szCs w:val="20"/>
              </w:rPr>
            </w:pPr>
            <w:r>
              <w:rPr>
                <w:rFonts w:eastAsia="Times New Roman" w:cs="Times New Roman"/>
                <w:szCs w:val="24"/>
              </w:rPr>
              <w:t>(</w:t>
            </w:r>
            <w:r>
              <w:rPr>
                <w:rFonts w:eastAsia="Times New Roman" w:cs="Times New Roman"/>
                <w:szCs w:val="24"/>
                <w:lang w:val="en-US"/>
              </w:rPr>
              <w:t>n=20</w:t>
            </w:r>
            <w:r>
              <w:rPr>
                <w:rFonts w:eastAsia="Times New Roman" w:cs="Times New Roman"/>
                <w:szCs w:val="24"/>
              </w:rPr>
              <w:t>)</w:t>
            </w:r>
          </w:p>
        </w:tc>
      </w:tr>
      <w:tr w:rsidR="0030517B" w:rsidRPr="00CA099F" w:rsidTr="00E1448E">
        <w:tc>
          <w:tcPr>
            <w:tcW w:w="600"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Еластаза, мккат/кг</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15,94±0,54</w:t>
            </w:r>
          </w:p>
        </w:tc>
        <w:tc>
          <w:tcPr>
            <w:tcW w:w="55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11,01±0,28*</w:t>
            </w:r>
          </w:p>
        </w:tc>
        <w:tc>
          <w:tcPr>
            <w:tcW w:w="51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12,19±0,41</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8,70±0,26*</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9,56±0,36</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8,40±0,22*</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8,89±0,24</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8,24±0,24</w:t>
            </w:r>
          </w:p>
        </w:tc>
      </w:tr>
      <w:tr w:rsidR="0030517B" w:rsidRPr="00CA099F" w:rsidTr="00E1448E">
        <w:tc>
          <w:tcPr>
            <w:tcW w:w="600" w:type="pct"/>
          </w:tcPr>
          <w:p w:rsidR="0030517B" w:rsidRPr="00CA099F" w:rsidRDefault="0030517B" w:rsidP="00E1448E">
            <w:pPr>
              <w:spacing w:after="0" w:line="240" w:lineRule="auto"/>
              <w:ind w:right="-90"/>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553" w:type="pct"/>
          </w:tcPr>
          <w:p w:rsidR="0030517B" w:rsidRPr="00CA099F" w:rsidRDefault="0030517B" w:rsidP="00E1448E">
            <w:pPr>
              <w:spacing w:after="0" w:line="240" w:lineRule="auto"/>
              <w:jc w:val="center"/>
              <w:rPr>
                <w:rFonts w:eastAsia="Times New Roman" w:cs="Times New Roman"/>
                <w:szCs w:val="28"/>
              </w:rPr>
            </w:pPr>
          </w:p>
        </w:tc>
        <w:tc>
          <w:tcPr>
            <w:tcW w:w="513" w:type="pct"/>
          </w:tcPr>
          <w:p w:rsidR="0030517B" w:rsidRPr="00CA099F" w:rsidRDefault="0030517B" w:rsidP="00E1448E">
            <w:pPr>
              <w:spacing w:after="0" w:line="240" w:lineRule="auto"/>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574" w:type="pct"/>
          </w:tcPr>
          <w:p w:rsidR="0030517B" w:rsidRPr="00CA099F" w:rsidRDefault="0030517B" w:rsidP="00E1448E">
            <w:pPr>
              <w:spacing w:after="0"/>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szCs w:val="28"/>
              </w:rPr>
            </w:pPr>
          </w:p>
        </w:tc>
        <w:tc>
          <w:tcPr>
            <w:tcW w:w="575"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600" w:type="pct"/>
          </w:tcPr>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Уреаза,</w:t>
            </w:r>
          </w:p>
          <w:p w:rsidR="0030517B" w:rsidRPr="00CA099F" w:rsidRDefault="0030517B" w:rsidP="00E1448E">
            <w:pPr>
              <w:spacing w:after="0" w:line="240" w:lineRule="auto"/>
              <w:ind w:right="-90"/>
              <w:jc w:val="center"/>
              <w:rPr>
                <w:rFonts w:eastAsia="Times New Roman" w:cs="Times New Roman"/>
                <w:szCs w:val="28"/>
              </w:rPr>
            </w:pPr>
            <w:r w:rsidRPr="00CA099F">
              <w:rPr>
                <w:rFonts w:eastAsia="Times New Roman" w:cs="Times New Roman"/>
                <w:sz w:val="28"/>
                <w:szCs w:val="28"/>
              </w:rPr>
              <w:t xml:space="preserve"> мккат/кг</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0,32±0,02</w:t>
            </w:r>
          </w:p>
        </w:tc>
        <w:tc>
          <w:tcPr>
            <w:tcW w:w="55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c>
          <w:tcPr>
            <w:tcW w:w="51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0,17±</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0,08±</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0,08±</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0,07±</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0,02</w:t>
            </w:r>
          </w:p>
        </w:tc>
        <w:tc>
          <w:tcPr>
            <w:tcW w:w="575"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0,04±</w:t>
            </w:r>
          </w:p>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0,01</w:t>
            </w:r>
          </w:p>
        </w:tc>
      </w:tr>
      <w:tr w:rsidR="0030517B" w:rsidRPr="00CA099F" w:rsidTr="00E1448E">
        <w:tc>
          <w:tcPr>
            <w:tcW w:w="600" w:type="pct"/>
          </w:tcPr>
          <w:p w:rsidR="0030517B" w:rsidRPr="00CA099F" w:rsidRDefault="0030517B" w:rsidP="00E1448E">
            <w:pPr>
              <w:spacing w:after="0" w:line="240" w:lineRule="auto"/>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553" w:type="pct"/>
          </w:tcPr>
          <w:p w:rsidR="0030517B" w:rsidRPr="00CA099F" w:rsidRDefault="0030517B" w:rsidP="00E1448E">
            <w:pPr>
              <w:spacing w:after="0" w:line="240" w:lineRule="auto"/>
              <w:jc w:val="center"/>
              <w:rPr>
                <w:rFonts w:eastAsia="Times New Roman" w:cs="Times New Roman"/>
                <w:szCs w:val="28"/>
              </w:rPr>
            </w:pPr>
          </w:p>
        </w:tc>
        <w:tc>
          <w:tcPr>
            <w:tcW w:w="513" w:type="pct"/>
          </w:tcPr>
          <w:p w:rsidR="0030517B" w:rsidRPr="00CA099F" w:rsidRDefault="0030517B" w:rsidP="00E1448E">
            <w:pPr>
              <w:spacing w:after="0" w:line="240" w:lineRule="auto"/>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szCs w:val="24"/>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&lt;0,02</w:t>
            </w:r>
          </w:p>
        </w:tc>
        <w:tc>
          <w:tcPr>
            <w:tcW w:w="574" w:type="pct"/>
          </w:tcPr>
          <w:p w:rsidR="0030517B" w:rsidRPr="00CA099F" w:rsidRDefault="0030517B" w:rsidP="00E1448E">
            <w:pPr>
              <w:spacing w:after="0"/>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szCs w:val="28"/>
              </w:rPr>
            </w:pPr>
          </w:p>
        </w:tc>
        <w:tc>
          <w:tcPr>
            <w:tcW w:w="574" w:type="pct"/>
          </w:tcPr>
          <w:p w:rsidR="0030517B" w:rsidRPr="00CA099F" w:rsidRDefault="0030517B" w:rsidP="00E1448E">
            <w:pPr>
              <w:spacing w:after="0" w:line="240" w:lineRule="auto"/>
              <w:jc w:val="center"/>
              <w:rPr>
                <w:rFonts w:eastAsia="Times New Roman" w:cs="Times New Roman"/>
                <w:szCs w:val="28"/>
              </w:rPr>
            </w:pPr>
          </w:p>
        </w:tc>
        <w:tc>
          <w:tcPr>
            <w:tcW w:w="575" w:type="pct"/>
          </w:tcPr>
          <w:p w:rsidR="0030517B" w:rsidRPr="00CA099F" w:rsidRDefault="0030517B" w:rsidP="00E1448E">
            <w:pPr>
              <w:spacing w:after="0" w:line="240" w:lineRule="auto"/>
              <w:jc w:val="center"/>
              <w:rPr>
                <w:rFonts w:eastAsia="Times New Roman" w:cs="Times New Roman"/>
                <w:szCs w:val="28"/>
              </w:rPr>
            </w:pPr>
          </w:p>
        </w:tc>
      </w:tr>
      <w:tr w:rsidR="0030517B" w:rsidRPr="00CA099F" w:rsidTr="00E1448E">
        <w:tc>
          <w:tcPr>
            <w:tcW w:w="600"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Лізоцим, Од/кг</w:t>
            </w:r>
          </w:p>
        </w:tc>
        <w:tc>
          <w:tcPr>
            <w:tcW w:w="462"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47,81±1,32</w:t>
            </w:r>
          </w:p>
        </w:tc>
        <w:tc>
          <w:tcPr>
            <w:tcW w:w="55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68,57± 2,05*</w:t>
            </w:r>
          </w:p>
        </w:tc>
        <w:tc>
          <w:tcPr>
            <w:tcW w:w="513"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60,53±2,08</w:t>
            </w:r>
          </w:p>
        </w:tc>
        <w:tc>
          <w:tcPr>
            <w:tcW w:w="57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81,64</w:t>
            </w:r>
            <w:r w:rsidRPr="00CA099F">
              <w:rPr>
                <w:rFonts w:eastAsia="Times New Roman" w:cs="Times New Roman"/>
                <w:sz w:val="28"/>
                <w:szCs w:val="28"/>
              </w:rPr>
              <w:t>±</w:t>
            </w:r>
            <w:r w:rsidRPr="00CA099F">
              <w:rPr>
                <w:rFonts w:eastAsia="Times New Roman" w:cs="Times New Roman"/>
                <w:color w:val="000000"/>
                <w:sz w:val="28"/>
                <w:szCs w:val="28"/>
              </w:rPr>
              <w:t xml:space="preserve"> 2,66</w:t>
            </w:r>
            <w:r w:rsidRPr="00CA099F">
              <w:rPr>
                <w:rFonts w:eastAsia="Times New Roman" w:cs="Times New Roman"/>
                <w:sz w:val="28"/>
                <w:szCs w:val="28"/>
              </w:rPr>
              <w:t>*</w:t>
            </w:r>
          </w:p>
        </w:tc>
        <w:tc>
          <w:tcPr>
            <w:tcW w:w="574" w:type="pct"/>
          </w:tcPr>
          <w:p w:rsidR="0030517B" w:rsidRPr="00CA099F" w:rsidRDefault="0030517B" w:rsidP="00E1448E">
            <w:pPr>
              <w:spacing w:after="0"/>
              <w:jc w:val="center"/>
              <w:rPr>
                <w:rFonts w:eastAsia="Times New Roman" w:cs="Times New Roman"/>
                <w:szCs w:val="28"/>
              </w:rPr>
            </w:pPr>
            <w:r w:rsidRPr="00CA099F">
              <w:rPr>
                <w:rFonts w:eastAsia="Times New Roman" w:cs="Times New Roman"/>
                <w:sz w:val="28"/>
                <w:szCs w:val="28"/>
              </w:rPr>
              <w:t>80,09±3,08</w:t>
            </w:r>
          </w:p>
        </w:tc>
        <w:tc>
          <w:tcPr>
            <w:tcW w:w="57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 w:val="28"/>
                <w:szCs w:val="28"/>
              </w:rPr>
              <w:t>87,08</w:t>
            </w:r>
            <w:r w:rsidRPr="00CA099F">
              <w:rPr>
                <w:rFonts w:eastAsia="Times New Roman" w:cs="Times New Roman"/>
                <w:sz w:val="28"/>
                <w:szCs w:val="28"/>
              </w:rPr>
              <w:t>±</w:t>
            </w:r>
            <w:r w:rsidRPr="00CA099F">
              <w:rPr>
                <w:rFonts w:eastAsia="Times New Roman" w:cs="Times New Roman"/>
                <w:color w:val="000000"/>
                <w:sz w:val="28"/>
                <w:szCs w:val="28"/>
              </w:rPr>
              <w:t xml:space="preserve"> 2,72</w:t>
            </w:r>
          </w:p>
        </w:tc>
        <w:tc>
          <w:tcPr>
            <w:tcW w:w="574" w:type="pct"/>
          </w:tcPr>
          <w:p w:rsidR="0030517B" w:rsidRPr="00CA099F" w:rsidRDefault="0030517B" w:rsidP="00E1448E">
            <w:pPr>
              <w:spacing w:after="0" w:line="240" w:lineRule="auto"/>
              <w:jc w:val="center"/>
              <w:rPr>
                <w:rFonts w:eastAsia="Times New Roman" w:cs="Times New Roman"/>
                <w:szCs w:val="28"/>
              </w:rPr>
            </w:pPr>
            <w:r w:rsidRPr="00CA099F">
              <w:rPr>
                <w:rFonts w:eastAsia="Times New Roman" w:cs="Times New Roman"/>
                <w:sz w:val="28"/>
                <w:szCs w:val="28"/>
              </w:rPr>
              <w:t>90,22±2,60</w:t>
            </w:r>
          </w:p>
        </w:tc>
        <w:tc>
          <w:tcPr>
            <w:tcW w:w="575" w:type="pct"/>
          </w:tcPr>
          <w:p w:rsidR="0030517B" w:rsidRPr="00CA099F" w:rsidRDefault="0030517B" w:rsidP="00E1448E">
            <w:pPr>
              <w:spacing w:after="0" w:line="240" w:lineRule="auto"/>
              <w:jc w:val="center"/>
              <w:rPr>
                <w:rFonts w:eastAsia="Times New Roman" w:cs="Times New Roman"/>
                <w:color w:val="000000"/>
                <w:szCs w:val="28"/>
              </w:rPr>
            </w:pPr>
            <w:r w:rsidRPr="00CA099F">
              <w:rPr>
                <w:rFonts w:eastAsia="Times New Roman" w:cs="Times New Roman"/>
                <w:color w:val="000000"/>
                <w:sz w:val="28"/>
                <w:szCs w:val="28"/>
              </w:rPr>
              <w:t>91,69</w:t>
            </w:r>
            <w:r w:rsidRPr="00CA099F">
              <w:rPr>
                <w:rFonts w:eastAsia="Times New Roman" w:cs="Times New Roman"/>
                <w:sz w:val="28"/>
                <w:szCs w:val="28"/>
              </w:rPr>
              <w:t>±</w:t>
            </w:r>
            <w:r w:rsidRPr="00CA099F">
              <w:rPr>
                <w:rFonts w:eastAsia="Times New Roman" w:cs="Times New Roman"/>
                <w:color w:val="000000"/>
                <w:sz w:val="28"/>
                <w:szCs w:val="28"/>
              </w:rPr>
              <w:t>3,08</w:t>
            </w:r>
          </w:p>
        </w:tc>
      </w:tr>
      <w:tr w:rsidR="0030517B" w:rsidRPr="00CA099F" w:rsidTr="00E1448E">
        <w:tc>
          <w:tcPr>
            <w:tcW w:w="600" w:type="pct"/>
          </w:tcPr>
          <w:p w:rsidR="0030517B" w:rsidRPr="00CA099F" w:rsidRDefault="0030517B" w:rsidP="00E1448E">
            <w:pPr>
              <w:spacing w:after="0" w:line="240" w:lineRule="auto"/>
              <w:jc w:val="center"/>
              <w:rPr>
                <w:rFonts w:eastAsia="Times New Roman" w:cs="Times New Roman"/>
                <w:szCs w:val="28"/>
              </w:rPr>
            </w:pPr>
          </w:p>
        </w:tc>
        <w:tc>
          <w:tcPr>
            <w:tcW w:w="462" w:type="pct"/>
          </w:tcPr>
          <w:p w:rsidR="0030517B" w:rsidRPr="00CA099F" w:rsidRDefault="0030517B" w:rsidP="00E1448E">
            <w:pPr>
              <w:spacing w:after="0" w:line="240" w:lineRule="auto"/>
              <w:jc w:val="center"/>
              <w:rPr>
                <w:rFonts w:eastAsia="Times New Roman" w:cs="Times New Roman"/>
                <w:szCs w:val="28"/>
              </w:rPr>
            </w:pPr>
          </w:p>
        </w:tc>
        <w:tc>
          <w:tcPr>
            <w:tcW w:w="553" w:type="pct"/>
          </w:tcPr>
          <w:p w:rsidR="0030517B" w:rsidRPr="00CA099F" w:rsidRDefault="0030517B" w:rsidP="00E1448E">
            <w:pPr>
              <w:spacing w:after="0" w:line="240" w:lineRule="auto"/>
              <w:jc w:val="center"/>
              <w:rPr>
                <w:rFonts w:eastAsia="Times New Roman" w:cs="Times New Roman"/>
                <w:szCs w:val="28"/>
              </w:rPr>
            </w:pPr>
          </w:p>
        </w:tc>
        <w:tc>
          <w:tcPr>
            <w:tcW w:w="513" w:type="pct"/>
          </w:tcPr>
          <w:p w:rsidR="0030517B" w:rsidRPr="00CA099F" w:rsidRDefault="0030517B" w:rsidP="00E1448E">
            <w:pPr>
              <w:spacing w:after="0" w:line="240" w:lineRule="auto"/>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color w:val="000000"/>
                <w:szCs w:val="28"/>
              </w:rPr>
            </w:pPr>
            <w:r w:rsidRPr="00CA099F">
              <w:rPr>
                <w:rFonts w:eastAsia="Times New Roman" w:cs="Times New Roman"/>
                <w:color w:val="000000"/>
                <w:szCs w:val="24"/>
              </w:rPr>
              <w:t>р</w:t>
            </w:r>
            <w:r w:rsidRPr="00CA099F">
              <w:rPr>
                <w:rFonts w:eastAsia="Times New Roman" w:cs="Times New Roman"/>
                <w:color w:val="000000"/>
                <w:szCs w:val="24"/>
                <w:vertAlign w:val="subscript"/>
              </w:rPr>
              <w:t>1</w:t>
            </w:r>
            <w:r w:rsidRPr="00CA099F">
              <w:rPr>
                <w:rFonts w:eastAsia="Times New Roman" w:cs="Times New Roman"/>
                <w:color w:val="000000"/>
                <w:szCs w:val="24"/>
              </w:rPr>
              <w:t>&lt;0,001</w:t>
            </w:r>
          </w:p>
        </w:tc>
        <w:tc>
          <w:tcPr>
            <w:tcW w:w="574" w:type="pct"/>
          </w:tcPr>
          <w:p w:rsidR="0030517B" w:rsidRPr="00CA099F" w:rsidRDefault="0030517B" w:rsidP="00E1448E">
            <w:pPr>
              <w:spacing w:after="0"/>
              <w:jc w:val="center"/>
              <w:rPr>
                <w:rFonts w:eastAsia="Times New Roman" w:cs="Times New Roman"/>
                <w:szCs w:val="28"/>
              </w:rPr>
            </w:pPr>
          </w:p>
        </w:tc>
        <w:tc>
          <w:tcPr>
            <w:tcW w:w="574" w:type="pct"/>
          </w:tcPr>
          <w:p w:rsidR="0030517B" w:rsidRPr="00CA099F" w:rsidRDefault="0030517B" w:rsidP="00E1448E">
            <w:pPr>
              <w:spacing w:after="0"/>
              <w:jc w:val="center"/>
              <w:rPr>
                <w:rFonts w:eastAsia="Times New Roman" w:cs="Times New Roman"/>
                <w:color w:val="000000"/>
                <w:szCs w:val="28"/>
              </w:rPr>
            </w:pPr>
          </w:p>
        </w:tc>
        <w:tc>
          <w:tcPr>
            <w:tcW w:w="574" w:type="pct"/>
          </w:tcPr>
          <w:p w:rsidR="0030517B" w:rsidRPr="00CA099F" w:rsidRDefault="0030517B" w:rsidP="00E1448E">
            <w:pPr>
              <w:spacing w:after="0" w:line="240" w:lineRule="auto"/>
              <w:jc w:val="center"/>
              <w:rPr>
                <w:rFonts w:eastAsia="Times New Roman" w:cs="Times New Roman"/>
                <w:szCs w:val="28"/>
              </w:rPr>
            </w:pPr>
          </w:p>
        </w:tc>
        <w:tc>
          <w:tcPr>
            <w:tcW w:w="575" w:type="pct"/>
          </w:tcPr>
          <w:p w:rsidR="0030517B" w:rsidRPr="00CA099F" w:rsidRDefault="0030517B" w:rsidP="00E1448E">
            <w:pPr>
              <w:spacing w:after="0" w:line="240" w:lineRule="auto"/>
              <w:jc w:val="center"/>
              <w:rPr>
                <w:rFonts w:eastAsia="Times New Roman" w:cs="Times New Roman"/>
                <w:color w:val="000000"/>
                <w:szCs w:val="28"/>
              </w:rPr>
            </w:pPr>
          </w:p>
        </w:tc>
      </w:tr>
      <w:tr w:rsidR="0030517B" w:rsidRPr="00CA099F" w:rsidTr="00E1448E">
        <w:tc>
          <w:tcPr>
            <w:tcW w:w="5000" w:type="pct"/>
            <w:gridSpan w:val="9"/>
          </w:tcPr>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Примітка:</w:t>
            </w:r>
          </w:p>
          <w:p w:rsidR="0030517B" w:rsidRPr="00CA099F" w:rsidRDefault="0030517B" w:rsidP="00E1448E">
            <w:pPr>
              <w:spacing w:after="0" w:line="240" w:lineRule="auto"/>
              <w:jc w:val="both"/>
              <w:rPr>
                <w:rFonts w:eastAsia="Times New Roman" w:cs="Times New Roman"/>
                <w:szCs w:val="28"/>
              </w:rPr>
            </w:pPr>
            <w:r w:rsidRPr="00CA099F">
              <w:rPr>
                <w:rFonts w:eastAsia="Times New Roman" w:cs="Times New Roman"/>
                <w:sz w:val="28"/>
                <w:szCs w:val="28"/>
              </w:rPr>
              <w:t>*- різниця достовірна стосовно даних групи порівняння в межах одного терміну спостереження</w:t>
            </w:r>
          </w:p>
          <w:p w:rsidR="0030517B" w:rsidRPr="00CA099F" w:rsidRDefault="0030517B" w:rsidP="00E1448E">
            <w:pPr>
              <w:tabs>
                <w:tab w:val="left" w:pos="709"/>
              </w:tabs>
              <w:spacing w:after="0" w:line="240" w:lineRule="auto"/>
              <w:ind w:right="-6"/>
              <w:jc w:val="both"/>
              <w:rPr>
                <w:rFonts w:eastAsia="Times New Roman" w:cs="Times New Roman"/>
                <w:color w:val="000000"/>
                <w:szCs w:val="28"/>
              </w:rPr>
            </w:pPr>
            <w:r w:rsidRPr="00CA099F">
              <w:rPr>
                <w:rFonts w:eastAsia="Times New Roman" w:cs="Times New Roman"/>
                <w:color w:val="000000"/>
                <w:sz w:val="28"/>
                <w:szCs w:val="28"/>
              </w:rPr>
              <w:t>р</w:t>
            </w:r>
            <w:r w:rsidRPr="00CA099F">
              <w:rPr>
                <w:rFonts w:eastAsia="Times New Roman" w:cs="Times New Roman"/>
                <w:color w:val="000000"/>
                <w:sz w:val="28"/>
                <w:szCs w:val="28"/>
                <w:vertAlign w:val="subscript"/>
              </w:rPr>
              <w:t>1</w:t>
            </w:r>
            <w:r w:rsidRPr="00CA099F">
              <w:rPr>
                <w:rFonts w:eastAsia="Times New Roman" w:cs="Times New Roman"/>
                <w:color w:val="000000"/>
                <w:sz w:val="28"/>
                <w:szCs w:val="28"/>
              </w:rPr>
              <w:t xml:space="preserve"> –показник достовірності між дослідними групами, термін спостереження 3 і 6 місяців.</w:t>
            </w:r>
          </w:p>
        </w:tc>
      </w:tr>
    </w:tbl>
    <w:p w:rsidR="0030517B" w:rsidRPr="00CA099F" w:rsidRDefault="0030517B" w:rsidP="0030517B">
      <w:pPr>
        <w:spacing w:after="0" w:line="360" w:lineRule="auto"/>
        <w:jc w:val="both"/>
        <w:rPr>
          <w:rFonts w:eastAsia="Times New Roman" w:cs="Times New Roman"/>
          <w:color w:val="000000"/>
          <w:sz w:val="28"/>
          <w:szCs w:val="28"/>
        </w:rPr>
      </w:pP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Щодо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30517B" w:rsidRPr="00CA099F">
        <w:rPr>
          <w:rFonts w:eastAsia="Times New Roman" w:cs="Times New Roman"/>
          <w:sz w:val="28"/>
          <w:szCs w:val="28"/>
        </w:rPr>
        <w:t xml:space="preserve">, то вміст лізоциму через 3 місяці спостереження був достовірно вищим на 43,4 %, через 6 місяців – на 34,9 % відносно контрольної групи. У пацієнтів другої і третьої груп через 9 та 12 місяців спостереження вміст лізоциму практично не відрізнявся. </w:t>
      </w:r>
    </w:p>
    <w:p w:rsidR="0030517B" w:rsidRPr="00CA099F" w:rsidRDefault="00E61D0F" w:rsidP="0030517B">
      <w:pPr>
        <w:spacing w:after="0" w:line="360" w:lineRule="auto"/>
        <w:jc w:val="both"/>
        <w:rPr>
          <w:rFonts w:eastAsia="Times New Roman" w:cs="Times New Roman"/>
          <w:color w:val="000000"/>
          <w:sz w:val="28"/>
          <w:szCs w:val="28"/>
        </w:rPr>
      </w:pPr>
      <w:r>
        <w:rPr>
          <w:rFonts w:eastAsia="Times New Roman" w:cs="Times New Roman"/>
          <w:sz w:val="28"/>
          <w:szCs w:val="28"/>
        </w:rPr>
        <w:lastRenderedPageBreak/>
        <w:tab/>
      </w:r>
      <w:r w:rsidR="0030517B" w:rsidRPr="00CA099F">
        <w:rPr>
          <w:rFonts w:eastAsia="Times New Roman" w:cs="Times New Roman"/>
          <w:sz w:val="28"/>
          <w:szCs w:val="28"/>
        </w:rPr>
        <w:t xml:space="preserve">Рівень досліджуваного показника також змінювався впродовж терміну спостереження. Так,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9A789C" w:rsidRPr="00CA099F">
        <w:rPr>
          <w:rFonts w:eastAsia="Times New Roman" w:cs="Times New Roman"/>
          <w:sz w:val="28"/>
          <w:szCs w:val="28"/>
        </w:rPr>
        <w:t xml:space="preserve"> </w:t>
      </w:r>
      <w:r w:rsidR="0030517B" w:rsidRPr="00CA099F">
        <w:rPr>
          <w:rFonts w:eastAsia="Times New Roman" w:cs="Times New Roman"/>
          <w:sz w:val="28"/>
          <w:szCs w:val="28"/>
        </w:rPr>
        <w:t>через 6 місяців вміст лізоциму був на 19,1 % (</w:t>
      </w:r>
      <w:r w:rsidR="0030517B" w:rsidRPr="00CA099F">
        <w:rPr>
          <w:rFonts w:eastAsia="Times New Roman" w:cs="Times New Roman"/>
          <w:color w:val="000000"/>
          <w:sz w:val="28"/>
          <w:szCs w:val="28"/>
        </w:rPr>
        <w:t xml:space="preserve">р&lt;0,001) </w:t>
      </w:r>
      <w:r w:rsidR="0030517B" w:rsidRPr="00CA099F">
        <w:rPr>
          <w:rFonts w:eastAsia="Times New Roman" w:cs="Times New Roman"/>
          <w:sz w:val="28"/>
          <w:szCs w:val="28"/>
        </w:rPr>
        <w:t>вищим, стосовно даних попереднього терміну спостереження</w:t>
      </w:r>
      <w:r w:rsidR="0030517B" w:rsidRPr="00CA099F">
        <w:rPr>
          <w:rFonts w:eastAsia="Times New Roman" w:cs="Times New Roman"/>
          <w:color w:val="000000"/>
          <w:sz w:val="28"/>
          <w:szCs w:val="28"/>
        </w:rPr>
        <w:t xml:space="preserve">. </w:t>
      </w: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Аналізуючи зміни вмісту лізоциму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пацієнтів (рис. 5.13) найнижчі показники встановлено у пацієнтів контрольної групи (через 3 місяці спостереження достовірне зменшення на 46,4 %, через 6 місяців – на 32,2 %). Найвищі показники вмісту лізоциму спостерігалися у пацієнтів другої групи (через 3 місяці спостереження достовірне зменшення на 23,2 %, через 6, 9 та 12 місяців – відсутні достовірні зміни). </w:t>
      </w:r>
    </w:p>
    <w:p w:rsidR="0030517B" w:rsidRPr="00CA099F" w:rsidRDefault="0030517B" w:rsidP="0030517B">
      <w:pPr>
        <w:spacing w:after="0" w:line="360" w:lineRule="auto"/>
        <w:jc w:val="both"/>
        <w:rPr>
          <w:rFonts w:eastAsia="Times New Roman" w:cs="Times New Roman"/>
          <w:color w:val="000000"/>
          <w:sz w:val="28"/>
          <w:szCs w:val="28"/>
        </w:rPr>
      </w:pPr>
      <w:r w:rsidRPr="00CA099F">
        <w:rPr>
          <w:rFonts w:ascii="Calibri" w:eastAsia="Times New Roman" w:hAnsi="Calibri" w:cs="Times New Roman"/>
          <w:noProof/>
          <w:sz w:val="22"/>
          <w:lang w:val="ru-RU" w:eastAsia="ru-RU"/>
        </w:rPr>
        <w:drawing>
          <wp:inline distT="0" distB="0" distL="0" distR="0" wp14:anchorId="2BAA6F60" wp14:editId="447F83F3">
            <wp:extent cx="5334000" cy="30670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34000" cy="3067050"/>
                    </a:xfrm>
                    <a:prstGeom prst="rect">
                      <a:avLst/>
                    </a:prstGeom>
                    <a:noFill/>
                    <a:ln>
                      <a:noFill/>
                    </a:ln>
                  </pic:spPr>
                </pic:pic>
              </a:graphicData>
            </a:graphic>
          </wp:inline>
        </w:drawing>
      </w: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Рисунок 5.13</w:t>
      </w:r>
      <w:r w:rsidR="0030517B" w:rsidRPr="00CA099F">
        <w:rPr>
          <w:rFonts w:eastAsia="Times New Roman" w:cs="Times New Roman"/>
          <w:sz w:val="28"/>
          <w:szCs w:val="28"/>
        </w:rPr>
        <w:t xml:space="preserve"> </w:t>
      </w:r>
      <w:r>
        <w:rPr>
          <w:rFonts w:eastAsia="Times New Roman" w:cs="Times New Roman"/>
          <w:sz w:val="28"/>
          <w:szCs w:val="28"/>
        </w:rPr>
        <w:t>Графічне зображення</w:t>
      </w:r>
      <w:r w:rsidR="0030517B" w:rsidRPr="00CA099F">
        <w:rPr>
          <w:rFonts w:eastAsia="Times New Roman" w:cs="Times New Roman"/>
          <w:sz w:val="28"/>
          <w:szCs w:val="28"/>
        </w:rPr>
        <w:t xml:space="preserve"> змін вмісту лізоциму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30517B" w:rsidRPr="00CA099F" w:rsidRDefault="00E61D0F" w:rsidP="0030517B">
      <w:pPr>
        <w:spacing w:after="0" w:line="360" w:lineRule="auto"/>
        <w:jc w:val="both"/>
        <w:rPr>
          <w:rFonts w:eastAsia="MS Mincho" w:cs="Times New Roman"/>
          <w:sz w:val="28"/>
          <w:szCs w:val="28"/>
          <w:lang w:eastAsia="ja-JP"/>
        </w:rPr>
      </w:pPr>
      <w:r>
        <w:rPr>
          <w:rFonts w:eastAsia="MS Mincho" w:cs="Times New Roman"/>
          <w:sz w:val="28"/>
          <w:szCs w:val="28"/>
          <w:lang w:eastAsia="ja-JP"/>
        </w:rPr>
        <w:lastRenderedPageBreak/>
        <w:tab/>
      </w:r>
      <w:r w:rsidR="0030517B" w:rsidRPr="00CA099F">
        <w:rPr>
          <w:rFonts w:eastAsia="MS Mincho" w:cs="Times New Roman"/>
          <w:sz w:val="28"/>
          <w:szCs w:val="28"/>
          <w:lang w:eastAsia="ja-JP"/>
        </w:rPr>
        <w:t>Для визначення ступеня патогенності мікрофлори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ми визначали активність ферменту уреази, яка не продукується соматичними клітинами, проте синтезується патогенними і умовно-патогенними мікроорганізмами.</w:t>
      </w:r>
    </w:p>
    <w:p w:rsidR="0030517B" w:rsidRPr="00CA099F"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Результати наших досліджень показали, що даний показник у гомогенаті шкіри пацієнтів, яким під час оперативного втручання введено PRF-згусток, через 3 місяці спостереження був достовірно меншим на 31,2 % (табл. 5.9) відносно контрольної групи. Через 6, 9 та 12 місяців даний показник достовірно не відрізнявся.</w:t>
      </w:r>
    </w:p>
    <w:p w:rsidR="0030517B" w:rsidRDefault="00E61D0F" w:rsidP="0030517B">
      <w:pPr>
        <w:spacing w:after="0" w:line="360" w:lineRule="auto"/>
        <w:jc w:val="both"/>
        <w:rPr>
          <w:rFonts w:eastAsia="Times New Roman" w:cs="Times New Roman"/>
          <w:sz w:val="28"/>
          <w:szCs w:val="28"/>
        </w:rPr>
      </w:pPr>
      <w:r>
        <w:rPr>
          <w:rFonts w:eastAsia="Times New Roman" w:cs="Times New Roman"/>
          <w:sz w:val="28"/>
          <w:szCs w:val="28"/>
        </w:rPr>
        <w:tab/>
      </w:r>
      <w:r w:rsidR="0030517B" w:rsidRPr="00CA099F">
        <w:rPr>
          <w:rFonts w:eastAsia="Times New Roman" w:cs="Times New Roman"/>
          <w:sz w:val="28"/>
          <w:szCs w:val="28"/>
        </w:rPr>
        <w:t xml:space="preserve">Щодо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30517B" w:rsidRPr="00CA099F">
        <w:rPr>
          <w:rFonts w:eastAsia="Times New Roman" w:cs="Times New Roman"/>
          <w:sz w:val="28"/>
          <w:szCs w:val="28"/>
        </w:rPr>
        <w:t>, то активність уреази через 3 місяці спостереження була достовірно меншою на 56,2 %, через 6 місяців – на 52,9 % і через 9</w:t>
      </w:r>
      <w:r w:rsidR="000E0994">
        <w:rPr>
          <w:rFonts w:eastAsia="Times New Roman" w:cs="Times New Roman"/>
          <w:sz w:val="28"/>
          <w:szCs w:val="28"/>
        </w:rPr>
        <w:t>– на 50,0</w:t>
      </w:r>
      <w:r w:rsidR="000E0994">
        <w:rPr>
          <w:rFonts w:eastAsia="Times New Roman" w:cs="Times New Roman"/>
          <w:sz w:val="28"/>
          <w:szCs w:val="28"/>
          <w:lang w:val="ru-RU"/>
        </w:rPr>
        <w:t> </w:t>
      </w:r>
      <w:r w:rsidR="0030517B" w:rsidRPr="00CA099F">
        <w:rPr>
          <w:rFonts w:eastAsia="Times New Roman" w:cs="Times New Roman"/>
          <w:sz w:val="28"/>
          <w:szCs w:val="28"/>
        </w:rPr>
        <w:t>%, стосовно даних третьої групи. У пацієнтів другої і третьої груп через 12 місяців спостереження активність уреази достовірно не відрізнялася.</w:t>
      </w:r>
    </w:p>
    <w:p w:rsidR="00615507" w:rsidRPr="00CA099F" w:rsidRDefault="00615507" w:rsidP="00615507">
      <w:pPr>
        <w:spacing w:after="0" w:line="360" w:lineRule="auto"/>
        <w:ind w:firstLine="709"/>
        <w:jc w:val="both"/>
        <w:rPr>
          <w:rFonts w:eastAsia="Times New Roman" w:cs="Times New Roman"/>
          <w:sz w:val="28"/>
          <w:szCs w:val="28"/>
        </w:rPr>
      </w:pPr>
      <w:r>
        <w:rPr>
          <w:rFonts w:eastAsia="Times New Roman" w:cs="Times New Roman"/>
          <w:sz w:val="28"/>
          <w:szCs w:val="28"/>
        </w:rPr>
        <w:t>А</w:t>
      </w:r>
      <w:r w:rsidRPr="00CA099F">
        <w:rPr>
          <w:rFonts w:eastAsia="Times New Roman" w:cs="Times New Roman"/>
          <w:sz w:val="28"/>
          <w:szCs w:val="28"/>
        </w:rPr>
        <w:t xml:space="preserve">налізуючи зміни активності уреази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відносно показників інтактної групи пацієнтів (рис. 5.14) найвищі показники встановлено у пацієнтів контрольної групи (через 3 місяці спостереження достовірне переважання у 6,4 рази, через 6 місяців – у 3,4 рази і через 9 – на 160,0 %). </w:t>
      </w:r>
    </w:p>
    <w:p w:rsidR="00615507" w:rsidRPr="00CA099F" w:rsidRDefault="00615507" w:rsidP="0030517B">
      <w:pPr>
        <w:spacing w:after="0" w:line="360" w:lineRule="auto"/>
        <w:jc w:val="both"/>
        <w:rPr>
          <w:rFonts w:ascii="Calibri" w:eastAsia="Times New Roman" w:hAnsi="Calibri" w:cs="Times New Roman"/>
          <w:sz w:val="22"/>
        </w:rPr>
      </w:pPr>
    </w:p>
    <w:p w:rsidR="0030517B" w:rsidRPr="00CA099F" w:rsidRDefault="0030517B" w:rsidP="0030517B">
      <w:pPr>
        <w:spacing w:after="0" w:line="360" w:lineRule="auto"/>
        <w:jc w:val="center"/>
        <w:rPr>
          <w:rFonts w:eastAsia="Times New Roman" w:cs="Times New Roman"/>
          <w:sz w:val="28"/>
          <w:szCs w:val="28"/>
        </w:rPr>
      </w:pPr>
      <w:r w:rsidRPr="00CA099F">
        <w:rPr>
          <w:rFonts w:ascii="Calibri" w:eastAsia="Times New Roman" w:hAnsi="Calibri" w:cs="Times New Roman"/>
          <w:noProof/>
          <w:sz w:val="22"/>
          <w:lang w:val="ru-RU" w:eastAsia="ru-RU"/>
        </w:rPr>
        <w:lastRenderedPageBreak/>
        <w:drawing>
          <wp:inline distT="0" distB="0" distL="0" distR="0" wp14:anchorId="6AF5E574" wp14:editId="76708DB8">
            <wp:extent cx="5715000" cy="30194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15000" cy="3019425"/>
                    </a:xfrm>
                    <a:prstGeom prst="rect">
                      <a:avLst/>
                    </a:prstGeom>
                    <a:noFill/>
                    <a:ln>
                      <a:noFill/>
                    </a:ln>
                  </pic:spPr>
                </pic:pic>
              </a:graphicData>
            </a:graphic>
          </wp:inline>
        </w:drawing>
      </w:r>
    </w:p>
    <w:p w:rsidR="0030517B" w:rsidRDefault="00E61D0F" w:rsidP="0030517B">
      <w:pPr>
        <w:spacing w:after="0" w:line="360" w:lineRule="auto"/>
        <w:jc w:val="both"/>
        <w:rPr>
          <w:rFonts w:eastAsia="Times New Roman" w:cs="Times New Roman"/>
          <w:sz w:val="28"/>
          <w:szCs w:val="28"/>
        </w:rPr>
      </w:pPr>
      <w:r>
        <w:rPr>
          <w:rFonts w:eastAsia="Times New Roman" w:cs="Times New Roman"/>
          <w:sz w:val="28"/>
          <w:szCs w:val="28"/>
        </w:rPr>
        <w:t>Рисунок 5.1</w:t>
      </w:r>
      <w:r w:rsidR="00A74681">
        <w:rPr>
          <w:rFonts w:eastAsia="Times New Roman" w:cs="Times New Roman"/>
          <w:sz w:val="28"/>
          <w:szCs w:val="28"/>
        </w:rPr>
        <w:t>4 Графічне зображення</w:t>
      </w:r>
      <w:r w:rsidR="0030517B" w:rsidRPr="00CA099F">
        <w:rPr>
          <w:rFonts w:eastAsia="Times New Roman" w:cs="Times New Roman"/>
          <w:sz w:val="28"/>
          <w:szCs w:val="28"/>
        </w:rPr>
        <w:t xml:space="preserve"> змін активності уреази у гомогенаті шкіри пацієнтів з різними видами інтра- та післяопераційної профілактики патологічних рубців шкіри при хірургічному лікуванні кіст шиї ембріонального походження у відсотках (*- різниця достовірна стосовно даних інтактної групи).</w:t>
      </w:r>
    </w:p>
    <w:p w:rsidR="00A105BE" w:rsidRDefault="00A105BE" w:rsidP="0030517B">
      <w:pPr>
        <w:spacing w:after="0" w:line="360" w:lineRule="auto"/>
        <w:jc w:val="both"/>
        <w:rPr>
          <w:rFonts w:eastAsia="Times New Roman" w:cs="Times New Roman"/>
          <w:sz w:val="28"/>
          <w:szCs w:val="28"/>
        </w:rPr>
      </w:pPr>
    </w:p>
    <w:p w:rsidR="00615507" w:rsidRPr="00CA099F" w:rsidRDefault="00A74681" w:rsidP="00615507">
      <w:pPr>
        <w:spacing w:after="0" w:line="360" w:lineRule="auto"/>
        <w:ind w:firstLine="709"/>
        <w:jc w:val="both"/>
        <w:rPr>
          <w:rFonts w:eastAsia="Times New Roman" w:cs="Times New Roman"/>
          <w:sz w:val="28"/>
          <w:szCs w:val="28"/>
        </w:rPr>
      </w:pPr>
      <w:r w:rsidRPr="00615507">
        <w:rPr>
          <w:rFonts w:eastAsia="Times New Roman" w:cs="Times New Roman"/>
          <w:sz w:val="28"/>
          <w:szCs w:val="28"/>
        </w:rPr>
        <w:t>Таким чином,</w:t>
      </w:r>
      <w:r w:rsidR="00615507" w:rsidRPr="00615507">
        <w:rPr>
          <w:rFonts w:eastAsia="Times New Roman" w:cs="Times New Roman"/>
          <w:sz w:val="28"/>
          <w:szCs w:val="28"/>
        </w:rPr>
        <w:t xml:space="preserve"> </w:t>
      </w:r>
      <w:r w:rsidR="00615507">
        <w:rPr>
          <w:rFonts w:eastAsia="Times New Roman" w:cs="Times New Roman"/>
          <w:sz w:val="28"/>
          <w:szCs w:val="28"/>
        </w:rPr>
        <w:t>н</w:t>
      </w:r>
      <w:r w:rsidR="00615507" w:rsidRPr="00CA099F">
        <w:rPr>
          <w:rFonts w:eastAsia="Times New Roman" w:cs="Times New Roman"/>
          <w:sz w:val="28"/>
          <w:szCs w:val="28"/>
        </w:rPr>
        <w:t xml:space="preserve">айнижчі показники активності уреази спостерігалися у пацієнтів, яким під час оперативного втручання введено PRF-згусток, а на післяопераційному етапі було застосовано </w:t>
      </w:r>
      <w:r w:rsidR="009A789C">
        <w:rPr>
          <w:rFonts w:eastAsia="Times New Roman" w:cs="Times New Roman"/>
          <w:sz w:val="28"/>
          <w:szCs w:val="28"/>
        </w:rPr>
        <w:t>церулоплазмін</w:t>
      </w:r>
      <w:r w:rsidR="00615507" w:rsidRPr="00CA099F">
        <w:rPr>
          <w:rFonts w:eastAsia="Times New Roman" w:cs="Times New Roman"/>
          <w:sz w:val="28"/>
          <w:szCs w:val="28"/>
        </w:rPr>
        <w:t>. Так, через 3 місяці даний показник перевищував показник інтактної групи у 2,8 рази, через 6, 9 та 12 місяців – достовірно не відрізнявся.</w:t>
      </w:r>
    </w:p>
    <w:p w:rsidR="00A74681" w:rsidRPr="00615507" w:rsidRDefault="00A74681" w:rsidP="0030517B">
      <w:pPr>
        <w:spacing w:after="0" w:line="360" w:lineRule="auto"/>
        <w:jc w:val="both"/>
        <w:rPr>
          <w:rFonts w:eastAsia="Times New Roman" w:cs="Times New Roman"/>
          <w:sz w:val="28"/>
          <w:szCs w:val="28"/>
        </w:rPr>
      </w:pPr>
    </w:p>
    <w:p w:rsidR="0030517B" w:rsidRPr="00CA099F" w:rsidRDefault="0030517B" w:rsidP="00EA09EA">
      <w:pPr>
        <w:spacing w:after="0" w:line="360" w:lineRule="auto"/>
        <w:ind w:firstLine="709"/>
        <w:contextualSpacing/>
        <w:jc w:val="both"/>
        <w:rPr>
          <w:rFonts w:eastAsia="Times New Roman" w:cs="Times New Roman"/>
          <w:sz w:val="28"/>
          <w:szCs w:val="28"/>
          <w:lang w:val="ru-RU"/>
        </w:rPr>
      </w:pPr>
      <w:r w:rsidRPr="00CA099F">
        <w:rPr>
          <w:rFonts w:eastAsia="Times New Roman" w:cs="Times New Roman"/>
          <w:snapToGrid w:val="0"/>
          <w:sz w:val="28"/>
          <w:szCs w:val="28"/>
          <w:lang w:val="ru-RU"/>
        </w:rPr>
        <w:t>Дані, що наведені в розділі викладені в наступних працях:</w:t>
      </w:r>
    </w:p>
    <w:p w:rsidR="0030517B" w:rsidRPr="00CA099F" w:rsidRDefault="0030517B" w:rsidP="00EA09EA">
      <w:pPr>
        <w:spacing w:after="0" w:line="360" w:lineRule="auto"/>
        <w:ind w:firstLine="709"/>
        <w:jc w:val="both"/>
        <w:rPr>
          <w:rFonts w:eastAsia="Times New Roman" w:cs="Times New Roman"/>
          <w:sz w:val="28"/>
          <w:szCs w:val="28"/>
        </w:rPr>
      </w:pPr>
      <w:r w:rsidRPr="00CA099F">
        <w:rPr>
          <w:rFonts w:eastAsia="Times New Roman" w:cs="Times New Roman"/>
          <w:sz w:val="28"/>
          <w:szCs w:val="28"/>
        </w:rPr>
        <w:t xml:space="preserve">The Dynamics of Changes of Indicators of Products of Peroxide Lipid Oxidation in the Homogenates of Scarring Tissues in Different Terms of the Postoperative Period / </w:t>
      </w:r>
      <w:r w:rsidRPr="00CA099F">
        <w:rPr>
          <w:rFonts w:eastAsia="Times New Roman" w:cs="Times New Roman"/>
          <w:b/>
          <w:sz w:val="28"/>
          <w:szCs w:val="28"/>
        </w:rPr>
        <w:t>L.R. Krynychko</w:t>
      </w:r>
      <w:r w:rsidRPr="00CA099F">
        <w:rPr>
          <w:rFonts w:eastAsia="Times New Roman" w:cs="Times New Roman"/>
          <w:sz w:val="28"/>
          <w:szCs w:val="28"/>
        </w:rPr>
        <w:t>, S.M. Grygorov, K.P. Lokes, O.O. Rozkolupa // Intermedical journal. – 2018. – Vol. 1 (11). – P. 50-54.</w:t>
      </w:r>
    </w:p>
    <w:p w:rsidR="00EA09EA" w:rsidRPr="00EA09EA" w:rsidRDefault="00EA09EA" w:rsidP="00EA09EA">
      <w:pPr>
        <w:spacing w:after="0" w:line="360" w:lineRule="auto"/>
        <w:ind w:firstLine="709"/>
        <w:contextualSpacing/>
        <w:jc w:val="both"/>
        <w:rPr>
          <w:rFonts w:eastAsia="Times New Roman" w:cs="Times New Roman"/>
          <w:sz w:val="28"/>
          <w:szCs w:val="20"/>
          <w:lang w:eastAsia="uk-UA"/>
        </w:rPr>
      </w:pPr>
      <w:r w:rsidRPr="00EA09EA">
        <w:rPr>
          <w:rFonts w:eastAsia="Calibri" w:cs="Times New Roman"/>
          <w:sz w:val="28"/>
          <w:lang w:val="en-US"/>
        </w:rPr>
        <w:t xml:space="preserve">Krinichko L.R. Dynamics of changes of proteins free-radial oxidation, regenerator processes, microbial distribution and non-specific immunity in the gomogenates of scar tissues at different stages of the postoperative period / </w:t>
      </w:r>
      <w:r w:rsidRPr="00EA09EA">
        <w:rPr>
          <w:rFonts w:eastAsia="Calibri" w:cs="Times New Roman"/>
          <w:sz w:val="28"/>
          <w:lang w:val="en-US"/>
        </w:rPr>
        <w:lastRenderedPageBreak/>
        <w:t xml:space="preserve">L.R. Krinichko, S.M. Grigorov // </w:t>
      </w:r>
      <w:r w:rsidRPr="00EA09EA">
        <w:rPr>
          <w:rFonts w:eastAsia="Calibri" w:cs="Times New Roman"/>
          <w:sz w:val="28"/>
        </w:rPr>
        <w:t>Проблеми екології та медицини. – 2018. – Т. 22 (№3-4). – С. 3-6.</w:t>
      </w:r>
    </w:p>
    <w:p w:rsidR="00EA09EA" w:rsidRPr="00EA09EA" w:rsidRDefault="00EA09EA" w:rsidP="00EA09EA">
      <w:pPr>
        <w:spacing w:after="0" w:line="360" w:lineRule="auto"/>
        <w:ind w:firstLine="709"/>
        <w:contextualSpacing/>
        <w:jc w:val="both"/>
        <w:rPr>
          <w:rFonts w:eastAsia="Times New Roman" w:cs="Times New Roman"/>
          <w:sz w:val="28"/>
          <w:szCs w:val="20"/>
          <w:lang w:eastAsia="uk-UA"/>
        </w:rPr>
      </w:pPr>
      <w:r w:rsidRPr="00EA09EA">
        <w:rPr>
          <w:rFonts w:eastAsia="Calibri" w:cs="Times New Roman"/>
          <w:sz w:val="28"/>
        </w:rPr>
        <w:t xml:space="preserve">Визначення розбіжностей продукції активних форм оксисену та вмісту гідропероксидів ліпідів а гомогенатах рубцевозмінених тканин в різні терміни післяопераційного періоду / Л.Р. Криничко, К.П. Локес, С.О. Ставицький </w:t>
      </w:r>
      <w:r w:rsidRPr="00EA09EA">
        <w:rPr>
          <w:rFonts w:eastAsia="Times New Roman" w:cs="Times New Roman"/>
          <w:sz w:val="28"/>
          <w:szCs w:val="20"/>
          <w:lang w:eastAsia="uk-UA"/>
        </w:rPr>
        <w:t>[та ін.] // Вісник проблем біології і медицини. – 2018. – Bип. 4 (146). – С. 95-98.</w:t>
      </w:r>
    </w:p>
    <w:p w:rsidR="0030517B" w:rsidRPr="00EA09EA" w:rsidRDefault="0030517B" w:rsidP="0030517B">
      <w:pPr>
        <w:spacing w:after="0" w:line="360" w:lineRule="auto"/>
        <w:jc w:val="both"/>
        <w:rPr>
          <w:rFonts w:eastAsia="Times New Roman" w:cs="Times New Roman"/>
          <w:sz w:val="28"/>
          <w:szCs w:val="28"/>
        </w:rPr>
      </w:pPr>
    </w:p>
    <w:p w:rsidR="0030517B" w:rsidRDefault="0030517B" w:rsidP="00304E83">
      <w:pPr>
        <w:rPr>
          <w:rFonts w:eastAsia="Calibri" w:cs="Calibri"/>
          <w:sz w:val="28"/>
          <w:szCs w:val="28"/>
        </w:rPr>
      </w:pPr>
      <w:r w:rsidRPr="00EA09EA">
        <w:rPr>
          <w:rFonts w:eastAsia="Calibri" w:cs="Calibri"/>
          <w:sz w:val="28"/>
          <w:szCs w:val="28"/>
        </w:rPr>
        <w:br w:type="page"/>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lastRenderedPageBreak/>
        <w:t>АНАЛІЗ І УЗАГАЛЬНЕННЯ РЕЗУЛЬТАТІВ ДОСЛІДЖЕННЯ</w:t>
      </w:r>
    </w:p>
    <w:p w:rsidR="0030517B" w:rsidRPr="00CA099F" w:rsidRDefault="0030517B" w:rsidP="0030517B">
      <w:pPr>
        <w:spacing w:after="160" w:line="360" w:lineRule="auto"/>
        <w:jc w:val="center"/>
        <w:rPr>
          <w:rFonts w:eastAsia="Calibri" w:cs="Times New Roman"/>
          <w:b/>
          <w:sz w:val="28"/>
          <w:szCs w:val="28"/>
        </w:rPr>
      </w:pP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Утворення патологічно змінених рубцевих тканин на сьогодні набуло особливої уваги та входить у</w:t>
      </w:r>
      <w:r w:rsidR="00A74681">
        <w:rPr>
          <w:rFonts w:eastAsia="Calibri" w:cs="Times New Roman"/>
          <w:sz w:val="28"/>
          <w:szCs w:val="28"/>
        </w:rPr>
        <w:t xml:space="preserve"> коло медико-соціальних проблем, яка</w:t>
      </w:r>
      <w:r w:rsidRPr="00CA099F">
        <w:rPr>
          <w:rFonts w:eastAsia="Calibri" w:cs="Times New Roman"/>
          <w:sz w:val="28"/>
          <w:szCs w:val="28"/>
        </w:rPr>
        <w:t xml:space="preserve"> ускладняється не лише помилками лікаря під час проведення оп</w:t>
      </w:r>
      <w:r w:rsidR="00304E83">
        <w:rPr>
          <w:rFonts w:eastAsia="Calibri" w:cs="Times New Roman"/>
          <w:sz w:val="28"/>
          <w:szCs w:val="28"/>
        </w:rPr>
        <w:t>еративного втручання, надмірним</w:t>
      </w:r>
      <w:r w:rsidRPr="00CA099F">
        <w:rPr>
          <w:rFonts w:eastAsia="Calibri" w:cs="Times New Roman"/>
          <w:sz w:val="28"/>
          <w:szCs w:val="28"/>
        </w:rPr>
        <w:t xml:space="preserve"> натягнення</w:t>
      </w:r>
      <w:r w:rsidR="00304E83">
        <w:rPr>
          <w:rFonts w:eastAsia="Calibri" w:cs="Times New Roman"/>
          <w:sz w:val="28"/>
          <w:szCs w:val="28"/>
        </w:rPr>
        <w:t xml:space="preserve">м країв рани і нехтуванням використання </w:t>
      </w:r>
      <w:r w:rsidRPr="00CA099F">
        <w:rPr>
          <w:rFonts w:eastAsia="Calibri" w:cs="Times New Roman"/>
          <w:sz w:val="28"/>
          <w:szCs w:val="28"/>
        </w:rPr>
        <w:t xml:space="preserve">сучасних атравматичних методик її ушивання, а й уповільненням метаболічних процесів в шкірі та дією </w:t>
      </w:r>
      <w:r w:rsidR="00304E83">
        <w:rPr>
          <w:rFonts w:eastAsia="Calibri" w:cs="Times New Roman"/>
          <w:sz w:val="28"/>
          <w:szCs w:val="28"/>
        </w:rPr>
        <w:t>багатьох зовнішніх факторів</w:t>
      </w:r>
      <w:r w:rsidRPr="00CA099F">
        <w:rPr>
          <w:rFonts w:eastAsia="Calibri" w:cs="Times New Roman"/>
          <w:sz w:val="28"/>
          <w:szCs w:val="28"/>
        </w:rPr>
        <w:t xml:space="preserve">. </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За останні 5 років кількість пацієнтів з післяопераційними патологічними рубцями шкіри збільшилася на 18,5 %. Осо</w:t>
      </w:r>
      <w:r w:rsidR="00267C06">
        <w:rPr>
          <w:rFonts w:eastAsia="Calibri" w:cs="Times New Roman"/>
          <w:sz w:val="28"/>
          <w:szCs w:val="28"/>
        </w:rPr>
        <w:t xml:space="preserve">бливо це стосується </w:t>
      </w:r>
      <w:r w:rsidR="00D96DA9">
        <w:rPr>
          <w:rFonts w:eastAsia="Calibri" w:cs="Times New Roman"/>
          <w:sz w:val="28"/>
          <w:szCs w:val="28"/>
        </w:rPr>
        <w:t>пацієнтів</w:t>
      </w:r>
      <w:r w:rsidR="00267C06">
        <w:rPr>
          <w:rFonts w:eastAsia="Calibri" w:cs="Times New Roman"/>
          <w:sz w:val="28"/>
          <w:szCs w:val="28"/>
        </w:rPr>
        <w:t>, яки</w:t>
      </w:r>
      <w:r w:rsidRPr="00CA099F">
        <w:rPr>
          <w:rFonts w:eastAsia="Calibri" w:cs="Times New Roman"/>
          <w:sz w:val="28"/>
          <w:szCs w:val="28"/>
        </w:rPr>
        <w:t>м проведені оперативні втручання на відкритих ділянках, зокрема, на шиї</w:t>
      </w:r>
      <w:r w:rsidR="00267C06">
        <w:rPr>
          <w:rFonts w:eastAsia="Calibri" w:cs="Times New Roman"/>
          <w:sz w:val="28"/>
          <w:szCs w:val="28"/>
        </w:rPr>
        <w:t xml:space="preserve"> та обличчі</w:t>
      </w:r>
      <w:r w:rsidRPr="00CA099F">
        <w:rPr>
          <w:rFonts w:eastAsia="Calibri" w:cs="Times New Roman"/>
          <w:sz w:val="28"/>
          <w:szCs w:val="28"/>
        </w:rPr>
        <w:t xml:space="preserve">. Найчастіше серед них зустрічаються операції з приводу серединних та бічних кіст шиї, що й обумовило обраний напрямок досліджень. </w:t>
      </w:r>
    </w:p>
    <w:p w:rsidR="0030517B" w:rsidRPr="00CA099F" w:rsidRDefault="0030517B" w:rsidP="004808B1">
      <w:pPr>
        <w:spacing w:after="160" w:line="360" w:lineRule="auto"/>
        <w:ind w:firstLine="709"/>
        <w:jc w:val="both"/>
        <w:rPr>
          <w:rFonts w:eastAsia="Calibri" w:cs="Times New Roman"/>
          <w:sz w:val="28"/>
          <w:szCs w:val="28"/>
        </w:rPr>
      </w:pPr>
      <w:r w:rsidRPr="00CA099F">
        <w:rPr>
          <w:rFonts w:eastAsia="Calibri" w:cs="Times New Roman"/>
          <w:sz w:val="28"/>
          <w:szCs w:val="28"/>
        </w:rPr>
        <w:t>На етапі проведення клінічних досліджень нами вивчена динаміка змін параметрів оцінки загоєння операційної рани з утворенням нормотрофічного або патологічного рубця при використанні запропонованих методик інтра- та постопераційної профілактики в порівняльному аспекті. При цьому нами використана стандартизована схема оцінки якості рубцевозмінених тканин [</w:t>
      </w:r>
      <w:r w:rsidRPr="00CA099F">
        <w:rPr>
          <w:rFonts w:eastAsia="Calibri" w:cs="Times New Roman"/>
          <w:sz w:val="28"/>
          <w:szCs w:val="28"/>
          <w:lang w:val="ru-RU"/>
        </w:rPr>
        <w:t>139, 140</w:t>
      </w:r>
      <w:r w:rsidR="00267C06">
        <w:rPr>
          <w:rFonts w:eastAsia="Calibri" w:cs="Times New Roman"/>
          <w:sz w:val="28"/>
          <w:szCs w:val="28"/>
        </w:rPr>
        <w:t>]. Вона</w:t>
      </w:r>
      <w:r w:rsidRPr="00CA099F">
        <w:rPr>
          <w:rFonts w:eastAsia="Calibri" w:cs="Times New Roman"/>
          <w:sz w:val="28"/>
          <w:szCs w:val="28"/>
        </w:rPr>
        <w:t xml:space="preserve"> складається з табличних даних</w:t>
      </w:r>
      <w:r w:rsidR="004808B1">
        <w:rPr>
          <w:rFonts w:eastAsia="Calibri" w:cs="Times New Roman"/>
          <w:sz w:val="28"/>
          <w:szCs w:val="28"/>
          <w:lang w:val="ru-RU"/>
        </w:rPr>
        <w:t>,</w:t>
      </w:r>
      <w:r w:rsidRPr="00CA099F">
        <w:rPr>
          <w:rFonts w:eastAsia="Calibri" w:cs="Times New Roman"/>
          <w:sz w:val="28"/>
          <w:szCs w:val="28"/>
        </w:rPr>
        <w:t xml:space="preserve"> що надають візуальну та суб’єктивну характеристику рубця за наступними параметрами:</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П1 – тип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П2 – консистенція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П3 – колір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П4 – чутливість рубця;</w:t>
      </w:r>
    </w:p>
    <w:p w:rsidR="0030517B" w:rsidRPr="00CA099F" w:rsidRDefault="0030517B" w:rsidP="0030517B">
      <w:pPr>
        <w:numPr>
          <w:ilvl w:val="0"/>
          <w:numId w:val="11"/>
        </w:numPr>
        <w:spacing w:after="160" w:line="360" w:lineRule="auto"/>
        <w:contextualSpacing/>
        <w:jc w:val="both"/>
        <w:rPr>
          <w:rFonts w:eastAsia="Calibri" w:cs="Calibri"/>
          <w:sz w:val="28"/>
          <w:szCs w:val="28"/>
        </w:rPr>
      </w:pPr>
      <w:r w:rsidRPr="00CA099F">
        <w:rPr>
          <w:rFonts w:eastAsia="Calibri" w:cs="Calibri"/>
          <w:sz w:val="28"/>
          <w:szCs w:val="28"/>
        </w:rPr>
        <w:t>П5 – площа рубця.</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Аналіз показника утворення рубцевозмінених тканин П1 (тип рубця) в контрольній групі показав, що на 3 місяць післяопераційного періоду у 40% </w:t>
      </w:r>
      <w:r w:rsidRPr="00CA099F">
        <w:rPr>
          <w:rFonts w:eastAsia="Calibri" w:cs="Times New Roman"/>
          <w:sz w:val="28"/>
          <w:szCs w:val="28"/>
        </w:rPr>
        <w:lastRenderedPageBreak/>
        <w:t xml:space="preserve">пацієнтів спостерігається атрофічний рубець, який має вузликові розростання по периферії, ознаки перетворення на келоїдний рубець </w:t>
      </w:r>
      <w:r w:rsidR="00EF2891">
        <w:rPr>
          <w:rFonts w:eastAsia="Calibri" w:cs="Times New Roman"/>
          <w:sz w:val="28"/>
          <w:szCs w:val="28"/>
        </w:rPr>
        <w:t>фіксуються</w:t>
      </w:r>
      <w:r w:rsidRPr="00CA099F">
        <w:rPr>
          <w:rFonts w:eastAsia="Calibri" w:cs="Times New Roman"/>
          <w:sz w:val="28"/>
          <w:szCs w:val="28"/>
        </w:rPr>
        <w:t xml:space="preserve"> у 10% </w:t>
      </w:r>
      <w:r w:rsidR="00D96DA9">
        <w:rPr>
          <w:rFonts w:eastAsia="Calibri" w:cs="Times New Roman"/>
          <w:sz w:val="28"/>
          <w:szCs w:val="28"/>
        </w:rPr>
        <w:t>пацієнтів</w:t>
      </w:r>
      <w:r w:rsidRPr="00CA099F">
        <w:rPr>
          <w:rFonts w:eastAsia="Calibri" w:cs="Times New Roman"/>
          <w:sz w:val="28"/>
          <w:szCs w:val="28"/>
        </w:rPr>
        <w:t>. Досліджуючи цей показник на 6 місяць встановлено, що у 35% пацієнтів контрольної групи наявн</w:t>
      </w:r>
      <w:r w:rsidR="00EF2891">
        <w:rPr>
          <w:rFonts w:eastAsia="Calibri" w:cs="Times New Roman"/>
          <w:sz w:val="28"/>
          <w:szCs w:val="28"/>
        </w:rPr>
        <w:t>ий гомогенний атрофічний</w:t>
      </w:r>
      <w:r w:rsidRPr="00CA099F">
        <w:rPr>
          <w:rFonts w:eastAsia="Calibri" w:cs="Times New Roman"/>
          <w:sz w:val="28"/>
          <w:szCs w:val="28"/>
        </w:rPr>
        <w:t xml:space="preserve"> руб</w:t>
      </w:r>
      <w:r w:rsidR="00EF2891">
        <w:rPr>
          <w:rFonts w:eastAsia="Calibri" w:cs="Times New Roman"/>
          <w:sz w:val="28"/>
          <w:szCs w:val="28"/>
        </w:rPr>
        <w:t>е</w:t>
      </w:r>
      <w:r w:rsidRPr="00CA099F">
        <w:rPr>
          <w:rFonts w:eastAsia="Calibri" w:cs="Times New Roman"/>
          <w:sz w:val="28"/>
          <w:szCs w:val="28"/>
        </w:rPr>
        <w:t>ц</w:t>
      </w:r>
      <w:r w:rsidR="00EF2891">
        <w:rPr>
          <w:rFonts w:eastAsia="Calibri" w:cs="Times New Roman"/>
          <w:sz w:val="28"/>
          <w:szCs w:val="28"/>
        </w:rPr>
        <w:t>ь</w:t>
      </w:r>
      <w:r w:rsidRPr="00CA099F">
        <w:rPr>
          <w:rFonts w:eastAsia="Calibri" w:cs="Times New Roman"/>
          <w:sz w:val="28"/>
          <w:szCs w:val="28"/>
        </w:rPr>
        <w:t xml:space="preserve">. Ознаки перетворення на келоїдний рубець зафіксовано у </w:t>
      </w:r>
      <w:r w:rsidR="00042096">
        <w:rPr>
          <w:rFonts w:eastAsia="Calibri" w:cs="Times New Roman"/>
          <w:sz w:val="28"/>
          <w:szCs w:val="28"/>
        </w:rPr>
        <w:t>10%</w:t>
      </w:r>
      <w:r w:rsidRPr="00CA099F">
        <w:rPr>
          <w:rFonts w:eastAsia="Calibri" w:cs="Times New Roman"/>
          <w:sz w:val="28"/>
          <w:szCs w:val="28"/>
        </w:rPr>
        <w:t xml:space="preserve"> пацієнтів, а нормотрофічного – у </w:t>
      </w:r>
      <w:r w:rsidR="00042096">
        <w:rPr>
          <w:rFonts w:eastAsia="Calibri" w:cs="Times New Roman"/>
          <w:sz w:val="28"/>
          <w:szCs w:val="28"/>
        </w:rPr>
        <w:t>55%</w:t>
      </w:r>
      <w:r w:rsidRPr="00CA099F">
        <w:rPr>
          <w:rFonts w:eastAsia="Calibri" w:cs="Times New Roman"/>
          <w:sz w:val="28"/>
          <w:szCs w:val="28"/>
        </w:rPr>
        <w:t xml:space="preserve"> випадках, що не суперечить даним літератури [</w:t>
      </w:r>
      <w:r w:rsidRPr="00CA099F">
        <w:rPr>
          <w:rFonts w:eastAsia="Calibri" w:cs="Times New Roman"/>
          <w:sz w:val="28"/>
          <w:szCs w:val="28"/>
          <w:lang w:val="ru-RU"/>
        </w:rPr>
        <w:t>48, 53, 66</w:t>
      </w:r>
      <w:r w:rsidRPr="00CA099F">
        <w:rPr>
          <w:rFonts w:eastAsia="Calibri" w:cs="Times New Roman"/>
          <w:sz w:val="28"/>
          <w:szCs w:val="28"/>
        </w:rPr>
        <w:t>].</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Слід відмітити той факт, що на 9 місяць післяопераційного періоду дані щодо цього показника суттєво покращуються, що свідчить про дію місцевих компенсаторних механізмів при загоєнні </w:t>
      </w:r>
      <w:r w:rsidR="003D4803">
        <w:rPr>
          <w:rFonts w:eastAsia="Calibri" w:cs="Times New Roman"/>
          <w:sz w:val="28"/>
          <w:szCs w:val="28"/>
        </w:rPr>
        <w:t>ран. Але в 10% випадків зберігають</w:t>
      </w:r>
      <w:r w:rsidRPr="00CA099F">
        <w:rPr>
          <w:rFonts w:eastAsia="Calibri" w:cs="Times New Roman"/>
          <w:sz w:val="28"/>
          <w:szCs w:val="28"/>
        </w:rPr>
        <w:t>ся ознаки келоїдного рубця.</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Нами підтверджено літературні дані, що при дослідженні показника П1 на 12-й міся</w:t>
      </w:r>
      <w:r w:rsidR="00042096">
        <w:rPr>
          <w:rFonts w:eastAsia="Calibri" w:cs="Times New Roman"/>
          <w:sz w:val="28"/>
          <w:szCs w:val="28"/>
        </w:rPr>
        <w:t xml:space="preserve">ць післяопераційного періоду у </w:t>
      </w:r>
      <w:r w:rsidRPr="00CA099F">
        <w:rPr>
          <w:rFonts w:eastAsia="Calibri" w:cs="Times New Roman"/>
          <w:sz w:val="28"/>
          <w:szCs w:val="28"/>
        </w:rPr>
        <w:t>5</w:t>
      </w:r>
      <w:r w:rsidR="00042096">
        <w:rPr>
          <w:rFonts w:eastAsia="Calibri" w:cs="Times New Roman"/>
          <w:sz w:val="28"/>
          <w:szCs w:val="28"/>
        </w:rPr>
        <w:t>0</w:t>
      </w:r>
      <w:r w:rsidRPr="00CA099F">
        <w:rPr>
          <w:rFonts w:eastAsia="Calibri" w:cs="Times New Roman"/>
          <w:sz w:val="28"/>
          <w:szCs w:val="28"/>
        </w:rPr>
        <w:t xml:space="preserve">% випадків в контрольній групі зафіксовано наявність атрофічного гомогенного рубця. Ознаки гіпертрофічного рубця спостерігаються у 20% випадків, наявність </w:t>
      </w:r>
      <w:r w:rsidR="00E5419E">
        <w:rPr>
          <w:rFonts w:eastAsia="Calibri" w:cs="Times New Roman"/>
          <w:sz w:val="28"/>
          <w:szCs w:val="28"/>
        </w:rPr>
        <w:t>келоїдних рубців зафіксовано у 10%</w:t>
      </w:r>
      <w:r w:rsidRPr="00CA099F">
        <w:rPr>
          <w:rFonts w:eastAsia="Calibri" w:cs="Times New Roman"/>
          <w:sz w:val="28"/>
          <w:szCs w:val="28"/>
        </w:rPr>
        <w:t xml:space="preserve"> пацієнтів [</w:t>
      </w:r>
      <w:r w:rsidRPr="00CA099F">
        <w:rPr>
          <w:rFonts w:eastAsia="Calibri" w:cs="Times New Roman"/>
          <w:sz w:val="28"/>
          <w:szCs w:val="28"/>
          <w:lang w:val="ru-RU"/>
        </w:rPr>
        <w:t>68, 71</w:t>
      </w:r>
      <w:r w:rsidRPr="00CA099F">
        <w:rPr>
          <w:rFonts w:eastAsia="Calibri" w:cs="Times New Roman"/>
          <w:sz w:val="28"/>
          <w:szCs w:val="28"/>
        </w:rPr>
        <w:t xml:space="preserve">]. </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Цікаво відмітити дані щодо спостереження змін показника П2 (консистенція рубця). На відміну від даних інших авторів [</w:t>
      </w:r>
      <w:r w:rsidRPr="00CA099F">
        <w:rPr>
          <w:rFonts w:eastAsia="Calibri" w:cs="Times New Roman"/>
          <w:sz w:val="28"/>
          <w:szCs w:val="28"/>
          <w:lang w:val="ru-RU"/>
        </w:rPr>
        <w:t>57</w:t>
      </w:r>
      <w:r w:rsidRPr="00CA099F">
        <w:rPr>
          <w:rFonts w:eastAsia="Calibri" w:cs="Times New Roman"/>
          <w:sz w:val="28"/>
          <w:szCs w:val="28"/>
        </w:rPr>
        <w:t>], нами встановлено, що суттєві зміни встановлені не на 3-й, а на 9 та 12 місяць спостереження. Так пальпаторно нормальна</w:t>
      </w:r>
      <w:r w:rsidR="003D4803">
        <w:rPr>
          <w:rFonts w:eastAsia="Calibri" w:cs="Times New Roman"/>
          <w:sz w:val="28"/>
          <w:szCs w:val="28"/>
        </w:rPr>
        <w:t xml:space="preserve"> консистенція відзначається у 60% пацієнтів, але при цьому у </w:t>
      </w:r>
      <w:r w:rsidR="00F6274A">
        <w:rPr>
          <w:rFonts w:eastAsia="Calibri" w:cs="Times New Roman"/>
          <w:sz w:val="28"/>
          <w:szCs w:val="28"/>
        </w:rPr>
        <w:t>4</w:t>
      </w:r>
      <w:r w:rsidRPr="00CA099F">
        <w:rPr>
          <w:rFonts w:eastAsia="Calibri" w:cs="Times New Roman"/>
          <w:sz w:val="28"/>
          <w:szCs w:val="28"/>
        </w:rPr>
        <w:t>0% спостер</w:t>
      </w:r>
      <w:r w:rsidR="004C5F7A">
        <w:rPr>
          <w:rFonts w:eastAsia="Calibri" w:cs="Times New Roman"/>
          <w:sz w:val="28"/>
          <w:szCs w:val="28"/>
        </w:rPr>
        <w:t xml:space="preserve">ігається помірне ущільнення (у </w:t>
      </w:r>
      <w:r w:rsidRPr="00CA099F">
        <w:rPr>
          <w:rFonts w:eastAsia="Calibri" w:cs="Times New Roman"/>
          <w:sz w:val="28"/>
          <w:szCs w:val="28"/>
        </w:rPr>
        <w:t>2</w:t>
      </w:r>
      <w:r w:rsidR="00F6274A">
        <w:rPr>
          <w:rFonts w:eastAsia="Calibri" w:cs="Times New Roman"/>
          <w:sz w:val="28"/>
          <w:szCs w:val="28"/>
        </w:rPr>
        <w:t>5</w:t>
      </w:r>
      <w:r w:rsidRPr="00CA099F">
        <w:rPr>
          <w:rFonts w:eastAsia="Calibri" w:cs="Times New Roman"/>
          <w:sz w:val="28"/>
          <w:szCs w:val="28"/>
        </w:rPr>
        <w:t xml:space="preserve">% – в центральній частині, а у </w:t>
      </w:r>
      <w:r w:rsidR="00F6274A">
        <w:rPr>
          <w:rFonts w:eastAsia="Calibri" w:cs="Times New Roman"/>
          <w:sz w:val="28"/>
          <w:szCs w:val="28"/>
        </w:rPr>
        <w:t>15</w:t>
      </w:r>
      <w:r w:rsidR="004C5F7A">
        <w:rPr>
          <w:rFonts w:eastAsia="Calibri" w:cs="Times New Roman"/>
          <w:sz w:val="28"/>
          <w:szCs w:val="28"/>
        </w:rPr>
        <w:t>%</w:t>
      </w:r>
      <w:r w:rsidRPr="00CA099F">
        <w:rPr>
          <w:rFonts w:eastAsia="Calibri" w:cs="Times New Roman"/>
          <w:sz w:val="28"/>
          <w:szCs w:val="28"/>
        </w:rPr>
        <w:t xml:space="preserve"> – в дистальній частині рубця). На 12 місяць слід відзначити, що ознаки нормаль</w:t>
      </w:r>
      <w:r w:rsidR="004C5F7A">
        <w:rPr>
          <w:rFonts w:eastAsia="Calibri" w:cs="Times New Roman"/>
          <w:sz w:val="28"/>
          <w:szCs w:val="28"/>
        </w:rPr>
        <w:t>ної консистенції зафіксовані у</w:t>
      </w:r>
      <w:r w:rsidRPr="00CA099F">
        <w:rPr>
          <w:rFonts w:eastAsia="Calibri" w:cs="Times New Roman"/>
          <w:sz w:val="28"/>
          <w:szCs w:val="28"/>
        </w:rPr>
        <w:t xml:space="preserve"> </w:t>
      </w:r>
      <w:r w:rsidR="002D6409">
        <w:rPr>
          <w:rFonts w:eastAsia="Calibri" w:cs="Times New Roman"/>
          <w:sz w:val="28"/>
          <w:szCs w:val="28"/>
        </w:rPr>
        <w:t>65</w:t>
      </w:r>
      <w:r w:rsidR="004C5F7A">
        <w:rPr>
          <w:rFonts w:eastAsia="Calibri" w:cs="Times New Roman"/>
          <w:sz w:val="28"/>
          <w:szCs w:val="28"/>
        </w:rPr>
        <w:t>%</w:t>
      </w:r>
      <w:r w:rsidRPr="00CA099F">
        <w:rPr>
          <w:rFonts w:eastAsia="Calibri" w:cs="Times New Roman"/>
          <w:sz w:val="28"/>
          <w:szCs w:val="28"/>
        </w:rPr>
        <w:t xml:space="preserve"> </w:t>
      </w:r>
      <w:r w:rsidR="00D96DA9">
        <w:rPr>
          <w:rFonts w:eastAsia="Calibri" w:cs="Times New Roman"/>
          <w:sz w:val="28"/>
          <w:szCs w:val="28"/>
        </w:rPr>
        <w:t>пацієнтів</w:t>
      </w:r>
      <w:r w:rsidR="004C5F7A">
        <w:rPr>
          <w:rFonts w:eastAsia="Calibri" w:cs="Times New Roman"/>
          <w:sz w:val="28"/>
          <w:szCs w:val="28"/>
        </w:rPr>
        <w:t xml:space="preserve">, але у </w:t>
      </w:r>
      <w:r w:rsidR="002D6409">
        <w:rPr>
          <w:rFonts w:eastAsia="Calibri" w:cs="Times New Roman"/>
          <w:sz w:val="28"/>
          <w:szCs w:val="28"/>
        </w:rPr>
        <w:t>30</w:t>
      </w:r>
      <w:r w:rsidRPr="00CA099F">
        <w:rPr>
          <w:rFonts w:eastAsia="Calibri" w:cs="Times New Roman"/>
          <w:sz w:val="28"/>
          <w:szCs w:val="28"/>
        </w:rPr>
        <w:t xml:space="preserve">% </w:t>
      </w:r>
      <w:r w:rsidR="00D96DA9">
        <w:rPr>
          <w:rFonts w:eastAsia="Calibri" w:cs="Times New Roman"/>
          <w:sz w:val="28"/>
          <w:szCs w:val="28"/>
        </w:rPr>
        <w:t>пацієнтів</w:t>
      </w:r>
      <w:r w:rsidRPr="00CA099F">
        <w:rPr>
          <w:rFonts w:eastAsia="Calibri" w:cs="Times New Roman"/>
          <w:sz w:val="28"/>
          <w:szCs w:val="28"/>
        </w:rPr>
        <w:t xml:space="preserve"> спостеріга</w:t>
      </w:r>
      <w:r w:rsidR="004C5F7A">
        <w:rPr>
          <w:rFonts w:eastAsia="Calibri" w:cs="Times New Roman"/>
          <w:sz w:val="28"/>
          <w:szCs w:val="28"/>
        </w:rPr>
        <w:t>ють</w:t>
      </w:r>
      <w:r w:rsidRPr="00CA099F">
        <w:rPr>
          <w:rFonts w:eastAsia="Calibri" w:cs="Times New Roman"/>
          <w:sz w:val="28"/>
          <w:szCs w:val="28"/>
        </w:rPr>
        <w:t>ся помірні ущільнення рубця</w:t>
      </w:r>
      <w:r w:rsidR="002D6409">
        <w:rPr>
          <w:rFonts w:eastAsia="Calibri" w:cs="Times New Roman"/>
          <w:sz w:val="28"/>
          <w:szCs w:val="28"/>
        </w:rPr>
        <w:t>, у 5% випадків має місце ледь помітна індурація</w:t>
      </w:r>
      <w:r w:rsidRPr="00CA099F">
        <w:rPr>
          <w:rFonts w:eastAsia="Calibri" w:cs="Times New Roman"/>
          <w:sz w:val="28"/>
          <w:szCs w:val="28"/>
        </w:rPr>
        <w:t>.</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Суттєва різниця в динаміці показника П3 (колір рубця) встановлена на 6 та 12 місяці спостереження. При вивченні змін цього показника на 6 місяць післяопераційного періоду в контрольній групі ознаки здорової шкіри </w:t>
      </w:r>
      <w:r w:rsidRPr="00CA099F">
        <w:rPr>
          <w:rFonts w:eastAsia="Calibri" w:cs="Times New Roman"/>
          <w:sz w:val="28"/>
          <w:szCs w:val="28"/>
        </w:rPr>
        <w:lastRenderedPageBreak/>
        <w:t>визначен</w:t>
      </w:r>
      <w:r w:rsidR="000C5226">
        <w:rPr>
          <w:rFonts w:eastAsia="Calibri" w:cs="Times New Roman"/>
          <w:sz w:val="28"/>
          <w:szCs w:val="28"/>
        </w:rPr>
        <w:t>і</w:t>
      </w:r>
      <w:r w:rsidRPr="00CA099F">
        <w:rPr>
          <w:rFonts w:eastAsia="Calibri" w:cs="Times New Roman"/>
          <w:sz w:val="28"/>
          <w:szCs w:val="28"/>
        </w:rPr>
        <w:t xml:space="preserve"> у 50% пацієнтів. У 30% пацієнтів нами визначена помірна ерите</w:t>
      </w:r>
      <w:r w:rsidR="000C5226">
        <w:rPr>
          <w:rFonts w:eastAsia="Calibri" w:cs="Times New Roman"/>
          <w:sz w:val="28"/>
          <w:szCs w:val="28"/>
        </w:rPr>
        <w:t xml:space="preserve">ма, а в </w:t>
      </w:r>
      <w:r w:rsidRPr="00CA099F">
        <w:rPr>
          <w:rFonts w:eastAsia="Calibri" w:cs="Times New Roman"/>
          <w:sz w:val="28"/>
          <w:szCs w:val="28"/>
        </w:rPr>
        <w:t xml:space="preserve">20% – виражена. </w:t>
      </w:r>
    </w:p>
    <w:p w:rsidR="0030517B" w:rsidRPr="00CA099F" w:rsidRDefault="000C5226" w:rsidP="003236D6">
      <w:pPr>
        <w:spacing w:after="160" w:line="360" w:lineRule="auto"/>
        <w:ind w:firstLine="709"/>
        <w:jc w:val="both"/>
        <w:rPr>
          <w:rFonts w:eastAsia="Calibri" w:cs="Times New Roman"/>
          <w:sz w:val="28"/>
          <w:szCs w:val="28"/>
        </w:rPr>
      </w:pPr>
      <w:r>
        <w:rPr>
          <w:rFonts w:eastAsia="Calibri" w:cs="Times New Roman"/>
          <w:sz w:val="28"/>
          <w:szCs w:val="28"/>
        </w:rPr>
        <w:t>У</w:t>
      </w:r>
      <w:r w:rsidR="0030517B" w:rsidRPr="00CA099F">
        <w:rPr>
          <w:rFonts w:eastAsia="Calibri" w:cs="Times New Roman"/>
          <w:sz w:val="28"/>
          <w:szCs w:val="28"/>
        </w:rPr>
        <w:t xml:space="preserve"> фінальному терміні спостереження ознак</w:t>
      </w:r>
      <w:r>
        <w:rPr>
          <w:rFonts w:eastAsia="Calibri" w:cs="Times New Roman"/>
          <w:sz w:val="28"/>
          <w:szCs w:val="28"/>
        </w:rPr>
        <w:t xml:space="preserve">и здорової шкіри виявлено у </w:t>
      </w:r>
      <w:r w:rsidR="00EC149D">
        <w:rPr>
          <w:rFonts w:eastAsia="Calibri" w:cs="Times New Roman"/>
          <w:sz w:val="28"/>
          <w:szCs w:val="28"/>
        </w:rPr>
        <w:t>8</w:t>
      </w:r>
      <w:r w:rsidR="0030517B" w:rsidRPr="00CA099F">
        <w:rPr>
          <w:rFonts w:eastAsia="Calibri" w:cs="Times New Roman"/>
          <w:sz w:val="28"/>
          <w:szCs w:val="28"/>
        </w:rPr>
        <w:t>0% пацієнтів</w:t>
      </w:r>
      <w:r w:rsidR="00EC149D">
        <w:rPr>
          <w:rFonts w:eastAsia="Calibri" w:cs="Times New Roman"/>
          <w:sz w:val="28"/>
          <w:szCs w:val="28"/>
        </w:rPr>
        <w:t xml:space="preserve">, </w:t>
      </w:r>
      <w:r w:rsidR="00EC149D" w:rsidRPr="00CA099F">
        <w:rPr>
          <w:rFonts w:eastAsia="Calibri" w:cs="Times New Roman"/>
          <w:sz w:val="28"/>
          <w:szCs w:val="28"/>
        </w:rPr>
        <w:t>з ознаками помірної та вираженої еритеми</w:t>
      </w:r>
      <w:r w:rsidR="00EC149D">
        <w:rPr>
          <w:rFonts w:eastAsia="Calibri" w:cs="Times New Roman"/>
          <w:sz w:val="28"/>
          <w:szCs w:val="28"/>
        </w:rPr>
        <w:t xml:space="preserve"> по 10</w:t>
      </w:r>
      <w:r>
        <w:rPr>
          <w:rFonts w:eastAsia="Calibri" w:cs="Times New Roman"/>
          <w:sz w:val="28"/>
          <w:szCs w:val="28"/>
        </w:rPr>
        <w:t>%</w:t>
      </w:r>
      <w:r w:rsidR="0030517B" w:rsidRPr="00CA099F">
        <w:rPr>
          <w:rFonts w:eastAsia="Calibri" w:cs="Times New Roman"/>
          <w:sz w:val="28"/>
          <w:szCs w:val="28"/>
        </w:rPr>
        <w:t xml:space="preserve"> пацієнт</w:t>
      </w:r>
      <w:r>
        <w:rPr>
          <w:rFonts w:eastAsia="Calibri" w:cs="Times New Roman"/>
          <w:sz w:val="28"/>
          <w:szCs w:val="28"/>
        </w:rPr>
        <w:t>ів</w:t>
      </w:r>
      <w:r w:rsidR="0030517B" w:rsidRPr="00CA099F">
        <w:rPr>
          <w:rFonts w:eastAsia="Calibri" w:cs="Times New Roman"/>
          <w:sz w:val="28"/>
          <w:szCs w:val="28"/>
        </w:rPr>
        <w:t>, що підтверджує літературні дані [65, 70, 80].</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Поступове зниження показника П4 (чутливість рубця) спостерігається протягом всього терміну спостереження. При цьому слід відзначити досить рівне зменшення всіх клінічних ознак цього</w:t>
      </w:r>
      <w:r w:rsidR="00B0179E">
        <w:rPr>
          <w:rFonts w:eastAsia="Calibri" w:cs="Times New Roman"/>
          <w:sz w:val="28"/>
          <w:szCs w:val="28"/>
        </w:rPr>
        <w:t xml:space="preserve"> показника, чого не спостерігаєть</w:t>
      </w:r>
      <w:r w:rsidRPr="00CA099F">
        <w:rPr>
          <w:rFonts w:eastAsia="Calibri" w:cs="Times New Roman"/>
          <w:sz w:val="28"/>
          <w:szCs w:val="28"/>
        </w:rPr>
        <w:t xml:space="preserve">ся при дослідження інших показників в контрольній групі </w:t>
      </w:r>
      <w:r w:rsidR="00D96DA9">
        <w:rPr>
          <w:rFonts w:eastAsia="Calibri" w:cs="Times New Roman"/>
          <w:sz w:val="28"/>
          <w:szCs w:val="28"/>
        </w:rPr>
        <w:t>пацієнтів</w:t>
      </w:r>
      <w:r w:rsidRPr="00CA099F">
        <w:rPr>
          <w:rFonts w:eastAsia="Calibri" w:cs="Times New Roman"/>
          <w:sz w:val="28"/>
          <w:szCs w:val="28"/>
        </w:rPr>
        <w:t xml:space="preserve">. </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На 12 місяць післяопераційного періоду стан напру</w:t>
      </w:r>
      <w:r w:rsidR="00B0179E">
        <w:rPr>
          <w:rFonts w:eastAsia="Calibri" w:cs="Times New Roman"/>
          <w:sz w:val="28"/>
          <w:szCs w:val="28"/>
        </w:rPr>
        <w:t>женості рубця пацієнти відмічають</w:t>
      </w:r>
      <w:r w:rsidRPr="00CA099F">
        <w:rPr>
          <w:rFonts w:eastAsia="Calibri" w:cs="Times New Roman"/>
          <w:sz w:val="28"/>
          <w:szCs w:val="28"/>
        </w:rPr>
        <w:t xml:space="preserve"> у 20%</w:t>
      </w:r>
      <w:r w:rsidR="00B0179E">
        <w:rPr>
          <w:rFonts w:eastAsia="Calibri" w:cs="Times New Roman"/>
          <w:sz w:val="28"/>
          <w:szCs w:val="28"/>
        </w:rPr>
        <w:t xml:space="preserve"> випадках. 10%</w:t>
      </w:r>
      <w:r w:rsidRPr="00CA099F">
        <w:rPr>
          <w:rFonts w:eastAsia="Calibri" w:cs="Times New Roman"/>
          <w:sz w:val="28"/>
          <w:szCs w:val="28"/>
        </w:rPr>
        <w:t xml:space="preserve"> пацієнт</w:t>
      </w:r>
      <w:r w:rsidR="00B0179E">
        <w:rPr>
          <w:rFonts w:eastAsia="Calibri" w:cs="Times New Roman"/>
          <w:sz w:val="28"/>
          <w:szCs w:val="28"/>
        </w:rPr>
        <w:t xml:space="preserve">ів скаржуться на свербіж, </w:t>
      </w:r>
      <w:r w:rsidRPr="00CA099F">
        <w:rPr>
          <w:rFonts w:eastAsia="Calibri" w:cs="Times New Roman"/>
          <w:sz w:val="28"/>
          <w:szCs w:val="28"/>
        </w:rPr>
        <w:t xml:space="preserve">5% – на біль. Але отримані дані свідчать про відсутність профілактичних дій щодо утворення патологічних рубцевозмінених тканин. </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Таким чином, нами підтверджена думка багатьох авторів, щодо необхідності проведення профілактичних дій протягом усього терміну утворення рубця [</w:t>
      </w:r>
      <w:r w:rsidRPr="00CA099F">
        <w:rPr>
          <w:rFonts w:eastAsia="Calibri" w:cs="Times New Roman"/>
          <w:sz w:val="28"/>
          <w:szCs w:val="28"/>
          <w:lang w:val="ru-RU"/>
        </w:rPr>
        <w:t>85, 88-91</w:t>
      </w:r>
      <w:r w:rsidRPr="00CA099F">
        <w:rPr>
          <w:rFonts w:eastAsia="Calibri" w:cs="Times New Roman"/>
          <w:sz w:val="28"/>
          <w:szCs w:val="28"/>
        </w:rPr>
        <w:t>].</w:t>
      </w:r>
    </w:p>
    <w:p w:rsidR="0030517B" w:rsidRPr="00CA099F"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Аналіз змін пока</w:t>
      </w:r>
      <w:r w:rsidR="00B85909">
        <w:rPr>
          <w:rFonts w:eastAsia="Calibri" w:cs="Times New Roman"/>
          <w:sz w:val="28"/>
          <w:szCs w:val="28"/>
        </w:rPr>
        <w:t>зника П5 (площа рубця) не виявляє</w:t>
      </w:r>
      <w:r w:rsidRPr="00CA099F">
        <w:rPr>
          <w:rFonts w:eastAsia="Calibri" w:cs="Times New Roman"/>
          <w:sz w:val="28"/>
          <w:szCs w:val="28"/>
        </w:rPr>
        <w:t xml:space="preserve"> суттєвих змін, враховуючі початкову малу площу ушитої рани, але слід зауважити, що на 12 місяць післяопераційного періоду в контрольній </w:t>
      </w:r>
      <w:r w:rsidR="00B85909">
        <w:rPr>
          <w:rFonts w:eastAsia="Calibri" w:cs="Times New Roman"/>
          <w:sz w:val="28"/>
          <w:szCs w:val="28"/>
        </w:rPr>
        <w:t>групі ознака малої площі виявляється</w:t>
      </w:r>
      <w:r w:rsidRPr="00CA099F">
        <w:rPr>
          <w:rFonts w:eastAsia="Calibri" w:cs="Times New Roman"/>
          <w:sz w:val="28"/>
          <w:szCs w:val="28"/>
        </w:rPr>
        <w:t xml:space="preserve"> у 80% пацієнтів, у 15% </w:t>
      </w:r>
      <w:r w:rsidR="00D96DA9">
        <w:rPr>
          <w:rFonts w:eastAsia="Calibri" w:cs="Times New Roman"/>
          <w:sz w:val="28"/>
          <w:szCs w:val="28"/>
        </w:rPr>
        <w:t>пацієнтів</w:t>
      </w:r>
      <w:r w:rsidR="00B85909">
        <w:rPr>
          <w:rFonts w:eastAsia="Calibri" w:cs="Times New Roman"/>
          <w:sz w:val="28"/>
          <w:szCs w:val="28"/>
        </w:rPr>
        <w:t xml:space="preserve"> середня площа не перевищує</w:t>
      </w:r>
      <w:r w:rsidRPr="00CA099F">
        <w:rPr>
          <w:rFonts w:eastAsia="Calibri" w:cs="Times New Roman"/>
          <w:sz w:val="28"/>
          <w:szCs w:val="28"/>
        </w:rPr>
        <w:t xml:space="preserve"> 8,6 мм</w:t>
      </w:r>
      <w:r w:rsidRPr="00CA099F">
        <w:rPr>
          <w:rFonts w:eastAsia="Calibri" w:cs="Times New Roman"/>
          <w:sz w:val="28"/>
          <w:szCs w:val="28"/>
          <w:vertAlign w:val="superscript"/>
        </w:rPr>
        <w:t>2</w:t>
      </w:r>
      <w:r w:rsidRPr="00CA099F">
        <w:rPr>
          <w:rFonts w:eastAsia="Calibri" w:cs="Times New Roman"/>
          <w:sz w:val="28"/>
          <w:szCs w:val="28"/>
        </w:rPr>
        <w:t>, а в 5% випадків відмічена велика площа рубцевозмінених тканин.</w:t>
      </w:r>
    </w:p>
    <w:p w:rsidR="0030517B" w:rsidRDefault="0030517B" w:rsidP="003236D6">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Дані, щодо динаміки змін клінічних показників утворення рубцевозмінених тканин у </w:t>
      </w:r>
      <w:r w:rsidR="00D96DA9">
        <w:rPr>
          <w:rFonts w:eastAsia="Calibri" w:cs="Times New Roman"/>
          <w:sz w:val="28"/>
          <w:szCs w:val="28"/>
        </w:rPr>
        <w:t>пацієнтів</w:t>
      </w:r>
      <w:r w:rsidRPr="00CA099F">
        <w:rPr>
          <w:rFonts w:eastAsia="Calibri" w:cs="Times New Roman"/>
          <w:sz w:val="28"/>
          <w:szCs w:val="28"/>
        </w:rPr>
        <w:t xml:space="preserve"> контрольної групи наведено в таблиці 6.1.</w:t>
      </w:r>
    </w:p>
    <w:p w:rsidR="00A105BE" w:rsidRDefault="00A105BE" w:rsidP="003236D6">
      <w:pPr>
        <w:spacing w:after="160" w:line="360" w:lineRule="auto"/>
        <w:ind w:firstLine="709"/>
        <w:jc w:val="both"/>
        <w:rPr>
          <w:rFonts w:eastAsia="Calibri" w:cs="Times New Roman"/>
          <w:sz w:val="28"/>
          <w:szCs w:val="28"/>
        </w:rPr>
      </w:pPr>
    </w:p>
    <w:p w:rsidR="00A105BE" w:rsidRPr="00CA099F" w:rsidRDefault="00A105BE" w:rsidP="003236D6">
      <w:pPr>
        <w:spacing w:after="160" w:line="360" w:lineRule="auto"/>
        <w:ind w:firstLine="709"/>
        <w:jc w:val="both"/>
        <w:rPr>
          <w:rFonts w:eastAsia="Calibri" w:cs="Times New Roman"/>
          <w:sz w:val="28"/>
          <w:szCs w:val="28"/>
        </w:rPr>
      </w:pP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t>Таблиця 6.1</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lastRenderedPageBreak/>
        <w:t>Динаміка клінічних змін показників у пацієнтів контрольної групи на різних етапах післяопераційного періоду</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0"/>
        <w:gridCol w:w="1956"/>
        <w:gridCol w:w="1985"/>
        <w:gridCol w:w="1984"/>
        <w:gridCol w:w="1985"/>
      </w:tblGrid>
      <w:tr w:rsidR="0030517B" w:rsidRPr="00CA099F" w:rsidTr="00E1448E">
        <w:trPr>
          <w:trHeight w:val="1344"/>
          <w:jc w:val="center"/>
        </w:trPr>
        <w:tc>
          <w:tcPr>
            <w:tcW w:w="1730" w:type="dxa"/>
            <w:tcBorders>
              <w:top w:val="single" w:sz="4" w:space="0" w:color="auto"/>
              <w:left w:val="single" w:sz="4" w:space="0" w:color="auto"/>
              <w:bottom w:val="single" w:sz="4" w:space="0" w:color="auto"/>
              <w:right w:val="single" w:sz="4" w:space="0" w:color="auto"/>
              <w:tl2br w:val="single" w:sz="4" w:space="0" w:color="auto"/>
            </w:tcBorders>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     Термін</w:t>
            </w:r>
          </w:p>
          <w:p w:rsidR="0030517B" w:rsidRPr="00CA099F" w:rsidRDefault="0030517B" w:rsidP="00E1448E">
            <w:pPr>
              <w:spacing w:after="160" w:line="259" w:lineRule="auto"/>
              <w:rPr>
                <w:rFonts w:eastAsia="Calibri" w:cs="Times New Roman"/>
                <w:szCs w:val="28"/>
              </w:rPr>
            </w:pPr>
          </w:p>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Показник</w:t>
            </w:r>
          </w:p>
        </w:tc>
        <w:tc>
          <w:tcPr>
            <w:tcW w:w="1956"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6 місяць</w:t>
            </w:r>
          </w:p>
        </w:tc>
        <w:tc>
          <w:tcPr>
            <w:tcW w:w="1984"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9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12 місяць</w:t>
            </w:r>
          </w:p>
        </w:tc>
      </w:tr>
      <w:tr w:rsidR="0030517B" w:rsidRPr="00CA099F" w:rsidTr="00E1448E">
        <w:tblPrEx>
          <w:tblLook w:val="04A0" w:firstRow="1" w:lastRow="0" w:firstColumn="1" w:lastColumn="0" w:noHBand="0" w:noVBand="1"/>
        </w:tblPrEx>
        <w:trPr>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П1</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А – </w:t>
            </w:r>
            <w:r w:rsidRPr="00CA099F">
              <w:rPr>
                <w:rFonts w:eastAsia="Calibri" w:cs="Times New Roman"/>
                <w:sz w:val="28"/>
                <w:szCs w:val="28"/>
                <w:lang w:val="en-TT"/>
              </w:rPr>
              <w:t>7</w:t>
            </w:r>
            <w:r w:rsidRPr="00CA099F">
              <w:rPr>
                <w:rFonts w:eastAsia="Calibri" w:cs="Times New Roman"/>
                <w:sz w:val="28"/>
                <w:szCs w:val="28"/>
              </w:rPr>
              <w:t xml:space="preserve"> (</w:t>
            </w:r>
            <w:r w:rsidRPr="00CA099F">
              <w:rPr>
                <w:rFonts w:eastAsia="Calibri" w:cs="Times New Roman"/>
                <w:sz w:val="28"/>
                <w:szCs w:val="28"/>
                <w:lang w:val="en-TT"/>
              </w:rPr>
              <w:t>35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А – </w:t>
            </w:r>
            <w:r w:rsidRPr="00CA099F">
              <w:rPr>
                <w:rFonts w:eastAsia="Calibri" w:cs="Times New Roman"/>
                <w:sz w:val="28"/>
                <w:szCs w:val="28"/>
                <w:lang w:val="en-US"/>
              </w:rPr>
              <w:t>10</w:t>
            </w:r>
            <w:r w:rsidRPr="00CA099F">
              <w:rPr>
                <w:rFonts w:eastAsia="Calibri" w:cs="Times New Roman"/>
                <w:sz w:val="28"/>
                <w:szCs w:val="28"/>
              </w:rPr>
              <w:t xml:space="preserve"> (</w:t>
            </w:r>
            <w:r w:rsidRPr="00CA099F">
              <w:rPr>
                <w:rFonts w:eastAsia="Calibri" w:cs="Times New Roman"/>
                <w:sz w:val="28"/>
                <w:szCs w:val="28"/>
                <w:lang w:val="en-US"/>
              </w:rPr>
              <w:t>50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9 (45%)</w:t>
            </w:r>
          </w:p>
        </w:tc>
      </w:tr>
      <w:tr w:rsidR="0030517B" w:rsidRPr="00CA099F" w:rsidTr="00E1448E">
        <w:tblPrEx>
          <w:tblLook w:val="04A0" w:firstRow="1" w:lastRow="0" w:firstColumn="1" w:lastColumn="0" w:noHBand="0" w:noVBand="1"/>
        </w:tblPrEx>
        <w:trPr>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Н – </w:t>
            </w:r>
            <w:r w:rsidRPr="00CA099F">
              <w:rPr>
                <w:rFonts w:eastAsia="Calibri" w:cs="Times New Roman"/>
                <w:sz w:val="28"/>
                <w:szCs w:val="28"/>
                <w:lang w:val="en-TT"/>
              </w:rPr>
              <w:t>4</w:t>
            </w:r>
            <w:r w:rsidRPr="00CA099F">
              <w:rPr>
                <w:rFonts w:eastAsia="Calibri" w:cs="Times New Roman"/>
                <w:sz w:val="28"/>
                <w:szCs w:val="28"/>
              </w:rPr>
              <w:t xml:space="preserve"> (</w:t>
            </w:r>
            <w:r w:rsidRPr="00CA099F">
              <w:rPr>
                <w:rFonts w:eastAsia="Calibri" w:cs="Times New Roman"/>
                <w:sz w:val="28"/>
                <w:szCs w:val="28"/>
                <w:lang w:val="en-TT"/>
              </w:rPr>
              <w:t>20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Н – </w:t>
            </w:r>
            <w:r w:rsidRPr="00CA099F">
              <w:rPr>
                <w:rFonts w:eastAsia="Calibri" w:cs="Times New Roman"/>
                <w:sz w:val="28"/>
                <w:szCs w:val="28"/>
                <w:lang w:val="en-TT"/>
              </w:rPr>
              <w:t>5</w:t>
            </w:r>
            <w:r w:rsidRPr="00CA099F">
              <w:rPr>
                <w:rFonts w:eastAsia="Calibri" w:cs="Times New Roman"/>
                <w:sz w:val="28"/>
                <w:szCs w:val="28"/>
              </w:rPr>
              <w:t xml:space="preserve"> (25%)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Н – </w:t>
            </w:r>
            <w:r w:rsidRPr="00CA099F">
              <w:rPr>
                <w:rFonts w:eastAsia="Calibri" w:cs="Times New Roman"/>
                <w:sz w:val="28"/>
                <w:szCs w:val="28"/>
                <w:lang w:val="en-US"/>
              </w:rPr>
              <w:t>4</w:t>
            </w:r>
            <w:r w:rsidRPr="00CA099F">
              <w:rPr>
                <w:rFonts w:eastAsia="Calibri" w:cs="Times New Roman"/>
                <w:sz w:val="28"/>
                <w:szCs w:val="28"/>
              </w:rPr>
              <w:t xml:space="preserve"> (</w:t>
            </w:r>
            <w:r w:rsidRPr="00CA099F">
              <w:rPr>
                <w:rFonts w:eastAsia="Calibri" w:cs="Times New Roman"/>
                <w:sz w:val="28"/>
                <w:szCs w:val="28"/>
                <w:lang w:val="en-US"/>
              </w:rPr>
              <w:t>20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5 (25%)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w:t>
            </w:r>
            <w:r w:rsidRPr="00CA099F">
              <w:rPr>
                <w:rFonts w:eastAsia="Calibri" w:cs="Times New Roman"/>
                <w:sz w:val="28"/>
                <w:szCs w:val="28"/>
                <w:lang w:val="en-TT"/>
              </w:rPr>
              <w:t>4</w:t>
            </w:r>
            <w:r w:rsidRPr="00CA099F">
              <w:rPr>
                <w:rFonts w:eastAsia="Calibri" w:cs="Times New Roman"/>
                <w:sz w:val="28"/>
                <w:szCs w:val="28"/>
              </w:rPr>
              <w:t xml:space="preserve"> (</w:t>
            </w:r>
            <w:r w:rsidRPr="00CA099F">
              <w:rPr>
                <w:rFonts w:eastAsia="Calibri" w:cs="Times New Roman"/>
                <w:sz w:val="28"/>
                <w:szCs w:val="28"/>
                <w:lang w:val="en-TT"/>
              </w:rPr>
              <w:t>20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w:t>
            </w:r>
            <w:r w:rsidRPr="00CA099F">
              <w:rPr>
                <w:rFonts w:eastAsia="Calibri" w:cs="Times New Roman"/>
                <w:sz w:val="28"/>
                <w:szCs w:val="28"/>
                <w:lang w:val="en-TT"/>
              </w:rPr>
              <w:t>3</w:t>
            </w:r>
            <w:r w:rsidRPr="00CA099F">
              <w:rPr>
                <w:rFonts w:eastAsia="Calibri" w:cs="Times New Roman"/>
                <w:sz w:val="28"/>
                <w:szCs w:val="28"/>
              </w:rPr>
              <w:t xml:space="preserve"> (15%)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w:t>
            </w:r>
            <w:r w:rsidRPr="00CA099F">
              <w:rPr>
                <w:rFonts w:eastAsia="Calibri" w:cs="Times New Roman"/>
                <w:sz w:val="28"/>
                <w:szCs w:val="28"/>
                <w:lang w:val="en-US"/>
              </w:rPr>
              <w:t>4</w:t>
            </w:r>
            <w:r w:rsidRPr="00CA099F">
              <w:rPr>
                <w:rFonts w:eastAsia="Calibri" w:cs="Times New Roman"/>
                <w:sz w:val="28"/>
                <w:szCs w:val="28"/>
              </w:rPr>
              <w:t xml:space="preserve"> (</w:t>
            </w:r>
            <w:r w:rsidRPr="00CA099F">
              <w:rPr>
                <w:rFonts w:eastAsia="Calibri" w:cs="Times New Roman"/>
                <w:sz w:val="28"/>
                <w:szCs w:val="28"/>
                <w:lang w:val="en-US"/>
              </w:rPr>
              <w:t>20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lang w:val="ru-RU"/>
              </w:rPr>
              <w:t>в</w:t>
            </w:r>
            <w:r w:rsidRPr="00CA099F">
              <w:rPr>
                <w:rFonts w:eastAsia="Calibri" w:cs="Times New Roman"/>
                <w:sz w:val="28"/>
                <w:szCs w:val="28"/>
              </w:rPr>
              <w:t xml:space="preserve"> – </w:t>
            </w:r>
            <w:r w:rsidRPr="00CA099F">
              <w:rPr>
                <w:rFonts w:eastAsia="Calibri" w:cs="Times New Roman"/>
                <w:sz w:val="28"/>
                <w:szCs w:val="28"/>
                <w:lang w:val="ru-RU"/>
              </w:rPr>
              <w:t>3</w:t>
            </w:r>
            <w:r w:rsidRPr="00CA099F">
              <w:rPr>
                <w:rFonts w:eastAsia="Calibri" w:cs="Times New Roman"/>
                <w:sz w:val="28"/>
                <w:szCs w:val="28"/>
              </w:rPr>
              <w:t xml:space="preserve"> (</w:t>
            </w:r>
            <w:r w:rsidRPr="00CA099F">
              <w:rPr>
                <w:rFonts w:eastAsia="Calibri" w:cs="Times New Roman"/>
                <w:sz w:val="28"/>
                <w:szCs w:val="28"/>
                <w:lang w:val="ru-RU"/>
              </w:rPr>
              <w:t>15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36"/>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К – </w:t>
            </w:r>
            <w:r w:rsidRPr="00CA099F">
              <w:rPr>
                <w:rFonts w:eastAsia="Calibri" w:cs="Times New Roman"/>
                <w:sz w:val="28"/>
                <w:szCs w:val="28"/>
                <w:lang w:val="ru-RU"/>
              </w:rPr>
              <w:t>2</w:t>
            </w:r>
            <w:r w:rsidRPr="00CA099F">
              <w:rPr>
                <w:rFonts w:eastAsia="Calibri" w:cs="Times New Roman"/>
                <w:sz w:val="28"/>
                <w:szCs w:val="28"/>
              </w:rPr>
              <w:t xml:space="preserve"> (</w:t>
            </w:r>
            <w:r w:rsidRPr="00CA099F">
              <w:rPr>
                <w:rFonts w:eastAsia="Calibri" w:cs="Times New Roman"/>
                <w:sz w:val="28"/>
                <w:szCs w:val="28"/>
                <w:lang w:val="ru-RU"/>
              </w:rPr>
              <w:t>10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2 (10%)</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П2</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Н – </w:t>
            </w:r>
            <w:r w:rsidRPr="00CA099F">
              <w:rPr>
                <w:rFonts w:eastAsia="Calibri" w:cs="Times New Roman"/>
                <w:sz w:val="28"/>
                <w:szCs w:val="28"/>
                <w:lang w:val="ru-RU"/>
              </w:rPr>
              <w:t>10</w:t>
            </w:r>
            <w:r w:rsidRPr="00CA099F">
              <w:rPr>
                <w:rFonts w:eastAsia="Calibri" w:cs="Times New Roman"/>
                <w:sz w:val="28"/>
                <w:szCs w:val="28"/>
              </w:rPr>
              <w:t xml:space="preserve"> (</w:t>
            </w:r>
            <w:r w:rsidRPr="00CA099F">
              <w:rPr>
                <w:rFonts w:eastAsia="Calibri" w:cs="Times New Roman"/>
                <w:sz w:val="28"/>
                <w:szCs w:val="28"/>
                <w:lang w:val="ru-RU"/>
              </w:rPr>
              <w:t>50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12 (60%)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12 (60%)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11 (55%)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У – </w:t>
            </w:r>
            <w:r w:rsidRPr="00CA099F">
              <w:rPr>
                <w:rFonts w:eastAsia="Calibri" w:cs="Times New Roman"/>
                <w:sz w:val="28"/>
                <w:szCs w:val="28"/>
                <w:lang w:val="ru-RU"/>
              </w:rPr>
              <w:t>9</w:t>
            </w:r>
            <w:r w:rsidRPr="00CA099F">
              <w:rPr>
                <w:rFonts w:eastAsia="Calibri" w:cs="Times New Roman"/>
                <w:sz w:val="28"/>
                <w:szCs w:val="28"/>
              </w:rPr>
              <w:t xml:space="preserve"> (</w:t>
            </w:r>
            <w:r w:rsidRPr="00CA099F">
              <w:rPr>
                <w:rFonts w:eastAsia="Calibri" w:cs="Times New Roman"/>
                <w:sz w:val="28"/>
                <w:szCs w:val="28"/>
                <w:lang w:val="ru-RU"/>
              </w:rPr>
              <w:t>45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7 (35%)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1 (</w:t>
            </w:r>
            <w:r w:rsidRPr="00CA099F">
              <w:rPr>
                <w:rFonts w:eastAsia="Calibri" w:cs="Times New Roman"/>
                <w:sz w:val="28"/>
                <w:szCs w:val="28"/>
                <w:lang w:val="ru-RU"/>
              </w:rPr>
              <w:t>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1 (5%)</w:t>
            </w:r>
          </w:p>
        </w:tc>
      </w:tr>
      <w:tr w:rsidR="0030517B" w:rsidRPr="00CA099F" w:rsidTr="00E1448E">
        <w:tblPrEx>
          <w:tblLook w:val="04A0" w:firstRow="1" w:lastRow="0" w:firstColumn="1" w:lastColumn="0" w:noHBand="0" w:noVBand="1"/>
        </w:tblPrEx>
        <w:trPr>
          <w:trHeight w:val="458"/>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П3</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5 (25%)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10 (</w:t>
            </w:r>
            <w:r w:rsidRPr="00CA099F">
              <w:rPr>
                <w:rFonts w:eastAsia="Calibri" w:cs="Times New Roman"/>
                <w:sz w:val="28"/>
                <w:szCs w:val="28"/>
                <w:lang w:val="ru-RU"/>
              </w:rPr>
              <w:t>50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12 (60%)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17 (85%)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9 (45%)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w:t>
            </w:r>
            <w:r w:rsidRPr="00CA099F">
              <w:rPr>
                <w:rFonts w:eastAsia="Calibri" w:cs="Times New Roman"/>
                <w:sz w:val="28"/>
                <w:szCs w:val="28"/>
                <w:lang w:val="ru-RU"/>
              </w:rPr>
              <w:t>6</w:t>
            </w:r>
            <w:r w:rsidRPr="00CA099F">
              <w:rPr>
                <w:rFonts w:eastAsia="Calibri" w:cs="Times New Roman"/>
                <w:sz w:val="28"/>
                <w:szCs w:val="28"/>
              </w:rPr>
              <w:t xml:space="preserve"> (</w:t>
            </w:r>
            <w:r w:rsidRPr="00CA099F">
              <w:rPr>
                <w:rFonts w:eastAsia="Calibri" w:cs="Times New Roman"/>
                <w:sz w:val="28"/>
                <w:szCs w:val="28"/>
                <w:lang w:val="ru-RU"/>
              </w:rPr>
              <w:t>30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6 (30%)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w:t>
            </w:r>
            <w:r w:rsidRPr="00CA099F">
              <w:rPr>
                <w:rFonts w:eastAsia="Calibri" w:cs="Times New Roman"/>
                <w:sz w:val="28"/>
                <w:szCs w:val="28"/>
                <w:lang w:val="en-TT"/>
              </w:rPr>
              <w:t>6</w:t>
            </w:r>
            <w:r w:rsidRPr="00CA099F">
              <w:rPr>
                <w:rFonts w:eastAsia="Calibri" w:cs="Times New Roman"/>
                <w:sz w:val="28"/>
                <w:szCs w:val="28"/>
              </w:rPr>
              <w:t xml:space="preserve"> (</w:t>
            </w:r>
            <w:r w:rsidRPr="00CA099F">
              <w:rPr>
                <w:rFonts w:eastAsia="Calibri" w:cs="Times New Roman"/>
                <w:sz w:val="28"/>
                <w:szCs w:val="28"/>
                <w:lang w:val="en-TT"/>
              </w:rPr>
              <w:t>30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w:t>
            </w:r>
            <w:r w:rsidRPr="00CA099F">
              <w:rPr>
                <w:rFonts w:eastAsia="Calibri" w:cs="Times New Roman"/>
                <w:sz w:val="28"/>
                <w:szCs w:val="28"/>
                <w:lang w:val="ru-RU"/>
              </w:rPr>
              <w:t>4</w:t>
            </w:r>
            <w:r w:rsidRPr="00CA099F">
              <w:rPr>
                <w:rFonts w:eastAsia="Calibri" w:cs="Times New Roman"/>
                <w:sz w:val="28"/>
                <w:szCs w:val="28"/>
              </w:rPr>
              <w:t xml:space="preserve"> (</w:t>
            </w:r>
            <w:r w:rsidRPr="00CA099F">
              <w:rPr>
                <w:rFonts w:eastAsia="Calibri" w:cs="Times New Roman"/>
                <w:sz w:val="28"/>
                <w:szCs w:val="28"/>
                <w:lang w:val="ru-RU"/>
              </w:rPr>
              <w:t>20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1 (5%)</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П4</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w:t>
            </w:r>
            <w:r w:rsidRPr="00CA099F">
              <w:rPr>
                <w:rFonts w:eastAsia="Calibri" w:cs="Times New Roman"/>
                <w:sz w:val="28"/>
                <w:szCs w:val="28"/>
                <w:lang w:val="en-TT"/>
              </w:rPr>
              <w:t>13</w:t>
            </w:r>
            <w:r w:rsidRPr="00CA099F">
              <w:rPr>
                <w:rFonts w:eastAsia="Calibri" w:cs="Times New Roman"/>
                <w:sz w:val="28"/>
                <w:szCs w:val="28"/>
              </w:rPr>
              <w:t xml:space="preserve"> (</w:t>
            </w:r>
            <w:r w:rsidRPr="00CA099F">
              <w:rPr>
                <w:rFonts w:eastAsia="Calibri" w:cs="Times New Roman"/>
                <w:sz w:val="28"/>
                <w:szCs w:val="28"/>
                <w:lang w:val="en-TT"/>
              </w:rPr>
              <w:t>65</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11 (40%)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4 (20%)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С – </w:t>
            </w:r>
            <w:r w:rsidRPr="00CA099F">
              <w:rPr>
                <w:rFonts w:eastAsia="Calibri" w:cs="Times New Roman"/>
                <w:sz w:val="28"/>
                <w:szCs w:val="28"/>
                <w:lang w:val="en-TT"/>
              </w:rPr>
              <w:t>5</w:t>
            </w:r>
            <w:r w:rsidRPr="00CA099F">
              <w:rPr>
                <w:rFonts w:eastAsia="Calibri" w:cs="Times New Roman"/>
                <w:sz w:val="28"/>
                <w:szCs w:val="28"/>
              </w:rPr>
              <w:t xml:space="preserve"> (</w:t>
            </w:r>
            <w:r w:rsidRPr="00CA099F">
              <w:rPr>
                <w:rFonts w:eastAsia="Calibri" w:cs="Times New Roman"/>
                <w:sz w:val="28"/>
                <w:szCs w:val="28"/>
                <w:lang w:val="en-TT"/>
              </w:rPr>
              <w:t>25</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С – </w:t>
            </w:r>
            <w:r w:rsidRPr="00CA099F">
              <w:rPr>
                <w:rFonts w:eastAsia="Calibri" w:cs="Times New Roman"/>
                <w:sz w:val="28"/>
                <w:szCs w:val="28"/>
                <w:lang w:val="ru-RU"/>
              </w:rPr>
              <w:t>2</w:t>
            </w:r>
            <w:r w:rsidRPr="00CA099F">
              <w:rPr>
                <w:rFonts w:eastAsia="Calibri" w:cs="Times New Roman"/>
                <w:sz w:val="28"/>
                <w:szCs w:val="28"/>
              </w:rPr>
              <w:t xml:space="preserve"> (</w:t>
            </w:r>
            <w:r w:rsidRPr="00CA099F">
              <w:rPr>
                <w:rFonts w:eastAsia="Calibri" w:cs="Times New Roman"/>
                <w:sz w:val="28"/>
                <w:szCs w:val="28"/>
                <w:lang w:val="ru-RU"/>
              </w:rPr>
              <w:t>10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2 (10%)</w:t>
            </w:r>
          </w:p>
        </w:tc>
      </w:tr>
      <w:tr w:rsidR="0030517B" w:rsidRPr="00CA099F" w:rsidTr="00E1448E">
        <w:tblPrEx>
          <w:tblLook w:val="04A0" w:firstRow="1" w:lastRow="0" w:firstColumn="1" w:lastColumn="0" w:noHBand="0" w:noVBand="1"/>
        </w:tblPrEx>
        <w:trPr>
          <w:trHeight w:val="429"/>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П – </w:t>
            </w:r>
            <w:r w:rsidRPr="00CA099F">
              <w:rPr>
                <w:rFonts w:eastAsia="Calibri" w:cs="Times New Roman"/>
                <w:sz w:val="28"/>
                <w:szCs w:val="28"/>
                <w:lang w:val="en-TT"/>
              </w:rPr>
              <w:t>0</w:t>
            </w:r>
            <w:r w:rsidRPr="00CA099F">
              <w:rPr>
                <w:rFonts w:eastAsia="Calibri" w:cs="Times New Roman"/>
                <w:sz w:val="28"/>
                <w:szCs w:val="28"/>
              </w:rPr>
              <w:t xml:space="preserve"> (</w:t>
            </w:r>
            <w:r w:rsidRPr="00CA099F">
              <w:rPr>
                <w:rFonts w:eastAsia="Calibri" w:cs="Times New Roman"/>
                <w:sz w:val="28"/>
                <w:szCs w:val="28"/>
                <w:lang w:val="en-TT"/>
              </w:rPr>
              <w:t>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П – </w:t>
            </w:r>
            <w:r w:rsidRPr="00CA099F">
              <w:rPr>
                <w:rFonts w:eastAsia="Calibri" w:cs="Times New Roman"/>
                <w:sz w:val="28"/>
                <w:szCs w:val="28"/>
                <w:lang w:val="ru-RU"/>
              </w:rPr>
              <w:t>1</w:t>
            </w:r>
            <w:r w:rsidRPr="00CA099F">
              <w:rPr>
                <w:rFonts w:eastAsia="Calibri" w:cs="Times New Roman"/>
                <w:sz w:val="28"/>
                <w:szCs w:val="28"/>
              </w:rPr>
              <w:t xml:space="preserve"> (</w:t>
            </w:r>
            <w:r w:rsidRPr="00CA099F">
              <w:rPr>
                <w:rFonts w:eastAsia="Calibri" w:cs="Times New Roman"/>
                <w:sz w:val="28"/>
                <w:szCs w:val="28"/>
                <w:lang w:val="ru-RU"/>
              </w:rPr>
              <w:t>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Б – </w:t>
            </w:r>
            <w:r w:rsidRPr="00CA099F">
              <w:rPr>
                <w:rFonts w:eastAsia="Calibri" w:cs="Times New Roman"/>
                <w:sz w:val="28"/>
                <w:szCs w:val="28"/>
                <w:lang w:val="en-TT"/>
              </w:rPr>
              <w:t>2</w:t>
            </w:r>
            <w:r w:rsidRPr="00CA099F">
              <w:rPr>
                <w:rFonts w:eastAsia="Calibri" w:cs="Times New Roman"/>
                <w:sz w:val="28"/>
                <w:szCs w:val="28"/>
              </w:rPr>
              <w:t xml:space="preserve"> (</w:t>
            </w:r>
            <w:r w:rsidRPr="00CA099F">
              <w:rPr>
                <w:rFonts w:eastAsia="Calibri" w:cs="Times New Roman"/>
                <w:sz w:val="28"/>
                <w:szCs w:val="28"/>
                <w:lang w:val="en-TT"/>
              </w:rPr>
              <w:t>10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Б – </w:t>
            </w:r>
            <w:r w:rsidRPr="00CA099F">
              <w:rPr>
                <w:rFonts w:eastAsia="Calibri" w:cs="Times New Roman"/>
                <w:sz w:val="28"/>
                <w:szCs w:val="28"/>
                <w:lang w:val="ru-RU"/>
              </w:rPr>
              <w:t>0</w:t>
            </w:r>
            <w:r w:rsidRPr="00CA099F">
              <w:rPr>
                <w:rFonts w:eastAsia="Calibri" w:cs="Times New Roman"/>
                <w:sz w:val="28"/>
                <w:szCs w:val="28"/>
              </w:rPr>
              <w:t xml:space="preserve"> (</w:t>
            </w:r>
            <w:r w:rsidRPr="00CA099F">
              <w:rPr>
                <w:rFonts w:eastAsia="Calibri" w:cs="Times New Roman"/>
                <w:sz w:val="28"/>
                <w:szCs w:val="28"/>
                <w:lang w:val="ru-RU"/>
              </w:rPr>
              <w:t>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1 (5%)</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П5</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1 – </w:t>
            </w:r>
            <w:r w:rsidRPr="00CA099F">
              <w:rPr>
                <w:rFonts w:eastAsia="Calibri" w:cs="Times New Roman"/>
                <w:sz w:val="28"/>
                <w:szCs w:val="28"/>
                <w:lang w:val="en-TT"/>
              </w:rPr>
              <w:t>13</w:t>
            </w:r>
            <w:r w:rsidRPr="00CA099F">
              <w:rPr>
                <w:rFonts w:eastAsia="Calibri" w:cs="Times New Roman"/>
                <w:sz w:val="28"/>
                <w:szCs w:val="28"/>
              </w:rPr>
              <w:t xml:space="preserve"> (</w:t>
            </w:r>
            <w:r w:rsidRPr="00CA099F">
              <w:rPr>
                <w:rFonts w:eastAsia="Calibri" w:cs="Times New Roman"/>
                <w:sz w:val="28"/>
                <w:szCs w:val="28"/>
                <w:lang w:val="en-TT"/>
              </w:rPr>
              <w:t>65</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1 – </w:t>
            </w:r>
            <w:r w:rsidRPr="00CA099F">
              <w:rPr>
                <w:rFonts w:eastAsia="Calibri" w:cs="Times New Roman"/>
                <w:sz w:val="28"/>
                <w:szCs w:val="28"/>
                <w:lang w:val="ru-RU"/>
              </w:rPr>
              <w:t>13</w:t>
            </w:r>
            <w:r w:rsidRPr="00CA099F">
              <w:rPr>
                <w:rFonts w:eastAsia="Calibri" w:cs="Times New Roman"/>
                <w:sz w:val="28"/>
                <w:szCs w:val="28"/>
              </w:rPr>
              <w:t xml:space="preserve"> (</w:t>
            </w:r>
            <w:r w:rsidRPr="00CA099F">
              <w:rPr>
                <w:rFonts w:eastAsia="Calibri" w:cs="Times New Roman"/>
                <w:sz w:val="28"/>
                <w:szCs w:val="28"/>
                <w:lang w:val="ru-RU"/>
              </w:rPr>
              <w:t>65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14 (70%)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16 (80%)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2 – </w:t>
            </w:r>
            <w:r w:rsidRPr="00CA099F">
              <w:rPr>
                <w:rFonts w:eastAsia="Calibri" w:cs="Times New Roman"/>
                <w:sz w:val="28"/>
                <w:szCs w:val="28"/>
                <w:lang w:val="en-TT"/>
              </w:rPr>
              <w:t>4</w:t>
            </w:r>
            <w:r w:rsidRPr="00CA099F">
              <w:rPr>
                <w:rFonts w:eastAsia="Calibri" w:cs="Times New Roman"/>
                <w:sz w:val="28"/>
                <w:szCs w:val="28"/>
              </w:rPr>
              <w:t xml:space="preserve"> (</w:t>
            </w:r>
            <w:r w:rsidRPr="00CA099F">
              <w:rPr>
                <w:rFonts w:eastAsia="Calibri" w:cs="Times New Roman"/>
                <w:sz w:val="28"/>
                <w:szCs w:val="28"/>
                <w:lang w:val="en-TT"/>
              </w:rPr>
              <w:t>20</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2 – </w:t>
            </w:r>
            <w:r w:rsidRPr="00CA099F">
              <w:rPr>
                <w:rFonts w:eastAsia="Calibri" w:cs="Times New Roman"/>
                <w:sz w:val="28"/>
                <w:szCs w:val="28"/>
                <w:lang w:val="ru-RU"/>
              </w:rPr>
              <w:t>4</w:t>
            </w:r>
            <w:r w:rsidRPr="00CA099F">
              <w:rPr>
                <w:rFonts w:eastAsia="Calibri" w:cs="Times New Roman"/>
                <w:sz w:val="28"/>
                <w:szCs w:val="28"/>
              </w:rPr>
              <w:t xml:space="preserve"> (</w:t>
            </w:r>
            <w:r w:rsidRPr="00CA099F">
              <w:rPr>
                <w:rFonts w:eastAsia="Calibri" w:cs="Times New Roman"/>
                <w:sz w:val="28"/>
                <w:szCs w:val="28"/>
                <w:lang w:val="ru-RU"/>
              </w:rPr>
              <w:t>20</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3 (15%)</w:t>
            </w:r>
          </w:p>
        </w:tc>
      </w:tr>
      <w:tr w:rsidR="0030517B" w:rsidRPr="00CA099F" w:rsidTr="00E1448E">
        <w:tblPrEx>
          <w:tblLook w:val="04A0" w:firstRow="1" w:lastRow="0" w:firstColumn="1" w:lastColumn="0" w:noHBand="0" w:noVBand="1"/>
        </w:tblPrEx>
        <w:trPr>
          <w:trHeight w:val="355"/>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3 – </w:t>
            </w:r>
            <w:r w:rsidRPr="00CA099F">
              <w:rPr>
                <w:rFonts w:eastAsia="Calibri" w:cs="Times New Roman"/>
                <w:sz w:val="28"/>
                <w:szCs w:val="28"/>
                <w:lang w:val="en-TT"/>
              </w:rPr>
              <w:t>3</w:t>
            </w:r>
            <w:r w:rsidRPr="00CA099F">
              <w:rPr>
                <w:rFonts w:eastAsia="Calibri" w:cs="Times New Roman"/>
                <w:sz w:val="28"/>
                <w:szCs w:val="28"/>
              </w:rPr>
              <w:t xml:space="preserve"> (</w:t>
            </w:r>
            <w:r w:rsidRPr="00CA099F">
              <w:rPr>
                <w:rFonts w:eastAsia="Calibri" w:cs="Times New Roman"/>
                <w:sz w:val="28"/>
                <w:szCs w:val="28"/>
                <w:lang w:val="en-TT"/>
              </w:rPr>
              <w:t>15</w:t>
            </w:r>
            <w:r w:rsidRPr="00CA099F">
              <w:rPr>
                <w:rFonts w:eastAsia="Calibri" w:cs="Times New Roman"/>
                <w:sz w:val="28"/>
                <w:szCs w:val="28"/>
              </w:rPr>
              <w:t>%)</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3 – </w:t>
            </w:r>
            <w:r w:rsidRPr="00CA099F">
              <w:rPr>
                <w:rFonts w:eastAsia="Calibri" w:cs="Times New Roman"/>
                <w:sz w:val="28"/>
                <w:szCs w:val="28"/>
                <w:lang w:val="ru-RU"/>
              </w:rPr>
              <w:t>3</w:t>
            </w:r>
            <w:r w:rsidRPr="00CA099F">
              <w:rPr>
                <w:rFonts w:eastAsia="Calibri" w:cs="Times New Roman"/>
                <w:sz w:val="28"/>
                <w:szCs w:val="28"/>
              </w:rPr>
              <w:t xml:space="preserve"> (</w:t>
            </w:r>
            <w:r w:rsidRPr="00CA099F">
              <w:rPr>
                <w:rFonts w:eastAsia="Calibri" w:cs="Times New Roman"/>
                <w:sz w:val="28"/>
                <w:szCs w:val="28"/>
                <w:lang w:val="ru-RU"/>
              </w:rPr>
              <w:t>15</w:t>
            </w:r>
            <w:r w:rsidRPr="00CA099F">
              <w:rPr>
                <w:rFonts w:eastAsia="Calibri" w:cs="Times New Roman"/>
                <w:sz w:val="28"/>
                <w:szCs w:val="28"/>
              </w:rPr>
              <w:t>%)</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1 (5%)</w:t>
            </w:r>
          </w:p>
        </w:tc>
      </w:tr>
      <w:tr w:rsidR="0030517B" w:rsidRPr="00CA099F" w:rsidTr="00E1448E">
        <w:tblPrEx>
          <w:tblLook w:val="04A0" w:firstRow="1" w:lastRow="0" w:firstColumn="1" w:lastColumn="0" w:noHBand="0" w:noVBand="1"/>
        </w:tblPrEx>
        <w:trPr>
          <w:jc w:val="center"/>
        </w:trPr>
        <w:tc>
          <w:tcPr>
            <w:tcW w:w="1730"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Примітка</w:t>
            </w:r>
          </w:p>
        </w:tc>
        <w:tc>
          <w:tcPr>
            <w:tcW w:w="1956"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p&gt;0,0003</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p&gt;0,0017</w:t>
            </w:r>
          </w:p>
        </w:tc>
        <w:tc>
          <w:tcPr>
            <w:tcW w:w="1984"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p&gt;0,0001</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p&gt;0,0004</w:t>
            </w:r>
          </w:p>
        </w:tc>
      </w:tr>
    </w:tbl>
    <w:p w:rsidR="0030517B" w:rsidRPr="00CA099F" w:rsidRDefault="0030517B" w:rsidP="0030517B">
      <w:pPr>
        <w:spacing w:after="0" w:line="360" w:lineRule="auto"/>
        <w:jc w:val="both"/>
        <w:rPr>
          <w:rFonts w:eastAsia="SimSun" w:cs="Times New Roman"/>
          <w:sz w:val="28"/>
          <w:szCs w:val="28"/>
          <w:lang w:eastAsia="zh-CN"/>
        </w:rPr>
      </w:pPr>
    </w:p>
    <w:p w:rsidR="0030517B" w:rsidRPr="00CA099F" w:rsidRDefault="0030517B" w:rsidP="0030517B">
      <w:pPr>
        <w:spacing w:after="160" w:line="360" w:lineRule="auto"/>
        <w:rPr>
          <w:rFonts w:eastAsia="Calibri" w:cs="Times New Roman"/>
          <w:sz w:val="28"/>
          <w:szCs w:val="28"/>
        </w:rPr>
      </w:pP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lastRenderedPageBreak/>
        <w:tab/>
        <w:t xml:space="preserve">Аналіз динаміки клінічних змін показника П1 в 1 групі </w:t>
      </w:r>
      <w:r w:rsidR="00D96DA9">
        <w:rPr>
          <w:rFonts w:eastAsia="Calibri" w:cs="Times New Roman"/>
          <w:sz w:val="28"/>
          <w:szCs w:val="28"/>
        </w:rPr>
        <w:t>пацієнтів</w:t>
      </w:r>
      <w:r w:rsidRPr="00CA099F">
        <w:rPr>
          <w:rFonts w:eastAsia="Calibri" w:cs="Times New Roman"/>
          <w:sz w:val="28"/>
          <w:szCs w:val="28"/>
        </w:rPr>
        <w:t xml:space="preserve"> показує його суттєву зміну на 6 місяць спостереженн</w:t>
      </w:r>
      <w:r w:rsidR="006C3AA8">
        <w:rPr>
          <w:rFonts w:eastAsia="Calibri" w:cs="Times New Roman"/>
          <w:sz w:val="28"/>
          <w:szCs w:val="28"/>
        </w:rPr>
        <w:t xml:space="preserve">я. Наявність атрофічного рубця </w:t>
      </w:r>
      <w:r w:rsidRPr="00CA099F">
        <w:rPr>
          <w:rFonts w:eastAsia="Calibri" w:cs="Times New Roman"/>
          <w:sz w:val="28"/>
          <w:szCs w:val="28"/>
        </w:rPr>
        <w:t>фікс</w:t>
      </w:r>
      <w:r w:rsidR="006C3AA8">
        <w:rPr>
          <w:rFonts w:eastAsia="Calibri" w:cs="Times New Roman"/>
          <w:sz w:val="28"/>
          <w:szCs w:val="28"/>
        </w:rPr>
        <w:t xml:space="preserve">ується в </w:t>
      </w:r>
      <w:r w:rsidRPr="00CA099F">
        <w:rPr>
          <w:rFonts w:eastAsia="Calibri" w:cs="Times New Roman"/>
          <w:sz w:val="28"/>
          <w:szCs w:val="28"/>
        </w:rPr>
        <w:t>30% випадках (у 5%</w:t>
      </w:r>
      <w:r w:rsidR="006C3AA8">
        <w:rPr>
          <w:rFonts w:eastAsia="Calibri" w:cs="Times New Roman"/>
          <w:sz w:val="28"/>
          <w:szCs w:val="28"/>
        </w:rPr>
        <w:t xml:space="preserve"> пацієнтів</w:t>
      </w:r>
      <w:r w:rsidRPr="00CA099F">
        <w:rPr>
          <w:rFonts w:eastAsia="Calibri" w:cs="Times New Roman"/>
          <w:sz w:val="28"/>
          <w:szCs w:val="28"/>
        </w:rPr>
        <w:t xml:space="preserve"> з вузликовими розростаннями). У 5% пацієнт</w:t>
      </w:r>
      <w:r w:rsidR="006C3AA8">
        <w:rPr>
          <w:rFonts w:eastAsia="Calibri" w:cs="Times New Roman"/>
          <w:sz w:val="28"/>
          <w:szCs w:val="28"/>
        </w:rPr>
        <w:t>ів</w:t>
      </w:r>
      <w:r w:rsidRPr="00CA099F">
        <w:rPr>
          <w:rFonts w:eastAsia="Calibri" w:cs="Times New Roman"/>
          <w:sz w:val="28"/>
          <w:szCs w:val="28"/>
        </w:rPr>
        <w:t xml:space="preserve"> </w:t>
      </w:r>
      <w:r w:rsidR="006C3AA8">
        <w:rPr>
          <w:rFonts w:eastAsia="Calibri" w:cs="Times New Roman"/>
          <w:sz w:val="28"/>
          <w:szCs w:val="28"/>
        </w:rPr>
        <w:t>має місце</w:t>
      </w:r>
      <w:r w:rsidRPr="00CA099F">
        <w:rPr>
          <w:rFonts w:eastAsia="Calibri" w:cs="Times New Roman"/>
          <w:sz w:val="28"/>
          <w:szCs w:val="28"/>
        </w:rPr>
        <w:t xml:space="preserve"> вірогідне утворення гіпертрофічного рубця та утворення келоїду – також у 5% пацієнт</w:t>
      </w:r>
      <w:r w:rsidR="006C3AA8">
        <w:rPr>
          <w:rFonts w:eastAsia="Calibri" w:cs="Times New Roman"/>
          <w:sz w:val="28"/>
          <w:szCs w:val="28"/>
        </w:rPr>
        <w:t>ів</w:t>
      </w:r>
      <w:r w:rsidRPr="00CA099F">
        <w:rPr>
          <w:rFonts w:eastAsia="Calibri" w:cs="Times New Roman"/>
          <w:sz w:val="28"/>
          <w:szCs w:val="28"/>
        </w:rPr>
        <w:t>. Наявність нормотроф</w:t>
      </w:r>
      <w:r w:rsidR="006C3AA8">
        <w:rPr>
          <w:rFonts w:eastAsia="Calibri" w:cs="Times New Roman"/>
          <w:sz w:val="28"/>
          <w:szCs w:val="28"/>
        </w:rPr>
        <w:t>і</w:t>
      </w:r>
      <w:r w:rsidR="00B7572A">
        <w:rPr>
          <w:rFonts w:eastAsia="Calibri" w:cs="Times New Roman"/>
          <w:sz w:val="28"/>
          <w:szCs w:val="28"/>
        </w:rPr>
        <w:t>чного рубця спостерігається у 60</w:t>
      </w:r>
      <w:r w:rsidR="006C3AA8">
        <w:rPr>
          <w:rFonts w:eastAsia="Calibri" w:cs="Times New Roman"/>
          <w:sz w:val="28"/>
          <w:szCs w:val="28"/>
        </w:rPr>
        <w:t>%</w:t>
      </w:r>
      <w:r w:rsidRPr="00CA099F">
        <w:rPr>
          <w:rFonts w:eastAsia="Calibri" w:cs="Times New Roman"/>
          <w:sz w:val="28"/>
          <w:szCs w:val="28"/>
        </w:rPr>
        <w:t xml:space="preserve"> пацієнтів, а на 12 місяць утворення гомогенного атрофічного рубця фікс</w:t>
      </w:r>
      <w:r w:rsidR="006A45FB">
        <w:rPr>
          <w:rFonts w:eastAsia="Calibri" w:cs="Times New Roman"/>
          <w:sz w:val="28"/>
          <w:szCs w:val="28"/>
        </w:rPr>
        <w:t>ується</w:t>
      </w:r>
      <w:r w:rsidRPr="00CA099F">
        <w:rPr>
          <w:rFonts w:eastAsia="Calibri" w:cs="Times New Roman"/>
          <w:sz w:val="28"/>
          <w:szCs w:val="28"/>
        </w:rPr>
        <w:t xml:space="preserve"> у </w:t>
      </w:r>
      <w:r w:rsidR="006A45FB">
        <w:rPr>
          <w:rFonts w:eastAsia="Calibri" w:cs="Times New Roman"/>
          <w:sz w:val="28"/>
          <w:szCs w:val="28"/>
        </w:rPr>
        <w:t>20%</w:t>
      </w:r>
      <w:r w:rsidRPr="00CA099F">
        <w:rPr>
          <w:rFonts w:eastAsia="Calibri" w:cs="Times New Roman"/>
          <w:sz w:val="28"/>
          <w:szCs w:val="28"/>
        </w:rPr>
        <w:t xml:space="preserve"> випадках</w:t>
      </w:r>
      <w:r w:rsidR="00F27423">
        <w:rPr>
          <w:rFonts w:eastAsia="Calibri" w:cs="Times New Roman"/>
          <w:sz w:val="28"/>
          <w:szCs w:val="28"/>
        </w:rPr>
        <w:t xml:space="preserve">, </w:t>
      </w:r>
      <w:r w:rsidR="00F27423" w:rsidRPr="00B435B1">
        <w:rPr>
          <w:rFonts w:eastAsia="Calibri" w:cs="Times New Roman"/>
          <w:sz w:val="28"/>
          <w:szCs w:val="28"/>
        </w:rPr>
        <w:t>а гіпертрофічного – у 10% спостережень</w:t>
      </w:r>
      <w:r w:rsidRPr="00CA099F">
        <w:rPr>
          <w:rFonts w:eastAsia="Calibri" w:cs="Times New Roman"/>
          <w:sz w:val="28"/>
          <w:szCs w:val="28"/>
        </w:rPr>
        <w:t xml:space="preserve">. У </w:t>
      </w:r>
      <w:r w:rsidR="006A45FB">
        <w:rPr>
          <w:rFonts w:eastAsia="Calibri" w:cs="Times New Roman"/>
          <w:sz w:val="28"/>
          <w:szCs w:val="28"/>
        </w:rPr>
        <w:t>70% пацієнтів наявні</w:t>
      </w:r>
      <w:r w:rsidRPr="00CA099F">
        <w:rPr>
          <w:rFonts w:eastAsia="Calibri" w:cs="Times New Roman"/>
          <w:sz w:val="28"/>
          <w:szCs w:val="28"/>
        </w:rPr>
        <w:t xml:space="preserve"> нормотрофічні рубці.</w:t>
      </w: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Найбільші зміни в динаміці показника П2 також спостерігаються на 6 місяць післяопераційного періоду. Так ознаки нормальної</w:t>
      </w:r>
      <w:r w:rsidR="006A45FB">
        <w:rPr>
          <w:rFonts w:eastAsia="Calibri" w:cs="Times New Roman"/>
          <w:sz w:val="28"/>
          <w:szCs w:val="28"/>
        </w:rPr>
        <w:t xml:space="preserve"> консистенції відзначаються у</w:t>
      </w:r>
      <w:r w:rsidRPr="00CA099F">
        <w:rPr>
          <w:rFonts w:eastAsia="Calibri" w:cs="Times New Roman"/>
          <w:sz w:val="28"/>
          <w:szCs w:val="28"/>
        </w:rPr>
        <w:t xml:space="preserve"> 70% пацієнтів, при цьому кількість пацієнтів з ущільненнями в цент</w:t>
      </w:r>
      <w:r w:rsidR="006A45FB">
        <w:rPr>
          <w:rFonts w:eastAsia="Calibri" w:cs="Times New Roman"/>
          <w:sz w:val="28"/>
          <w:szCs w:val="28"/>
        </w:rPr>
        <w:t xml:space="preserve">ральній частині зменшується до </w:t>
      </w:r>
      <w:r w:rsidRPr="00CA099F">
        <w:rPr>
          <w:rFonts w:eastAsia="Calibri" w:cs="Times New Roman"/>
          <w:sz w:val="28"/>
          <w:szCs w:val="28"/>
        </w:rPr>
        <w:t xml:space="preserve">30%. У </w:t>
      </w:r>
      <w:r w:rsidR="006A45FB">
        <w:rPr>
          <w:rFonts w:eastAsia="Calibri" w:cs="Times New Roman"/>
          <w:sz w:val="28"/>
          <w:szCs w:val="28"/>
        </w:rPr>
        <w:t>5%</w:t>
      </w:r>
      <w:r w:rsidRPr="00CA099F">
        <w:rPr>
          <w:rFonts w:eastAsia="Calibri" w:cs="Times New Roman"/>
          <w:sz w:val="28"/>
          <w:szCs w:val="28"/>
        </w:rPr>
        <w:t xml:space="preserve"> пацієнт</w:t>
      </w:r>
      <w:r w:rsidR="006A45FB">
        <w:rPr>
          <w:rFonts w:eastAsia="Calibri" w:cs="Times New Roman"/>
          <w:sz w:val="28"/>
          <w:szCs w:val="28"/>
        </w:rPr>
        <w:t>ів</w:t>
      </w:r>
      <w:r w:rsidRPr="00CA099F">
        <w:rPr>
          <w:rFonts w:eastAsia="Calibri" w:cs="Times New Roman"/>
          <w:sz w:val="28"/>
          <w:szCs w:val="28"/>
        </w:rPr>
        <w:t xml:space="preserve"> пальпуються поодинокі ущільнення в ділянці дистального краю. Явища індурації в центральній час</w:t>
      </w:r>
      <w:r w:rsidR="005D6DAC">
        <w:rPr>
          <w:rFonts w:eastAsia="Calibri" w:cs="Times New Roman"/>
          <w:sz w:val="28"/>
          <w:szCs w:val="28"/>
        </w:rPr>
        <w:t xml:space="preserve">тині рубця, на які скаржилися </w:t>
      </w:r>
      <w:r w:rsidRPr="00CA099F">
        <w:rPr>
          <w:rFonts w:eastAsia="Calibri" w:cs="Times New Roman"/>
          <w:sz w:val="28"/>
          <w:szCs w:val="28"/>
        </w:rPr>
        <w:t>5% пацієнт</w:t>
      </w:r>
      <w:r w:rsidR="005D6DAC">
        <w:rPr>
          <w:rFonts w:eastAsia="Calibri" w:cs="Times New Roman"/>
          <w:sz w:val="28"/>
          <w:szCs w:val="28"/>
        </w:rPr>
        <w:t>ів</w:t>
      </w:r>
      <w:r w:rsidRPr="00CA099F">
        <w:rPr>
          <w:rFonts w:eastAsia="Calibri" w:cs="Times New Roman"/>
          <w:sz w:val="28"/>
          <w:szCs w:val="28"/>
        </w:rPr>
        <w:t>, зникають, що не суперечить даним літератури [</w:t>
      </w:r>
      <w:r w:rsidRPr="00CA099F">
        <w:rPr>
          <w:rFonts w:eastAsia="Calibri" w:cs="Times New Roman"/>
          <w:sz w:val="28"/>
          <w:szCs w:val="28"/>
          <w:lang w:val="ru-RU"/>
        </w:rPr>
        <w:t>68</w:t>
      </w:r>
      <w:r w:rsidRPr="00CA099F">
        <w:rPr>
          <w:rFonts w:eastAsia="Calibri" w:cs="Times New Roman"/>
          <w:sz w:val="28"/>
          <w:szCs w:val="28"/>
        </w:rPr>
        <w:t xml:space="preserve">]. Слід відмітити стрибок в позитивній динаміці змін показника П3 на 12 місяць спостереження, якій свідчить </w:t>
      </w:r>
      <w:r w:rsidR="005D6DAC">
        <w:rPr>
          <w:rFonts w:eastAsia="Calibri" w:cs="Times New Roman"/>
          <w:sz w:val="28"/>
          <w:szCs w:val="28"/>
        </w:rPr>
        <w:t>про ефективність запропонованої</w:t>
      </w:r>
      <w:r w:rsidRPr="00CA099F">
        <w:rPr>
          <w:rFonts w:eastAsia="Calibri" w:cs="Times New Roman"/>
          <w:sz w:val="28"/>
          <w:szCs w:val="28"/>
        </w:rPr>
        <w:t xml:space="preserve"> методики інтраопераційної профілактики утворення патологічних рубців із застосуванням </w:t>
      </w:r>
      <w:r w:rsidRPr="00CA099F">
        <w:rPr>
          <w:rFonts w:eastAsia="Calibri" w:cs="Times New Roman"/>
          <w:sz w:val="28"/>
          <w:szCs w:val="28"/>
          <w:lang w:val="en-US"/>
        </w:rPr>
        <w:t>PRF</w:t>
      </w:r>
      <w:r w:rsidRPr="00CA099F">
        <w:rPr>
          <w:rFonts w:eastAsia="Calibri" w:cs="Times New Roman"/>
          <w:sz w:val="28"/>
          <w:szCs w:val="28"/>
        </w:rPr>
        <w:t xml:space="preserve"> мембран в глибоких та поверхне</w:t>
      </w:r>
      <w:r w:rsidR="005D6DAC">
        <w:rPr>
          <w:rFonts w:eastAsia="Calibri" w:cs="Times New Roman"/>
          <w:sz w:val="28"/>
          <w:szCs w:val="28"/>
        </w:rPr>
        <w:t>вих шарах операційної рани. У 85%</w:t>
      </w:r>
      <w:r w:rsidR="00F323FA">
        <w:rPr>
          <w:rFonts w:eastAsia="Calibri" w:cs="Times New Roman"/>
          <w:sz w:val="28"/>
          <w:szCs w:val="28"/>
        </w:rPr>
        <w:t xml:space="preserve"> випадках мають місце</w:t>
      </w:r>
      <w:r w:rsidRPr="00CA099F">
        <w:rPr>
          <w:rFonts w:eastAsia="Calibri" w:cs="Times New Roman"/>
          <w:sz w:val="28"/>
          <w:szCs w:val="28"/>
        </w:rPr>
        <w:t xml:space="preserve"> ознаки здорової шкіри з ві</w:t>
      </w:r>
      <w:r w:rsidR="00F323FA">
        <w:rPr>
          <w:rFonts w:eastAsia="Calibri" w:cs="Times New Roman"/>
          <w:sz w:val="28"/>
          <w:szCs w:val="28"/>
        </w:rPr>
        <w:t>зуалізацією помірної еритеми у 10%</w:t>
      </w:r>
      <w:r w:rsidRPr="00CA099F">
        <w:rPr>
          <w:rFonts w:eastAsia="Calibri" w:cs="Times New Roman"/>
          <w:sz w:val="28"/>
          <w:szCs w:val="28"/>
        </w:rPr>
        <w:t xml:space="preserve"> та вираженої – у 5% </w:t>
      </w:r>
      <w:r w:rsidR="00F323FA">
        <w:rPr>
          <w:rFonts w:eastAsia="Calibri" w:cs="Times New Roman"/>
          <w:sz w:val="28"/>
          <w:szCs w:val="28"/>
        </w:rPr>
        <w:t>пацієнтів</w:t>
      </w:r>
      <w:r w:rsidRPr="00CA099F">
        <w:rPr>
          <w:rFonts w:eastAsia="Calibri" w:cs="Times New Roman"/>
          <w:sz w:val="28"/>
          <w:szCs w:val="28"/>
        </w:rPr>
        <w:t>.</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Схожу динаміку нами прослідковано в змінах показника П4. Нами встановлено, що 1 групі </w:t>
      </w:r>
      <w:r w:rsidR="00D96DA9">
        <w:rPr>
          <w:rFonts w:eastAsia="Calibri" w:cs="Times New Roman"/>
          <w:sz w:val="28"/>
          <w:szCs w:val="28"/>
        </w:rPr>
        <w:t>пацієнтів</w:t>
      </w:r>
      <w:r w:rsidRPr="00CA099F">
        <w:rPr>
          <w:rFonts w:eastAsia="Calibri" w:cs="Times New Roman"/>
          <w:sz w:val="28"/>
          <w:szCs w:val="28"/>
        </w:rPr>
        <w:t xml:space="preserve"> ознаки напруженості рубця відміч</w:t>
      </w:r>
      <w:r w:rsidR="003A25E3">
        <w:rPr>
          <w:rFonts w:eastAsia="Calibri" w:cs="Times New Roman"/>
          <w:sz w:val="28"/>
          <w:szCs w:val="28"/>
        </w:rPr>
        <w:t>аться</w:t>
      </w:r>
      <w:r w:rsidRPr="00CA099F">
        <w:rPr>
          <w:rFonts w:eastAsia="Calibri" w:cs="Times New Roman"/>
          <w:sz w:val="28"/>
          <w:szCs w:val="28"/>
        </w:rPr>
        <w:t xml:space="preserve"> в 15% випадках, свербіж </w:t>
      </w:r>
      <w:r w:rsidR="00D014B1">
        <w:rPr>
          <w:rFonts w:eastAsia="Calibri" w:cs="Times New Roman"/>
          <w:sz w:val="28"/>
          <w:szCs w:val="28"/>
        </w:rPr>
        <w:t xml:space="preserve">– </w:t>
      </w:r>
      <w:r w:rsidRPr="00CA099F">
        <w:rPr>
          <w:rFonts w:eastAsia="Calibri" w:cs="Times New Roman"/>
          <w:sz w:val="28"/>
          <w:szCs w:val="28"/>
        </w:rPr>
        <w:t>у 5%</w:t>
      </w:r>
      <w:r w:rsidR="00D014B1">
        <w:rPr>
          <w:rFonts w:eastAsia="Calibri" w:cs="Times New Roman"/>
          <w:sz w:val="28"/>
          <w:szCs w:val="28"/>
        </w:rPr>
        <w:t xml:space="preserve"> </w:t>
      </w:r>
      <w:r w:rsidRPr="00CA099F">
        <w:rPr>
          <w:rFonts w:eastAsia="Calibri" w:cs="Times New Roman"/>
          <w:sz w:val="28"/>
          <w:szCs w:val="28"/>
        </w:rPr>
        <w:t>пацієнт</w:t>
      </w:r>
      <w:r w:rsidR="00D014B1">
        <w:rPr>
          <w:rFonts w:eastAsia="Calibri" w:cs="Times New Roman"/>
          <w:sz w:val="28"/>
          <w:szCs w:val="28"/>
        </w:rPr>
        <w:t>ів</w:t>
      </w:r>
      <w:r w:rsidRPr="00CA099F">
        <w:rPr>
          <w:rFonts w:eastAsia="Calibri" w:cs="Times New Roman"/>
          <w:sz w:val="28"/>
          <w:szCs w:val="28"/>
        </w:rPr>
        <w:t xml:space="preserve">. Скарги на біль та печію </w:t>
      </w:r>
      <w:r w:rsidR="00D014B1">
        <w:rPr>
          <w:rFonts w:eastAsia="Calibri" w:cs="Times New Roman"/>
          <w:sz w:val="28"/>
          <w:szCs w:val="28"/>
        </w:rPr>
        <w:t>пацієнти</w:t>
      </w:r>
      <w:r w:rsidRPr="00CA099F">
        <w:rPr>
          <w:rFonts w:eastAsia="Calibri" w:cs="Times New Roman"/>
          <w:sz w:val="28"/>
          <w:szCs w:val="28"/>
        </w:rPr>
        <w:t xml:space="preserve"> заперечу</w:t>
      </w:r>
      <w:r w:rsidR="00D014B1">
        <w:rPr>
          <w:rFonts w:eastAsia="Calibri" w:cs="Times New Roman"/>
          <w:sz w:val="28"/>
          <w:szCs w:val="28"/>
        </w:rPr>
        <w:t>ють</w:t>
      </w:r>
      <w:r w:rsidRPr="00CA099F">
        <w:rPr>
          <w:rFonts w:eastAsia="Calibri" w:cs="Times New Roman"/>
          <w:sz w:val="28"/>
          <w:szCs w:val="28"/>
        </w:rPr>
        <w:t>. Дані клінічних змін показника П5 суттєво не варію</w:t>
      </w:r>
      <w:r w:rsidR="00D014B1">
        <w:rPr>
          <w:rFonts w:eastAsia="Calibri" w:cs="Times New Roman"/>
          <w:sz w:val="28"/>
          <w:szCs w:val="28"/>
        </w:rPr>
        <w:t>ють</w:t>
      </w:r>
      <w:r w:rsidRPr="00CA099F">
        <w:rPr>
          <w:rFonts w:eastAsia="Calibri" w:cs="Times New Roman"/>
          <w:sz w:val="28"/>
          <w:szCs w:val="28"/>
        </w:rPr>
        <w:t>, що свідчить про відсутність передумов утворення патологічних рубцевозмінених тканин. Так на 3 місяць післяопераційного пе</w:t>
      </w:r>
      <w:r w:rsidR="00D014B1">
        <w:rPr>
          <w:rFonts w:eastAsia="Calibri" w:cs="Times New Roman"/>
          <w:sz w:val="28"/>
          <w:szCs w:val="28"/>
        </w:rPr>
        <w:t>ріоду ознака малої площі складає</w:t>
      </w:r>
      <w:r w:rsidRPr="00CA099F">
        <w:rPr>
          <w:rFonts w:eastAsia="Calibri" w:cs="Times New Roman"/>
          <w:sz w:val="28"/>
          <w:szCs w:val="28"/>
        </w:rPr>
        <w:t xml:space="preserve"> 80% пацієнтів, середня площа </w:t>
      </w:r>
      <w:r w:rsidR="00D014B1">
        <w:rPr>
          <w:rFonts w:eastAsia="Calibri" w:cs="Times New Roman"/>
          <w:sz w:val="28"/>
          <w:szCs w:val="28"/>
        </w:rPr>
        <w:t>фіксується</w:t>
      </w:r>
      <w:r w:rsidRPr="00CA099F">
        <w:rPr>
          <w:rFonts w:eastAsia="Calibri" w:cs="Times New Roman"/>
          <w:sz w:val="28"/>
          <w:szCs w:val="28"/>
        </w:rPr>
        <w:t xml:space="preserve"> у </w:t>
      </w:r>
      <w:r w:rsidR="00882365">
        <w:rPr>
          <w:rFonts w:eastAsia="Calibri" w:cs="Times New Roman"/>
          <w:sz w:val="28"/>
          <w:szCs w:val="28"/>
        </w:rPr>
        <w:t>15%</w:t>
      </w:r>
      <w:r w:rsidRPr="00CA099F">
        <w:rPr>
          <w:rFonts w:eastAsia="Calibri" w:cs="Times New Roman"/>
          <w:sz w:val="28"/>
          <w:szCs w:val="28"/>
        </w:rPr>
        <w:t xml:space="preserve"> </w:t>
      </w:r>
      <w:r w:rsidR="00D96DA9">
        <w:rPr>
          <w:rFonts w:eastAsia="Calibri" w:cs="Times New Roman"/>
          <w:sz w:val="28"/>
          <w:szCs w:val="28"/>
        </w:rPr>
        <w:t>пацієнтів</w:t>
      </w:r>
      <w:r w:rsidR="00882365">
        <w:rPr>
          <w:rFonts w:eastAsia="Calibri" w:cs="Times New Roman"/>
          <w:sz w:val="28"/>
          <w:szCs w:val="28"/>
        </w:rPr>
        <w:t xml:space="preserve"> (не перевищує</w:t>
      </w:r>
      <w:r w:rsidRPr="00CA099F">
        <w:rPr>
          <w:rFonts w:eastAsia="Calibri" w:cs="Times New Roman"/>
          <w:sz w:val="28"/>
          <w:szCs w:val="28"/>
        </w:rPr>
        <w:t xml:space="preserve"> 9,2 мм</w:t>
      </w:r>
      <w:r w:rsidRPr="00CA099F">
        <w:rPr>
          <w:rFonts w:eastAsia="Calibri" w:cs="Times New Roman"/>
          <w:sz w:val="28"/>
          <w:szCs w:val="28"/>
          <w:vertAlign w:val="superscript"/>
        </w:rPr>
        <w:t>2</w:t>
      </w:r>
      <w:r w:rsidRPr="00CA099F">
        <w:rPr>
          <w:rFonts w:eastAsia="Calibri" w:cs="Times New Roman"/>
          <w:sz w:val="28"/>
          <w:szCs w:val="28"/>
        </w:rPr>
        <w:t xml:space="preserve">) та у </w:t>
      </w:r>
      <w:r w:rsidR="00882365">
        <w:rPr>
          <w:rFonts w:eastAsia="Calibri" w:cs="Times New Roman"/>
          <w:sz w:val="28"/>
          <w:szCs w:val="28"/>
        </w:rPr>
        <w:t>5%</w:t>
      </w:r>
      <w:r w:rsidRPr="00CA099F">
        <w:rPr>
          <w:rFonts w:eastAsia="Calibri" w:cs="Times New Roman"/>
          <w:sz w:val="28"/>
          <w:szCs w:val="28"/>
        </w:rPr>
        <w:t xml:space="preserve"> </w:t>
      </w:r>
      <w:r w:rsidR="00D96DA9">
        <w:rPr>
          <w:rFonts w:eastAsia="Calibri" w:cs="Times New Roman"/>
          <w:sz w:val="28"/>
          <w:szCs w:val="28"/>
        </w:rPr>
        <w:t>пацієнтів</w:t>
      </w:r>
      <w:r w:rsidRPr="00CA099F">
        <w:rPr>
          <w:rFonts w:eastAsia="Calibri" w:cs="Times New Roman"/>
          <w:sz w:val="28"/>
          <w:szCs w:val="28"/>
        </w:rPr>
        <w:t xml:space="preserve"> була відмічена велика площа, а на 12 мі</w:t>
      </w:r>
      <w:r w:rsidR="00882365">
        <w:rPr>
          <w:rFonts w:eastAsia="Calibri" w:cs="Times New Roman"/>
          <w:sz w:val="28"/>
          <w:szCs w:val="28"/>
        </w:rPr>
        <w:t xml:space="preserve">сяць ознака </w:t>
      </w:r>
      <w:r w:rsidR="00882365">
        <w:rPr>
          <w:rFonts w:eastAsia="Calibri" w:cs="Times New Roman"/>
          <w:sz w:val="28"/>
          <w:szCs w:val="28"/>
        </w:rPr>
        <w:lastRenderedPageBreak/>
        <w:t>малої площі складає</w:t>
      </w:r>
      <w:r w:rsidR="00247382">
        <w:rPr>
          <w:rFonts w:eastAsia="Calibri" w:cs="Times New Roman"/>
          <w:sz w:val="28"/>
          <w:szCs w:val="28"/>
        </w:rPr>
        <w:t xml:space="preserve"> </w:t>
      </w:r>
      <w:r w:rsidRPr="00CA099F">
        <w:rPr>
          <w:rFonts w:eastAsia="Calibri" w:cs="Times New Roman"/>
          <w:sz w:val="28"/>
          <w:szCs w:val="28"/>
        </w:rPr>
        <w:t xml:space="preserve">90% пацієнтів, середня площа </w:t>
      </w:r>
      <w:r w:rsidR="00247382">
        <w:rPr>
          <w:rFonts w:eastAsia="Calibri" w:cs="Times New Roman"/>
          <w:sz w:val="28"/>
          <w:szCs w:val="28"/>
        </w:rPr>
        <w:t>– 10%</w:t>
      </w:r>
      <w:r w:rsidRPr="00CA099F">
        <w:rPr>
          <w:rFonts w:eastAsia="Calibri" w:cs="Times New Roman"/>
          <w:sz w:val="28"/>
          <w:szCs w:val="28"/>
        </w:rPr>
        <w:t xml:space="preserve"> </w:t>
      </w:r>
      <w:r w:rsidR="00D96DA9">
        <w:rPr>
          <w:rFonts w:eastAsia="Calibri" w:cs="Times New Roman"/>
          <w:sz w:val="28"/>
          <w:szCs w:val="28"/>
        </w:rPr>
        <w:t>пацієнтів</w:t>
      </w:r>
      <w:r w:rsidRPr="00CA099F">
        <w:rPr>
          <w:rFonts w:eastAsia="Calibri" w:cs="Times New Roman"/>
          <w:sz w:val="28"/>
          <w:szCs w:val="28"/>
        </w:rPr>
        <w:t xml:space="preserve"> (не перевищу</w:t>
      </w:r>
      <w:r w:rsidR="00247382">
        <w:rPr>
          <w:rFonts w:eastAsia="Calibri" w:cs="Times New Roman"/>
          <w:sz w:val="28"/>
          <w:szCs w:val="28"/>
        </w:rPr>
        <w:t>є</w:t>
      </w:r>
      <w:r w:rsidRPr="00CA099F">
        <w:rPr>
          <w:rFonts w:eastAsia="Calibri" w:cs="Times New Roman"/>
          <w:sz w:val="28"/>
          <w:szCs w:val="28"/>
        </w:rPr>
        <w:t xml:space="preserve"> 8,1 мм</w:t>
      </w:r>
      <w:r w:rsidRPr="00CA099F">
        <w:rPr>
          <w:rFonts w:eastAsia="Calibri" w:cs="Times New Roman"/>
          <w:sz w:val="28"/>
          <w:szCs w:val="28"/>
          <w:vertAlign w:val="superscript"/>
        </w:rPr>
        <w:t>2</w:t>
      </w:r>
      <w:r w:rsidRPr="00CA099F">
        <w:rPr>
          <w:rFonts w:eastAsia="Calibri" w:cs="Times New Roman"/>
          <w:sz w:val="28"/>
          <w:szCs w:val="28"/>
        </w:rPr>
        <w:t xml:space="preserve">) та відсутність </w:t>
      </w:r>
      <w:r w:rsidR="00D96DA9">
        <w:rPr>
          <w:rFonts w:eastAsia="Calibri" w:cs="Times New Roman"/>
          <w:sz w:val="28"/>
          <w:szCs w:val="28"/>
        </w:rPr>
        <w:t>пацієнтів</w:t>
      </w:r>
      <w:r w:rsidR="00247382">
        <w:rPr>
          <w:rFonts w:eastAsia="Calibri" w:cs="Times New Roman"/>
          <w:sz w:val="28"/>
          <w:szCs w:val="28"/>
        </w:rPr>
        <w:t>, які мають</w:t>
      </w:r>
      <w:r w:rsidRPr="00CA099F">
        <w:rPr>
          <w:rFonts w:eastAsia="Calibri" w:cs="Times New Roman"/>
          <w:sz w:val="28"/>
          <w:szCs w:val="28"/>
        </w:rPr>
        <w:t xml:space="preserve"> ознаку великої площі.</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Дані, щодо динаміки змін клінічних показників утворення рубцевозмінених тканин у </w:t>
      </w:r>
      <w:r w:rsidR="00D96DA9">
        <w:rPr>
          <w:rFonts w:eastAsia="Calibri" w:cs="Times New Roman"/>
          <w:sz w:val="28"/>
          <w:szCs w:val="28"/>
        </w:rPr>
        <w:t>пацієнтів</w:t>
      </w:r>
      <w:r w:rsidRPr="00CA099F">
        <w:rPr>
          <w:rFonts w:eastAsia="Calibri" w:cs="Times New Roman"/>
          <w:sz w:val="28"/>
          <w:szCs w:val="28"/>
        </w:rPr>
        <w:t xml:space="preserve"> 1 клінічної групи наведено в таблиці 6.2.</w:t>
      </w: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t>Таблиця 6.2</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t>Динаміка клінічних змін показників у пацієнтів 1 групи на різних етапах післяопераційного періоду</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0"/>
        <w:gridCol w:w="1956"/>
        <w:gridCol w:w="1985"/>
        <w:gridCol w:w="1984"/>
        <w:gridCol w:w="1985"/>
      </w:tblGrid>
      <w:tr w:rsidR="0030517B" w:rsidRPr="00CA099F" w:rsidTr="00A105BE">
        <w:trPr>
          <w:trHeight w:val="827"/>
          <w:jc w:val="center"/>
        </w:trPr>
        <w:tc>
          <w:tcPr>
            <w:tcW w:w="1730" w:type="dxa"/>
            <w:vMerge w:val="restart"/>
            <w:tcBorders>
              <w:top w:val="single" w:sz="4" w:space="0" w:color="auto"/>
              <w:left w:val="single" w:sz="4" w:space="0" w:color="auto"/>
              <w:right w:val="single" w:sz="4" w:space="0" w:color="auto"/>
              <w:tl2br w:val="single" w:sz="4" w:space="0" w:color="auto"/>
            </w:tcBorders>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     Термін</w:t>
            </w:r>
          </w:p>
          <w:p w:rsidR="00A105BE" w:rsidRDefault="00A105BE" w:rsidP="00E1448E">
            <w:pPr>
              <w:spacing w:after="160" w:line="259" w:lineRule="auto"/>
              <w:rPr>
                <w:rFonts w:eastAsia="Calibri" w:cs="Times New Roman"/>
                <w:szCs w:val="28"/>
              </w:rPr>
            </w:pPr>
          </w:p>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Показник</w:t>
            </w:r>
          </w:p>
        </w:tc>
        <w:tc>
          <w:tcPr>
            <w:tcW w:w="1956"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6 місяць</w:t>
            </w:r>
          </w:p>
        </w:tc>
        <w:tc>
          <w:tcPr>
            <w:tcW w:w="1984"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9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12 місяць</w:t>
            </w:r>
          </w:p>
        </w:tc>
      </w:tr>
      <w:tr w:rsidR="0030517B" w:rsidRPr="00CA099F" w:rsidTr="00E1448E">
        <w:trPr>
          <w:trHeight w:val="358"/>
          <w:jc w:val="center"/>
        </w:trPr>
        <w:tc>
          <w:tcPr>
            <w:tcW w:w="1730" w:type="dxa"/>
            <w:vMerge/>
            <w:tcBorders>
              <w:left w:val="single" w:sz="4" w:space="0" w:color="auto"/>
              <w:bottom w:val="single" w:sz="4" w:space="0" w:color="auto"/>
              <w:right w:val="single" w:sz="4" w:space="0" w:color="auto"/>
              <w:tl2br w:val="single" w:sz="4" w:space="0" w:color="auto"/>
            </w:tcBorders>
          </w:tcPr>
          <w:p w:rsidR="0030517B" w:rsidRPr="00CA099F" w:rsidRDefault="0030517B" w:rsidP="00E1448E">
            <w:pPr>
              <w:spacing w:after="160" w:line="259" w:lineRule="auto"/>
              <w:rPr>
                <w:rFonts w:eastAsia="Calibri" w:cs="Times New Roman"/>
                <w:szCs w:val="28"/>
              </w:rPr>
            </w:pPr>
          </w:p>
        </w:tc>
        <w:tc>
          <w:tcPr>
            <w:tcW w:w="1956"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2</w:t>
            </w:r>
          </w:p>
        </w:tc>
        <w:tc>
          <w:tcPr>
            <w:tcW w:w="1984"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4</w:t>
            </w:r>
          </w:p>
        </w:tc>
      </w:tr>
      <w:tr w:rsidR="0030517B" w:rsidRPr="00CA099F" w:rsidTr="00E1448E">
        <w:tblPrEx>
          <w:tblLook w:val="04A0" w:firstRow="1" w:lastRow="0" w:firstColumn="1" w:lastColumn="0" w:noHBand="0" w:noVBand="1"/>
        </w:tblPrEx>
        <w:trPr>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П1</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5 (25%)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6 (30%)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5 (25%)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4 (20%)</w:t>
            </w:r>
          </w:p>
        </w:tc>
      </w:tr>
      <w:tr w:rsidR="0030517B" w:rsidRPr="00CA099F" w:rsidTr="00E1448E">
        <w:tblPrEx>
          <w:tblLook w:val="04A0" w:firstRow="1" w:lastRow="0" w:firstColumn="1" w:lastColumn="0" w:noHBand="0" w:noVBand="1"/>
        </w:tblPrEx>
        <w:trPr>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10 (50%)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13 (65%)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13 (65%)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14 (70%)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1 (5%)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r>
      <w:tr w:rsidR="0030517B" w:rsidRPr="00CA099F" w:rsidTr="00E1448E">
        <w:tblPrEx>
          <w:tblLook w:val="04A0" w:firstRow="1" w:lastRow="0" w:firstColumn="1" w:lastColumn="0" w:noHBand="0" w:noVBand="1"/>
        </w:tblPrEx>
        <w:trPr>
          <w:trHeight w:val="136"/>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П2</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9 (45%)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14 (70%)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15 (75%)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15 (75%)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9 (45%)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6 (30%)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5 (25%)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5 (25%)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r>
      <w:tr w:rsidR="0030517B" w:rsidRPr="00CA099F" w:rsidTr="00E1448E">
        <w:tblPrEx>
          <w:tblLook w:val="04A0" w:firstRow="1" w:lastRow="0" w:firstColumn="1" w:lastColumn="0" w:noHBand="0" w:noVBand="1"/>
        </w:tblPrEx>
        <w:trPr>
          <w:trHeight w:val="458"/>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П3</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9 (45%)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11 (55%)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12 (60%)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17 (85%)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7 (35%)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6 (30%)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6 (30%)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3 (15%)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1 (5%)</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П4</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11 (55%)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10 (50%)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3 (15%)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2 (10%)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1 (5%)</w:t>
            </w:r>
          </w:p>
        </w:tc>
      </w:tr>
      <w:tr w:rsidR="0030517B" w:rsidRPr="00CA099F" w:rsidTr="00E1448E">
        <w:tblPrEx>
          <w:tblLook w:val="04A0" w:firstRow="1" w:lastRow="0" w:firstColumn="1" w:lastColumn="0" w:noHBand="0" w:noVBand="1"/>
        </w:tblPrEx>
        <w:trPr>
          <w:trHeight w:val="429"/>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1 (5%)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r>
    </w:tbl>
    <w:p w:rsidR="0030517B" w:rsidRPr="00CA099F" w:rsidRDefault="0030517B" w:rsidP="0030517B">
      <w:pPr>
        <w:spacing w:after="160" w:line="259" w:lineRule="auto"/>
        <w:jc w:val="right"/>
        <w:rPr>
          <w:rFonts w:eastAsia="Calibri" w:cs="Times New Roman"/>
          <w:i/>
          <w:sz w:val="28"/>
          <w:szCs w:val="28"/>
        </w:rPr>
      </w:pPr>
      <w:r w:rsidRPr="00CA099F">
        <w:rPr>
          <w:rFonts w:eastAsia="Calibri" w:cs="Times New Roman"/>
          <w:i/>
          <w:sz w:val="28"/>
          <w:szCs w:val="28"/>
        </w:rPr>
        <w:t>Продовження таблиці 6.2</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1956"/>
        <w:gridCol w:w="1985"/>
        <w:gridCol w:w="1984"/>
        <w:gridCol w:w="1985"/>
      </w:tblGrid>
      <w:tr w:rsidR="0030517B" w:rsidRPr="00CA099F" w:rsidTr="00E1448E">
        <w:trPr>
          <w:trHeight w:val="583"/>
          <w:jc w:val="center"/>
        </w:trPr>
        <w:tc>
          <w:tcPr>
            <w:tcW w:w="1730"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lastRenderedPageBreak/>
              <w:t>Показник</w:t>
            </w:r>
          </w:p>
        </w:tc>
        <w:tc>
          <w:tcPr>
            <w:tcW w:w="1956"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2</w:t>
            </w:r>
          </w:p>
        </w:tc>
        <w:tc>
          <w:tcPr>
            <w:tcW w:w="1984"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4</w:t>
            </w:r>
          </w:p>
        </w:tc>
      </w:tr>
      <w:tr w:rsidR="0030517B" w:rsidRPr="00CA099F" w:rsidTr="00E1448E">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П5</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16 (80%)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16 (80%)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17 (85%)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18 (90%)</w:t>
            </w:r>
          </w:p>
        </w:tc>
      </w:tr>
      <w:tr w:rsidR="0030517B" w:rsidRPr="00CA099F" w:rsidTr="00E1448E">
        <w:trPr>
          <w:trHeight w:val="124"/>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3 (15%)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2 (10%)</w:t>
            </w:r>
          </w:p>
        </w:tc>
      </w:tr>
      <w:tr w:rsidR="0030517B" w:rsidRPr="00CA099F" w:rsidTr="00E1448E">
        <w:trPr>
          <w:trHeight w:val="355"/>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1 (5%)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0 (0%)</w:t>
            </w:r>
          </w:p>
        </w:tc>
      </w:tr>
      <w:tr w:rsidR="0030517B" w:rsidRPr="00CA099F" w:rsidTr="00E1448E">
        <w:trPr>
          <w:jc w:val="center"/>
        </w:trPr>
        <w:tc>
          <w:tcPr>
            <w:tcW w:w="1730"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Примітка</w:t>
            </w:r>
          </w:p>
        </w:tc>
        <w:tc>
          <w:tcPr>
            <w:tcW w:w="1956"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p&gt;0,0003</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p&gt;0,0017</w:t>
            </w:r>
          </w:p>
        </w:tc>
        <w:tc>
          <w:tcPr>
            <w:tcW w:w="1984"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p&gt;0,0001</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p&gt;0,0004</w:t>
            </w:r>
          </w:p>
        </w:tc>
      </w:tr>
    </w:tbl>
    <w:p w:rsidR="0030517B" w:rsidRPr="00CA099F" w:rsidRDefault="0030517B" w:rsidP="0030517B">
      <w:pPr>
        <w:spacing w:after="0" w:line="360" w:lineRule="auto"/>
        <w:jc w:val="both"/>
        <w:rPr>
          <w:rFonts w:eastAsia="SimSun" w:cs="Times New Roman"/>
          <w:sz w:val="28"/>
          <w:szCs w:val="28"/>
          <w:lang w:eastAsia="zh-CN"/>
        </w:rPr>
      </w:pPr>
    </w:p>
    <w:p w:rsidR="00C612ED"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При аналізі динаміки змін показника П1 в 2 групі </w:t>
      </w:r>
      <w:r w:rsidR="00D96DA9">
        <w:rPr>
          <w:rFonts w:eastAsia="Calibri" w:cs="Times New Roman"/>
          <w:sz w:val="28"/>
          <w:szCs w:val="28"/>
        </w:rPr>
        <w:t>пацієнтів</w:t>
      </w:r>
      <w:r w:rsidRPr="00CA099F">
        <w:rPr>
          <w:rFonts w:eastAsia="Calibri" w:cs="Times New Roman"/>
          <w:sz w:val="28"/>
          <w:szCs w:val="28"/>
        </w:rPr>
        <w:t xml:space="preserve"> слід зауважити, що їх характер свідчить про наявність як функціонального так і косметичного ефекту від авторської ме</w:t>
      </w:r>
      <w:r w:rsidR="008B65D0">
        <w:rPr>
          <w:rFonts w:eastAsia="Calibri" w:cs="Times New Roman"/>
          <w:sz w:val="28"/>
          <w:szCs w:val="28"/>
        </w:rPr>
        <w:t>тодики подвійної інтра- та пост</w:t>
      </w:r>
      <w:r w:rsidRPr="00CA099F">
        <w:rPr>
          <w:rFonts w:eastAsia="Calibri" w:cs="Times New Roman"/>
          <w:sz w:val="28"/>
          <w:szCs w:val="28"/>
        </w:rPr>
        <w:t>операційної профілактики утворення патологічних рубців шкіри. Вже на 3 місяць спостереження вірогідність утворення н</w:t>
      </w:r>
      <w:r w:rsidR="008B65D0">
        <w:rPr>
          <w:rFonts w:eastAsia="Calibri" w:cs="Times New Roman"/>
          <w:sz w:val="28"/>
          <w:szCs w:val="28"/>
        </w:rPr>
        <w:t>ормотрофічного рубця встановлюється</w:t>
      </w:r>
      <w:r w:rsidRPr="00CA099F">
        <w:rPr>
          <w:rFonts w:eastAsia="Calibri" w:cs="Times New Roman"/>
          <w:sz w:val="28"/>
          <w:szCs w:val="28"/>
        </w:rPr>
        <w:t xml:space="preserve"> у 70% пацієнтів. Атрофічні рубцевозмінені тканини фікс</w:t>
      </w:r>
      <w:r w:rsidR="008B65D0">
        <w:rPr>
          <w:rFonts w:eastAsia="Calibri" w:cs="Times New Roman"/>
          <w:sz w:val="28"/>
          <w:szCs w:val="28"/>
        </w:rPr>
        <w:t>уються</w:t>
      </w:r>
      <w:r w:rsidRPr="00CA099F">
        <w:rPr>
          <w:rFonts w:eastAsia="Calibri" w:cs="Times New Roman"/>
          <w:sz w:val="28"/>
          <w:szCs w:val="28"/>
        </w:rPr>
        <w:t xml:space="preserve"> у 15% пацієнтів, і лише в </w:t>
      </w:r>
      <w:r w:rsidR="008B65D0">
        <w:rPr>
          <w:rFonts w:eastAsia="Calibri" w:cs="Times New Roman"/>
          <w:sz w:val="28"/>
          <w:szCs w:val="28"/>
        </w:rPr>
        <w:t>5% випадках</w:t>
      </w:r>
      <w:r w:rsidR="00803C75">
        <w:rPr>
          <w:rFonts w:eastAsia="Calibri" w:cs="Times New Roman"/>
          <w:sz w:val="28"/>
          <w:szCs w:val="28"/>
        </w:rPr>
        <w:t xml:space="preserve"> –</w:t>
      </w:r>
      <w:r w:rsidRPr="00CA099F">
        <w:rPr>
          <w:rFonts w:eastAsia="Calibri" w:cs="Times New Roman"/>
          <w:sz w:val="28"/>
          <w:szCs w:val="28"/>
        </w:rPr>
        <w:t xml:space="preserve"> вірогідні вузликові розростання в ділянці латерального краю рубця. Ознак келоїдизації рубцевозмінених тканин також не виявл</w:t>
      </w:r>
      <w:r w:rsidR="00803C75">
        <w:rPr>
          <w:rFonts w:eastAsia="Calibri" w:cs="Times New Roman"/>
          <w:sz w:val="28"/>
          <w:szCs w:val="28"/>
        </w:rPr>
        <w:t>яється</w:t>
      </w:r>
      <w:r w:rsidRPr="00CA099F">
        <w:rPr>
          <w:rFonts w:eastAsia="Calibri" w:cs="Times New Roman"/>
          <w:sz w:val="28"/>
          <w:szCs w:val="28"/>
        </w:rPr>
        <w:t xml:space="preserve">, </w:t>
      </w:r>
      <w:r w:rsidR="00E939D3" w:rsidRPr="006B23DA">
        <w:rPr>
          <w:rFonts w:eastAsia="Calibri" w:cs="Times New Roman"/>
          <w:sz w:val="28"/>
          <w:szCs w:val="28"/>
        </w:rPr>
        <w:t>у 10% випадків наявні ознаки гіпертрофічного рубця.</w:t>
      </w:r>
      <w:r w:rsidR="00E939D3">
        <w:rPr>
          <w:rFonts w:eastAsia="Calibri" w:cs="Times New Roman"/>
          <w:sz w:val="28"/>
          <w:szCs w:val="28"/>
        </w:rPr>
        <w:t xml:space="preserve"> </w:t>
      </w:r>
    </w:p>
    <w:p w:rsidR="0030517B" w:rsidRPr="00CA099F" w:rsidRDefault="00E939D3" w:rsidP="003236D6">
      <w:pPr>
        <w:spacing w:after="160" w:line="360" w:lineRule="auto"/>
        <w:ind w:firstLine="708"/>
        <w:jc w:val="both"/>
        <w:rPr>
          <w:rFonts w:eastAsia="Calibri" w:cs="Times New Roman"/>
          <w:sz w:val="28"/>
          <w:szCs w:val="28"/>
        </w:rPr>
      </w:pPr>
      <w:r>
        <w:rPr>
          <w:rFonts w:eastAsia="Calibri" w:cs="Times New Roman"/>
          <w:sz w:val="28"/>
          <w:szCs w:val="28"/>
        </w:rPr>
        <w:t>Н</w:t>
      </w:r>
      <w:r w:rsidR="0030517B" w:rsidRPr="00CA099F">
        <w:rPr>
          <w:rFonts w:eastAsia="Calibri" w:cs="Times New Roman"/>
          <w:sz w:val="28"/>
          <w:szCs w:val="28"/>
        </w:rPr>
        <w:t xml:space="preserve">а 12 місяць в </w:t>
      </w:r>
      <w:r w:rsidR="00803C75">
        <w:rPr>
          <w:rFonts w:eastAsia="Calibri" w:cs="Times New Roman"/>
          <w:sz w:val="28"/>
          <w:szCs w:val="28"/>
        </w:rPr>
        <w:t>10%</w:t>
      </w:r>
      <w:r w:rsidR="0030517B" w:rsidRPr="00CA099F">
        <w:rPr>
          <w:rFonts w:eastAsia="Calibri" w:cs="Times New Roman"/>
          <w:sz w:val="28"/>
          <w:szCs w:val="28"/>
        </w:rPr>
        <w:t xml:space="preserve"> випадках спостерігається атрофічний гомогенний рубець, в 5% – гіпертрофічний</w:t>
      </w:r>
      <w:r w:rsidR="00803C75">
        <w:rPr>
          <w:rFonts w:eastAsia="Calibri" w:cs="Times New Roman"/>
          <w:sz w:val="28"/>
          <w:szCs w:val="28"/>
        </w:rPr>
        <w:t>. Ознак келоїдизації не виявляється</w:t>
      </w:r>
      <w:r w:rsidR="0030517B" w:rsidRPr="00CA099F">
        <w:rPr>
          <w:rFonts w:eastAsia="Calibri" w:cs="Times New Roman"/>
          <w:sz w:val="28"/>
          <w:szCs w:val="28"/>
        </w:rPr>
        <w:t>, а у 85% пацієнтів спостерігається нормотрофічний рубець, що повністю співпадає з даними літератури [</w:t>
      </w:r>
      <w:r w:rsidR="0030517B" w:rsidRPr="00CA099F">
        <w:rPr>
          <w:rFonts w:eastAsia="Calibri" w:cs="Times New Roman"/>
          <w:sz w:val="28"/>
          <w:szCs w:val="28"/>
          <w:lang w:val="ru-RU"/>
        </w:rPr>
        <w:t>107</w:t>
      </w:r>
      <w:r w:rsidR="0030517B" w:rsidRPr="00CA099F">
        <w:rPr>
          <w:rFonts w:eastAsia="Calibri" w:cs="Times New Roman"/>
          <w:sz w:val="28"/>
          <w:szCs w:val="28"/>
        </w:rPr>
        <w:t>, 1</w:t>
      </w:r>
      <w:r w:rsidR="0030517B" w:rsidRPr="00CA099F">
        <w:rPr>
          <w:rFonts w:eastAsia="Calibri" w:cs="Times New Roman"/>
          <w:sz w:val="28"/>
          <w:szCs w:val="28"/>
          <w:lang w:val="ru-RU"/>
        </w:rPr>
        <w:t>34</w:t>
      </w:r>
      <w:r w:rsidR="0030517B" w:rsidRPr="00CA099F">
        <w:rPr>
          <w:rFonts w:eastAsia="Calibri" w:cs="Times New Roman"/>
          <w:sz w:val="28"/>
          <w:szCs w:val="28"/>
        </w:rPr>
        <w:t>, 1</w:t>
      </w:r>
      <w:r w:rsidR="0030517B" w:rsidRPr="00CA099F">
        <w:rPr>
          <w:rFonts w:eastAsia="Calibri" w:cs="Times New Roman"/>
          <w:sz w:val="28"/>
          <w:szCs w:val="28"/>
          <w:lang w:val="ru-RU"/>
        </w:rPr>
        <w:t>48</w:t>
      </w:r>
      <w:r w:rsidR="0030517B" w:rsidRPr="00CA099F">
        <w:rPr>
          <w:rFonts w:eastAsia="Calibri" w:cs="Times New Roman"/>
          <w:sz w:val="28"/>
          <w:szCs w:val="28"/>
        </w:rPr>
        <w:t>].</w:t>
      </w:r>
    </w:p>
    <w:p w:rsidR="008652C5"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Ефективність запропонованої методики нами підтверджена при дослідження динаміки клінічних змін показника П2 на 6 місяць та його невеликі зміни протягом всього подальшого періоду спостереження. Так в указаний термін нормаль</w:t>
      </w:r>
      <w:r w:rsidR="001E75A4">
        <w:rPr>
          <w:rFonts w:eastAsia="Calibri" w:cs="Times New Roman"/>
          <w:sz w:val="28"/>
          <w:szCs w:val="28"/>
        </w:rPr>
        <w:t xml:space="preserve">на консистенція визначається у </w:t>
      </w:r>
      <w:r w:rsidRPr="00CA099F">
        <w:rPr>
          <w:rFonts w:eastAsia="Calibri" w:cs="Times New Roman"/>
          <w:sz w:val="28"/>
          <w:szCs w:val="28"/>
        </w:rPr>
        <w:t xml:space="preserve">80% </w:t>
      </w:r>
      <w:r w:rsidR="00D96DA9">
        <w:rPr>
          <w:rFonts w:eastAsia="Calibri" w:cs="Times New Roman"/>
          <w:sz w:val="28"/>
          <w:szCs w:val="28"/>
        </w:rPr>
        <w:t>пацієнтів</w:t>
      </w:r>
      <w:r w:rsidR="001E75A4">
        <w:rPr>
          <w:rFonts w:eastAsia="Calibri" w:cs="Times New Roman"/>
          <w:sz w:val="28"/>
          <w:szCs w:val="28"/>
        </w:rPr>
        <w:t xml:space="preserve">, у </w:t>
      </w:r>
      <w:r w:rsidRPr="00CA099F">
        <w:rPr>
          <w:rFonts w:eastAsia="Calibri" w:cs="Times New Roman"/>
          <w:sz w:val="28"/>
          <w:szCs w:val="28"/>
        </w:rPr>
        <w:t>20% пацієнтів пальпуються поодинокі осередки ущільнення в центральній частині без їх наявності в маргінальних краях рубця</w:t>
      </w:r>
      <w:r w:rsidR="001E75A4">
        <w:rPr>
          <w:rFonts w:eastAsia="Calibri" w:cs="Times New Roman"/>
          <w:sz w:val="28"/>
          <w:szCs w:val="28"/>
        </w:rPr>
        <w:t xml:space="preserve">. </w:t>
      </w:r>
    </w:p>
    <w:p w:rsidR="0030517B" w:rsidRPr="00CA099F" w:rsidRDefault="001E75A4" w:rsidP="003236D6">
      <w:pPr>
        <w:spacing w:after="160" w:line="360" w:lineRule="auto"/>
        <w:ind w:firstLine="708"/>
        <w:jc w:val="both"/>
        <w:rPr>
          <w:rFonts w:eastAsia="Calibri" w:cs="Times New Roman"/>
          <w:sz w:val="28"/>
          <w:szCs w:val="28"/>
        </w:rPr>
      </w:pPr>
      <w:r>
        <w:rPr>
          <w:rFonts w:eastAsia="Calibri" w:cs="Times New Roman"/>
          <w:sz w:val="28"/>
          <w:szCs w:val="28"/>
        </w:rPr>
        <w:t xml:space="preserve">На 12 місяць у </w:t>
      </w:r>
      <w:r w:rsidR="0030517B" w:rsidRPr="00CA099F">
        <w:rPr>
          <w:rFonts w:eastAsia="Calibri" w:cs="Times New Roman"/>
          <w:sz w:val="28"/>
          <w:szCs w:val="28"/>
        </w:rPr>
        <w:t>90% пацієнтів пальпаторно визначається нормаль</w:t>
      </w:r>
      <w:r>
        <w:rPr>
          <w:rFonts w:eastAsia="Calibri" w:cs="Times New Roman"/>
          <w:sz w:val="28"/>
          <w:szCs w:val="28"/>
        </w:rPr>
        <w:t>на консистенція рубця, в 10%</w:t>
      </w:r>
      <w:r w:rsidR="0030517B" w:rsidRPr="00CA099F">
        <w:rPr>
          <w:rFonts w:eastAsia="Calibri" w:cs="Times New Roman"/>
          <w:sz w:val="28"/>
          <w:szCs w:val="28"/>
        </w:rPr>
        <w:t xml:space="preserve"> випадках візуалізується лише поодинокий осередок </w:t>
      </w:r>
      <w:r w:rsidR="0030517B" w:rsidRPr="00CA099F">
        <w:rPr>
          <w:rFonts w:eastAsia="Calibri" w:cs="Times New Roman"/>
          <w:sz w:val="28"/>
          <w:szCs w:val="28"/>
        </w:rPr>
        <w:lastRenderedPageBreak/>
        <w:t>ущільнення в центральній частині рубця за умов глибокої пальпації рубця без видимих ознак індурації.</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Дані щодо кольору рубця при аналізі показника П3 свідчать про позитивний вплив запропонованої методики на 6 місяць спостереження: близький до норми стан ш</w:t>
      </w:r>
      <w:r w:rsidR="001E75A4">
        <w:rPr>
          <w:rFonts w:eastAsia="Calibri" w:cs="Times New Roman"/>
          <w:sz w:val="28"/>
          <w:szCs w:val="28"/>
        </w:rPr>
        <w:t xml:space="preserve">кіри нами спостерігається в </w:t>
      </w:r>
      <w:r w:rsidRPr="00CA099F">
        <w:rPr>
          <w:rFonts w:eastAsia="Calibri" w:cs="Times New Roman"/>
          <w:sz w:val="28"/>
          <w:szCs w:val="28"/>
        </w:rPr>
        <w:t>65% випадках. У 25%</w:t>
      </w:r>
      <w:r w:rsidR="001E75A4">
        <w:rPr>
          <w:rFonts w:eastAsia="Calibri" w:cs="Times New Roman"/>
          <w:sz w:val="28"/>
          <w:szCs w:val="28"/>
        </w:rPr>
        <w:t xml:space="preserve"> пацієнтів встановлюються</w:t>
      </w:r>
      <w:r w:rsidRPr="00CA099F">
        <w:rPr>
          <w:rFonts w:eastAsia="Calibri" w:cs="Times New Roman"/>
          <w:sz w:val="28"/>
          <w:szCs w:val="28"/>
        </w:rPr>
        <w:t xml:space="preserve"> ознаки помірної еритеми, кількість пацієнтів з вираженою еритемою зменшується до 10%, а </w:t>
      </w:r>
      <w:r w:rsidR="001E75A4">
        <w:rPr>
          <w:rFonts w:eastAsia="Calibri" w:cs="Times New Roman"/>
          <w:sz w:val="28"/>
          <w:szCs w:val="28"/>
        </w:rPr>
        <w:t>до</w:t>
      </w:r>
      <w:r w:rsidRPr="00CA099F">
        <w:rPr>
          <w:rFonts w:eastAsia="Calibri" w:cs="Times New Roman"/>
          <w:sz w:val="28"/>
          <w:szCs w:val="28"/>
        </w:rPr>
        <w:t xml:space="preserve"> 12 місяц</w:t>
      </w:r>
      <w:r w:rsidR="001E75A4">
        <w:rPr>
          <w:rFonts w:eastAsia="Calibri" w:cs="Times New Roman"/>
          <w:sz w:val="28"/>
          <w:szCs w:val="28"/>
        </w:rPr>
        <w:t>я</w:t>
      </w:r>
      <w:r w:rsidRPr="00CA099F">
        <w:rPr>
          <w:rFonts w:eastAsia="Calibri" w:cs="Times New Roman"/>
          <w:sz w:val="28"/>
          <w:szCs w:val="28"/>
        </w:rPr>
        <w:t xml:space="preserve"> – </w:t>
      </w:r>
      <w:r w:rsidR="001E75A4">
        <w:rPr>
          <w:rFonts w:eastAsia="Calibri" w:cs="Times New Roman"/>
          <w:sz w:val="28"/>
          <w:szCs w:val="28"/>
        </w:rPr>
        <w:t>зникає</w:t>
      </w:r>
      <w:r w:rsidRPr="00CA099F">
        <w:rPr>
          <w:rFonts w:eastAsia="Calibri" w:cs="Times New Roman"/>
          <w:sz w:val="28"/>
          <w:szCs w:val="28"/>
        </w:rPr>
        <w:t>.</w:t>
      </w:r>
    </w:p>
    <w:p w:rsidR="00C612ED"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Аналіз показника П4 свідчить про поступове зменшення його цифрових даних протягом всього періоду спостереження із суттєвим покращенням клінічної картини на 9 місяць післяопераційного періоду: на напруженість рубця скаржиться </w:t>
      </w:r>
      <w:r w:rsidR="000C2338">
        <w:rPr>
          <w:rFonts w:eastAsia="Calibri" w:cs="Times New Roman"/>
          <w:sz w:val="28"/>
          <w:szCs w:val="28"/>
        </w:rPr>
        <w:t>15%</w:t>
      </w:r>
      <w:r w:rsidRPr="00CA099F">
        <w:rPr>
          <w:rFonts w:eastAsia="Calibri" w:cs="Times New Roman"/>
          <w:sz w:val="28"/>
          <w:szCs w:val="28"/>
        </w:rPr>
        <w:t xml:space="preserve"> </w:t>
      </w:r>
      <w:r w:rsidR="00D96DA9">
        <w:rPr>
          <w:rFonts w:eastAsia="Calibri" w:cs="Times New Roman"/>
          <w:sz w:val="28"/>
          <w:szCs w:val="28"/>
        </w:rPr>
        <w:t>пацієнтів</w:t>
      </w:r>
      <w:r w:rsidRPr="00CA099F">
        <w:rPr>
          <w:rFonts w:eastAsia="Calibri" w:cs="Times New Roman"/>
          <w:sz w:val="28"/>
          <w:szCs w:val="28"/>
        </w:rPr>
        <w:t xml:space="preserve">, скарг на біль, печію та свербіж не відзначається. На 12 місяць кількість </w:t>
      </w:r>
      <w:r w:rsidR="00D96DA9">
        <w:rPr>
          <w:rFonts w:eastAsia="Calibri" w:cs="Times New Roman"/>
          <w:sz w:val="28"/>
          <w:szCs w:val="28"/>
        </w:rPr>
        <w:t>пацієнтів</w:t>
      </w:r>
      <w:r w:rsidRPr="00CA099F">
        <w:rPr>
          <w:rFonts w:eastAsia="Calibri" w:cs="Times New Roman"/>
          <w:sz w:val="28"/>
          <w:szCs w:val="28"/>
        </w:rPr>
        <w:t>, що скаржаться на напруженість рубцевозм</w:t>
      </w:r>
      <w:r w:rsidR="000C2338">
        <w:rPr>
          <w:rFonts w:eastAsia="Calibri" w:cs="Times New Roman"/>
          <w:sz w:val="28"/>
          <w:szCs w:val="28"/>
        </w:rPr>
        <w:t>інених тканин зменшується до 5%</w:t>
      </w:r>
      <w:r w:rsidRPr="00CA099F">
        <w:rPr>
          <w:rFonts w:eastAsia="Calibri" w:cs="Times New Roman"/>
          <w:sz w:val="28"/>
          <w:szCs w:val="28"/>
        </w:rPr>
        <w:t>.</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 Зміни показника П5 свідчать про збільшення кількості </w:t>
      </w:r>
      <w:r w:rsidR="00D96DA9">
        <w:rPr>
          <w:rFonts w:eastAsia="Calibri" w:cs="Times New Roman"/>
          <w:sz w:val="28"/>
          <w:szCs w:val="28"/>
        </w:rPr>
        <w:t>пацієнтів</w:t>
      </w:r>
      <w:r w:rsidRPr="00CA099F">
        <w:rPr>
          <w:rFonts w:eastAsia="Calibri" w:cs="Times New Roman"/>
          <w:sz w:val="28"/>
          <w:szCs w:val="28"/>
        </w:rPr>
        <w:t xml:space="preserve"> з ознакою малої площі протягом всього періоду спостереження з повною відсутністю пацієнтів з ознаками великої площі, що, безумовно, підкреслює якість проведеної методики профілактики.</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Дані, щодо динаміки змін клінічних показників утворення рубцевозмінених тканин у </w:t>
      </w:r>
      <w:r w:rsidR="00D96DA9">
        <w:rPr>
          <w:rFonts w:eastAsia="Calibri" w:cs="Times New Roman"/>
          <w:sz w:val="28"/>
          <w:szCs w:val="28"/>
        </w:rPr>
        <w:t>пацієнтів</w:t>
      </w:r>
      <w:r w:rsidRPr="00CA099F">
        <w:rPr>
          <w:rFonts w:eastAsia="Calibri" w:cs="Times New Roman"/>
          <w:sz w:val="28"/>
          <w:szCs w:val="28"/>
        </w:rPr>
        <w:t xml:space="preserve"> 2 клінічної групи наведено в таблиці 6.3.</w:t>
      </w:r>
    </w:p>
    <w:p w:rsidR="008652C5" w:rsidRDefault="008652C5" w:rsidP="0030517B">
      <w:pPr>
        <w:spacing w:after="160" w:line="360" w:lineRule="auto"/>
        <w:jc w:val="right"/>
        <w:rPr>
          <w:rFonts w:eastAsia="Calibri" w:cs="Times New Roman"/>
          <w:i/>
          <w:sz w:val="28"/>
          <w:szCs w:val="28"/>
        </w:rPr>
      </w:pPr>
    </w:p>
    <w:p w:rsidR="008652C5" w:rsidRDefault="008652C5" w:rsidP="0030517B">
      <w:pPr>
        <w:spacing w:after="160" w:line="360" w:lineRule="auto"/>
        <w:jc w:val="right"/>
        <w:rPr>
          <w:rFonts w:eastAsia="Calibri" w:cs="Times New Roman"/>
          <w:i/>
          <w:sz w:val="28"/>
          <w:szCs w:val="28"/>
        </w:rPr>
      </w:pPr>
    </w:p>
    <w:p w:rsidR="008652C5" w:rsidRDefault="008652C5" w:rsidP="0030517B">
      <w:pPr>
        <w:spacing w:after="160" w:line="360" w:lineRule="auto"/>
        <w:jc w:val="right"/>
        <w:rPr>
          <w:rFonts w:eastAsia="Calibri" w:cs="Times New Roman"/>
          <w:i/>
          <w:sz w:val="28"/>
          <w:szCs w:val="28"/>
        </w:rPr>
      </w:pPr>
    </w:p>
    <w:p w:rsidR="008652C5" w:rsidRDefault="008652C5" w:rsidP="0030517B">
      <w:pPr>
        <w:spacing w:after="160" w:line="360" w:lineRule="auto"/>
        <w:jc w:val="right"/>
        <w:rPr>
          <w:rFonts w:eastAsia="Calibri" w:cs="Times New Roman"/>
          <w:i/>
          <w:sz w:val="28"/>
          <w:szCs w:val="28"/>
        </w:rPr>
      </w:pPr>
    </w:p>
    <w:p w:rsidR="008652C5" w:rsidRDefault="008652C5" w:rsidP="0030517B">
      <w:pPr>
        <w:spacing w:after="160" w:line="360" w:lineRule="auto"/>
        <w:jc w:val="right"/>
        <w:rPr>
          <w:rFonts w:eastAsia="Calibri" w:cs="Times New Roman"/>
          <w:i/>
          <w:sz w:val="28"/>
          <w:szCs w:val="28"/>
        </w:rPr>
      </w:pP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t>Таблиця 6.3</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lastRenderedPageBreak/>
        <w:t>Динаміка клінічних змін показників у пацієнтів 2 групи на різних етапах післяопераційного періоду</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0"/>
        <w:gridCol w:w="1956"/>
        <w:gridCol w:w="1985"/>
        <w:gridCol w:w="1984"/>
        <w:gridCol w:w="1985"/>
      </w:tblGrid>
      <w:tr w:rsidR="0030517B" w:rsidRPr="00CA099F" w:rsidTr="00E1448E">
        <w:trPr>
          <w:trHeight w:val="1152"/>
          <w:jc w:val="center"/>
        </w:trPr>
        <w:tc>
          <w:tcPr>
            <w:tcW w:w="1730" w:type="dxa"/>
            <w:vMerge w:val="restart"/>
            <w:tcBorders>
              <w:top w:val="single" w:sz="4" w:space="0" w:color="auto"/>
              <w:left w:val="single" w:sz="4" w:space="0" w:color="auto"/>
              <w:right w:val="single" w:sz="4" w:space="0" w:color="auto"/>
              <w:tl2br w:val="single" w:sz="4" w:space="0" w:color="auto"/>
            </w:tcBorders>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 xml:space="preserve">     Термін</w:t>
            </w:r>
          </w:p>
          <w:p w:rsidR="0030517B" w:rsidRPr="00CA099F" w:rsidRDefault="0030517B" w:rsidP="00E1448E">
            <w:pPr>
              <w:spacing w:after="160" w:line="259" w:lineRule="auto"/>
              <w:rPr>
                <w:rFonts w:eastAsia="Calibri" w:cs="Times New Roman"/>
                <w:szCs w:val="28"/>
              </w:rPr>
            </w:pPr>
          </w:p>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Показник</w:t>
            </w:r>
          </w:p>
        </w:tc>
        <w:tc>
          <w:tcPr>
            <w:tcW w:w="1956"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6 місяць</w:t>
            </w:r>
          </w:p>
        </w:tc>
        <w:tc>
          <w:tcPr>
            <w:tcW w:w="1984"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9 місяць</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p>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12 місяць</w:t>
            </w:r>
          </w:p>
        </w:tc>
      </w:tr>
      <w:tr w:rsidR="0030517B" w:rsidRPr="00CA099F" w:rsidTr="00E1448E">
        <w:trPr>
          <w:trHeight w:val="358"/>
          <w:jc w:val="center"/>
        </w:trPr>
        <w:tc>
          <w:tcPr>
            <w:tcW w:w="1730" w:type="dxa"/>
            <w:vMerge/>
            <w:tcBorders>
              <w:left w:val="single" w:sz="4" w:space="0" w:color="auto"/>
              <w:bottom w:val="single" w:sz="4" w:space="0" w:color="auto"/>
              <w:right w:val="single" w:sz="4" w:space="0" w:color="auto"/>
              <w:tl2br w:val="single" w:sz="4" w:space="0" w:color="auto"/>
            </w:tcBorders>
          </w:tcPr>
          <w:p w:rsidR="0030517B" w:rsidRPr="00CA099F" w:rsidRDefault="0030517B" w:rsidP="00E1448E">
            <w:pPr>
              <w:spacing w:after="160" w:line="259" w:lineRule="auto"/>
              <w:rPr>
                <w:rFonts w:eastAsia="Calibri" w:cs="Times New Roman"/>
                <w:szCs w:val="28"/>
              </w:rPr>
            </w:pPr>
          </w:p>
        </w:tc>
        <w:tc>
          <w:tcPr>
            <w:tcW w:w="1956"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1</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2</w:t>
            </w:r>
          </w:p>
        </w:tc>
        <w:tc>
          <w:tcPr>
            <w:tcW w:w="1984"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3</w:t>
            </w:r>
          </w:p>
        </w:tc>
        <w:tc>
          <w:tcPr>
            <w:tcW w:w="1985" w:type="dxa"/>
            <w:tcBorders>
              <w:top w:val="single" w:sz="4" w:space="0" w:color="auto"/>
              <w:left w:val="single" w:sz="4" w:space="0" w:color="auto"/>
              <w:bottom w:val="single" w:sz="4" w:space="0" w:color="auto"/>
              <w:right w:val="single" w:sz="4" w:space="0" w:color="auto"/>
            </w:tcBorders>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4</w:t>
            </w:r>
          </w:p>
        </w:tc>
      </w:tr>
      <w:tr w:rsidR="0030517B" w:rsidRPr="00CA099F" w:rsidTr="00E1448E">
        <w:tblPrEx>
          <w:tblLook w:val="04A0" w:firstRow="1" w:lastRow="0" w:firstColumn="1" w:lastColumn="0" w:noHBand="0" w:noVBand="1"/>
        </w:tblPrEx>
        <w:trPr>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П1</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3 (15%)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А – 2 (10%)</w:t>
            </w:r>
          </w:p>
        </w:tc>
      </w:tr>
      <w:tr w:rsidR="0030517B" w:rsidRPr="00CA099F" w:rsidTr="00E1448E">
        <w:tblPrEx>
          <w:tblLook w:val="04A0" w:firstRow="1" w:lastRow="0" w:firstColumn="1" w:lastColumn="0" w:noHBand="0" w:noVBand="1"/>
        </w:tblPrEx>
        <w:trPr>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14 (70%)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16 (80%)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17 (85%)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17 (85%)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1 (5%)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г</w:t>
            </w:r>
            <w:r w:rsidRPr="00CA099F">
              <w:rPr>
                <w:rFonts w:eastAsia="Calibri" w:cs="Times New Roman"/>
                <w:sz w:val="28"/>
                <w:szCs w:val="28"/>
              </w:rPr>
              <w:t xml:space="preserve"> – 1 (5%)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Г</w:t>
            </w:r>
            <w:r w:rsidRPr="00CA099F">
              <w:rPr>
                <w:rFonts w:eastAsia="Calibri" w:cs="Times New Roman"/>
                <w:sz w:val="28"/>
                <w:szCs w:val="28"/>
                <w:vertAlign w:val="subscript"/>
              </w:rPr>
              <w:t>в</w:t>
            </w:r>
            <w:r w:rsidRPr="00CA099F">
              <w:rPr>
                <w:rFonts w:eastAsia="Calibri" w:cs="Times New Roman"/>
                <w:sz w:val="28"/>
                <w:szCs w:val="28"/>
              </w:rPr>
              <w:t xml:space="preserve"> – 0 (0%)</w:t>
            </w:r>
          </w:p>
        </w:tc>
      </w:tr>
      <w:tr w:rsidR="0030517B" w:rsidRPr="00CA099F" w:rsidTr="00E1448E">
        <w:tblPrEx>
          <w:tblLook w:val="04A0" w:firstRow="1" w:lastRow="0" w:firstColumn="1" w:lastColumn="0" w:noHBand="0" w:noVBand="1"/>
        </w:tblPrEx>
        <w:trPr>
          <w:trHeight w:val="136"/>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К – 0 (0%)</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П2</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12 (60%)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16 (80%)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16 (80%)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18 (90%)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8 (40%)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4 (20%)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У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І – 0 (0%)</w:t>
            </w:r>
          </w:p>
        </w:tc>
      </w:tr>
      <w:tr w:rsidR="0030517B" w:rsidRPr="00CA099F" w:rsidTr="00E1448E">
        <w:tblPrEx>
          <w:tblLook w:val="04A0" w:firstRow="1" w:lastRow="0" w:firstColumn="1" w:lastColumn="0" w:noHBand="0" w:noVBand="1"/>
        </w:tblPrEx>
        <w:trPr>
          <w:trHeight w:val="458"/>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П3</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11 (55%)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13 (65%)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15 (75%)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 – 18 (90%)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7 (35%)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5 (25%)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4 (20%)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п</w:t>
            </w:r>
            <w:r w:rsidRPr="00CA099F">
              <w:rPr>
                <w:rFonts w:eastAsia="Calibri" w:cs="Times New Roman"/>
                <w:sz w:val="28"/>
                <w:szCs w:val="28"/>
              </w:rPr>
              <w:t xml:space="preserve"> – 2 (10%)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2 (10%)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2 (10%)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Е</w:t>
            </w:r>
            <w:r w:rsidRPr="00CA099F">
              <w:rPr>
                <w:rFonts w:eastAsia="Calibri" w:cs="Times New Roman"/>
                <w:sz w:val="28"/>
                <w:szCs w:val="28"/>
                <w:vertAlign w:val="subscript"/>
              </w:rPr>
              <w:t>в</w:t>
            </w:r>
            <w:r w:rsidRPr="00CA099F">
              <w:rPr>
                <w:rFonts w:eastAsia="Calibri" w:cs="Times New Roman"/>
                <w:sz w:val="28"/>
                <w:szCs w:val="28"/>
              </w:rPr>
              <w:t xml:space="preserve"> – 0 (0%)</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П4</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6 (30%)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5 (25%)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Н</w:t>
            </w:r>
            <w:r w:rsidRPr="00CA099F">
              <w:rPr>
                <w:rFonts w:eastAsia="Calibri" w:cs="Times New Roman"/>
                <w:sz w:val="28"/>
                <w:szCs w:val="28"/>
                <w:vertAlign w:val="subscript"/>
              </w:rPr>
              <w:t>ж</w:t>
            </w:r>
            <w:r w:rsidRPr="00CA099F">
              <w:rPr>
                <w:rFonts w:eastAsia="Calibri" w:cs="Times New Roman"/>
                <w:sz w:val="28"/>
                <w:szCs w:val="28"/>
              </w:rPr>
              <w:t xml:space="preserve"> – 1 (5%)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2(10%)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С – 0 (0%)</w:t>
            </w:r>
          </w:p>
        </w:tc>
      </w:tr>
      <w:tr w:rsidR="0030517B" w:rsidRPr="00CA099F" w:rsidTr="00E1448E">
        <w:tblPrEx>
          <w:tblLook w:val="04A0" w:firstRow="1" w:lastRow="0" w:firstColumn="1" w:lastColumn="0" w:noHBand="0" w:noVBand="1"/>
        </w:tblPrEx>
        <w:trPr>
          <w:trHeight w:val="429"/>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П – 0 (0%)</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jc w:val="center"/>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Б – 0 (0%)</w:t>
            </w:r>
          </w:p>
        </w:tc>
      </w:tr>
      <w:tr w:rsidR="0030517B" w:rsidRPr="00CA099F" w:rsidTr="00E1448E">
        <w:tblPrEx>
          <w:tblLook w:val="04A0" w:firstRow="1" w:lastRow="0" w:firstColumn="1" w:lastColumn="0" w:noHBand="0" w:noVBand="1"/>
        </w:tblPrEx>
        <w:trPr>
          <w:trHeight w:val="583"/>
          <w:jc w:val="center"/>
        </w:trPr>
        <w:tc>
          <w:tcPr>
            <w:tcW w:w="1730" w:type="dxa"/>
            <w:vMerge w:val="restart"/>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П5</w:t>
            </w: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17 (85%)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17 (85%)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19 (95%)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1 – 19 (95%)</w:t>
            </w:r>
          </w:p>
        </w:tc>
      </w:tr>
      <w:tr w:rsidR="0030517B" w:rsidRPr="00CA099F" w:rsidTr="00E1448E">
        <w:tblPrEx>
          <w:tblLook w:val="04A0" w:firstRow="1" w:lastRow="0" w:firstColumn="1" w:lastColumn="0" w:noHBand="0" w:noVBand="1"/>
        </w:tblPrEx>
        <w:trPr>
          <w:trHeight w:val="124"/>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3 (15%)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3 (15%)</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1 (5%)</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2 – 1 (5%)</w:t>
            </w:r>
          </w:p>
        </w:tc>
      </w:tr>
      <w:tr w:rsidR="0030517B" w:rsidRPr="00CA099F" w:rsidTr="00E1448E">
        <w:tblPrEx>
          <w:tblLook w:val="04A0" w:firstRow="1" w:lastRow="0" w:firstColumn="1" w:lastColumn="0" w:noHBand="0" w:noVBand="1"/>
        </w:tblPrEx>
        <w:trPr>
          <w:trHeight w:val="355"/>
          <w:jc w:val="center"/>
        </w:trPr>
        <w:tc>
          <w:tcPr>
            <w:tcW w:w="1730" w:type="dxa"/>
            <w:vMerge/>
            <w:shd w:val="clear" w:color="auto" w:fill="auto"/>
          </w:tcPr>
          <w:p w:rsidR="0030517B" w:rsidRPr="00CA099F" w:rsidRDefault="0030517B" w:rsidP="00E1448E">
            <w:pPr>
              <w:spacing w:after="160" w:line="259" w:lineRule="auto"/>
              <w:rPr>
                <w:rFonts w:eastAsia="Calibri" w:cs="Times New Roman"/>
                <w:szCs w:val="28"/>
              </w:rPr>
            </w:pPr>
          </w:p>
        </w:tc>
        <w:tc>
          <w:tcPr>
            <w:tcW w:w="1956"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0 (0%)</w:t>
            </w:r>
          </w:p>
        </w:tc>
        <w:tc>
          <w:tcPr>
            <w:tcW w:w="1984"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0 (0%)</w:t>
            </w:r>
          </w:p>
        </w:tc>
        <w:tc>
          <w:tcPr>
            <w:tcW w:w="1985" w:type="dxa"/>
            <w:shd w:val="clear" w:color="auto" w:fill="auto"/>
          </w:tcPr>
          <w:p w:rsidR="0030517B" w:rsidRPr="00CA099F" w:rsidRDefault="0030517B" w:rsidP="00E1448E">
            <w:pPr>
              <w:spacing w:after="160" w:line="259" w:lineRule="auto"/>
              <w:rPr>
                <w:rFonts w:eastAsia="Calibri" w:cs="Times New Roman"/>
                <w:szCs w:val="28"/>
              </w:rPr>
            </w:pPr>
            <w:r w:rsidRPr="00CA099F">
              <w:rPr>
                <w:rFonts w:eastAsia="Calibri" w:cs="Times New Roman"/>
                <w:sz w:val="28"/>
                <w:szCs w:val="28"/>
              </w:rPr>
              <w:t>3 – 0 (0%)</w:t>
            </w:r>
          </w:p>
        </w:tc>
      </w:tr>
      <w:tr w:rsidR="0030517B" w:rsidRPr="00CA099F" w:rsidTr="00E1448E">
        <w:tblPrEx>
          <w:tblLook w:val="04A0" w:firstRow="1" w:lastRow="0" w:firstColumn="1" w:lastColumn="0" w:noHBand="0" w:noVBand="1"/>
        </w:tblPrEx>
        <w:trPr>
          <w:jc w:val="center"/>
        </w:trPr>
        <w:tc>
          <w:tcPr>
            <w:tcW w:w="1730"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Примітка</w:t>
            </w:r>
          </w:p>
        </w:tc>
        <w:tc>
          <w:tcPr>
            <w:tcW w:w="1956"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p&gt;0,0003</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p&gt;0,0017</w:t>
            </w:r>
          </w:p>
        </w:tc>
        <w:tc>
          <w:tcPr>
            <w:tcW w:w="1984"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p&gt;0,0001</w:t>
            </w:r>
          </w:p>
        </w:tc>
        <w:tc>
          <w:tcPr>
            <w:tcW w:w="1985" w:type="dxa"/>
            <w:shd w:val="clear" w:color="auto" w:fill="auto"/>
          </w:tcPr>
          <w:p w:rsidR="0030517B" w:rsidRPr="00CA099F" w:rsidRDefault="0030517B" w:rsidP="00E1448E">
            <w:pPr>
              <w:spacing w:after="160" w:line="259" w:lineRule="auto"/>
              <w:jc w:val="center"/>
              <w:rPr>
                <w:rFonts w:eastAsia="Calibri" w:cs="Times New Roman"/>
                <w:szCs w:val="28"/>
              </w:rPr>
            </w:pPr>
            <w:r w:rsidRPr="00CA099F">
              <w:rPr>
                <w:rFonts w:eastAsia="Calibri" w:cs="Times New Roman"/>
                <w:sz w:val="28"/>
                <w:szCs w:val="28"/>
              </w:rPr>
              <w:t>p&gt;0,0004</w:t>
            </w:r>
          </w:p>
        </w:tc>
      </w:tr>
    </w:tbl>
    <w:p w:rsidR="0030517B" w:rsidRPr="00CA099F" w:rsidRDefault="0030517B" w:rsidP="0030517B">
      <w:pPr>
        <w:spacing w:after="0" w:line="360" w:lineRule="auto"/>
        <w:jc w:val="both"/>
        <w:rPr>
          <w:rFonts w:eastAsia="SimSun" w:cs="Times New Roman"/>
          <w:sz w:val="28"/>
          <w:szCs w:val="28"/>
          <w:lang w:eastAsia="zh-CN"/>
        </w:rPr>
      </w:pP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 xml:space="preserve">При цифровому аналізі температурних показників рубцевозмінених тканин у </w:t>
      </w:r>
      <w:r w:rsidR="00D96DA9">
        <w:rPr>
          <w:rFonts w:eastAsia="Calibri" w:cs="Times New Roman"/>
          <w:sz w:val="28"/>
          <w:szCs w:val="28"/>
        </w:rPr>
        <w:t>пацієнтів</w:t>
      </w:r>
      <w:r w:rsidRPr="00CA099F">
        <w:rPr>
          <w:rFonts w:eastAsia="Calibri" w:cs="Times New Roman"/>
          <w:sz w:val="28"/>
          <w:szCs w:val="28"/>
        </w:rPr>
        <w:t xml:space="preserve"> контрольної групи слід відзначити, що найменша </w:t>
      </w:r>
      <w:r w:rsidRPr="00CA099F">
        <w:rPr>
          <w:rFonts w:eastAsia="Calibri" w:cs="Times New Roman"/>
          <w:sz w:val="28"/>
          <w:szCs w:val="28"/>
        </w:rPr>
        <w:lastRenderedPageBreak/>
        <w:t>температура спостеріга</w:t>
      </w:r>
      <w:r w:rsidR="000C2338">
        <w:rPr>
          <w:rFonts w:eastAsia="Calibri" w:cs="Times New Roman"/>
          <w:sz w:val="28"/>
          <w:szCs w:val="28"/>
        </w:rPr>
        <w:t>єть</w:t>
      </w:r>
      <w:r w:rsidRPr="00CA099F">
        <w:rPr>
          <w:rFonts w:eastAsia="Calibri" w:cs="Times New Roman"/>
          <w:sz w:val="28"/>
          <w:szCs w:val="28"/>
        </w:rPr>
        <w:t xml:space="preserve">ся в центральній частині рубця протягом всього терміну спостереження. </w:t>
      </w:r>
    </w:p>
    <w:p w:rsidR="0030517B" w:rsidRPr="00CA099F" w:rsidRDefault="0030517B" w:rsidP="003236D6">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У кінцевих краях зафіксовані дещо більші показники, при чому, різниця у температурі між медіальним та латеральним краями рубця у </w:t>
      </w:r>
      <w:r w:rsidR="000C2338">
        <w:rPr>
          <w:rFonts w:eastAsia="Calibri" w:cs="Times New Roman"/>
          <w:sz w:val="28"/>
          <w:szCs w:val="28"/>
        </w:rPr>
        <w:t>середньому коливаєть</w:t>
      </w:r>
      <w:r w:rsidRPr="00CA099F">
        <w:rPr>
          <w:rFonts w:eastAsia="Calibri" w:cs="Times New Roman"/>
          <w:sz w:val="28"/>
          <w:szCs w:val="28"/>
        </w:rPr>
        <w:t>ся в межах 0,7±0,5 °С, що свідчить про розлади мікроциркуляції та гіпоксичний стан в певних ділянках рубця (табл. 6.4).</w:t>
      </w:r>
    </w:p>
    <w:p w:rsidR="0030517B" w:rsidRPr="00CA099F" w:rsidRDefault="0030517B" w:rsidP="0030517B">
      <w:pPr>
        <w:spacing w:after="160" w:line="360" w:lineRule="auto"/>
        <w:jc w:val="right"/>
        <w:rPr>
          <w:rFonts w:eastAsia="Calibri" w:cs="Times New Roman"/>
          <w:i/>
          <w:sz w:val="28"/>
          <w:szCs w:val="28"/>
        </w:rPr>
      </w:pP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t>Таблиця 6.4</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t>Динаміка змін показників температури рубця у пацієнтів контрольної групи на різних етапах післяопераційного періоду</w:t>
      </w:r>
    </w:p>
    <w:tbl>
      <w:tblPr>
        <w:tblStyle w:val="a9"/>
        <w:tblW w:w="0" w:type="auto"/>
        <w:tblLook w:val="04A0" w:firstRow="1" w:lastRow="0" w:firstColumn="1" w:lastColumn="0" w:noHBand="0" w:noVBand="1"/>
      </w:tblPr>
      <w:tblGrid>
        <w:gridCol w:w="2013"/>
        <w:gridCol w:w="1833"/>
        <w:gridCol w:w="1833"/>
        <w:gridCol w:w="1833"/>
        <w:gridCol w:w="1833"/>
      </w:tblGrid>
      <w:tr w:rsidR="0030517B" w:rsidRPr="00CA099F" w:rsidTr="008652C5">
        <w:tc>
          <w:tcPr>
            <w:tcW w:w="2012" w:type="dxa"/>
          </w:tcPr>
          <w:p w:rsidR="0030517B" w:rsidRPr="00CA099F" w:rsidRDefault="0030517B" w:rsidP="00E1448E">
            <w:pPr>
              <w:spacing w:line="360" w:lineRule="auto"/>
              <w:jc w:val="center"/>
              <w:rPr>
                <w:sz w:val="28"/>
                <w:szCs w:val="28"/>
              </w:rPr>
            </w:pPr>
            <w:r w:rsidRPr="00CA099F">
              <w:rPr>
                <w:sz w:val="28"/>
                <w:szCs w:val="28"/>
              </w:rPr>
              <w:t>Термін спостереження</w:t>
            </w:r>
          </w:p>
        </w:tc>
        <w:tc>
          <w:tcPr>
            <w:tcW w:w="1869" w:type="dxa"/>
          </w:tcPr>
          <w:p w:rsidR="0030517B" w:rsidRPr="00CA099F" w:rsidRDefault="0030517B" w:rsidP="00E1448E">
            <w:pPr>
              <w:spacing w:line="360" w:lineRule="auto"/>
              <w:jc w:val="center"/>
              <w:rPr>
                <w:sz w:val="28"/>
                <w:szCs w:val="28"/>
              </w:rPr>
            </w:pPr>
            <w:r w:rsidRPr="00CA099F">
              <w:rPr>
                <w:sz w:val="28"/>
                <w:szCs w:val="28"/>
              </w:rPr>
              <w:t>3 місяць</w:t>
            </w:r>
          </w:p>
        </w:tc>
        <w:tc>
          <w:tcPr>
            <w:tcW w:w="1869" w:type="dxa"/>
          </w:tcPr>
          <w:p w:rsidR="0030517B" w:rsidRPr="00CA099F" w:rsidRDefault="0030517B" w:rsidP="00E1448E">
            <w:pPr>
              <w:spacing w:line="360" w:lineRule="auto"/>
              <w:jc w:val="center"/>
              <w:rPr>
                <w:sz w:val="28"/>
                <w:szCs w:val="28"/>
              </w:rPr>
            </w:pPr>
            <w:r w:rsidRPr="00CA099F">
              <w:rPr>
                <w:sz w:val="28"/>
                <w:szCs w:val="28"/>
              </w:rPr>
              <w:t>6 місяць</w:t>
            </w:r>
          </w:p>
        </w:tc>
        <w:tc>
          <w:tcPr>
            <w:tcW w:w="1869" w:type="dxa"/>
          </w:tcPr>
          <w:p w:rsidR="0030517B" w:rsidRPr="00CA099F" w:rsidRDefault="0030517B" w:rsidP="00E1448E">
            <w:pPr>
              <w:spacing w:line="360" w:lineRule="auto"/>
              <w:jc w:val="center"/>
              <w:rPr>
                <w:sz w:val="28"/>
                <w:szCs w:val="28"/>
              </w:rPr>
            </w:pPr>
            <w:r w:rsidRPr="00CA099F">
              <w:rPr>
                <w:sz w:val="28"/>
                <w:szCs w:val="28"/>
              </w:rPr>
              <w:t>9 місяць</w:t>
            </w:r>
          </w:p>
        </w:tc>
        <w:tc>
          <w:tcPr>
            <w:tcW w:w="1869" w:type="dxa"/>
          </w:tcPr>
          <w:p w:rsidR="0030517B" w:rsidRPr="00CA099F" w:rsidRDefault="0030517B" w:rsidP="00E1448E">
            <w:pPr>
              <w:spacing w:line="360" w:lineRule="auto"/>
              <w:jc w:val="center"/>
              <w:rPr>
                <w:sz w:val="28"/>
                <w:szCs w:val="28"/>
              </w:rPr>
            </w:pPr>
            <w:r w:rsidRPr="00CA099F">
              <w:rPr>
                <w:sz w:val="28"/>
                <w:szCs w:val="28"/>
              </w:rPr>
              <w:t>12 місяць</w:t>
            </w:r>
          </w:p>
        </w:tc>
      </w:tr>
      <w:tr w:rsidR="0030517B" w:rsidRPr="00CA099F" w:rsidTr="008652C5">
        <w:tc>
          <w:tcPr>
            <w:tcW w:w="2012" w:type="dxa"/>
          </w:tcPr>
          <w:p w:rsidR="0030517B" w:rsidRPr="00CA099F" w:rsidRDefault="0030517B" w:rsidP="00E1448E">
            <w:pPr>
              <w:spacing w:line="360" w:lineRule="auto"/>
              <w:jc w:val="center"/>
              <w:rPr>
                <w:sz w:val="28"/>
                <w:szCs w:val="28"/>
              </w:rPr>
            </w:pPr>
            <w:r w:rsidRPr="00CA099F">
              <w:rPr>
                <w:sz w:val="28"/>
                <w:szCs w:val="28"/>
              </w:rPr>
              <w:t>Центральна частина рубця</w:t>
            </w:r>
          </w:p>
        </w:tc>
        <w:tc>
          <w:tcPr>
            <w:tcW w:w="1869" w:type="dxa"/>
          </w:tcPr>
          <w:p w:rsidR="0030517B" w:rsidRPr="00CA099F" w:rsidRDefault="0030517B" w:rsidP="00E1448E">
            <w:pPr>
              <w:spacing w:line="360" w:lineRule="auto"/>
              <w:jc w:val="center"/>
              <w:rPr>
                <w:sz w:val="28"/>
                <w:szCs w:val="28"/>
              </w:rPr>
            </w:pPr>
            <w:r w:rsidRPr="00CA099F">
              <w:rPr>
                <w:sz w:val="28"/>
                <w:szCs w:val="28"/>
              </w:rPr>
              <w:t>24,9±0,7 ̽</w:t>
            </w:r>
          </w:p>
        </w:tc>
        <w:tc>
          <w:tcPr>
            <w:tcW w:w="1869" w:type="dxa"/>
          </w:tcPr>
          <w:p w:rsidR="0030517B" w:rsidRPr="00CA099F" w:rsidRDefault="0030517B" w:rsidP="00E1448E">
            <w:pPr>
              <w:spacing w:line="360" w:lineRule="auto"/>
              <w:jc w:val="center"/>
              <w:rPr>
                <w:sz w:val="28"/>
                <w:szCs w:val="28"/>
              </w:rPr>
            </w:pPr>
            <w:r w:rsidRPr="00CA099F">
              <w:rPr>
                <w:sz w:val="28"/>
                <w:szCs w:val="28"/>
              </w:rPr>
              <w:t>26,8±1,2</w:t>
            </w:r>
          </w:p>
        </w:tc>
        <w:tc>
          <w:tcPr>
            <w:tcW w:w="1869" w:type="dxa"/>
          </w:tcPr>
          <w:p w:rsidR="0030517B" w:rsidRPr="00CA099F" w:rsidRDefault="0030517B" w:rsidP="00E1448E">
            <w:pPr>
              <w:spacing w:line="360" w:lineRule="auto"/>
              <w:jc w:val="center"/>
              <w:rPr>
                <w:sz w:val="28"/>
                <w:szCs w:val="28"/>
              </w:rPr>
            </w:pPr>
            <w:r w:rsidRPr="00CA099F">
              <w:rPr>
                <w:sz w:val="28"/>
                <w:szCs w:val="28"/>
              </w:rPr>
              <w:t>28,1±1,1 ̽</w:t>
            </w:r>
          </w:p>
        </w:tc>
        <w:tc>
          <w:tcPr>
            <w:tcW w:w="1869" w:type="dxa"/>
          </w:tcPr>
          <w:p w:rsidR="0030517B" w:rsidRPr="00CA099F" w:rsidRDefault="0030517B" w:rsidP="00E1448E">
            <w:pPr>
              <w:spacing w:line="360" w:lineRule="auto"/>
              <w:jc w:val="center"/>
              <w:rPr>
                <w:sz w:val="28"/>
                <w:szCs w:val="28"/>
              </w:rPr>
            </w:pPr>
            <w:r w:rsidRPr="00CA099F">
              <w:rPr>
                <w:sz w:val="28"/>
                <w:szCs w:val="28"/>
              </w:rPr>
              <w:t>29,7±0,7</w:t>
            </w:r>
          </w:p>
        </w:tc>
      </w:tr>
      <w:tr w:rsidR="0030517B" w:rsidRPr="00CA099F" w:rsidTr="008652C5">
        <w:tc>
          <w:tcPr>
            <w:tcW w:w="2012" w:type="dxa"/>
          </w:tcPr>
          <w:p w:rsidR="0030517B" w:rsidRPr="00CA099F" w:rsidRDefault="0030517B" w:rsidP="00E1448E">
            <w:pPr>
              <w:spacing w:line="360" w:lineRule="auto"/>
              <w:jc w:val="center"/>
              <w:rPr>
                <w:sz w:val="28"/>
                <w:szCs w:val="28"/>
              </w:rPr>
            </w:pPr>
            <w:r w:rsidRPr="00CA099F">
              <w:rPr>
                <w:sz w:val="28"/>
                <w:szCs w:val="28"/>
              </w:rPr>
              <w:t>Медіальний край</w:t>
            </w:r>
          </w:p>
        </w:tc>
        <w:tc>
          <w:tcPr>
            <w:tcW w:w="1869" w:type="dxa"/>
          </w:tcPr>
          <w:p w:rsidR="0030517B" w:rsidRPr="00CA099F" w:rsidRDefault="0030517B" w:rsidP="00E1448E">
            <w:pPr>
              <w:spacing w:line="360" w:lineRule="auto"/>
              <w:jc w:val="center"/>
              <w:rPr>
                <w:sz w:val="28"/>
                <w:szCs w:val="28"/>
              </w:rPr>
            </w:pPr>
            <w:r w:rsidRPr="00CA099F">
              <w:rPr>
                <w:sz w:val="28"/>
                <w:szCs w:val="28"/>
              </w:rPr>
              <w:t>29,8±0,9</w:t>
            </w:r>
          </w:p>
        </w:tc>
        <w:tc>
          <w:tcPr>
            <w:tcW w:w="1869" w:type="dxa"/>
          </w:tcPr>
          <w:p w:rsidR="0030517B" w:rsidRPr="00CA099F" w:rsidRDefault="0030517B" w:rsidP="00E1448E">
            <w:pPr>
              <w:spacing w:line="360" w:lineRule="auto"/>
              <w:jc w:val="center"/>
              <w:rPr>
                <w:sz w:val="28"/>
                <w:szCs w:val="28"/>
              </w:rPr>
            </w:pPr>
            <w:r w:rsidRPr="00CA099F">
              <w:rPr>
                <w:sz w:val="28"/>
                <w:szCs w:val="28"/>
              </w:rPr>
              <w:t>30,6±1,1 ̽</w:t>
            </w:r>
          </w:p>
        </w:tc>
        <w:tc>
          <w:tcPr>
            <w:tcW w:w="1869" w:type="dxa"/>
          </w:tcPr>
          <w:p w:rsidR="0030517B" w:rsidRPr="00CA099F" w:rsidRDefault="0030517B" w:rsidP="00E1448E">
            <w:pPr>
              <w:spacing w:line="360" w:lineRule="auto"/>
              <w:jc w:val="center"/>
              <w:rPr>
                <w:sz w:val="28"/>
                <w:szCs w:val="28"/>
              </w:rPr>
            </w:pPr>
            <w:r w:rsidRPr="00CA099F">
              <w:rPr>
                <w:sz w:val="28"/>
                <w:szCs w:val="28"/>
              </w:rPr>
              <w:t>31,1±0,9</w:t>
            </w:r>
          </w:p>
        </w:tc>
        <w:tc>
          <w:tcPr>
            <w:tcW w:w="1869" w:type="dxa"/>
          </w:tcPr>
          <w:p w:rsidR="0030517B" w:rsidRPr="00CA099F" w:rsidRDefault="0030517B" w:rsidP="00E1448E">
            <w:pPr>
              <w:spacing w:line="360" w:lineRule="auto"/>
              <w:jc w:val="center"/>
              <w:rPr>
                <w:sz w:val="28"/>
                <w:szCs w:val="28"/>
              </w:rPr>
            </w:pPr>
            <w:r w:rsidRPr="00CA099F">
              <w:rPr>
                <w:sz w:val="28"/>
                <w:szCs w:val="28"/>
              </w:rPr>
              <w:t>32,3±1,2 ̽</w:t>
            </w:r>
          </w:p>
        </w:tc>
      </w:tr>
      <w:tr w:rsidR="0030517B" w:rsidRPr="00CA099F" w:rsidTr="008652C5">
        <w:tc>
          <w:tcPr>
            <w:tcW w:w="2012" w:type="dxa"/>
          </w:tcPr>
          <w:p w:rsidR="0030517B" w:rsidRPr="00CA099F" w:rsidRDefault="0030517B" w:rsidP="00E1448E">
            <w:pPr>
              <w:spacing w:line="360" w:lineRule="auto"/>
              <w:jc w:val="center"/>
              <w:rPr>
                <w:sz w:val="28"/>
                <w:szCs w:val="28"/>
              </w:rPr>
            </w:pPr>
            <w:r w:rsidRPr="00CA099F">
              <w:rPr>
                <w:sz w:val="28"/>
                <w:szCs w:val="28"/>
              </w:rPr>
              <w:t>Латеральний край</w:t>
            </w:r>
          </w:p>
        </w:tc>
        <w:tc>
          <w:tcPr>
            <w:tcW w:w="1869" w:type="dxa"/>
          </w:tcPr>
          <w:p w:rsidR="0030517B" w:rsidRPr="00CA099F" w:rsidRDefault="0030517B" w:rsidP="00E1448E">
            <w:pPr>
              <w:spacing w:line="360" w:lineRule="auto"/>
              <w:jc w:val="center"/>
              <w:rPr>
                <w:sz w:val="28"/>
                <w:szCs w:val="28"/>
              </w:rPr>
            </w:pPr>
            <w:r w:rsidRPr="00CA099F">
              <w:rPr>
                <w:sz w:val="28"/>
                <w:szCs w:val="28"/>
              </w:rPr>
              <w:t>28,7±1,3</w:t>
            </w:r>
          </w:p>
        </w:tc>
        <w:tc>
          <w:tcPr>
            <w:tcW w:w="1869" w:type="dxa"/>
          </w:tcPr>
          <w:p w:rsidR="0030517B" w:rsidRPr="00CA099F" w:rsidRDefault="0030517B" w:rsidP="00E1448E">
            <w:pPr>
              <w:spacing w:line="360" w:lineRule="auto"/>
              <w:jc w:val="center"/>
              <w:rPr>
                <w:sz w:val="28"/>
                <w:szCs w:val="28"/>
              </w:rPr>
            </w:pPr>
            <w:r w:rsidRPr="00CA099F">
              <w:rPr>
                <w:sz w:val="28"/>
                <w:szCs w:val="28"/>
              </w:rPr>
              <w:t>30,1±1,4 ̽</w:t>
            </w:r>
          </w:p>
        </w:tc>
        <w:tc>
          <w:tcPr>
            <w:tcW w:w="1869" w:type="dxa"/>
          </w:tcPr>
          <w:p w:rsidR="0030517B" w:rsidRPr="00CA099F" w:rsidRDefault="0030517B" w:rsidP="00E1448E">
            <w:pPr>
              <w:spacing w:line="360" w:lineRule="auto"/>
              <w:jc w:val="center"/>
              <w:rPr>
                <w:sz w:val="28"/>
                <w:szCs w:val="28"/>
              </w:rPr>
            </w:pPr>
            <w:r w:rsidRPr="00CA099F">
              <w:rPr>
                <w:sz w:val="28"/>
                <w:szCs w:val="28"/>
              </w:rPr>
              <w:t>31,7±1,2</w:t>
            </w:r>
          </w:p>
        </w:tc>
        <w:tc>
          <w:tcPr>
            <w:tcW w:w="1869" w:type="dxa"/>
          </w:tcPr>
          <w:p w:rsidR="0030517B" w:rsidRPr="00CA099F" w:rsidRDefault="0030517B" w:rsidP="00E1448E">
            <w:pPr>
              <w:spacing w:line="360" w:lineRule="auto"/>
              <w:jc w:val="center"/>
              <w:rPr>
                <w:sz w:val="28"/>
                <w:szCs w:val="28"/>
              </w:rPr>
            </w:pPr>
            <w:r w:rsidRPr="00CA099F">
              <w:rPr>
                <w:sz w:val="28"/>
                <w:szCs w:val="28"/>
              </w:rPr>
              <w:t>32,9±1,5</w:t>
            </w:r>
          </w:p>
        </w:tc>
      </w:tr>
      <w:tr w:rsidR="008652C5" w:rsidRPr="00CA099F" w:rsidTr="00B435B1">
        <w:tc>
          <w:tcPr>
            <w:tcW w:w="9488" w:type="dxa"/>
            <w:gridSpan w:val="5"/>
          </w:tcPr>
          <w:p w:rsidR="008652C5" w:rsidRPr="008652C5" w:rsidRDefault="008652C5" w:rsidP="008652C5">
            <w:pPr>
              <w:spacing w:after="160" w:line="360" w:lineRule="auto"/>
              <w:jc w:val="both"/>
              <w:rPr>
                <w:sz w:val="28"/>
                <w:szCs w:val="28"/>
                <w:lang w:val="uk-UA"/>
              </w:rPr>
            </w:pPr>
            <w:r w:rsidRPr="008652C5">
              <w:rPr>
                <w:rFonts w:eastAsia="Calibri" w:cs="Times New Roman"/>
                <w:sz w:val="28"/>
                <w:szCs w:val="28"/>
                <w:lang w:val="uk-UA"/>
              </w:rPr>
              <w:t xml:space="preserve">Примітка: ̽ – відмінності між показниками в різні періоди профілактики з вірогідністю нульової гіпотези </w:t>
            </w:r>
            <w:r w:rsidRPr="00CA099F">
              <w:rPr>
                <w:rFonts w:eastAsia="Calibri" w:cs="Times New Roman"/>
                <w:sz w:val="28"/>
                <w:szCs w:val="28"/>
              </w:rPr>
              <w:t>p</w:t>
            </w:r>
            <w:r w:rsidRPr="008652C5">
              <w:rPr>
                <w:rFonts w:eastAsia="Calibri" w:cs="Times New Roman"/>
                <w:sz w:val="28"/>
                <w:szCs w:val="28"/>
                <w:lang w:val="uk-UA"/>
              </w:rPr>
              <w:t>&lt;0.05 статистично достовірні.</w:t>
            </w:r>
          </w:p>
        </w:tc>
      </w:tr>
    </w:tbl>
    <w:p w:rsidR="008652C5" w:rsidRPr="00CA099F" w:rsidRDefault="008652C5" w:rsidP="0030517B">
      <w:pPr>
        <w:spacing w:after="160" w:line="360" w:lineRule="auto"/>
        <w:jc w:val="both"/>
        <w:rPr>
          <w:rFonts w:eastAsia="Calibri" w:cs="Times New Roman"/>
          <w:sz w:val="28"/>
          <w:szCs w:val="28"/>
        </w:rPr>
      </w:pP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b/>
          <w:sz w:val="28"/>
          <w:szCs w:val="28"/>
        </w:rPr>
        <w:tab/>
      </w:r>
      <w:r w:rsidRPr="00CA099F">
        <w:rPr>
          <w:rFonts w:eastAsia="Calibri" w:cs="Times New Roman"/>
          <w:sz w:val="28"/>
          <w:szCs w:val="28"/>
        </w:rPr>
        <w:t xml:space="preserve">Дещо інша картина спостерігається при аналізі показників термометрії рубцевозмінених тканин у </w:t>
      </w:r>
      <w:r w:rsidR="00D96DA9">
        <w:rPr>
          <w:rFonts w:eastAsia="Calibri" w:cs="Times New Roman"/>
          <w:sz w:val="28"/>
          <w:szCs w:val="28"/>
        </w:rPr>
        <w:t>пацієнтів</w:t>
      </w:r>
      <w:r w:rsidRPr="00CA099F">
        <w:rPr>
          <w:rFonts w:eastAsia="Calibri" w:cs="Times New Roman"/>
          <w:sz w:val="28"/>
          <w:szCs w:val="28"/>
        </w:rPr>
        <w:t xml:space="preserve"> 1 групи. Найменші температурні показники фікс</w:t>
      </w:r>
      <w:r w:rsidR="004D5E40">
        <w:rPr>
          <w:rFonts w:eastAsia="Calibri" w:cs="Times New Roman"/>
          <w:sz w:val="28"/>
          <w:szCs w:val="28"/>
        </w:rPr>
        <w:t>уються</w:t>
      </w:r>
      <w:r w:rsidRPr="00CA099F">
        <w:rPr>
          <w:rFonts w:eastAsia="Calibri" w:cs="Times New Roman"/>
          <w:sz w:val="28"/>
          <w:szCs w:val="28"/>
        </w:rPr>
        <w:t xml:space="preserve"> в центральній частині рубця, найбільші </w:t>
      </w:r>
      <w:r w:rsidR="004D5E40">
        <w:rPr>
          <w:rFonts w:eastAsia="Calibri" w:cs="Times New Roman"/>
          <w:sz w:val="28"/>
          <w:szCs w:val="28"/>
        </w:rPr>
        <w:t xml:space="preserve">– </w:t>
      </w:r>
      <w:r w:rsidRPr="00CA099F">
        <w:rPr>
          <w:rFonts w:eastAsia="Calibri" w:cs="Times New Roman"/>
          <w:sz w:val="28"/>
          <w:szCs w:val="28"/>
        </w:rPr>
        <w:t>в ділянці латерального краю. Також в порівнянні з попередньою групою слід відзначити факт зростання середньої температури на 0,9±0,6 °С (табл. 6.5).</w:t>
      </w: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lastRenderedPageBreak/>
        <w:t>Таблиця 6.5</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t>Динаміка змін показників температури рубця у пацієнтів 1 групи на різних етапах післяопераційного періоду</w:t>
      </w:r>
    </w:p>
    <w:tbl>
      <w:tblPr>
        <w:tblStyle w:val="a9"/>
        <w:tblW w:w="0" w:type="auto"/>
        <w:tblLook w:val="04A0" w:firstRow="1" w:lastRow="0" w:firstColumn="1" w:lastColumn="0" w:noHBand="0" w:noVBand="1"/>
      </w:tblPr>
      <w:tblGrid>
        <w:gridCol w:w="2013"/>
        <w:gridCol w:w="1833"/>
        <w:gridCol w:w="1833"/>
        <w:gridCol w:w="1833"/>
        <w:gridCol w:w="1833"/>
      </w:tblGrid>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Термін спостереження</w:t>
            </w:r>
          </w:p>
        </w:tc>
        <w:tc>
          <w:tcPr>
            <w:tcW w:w="1833" w:type="dxa"/>
          </w:tcPr>
          <w:p w:rsidR="0030517B" w:rsidRPr="00CA099F" w:rsidRDefault="0030517B" w:rsidP="00E1448E">
            <w:pPr>
              <w:spacing w:line="360" w:lineRule="auto"/>
              <w:jc w:val="center"/>
              <w:rPr>
                <w:sz w:val="28"/>
                <w:szCs w:val="28"/>
              </w:rPr>
            </w:pPr>
            <w:r w:rsidRPr="00CA099F">
              <w:rPr>
                <w:sz w:val="28"/>
                <w:szCs w:val="28"/>
              </w:rPr>
              <w:t>3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6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9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12 місяць</w:t>
            </w:r>
          </w:p>
        </w:tc>
      </w:tr>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Центральна частина рубця</w:t>
            </w:r>
          </w:p>
        </w:tc>
        <w:tc>
          <w:tcPr>
            <w:tcW w:w="1833" w:type="dxa"/>
          </w:tcPr>
          <w:p w:rsidR="0030517B" w:rsidRPr="00CA099F" w:rsidRDefault="0030517B" w:rsidP="00E1448E">
            <w:pPr>
              <w:spacing w:line="360" w:lineRule="auto"/>
              <w:jc w:val="center"/>
              <w:rPr>
                <w:sz w:val="28"/>
                <w:szCs w:val="28"/>
              </w:rPr>
            </w:pPr>
            <w:r w:rsidRPr="00CA099F">
              <w:rPr>
                <w:sz w:val="28"/>
                <w:szCs w:val="28"/>
              </w:rPr>
              <w:t>25,6±0,9 ̽</w:t>
            </w:r>
          </w:p>
        </w:tc>
        <w:tc>
          <w:tcPr>
            <w:tcW w:w="1833" w:type="dxa"/>
          </w:tcPr>
          <w:p w:rsidR="0030517B" w:rsidRPr="00CA099F" w:rsidRDefault="0030517B" w:rsidP="00E1448E">
            <w:pPr>
              <w:spacing w:line="360" w:lineRule="auto"/>
              <w:jc w:val="center"/>
              <w:rPr>
                <w:sz w:val="28"/>
                <w:szCs w:val="28"/>
              </w:rPr>
            </w:pPr>
            <w:r w:rsidRPr="00CA099F">
              <w:rPr>
                <w:sz w:val="28"/>
                <w:szCs w:val="28"/>
              </w:rPr>
              <w:t>28,1±1,3</w:t>
            </w:r>
          </w:p>
        </w:tc>
        <w:tc>
          <w:tcPr>
            <w:tcW w:w="1833" w:type="dxa"/>
          </w:tcPr>
          <w:p w:rsidR="0030517B" w:rsidRPr="00CA099F" w:rsidRDefault="0030517B" w:rsidP="00E1448E">
            <w:pPr>
              <w:spacing w:line="360" w:lineRule="auto"/>
              <w:jc w:val="center"/>
              <w:rPr>
                <w:sz w:val="28"/>
                <w:szCs w:val="28"/>
              </w:rPr>
            </w:pPr>
            <w:r w:rsidRPr="00CA099F">
              <w:rPr>
                <w:sz w:val="28"/>
                <w:szCs w:val="28"/>
              </w:rPr>
              <w:t>29,2±1,7 ̽</w:t>
            </w:r>
          </w:p>
        </w:tc>
        <w:tc>
          <w:tcPr>
            <w:tcW w:w="1833" w:type="dxa"/>
          </w:tcPr>
          <w:p w:rsidR="0030517B" w:rsidRPr="00CA099F" w:rsidRDefault="0030517B" w:rsidP="00E1448E">
            <w:pPr>
              <w:spacing w:line="360" w:lineRule="auto"/>
              <w:jc w:val="center"/>
              <w:rPr>
                <w:sz w:val="28"/>
                <w:szCs w:val="28"/>
              </w:rPr>
            </w:pPr>
            <w:r w:rsidRPr="00CA099F">
              <w:rPr>
                <w:sz w:val="28"/>
                <w:szCs w:val="28"/>
              </w:rPr>
              <w:t>30,2±0,8</w:t>
            </w:r>
          </w:p>
        </w:tc>
      </w:tr>
      <w:tr w:rsidR="0003712A" w:rsidRPr="00CA099F" w:rsidTr="00953FC1">
        <w:tc>
          <w:tcPr>
            <w:tcW w:w="2013" w:type="dxa"/>
          </w:tcPr>
          <w:p w:rsidR="0003712A" w:rsidRPr="00CA099F" w:rsidRDefault="0003712A" w:rsidP="00953FC1">
            <w:pPr>
              <w:spacing w:line="360" w:lineRule="auto"/>
              <w:jc w:val="center"/>
              <w:rPr>
                <w:sz w:val="28"/>
                <w:szCs w:val="28"/>
              </w:rPr>
            </w:pPr>
            <w:r w:rsidRPr="00CA099F">
              <w:rPr>
                <w:sz w:val="28"/>
                <w:szCs w:val="28"/>
              </w:rPr>
              <w:t>Медіальний край</w:t>
            </w:r>
          </w:p>
        </w:tc>
        <w:tc>
          <w:tcPr>
            <w:tcW w:w="1833" w:type="dxa"/>
          </w:tcPr>
          <w:p w:rsidR="0003712A" w:rsidRPr="00CA099F" w:rsidRDefault="0003712A" w:rsidP="00953FC1">
            <w:pPr>
              <w:spacing w:line="360" w:lineRule="auto"/>
              <w:jc w:val="center"/>
              <w:rPr>
                <w:sz w:val="28"/>
                <w:szCs w:val="28"/>
              </w:rPr>
            </w:pPr>
            <w:r w:rsidRPr="00CA099F">
              <w:rPr>
                <w:sz w:val="28"/>
                <w:szCs w:val="28"/>
              </w:rPr>
              <w:t>29,9±0,8</w:t>
            </w:r>
          </w:p>
        </w:tc>
        <w:tc>
          <w:tcPr>
            <w:tcW w:w="1833" w:type="dxa"/>
          </w:tcPr>
          <w:p w:rsidR="0003712A" w:rsidRPr="00CA099F" w:rsidRDefault="0003712A" w:rsidP="00953FC1">
            <w:pPr>
              <w:spacing w:line="360" w:lineRule="auto"/>
              <w:jc w:val="center"/>
              <w:rPr>
                <w:sz w:val="28"/>
                <w:szCs w:val="28"/>
              </w:rPr>
            </w:pPr>
            <w:r w:rsidRPr="00CA099F">
              <w:rPr>
                <w:sz w:val="28"/>
                <w:szCs w:val="28"/>
              </w:rPr>
              <w:t>31,1±0,9 ̽</w:t>
            </w:r>
          </w:p>
        </w:tc>
        <w:tc>
          <w:tcPr>
            <w:tcW w:w="1833" w:type="dxa"/>
          </w:tcPr>
          <w:p w:rsidR="0003712A" w:rsidRPr="00CA099F" w:rsidRDefault="0003712A" w:rsidP="00953FC1">
            <w:pPr>
              <w:spacing w:line="360" w:lineRule="auto"/>
              <w:jc w:val="center"/>
              <w:rPr>
                <w:sz w:val="28"/>
                <w:szCs w:val="28"/>
              </w:rPr>
            </w:pPr>
            <w:r w:rsidRPr="00CA099F">
              <w:rPr>
                <w:sz w:val="28"/>
                <w:szCs w:val="28"/>
              </w:rPr>
              <w:t>32,1±1,5</w:t>
            </w:r>
          </w:p>
        </w:tc>
        <w:tc>
          <w:tcPr>
            <w:tcW w:w="1833" w:type="dxa"/>
          </w:tcPr>
          <w:p w:rsidR="0003712A" w:rsidRPr="00CA099F" w:rsidRDefault="0003712A" w:rsidP="00953FC1">
            <w:pPr>
              <w:spacing w:line="360" w:lineRule="auto"/>
              <w:jc w:val="center"/>
              <w:rPr>
                <w:sz w:val="28"/>
                <w:szCs w:val="28"/>
              </w:rPr>
            </w:pPr>
            <w:r w:rsidRPr="00CA099F">
              <w:rPr>
                <w:sz w:val="28"/>
                <w:szCs w:val="28"/>
              </w:rPr>
              <w:t>33,6±1,6 ̽</w:t>
            </w:r>
          </w:p>
        </w:tc>
      </w:tr>
      <w:tr w:rsidR="0003712A" w:rsidRPr="00CA099F" w:rsidTr="00953FC1">
        <w:tc>
          <w:tcPr>
            <w:tcW w:w="2013" w:type="dxa"/>
          </w:tcPr>
          <w:p w:rsidR="0003712A" w:rsidRPr="00CA099F" w:rsidRDefault="0003712A" w:rsidP="00953FC1">
            <w:pPr>
              <w:spacing w:line="360" w:lineRule="auto"/>
              <w:jc w:val="center"/>
              <w:rPr>
                <w:sz w:val="28"/>
                <w:szCs w:val="28"/>
              </w:rPr>
            </w:pPr>
            <w:r w:rsidRPr="00CA099F">
              <w:rPr>
                <w:sz w:val="28"/>
                <w:szCs w:val="28"/>
              </w:rPr>
              <w:t>Латеральний край</w:t>
            </w:r>
          </w:p>
        </w:tc>
        <w:tc>
          <w:tcPr>
            <w:tcW w:w="1833" w:type="dxa"/>
          </w:tcPr>
          <w:p w:rsidR="0003712A" w:rsidRPr="00CA099F" w:rsidRDefault="0003712A" w:rsidP="00953FC1">
            <w:pPr>
              <w:spacing w:line="360" w:lineRule="auto"/>
              <w:jc w:val="center"/>
              <w:rPr>
                <w:sz w:val="28"/>
                <w:szCs w:val="28"/>
              </w:rPr>
            </w:pPr>
            <w:r w:rsidRPr="00CA099F">
              <w:rPr>
                <w:sz w:val="28"/>
                <w:szCs w:val="28"/>
              </w:rPr>
              <w:t>30,2±1,1</w:t>
            </w:r>
          </w:p>
        </w:tc>
        <w:tc>
          <w:tcPr>
            <w:tcW w:w="1833" w:type="dxa"/>
          </w:tcPr>
          <w:p w:rsidR="0003712A" w:rsidRPr="00CA099F" w:rsidRDefault="0003712A" w:rsidP="00953FC1">
            <w:pPr>
              <w:spacing w:line="360" w:lineRule="auto"/>
              <w:jc w:val="center"/>
              <w:rPr>
                <w:sz w:val="28"/>
                <w:szCs w:val="28"/>
              </w:rPr>
            </w:pPr>
            <w:r w:rsidRPr="00CA099F">
              <w:rPr>
                <w:sz w:val="28"/>
                <w:szCs w:val="28"/>
              </w:rPr>
              <w:t>31,3±0,8 ̽</w:t>
            </w:r>
          </w:p>
        </w:tc>
        <w:tc>
          <w:tcPr>
            <w:tcW w:w="1833" w:type="dxa"/>
          </w:tcPr>
          <w:p w:rsidR="0003712A" w:rsidRPr="00CA099F" w:rsidRDefault="0003712A" w:rsidP="00953FC1">
            <w:pPr>
              <w:spacing w:line="360" w:lineRule="auto"/>
              <w:jc w:val="center"/>
              <w:rPr>
                <w:sz w:val="28"/>
                <w:szCs w:val="28"/>
              </w:rPr>
            </w:pPr>
            <w:r w:rsidRPr="00CA099F">
              <w:rPr>
                <w:sz w:val="28"/>
                <w:szCs w:val="28"/>
              </w:rPr>
              <w:t>32,4±1,4</w:t>
            </w:r>
          </w:p>
        </w:tc>
        <w:tc>
          <w:tcPr>
            <w:tcW w:w="1833" w:type="dxa"/>
          </w:tcPr>
          <w:p w:rsidR="0003712A" w:rsidRPr="00CA099F" w:rsidRDefault="0003712A" w:rsidP="00953FC1">
            <w:pPr>
              <w:spacing w:line="360" w:lineRule="auto"/>
              <w:jc w:val="center"/>
              <w:rPr>
                <w:sz w:val="28"/>
                <w:szCs w:val="28"/>
              </w:rPr>
            </w:pPr>
            <w:r w:rsidRPr="00CA099F">
              <w:rPr>
                <w:sz w:val="28"/>
                <w:szCs w:val="28"/>
              </w:rPr>
              <w:t>33,8±1,4</w:t>
            </w:r>
          </w:p>
        </w:tc>
      </w:tr>
      <w:tr w:rsidR="00084587" w:rsidRPr="00CA099F" w:rsidTr="00B435B1">
        <w:tc>
          <w:tcPr>
            <w:tcW w:w="9345" w:type="dxa"/>
            <w:gridSpan w:val="5"/>
          </w:tcPr>
          <w:p w:rsidR="00084587" w:rsidRPr="00084587" w:rsidRDefault="00084587" w:rsidP="00084587">
            <w:pPr>
              <w:spacing w:line="360" w:lineRule="auto"/>
              <w:jc w:val="both"/>
              <w:rPr>
                <w:sz w:val="28"/>
                <w:szCs w:val="28"/>
                <w:lang w:val="uk-UA"/>
              </w:rPr>
            </w:pPr>
            <w:r w:rsidRPr="00084587">
              <w:rPr>
                <w:rFonts w:eastAsia="Calibri" w:cs="Times New Roman"/>
                <w:sz w:val="28"/>
                <w:szCs w:val="28"/>
                <w:lang w:val="uk-UA"/>
              </w:rPr>
              <w:t xml:space="preserve">Примітка: ̽ – відмінності між показниками в різні періоди профілактики з вірогідністю нульової гіпотези </w:t>
            </w:r>
            <w:r w:rsidRPr="00CA099F">
              <w:rPr>
                <w:rFonts w:eastAsia="Calibri" w:cs="Times New Roman"/>
                <w:sz w:val="28"/>
                <w:szCs w:val="28"/>
              </w:rPr>
              <w:t>p</w:t>
            </w:r>
            <w:r w:rsidRPr="00084587">
              <w:rPr>
                <w:rFonts w:eastAsia="Calibri" w:cs="Times New Roman"/>
                <w:sz w:val="28"/>
                <w:szCs w:val="28"/>
                <w:lang w:val="uk-UA"/>
              </w:rPr>
              <w:t>&lt;0.05 статистично достовірні.</w:t>
            </w:r>
          </w:p>
        </w:tc>
      </w:tr>
    </w:tbl>
    <w:p w:rsidR="0030517B" w:rsidRPr="00CA099F" w:rsidRDefault="0030517B" w:rsidP="0030517B">
      <w:pPr>
        <w:spacing w:after="160" w:line="360" w:lineRule="auto"/>
        <w:jc w:val="both"/>
        <w:rPr>
          <w:rFonts w:eastAsia="Calibri" w:cs="Times New Roman"/>
          <w:sz w:val="28"/>
          <w:szCs w:val="28"/>
        </w:rPr>
      </w:pPr>
    </w:p>
    <w:p w:rsidR="0030517B" w:rsidRDefault="0030517B" w:rsidP="0030517B">
      <w:pPr>
        <w:spacing w:after="160" w:line="360" w:lineRule="auto"/>
        <w:jc w:val="both"/>
        <w:rPr>
          <w:rFonts w:eastAsia="Calibri" w:cs="Times New Roman"/>
          <w:sz w:val="28"/>
          <w:szCs w:val="28"/>
        </w:rPr>
      </w:pPr>
      <w:r w:rsidRPr="002F147B">
        <w:rPr>
          <w:rFonts w:eastAsia="Calibri" w:cs="Times New Roman"/>
          <w:sz w:val="28"/>
          <w:szCs w:val="28"/>
        </w:rPr>
        <w:t>При аналізі цифрових термометричних показників пацієнтів 2 групи слід звернути увагу про найвищі показники температури в усіх ділянках рубцевозмінених тканин в середньому на 0,8±0,5 °С.</w:t>
      </w:r>
      <w:r w:rsidRPr="00CA099F">
        <w:rPr>
          <w:rFonts w:eastAsia="Calibri" w:cs="Times New Roman"/>
          <w:sz w:val="28"/>
          <w:szCs w:val="28"/>
        </w:rPr>
        <w:t xml:space="preserve"> Вочевидь, це пов’язано із застосуванням пацієнтам цієї групи церулоплазміну, який суттєво покращує мікроциркуляцію у місці введення (табл. 6.6). </w:t>
      </w:r>
    </w:p>
    <w:p w:rsidR="00084587" w:rsidRPr="00CA099F" w:rsidRDefault="00084587" w:rsidP="00084587">
      <w:pPr>
        <w:spacing w:after="160" w:line="360" w:lineRule="auto"/>
        <w:jc w:val="both"/>
        <w:rPr>
          <w:rFonts w:eastAsia="Calibri" w:cs="Times New Roman"/>
          <w:sz w:val="28"/>
          <w:szCs w:val="28"/>
        </w:rPr>
      </w:pPr>
      <w:r w:rsidRPr="00CA099F">
        <w:rPr>
          <w:rFonts w:eastAsia="Calibri" w:cs="Times New Roman"/>
          <w:sz w:val="28"/>
          <w:szCs w:val="28"/>
        </w:rPr>
        <w:tab/>
        <w:t>На наступному етапі дослідження нами створено морфологічну та біохімічну доказову базу ефективності застосування авторської методики інтра- та пост-операційної профілактики утворення патологічних рубців шкіри.</w:t>
      </w:r>
    </w:p>
    <w:p w:rsidR="00084587" w:rsidRPr="00CA099F" w:rsidRDefault="00084587" w:rsidP="0030517B">
      <w:pPr>
        <w:spacing w:after="160" w:line="360" w:lineRule="auto"/>
        <w:jc w:val="both"/>
        <w:rPr>
          <w:rFonts w:eastAsia="Calibri" w:cs="Times New Roman"/>
          <w:sz w:val="28"/>
          <w:szCs w:val="28"/>
        </w:rPr>
      </w:pPr>
    </w:p>
    <w:p w:rsidR="0030517B" w:rsidRPr="00CA099F" w:rsidRDefault="0030517B" w:rsidP="0030517B">
      <w:pPr>
        <w:spacing w:after="160" w:line="360" w:lineRule="auto"/>
        <w:jc w:val="right"/>
        <w:rPr>
          <w:rFonts w:eastAsia="Calibri" w:cs="Times New Roman"/>
          <w:i/>
          <w:sz w:val="28"/>
          <w:szCs w:val="28"/>
        </w:rPr>
      </w:pPr>
      <w:r w:rsidRPr="00CA099F">
        <w:rPr>
          <w:rFonts w:eastAsia="Calibri" w:cs="Times New Roman"/>
          <w:i/>
          <w:sz w:val="28"/>
          <w:szCs w:val="28"/>
        </w:rPr>
        <w:t>Таблиця 6.6</w:t>
      </w:r>
    </w:p>
    <w:p w:rsidR="0030517B" w:rsidRPr="00CA099F" w:rsidRDefault="0030517B" w:rsidP="0030517B">
      <w:pPr>
        <w:spacing w:after="160" w:line="360" w:lineRule="auto"/>
        <w:jc w:val="center"/>
        <w:rPr>
          <w:rFonts w:eastAsia="Calibri" w:cs="Times New Roman"/>
          <w:b/>
          <w:sz w:val="28"/>
          <w:szCs w:val="28"/>
        </w:rPr>
      </w:pPr>
      <w:r w:rsidRPr="00CA099F">
        <w:rPr>
          <w:rFonts w:eastAsia="Calibri" w:cs="Times New Roman"/>
          <w:b/>
          <w:sz w:val="28"/>
          <w:szCs w:val="28"/>
        </w:rPr>
        <w:lastRenderedPageBreak/>
        <w:t>Динаміка змін показників температури рубця у пацієнтів 2 групи на різних етапах післяопераційного періоду</w:t>
      </w:r>
    </w:p>
    <w:tbl>
      <w:tblPr>
        <w:tblStyle w:val="a9"/>
        <w:tblW w:w="0" w:type="auto"/>
        <w:tblLook w:val="04A0" w:firstRow="1" w:lastRow="0" w:firstColumn="1" w:lastColumn="0" w:noHBand="0" w:noVBand="1"/>
      </w:tblPr>
      <w:tblGrid>
        <w:gridCol w:w="2013"/>
        <w:gridCol w:w="1833"/>
        <w:gridCol w:w="1833"/>
        <w:gridCol w:w="1833"/>
        <w:gridCol w:w="1833"/>
      </w:tblGrid>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Термін спостереження</w:t>
            </w:r>
          </w:p>
        </w:tc>
        <w:tc>
          <w:tcPr>
            <w:tcW w:w="1833" w:type="dxa"/>
          </w:tcPr>
          <w:p w:rsidR="0030517B" w:rsidRPr="00CA099F" w:rsidRDefault="0030517B" w:rsidP="00E1448E">
            <w:pPr>
              <w:spacing w:line="360" w:lineRule="auto"/>
              <w:jc w:val="center"/>
              <w:rPr>
                <w:sz w:val="28"/>
                <w:szCs w:val="28"/>
              </w:rPr>
            </w:pPr>
            <w:r w:rsidRPr="00CA099F">
              <w:rPr>
                <w:sz w:val="28"/>
                <w:szCs w:val="28"/>
              </w:rPr>
              <w:t>3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6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9 місяць</w:t>
            </w:r>
          </w:p>
        </w:tc>
        <w:tc>
          <w:tcPr>
            <w:tcW w:w="1833" w:type="dxa"/>
          </w:tcPr>
          <w:p w:rsidR="0030517B" w:rsidRPr="00CA099F" w:rsidRDefault="0030517B" w:rsidP="00E1448E">
            <w:pPr>
              <w:spacing w:line="360" w:lineRule="auto"/>
              <w:jc w:val="center"/>
              <w:rPr>
                <w:sz w:val="28"/>
                <w:szCs w:val="28"/>
              </w:rPr>
            </w:pPr>
            <w:r w:rsidRPr="00CA099F">
              <w:rPr>
                <w:sz w:val="28"/>
                <w:szCs w:val="28"/>
              </w:rPr>
              <w:t>12 місяць</w:t>
            </w:r>
          </w:p>
        </w:tc>
      </w:tr>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Центральна частина рубця</w:t>
            </w:r>
          </w:p>
        </w:tc>
        <w:tc>
          <w:tcPr>
            <w:tcW w:w="1833" w:type="dxa"/>
          </w:tcPr>
          <w:p w:rsidR="0030517B" w:rsidRPr="00CA099F" w:rsidRDefault="0030517B" w:rsidP="00E1448E">
            <w:pPr>
              <w:spacing w:line="360" w:lineRule="auto"/>
              <w:jc w:val="center"/>
              <w:rPr>
                <w:sz w:val="28"/>
                <w:szCs w:val="28"/>
              </w:rPr>
            </w:pPr>
            <w:r w:rsidRPr="00CA099F">
              <w:rPr>
                <w:sz w:val="28"/>
                <w:szCs w:val="28"/>
              </w:rPr>
              <w:t>26,6±0,8 ̽</w:t>
            </w:r>
          </w:p>
        </w:tc>
        <w:tc>
          <w:tcPr>
            <w:tcW w:w="1833" w:type="dxa"/>
          </w:tcPr>
          <w:p w:rsidR="0030517B" w:rsidRPr="00CA099F" w:rsidRDefault="0030517B" w:rsidP="00E1448E">
            <w:pPr>
              <w:spacing w:line="360" w:lineRule="auto"/>
              <w:jc w:val="center"/>
              <w:rPr>
                <w:sz w:val="28"/>
                <w:szCs w:val="28"/>
              </w:rPr>
            </w:pPr>
            <w:r w:rsidRPr="00CA099F">
              <w:rPr>
                <w:sz w:val="28"/>
                <w:szCs w:val="28"/>
              </w:rPr>
              <w:t>28,9±1,2</w:t>
            </w:r>
          </w:p>
        </w:tc>
        <w:tc>
          <w:tcPr>
            <w:tcW w:w="1833" w:type="dxa"/>
          </w:tcPr>
          <w:p w:rsidR="0030517B" w:rsidRPr="00CA099F" w:rsidRDefault="0030517B" w:rsidP="00E1448E">
            <w:pPr>
              <w:spacing w:line="360" w:lineRule="auto"/>
              <w:jc w:val="center"/>
              <w:rPr>
                <w:sz w:val="28"/>
                <w:szCs w:val="28"/>
              </w:rPr>
            </w:pPr>
            <w:r w:rsidRPr="00CA099F">
              <w:rPr>
                <w:sz w:val="28"/>
                <w:szCs w:val="28"/>
              </w:rPr>
              <w:t>30,4±1,6 ̽</w:t>
            </w:r>
          </w:p>
        </w:tc>
        <w:tc>
          <w:tcPr>
            <w:tcW w:w="1833" w:type="dxa"/>
          </w:tcPr>
          <w:p w:rsidR="0030517B" w:rsidRPr="00CA099F" w:rsidRDefault="0030517B" w:rsidP="00E1448E">
            <w:pPr>
              <w:spacing w:line="360" w:lineRule="auto"/>
              <w:jc w:val="center"/>
              <w:rPr>
                <w:sz w:val="28"/>
                <w:szCs w:val="28"/>
              </w:rPr>
            </w:pPr>
            <w:r w:rsidRPr="00CA099F">
              <w:rPr>
                <w:sz w:val="28"/>
                <w:szCs w:val="28"/>
              </w:rPr>
              <w:t>33,9±1,7</w:t>
            </w:r>
          </w:p>
        </w:tc>
      </w:tr>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Медіальний край</w:t>
            </w:r>
          </w:p>
        </w:tc>
        <w:tc>
          <w:tcPr>
            <w:tcW w:w="1833" w:type="dxa"/>
          </w:tcPr>
          <w:p w:rsidR="0030517B" w:rsidRPr="00CA099F" w:rsidRDefault="0030517B" w:rsidP="00E1448E">
            <w:pPr>
              <w:spacing w:line="360" w:lineRule="auto"/>
              <w:jc w:val="center"/>
              <w:rPr>
                <w:sz w:val="28"/>
                <w:szCs w:val="28"/>
              </w:rPr>
            </w:pPr>
            <w:r w:rsidRPr="00CA099F">
              <w:rPr>
                <w:sz w:val="28"/>
                <w:szCs w:val="28"/>
              </w:rPr>
              <w:t>30,1±0,6</w:t>
            </w:r>
          </w:p>
        </w:tc>
        <w:tc>
          <w:tcPr>
            <w:tcW w:w="1833" w:type="dxa"/>
          </w:tcPr>
          <w:p w:rsidR="0030517B" w:rsidRPr="00CA099F" w:rsidRDefault="0030517B" w:rsidP="00E1448E">
            <w:pPr>
              <w:spacing w:line="360" w:lineRule="auto"/>
              <w:jc w:val="center"/>
              <w:rPr>
                <w:sz w:val="28"/>
                <w:szCs w:val="28"/>
              </w:rPr>
            </w:pPr>
            <w:r w:rsidRPr="00CA099F">
              <w:rPr>
                <w:sz w:val="28"/>
                <w:szCs w:val="28"/>
              </w:rPr>
              <w:t>31,4±1,4 ̽</w:t>
            </w:r>
          </w:p>
        </w:tc>
        <w:tc>
          <w:tcPr>
            <w:tcW w:w="1833" w:type="dxa"/>
          </w:tcPr>
          <w:p w:rsidR="0030517B" w:rsidRPr="00CA099F" w:rsidRDefault="0030517B" w:rsidP="00E1448E">
            <w:pPr>
              <w:spacing w:line="360" w:lineRule="auto"/>
              <w:jc w:val="center"/>
              <w:rPr>
                <w:sz w:val="28"/>
                <w:szCs w:val="28"/>
              </w:rPr>
            </w:pPr>
            <w:r w:rsidRPr="00CA099F">
              <w:rPr>
                <w:sz w:val="28"/>
                <w:szCs w:val="28"/>
              </w:rPr>
              <w:t>32,9±1,7</w:t>
            </w:r>
          </w:p>
        </w:tc>
        <w:tc>
          <w:tcPr>
            <w:tcW w:w="1833" w:type="dxa"/>
          </w:tcPr>
          <w:p w:rsidR="0030517B" w:rsidRPr="00CA099F" w:rsidRDefault="0030517B" w:rsidP="00E1448E">
            <w:pPr>
              <w:spacing w:line="360" w:lineRule="auto"/>
              <w:jc w:val="center"/>
              <w:rPr>
                <w:sz w:val="28"/>
                <w:szCs w:val="28"/>
              </w:rPr>
            </w:pPr>
            <w:r w:rsidRPr="00CA099F">
              <w:rPr>
                <w:sz w:val="28"/>
                <w:szCs w:val="28"/>
              </w:rPr>
              <w:t>34,4±1,7 ̽</w:t>
            </w:r>
          </w:p>
        </w:tc>
      </w:tr>
      <w:tr w:rsidR="0030517B" w:rsidRPr="00CA099F" w:rsidTr="00E1448E">
        <w:tc>
          <w:tcPr>
            <w:tcW w:w="2013" w:type="dxa"/>
          </w:tcPr>
          <w:p w:rsidR="0030517B" w:rsidRPr="00CA099F" w:rsidRDefault="0030517B" w:rsidP="00E1448E">
            <w:pPr>
              <w:spacing w:line="360" w:lineRule="auto"/>
              <w:jc w:val="center"/>
              <w:rPr>
                <w:sz w:val="28"/>
                <w:szCs w:val="28"/>
              </w:rPr>
            </w:pPr>
            <w:r w:rsidRPr="00CA099F">
              <w:rPr>
                <w:sz w:val="28"/>
                <w:szCs w:val="28"/>
              </w:rPr>
              <w:t>Латеральний край</w:t>
            </w:r>
          </w:p>
        </w:tc>
        <w:tc>
          <w:tcPr>
            <w:tcW w:w="1833" w:type="dxa"/>
          </w:tcPr>
          <w:p w:rsidR="0030517B" w:rsidRPr="00CA099F" w:rsidRDefault="0030517B" w:rsidP="00E1448E">
            <w:pPr>
              <w:spacing w:line="360" w:lineRule="auto"/>
              <w:jc w:val="center"/>
              <w:rPr>
                <w:sz w:val="28"/>
                <w:szCs w:val="28"/>
              </w:rPr>
            </w:pPr>
            <w:r w:rsidRPr="00CA099F">
              <w:rPr>
                <w:sz w:val="28"/>
                <w:szCs w:val="28"/>
              </w:rPr>
              <w:t>30,8±0,7</w:t>
            </w:r>
          </w:p>
        </w:tc>
        <w:tc>
          <w:tcPr>
            <w:tcW w:w="1833" w:type="dxa"/>
          </w:tcPr>
          <w:p w:rsidR="0030517B" w:rsidRPr="00CA099F" w:rsidRDefault="0030517B" w:rsidP="00E1448E">
            <w:pPr>
              <w:spacing w:line="360" w:lineRule="auto"/>
              <w:jc w:val="center"/>
              <w:rPr>
                <w:sz w:val="28"/>
                <w:szCs w:val="28"/>
              </w:rPr>
            </w:pPr>
            <w:r w:rsidRPr="00CA099F">
              <w:rPr>
                <w:sz w:val="28"/>
                <w:szCs w:val="28"/>
              </w:rPr>
              <w:t>31,7±1,6 ̽</w:t>
            </w:r>
          </w:p>
        </w:tc>
        <w:tc>
          <w:tcPr>
            <w:tcW w:w="1833" w:type="dxa"/>
          </w:tcPr>
          <w:p w:rsidR="0030517B" w:rsidRPr="00CA099F" w:rsidRDefault="0030517B" w:rsidP="00E1448E">
            <w:pPr>
              <w:spacing w:line="360" w:lineRule="auto"/>
              <w:jc w:val="center"/>
              <w:rPr>
                <w:sz w:val="28"/>
                <w:szCs w:val="28"/>
              </w:rPr>
            </w:pPr>
            <w:r w:rsidRPr="00CA099F">
              <w:rPr>
                <w:sz w:val="28"/>
                <w:szCs w:val="28"/>
              </w:rPr>
              <w:t>33,2±1,9</w:t>
            </w:r>
          </w:p>
        </w:tc>
        <w:tc>
          <w:tcPr>
            <w:tcW w:w="1833" w:type="dxa"/>
          </w:tcPr>
          <w:p w:rsidR="0030517B" w:rsidRPr="00CA099F" w:rsidRDefault="0030517B" w:rsidP="00E1448E">
            <w:pPr>
              <w:spacing w:line="360" w:lineRule="auto"/>
              <w:jc w:val="center"/>
              <w:rPr>
                <w:sz w:val="28"/>
                <w:szCs w:val="28"/>
              </w:rPr>
            </w:pPr>
            <w:r w:rsidRPr="00CA099F">
              <w:rPr>
                <w:sz w:val="28"/>
                <w:szCs w:val="28"/>
              </w:rPr>
              <w:t>34,5±1,8</w:t>
            </w:r>
          </w:p>
        </w:tc>
      </w:tr>
      <w:tr w:rsidR="00084587" w:rsidRPr="00CA099F" w:rsidTr="00B435B1">
        <w:tc>
          <w:tcPr>
            <w:tcW w:w="9345" w:type="dxa"/>
            <w:gridSpan w:val="5"/>
          </w:tcPr>
          <w:p w:rsidR="00084587" w:rsidRPr="00084587" w:rsidRDefault="00084587" w:rsidP="00084587">
            <w:pPr>
              <w:spacing w:after="160" w:line="360" w:lineRule="auto"/>
              <w:jc w:val="both"/>
              <w:rPr>
                <w:sz w:val="28"/>
                <w:szCs w:val="28"/>
                <w:lang w:val="uk-UA"/>
              </w:rPr>
            </w:pPr>
            <w:r w:rsidRPr="00084587">
              <w:rPr>
                <w:rFonts w:eastAsia="Calibri" w:cs="Times New Roman"/>
                <w:sz w:val="28"/>
                <w:szCs w:val="28"/>
                <w:lang w:val="uk-UA"/>
              </w:rPr>
              <w:t xml:space="preserve">Примітка: ̽ – відмінності між показниками в різні періоди профілактики з вірогідністю нульової гіпотези </w:t>
            </w:r>
            <w:r w:rsidRPr="00CA099F">
              <w:rPr>
                <w:rFonts w:eastAsia="Calibri" w:cs="Times New Roman"/>
                <w:sz w:val="28"/>
                <w:szCs w:val="28"/>
              </w:rPr>
              <w:t>p</w:t>
            </w:r>
            <w:r w:rsidRPr="00084587">
              <w:rPr>
                <w:rFonts w:eastAsia="Calibri" w:cs="Times New Roman"/>
                <w:sz w:val="28"/>
                <w:szCs w:val="28"/>
                <w:lang w:val="uk-UA"/>
              </w:rPr>
              <w:t>&lt;0.05 статистично достовірні.</w:t>
            </w:r>
          </w:p>
        </w:tc>
      </w:tr>
    </w:tbl>
    <w:p w:rsidR="00084587" w:rsidRPr="00CA099F" w:rsidRDefault="00084587" w:rsidP="0030517B">
      <w:pPr>
        <w:spacing w:after="160" w:line="360" w:lineRule="auto"/>
        <w:jc w:val="both"/>
        <w:rPr>
          <w:rFonts w:eastAsia="Calibri" w:cs="Times New Roman"/>
          <w:sz w:val="28"/>
          <w:szCs w:val="28"/>
        </w:rPr>
      </w:pP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 xml:space="preserve">Детальне вивчення покривного епітелію на 3 місяць післяопераційного періоду за допомогою великих збільшень світлового мікроскопа у </w:t>
      </w:r>
      <w:r w:rsidR="00D96DA9">
        <w:rPr>
          <w:rFonts w:eastAsia="Calibri" w:cs="Times New Roman"/>
          <w:sz w:val="28"/>
          <w:szCs w:val="28"/>
        </w:rPr>
        <w:t>пацієнтів</w:t>
      </w:r>
      <w:r w:rsidRPr="00CA099F">
        <w:rPr>
          <w:rFonts w:eastAsia="Calibri" w:cs="Times New Roman"/>
          <w:sz w:val="28"/>
          <w:szCs w:val="28"/>
        </w:rPr>
        <w:t xml:space="preserve"> контрольної групи дозволило виявити в ньому деякі відмінності, від описаної в літературі будови незміненого епідермісу цієї області [52]. Також періодично серед епітеліоцитів базального шару, а в окремих випадках і серед епітеліальних клітин розташованого вище шипуватого шару, зуст</w:t>
      </w:r>
      <w:r w:rsidR="00B63A48">
        <w:rPr>
          <w:rFonts w:eastAsia="Calibri" w:cs="Times New Roman"/>
          <w:sz w:val="28"/>
          <w:szCs w:val="28"/>
        </w:rPr>
        <w:t>річають</w:t>
      </w:r>
      <w:r w:rsidRPr="00CA099F">
        <w:rPr>
          <w:rFonts w:eastAsia="Calibri" w:cs="Times New Roman"/>
          <w:sz w:val="28"/>
          <w:szCs w:val="28"/>
        </w:rPr>
        <w:t>ся інтраепітеліальні лімфоцити, що мігру</w:t>
      </w:r>
      <w:r w:rsidR="00B63A48">
        <w:rPr>
          <w:rFonts w:eastAsia="Calibri" w:cs="Times New Roman"/>
          <w:sz w:val="28"/>
          <w:szCs w:val="28"/>
        </w:rPr>
        <w:t>ють</w:t>
      </w:r>
      <w:r w:rsidRPr="00CA099F">
        <w:rPr>
          <w:rFonts w:eastAsia="Calibri" w:cs="Times New Roman"/>
          <w:sz w:val="28"/>
          <w:szCs w:val="28"/>
        </w:rPr>
        <w:t xml:space="preserve"> в епітеліальний пласт із підлеглої дерми, здолавши базальну мембрану. Дещо частіше </w:t>
      </w:r>
      <w:r w:rsidR="00122C61">
        <w:rPr>
          <w:rFonts w:eastAsia="Calibri" w:cs="Times New Roman"/>
          <w:sz w:val="28"/>
          <w:szCs w:val="28"/>
        </w:rPr>
        <w:t>доводить</w:t>
      </w:r>
      <w:r w:rsidRPr="00CA099F">
        <w:rPr>
          <w:rFonts w:eastAsia="Calibri" w:cs="Times New Roman"/>
          <w:sz w:val="28"/>
          <w:szCs w:val="28"/>
        </w:rPr>
        <w:t>ся спостерігати надмірну проліферацію епітелію, що проявляється як відносно рівномірним потовщенням пласта останнього, так і появою, в одиничних випадках тяжів епітелію занурених всередину рубця, що формується.</w:t>
      </w: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Серед клітинних елементів фібробластичного ряду виявляються як малоспеціалізовані (юні) фібробласти так і зрілі, диференційовані форми та клітинні елементи великих розмірів, переважно овальної форми, в ц</w:t>
      </w:r>
      <w:r w:rsidR="00122C61">
        <w:rPr>
          <w:rFonts w:eastAsia="Calibri" w:cs="Times New Roman"/>
          <w:sz w:val="28"/>
          <w:szCs w:val="28"/>
        </w:rPr>
        <w:t xml:space="preserve">итоплазмі </w:t>
      </w:r>
      <w:r w:rsidR="00122C61">
        <w:rPr>
          <w:rFonts w:eastAsia="Calibri" w:cs="Times New Roman"/>
          <w:sz w:val="28"/>
          <w:szCs w:val="28"/>
        </w:rPr>
        <w:lastRenderedPageBreak/>
        <w:t>яких також розташовують</w:t>
      </w:r>
      <w:r w:rsidRPr="00CA099F">
        <w:rPr>
          <w:rFonts w:eastAsia="Calibri" w:cs="Times New Roman"/>
          <w:sz w:val="28"/>
          <w:szCs w:val="28"/>
        </w:rPr>
        <w:t>ся округлі ядра, що займають набагато менший об'єм внутрішньоклітинного простору. При проведенні імунногістохімічного дослідження з антитілами до універсального маркера проліферативної активності Кі - 67, у базальному шарі багатошарового плоского епітелію, приблизно в 30% клітинних елементів спостерігається інтрануклеарна експресія цього маркера високої або середньої інтенсивності.</w:t>
      </w: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 xml:space="preserve">У пацієнтів 1 групи, яким був введений PRF-згусток, через 3 місяці макроскопічно </w:t>
      </w:r>
      <w:r w:rsidR="002C4C01" w:rsidRPr="002C4C01">
        <w:rPr>
          <w:rFonts w:eastAsia="Calibri" w:cs="Times New Roman"/>
          <w:sz w:val="28"/>
          <w:szCs w:val="28"/>
        </w:rPr>
        <w:t>в д</w:t>
      </w:r>
      <w:r w:rsidR="002C4C01">
        <w:rPr>
          <w:rFonts w:eastAsia="Calibri" w:cs="Times New Roman"/>
          <w:sz w:val="28"/>
          <w:szCs w:val="28"/>
        </w:rPr>
        <w:t>ілянці</w:t>
      </w:r>
      <w:r w:rsidRPr="00CA099F">
        <w:rPr>
          <w:rFonts w:eastAsia="Calibri" w:cs="Times New Roman"/>
          <w:sz w:val="28"/>
          <w:szCs w:val="28"/>
        </w:rPr>
        <w:t xml:space="preserve"> післяопераційного рубця не є видимих відмінностей від контрольної групи. Зафіксована наявність пласта багатошарового плоского епітелію над усією поверхнею сполучнотканинного рубця, що формується. Практично в усіх спостереженнях товщина епітеліальног</w:t>
      </w:r>
      <w:r w:rsidR="003F1F3D">
        <w:rPr>
          <w:rFonts w:eastAsia="Calibri" w:cs="Times New Roman"/>
          <w:sz w:val="28"/>
          <w:szCs w:val="28"/>
        </w:rPr>
        <w:t>о покриву практично не відрізняєть</w:t>
      </w:r>
      <w:r w:rsidRPr="00CA099F">
        <w:rPr>
          <w:rFonts w:eastAsia="Calibri" w:cs="Times New Roman"/>
          <w:sz w:val="28"/>
          <w:szCs w:val="28"/>
        </w:rPr>
        <w:t>ся від аналогічного показника в контрольній групі, що не суперечить даним літератури [65]. Формування епітеліальних кіст і вогнищ дискератозу в цій клінічній групі не вияв</w:t>
      </w:r>
      <w:r w:rsidR="003F1F3D">
        <w:rPr>
          <w:rFonts w:eastAsia="Calibri" w:cs="Times New Roman"/>
          <w:sz w:val="28"/>
          <w:szCs w:val="28"/>
        </w:rPr>
        <w:t>ляється</w:t>
      </w:r>
      <w:r w:rsidRPr="00CA099F">
        <w:rPr>
          <w:rFonts w:eastAsia="Calibri" w:cs="Times New Roman"/>
          <w:sz w:val="28"/>
          <w:szCs w:val="28"/>
        </w:rPr>
        <w:t>.</w:t>
      </w:r>
    </w:p>
    <w:p w:rsidR="0030517B" w:rsidRPr="00CA099F" w:rsidRDefault="0030517B" w:rsidP="0030517B">
      <w:pPr>
        <w:spacing w:after="160" w:line="360" w:lineRule="auto"/>
        <w:jc w:val="both"/>
        <w:rPr>
          <w:rFonts w:eastAsia="Calibri" w:cs="Times New Roman"/>
          <w:sz w:val="28"/>
          <w:szCs w:val="28"/>
        </w:rPr>
      </w:pPr>
      <w:r w:rsidRPr="00CA099F">
        <w:rPr>
          <w:rFonts w:eastAsia="Calibri" w:cs="Times New Roman"/>
          <w:sz w:val="28"/>
          <w:szCs w:val="28"/>
        </w:rPr>
        <w:tab/>
        <w:t>Найменша кількість клітин, практично тільки дифере</w:t>
      </w:r>
      <w:r w:rsidR="002C4C01">
        <w:rPr>
          <w:rFonts w:eastAsia="Calibri" w:cs="Times New Roman"/>
          <w:sz w:val="28"/>
          <w:szCs w:val="28"/>
        </w:rPr>
        <w:t>нційованих фібробластів виявля</w:t>
      </w:r>
      <w:r w:rsidR="003F1F3D">
        <w:rPr>
          <w:rFonts w:eastAsia="Calibri" w:cs="Times New Roman"/>
          <w:sz w:val="28"/>
          <w:szCs w:val="28"/>
        </w:rPr>
        <w:t>єть</w:t>
      </w:r>
      <w:r w:rsidRPr="00CA099F">
        <w:rPr>
          <w:rFonts w:eastAsia="Calibri" w:cs="Times New Roman"/>
          <w:sz w:val="28"/>
          <w:szCs w:val="28"/>
        </w:rPr>
        <w:t>ся у базальних відділах. Прицільне виявлення колагенових волокон за допомогою фарбування гістологічних зрізів пикрофуксином, дозволяє виявити найбільшу кількість останніх у базальних відділах рубця, що формується.</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Проведене нами імуногістохімічне дослідження з антитілами до універсального маркера проліферативної активності Кі - 67, також дозволило приблизно в 30% базальних епітеліоцитів виявити інтрануклеарну експресію. Позитивна реакція до цих антитіл, як і в попередній групі, зрідка зустріча</w:t>
      </w:r>
      <w:r w:rsidR="003F1F3D">
        <w:rPr>
          <w:rFonts w:eastAsia="Calibri" w:cs="Times New Roman"/>
          <w:sz w:val="28"/>
          <w:szCs w:val="28"/>
        </w:rPr>
        <w:t>єть</w:t>
      </w:r>
      <w:r w:rsidRPr="00CA099F">
        <w:rPr>
          <w:rFonts w:eastAsia="Calibri" w:cs="Times New Roman"/>
          <w:sz w:val="28"/>
          <w:szCs w:val="28"/>
        </w:rPr>
        <w:t>ся у фібробластах і клітинних структурах стінки дрібних кровоносних судин.</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У 2 групі </w:t>
      </w:r>
      <w:r w:rsidR="00D96DA9">
        <w:rPr>
          <w:rFonts w:eastAsia="Calibri" w:cs="Times New Roman"/>
          <w:sz w:val="28"/>
          <w:szCs w:val="28"/>
        </w:rPr>
        <w:t>пацієнтів</w:t>
      </w:r>
      <w:r w:rsidRPr="00CA099F">
        <w:rPr>
          <w:rFonts w:eastAsia="Calibri" w:cs="Times New Roman"/>
          <w:sz w:val="28"/>
          <w:szCs w:val="28"/>
        </w:rPr>
        <w:t xml:space="preserve">, які разом з введенням PRF-згустка отримували препарат «Біоцирулін» область післяопераційного втручання через 3 місяці, при візуальному огляді практично не відрізняється від такої у попередніх груп. Мікроскопічно на препаратах забарвлених гематоксиліном і еозином над </w:t>
      </w:r>
      <w:r w:rsidRPr="00CA099F">
        <w:rPr>
          <w:rFonts w:eastAsia="Calibri" w:cs="Times New Roman"/>
          <w:sz w:val="28"/>
          <w:szCs w:val="28"/>
        </w:rPr>
        <w:lastRenderedPageBreak/>
        <w:t>рубцем, що формується, всюди визначається багатошаровий плоский епітелій, товщина якого дещо більше, ніж в попередніх групах. Розташований під покривним епітелієм рубець, що формується, має деякі відмінності від такого в описаних раніше групах. Найбільш характерною відмінністю є помітне зменшення питомої ваги розташування клітинних елементів 290 ± 25 в 10000 мкм</w:t>
      </w:r>
      <w:r w:rsidRPr="00CA099F">
        <w:rPr>
          <w:rFonts w:eastAsia="Calibri" w:cs="Times New Roman"/>
          <w:sz w:val="28"/>
          <w:szCs w:val="28"/>
          <w:vertAlign w:val="superscript"/>
        </w:rPr>
        <w:t>2</w:t>
      </w:r>
      <w:r w:rsidRPr="00CA099F">
        <w:rPr>
          <w:rFonts w:eastAsia="Calibri" w:cs="Times New Roman"/>
          <w:sz w:val="28"/>
          <w:szCs w:val="28"/>
        </w:rPr>
        <w:t>.</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Визначення проліферативної активності клітинних елементів в області рубця, що формується, за допомогою універсального маркера проліферативної </w:t>
      </w:r>
      <w:r w:rsidR="005A5079">
        <w:rPr>
          <w:rFonts w:eastAsia="Calibri" w:cs="Times New Roman"/>
          <w:sz w:val="28"/>
          <w:szCs w:val="28"/>
        </w:rPr>
        <w:t>активності Кі - 67, не дозволяє</w:t>
      </w:r>
      <w:r w:rsidRPr="00CA099F">
        <w:rPr>
          <w:rFonts w:eastAsia="Calibri" w:cs="Times New Roman"/>
          <w:sz w:val="28"/>
          <w:szCs w:val="28"/>
        </w:rPr>
        <w:t xml:space="preserve"> виявити помітних відмінностей в мітотичній активності клітин базального шару покривного епітелію, інтрануклеарна експресія цього маркера має місце приблизно в 30% клітин.</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Мікроскопічне дослідження рубцевої тканини пацієнтів контрольної групи на 6 місяць пі</w:t>
      </w:r>
      <w:r w:rsidR="00F0178A">
        <w:rPr>
          <w:rFonts w:eastAsia="Calibri" w:cs="Times New Roman"/>
          <w:sz w:val="28"/>
          <w:szCs w:val="28"/>
        </w:rPr>
        <w:t>сляопераційного періоду дозволяє</w:t>
      </w:r>
      <w:r w:rsidRPr="00CA099F">
        <w:rPr>
          <w:rFonts w:eastAsia="Calibri" w:cs="Times New Roman"/>
          <w:sz w:val="28"/>
          <w:szCs w:val="28"/>
        </w:rPr>
        <w:t xml:space="preserve"> виявити в усіх випадках над рубцем наявність суцільного епітеліального покриву, який при малих збільшеннях світлового мікроскопа практично не ма</w:t>
      </w:r>
      <w:r w:rsidR="00F0178A">
        <w:rPr>
          <w:rFonts w:eastAsia="Calibri" w:cs="Times New Roman"/>
          <w:sz w:val="28"/>
          <w:szCs w:val="28"/>
        </w:rPr>
        <w:t>є</w:t>
      </w:r>
      <w:r w:rsidRPr="00CA099F">
        <w:rPr>
          <w:rFonts w:eastAsia="Calibri" w:cs="Times New Roman"/>
          <w:sz w:val="28"/>
          <w:szCs w:val="28"/>
        </w:rPr>
        <w:t xml:space="preserve"> помітних відмінностей від інтактного епідермісу, що свідчи</w:t>
      </w:r>
      <w:r w:rsidR="00F0178A">
        <w:rPr>
          <w:rFonts w:eastAsia="Calibri" w:cs="Times New Roman"/>
          <w:sz w:val="28"/>
          <w:szCs w:val="28"/>
        </w:rPr>
        <w:t>ть</w:t>
      </w:r>
      <w:r w:rsidRPr="00CA099F">
        <w:rPr>
          <w:rFonts w:eastAsia="Calibri" w:cs="Times New Roman"/>
          <w:sz w:val="28"/>
          <w:szCs w:val="28"/>
        </w:rPr>
        <w:t xml:space="preserve"> про завершений процес епітелізації.</w:t>
      </w:r>
    </w:p>
    <w:p w:rsidR="0030517B" w:rsidRPr="00CA099F" w:rsidRDefault="00F0178A" w:rsidP="0003712A">
      <w:pPr>
        <w:spacing w:after="160" w:line="360" w:lineRule="auto"/>
        <w:ind w:firstLine="708"/>
        <w:jc w:val="both"/>
        <w:rPr>
          <w:rFonts w:eastAsia="Calibri" w:cs="Times New Roman"/>
          <w:sz w:val="28"/>
          <w:szCs w:val="28"/>
        </w:rPr>
      </w:pPr>
      <w:r w:rsidRPr="002F147B">
        <w:rPr>
          <w:rFonts w:eastAsia="Calibri" w:cs="Times New Roman"/>
          <w:sz w:val="28"/>
          <w:szCs w:val="28"/>
        </w:rPr>
        <w:t xml:space="preserve">У </w:t>
      </w:r>
      <w:r w:rsidR="002F147B" w:rsidRPr="002F147B">
        <w:rPr>
          <w:rFonts w:eastAsia="Calibri" w:cs="Times New Roman"/>
          <w:sz w:val="28"/>
          <w:szCs w:val="28"/>
        </w:rPr>
        <w:t>2</w:t>
      </w:r>
      <w:r w:rsidRPr="002F147B">
        <w:rPr>
          <w:rFonts w:eastAsia="Calibri" w:cs="Times New Roman"/>
          <w:sz w:val="28"/>
          <w:szCs w:val="28"/>
        </w:rPr>
        <w:t>5</w:t>
      </w:r>
      <w:r w:rsidR="002F147B" w:rsidRPr="002F147B">
        <w:rPr>
          <w:rFonts w:eastAsia="Calibri" w:cs="Times New Roman"/>
          <w:sz w:val="28"/>
          <w:szCs w:val="28"/>
        </w:rPr>
        <w:t>% спостережень</w:t>
      </w:r>
      <w:r w:rsidR="0030517B" w:rsidRPr="00CA099F">
        <w:rPr>
          <w:rFonts w:eastAsia="Calibri" w:cs="Times New Roman"/>
          <w:sz w:val="28"/>
          <w:szCs w:val="28"/>
        </w:rPr>
        <w:t xml:space="preserve"> відзнача</w:t>
      </w:r>
      <w:r>
        <w:rPr>
          <w:rFonts w:eastAsia="Calibri" w:cs="Times New Roman"/>
          <w:sz w:val="28"/>
          <w:szCs w:val="28"/>
        </w:rPr>
        <w:t>єть</w:t>
      </w:r>
      <w:r w:rsidR="0030517B" w:rsidRPr="00CA099F">
        <w:rPr>
          <w:rFonts w:eastAsia="Calibri" w:cs="Times New Roman"/>
          <w:sz w:val="28"/>
          <w:szCs w:val="28"/>
        </w:rPr>
        <w:t xml:space="preserve">ся порушення типового </w:t>
      </w:r>
      <w:r w:rsidR="002F147B">
        <w:rPr>
          <w:rFonts w:eastAsia="Calibri" w:cs="Times New Roman"/>
          <w:sz w:val="28"/>
          <w:szCs w:val="28"/>
        </w:rPr>
        <w:t>процесу епітелізації, пов'язані</w:t>
      </w:r>
      <w:r w:rsidR="0030517B" w:rsidRPr="00CA099F">
        <w:rPr>
          <w:rFonts w:eastAsia="Calibri" w:cs="Times New Roman"/>
          <w:sz w:val="28"/>
          <w:szCs w:val="28"/>
        </w:rPr>
        <w:t xml:space="preserve"> з деяким порушенням проліферативної активності епітеліоцитів і процесом їх диференціювання. Епітеліоцити базального і шипуватого шарів диференціюються насилу і істотно відрізняються від типових. Слід зазначити деякий поліморфізм епітеліоцитів у різних зонах епітеліального покриву сполучнотканинного рубця. Описані морфологічні зміни свідчать про внутрішньоклітинну дистрофію, що </w:t>
      </w:r>
      <w:r w:rsidR="0042173A">
        <w:rPr>
          <w:rFonts w:eastAsia="Calibri" w:cs="Times New Roman"/>
          <w:sz w:val="28"/>
          <w:szCs w:val="28"/>
        </w:rPr>
        <w:t>спостерігається</w:t>
      </w:r>
      <w:r w:rsidR="0030517B" w:rsidRPr="00CA099F">
        <w:rPr>
          <w:rFonts w:eastAsia="Calibri" w:cs="Times New Roman"/>
          <w:sz w:val="28"/>
          <w:szCs w:val="28"/>
        </w:rPr>
        <w:t xml:space="preserve"> в епітеліальному пласті внаслідок розладу трофічних процесів.</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Окрім фібробластів у рубцевій тканині в незначній кількості визначаються лімфоцити, плазматичні клітини, лаброцити. Характер розподілу клітинних структур практично однорідний в усіх відділах рубця, що не дозволяє виділити в нім як раніше, окремі зони. Помітно в рубці зростає </w:t>
      </w:r>
      <w:r w:rsidRPr="00CA099F">
        <w:rPr>
          <w:rFonts w:eastAsia="Calibri" w:cs="Times New Roman"/>
          <w:sz w:val="28"/>
          <w:szCs w:val="28"/>
        </w:rPr>
        <w:lastRenderedPageBreak/>
        <w:t>відносна кількість колагенових волокон, пучки яких на препаратах забарвлених гематоксиліном і еозином мають вигляд еозинофільних, гомогенних тяжів, а пикро</w:t>
      </w:r>
      <w:r w:rsidR="00C006AF">
        <w:rPr>
          <w:rFonts w:eastAsia="Calibri" w:cs="Times New Roman"/>
          <w:sz w:val="28"/>
          <w:szCs w:val="28"/>
        </w:rPr>
        <w:t>фуксином інтенсивно забарвлювають</w:t>
      </w:r>
      <w:r w:rsidRPr="00CA099F">
        <w:rPr>
          <w:rFonts w:eastAsia="Calibri" w:cs="Times New Roman"/>
          <w:sz w:val="28"/>
          <w:szCs w:val="28"/>
        </w:rPr>
        <w:t>ся в яскраво-червоний колір.</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Проведене імуногістохімічне дослі</w:t>
      </w:r>
      <w:r w:rsidR="000F3F1C">
        <w:rPr>
          <w:rFonts w:eastAsia="Calibri" w:cs="Times New Roman"/>
          <w:sz w:val="28"/>
          <w:szCs w:val="28"/>
        </w:rPr>
        <w:t>дження з антитілами до білку Кі</w:t>
      </w:r>
      <w:r w:rsidR="00C006AF">
        <w:rPr>
          <w:rFonts w:eastAsia="Calibri" w:cs="Times New Roman"/>
          <w:sz w:val="28"/>
          <w:szCs w:val="28"/>
        </w:rPr>
        <w:t>-67, виявляє</w:t>
      </w:r>
      <w:r w:rsidRPr="00CA099F">
        <w:rPr>
          <w:rFonts w:eastAsia="Calibri" w:cs="Times New Roman"/>
          <w:sz w:val="28"/>
          <w:szCs w:val="28"/>
        </w:rPr>
        <w:t xml:space="preserve"> приблизно</w:t>
      </w:r>
      <w:r w:rsidR="00C006AF">
        <w:rPr>
          <w:rFonts w:eastAsia="Calibri" w:cs="Times New Roman"/>
          <w:sz w:val="28"/>
          <w:szCs w:val="28"/>
        </w:rPr>
        <w:t xml:space="preserve"> в 20% базальних епітеліоцитів </w:t>
      </w:r>
      <w:r w:rsidRPr="00CA099F">
        <w:rPr>
          <w:rFonts w:eastAsia="Calibri" w:cs="Times New Roman"/>
          <w:sz w:val="28"/>
          <w:szCs w:val="28"/>
        </w:rPr>
        <w:t>позитивну інтрануклеарну експресію. Клітини сполучнотканинного рубця лише в одиничних спостереженнях позитивні до вказаного маркера.</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У </w:t>
      </w:r>
      <w:r w:rsidR="00D96DA9">
        <w:rPr>
          <w:rFonts w:eastAsia="Calibri" w:cs="Times New Roman"/>
          <w:sz w:val="28"/>
          <w:szCs w:val="28"/>
        </w:rPr>
        <w:t>пацієнтів</w:t>
      </w:r>
      <w:r w:rsidRPr="00CA099F">
        <w:rPr>
          <w:rFonts w:eastAsia="Calibri" w:cs="Times New Roman"/>
          <w:sz w:val="28"/>
          <w:szCs w:val="28"/>
        </w:rPr>
        <w:t xml:space="preserve"> 1 групи у епітеліальному пласті визначаються базальний, шипуватий, зернистий і роговий шари, клітинний склад яких не має помітних відмінностей від інтактного епідермісу. Сполучнотканинні сосочки, що розділяються акантотичними епітеліальними пластами, мають типову будову, відносно мономорфні розміри і практично не відрізня</w:t>
      </w:r>
      <w:r w:rsidR="00AD2774">
        <w:rPr>
          <w:rFonts w:eastAsia="Calibri" w:cs="Times New Roman"/>
          <w:sz w:val="28"/>
          <w:szCs w:val="28"/>
        </w:rPr>
        <w:t>ють</w:t>
      </w:r>
      <w:r w:rsidRPr="00CA099F">
        <w:rPr>
          <w:rFonts w:eastAsia="Calibri" w:cs="Times New Roman"/>
          <w:sz w:val="28"/>
          <w:szCs w:val="28"/>
        </w:rPr>
        <w:t>ся від таких в інтактній шкірі.</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Розташування пучків колагенових волокон зберігає виявлену раніше тенденцію – в апікальних відділах рубця вони розташову</w:t>
      </w:r>
      <w:r w:rsidR="00AD2774">
        <w:rPr>
          <w:rFonts w:eastAsia="Calibri" w:cs="Times New Roman"/>
          <w:sz w:val="28"/>
          <w:szCs w:val="28"/>
        </w:rPr>
        <w:t>ють</w:t>
      </w:r>
      <w:r w:rsidRPr="00CA099F">
        <w:rPr>
          <w:rFonts w:eastAsia="Calibri" w:cs="Times New Roman"/>
          <w:sz w:val="28"/>
          <w:szCs w:val="28"/>
        </w:rPr>
        <w:t>ся переважно перпендикулярно до покривного епітелію, в середніх і базальних відділах – паралельно. Товщина фібрилярних пучків приблизно відповідає такій в контрольній групі.</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Помітних змін у конструкції кровоносного мікроциркуляторного русла рубця </w:t>
      </w:r>
      <w:r w:rsidR="00AD2774">
        <w:rPr>
          <w:rFonts w:eastAsia="Calibri" w:cs="Times New Roman"/>
          <w:sz w:val="28"/>
          <w:szCs w:val="28"/>
        </w:rPr>
        <w:t xml:space="preserve">не </w:t>
      </w:r>
      <w:r w:rsidRPr="00CA099F">
        <w:rPr>
          <w:rFonts w:eastAsia="Calibri" w:cs="Times New Roman"/>
          <w:sz w:val="28"/>
          <w:szCs w:val="28"/>
        </w:rPr>
        <w:t>виявл</w:t>
      </w:r>
      <w:r w:rsidR="00AD2774">
        <w:rPr>
          <w:rFonts w:eastAsia="Calibri" w:cs="Times New Roman"/>
          <w:sz w:val="28"/>
          <w:szCs w:val="28"/>
        </w:rPr>
        <w:t>яється</w:t>
      </w:r>
      <w:r w:rsidRPr="00CA099F">
        <w:rPr>
          <w:rFonts w:eastAsia="Calibri" w:cs="Times New Roman"/>
          <w:sz w:val="28"/>
          <w:szCs w:val="28"/>
        </w:rPr>
        <w:t>, реакція з антитілами до білку Кі - 67, також вияв</w:t>
      </w:r>
      <w:r w:rsidR="00AD2774">
        <w:rPr>
          <w:rFonts w:eastAsia="Calibri" w:cs="Times New Roman"/>
          <w:sz w:val="28"/>
          <w:szCs w:val="28"/>
        </w:rPr>
        <w:t>ляє</w:t>
      </w:r>
      <w:r w:rsidRPr="00CA099F">
        <w:rPr>
          <w:rFonts w:eastAsia="Calibri" w:cs="Times New Roman"/>
          <w:sz w:val="28"/>
          <w:szCs w:val="28"/>
        </w:rPr>
        <w:t xml:space="preserve"> приблизно в 20% базальних епітеліоцитів позитивну інтрануклеарну експресію, що можливо є досить стабільним показником. Клітини сполучнотканинного рубця украй рідко </w:t>
      </w:r>
      <w:r w:rsidR="008D527F">
        <w:rPr>
          <w:rFonts w:eastAsia="Calibri" w:cs="Times New Roman"/>
          <w:sz w:val="28"/>
          <w:szCs w:val="28"/>
        </w:rPr>
        <w:t>є</w:t>
      </w:r>
      <w:r w:rsidRPr="00CA099F">
        <w:rPr>
          <w:rFonts w:eastAsia="Calibri" w:cs="Times New Roman"/>
          <w:sz w:val="28"/>
          <w:szCs w:val="28"/>
        </w:rPr>
        <w:t xml:space="preserve"> позитивн</w:t>
      </w:r>
      <w:r w:rsidR="008D527F">
        <w:rPr>
          <w:rFonts w:eastAsia="Calibri" w:cs="Times New Roman"/>
          <w:sz w:val="28"/>
          <w:szCs w:val="28"/>
        </w:rPr>
        <w:t>ими</w:t>
      </w:r>
      <w:r w:rsidRPr="00CA099F">
        <w:rPr>
          <w:rFonts w:eastAsia="Calibri" w:cs="Times New Roman"/>
          <w:sz w:val="28"/>
          <w:szCs w:val="28"/>
        </w:rPr>
        <w:t xml:space="preserve"> до вказаного маркера.</w:t>
      </w:r>
    </w:p>
    <w:p w:rsidR="0030517B" w:rsidRPr="00CA099F" w:rsidRDefault="0030517B" w:rsidP="0003712A">
      <w:pPr>
        <w:spacing w:after="160" w:line="360" w:lineRule="auto"/>
        <w:ind w:firstLine="708"/>
        <w:jc w:val="both"/>
        <w:rPr>
          <w:rFonts w:eastAsia="Calibri" w:cs="Times New Roman"/>
          <w:sz w:val="28"/>
          <w:szCs w:val="28"/>
        </w:rPr>
      </w:pPr>
      <w:r w:rsidRPr="00CA099F">
        <w:rPr>
          <w:rFonts w:eastAsia="Calibri" w:cs="Times New Roman"/>
          <w:sz w:val="28"/>
          <w:szCs w:val="28"/>
        </w:rPr>
        <w:t xml:space="preserve">У 2 групі </w:t>
      </w:r>
      <w:r w:rsidR="00D96DA9">
        <w:rPr>
          <w:rFonts w:eastAsia="Calibri" w:cs="Times New Roman"/>
          <w:sz w:val="28"/>
          <w:szCs w:val="28"/>
        </w:rPr>
        <w:t>пацієнтів</w:t>
      </w:r>
      <w:r w:rsidRPr="00CA099F">
        <w:rPr>
          <w:rFonts w:eastAsia="Calibri" w:cs="Times New Roman"/>
          <w:sz w:val="28"/>
          <w:szCs w:val="28"/>
        </w:rPr>
        <w:t xml:space="preserve"> помітних порушень в процесі епітелізації, в цій клінічній групі </w:t>
      </w:r>
      <w:r w:rsidR="008C0E8F">
        <w:rPr>
          <w:rFonts w:eastAsia="Calibri" w:cs="Times New Roman"/>
          <w:sz w:val="28"/>
          <w:szCs w:val="28"/>
        </w:rPr>
        <w:t>не</w:t>
      </w:r>
      <w:r w:rsidRPr="00CA099F">
        <w:rPr>
          <w:rFonts w:eastAsia="Calibri" w:cs="Times New Roman"/>
          <w:sz w:val="28"/>
          <w:szCs w:val="28"/>
        </w:rPr>
        <w:t xml:space="preserve"> виявл</w:t>
      </w:r>
      <w:r w:rsidR="008C0E8F">
        <w:rPr>
          <w:rFonts w:eastAsia="Calibri" w:cs="Times New Roman"/>
          <w:sz w:val="28"/>
          <w:szCs w:val="28"/>
        </w:rPr>
        <w:t>яється. Зрідка, в шипуватому шарі має</w:t>
      </w:r>
      <w:r w:rsidRPr="00CA099F">
        <w:rPr>
          <w:rFonts w:eastAsia="Calibri" w:cs="Times New Roman"/>
          <w:sz w:val="28"/>
          <w:szCs w:val="28"/>
        </w:rPr>
        <w:t xml:space="preserve"> місце надмірна кількість епітеліоцитів з явищами гідропічної дистрофії. Сполучнотканинні сосочки візуально не відрізняються від таких в інтактній дермі, розташовані </w:t>
      </w:r>
      <w:r w:rsidRPr="00CA099F">
        <w:rPr>
          <w:rFonts w:eastAsia="Calibri" w:cs="Times New Roman"/>
          <w:sz w:val="28"/>
          <w:szCs w:val="28"/>
        </w:rPr>
        <w:lastRenderedPageBreak/>
        <w:t>між ними епітеліальні пласти характеризуються мономорфною картиною і відносно однак</w:t>
      </w:r>
      <w:r w:rsidR="008C0E8F">
        <w:rPr>
          <w:rFonts w:eastAsia="Calibri" w:cs="Times New Roman"/>
          <w:sz w:val="28"/>
          <w:szCs w:val="28"/>
        </w:rPr>
        <w:t>овими розмірами. Украй рідко має</w:t>
      </w:r>
      <w:r w:rsidRPr="00CA099F">
        <w:rPr>
          <w:rFonts w:eastAsia="Calibri" w:cs="Times New Roman"/>
          <w:sz w:val="28"/>
          <w:szCs w:val="28"/>
        </w:rPr>
        <w:t xml:space="preserve"> місце формування акантотичних тяжів, які глибоко занурю</w:t>
      </w:r>
      <w:r w:rsidR="008C0E8F">
        <w:rPr>
          <w:rFonts w:eastAsia="Calibri" w:cs="Times New Roman"/>
          <w:sz w:val="28"/>
          <w:szCs w:val="28"/>
        </w:rPr>
        <w:t>ють</w:t>
      </w:r>
      <w:r w:rsidRPr="00CA099F">
        <w:rPr>
          <w:rFonts w:eastAsia="Calibri" w:cs="Times New Roman"/>
          <w:sz w:val="28"/>
          <w:szCs w:val="28"/>
        </w:rPr>
        <w:t>ся до підлеглого сполучнотканинного рубця. Проведене морфометричне вивчення клітинного складу сполучнотканинного рубця дозвол</w:t>
      </w:r>
      <w:r w:rsidR="00E73DB2">
        <w:rPr>
          <w:rFonts w:eastAsia="Calibri" w:cs="Times New Roman"/>
          <w:sz w:val="28"/>
          <w:szCs w:val="28"/>
        </w:rPr>
        <w:t>яє</w:t>
      </w:r>
      <w:r w:rsidRPr="00CA099F">
        <w:rPr>
          <w:rFonts w:eastAsia="Calibri" w:cs="Times New Roman"/>
          <w:sz w:val="28"/>
          <w:szCs w:val="28"/>
        </w:rPr>
        <w:t xml:space="preserve"> виявити, в порівнянні з попередніми групами, незначне зменшення кількості клітинних елементів.</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Помітні зміни спостерігаються з боку фібрилярного компонента сполучнотканинного рубця. Пучки колагенових волокон, як і в описаних вище експериментальних групах</w:t>
      </w:r>
      <w:r w:rsidR="00E73DB2">
        <w:rPr>
          <w:rFonts w:eastAsia="Calibri" w:cs="Times New Roman"/>
          <w:sz w:val="28"/>
          <w:szCs w:val="28"/>
        </w:rPr>
        <w:t>,</w:t>
      </w:r>
      <w:r w:rsidRPr="00CA099F">
        <w:rPr>
          <w:rFonts w:eastAsia="Calibri" w:cs="Times New Roman"/>
          <w:sz w:val="28"/>
          <w:szCs w:val="28"/>
        </w:rPr>
        <w:t xml:space="preserve"> в апікальних відділах рубця розташовуються переважно перпендикулярно до покривного епітелію, в середніх і базальних відділах – паралельно. Проведена реакція з антитілами до білку Кі</w:t>
      </w:r>
      <w:r w:rsidR="00E73DB2">
        <w:rPr>
          <w:rFonts w:eastAsia="Calibri" w:cs="Times New Roman"/>
          <w:sz w:val="28"/>
          <w:szCs w:val="28"/>
        </w:rPr>
        <w:t xml:space="preserve"> - 67, виявляє</w:t>
      </w:r>
      <w:r w:rsidRPr="00CA099F">
        <w:rPr>
          <w:rFonts w:eastAsia="Calibri" w:cs="Times New Roman"/>
          <w:sz w:val="28"/>
          <w:szCs w:val="28"/>
        </w:rPr>
        <w:t xml:space="preserve"> проліферативну активність в 20% епітеліальних клітин базального шару епідермісу і </w:t>
      </w:r>
      <w:r w:rsidR="00CB6C08">
        <w:rPr>
          <w:rFonts w:eastAsia="Calibri" w:cs="Times New Roman"/>
          <w:sz w:val="28"/>
          <w:szCs w:val="28"/>
        </w:rPr>
        <w:t>практично повну відсутність такої</w:t>
      </w:r>
      <w:r w:rsidRPr="00CA099F">
        <w:rPr>
          <w:rFonts w:eastAsia="Calibri" w:cs="Times New Roman"/>
          <w:sz w:val="28"/>
          <w:szCs w:val="28"/>
        </w:rPr>
        <w:t xml:space="preserve"> в клітинах сполучнотканинного рубця.  </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На 9 місяць після оперативного втручання у </w:t>
      </w:r>
      <w:r w:rsidR="00D96DA9">
        <w:rPr>
          <w:rFonts w:eastAsia="Calibri" w:cs="Times New Roman"/>
          <w:sz w:val="28"/>
          <w:szCs w:val="28"/>
        </w:rPr>
        <w:t>пацієнтів</w:t>
      </w:r>
      <w:r w:rsidRPr="00CA099F">
        <w:rPr>
          <w:rFonts w:eastAsia="Calibri" w:cs="Times New Roman"/>
          <w:sz w:val="28"/>
          <w:szCs w:val="28"/>
        </w:rPr>
        <w:t xml:space="preserve"> контрольної групи мікроскопічно над усією областю післяопераційного рубця візуалізу</w:t>
      </w:r>
      <w:r w:rsidR="00CB6C08">
        <w:rPr>
          <w:rFonts w:eastAsia="Calibri" w:cs="Times New Roman"/>
          <w:sz w:val="28"/>
          <w:szCs w:val="28"/>
        </w:rPr>
        <w:t>єть</w:t>
      </w:r>
      <w:r w:rsidRPr="00CA099F">
        <w:rPr>
          <w:rFonts w:eastAsia="Calibri" w:cs="Times New Roman"/>
          <w:sz w:val="28"/>
          <w:szCs w:val="28"/>
        </w:rPr>
        <w:t>ся суцільний епітеліальний покрив, який за морфологічними показниками не відрізня</w:t>
      </w:r>
      <w:r w:rsidR="00CB6C08">
        <w:rPr>
          <w:rFonts w:eastAsia="Calibri" w:cs="Times New Roman"/>
          <w:sz w:val="28"/>
          <w:szCs w:val="28"/>
        </w:rPr>
        <w:t>єть</w:t>
      </w:r>
      <w:r w:rsidRPr="00CA099F">
        <w:rPr>
          <w:rFonts w:eastAsia="Calibri" w:cs="Times New Roman"/>
          <w:sz w:val="28"/>
          <w:szCs w:val="28"/>
        </w:rPr>
        <w:t>ся від інтактного епідермісу. У базальних відділах пучки колагенових волокон, товщина яких практично відповіда</w:t>
      </w:r>
      <w:r w:rsidR="00CB6C08">
        <w:rPr>
          <w:rFonts w:eastAsia="Calibri" w:cs="Times New Roman"/>
          <w:sz w:val="28"/>
          <w:szCs w:val="28"/>
        </w:rPr>
        <w:t>є</w:t>
      </w:r>
      <w:r w:rsidRPr="00CA099F">
        <w:rPr>
          <w:rFonts w:eastAsia="Calibri" w:cs="Times New Roman"/>
          <w:sz w:val="28"/>
          <w:szCs w:val="28"/>
        </w:rPr>
        <w:t xml:space="preserve"> такій в тримісячному терміні спостереження, переплітаючись між собою формують структури, що нагадують такі в сітчастому шарі дерми. Така гістотопографія спостерігається через 3 місяці у </w:t>
      </w:r>
      <w:r w:rsidR="00D96DA9">
        <w:rPr>
          <w:rFonts w:eastAsia="Calibri" w:cs="Times New Roman"/>
          <w:sz w:val="28"/>
          <w:szCs w:val="28"/>
        </w:rPr>
        <w:t>пацієнтів</w:t>
      </w:r>
      <w:r w:rsidRPr="00CA099F">
        <w:rPr>
          <w:rFonts w:eastAsia="Calibri" w:cs="Times New Roman"/>
          <w:sz w:val="28"/>
          <w:szCs w:val="28"/>
        </w:rPr>
        <w:t>, яким разом з введенням PRF-згустка вводили препарат «Біоцирулін». Ця обставина ускладнювала виразне виявлення межі між тканиною рубця і незміненою дермою.</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Проведені морфометричні дослідження дозволили виявити незначне зменшення клітинних елементів в рубцевій тканині. Помітних змін проліферативної активності клітинних елементів покривного епітелію і сполучнотканинного рубця що виявляється за допомогою білку Кі - 67, </w:t>
      </w:r>
      <w:r w:rsidR="00CB6C08">
        <w:rPr>
          <w:rFonts w:eastAsia="Calibri" w:cs="Times New Roman"/>
          <w:sz w:val="28"/>
          <w:szCs w:val="28"/>
        </w:rPr>
        <w:t xml:space="preserve">не </w:t>
      </w:r>
      <w:r w:rsidRPr="00CA099F">
        <w:rPr>
          <w:rFonts w:eastAsia="Calibri" w:cs="Times New Roman"/>
          <w:sz w:val="28"/>
          <w:szCs w:val="28"/>
        </w:rPr>
        <w:t>відміч</w:t>
      </w:r>
      <w:r w:rsidR="00CB6C08">
        <w:rPr>
          <w:rFonts w:eastAsia="Calibri" w:cs="Times New Roman"/>
          <w:sz w:val="28"/>
          <w:szCs w:val="28"/>
        </w:rPr>
        <w:t>ається</w:t>
      </w:r>
      <w:r w:rsidRPr="00CA099F">
        <w:rPr>
          <w:rFonts w:eastAsia="Calibri" w:cs="Times New Roman"/>
          <w:sz w:val="28"/>
          <w:szCs w:val="28"/>
        </w:rPr>
        <w:t>.</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lastRenderedPageBreak/>
        <w:t xml:space="preserve">У </w:t>
      </w:r>
      <w:r w:rsidR="00D96DA9">
        <w:rPr>
          <w:rFonts w:eastAsia="Calibri" w:cs="Times New Roman"/>
          <w:sz w:val="28"/>
          <w:szCs w:val="28"/>
        </w:rPr>
        <w:t>пацієнтів</w:t>
      </w:r>
      <w:r w:rsidR="00005F8F">
        <w:rPr>
          <w:rFonts w:eastAsia="Calibri" w:cs="Times New Roman"/>
          <w:sz w:val="28"/>
          <w:szCs w:val="28"/>
        </w:rPr>
        <w:t xml:space="preserve"> 1 групи в усіх випадках має</w:t>
      </w:r>
      <w:r w:rsidRPr="00CA099F">
        <w:rPr>
          <w:rFonts w:eastAsia="Calibri" w:cs="Times New Roman"/>
          <w:sz w:val="28"/>
          <w:szCs w:val="28"/>
        </w:rPr>
        <w:t xml:space="preserve"> місце повна епітелізація післяопераційного рубця, при цьому багатошаровий плоский епітелій, розташований над рубцем не має помітних метричних і морфологічних відмінностей від інтактного епідермісу. Межа між епітелієм і рубцем, що залягає глибше, має звивистий характер, сполучнотканинні сосочки, про своїй будов</w:t>
      </w:r>
      <w:r w:rsidR="00005F8F">
        <w:rPr>
          <w:rFonts w:eastAsia="Calibri" w:cs="Times New Roman"/>
          <w:sz w:val="28"/>
          <w:szCs w:val="28"/>
        </w:rPr>
        <w:t>і практично повністю відповідає</w:t>
      </w:r>
      <w:r w:rsidRPr="00CA099F">
        <w:rPr>
          <w:rFonts w:eastAsia="Calibri" w:cs="Times New Roman"/>
          <w:sz w:val="28"/>
          <w:szCs w:val="28"/>
        </w:rPr>
        <w:t xml:space="preserve"> таким в інтактній шкірі. </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Проведені морфометричні дослідження дозволили виявити незначні зміни у кількості клітинних елементів у сторону їх зменшення. Помітніші зміни виявлені з боку фібрилярного компонента сполучнотканинного рубця: характер компонування пучків колагенових волокон, не має помітних відмінностей від такого в інтактній дермі не лише у базальних, але і в середніх відділах рубця, внаслідок чого межа між останнім і незміненій шкірі стає ще менш помітною. Слід зазначити практично рівномірний розподіл клітин по усій товщі сполучнотканинного рубця, при цьому щільність їх розташування, кількісний і якісний склад, показники проліферативної активності наближаються до відповідних показників сітчастого шару інтактної дерми.</w:t>
      </w:r>
    </w:p>
    <w:p w:rsidR="0030517B" w:rsidRPr="00CA099F" w:rsidRDefault="00AD6672" w:rsidP="0003712A">
      <w:pPr>
        <w:spacing w:after="160" w:line="360" w:lineRule="auto"/>
        <w:ind w:firstLine="709"/>
        <w:jc w:val="both"/>
        <w:rPr>
          <w:rFonts w:eastAsia="Calibri" w:cs="Times New Roman"/>
          <w:sz w:val="28"/>
          <w:szCs w:val="28"/>
        </w:rPr>
      </w:pPr>
      <w:r>
        <w:rPr>
          <w:rFonts w:eastAsia="Calibri" w:cs="Times New Roman"/>
          <w:sz w:val="28"/>
          <w:szCs w:val="28"/>
        </w:rPr>
        <w:t>У</w:t>
      </w:r>
      <w:r w:rsidR="0030517B" w:rsidRPr="00CA099F">
        <w:rPr>
          <w:rFonts w:eastAsia="Calibri" w:cs="Times New Roman"/>
          <w:sz w:val="28"/>
          <w:szCs w:val="28"/>
        </w:rPr>
        <w:t xml:space="preserve"> контрольній групі в 12-ти місячний термін в усіх випадках ма</w:t>
      </w:r>
      <w:r w:rsidR="00005F8F">
        <w:rPr>
          <w:rFonts w:eastAsia="Calibri" w:cs="Times New Roman"/>
          <w:sz w:val="28"/>
          <w:szCs w:val="28"/>
        </w:rPr>
        <w:t>є</w:t>
      </w:r>
      <w:r w:rsidR="0030517B" w:rsidRPr="00CA099F">
        <w:rPr>
          <w:rFonts w:eastAsia="Calibri" w:cs="Times New Roman"/>
          <w:sz w:val="28"/>
          <w:szCs w:val="28"/>
        </w:rPr>
        <w:t xml:space="preserve"> місце повна епітелізація сполучнотканинного рубця, при цьому покривний епітелій повністю відповіда</w:t>
      </w:r>
      <w:r w:rsidR="00005F8F">
        <w:rPr>
          <w:rFonts w:eastAsia="Calibri" w:cs="Times New Roman"/>
          <w:sz w:val="28"/>
          <w:szCs w:val="28"/>
        </w:rPr>
        <w:t>є</w:t>
      </w:r>
      <w:r w:rsidR="0030517B" w:rsidRPr="00CA099F">
        <w:rPr>
          <w:rFonts w:eastAsia="Calibri" w:cs="Times New Roman"/>
          <w:sz w:val="28"/>
          <w:szCs w:val="28"/>
        </w:rPr>
        <w:t xml:space="preserve"> інтактному епідермісу, помітних порушень процесів епітелізації </w:t>
      </w:r>
      <w:r w:rsidR="0055519F">
        <w:rPr>
          <w:rFonts w:eastAsia="Calibri" w:cs="Times New Roman"/>
          <w:sz w:val="28"/>
          <w:szCs w:val="28"/>
        </w:rPr>
        <w:t xml:space="preserve">не </w:t>
      </w:r>
      <w:r w:rsidR="0030517B" w:rsidRPr="00CA099F">
        <w:rPr>
          <w:rFonts w:eastAsia="Calibri" w:cs="Times New Roman"/>
          <w:sz w:val="28"/>
          <w:szCs w:val="28"/>
        </w:rPr>
        <w:t>виявл</w:t>
      </w:r>
      <w:r w:rsidR="0055519F">
        <w:rPr>
          <w:rFonts w:eastAsia="Calibri" w:cs="Times New Roman"/>
          <w:sz w:val="28"/>
          <w:szCs w:val="28"/>
        </w:rPr>
        <w:t>яється</w:t>
      </w:r>
      <w:r w:rsidR="0030517B" w:rsidRPr="00CA099F">
        <w:rPr>
          <w:rFonts w:eastAsia="Calibri" w:cs="Times New Roman"/>
          <w:sz w:val="28"/>
          <w:szCs w:val="28"/>
        </w:rPr>
        <w:t xml:space="preserve">. Слід відмітити появу в середніх і базальних відділах рубця окремих, хаотично розташованих пучків колагенових волокон. Нами підтверджена думка багатьох авторів, що незважаючи на значну товщину, для них досить часто характерна слабковиражена фуксинофілія, що є непрямою ознакою початкових стадій розвитку дистрофічних процесів </w:t>
      </w:r>
      <w:r w:rsidR="0030517B" w:rsidRPr="00CA099F">
        <w:rPr>
          <w:rFonts w:eastAsia="Calibri" w:cs="Times New Roman"/>
          <w:sz w:val="28"/>
          <w:szCs w:val="28"/>
          <w:lang w:val="ru-RU"/>
        </w:rPr>
        <w:t>[62, 63, 68]</w:t>
      </w:r>
      <w:r w:rsidR="0030517B" w:rsidRPr="00CA099F">
        <w:rPr>
          <w:rFonts w:eastAsia="Calibri" w:cs="Times New Roman"/>
          <w:sz w:val="28"/>
          <w:szCs w:val="28"/>
        </w:rPr>
        <w:t>.</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В 1 групі післяопераційний сполучнотканинний рубець в усіх відділах ма</w:t>
      </w:r>
      <w:r w:rsidR="00741F7C">
        <w:rPr>
          <w:rFonts w:eastAsia="Calibri" w:cs="Times New Roman"/>
          <w:sz w:val="28"/>
          <w:szCs w:val="28"/>
        </w:rPr>
        <w:t>є</w:t>
      </w:r>
      <w:r w:rsidRPr="00CA099F">
        <w:rPr>
          <w:rFonts w:eastAsia="Calibri" w:cs="Times New Roman"/>
          <w:sz w:val="28"/>
          <w:szCs w:val="28"/>
        </w:rPr>
        <w:t xml:space="preserve"> відносно мономорфну будову, при цьому, питома вага розташування клітинних елементів помітно не відрізняється від контрольної групи. Колагенові волокна у базальних і середніх відділах рубця, переплітаючись між </w:t>
      </w:r>
      <w:r w:rsidRPr="00CA099F">
        <w:rPr>
          <w:rFonts w:eastAsia="Calibri" w:cs="Times New Roman"/>
          <w:sz w:val="28"/>
          <w:szCs w:val="28"/>
        </w:rPr>
        <w:lastRenderedPageBreak/>
        <w:t>собою практично повністю повторюють напрям волокон сітчастого шару дерми, помітно не відрізняючись від останніх по товщині. У апікальних відділах пучки колагенових волокон зберігають перпендикулярний, по відношенню до епідермісу напрям, незрілих форм серед них не виявлено.</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Додаткове введення разом з PRF-згустком п</w:t>
      </w:r>
      <w:r w:rsidR="0055519F">
        <w:rPr>
          <w:rFonts w:eastAsia="Calibri" w:cs="Times New Roman"/>
          <w:sz w:val="28"/>
          <w:szCs w:val="28"/>
        </w:rPr>
        <w:t>репарату «Біоцирулін» не призводить</w:t>
      </w:r>
      <w:r w:rsidRPr="00CA099F">
        <w:rPr>
          <w:rFonts w:eastAsia="Calibri" w:cs="Times New Roman"/>
          <w:sz w:val="28"/>
          <w:szCs w:val="28"/>
        </w:rPr>
        <w:t xml:space="preserve"> до помітних змін в епітелізації рубця через 12 місяців після оперативного втручання в порівнянні з по</w:t>
      </w:r>
      <w:r w:rsidR="0055519F">
        <w:rPr>
          <w:rFonts w:eastAsia="Calibri" w:cs="Times New Roman"/>
          <w:sz w:val="28"/>
          <w:szCs w:val="28"/>
        </w:rPr>
        <w:t>передньою групою. Не спостерігаєть</w:t>
      </w:r>
      <w:r w:rsidRPr="00CA099F">
        <w:rPr>
          <w:rFonts w:eastAsia="Calibri" w:cs="Times New Roman"/>
          <w:sz w:val="28"/>
          <w:szCs w:val="28"/>
        </w:rPr>
        <w:t>ся також помітних змін в ангіоархітектоніці та клітинному складі післяопераційного рубця.</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Відмінності ма</w:t>
      </w:r>
      <w:r w:rsidR="0055519F">
        <w:rPr>
          <w:rFonts w:eastAsia="Calibri" w:cs="Times New Roman"/>
          <w:sz w:val="28"/>
          <w:szCs w:val="28"/>
        </w:rPr>
        <w:t>ють</w:t>
      </w:r>
      <w:r w:rsidRPr="00CA099F">
        <w:rPr>
          <w:rFonts w:eastAsia="Calibri" w:cs="Times New Roman"/>
          <w:sz w:val="28"/>
          <w:szCs w:val="28"/>
        </w:rPr>
        <w:t xml:space="preserve"> місце в характері розташування пучків колагенових волокон, характер напряму яких практично по усій глибині рубця, </w:t>
      </w:r>
      <w:r w:rsidR="00F3718A">
        <w:rPr>
          <w:rFonts w:eastAsia="Calibri" w:cs="Times New Roman"/>
          <w:sz w:val="28"/>
          <w:szCs w:val="28"/>
        </w:rPr>
        <w:t>аж до найбільш</w:t>
      </w:r>
      <w:r w:rsidRPr="00CA099F">
        <w:rPr>
          <w:rFonts w:eastAsia="Calibri" w:cs="Times New Roman"/>
          <w:sz w:val="28"/>
          <w:szCs w:val="28"/>
        </w:rPr>
        <w:t xml:space="preserve"> апікальних відділів співпадає з таким же в інтактній дермі. При цьому пучки колагенових волокон післяопераційного рубця за тинкторіальними характеристиками і метричними показниками практично не відрізняються від таких в незміненій дермі, через що </w:t>
      </w:r>
      <w:r w:rsidR="00F3718A">
        <w:rPr>
          <w:rFonts w:eastAsia="Calibri" w:cs="Times New Roman"/>
          <w:sz w:val="28"/>
          <w:szCs w:val="28"/>
        </w:rPr>
        <w:t>є неможливим</w:t>
      </w:r>
      <w:r w:rsidRPr="00CA099F">
        <w:rPr>
          <w:rFonts w:eastAsia="Calibri" w:cs="Times New Roman"/>
          <w:sz w:val="28"/>
          <w:szCs w:val="28"/>
        </w:rPr>
        <w:t>, у ряді випадків, навіть приблизно визначити межі зони післяопераційного рубця.</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Таким чином, отримані дані свідчать про істотну оптимізацію регенераторних процесів при комбінованому введенні PRF-згустка і препарату «Біоцирулін». На ранніх етапах експериментального дослідження це прояв</w:t>
      </w:r>
      <w:r w:rsidR="00F3718A">
        <w:rPr>
          <w:rFonts w:eastAsia="Calibri" w:cs="Times New Roman"/>
          <w:sz w:val="28"/>
          <w:szCs w:val="28"/>
        </w:rPr>
        <w:t>ляєть</w:t>
      </w:r>
      <w:r w:rsidRPr="00CA099F">
        <w:rPr>
          <w:rFonts w:eastAsia="Calibri" w:cs="Times New Roman"/>
          <w:sz w:val="28"/>
          <w:szCs w:val="28"/>
        </w:rPr>
        <w:t xml:space="preserve">ся в першу чергу прискоренням динаміки зменшення відносної кількості клітин гематогенного походження і, навпаки, збільшення числа клітинних елементів механоцитарного дифферона сполучної тканини. </w:t>
      </w:r>
    </w:p>
    <w:p w:rsidR="0030517B" w:rsidRPr="00CA099F" w:rsidRDefault="000905E0" w:rsidP="0003712A">
      <w:pPr>
        <w:spacing w:after="160" w:line="360" w:lineRule="auto"/>
        <w:ind w:firstLine="709"/>
        <w:jc w:val="both"/>
        <w:rPr>
          <w:rFonts w:eastAsia="Calibri" w:cs="Times New Roman"/>
          <w:sz w:val="28"/>
          <w:szCs w:val="28"/>
        </w:rPr>
      </w:pPr>
      <w:r>
        <w:rPr>
          <w:rFonts w:eastAsia="Calibri" w:cs="Times New Roman"/>
          <w:sz w:val="28"/>
          <w:szCs w:val="28"/>
        </w:rPr>
        <w:t>У</w:t>
      </w:r>
      <w:r w:rsidR="0030517B" w:rsidRPr="00CA099F">
        <w:rPr>
          <w:rFonts w:eastAsia="Calibri" w:cs="Times New Roman"/>
          <w:sz w:val="28"/>
          <w:szCs w:val="28"/>
        </w:rPr>
        <w:t xml:space="preserve"> період 6-12 місяців після оперативного втручання вплив застосованих лікарських засобів проявляється прискоренням ремоделювання фібрилярного компонента дерми в області післяопераційного рубця, більш тісної, конформної інтеграції останнього з навколишніми тканинами, помітним зменшенням кількості дистрофічних ушкоджень колагенових волокон, що часто призводить до утворення келоїдних рубців.</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lastRenderedPageBreak/>
        <w:t>Для створення доказової бази ефективності запропонованої методики профілактики утворення патологічних рубцевозмінених тканин на наступному етапі було проведено біохімічне дослідження.</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Аналіз динаміки змін показників продукції активних форм оксигену показав, що його відсоток в 1 групі через 3 місяці спостереження достовірно менший на 26,6 % , через 6 місяців – на 10,9 % і через 9 – на 12,2 %, стосовно даних пацієнтів контрольної групи. Через 6 місяців відсоток АФО спостерігається достовірно нижчим на 18,5 %, стосовно даних попереднього терміну спостереження, відповідно, через 9 місяців – на 16,2 %.</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Нами підтверджені літературні дані, щ</w:t>
      </w:r>
      <w:r w:rsidR="000905E0">
        <w:rPr>
          <w:rFonts w:eastAsia="Calibri" w:cs="Times New Roman"/>
          <w:sz w:val="28"/>
          <w:szCs w:val="28"/>
        </w:rPr>
        <w:t xml:space="preserve">о у пацієнтів другої і третьої </w:t>
      </w:r>
      <w:r w:rsidRPr="00CA099F">
        <w:rPr>
          <w:rFonts w:eastAsia="Calibri" w:cs="Times New Roman"/>
          <w:sz w:val="28"/>
          <w:szCs w:val="28"/>
        </w:rPr>
        <w:t>груп через 12 місяців відсоток АФО практично не відрізняється від даних інтактної групи [70].</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 xml:space="preserve">Аналіз наукових джерел свідчить про те, що активація </w:t>
      </w:r>
      <w:r w:rsidR="000905E0">
        <w:rPr>
          <w:rFonts w:eastAsia="Calibri" w:cs="Times New Roman"/>
          <w:sz w:val="28"/>
          <w:szCs w:val="28"/>
        </w:rPr>
        <w:t>перекисного</w:t>
      </w:r>
      <w:r w:rsidRPr="00CA099F">
        <w:rPr>
          <w:rFonts w:eastAsia="Calibri" w:cs="Times New Roman"/>
          <w:sz w:val="28"/>
          <w:szCs w:val="28"/>
        </w:rPr>
        <w:t xml:space="preserve"> окиснення ліпідів (ПОЛ) є одним із пускових механізмів стресорних ушкоджень із порушенням метаболізму клітин, які, у першу чергу, пов'язані з пошкодженням клітинних і субклітинних мембран [73]. Нами підтверджені ці дані та доведено, що у пацієнтів 1 групи концентрація ГПЛ через 3 місяці спостереження достовірно менша на 26,7 % , через 6</w:t>
      </w:r>
      <w:r w:rsidR="00CD32C1">
        <w:rPr>
          <w:rFonts w:eastAsia="Calibri" w:cs="Times New Roman"/>
          <w:sz w:val="28"/>
          <w:szCs w:val="28"/>
        </w:rPr>
        <w:t xml:space="preserve"> місяців – на 15,6 % і через 9 </w:t>
      </w:r>
      <w:r w:rsidRPr="00CA099F">
        <w:rPr>
          <w:rFonts w:eastAsia="Calibri" w:cs="Times New Roman"/>
          <w:sz w:val="28"/>
          <w:szCs w:val="28"/>
        </w:rPr>
        <w:t>– на 7,0 %, стосовно даних третьої групи. У пацієнтів першої і третьої  груп через 12 місяців спостереження концентрація ГПЛ практично не відрізняються.</w:t>
      </w:r>
    </w:p>
    <w:p w:rsidR="0030517B" w:rsidRPr="00CA099F" w:rsidRDefault="0030517B" w:rsidP="0003712A">
      <w:pPr>
        <w:spacing w:after="160" w:line="360" w:lineRule="auto"/>
        <w:ind w:firstLine="709"/>
        <w:jc w:val="both"/>
        <w:rPr>
          <w:rFonts w:eastAsia="Calibri" w:cs="Times New Roman"/>
          <w:sz w:val="28"/>
          <w:szCs w:val="28"/>
        </w:rPr>
      </w:pPr>
      <w:r w:rsidRPr="00CA099F">
        <w:rPr>
          <w:rFonts w:eastAsia="Calibri" w:cs="Times New Roman"/>
          <w:sz w:val="28"/>
          <w:szCs w:val="28"/>
        </w:rPr>
        <w:t>Концентрація ДК через 3 місяці спостереж</w:t>
      </w:r>
      <w:r w:rsidR="006A5EAB">
        <w:rPr>
          <w:rFonts w:eastAsia="Calibri" w:cs="Times New Roman"/>
          <w:sz w:val="28"/>
          <w:szCs w:val="28"/>
        </w:rPr>
        <w:t>ення достовірно зменшується на</w:t>
      </w:r>
      <w:r w:rsidRPr="00CA099F">
        <w:rPr>
          <w:rFonts w:eastAsia="Calibri" w:cs="Times New Roman"/>
          <w:sz w:val="28"/>
          <w:szCs w:val="28"/>
        </w:rPr>
        <w:t xml:space="preserve"> 24,1 %, через 6 місяців – на 19,7 %, через 9 – на 13,8 % і через 12 – на 6,1 %, стосовно даних третьої групи (р&lt;0,05). Концентраційний градієнт ТБК-АП через 3 місяці спостереження є достовірно меншим на 17,8</w:t>
      </w:r>
      <w:r w:rsidR="006A5EAB">
        <w:rPr>
          <w:rFonts w:eastAsia="Calibri" w:cs="Times New Roman"/>
          <w:sz w:val="28"/>
          <w:szCs w:val="28"/>
        </w:rPr>
        <w:t> </w:t>
      </w:r>
      <w:r w:rsidRPr="00CA099F">
        <w:rPr>
          <w:rFonts w:eastAsia="Calibri" w:cs="Times New Roman"/>
          <w:sz w:val="28"/>
          <w:szCs w:val="28"/>
        </w:rPr>
        <w:t>% , через 6 місяців – на 22,8 % і через 9 – на 5,0 %, стосовно даних третьої групи (р&lt;0,05).</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Встановлено, що у пацієнтів 2 групи концентрація ГПЛ через 3 місяці</w:t>
      </w:r>
      <w:r w:rsidR="00973529">
        <w:rPr>
          <w:rFonts w:eastAsia="Calibri" w:cs="Times New Roman"/>
          <w:sz w:val="28"/>
          <w:szCs w:val="28"/>
        </w:rPr>
        <w:t xml:space="preserve"> спостереження достовірно зменшується на 39,0 %</w:t>
      </w:r>
      <w:r w:rsidRPr="00CA099F">
        <w:rPr>
          <w:rFonts w:eastAsia="Calibri" w:cs="Times New Roman"/>
          <w:sz w:val="28"/>
          <w:szCs w:val="28"/>
        </w:rPr>
        <w:t xml:space="preserve">, через 6 місяців – на 19,7 % </w:t>
      </w:r>
      <w:r w:rsidRPr="00CA099F">
        <w:rPr>
          <w:rFonts w:eastAsia="Calibri" w:cs="Times New Roman"/>
          <w:sz w:val="28"/>
          <w:szCs w:val="28"/>
        </w:rPr>
        <w:lastRenderedPageBreak/>
        <w:t xml:space="preserve">і через 9 – на 9,2 %, стосовно даних 3-ої групи. У пацієнтів 2-ої і 3-ої груп через 12 місяців спостереження концентрація ГПЛ практично не відрізняється. </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 xml:space="preserve">Також у </w:t>
      </w:r>
      <w:r w:rsidR="00D96DA9">
        <w:rPr>
          <w:rFonts w:eastAsia="Calibri" w:cs="Times New Roman"/>
          <w:sz w:val="28"/>
          <w:szCs w:val="28"/>
        </w:rPr>
        <w:t>пацієнтів</w:t>
      </w:r>
      <w:r w:rsidRPr="00CA099F">
        <w:rPr>
          <w:rFonts w:eastAsia="Calibri" w:cs="Times New Roman"/>
          <w:sz w:val="28"/>
          <w:szCs w:val="28"/>
        </w:rPr>
        <w:t xml:space="preserve"> 2 групи чере</w:t>
      </w:r>
      <w:r w:rsidR="00A85273">
        <w:rPr>
          <w:rFonts w:eastAsia="Calibri" w:cs="Times New Roman"/>
          <w:sz w:val="28"/>
          <w:szCs w:val="28"/>
        </w:rPr>
        <w:t>з 6 місяців концентрація ДК зниж</w:t>
      </w:r>
      <w:r w:rsidRPr="00CA099F">
        <w:rPr>
          <w:rFonts w:eastAsia="Calibri" w:cs="Times New Roman"/>
          <w:sz w:val="28"/>
          <w:szCs w:val="28"/>
        </w:rPr>
        <w:t>ується на 12,4 %, стосовно даних попереднього терміну спостереження, відповідно, через 9 місяців рівень досліджуваної величини зменшується на 6,6 % (р&lt;0,01). Така ж тенденція відміч</w:t>
      </w:r>
      <w:r w:rsidR="00A85273">
        <w:rPr>
          <w:rFonts w:eastAsia="Calibri" w:cs="Times New Roman"/>
          <w:sz w:val="28"/>
          <w:szCs w:val="28"/>
        </w:rPr>
        <w:t>ається</w:t>
      </w:r>
      <w:r w:rsidRPr="00CA099F">
        <w:rPr>
          <w:rFonts w:eastAsia="Calibri" w:cs="Times New Roman"/>
          <w:sz w:val="28"/>
          <w:szCs w:val="28"/>
        </w:rPr>
        <w:t xml:space="preserve"> щодо змін концентрації ТК у гомогенаті шкіри пацієнтів другої і третьої груп у різні терміни спостереження. Також у </w:t>
      </w:r>
      <w:r w:rsidR="00D96DA9">
        <w:rPr>
          <w:rFonts w:eastAsia="Calibri" w:cs="Times New Roman"/>
          <w:sz w:val="28"/>
          <w:szCs w:val="28"/>
        </w:rPr>
        <w:t>пацієнтів</w:t>
      </w:r>
      <w:r w:rsidRPr="00CA099F">
        <w:rPr>
          <w:rFonts w:eastAsia="Calibri" w:cs="Times New Roman"/>
          <w:sz w:val="28"/>
          <w:szCs w:val="28"/>
        </w:rPr>
        <w:t xml:space="preserve"> цієї групи концентрація ТБК-АП через 3 місяці спостереження достовірно зменшується на 35,1 %, через 6 місяців – на 27,7 % і через 9 –на </w:t>
      </w:r>
      <w:r w:rsidR="00A85273" w:rsidRPr="00CA099F">
        <w:rPr>
          <w:rFonts w:eastAsia="Calibri" w:cs="Times New Roman"/>
          <w:sz w:val="28"/>
          <w:szCs w:val="28"/>
        </w:rPr>
        <w:t xml:space="preserve">8,7 </w:t>
      </w:r>
      <w:r w:rsidRPr="00CA099F">
        <w:rPr>
          <w:rFonts w:eastAsia="Calibri" w:cs="Times New Roman"/>
          <w:sz w:val="28"/>
          <w:szCs w:val="28"/>
        </w:rPr>
        <w:t>%, стосовно даних третьої групи, що не суперечить літературним даним [</w:t>
      </w:r>
      <w:r w:rsidRPr="00CA099F">
        <w:rPr>
          <w:rFonts w:eastAsia="Calibri" w:cs="Times New Roman"/>
          <w:sz w:val="28"/>
          <w:szCs w:val="28"/>
          <w:lang w:val="ru-RU"/>
        </w:rPr>
        <w:t>127</w:t>
      </w:r>
      <w:r w:rsidRPr="00CA099F">
        <w:rPr>
          <w:rFonts w:eastAsia="Calibri" w:cs="Times New Roman"/>
          <w:sz w:val="28"/>
          <w:szCs w:val="28"/>
        </w:rPr>
        <w:t>].</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Таким чином, аналіз динаміки змін показників вільнорадикального окиснення стосовно рівня інтактної групи, вочевидь, свідчить про спільні тенденції з поступовою нормалізацією досліджуваних величин через 12 місяців спостереження.</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Доведено, що у пацієнтів 1 групи вміст 2,4-динітрофенілгідразонів, що визначаються при 370 нм (відображає концентрацію альдегідо- і кетонопохідних нейтрального характеру) через 3 місяці спостереження достовірно зменшується на 45,5 %, через 6 місяців – на 38,7 % і через 9 – на 14,5 %, стосовно даних контрольної групи. У пацієнтів першої і третьої груп через 12 місяців спостереження вміст 2,4-динітрофенілгідразонів, що визначаються при 370 нм практично не відрізняються, що підтверджує літературні дані [115, 127].</w:t>
      </w:r>
      <w:r w:rsidR="00472CB8">
        <w:rPr>
          <w:rFonts w:eastAsia="Calibri" w:cs="Times New Roman"/>
          <w:sz w:val="28"/>
          <w:szCs w:val="28"/>
        </w:rPr>
        <w:t xml:space="preserve"> </w:t>
      </w:r>
      <w:r w:rsidRPr="00CA099F">
        <w:rPr>
          <w:rFonts w:eastAsia="Calibri" w:cs="Times New Roman"/>
          <w:sz w:val="28"/>
          <w:szCs w:val="28"/>
        </w:rPr>
        <w:t xml:space="preserve">Найнижчі показники ОМБ спостерігаються у пацієнтів 2 групи. Так, через 3 місяці даний показник перевищує показник інтактної групи на 60,0 %, через 6 </w:t>
      </w:r>
      <w:r w:rsidR="0061787E">
        <w:rPr>
          <w:rFonts w:eastAsia="Calibri" w:cs="Times New Roman"/>
          <w:sz w:val="28"/>
          <w:szCs w:val="28"/>
        </w:rPr>
        <w:t>– на 20,0 % і через 9 місяці</w:t>
      </w:r>
      <w:r w:rsidRPr="00CA099F">
        <w:rPr>
          <w:rFonts w:eastAsia="Calibri" w:cs="Times New Roman"/>
          <w:sz w:val="28"/>
          <w:szCs w:val="28"/>
        </w:rPr>
        <w:t xml:space="preserve"> – на 6,5 %.</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Літературні дані свідчать, що будь-яке запалення разом з місцевим характером ушкодження є системною реакцією, яка зумовлює накопичення продуктів пер</w:t>
      </w:r>
      <w:r w:rsidR="0061787E">
        <w:rPr>
          <w:rFonts w:eastAsia="Calibri" w:cs="Times New Roman"/>
          <w:sz w:val="28"/>
          <w:szCs w:val="28"/>
        </w:rPr>
        <w:t>екис</w:t>
      </w:r>
      <w:r w:rsidRPr="00CA099F">
        <w:rPr>
          <w:rFonts w:eastAsia="Calibri" w:cs="Times New Roman"/>
          <w:sz w:val="28"/>
          <w:szCs w:val="28"/>
        </w:rPr>
        <w:t>ного окиснення ліпідів, які підсилюють запальний процес та порушують процеси репарації [99]. Підтверджено, що вміст РНК у першій і другій дослідних групах достовірно вищий, відповідно, чере</w:t>
      </w:r>
      <w:r w:rsidR="0061787E">
        <w:rPr>
          <w:rFonts w:eastAsia="Calibri" w:cs="Times New Roman"/>
          <w:sz w:val="28"/>
          <w:szCs w:val="28"/>
        </w:rPr>
        <w:t xml:space="preserve">з 3 (на </w:t>
      </w:r>
      <w:r w:rsidRPr="00CA099F">
        <w:rPr>
          <w:rFonts w:eastAsia="Calibri" w:cs="Times New Roman"/>
          <w:sz w:val="28"/>
          <w:szCs w:val="28"/>
        </w:rPr>
        <w:t xml:space="preserve">37,3% і 73,0 %) і 6 місяців (на 11,4 % і 20,8 %), порівняно з даними контрольної групи </w:t>
      </w:r>
      <w:r w:rsidRPr="00CA099F">
        <w:rPr>
          <w:rFonts w:eastAsia="Calibri" w:cs="Times New Roman"/>
          <w:sz w:val="28"/>
          <w:szCs w:val="28"/>
        </w:rPr>
        <w:lastRenderedPageBreak/>
        <w:t>пацієнтів (р</w:t>
      </w:r>
      <w:r w:rsidRPr="00CA099F">
        <w:rPr>
          <w:rFonts w:eastAsia="Calibri" w:cs="Times New Roman"/>
          <w:sz w:val="28"/>
          <w:szCs w:val="28"/>
          <w:vertAlign w:val="subscript"/>
        </w:rPr>
        <w:t>1</w:t>
      </w:r>
      <w:r w:rsidRPr="00CA099F">
        <w:rPr>
          <w:rFonts w:eastAsia="Calibri" w:cs="Times New Roman"/>
          <w:sz w:val="28"/>
          <w:szCs w:val="28"/>
        </w:rPr>
        <w:t>&lt;0,01). Введення PRF-згустка під час хірургічного лікування кіст шиї ембріонального походження характеризується найвищими значеннями вмісту ДНК через 3 місяці, тоді як вже через 6 місяців рівень досліджуваного показника зменшується на 17,20 %.</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 xml:space="preserve">Аналізуючи зміни активності СОД при хірургічному лікуванні кіст шиї ембріонального походження відносно показників інтактної групи пацієнтів найвищі показники </w:t>
      </w:r>
      <w:r w:rsidR="00AF4A69">
        <w:rPr>
          <w:rFonts w:eastAsia="Calibri" w:cs="Times New Roman"/>
          <w:sz w:val="28"/>
          <w:szCs w:val="28"/>
        </w:rPr>
        <w:t>мають місце</w:t>
      </w:r>
      <w:r w:rsidRPr="00CA099F">
        <w:rPr>
          <w:rFonts w:eastAsia="Calibri" w:cs="Times New Roman"/>
          <w:sz w:val="28"/>
          <w:szCs w:val="28"/>
        </w:rPr>
        <w:t xml:space="preserve"> у пацієнтів контрольної групи (через 3 місяці спостереження достовірне переважання на 85,9 %, через 6 місяців – на 35,4 % і через 9– на 10,2 %). Найнижчі показники спостерігаються у пацієнтів 2 групи: через 3 місяці він збільшується на 40,2 %, через 6 місяців – на 12,8 % і через 9 – достовірно не відрізняється. Досліджуючи динаміку зміни активності каталази через 3 місяці спостереження встановлено переважання даного показника на 39,4 % (р&lt;0,001), через 6 місяців – на 12,3 % (р&lt;0,05).</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 xml:space="preserve">Динаміка змін вмісту SH-груп </w:t>
      </w:r>
      <w:r w:rsidR="00AF4A69">
        <w:rPr>
          <w:rFonts w:eastAsia="Calibri" w:cs="Times New Roman"/>
          <w:sz w:val="28"/>
          <w:szCs w:val="28"/>
        </w:rPr>
        <w:t>є</w:t>
      </w:r>
      <w:r w:rsidRPr="00CA099F">
        <w:rPr>
          <w:rFonts w:eastAsia="Calibri" w:cs="Times New Roman"/>
          <w:sz w:val="28"/>
          <w:szCs w:val="28"/>
        </w:rPr>
        <w:t xml:space="preserve"> менш вираженою відносно динаміки змін ферментативної ланки системи антиоксидного захисту. У контрольній групі встановлено переважання даного показника на 25,0 % (</w:t>
      </w:r>
      <w:r w:rsidRPr="00CA099F">
        <w:rPr>
          <w:rFonts w:eastAsia="Calibri" w:cs="Times New Roman"/>
          <w:color w:val="000000"/>
          <w:sz w:val="28"/>
          <w:szCs w:val="28"/>
        </w:rPr>
        <w:t>р&lt;0,01</w:t>
      </w:r>
      <w:r w:rsidRPr="00CA099F">
        <w:rPr>
          <w:rFonts w:eastAsia="Calibri" w:cs="Times New Roman"/>
          <w:sz w:val="28"/>
          <w:szCs w:val="28"/>
        </w:rPr>
        <w:t>) через 3 місяці спостереження, у пацієнтів першої та другої групи даний показник достовірно не відрізняється. Активність еластази через 3 місяці спостереження фіксується достовірно меншою на 30,9 %, через 6 місяців – на 28,6 % і через 9 – на 12,1 %, стосовно даних третьої групи. У пацієнтів другої і третьої груп через 12 місяців спостереження активність еластази практично не відрізняється.</w:t>
      </w:r>
      <w:r w:rsidR="00472CB8">
        <w:rPr>
          <w:rFonts w:eastAsia="Calibri" w:cs="Times New Roman"/>
          <w:sz w:val="28"/>
          <w:szCs w:val="28"/>
        </w:rPr>
        <w:t xml:space="preserve"> </w:t>
      </w:r>
      <w:r w:rsidRPr="00CA099F">
        <w:rPr>
          <w:rFonts w:eastAsia="Calibri" w:cs="Times New Roman"/>
          <w:sz w:val="28"/>
          <w:szCs w:val="28"/>
        </w:rPr>
        <w:t>При дослідженні динаміки змін показників запалення, мікробного обсіменіння та неспецифічного імунітету слід відзначити той факт, що вміст лізоциму змінюється впродовж терміну спостереження. Так, у пацієнтів 1 групи через 6 місяців даний показник спостерігається на 21,9 % (р&lt;0,001) вищим, стосовно даних попереднього терміну спостереження, через 9 місяців – на 14,2 % (р&lt;0,01), через 12– на 4,5  %.</w:t>
      </w:r>
    </w:p>
    <w:p w:rsidR="0030517B" w:rsidRPr="00CA099F"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 xml:space="preserve">При визначенні активності ферменту уреази нами встановлено, що </w:t>
      </w:r>
      <w:r w:rsidR="00FE03AF">
        <w:rPr>
          <w:rFonts w:eastAsia="Calibri" w:cs="Times New Roman"/>
          <w:sz w:val="28"/>
          <w:szCs w:val="28"/>
        </w:rPr>
        <w:t>у</w:t>
      </w:r>
      <w:r w:rsidRPr="00CA099F">
        <w:rPr>
          <w:rFonts w:eastAsia="Calibri" w:cs="Times New Roman"/>
          <w:sz w:val="28"/>
          <w:szCs w:val="28"/>
        </w:rPr>
        <w:t xml:space="preserve"> </w:t>
      </w:r>
      <w:r w:rsidR="00D96DA9">
        <w:rPr>
          <w:rFonts w:eastAsia="Calibri" w:cs="Times New Roman"/>
          <w:sz w:val="28"/>
          <w:szCs w:val="28"/>
        </w:rPr>
        <w:t>пацієнтів</w:t>
      </w:r>
      <w:r w:rsidRPr="00CA099F">
        <w:rPr>
          <w:rFonts w:eastAsia="Calibri" w:cs="Times New Roman"/>
          <w:sz w:val="28"/>
          <w:szCs w:val="28"/>
        </w:rPr>
        <w:t xml:space="preserve"> 1 групи через 3 місяці спостереження достовірно </w:t>
      </w:r>
      <w:r w:rsidR="006B6396">
        <w:rPr>
          <w:rFonts w:eastAsia="Calibri" w:cs="Times New Roman"/>
          <w:sz w:val="28"/>
          <w:szCs w:val="28"/>
        </w:rPr>
        <w:t xml:space="preserve">даний показник </w:t>
      </w:r>
      <w:r w:rsidRPr="00CA099F">
        <w:rPr>
          <w:rFonts w:eastAsia="Calibri" w:cs="Times New Roman"/>
          <w:sz w:val="28"/>
          <w:szCs w:val="28"/>
        </w:rPr>
        <w:t>зменшується на 31,2 % відносно контрольної г</w:t>
      </w:r>
      <w:r w:rsidR="006B6396">
        <w:rPr>
          <w:rFonts w:eastAsia="Calibri" w:cs="Times New Roman"/>
          <w:sz w:val="28"/>
          <w:szCs w:val="28"/>
        </w:rPr>
        <w:t xml:space="preserve">рупи, а в 2-й – достовірно </w:t>
      </w:r>
      <w:r w:rsidR="006B6396">
        <w:rPr>
          <w:rFonts w:eastAsia="Calibri" w:cs="Times New Roman"/>
          <w:sz w:val="28"/>
          <w:szCs w:val="28"/>
        </w:rPr>
        <w:lastRenderedPageBreak/>
        <w:t>менший</w:t>
      </w:r>
      <w:r w:rsidRPr="00CA099F">
        <w:rPr>
          <w:rFonts w:eastAsia="Calibri" w:cs="Times New Roman"/>
          <w:sz w:val="28"/>
          <w:szCs w:val="28"/>
        </w:rPr>
        <w:t xml:space="preserve"> на 56,2 %, через 6 місяців – на 52,9 % і через 9 – на 50,0 %, стосовно даних третьої групи, що свідчить про ефективність запропонованої методики.</w:t>
      </w:r>
    </w:p>
    <w:p w:rsidR="00472CB8" w:rsidRDefault="0030517B" w:rsidP="0003712A">
      <w:pPr>
        <w:spacing w:after="0" w:line="360" w:lineRule="auto"/>
        <w:ind w:firstLine="709"/>
        <w:jc w:val="both"/>
        <w:rPr>
          <w:rFonts w:eastAsia="Calibri" w:cs="Times New Roman"/>
          <w:sz w:val="28"/>
          <w:szCs w:val="28"/>
        </w:rPr>
      </w:pPr>
      <w:r w:rsidRPr="00CA099F">
        <w:rPr>
          <w:rFonts w:eastAsia="Calibri" w:cs="Times New Roman"/>
          <w:sz w:val="28"/>
          <w:szCs w:val="28"/>
        </w:rPr>
        <w:t xml:space="preserve">Таким чином, клінічні, морфологічні та біохімічні зміни в рубцевозмінених тканинах залежать від виду інтра- та післяопераційної профілактики патологічних рубців шкіри при хірургічному лікуванні кіст шиї ембріонального походження. Поєднане застосування під час оперативного втручання PRF-згустка, а на післяопераційному етапі </w:t>
      </w:r>
      <w:r w:rsidR="009A789C">
        <w:rPr>
          <w:rFonts w:eastAsia="Times New Roman" w:cs="Times New Roman"/>
          <w:sz w:val="28"/>
          <w:szCs w:val="28"/>
        </w:rPr>
        <w:t>церулоплазмін</w:t>
      </w:r>
      <w:r w:rsidR="009A789C" w:rsidRPr="00CA099F">
        <w:rPr>
          <w:rFonts w:eastAsia="Calibri" w:cs="Times New Roman"/>
          <w:sz w:val="28"/>
          <w:szCs w:val="28"/>
        </w:rPr>
        <w:t xml:space="preserve"> </w:t>
      </w:r>
      <w:r w:rsidRPr="00CA099F">
        <w:rPr>
          <w:rFonts w:eastAsia="Calibri" w:cs="Times New Roman"/>
          <w:sz w:val="28"/>
          <w:szCs w:val="28"/>
        </w:rPr>
        <w:t xml:space="preserve">найбільш виражено знижує інтенсивність перебігу вільнорадикального окиснення у рубцевозмінених тканинах післяопераційної рани та зменшує вірогідність утворення патологічних рубців шкіри порівняно з ізольованим введенням PRF-згустка, а також оперативним втручанням за класичною методикою. </w:t>
      </w:r>
    </w:p>
    <w:p w:rsidR="0030517B" w:rsidRPr="00CA099F" w:rsidRDefault="0030517B" w:rsidP="00472CB8">
      <w:pPr>
        <w:spacing w:after="0" w:line="360" w:lineRule="auto"/>
        <w:ind w:firstLine="709"/>
        <w:jc w:val="both"/>
        <w:rPr>
          <w:rFonts w:eastAsia="Calibri" w:cs="Calibri"/>
          <w:sz w:val="28"/>
          <w:szCs w:val="28"/>
        </w:rPr>
      </w:pPr>
      <w:r w:rsidRPr="00CA099F">
        <w:rPr>
          <w:rFonts w:eastAsia="Calibri" w:cs="Times New Roman"/>
          <w:sz w:val="28"/>
          <w:szCs w:val="28"/>
        </w:rPr>
        <w:t>Слід зазначити, що у пацієнтів, яким під час оперативного втручання введено PRF-згусток, більшість досліджуваних показників нормалізу</w:t>
      </w:r>
      <w:r w:rsidR="006B6396">
        <w:rPr>
          <w:rFonts w:eastAsia="Calibri" w:cs="Times New Roman"/>
          <w:sz w:val="28"/>
          <w:szCs w:val="28"/>
        </w:rPr>
        <w:t>ють</w:t>
      </w:r>
      <w:r w:rsidRPr="00CA099F">
        <w:rPr>
          <w:rFonts w:eastAsia="Calibri" w:cs="Times New Roman"/>
          <w:sz w:val="28"/>
          <w:szCs w:val="28"/>
        </w:rPr>
        <w:t xml:space="preserve">ся через 9 місяців спостереження, при поєднаному застосуванні PRF-згустка і </w:t>
      </w:r>
      <w:r w:rsidR="009A789C">
        <w:rPr>
          <w:rFonts w:eastAsia="Times New Roman" w:cs="Times New Roman"/>
          <w:sz w:val="28"/>
          <w:szCs w:val="28"/>
        </w:rPr>
        <w:t>церулоплазмін</w:t>
      </w:r>
      <w:r w:rsidR="009A789C" w:rsidRPr="00CA099F">
        <w:rPr>
          <w:rFonts w:eastAsia="Calibri" w:cs="Times New Roman"/>
          <w:sz w:val="28"/>
          <w:szCs w:val="28"/>
        </w:rPr>
        <w:t xml:space="preserve"> </w:t>
      </w:r>
      <w:r w:rsidRPr="00CA099F">
        <w:rPr>
          <w:rFonts w:eastAsia="Calibri" w:cs="Times New Roman"/>
          <w:sz w:val="28"/>
          <w:szCs w:val="28"/>
        </w:rPr>
        <w:t xml:space="preserve">– через 6 місяців, тоді як за умови класичного оперативного втручання – через 9-12 місяців спостереження. </w:t>
      </w:r>
      <w:r w:rsidRPr="00CA099F">
        <w:rPr>
          <w:rFonts w:eastAsia="Calibri" w:cs="Calibri"/>
          <w:sz w:val="28"/>
          <w:szCs w:val="28"/>
        </w:rPr>
        <w:br w:type="page"/>
      </w:r>
    </w:p>
    <w:p w:rsidR="006C5235" w:rsidRPr="006C5235" w:rsidRDefault="006C5235" w:rsidP="006C5235">
      <w:pPr>
        <w:spacing w:after="160" w:line="259" w:lineRule="auto"/>
        <w:jc w:val="center"/>
        <w:rPr>
          <w:rFonts w:eastAsia="Calibri" w:cs="Times New Roman"/>
          <w:b/>
          <w:bCs/>
          <w:sz w:val="28"/>
          <w:szCs w:val="28"/>
        </w:rPr>
      </w:pPr>
      <w:r w:rsidRPr="006C5235">
        <w:rPr>
          <w:rFonts w:eastAsia="Calibri" w:cs="Times New Roman"/>
          <w:b/>
          <w:bCs/>
          <w:sz w:val="28"/>
          <w:szCs w:val="28"/>
        </w:rPr>
        <w:lastRenderedPageBreak/>
        <w:t>ВИСНОВКИ</w:t>
      </w:r>
    </w:p>
    <w:p w:rsidR="006C5235" w:rsidRPr="006C5235" w:rsidRDefault="006C5235" w:rsidP="006C5235">
      <w:pPr>
        <w:spacing w:after="160" w:line="259" w:lineRule="auto"/>
        <w:rPr>
          <w:rFonts w:eastAsia="Calibri" w:cs="Times New Roman"/>
          <w:b/>
          <w:bCs/>
          <w:sz w:val="28"/>
          <w:szCs w:val="28"/>
        </w:rPr>
      </w:pPr>
    </w:p>
    <w:p w:rsidR="006C5235" w:rsidRPr="006C5235" w:rsidRDefault="006C5235" w:rsidP="004021F0">
      <w:pPr>
        <w:spacing w:after="160" w:line="360" w:lineRule="auto"/>
        <w:ind w:firstLine="709"/>
        <w:rPr>
          <w:rFonts w:eastAsia="Calibri" w:cs="Times New Roman"/>
          <w:b/>
          <w:bCs/>
          <w:sz w:val="28"/>
          <w:szCs w:val="28"/>
        </w:rPr>
      </w:pPr>
    </w:p>
    <w:p w:rsidR="004021F0" w:rsidRPr="00DD6730" w:rsidRDefault="004021F0" w:rsidP="004021F0">
      <w:pPr>
        <w:pStyle w:val="ac"/>
        <w:spacing w:line="360" w:lineRule="auto"/>
        <w:ind w:firstLine="709"/>
        <w:jc w:val="both"/>
      </w:pPr>
      <w:r w:rsidRPr="00243173">
        <w:t>1. Не зважаючи на велику кількість наукових розробок та досягнень сучасної медицини проблеми встановлення причини виникнення післяопераційних патологічних рубців шкіри залиша</w:t>
      </w:r>
      <w:r>
        <w:t>ю</w:t>
      </w:r>
      <w:r w:rsidRPr="00243173">
        <w:t>ться актуальною</w:t>
      </w:r>
      <w:r>
        <w:t xml:space="preserve"> темою</w:t>
      </w:r>
      <w:r w:rsidRPr="00243173">
        <w:t xml:space="preserve"> для щелепно-лицевої хірургії. Особливу увагу заслуговують оперативні втручання з приводу кіст шиї ембріонального походження, так як, за даними багатьох авторів, вірогідність утворення атрофічних, гіпертрофічних та келоїдних рубів у ближньому та дальньому післяопераційному періодах варіює від 14% до 37%. У дисертаційній роботі наведено наукове обґрунтування і практичне вирішення однієї із актуальних задач хірургічної стоматології – </w:t>
      </w:r>
      <w:r w:rsidRPr="00935A16">
        <w:t>вдосконалення комплексу лікувально-профілактичних заходів спрямованих на запобігання утворення патологічних рубців шкіри у пацієнтів з кістами шиї ембріонального походження шляхом інтраопераційного застосування PRF-згустку та антиоксиданту в післяопераційному періоді.</w:t>
      </w:r>
    </w:p>
    <w:p w:rsidR="004021F0" w:rsidRPr="00243173" w:rsidRDefault="004021F0" w:rsidP="004021F0">
      <w:pPr>
        <w:pStyle w:val="ac"/>
        <w:spacing w:line="360" w:lineRule="auto"/>
        <w:ind w:firstLine="709"/>
        <w:jc w:val="both"/>
      </w:pPr>
      <w:r w:rsidRPr="00243173">
        <w:t xml:space="preserve">2. </w:t>
      </w:r>
      <w:r w:rsidRPr="00014285">
        <w:t>Розроб</w:t>
      </w:r>
      <w:r>
        <w:t>лено</w:t>
      </w:r>
      <w:r w:rsidRPr="00014285">
        <w:t xml:space="preserve"> авторську методику профілактики утворення післяопераційних рубців</w:t>
      </w:r>
      <w:r>
        <w:t>.</w:t>
      </w:r>
      <w:r w:rsidRPr="00014285">
        <w:t xml:space="preserve"> </w:t>
      </w:r>
      <w:r>
        <w:t xml:space="preserve">Використання розробленої авторської методики </w:t>
      </w:r>
      <w:r w:rsidRPr="00243173">
        <w:t xml:space="preserve">в групі пацієнтів, де проводилася комбінована профілактика патологічного рубцеутворення ран PRF-згустком та церулоплазміном, отримані найкращі функціональні та естетичні результати. Зміни показника П1 в 2 групі на 3 місяць спостереження вказували на ознаки утворення нормотрофічного рубця у 70% пацієнтів, а через 9 – їх кількість збільшувалася до 85%. Ефективність запропонованої методики підтверджена також і позитивною динамікою показників П2 та П3 протягом всього періоду спостереження, а за показником П4 напруженість рубця на 9 місяць післяопераційного періоду прослідковано лише у 15% пацієнтів. Покращення показника П5 відмічалося у 85% пацієнтів з малою площею раневої поверхні. Температура у всіх ділянках </w:t>
      </w:r>
      <w:r w:rsidRPr="00243173">
        <w:lastRenderedPageBreak/>
        <w:t>рубцевозмінених тканин близька до фізіологічної, що вказувало на суттєве покращення в них мікроциркуляції.</w:t>
      </w:r>
    </w:p>
    <w:p w:rsidR="004021F0" w:rsidRPr="00243173" w:rsidRDefault="004021F0" w:rsidP="004021F0">
      <w:pPr>
        <w:pStyle w:val="ac"/>
        <w:spacing w:line="360" w:lineRule="auto"/>
        <w:ind w:firstLine="709"/>
        <w:jc w:val="both"/>
      </w:pPr>
      <w:r w:rsidRPr="00243173">
        <w:t>3. При поєднаному застосуванні PRF-згустка та церулоплазміна морфологічна картина візуалізує переваги проведених заходів вже на 6 місяць післяопераційного періоду: структура сосочків не відрізнялася від інтактної дерми, а епітеліальні пласти характеризувалися мономорфною картиною і однаковими розмірами. Пучки колагенових волокон розташовувалися переважно перпендикулярно до покривного епітелію, а в середніх і базальних відділах паралельно. Реакція з антитілами до білку Кі-67 виявила проліферативну активність в 20% епітеліальних клітин базального шару епідермісу і відсутність її в клітинах сполучнотканинного рубця.</w:t>
      </w:r>
    </w:p>
    <w:p w:rsidR="004021F0" w:rsidRPr="00243173" w:rsidRDefault="004021F0" w:rsidP="004021F0">
      <w:pPr>
        <w:pStyle w:val="ac"/>
        <w:spacing w:line="360" w:lineRule="auto"/>
        <w:ind w:firstLine="709"/>
        <w:jc w:val="both"/>
      </w:pPr>
      <w:r w:rsidRPr="00243173">
        <w:t>4. У пацієнтів, яким під час оперативного втручання в рану введено PRF-згусток, а в післяопераційному періоді було застосовано церулоплазмін</w:t>
      </w:r>
      <w:r>
        <w:t>,</w:t>
      </w:r>
      <w:r w:rsidRPr="00243173">
        <w:t xml:space="preserve"> концентрація ДК в рубцях через 3 місяці зменшувалася на 38,6 % , через 6– на 25,3 % і через 9– на 13,0 %, відносно групи контролю</w:t>
      </w:r>
      <w:r>
        <w:t xml:space="preserve"> </w:t>
      </w:r>
      <w:r w:rsidRPr="00CA099F">
        <w:rPr>
          <w:rFonts w:eastAsia="Calibri"/>
        </w:rPr>
        <w:t>(р&lt;0,05</w:t>
      </w:r>
      <w:r>
        <w:rPr>
          <w:rFonts w:eastAsia="Calibri"/>
        </w:rPr>
        <w:t>)</w:t>
      </w:r>
      <w:r w:rsidRPr="00243173">
        <w:t>. Концентрація ТБК-АП в них через 3 місяці знижувалася на 35,1 %, через 6 – на 27,7 % і через 9– 8,7 на %. Вміст 2,4-динітрофенілгідразонів через 3 місяці був меншим на 43,3 %, через 6– на 38,6 % і через 9 – на 21,8 %</w:t>
      </w:r>
      <w:r>
        <w:t xml:space="preserve"> </w:t>
      </w:r>
      <w:r w:rsidRPr="00CA099F">
        <w:rPr>
          <w:rFonts w:eastAsia="Calibri"/>
        </w:rPr>
        <w:t>(р&lt;0,05</w:t>
      </w:r>
      <w:r>
        <w:rPr>
          <w:rFonts w:eastAsia="Calibri"/>
        </w:rPr>
        <w:t>)</w:t>
      </w:r>
      <w:r w:rsidRPr="00243173">
        <w:t>. У цій групі встановлені також найнижчі показники ОМБ: в 3 місяці він перевищував показник інтактної групи на 60,0 %, через 6 – на 20,0 % і через 9 – на 6,5 %</w:t>
      </w:r>
      <w:r>
        <w:t xml:space="preserve"> </w:t>
      </w:r>
      <w:r w:rsidRPr="00CA099F">
        <w:rPr>
          <w:rFonts w:eastAsia="Calibri"/>
        </w:rPr>
        <w:t>(р&lt;0,05</w:t>
      </w:r>
      <w:r>
        <w:rPr>
          <w:rFonts w:eastAsia="Calibri"/>
        </w:rPr>
        <w:t>)</w:t>
      </w:r>
      <w:r w:rsidRPr="00243173">
        <w:t xml:space="preserve">. </w:t>
      </w:r>
    </w:p>
    <w:p w:rsidR="004021F0" w:rsidRPr="00243173" w:rsidRDefault="004021F0" w:rsidP="004021F0">
      <w:pPr>
        <w:pStyle w:val="ac"/>
        <w:spacing w:line="360" w:lineRule="auto"/>
        <w:ind w:firstLine="709"/>
        <w:jc w:val="both"/>
      </w:pPr>
      <w:r w:rsidRPr="00243173">
        <w:t xml:space="preserve">5. Встановлено, що за умов використання </w:t>
      </w:r>
      <w:r w:rsidRPr="00243173">
        <w:rPr>
          <w:lang w:val="en-US"/>
        </w:rPr>
        <w:t>PRF</w:t>
      </w:r>
      <w:r w:rsidRPr="00243173">
        <w:t xml:space="preserve">-згустка та церулоплазміна спостерігалося зростання ДНК </w:t>
      </w:r>
      <w:r w:rsidRPr="00243173">
        <w:rPr>
          <w:lang w:val="ru-RU"/>
        </w:rPr>
        <w:t xml:space="preserve">у гомогенатах рубцевозмінених тканин </w:t>
      </w:r>
      <w:r w:rsidRPr="00243173">
        <w:t>через 3 місяці на 75,1 %, через 6 – на 31,9%, а через 9 – на 9,2%. Активність СОД через 3 місяці після оперативного втручання зменшувалася на 24,6 %, через 6 – на 16,7%, а через 9 – на 14,7%. Активність каталази через 3 місяці спостереження зростала на 39,4 %, через 6 – на 12,3% а через 9 – на 9,2 %. Активність еластази на тіж періоди спостереження зменшувалася на 30,9 %, 28,6% та 12,1 % відповідно.</w:t>
      </w:r>
    </w:p>
    <w:p w:rsidR="004021F0" w:rsidRPr="00243173" w:rsidRDefault="004021F0" w:rsidP="004021F0">
      <w:pPr>
        <w:pStyle w:val="ac"/>
        <w:spacing w:line="360" w:lineRule="auto"/>
        <w:ind w:firstLine="709"/>
        <w:jc w:val="both"/>
      </w:pPr>
      <w:r w:rsidRPr="00243173">
        <w:t xml:space="preserve">6. Узагальнюючий аналіз отриманих клінічних, морфологічних та біохімічних даних доводить, що комбіноване застосування PRF-згустку на </w:t>
      </w:r>
      <w:r w:rsidRPr="00243173">
        <w:lastRenderedPageBreak/>
        <w:t>інтраопераційному етапі профілактики та церулоплазміну в післяопераційному періоді, на відміну від монотерапії фібриновими мембранами, призводить до формування рубця з оптимальними функціональними і естетичними результатами, за рахунок прискорення швидкості зменшення площі рубцевозмінених тканин у цій групі пацієнтів у 1,2 рази.</w:t>
      </w:r>
    </w:p>
    <w:p w:rsidR="004021F0" w:rsidRDefault="004021F0" w:rsidP="0030517B">
      <w:pPr>
        <w:sectPr w:rsidR="004021F0" w:rsidSect="00751472">
          <w:headerReference w:type="default" r:id="rId47"/>
          <w:pgSz w:w="11906" w:h="16838"/>
          <w:pgMar w:top="1134" w:right="850" w:bottom="1134" w:left="1701" w:header="708" w:footer="708" w:gutter="0"/>
          <w:cols w:space="708"/>
          <w:docGrid w:linePitch="360"/>
        </w:sectPr>
      </w:pPr>
    </w:p>
    <w:p w:rsidR="0030517B" w:rsidRPr="00CA099F" w:rsidRDefault="0030517B" w:rsidP="0030517B">
      <w:pPr>
        <w:spacing w:after="160" w:line="259" w:lineRule="auto"/>
        <w:jc w:val="center"/>
        <w:rPr>
          <w:rFonts w:eastAsia="Calibri" w:cs="Times New Roman"/>
          <w:sz w:val="28"/>
          <w:szCs w:val="28"/>
        </w:rPr>
      </w:pPr>
      <w:r w:rsidRPr="00CA099F">
        <w:rPr>
          <w:rFonts w:eastAsia="Calibri" w:cs="Times New Roman"/>
          <w:sz w:val="28"/>
          <w:szCs w:val="28"/>
        </w:rPr>
        <w:lastRenderedPageBreak/>
        <w:t>ПРАКТИЧНІ РЕКОМЕНДАЦІЇ</w:t>
      </w:r>
    </w:p>
    <w:p w:rsidR="0030517B" w:rsidRPr="00CA099F" w:rsidRDefault="0030517B" w:rsidP="0030517B">
      <w:pPr>
        <w:spacing w:after="160" w:line="259" w:lineRule="auto"/>
        <w:rPr>
          <w:rFonts w:eastAsia="Calibri" w:cs="Times New Roman"/>
          <w:sz w:val="28"/>
          <w:szCs w:val="28"/>
        </w:rPr>
      </w:pPr>
    </w:p>
    <w:p w:rsidR="0030517B" w:rsidRPr="00CA099F" w:rsidRDefault="0030517B" w:rsidP="0030517B">
      <w:pPr>
        <w:spacing w:after="160" w:line="259" w:lineRule="auto"/>
        <w:rPr>
          <w:rFonts w:eastAsia="Calibri" w:cs="Times New Roman"/>
          <w:sz w:val="28"/>
          <w:szCs w:val="28"/>
        </w:rPr>
      </w:pPr>
    </w:p>
    <w:p w:rsidR="009D4B01" w:rsidRPr="009D4B01" w:rsidRDefault="009D4B01" w:rsidP="009D4B01">
      <w:pPr>
        <w:numPr>
          <w:ilvl w:val="0"/>
          <w:numId w:val="15"/>
        </w:numPr>
        <w:spacing w:after="0" w:line="360" w:lineRule="auto"/>
        <w:jc w:val="both"/>
        <w:rPr>
          <w:rFonts w:eastAsia="Calibri" w:cs="Times New Roman"/>
          <w:sz w:val="28"/>
          <w:szCs w:val="28"/>
        </w:rPr>
      </w:pPr>
      <w:r w:rsidRPr="009D4B01">
        <w:rPr>
          <w:rFonts w:eastAsia="Calibri" w:cs="Times New Roman"/>
          <w:sz w:val="28"/>
          <w:szCs w:val="28"/>
        </w:rPr>
        <w:t>Для інтра- та постопераційної профілактики утворення патологічних рубцевозмінених тканин у пацієнтів з кістами шиї ембріонального походження рекомендується застосовувати фібринові мембрани (</w:t>
      </w:r>
      <w:r w:rsidRPr="009D4B01">
        <w:rPr>
          <w:rFonts w:eastAsia="Calibri" w:cs="Times New Roman"/>
          <w:sz w:val="28"/>
          <w:szCs w:val="28"/>
          <w:lang w:val="en-US"/>
        </w:rPr>
        <w:t>PRF</w:t>
      </w:r>
      <w:r w:rsidRPr="009D4B01">
        <w:rPr>
          <w:rFonts w:eastAsia="Calibri" w:cs="Times New Roman"/>
          <w:sz w:val="28"/>
          <w:szCs w:val="28"/>
        </w:rPr>
        <w:t>-згустки), отримані із збагаченої тромбоцитами плазми крові в комбінації з церулоплазміном.</w:t>
      </w:r>
    </w:p>
    <w:p w:rsidR="009D4B01" w:rsidRPr="009D4B01" w:rsidRDefault="009D4B01" w:rsidP="009D4B01">
      <w:pPr>
        <w:numPr>
          <w:ilvl w:val="0"/>
          <w:numId w:val="15"/>
        </w:numPr>
        <w:spacing w:after="0" w:line="360" w:lineRule="auto"/>
        <w:jc w:val="both"/>
        <w:rPr>
          <w:rFonts w:eastAsia="Calibri" w:cs="Times New Roman"/>
          <w:sz w:val="28"/>
          <w:szCs w:val="28"/>
        </w:rPr>
      </w:pPr>
      <w:r w:rsidRPr="009D4B01">
        <w:rPr>
          <w:rFonts w:eastAsia="Calibri" w:cs="Times New Roman"/>
          <w:sz w:val="28"/>
          <w:szCs w:val="28"/>
        </w:rPr>
        <w:t>На етапі інтраопераційної профілактики під час проведення оперативного втручання рекомендується введення в рану PRF-мембран в глибокі шари ділянки резецованого тіла під’язикової кістки при видаленні серединних кіст шиї та судинно-нервового пучка – при видаленні бічних, та під поверхневі шари гіподерми рани.</w:t>
      </w:r>
    </w:p>
    <w:p w:rsidR="009D4B01" w:rsidRPr="009D4B01" w:rsidRDefault="009D4B01" w:rsidP="009D4B01">
      <w:pPr>
        <w:numPr>
          <w:ilvl w:val="0"/>
          <w:numId w:val="15"/>
        </w:numPr>
        <w:spacing w:after="0" w:line="360" w:lineRule="auto"/>
        <w:jc w:val="both"/>
        <w:rPr>
          <w:rFonts w:eastAsia="Calibri" w:cs="Times New Roman"/>
          <w:sz w:val="28"/>
          <w:szCs w:val="28"/>
        </w:rPr>
      </w:pPr>
      <w:r w:rsidRPr="009D4B01">
        <w:rPr>
          <w:rFonts w:eastAsia="Calibri" w:cs="Times New Roman"/>
          <w:sz w:val="28"/>
          <w:szCs w:val="28"/>
        </w:rPr>
        <w:t>На етапі постопераційної профілактики слід застосовувати церулоплазмін у вигляді стандартного розчину (рН 6,5-7,5), що готують із ліофілізованого порошку і який вводиться внутрішньорубцево із розрахунку 0,2 мл на кожний подовжний см рубцевозміненої тканини на 3 та 6 місяці після оперативного втручання. Починаючи з 9 місяця його слід уводити в рубцевозмінені тканини шляхом електрофорезу в тій же концентрації.</w:t>
      </w:r>
    </w:p>
    <w:p w:rsidR="009D4B01" w:rsidRPr="009D4B01" w:rsidRDefault="009D4B01" w:rsidP="009D4B01">
      <w:pPr>
        <w:numPr>
          <w:ilvl w:val="0"/>
          <w:numId w:val="15"/>
        </w:numPr>
        <w:spacing w:after="0" w:line="360" w:lineRule="auto"/>
        <w:jc w:val="both"/>
        <w:rPr>
          <w:rFonts w:eastAsia="Calibri" w:cs="Times New Roman"/>
          <w:sz w:val="28"/>
          <w:szCs w:val="28"/>
        </w:rPr>
      </w:pPr>
      <w:r w:rsidRPr="009D4B01">
        <w:rPr>
          <w:rFonts w:eastAsia="Calibri" w:cs="Times New Roman"/>
          <w:sz w:val="28"/>
          <w:szCs w:val="28"/>
        </w:rPr>
        <w:t>Для контролю за динамікою якості рубцювання операційних ран рекомендуємо на 3, 6, 9 та 12 місяцях післяопераційного періоду проводити клінічну оцінку стану рубцевозмінених тканин з врахуванням наступних параметрів: суб’єктивні відчуття, тип рубця, його консистенція, колір та площа раневої поверхні.</w:t>
      </w:r>
    </w:p>
    <w:p w:rsidR="0030517B" w:rsidRPr="00CA099F" w:rsidRDefault="0030517B" w:rsidP="0030517B">
      <w:r w:rsidRPr="00CA099F">
        <w:br w:type="page"/>
      </w:r>
    </w:p>
    <w:p w:rsidR="0030517B" w:rsidRPr="00CA099F" w:rsidRDefault="0030517B" w:rsidP="0030517B">
      <w:pPr>
        <w:shd w:val="clear" w:color="auto" w:fill="FFFFFF"/>
        <w:tabs>
          <w:tab w:val="left" w:pos="709"/>
        </w:tabs>
        <w:spacing w:after="0" w:line="360" w:lineRule="auto"/>
        <w:jc w:val="center"/>
        <w:rPr>
          <w:rFonts w:eastAsia="Calibri" w:cs="Times New Roman"/>
          <w:b/>
          <w:sz w:val="28"/>
          <w:szCs w:val="28"/>
        </w:rPr>
      </w:pPr>
      <w:r w:rsidRPr="00CA099F">
        <w:rPr>
          <w:rFonts w:eastAsia="Calibri" w:cs="Times New Roman"/>
          <w:b/>
          <w:sz w:val="28"/>
          <w:szCs w:val="28"/>
        </w:rPr>
        <w:lastRenderedPageBreak/>
        <w:t>СПИСОК ВИКОРИСТАНИХ ДЖЕРЕЛ</w:t>
      </w:r>
    </w:p>
    <w:p w:rsidR="0030517B" w:rsidRPr="00CA099F" w:rsidRDefault="0030517B" w:rsidP="0030517B">
      <w:pPr>
        <w:shd w:val="clear" w:color="auto" w:fill="FFFFFF"/>
        <w:tabs>
          <w:tab w:val="left" w:pos="709"/>
        </w:tabs>
        <w:spacing w:after="0" w:line="360" w:lineRule="auto"/>
        <w:jc w:val="center"/>
        <w:rPr>
          <w:rFonts w:eastAsia="Calibri" w:cs="Times New Roman"/>
          <w:b/>
          <w:sz w:val="28"/>
          <w:szCs w:val="28"/>
        </w:rPr>
      </w:pPr>
    </w:p>
    <w:p w:rsidR="0030517B" w:rsidRPr="00CA099F" w:rsidRDefault="0030517B" w:rsidP="0030517B">
      <w:pPr>
        <w:shd w:val="clear" w:color="auto" w:fill="FFFFFF"/>
        <w:tabs>
          <w:tab w:val="left" w:pos="709"/>
        </w:tabs>
        <w:spacing w:after="0" w:line="360" w:lineRule="auto"/>
        <w:jc w:val="center"/>
        <w:rPr>
          <w:rFonts w:eastAsia="Calibri" w:cs="Times New Roman"/>
          <w:b/>
          <w:sz w:val="28"/>
          <w:szCs w:val="28"/>
        </w:rPr>
      </w:pP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Calibri" w:cs="Times New Roman"/>
          <w:sz w:val="28"/>
          <w:szCs w:val="28"/>
          <w:lang w:val="ru-RU"/>
        </w:rPr>
        <w:t>Руководство</w:t>
      </w:r>
      <w:r w:rsidRPr="00CA099F">
        <w:rPr>
          <w:rFonts w:eastAsia="Calibri" w:cs="Times New Roman"/>
          <w:sz w:val="28"/>
          <w:szCs w:val="28"/>
        </w:rPr>
        <w:t xml:space="preserve"> по </w:t>
      </w:r>
      <w:r w:rsidRPr="00CA099F">
        <w:rPr>
          <w:rFonts w:eastAsia="Calibri" w:cs="Times New Roman"/>
          <w:sz w:val="28"/>
          <w:szCs w:val="28"/>
          <w:lang w:val="ru-RU"/>
        </w:rPr>
        <w:t>хирургическойстоматологии</w:t>
      </w:r>
      <w:r w:rsidRPr="00CA099F">
        <w:rPr>
          <w:rFonts w:eastAsia="Calibri" w:cs="Times New Roman"/>
          <w:sz w:val="28"/>
          <w:szCs w:val="28"/>
        </w:rPr>
        <w:t xml:space="preserve"> и </w:t>
      </w:r>
      <w:r w:rsidRPr="00CA099F">
        <w:rPr>
          <w:rFonts w:eastAsia="Calibri" w:cs="Times New Roman"/>
          <w:sz w:val="28"/>
          <w:szCs w:val="28"/>
          <w:lang w:val="ru-RU"/>
        </w:rPr>
        <w:t>челюстно</w:t>
      </w:r>
      <w:r w:rsidRPr="00CA099F">
        <w:rPr>
          <w:rFonts w:eastAsia="Calibri" w:cs="Times New Roman"/>
          <w:sz w:val="28"/>
          <w:szCs w:val="28"/>
        </w:rPr>
        <w:t>-</w:t>
      </w:r>
      <w:r w:rsidRPr="00CA099F">
        <w:rPr>
          <w:rFonts w:eastAsia="Calibri" w:cs="Times New Roman"/>
          <w:sz w:val="28"/>
          <w:szCs w:val="28"/>
          <w:lang w:val="ru-RU"/>
        </w:rPr>
        <w:t xml:space="preserve">лицевой хирургии / Под ред. В.М. Безрукова, Т.Г. Робустовой. – М. </w:t>
      </w:r>
      <w:r w:rsidRPr="00CA099F">
        <w:rPr>
          <w:rFonts w:eastAsia="Calibri" w:cs="Times New Roman"/>
          <w:sz w:val="28"/>
          <w:szCs w:val="28"/>
        </w:rPr>
        <w:t>: Медицина, 2000. – Т. 1. – 772 с.</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48">
        <w:r w:rsidR="0030517B" w:rsidRPr="00CA099F">
          <w:rPr>
            <w:rFonts w:eastAsia="Times New Roman" w:cs="Times New Roman"/>
            <w:color w:val="000000"/>
            <w:sz w:val="28"/>
            <w:szCs w:val="28"/>
            <w:lang w:val="en-GB" w:eastAsia="ru-RU"/>
          </w:rPr>
          <w:t>Nasreldin</w:t>
        </w:r>
      </w:hyperlink>
      <w:r w:rsidR="0030517B" w:rsidRPr="00CA099F">
        <w:rPr>
          <w:rFonts w:eastAsia="Times New Roman" w:cs="Times New Roman"/>
          <w:color w:val="000000"/>
          <w:sz w:val="28"/>
          <w:szCs w:val="28"/>
          <w:lang w:val="en-GB" w:eastAsia="ru-RU"/>
        </w:rPr>
        <w:t xml:space="preserve"> M.H.A. A Case Report: A Third/Fourth Branchial Pouch Anomaly Presented by Solid Thyroid and Lateral Cervical Neck Masses / M.H.A. </w:t>
      </w:r>
      <w:hyperlink r:id="rId49">
        <w:r w:rsidR="0030517B" w:rsidRPr="00CA099F">
          <w:rPr>
            <w:rFonts w:eastAsia="Times New Roman" w:cs="Times New Roman"/>
            <w:color w:val="000000"/>
            <w:sz w:val="28"/>
            <w:szCs w:val="28"/>
            <w:lang w:val="en-GB" w:eastAsia="ru-RU"/>
          </w:rPr>
          <w:t>Nasreldin</w:t>
        </w:r>
      </w:hyperlink>
      <w:r w:rsidR="0030517B" w:rsidRPr="00CA099F">
        <w:rPr>
          <w:rFonts w:eastAsia="Times New Roman" w:cs="Times New Roman"/>
          <w:color w:val="000000"/>
          <w:sz w:val="28"/>
          <w:szCs w:val="28"/>
          <w:lang w:val="en-GB" w:eastAsia="ru-RU"/>
        </w:rPr>
        <w:t>,</w:t>
      </w:r>
      <w:hyperlink r:id="rId50">
        <w:r w:rsidR="0030517B" w:rsidRPr="00CA099F">
          <w:rPr>
            <w:rFonts w:eastAsia="Times New Roman" w:cs="Times New Roman"/>
            <w:color w:val="000000"/>
            <w:sz w:val="28"/>
            <w:szCs w:val="28"/>
            <w:lang w:val="en-GB" w:eastAsia="ru-RU"/>
          </w:rPr>
          <w:t xml:space="preserve"> E. A. Ibrahim</w:t>
        </w:r>
      </w:hyperlink>
      <w:r w:rsidR="0030517B" w:rsidRPr="00CA099F">
        <w:rPr>
          <w:rFonts w:eastAsia="Times New Roman" w:cs="Times New Roman"/>
          <w:color w:val="000000"/>
          <w:sz w:val="28"/>
          <w:szCs w:val="28"/>
          <w:lang w:val="en-GB" w:eastAsia="ru-RU"/>
        </w:rPr>
        <w:t xml:space="preserve">, </w:t>
      </w:r>
      <w:hyperlink r:id="rId51">
        <w:r w:rsidR="0030517B" w:rsidRPr="00CA099F">
          <w:rPr>
            <w:rFonts w:eastAsia="Times New Roman" w:cs="Times New Roman"/>
            <w:color w:val="000000"/>
            <w:sz w:val="28"/>
            <w:szCs w:val="28"/>
            <w:lang w:val="en-GB" w:eastAsia="ru-RU"/>
          </w:rPr>
          <w:t>S. A. Saad El-Din</w:t>
        </w:r>
      </w:hyperlink>
      <w:r w:rsidR="0030517B" w:rsidRPr="00CA099F">
        <w:rPr>
          <w:rFonts w:eastAsia="Times New Roman" w:cs="Times New Roman"/>
          <w:color w:val="000000"/>
          <w:sz w:val="28"/>
          <w:szCs w:val="28"/>
          <w:lang w:val="en-GB" w:eastAsia="ru-RU"/>
        </w:rPr>
        <w:t xml:space="preserve"> // </w:t>
      </w:r>
      <w:hyperlink r:id="rId52">
        <w:r w:rsidR="0030517B" w:rsidRPr="00CA099F">
          <w:rPr>
            <w:rFonts w:eastAsia="Times New Roman" w:cs="Times New Roman"/>
            <w:color w:val="000000"/>
            <w:sz w:val="28"/>
            <w:szCs w:val="28"/>
            <w:lang w:val="en-GB" w:eastAsia="ru-RU"/>
          </w:rPr>
          <w:t>Clin Med Insights Pathol</w:t>
        </w:r>
      </w:hyperlink>
      <w:r w:rsidR="0030517B" w:rsidRPr="00CA099F">
        <w:rPr>
          <w:rFonts w:eastAsia="Times New Roman" w:cs="Times New Roman"/>
          <w:color w:val="000000"/>
          <w:sz w:val="28"/>
          <w:szCs w:val="28"/>
          <w:lang w:val="en-GB" w:eastAsia="ru-RU"/>
        </w:rPr>
        <w:t>. – 2016. – Vol. 9. – P. 1–3.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Al-Mufarrej F.M. Branchial arch anomalies: rates of recurrence and malignant degeneration / F.M. Al-Mufarrej, D.G. Stoddard, U. Bite // Plast Reconstr Surg. – 2012. – Vol. 130(5). – P. 1–7.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Second Branchial Cleft Cyst / </w:t>
      </w:r>
      <w:hyperlink r:id="rId53">
        <w:r w:rsidRPr="00CA099F">
          <w:rPr>
            <w:rFonts w:eastAsia="Times New Roman" w:cs="Times New Roman"/>
            <w:color w:val="000000"/>
            <w:sz w:val="28"/>
            <w:szCs w:val="28"/>
            <w:lang w:val="en-GB" w:eastAsia="ru-RU"/>
          </w:rPr>
          <w:t>S. Muller</w:t>
        </w:r>
      </w:hyperlink>
      <w:r w:rsidRPr="00CA099F">
        <w:rPr>
          <w:rFonts w:eastAsia="Times New Roman" w:cs="Times New Roman"/>
          <w:color w:val="000000"/>
          <w:sz w:val="28"/>
          <w:szCs w:val="28"/>
          <w:lang w:val="en-GB" w:eastAsia="ru-RU"/>
        </w:rPr>
        <w:t xml:space="preserve">, </w:t>
      </w:r>
      <w:hyperlink r:id="rId54">
        <w:r w:rsidRPr="00CA099F">
          <w:rPr>
            <w:rFonts w:eastAsia="Times New Roman" w:cs="Times New Roman"/>
            <w:color w:val="000000"/>
            <w:sz w:val="28"/>
            <w:szCs w:val="28"/>
            <w:lang w:val="en-GB" w:eastAsia="ru-RU"/>
          </w:rPr>
          <w:t>A. Aiken</w:t>
        </w:r>
      </w:hyperlink>
      <w:r w:rsidRPr="00CA099F">
        <w:rPr>
          <w:rFonts w:eastAsia="Times New Roman" w:cs="Times New Roman"/>
          <w:color w:val="000000"/>
          <w:sz w:val="28"/>
          <w:szCs w:val="28"/>
          <w:lang w:val="en-GB" w:eastAsia="ru-RU"/>
        </w:rPr>
        <w:t xml:space="preserve">, </w:t>
      </w:r>
      <w:hyperlink r:id="rId55">
        <w:r w:rsidRPr="00CA099F">
          <w:rPr>
            <w:rFonts w:eastAsia="Times New Roman" w:cs="Times New Roman"/>
            <w:color w:val="000000"/>
            <w:sz w:val="28"/>
            <w:szCs w:val="28"/>
            <w:lang w:val="en-GB" w:eastAsia="ru-RU"/>
          </w:rPr>
          <w:t>K. Magliocca</w:t>
        </w:r>
      </w:hyperlink>
      <w:r w:rsidRPr="00CA099F">
        <w:rPr>
          <w:rFonts w:eastAsia="Times New Roman" w:cs="Times New Roman"/>
          <w:color w:val="000000"/>
          <w:sz w:val="28"/>
          <w:szCs w:val="28"/>
          <w:lang w:val="en-GB" w:eastAsia="ru-RU"/>
        </w:rPr>
        <w:t xml:space="preserve">, </w:t>
      </w:r>
      <w:hyperlink r:id="rId56">
        <w:r w:rsidRPr="00CA099F">
          <w:rPr>
            <w:rFonts w:eastAsia="Times New Roman" w:cs="Times New Roman"/>
            <w:color w:val="000000"/>
            <w:sz w:val="28"/>
            <w:szCs w:val="28"/>
            <w:lang w:val="en-GB" w:eastAsia="ru-RU"/>
          </w:rPr>
          <w:t>A. Y. Chen</w:t>
        </w:r>
      </w:hyperlink>
      <w:r w:rsidRPr="00CA099F">
        <w:rPr>
          <w:rFonts w:eastAsia="Times New Roman" w:cs="Times New Roman"/>
          <w:color w:val="000000"/>
          <w:sz w:val="28"/>
          <w:szCs w:val="28"/>
          <w:lang w:val="en-GB" w:eastAsia="ru-RU"/>
        </w:rPr>
        <w:t xml:space="preserve"> // </w:t>
      </w:r>
      <w:hyperlink r:id="rId57">
        <w:r w:rsidRPr="00CA099F">
          <w:rPr>
            <w:rFonts w:eastAsia="Times New Roman" w:cs="Times New Roman"/>
            <w:color w:val="000000"/>
            <w:sz w:val="28"/>
            <w:szCs w:val="28"/>
            <w:lang w:val="en-GB" w:eastAsia="ru-RU"/>
          </w:rPr>
          <w:t>Head Neck Pathol</w:t>
        </w:r>
      </w:hyperlink>
      <w:r w:rsidRPr="00CA099F">
        <w:rPr>
          <w:rFonts w:eastAsia="Times New Roman" w:cs="Times New Roman"/>
          <w:color w:val="000000"/>
          <w:sz w:val="28"/>
          <w:szCs w:val="28"/>
          <w:lang w:val="en-GB" w:eastAsia="ru-RU"/>
        </w:rPr>
        <w:t>. – 2015. – Vol. 9 (3). – P. 379–383.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Acierno S.P. Congenital cervical cysts, sinuses and fistulae / S.P. Acierno, J.H. Waldhausen // Otolaryngol Clin N Am. – 2007. – Vol. 40(1). – P. 161–176.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Guldfred L.A. Branchial cleft anomalies: accuracy of pre-operative diagnosis, clinical presentation and management / L.A. Guldfred, B.B. Philipsen, C.J. Siim // Laryngol Otol. – 2012. – Vol. 126(6). – P. 598–604.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Glosser J.W. Branchial cleft or cervical lymphoepithelial cysts: etiology and management / J.W. Glosser, C.A. Pires, S.E. Feinberg // J Am Dent Assoc. – 2003. – Vol. 134. – P. 81–86.</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58">
        <w:r w:rsidR="0030517B" w:rsidRPr="00CA099F">
          <w:rPr>
            <w:rFonts w:eastAsia="Times New Roman" w:cs="Times New Roman"/>
            <w:color w:val="000000"/>
            <w:sz w:val="28"/>
            <w:szCs w:val="28"/>
            <w:lang w:val="en-GB" w:eastAsia="ru-RU"/>
          </w:rPr>
          <w:t>Panchbhai</w:t>
        </w:r>
      </w:hyperlink>
      <w:r w:rsidR="0030517B" w:rsidRPr="00CA099F">
        <w:rPr>
          <w:rFonts w:eastAsia="Times New Roman" w:cs="Times New Roman"/>
          <w:color w:val="000000"/>
          <w:sz w:val="28"/>
          <w:szCs w:val="28"/>
          <w:lang w:val="en-GB" w:eastAsia="ru-RU"/>
        </w:rPr>
        <w:t xml:space="preserve"> A.S. Branchial cleft cyst at an unusual location: a rare case with a brief review / </w:t>
      </w:r>
      <w:hyperlink r:id="rId59">
        <w:r w:rsidR="0030517B" w:rsidRPr="00CA099F">
          <w:rPr>
            <w:rFonts w:eastAsia="Times New Roman" w:cs="Times New Roman"/>
            <w:color w:val="000000"/>
            <w:sz w:val="28"/>
            <w:szCs w:val="28"/>
            <w:lang w:val="en-GB" w:eastAsia="ru-RU"/>
          </w:rPr>
          <w:t>A.S. Panchbhai</w:t>
        </w:r>
      </w:hyperlink>
      <w:r w:rsidR="0030517B" w:rsidRPr="00CA099F">
        <w:rPr>
          <w:rFonts w:eastAsia="Times New Roman" w:cs="Times New Roman"/>
          <w:color w:val="000000"/>
          <w:sz w:val="28"/>
          <w:szCs w:val="28"/>
          <w:lang w:val="en-GB" w:eastAsia="ru-RU"/>
        </w:rPr>
        <w:t xml:space="preserve">, </w:t>
      </w:r>
      <w:hyperlink r:id="rId60">
        <w:r w:rsidR="0030517B" w:rsidRPr="00CA099F">
          <w:rPr>
            <w:rFonts w:eastAsia="Times New Roman" w:cs="Times New Roman"/>
            <w:color w:val="000000"/>
            <w:sz w:val="28"/>
            <w:szCs w:val="28"/>
            <w:lang w:val="en-GB" w:eastAsia="ru-RU"/>
          </w:rPr>
          <w:t>M.S. Choudhary</w:t>
        </w:r>
      </w:hyperlink>
      <w:r w:rsidR="0030517B" w:rsidRPr="00CA099F">
        <w:rPr>
          <w:rFonts w:eastAsia="Times New Roman" w:cs="Times New Roman"/>
          <w:color w:val="000000"/>
          <w:sz w:val="28"/>
          <w:szCs w:val="28"/>
          <w:lang w:val="en-GB" w:eastAsia="ru-RU"/>
        </w:rPr>
        <w:t xml:space="preserve"> // </w:t>
      </w:r>
      <w:hyperlink r:id="rId61">
        <w:r w:rsidR="0030517B" w:rsidRPr="00CA099F">
          <w:rPr>
            <w:rFonts w:eastAsia="Times New Roman" w:cs="Times New Roman"/>
            <w:color w:val="000000"/>
            <w:sz w:val="28"/>
            <w:szCs w:val="28"/>
            <w:lang w:val="en-GB" w:eastAsia="ru-RU"/>
          </w:rPr>
          <w:t>Dentomaxillofac Radiol</w:t>
        </w:r>
      </w:hyperlink>
      <w:r w:rsidR="0030517B" w:rsidRPr="00CA099F">
        <w:rPr>
          <w:rFonts w:eastAsia="Times New Roman" w:cs="Times New Roman"/>
          <w:color w:val="000000"/>
          <w:sz w:val="28"/>
          <w:szCs w:val="28"/>
          <w:lang w:val="en-GB" w:eastAsia="ru-RU"/>
        </w:rPr>
        <w:t>. – 2012. – Vol. 41(8). – P. 696–702.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Cervical bronchogenic cyst: asymptomatic neck mass in an adult male / C. Bocciolini, D. Dall’Olio, E. Cunsolo [et al.] // Acta Otolaryngol. – 2006. – Vol. 126. – P. 553–556.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 xml:space="preserve">Surgical Approaches to First Branchial Cleft Anomaly Excision: A Case Series / </w:t>
      </w:r>
      <w:hyperlink r:id="rId62">
        <w:r w:rsidRPr="00CA099F">
          <w:rPr>
            <w:rFonts w:eastAsia="Times New Roman" w:cs="Times New Roman"/>
            <w:color w:val="000000"/>
            <w:sz w:val="28"/>
            <w:szCs w:val="28"/>
            <w:lang w:val="en-GB" w:eastAsia="ru-RU"/>
          </w:rPr>
          <w:t>L. Quintanilla-Dieck</w:t>
        </w:r>
      </w:hyperlink>
      <w:r w:rsidRPr="00CA099F">
        <w:rPr>
          <w:rFonts w:eastAsia="Times New Roman" w:cs="Times New Roman"/>
          <w:color w:val="000000"/>
          <w:sz w:val="28"/>
          <w:szCs w:val="28"/>
          <w:lang w:val="en-GB" w:eastAsia="ru-RU"/>
        </w:rPr>
        <w:t>,</w:t>
      </w:r>
      <w:hyperlink r:id="rId63">
        <w:r w:rsidRPr="00CA099F">
          <w:rPr>
            <w:rFonts w:eastAsia="Times New Roman" w:cs="Times New Roman"/>
            <w:color w:val="000000"/>
            <w:sz w:val="28"/>
            <w:szCs w:val="28"/>
            <w:lang w:val="en-GB" w:eastAsia="ru-RU"/>
          </w:rPr>
          <w:t>F. Virgin</w:t>
        </w:r>
      </w:hyperlink>
      <w:r w:rsidRPr="00CA099F">
        <w:rPr>
          <w:rFonts w:eastAsia="Times New Roman" w:cs="Times New Roman"/>
          <w:color w:val="000000"/>
          <w:sz w:val="28"/>
          <w:szCs w:val="28"/>
          <w:lang w:val="en-GB" w:eastAsia="ru-RU"/>
        </w:rPr>
        <w:t>,</w:t>
      </w:r>
      <w:hyperlink r:id="rId64">
        <w:r w:rsidRPr="00CA099F">
          <w:rPr>
            <w:rFonts w:eastAsia="Times New Roman" w:cs="Times New Roman"/>
            <w:color w:val="000000"/>
            <w:sz w:val="28"/>
            <w:szCs w:val="28"/>
            <w:lang w:val="en-GB" w:eastAsia="ru-RU"/>
          </w:rPr>
          <w:t>C. Wootten</w:t>
        </w:r>
      </w:hyperlink>
      <w:r w:rsidRPr="00CA099F">
        <w:rPr>
          <w:rFonts w:eastAsia="Times New Roman" w:cs="Times New Roman"/>
          <w:color w:val="000000"/>
          <w:sz w:val="28"/>
          <w:szCs w:val="28"/>
          <w:lang w:val="en-GB" w:eastAsia="ru-RU"/>
        </w:rPr>
        <w:t xml:space="preserve"> [et al.] // </w:t>
      </w:r>
      <w:hyperlink r:id="rId65">
        <w:r w:rsidRPr="00CA099F">
          <w:rPr>
            <w:rFonts w:eastAsia="Times New Roman" w:cs="Times New Roman"/>
            <w:color w:val="000000"/>
            <w:sz w:val="28"/>
            <w:szCs w:val="28"/>
            <w:lang w:val="en-GB" w:eastAsia="ru-RU"/>
          </w:rPr>
          <w:t>Case Rep Otolaryngol</w:t>
        </w:r>
      </w:hyperlink>
      <w:r w:rsidRPr="00CA099F">
        <w:rPr>
          <w:rFonts w:eastAsia="Times New Roman" w:cs="Times New Roman"/>
          <w:color w:val="000000"/>
          <w:sz w:val="28"/>
          <w:szCs w:val="28"/>
          <w:lang w:val="en-GB" w:eastAsia="ru-RU"/>
        </w:rPr>
        <w:t>. – 2016. – Vol. 2016. – P. 390-394.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Golledge J. The aetiology of lateral cervical (branchial) cysts: past and present theories / J. Golledge, H. Ellis // J Laryngol Otol. – 1994. – Vol. 108. – P. 653–659.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Case report of a p16INK4A-positive branchial cleft cyst / T. </w:t>
      </w:r>
      <w:hyperlink r:id="rId66">
        <w:r w:rsidRPr="00CA099F">
          <w:rPr>
            <w:rFonts w:eastAsia="Times New Roman" w:cs="Times New Roman"/>
            <w:color w:val="000000"/>
            <w:sz w:val="28"/>
            <w:szCs w:val="28"/>
            <w:lang w:val="en-GB" w:eastAsia="ru-RU"/>
          </w:rPr>
          <w:t>McLean</w:t>
        </w:r>
      </w:hyperlink>
      <w:r w:rsidRPr="00CA099F">
        <w:rPr>
          <w:rFonts w:eastAsia="Times New Roman" w:cs="Times New Roman"/>
          <w:color w:val="000000"/>
          <w:sz w:val="28"/>
          <w:szCs w:val="28"/>
          <w:lang w:val="en-GB" w:eastAsia="ru-RU"/>
        </w:rPr>
        <w:t xml:space="preserve">, C. </w:t>
      </w:r>
      <w:hyperlink r:id="rId67">
        <w:r w:rsidRPr="00CA099F">
          <w:rPr>
            <w:rFonts w:eastAsia="Times New Roman" w:cs="Times New Roman"/>
            <w:color w:val="000000"/>
            <w:sz w:val="28"/>
            <w:szCs w:val="28"/>
            <w:lang w:val="en-GB" w:eastAsia="ru-RU"/>
          </w:rPr>
          <w:t>Iseli</w:t>
        </w:r>
      </w:hyperlink>
      <w:r w:rsidRPr="00CA099F">
        <w:rPr>
          <w:rFonts w:eastAsia="Times New Roman" w:cs="Times New Roman"/>
          <w:color w:val="000000"/>
          <w:sz w:val="28"/>
          <w:szCs w:val="28"/>
          <w:lang w:val="en-GB" w:eastAsia="ru-RU"/>
        </w:rPr>
        <w:t xml:space="preserve">, D. </w:t>
      </w:r>
      <w:hyperlink r:id="rId68">
        <w:r w:rsidRPr="00CA099F">
          <w:rPr>
            <w:rFonts w:eastAsia="Times New Roman" w:cs="Times New Roman"/>
            <w:color w:val="000000"/>
            <w:sz w:val="28"/>
            <w:szCs w:val="28"/>
            <w:lang w:val="en-GB" w:eastAsia="ru-RU"/>
          </w:rPr>
          <w:t>Amott</w:t>
        </w:r>
      </w:hyperlink>
      <w:r w:rsidRPr="00CA099F">
        <w:rPr>
          <w:rFonts w:eastAsia="Times New Roman" w:cs="Times New Roman"/>
          <w:color w:val="000000"/>
          <w:sz w:val="28"/>
          <w:szCs w:val="28"/>
          <w:lang w:val="en-GB" w:eastAsia="ru-RU"/>
        </w:rPr>
        <w:t xml:space="preserve">, M. </w:t>
      </w:r>
      <w:hyperlink r:id="rId69">
        <w:r w:rsidRPr="00CA099F">
          <w:rPr>
            <w:rFonts w:eastAsia="Times New Roman" w:cs="Times New Roman"/>
            <w:color w:val="000000"/>
            <w:sz w:val="28"/>
            <w:szCs w:val="28"/>
            <w:lang w:val="en-GB" w:eastAsia="ru-RU"/>
          </w:rPr>
          <w:t>Taylor</w:t>
        </w:r>
      </w:hyperlink>
      <w:r w:rsidRPr="00CA099F">
        <w:rPr>
          <w:rFonts w:eastAsia="Times New Roman" w:cs="Times New Roman"/>
          <w:color w:val="000000"/>
          <w:sz w:val="28"/>
          <w:szCs w:val="28"/>
          <w:lang w:val="en-GB" w:eastAsia="ru-RU"/>
        </w:rPr>
        <w:t xml:space="preserve"> // </w:t>
      </w:r>
      <w:hyperlink r:id="rId70">
        <w:r w:rsidRPr="00CA099F">
          <w:rPr>
            <w:rFonts w:eastAsia="Times New Roman" w:cs="Times New Roman"/>
            <w:color w:val="000000"/>
            <w:sz w:val="28"/>
            <w:szCs w:val="28"/>
            <w:lang w:val="en-GB" w:eastAsia="ru-RU"/>
          </w:rPr>
          <w:t>J Laryngol Otol.</w:t>
        </w:r>
      </w:hyperlink>
      <w:r w:rsidRPr="00CA099F">
        <w:rPr>
          <w:rFonts w:eastAsia="Times New Roman" w:cs="Times New Roman"/>
          <w:color w:val="000000"/>
          <w:sz w:val="28"/>
          <w:szCs w:val="28"/>
          <w:lang w:val="en-GB" w:eastAsia="ru-RU"/>
        </w:rPr>
        <w:t xml:space="preserve"> – 2015. – Vol. 129(6). – P. 611-613.</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Ectopic congenital bronchogenic cyst accompanied by infection appearing in the cervical region of an elderly female patient: A case report / </w:t>
      </w:r>
      <w:hyperlink r:id="rId71">
        <w:r w:rsidRPr="00CA099F">
          <w:rPr>
            <w:rFonts w:eastAsia="Times New Roman" w:cs="Times New Roman"/>
            <w:color w:val="000000"/>
            <w:sz w:val="28"/>
            <w:szCs w:val="28"/>
            <w:lang w:val="en-GB" w:eastAsia="ru-RU"/>
          </w:rPr>
          <w:t>Z. Liu</w:t>
        </w:r>
      </w:hyperlink>
      <w:r w:rsidRPr="00CA099F">
        <w:rPr>
          <w:rFonts w:eastAsia="Times New Roman" w:cs="Times New Roman"/>
          <w:color w:val="000000"/>
          <w:sz w:val="28"/>
          <w:szCs w:val="28"/>
          <w:lang w:val="en-GB" w:eastAsia="ru-RU"/>
        </w:rPr>
        <w:t xml:space="preserve">, </w:t>
      </w:r>
      <w:hyperlink r:id="rId72">
        <w:r w:rsidRPr="00CA099F">
          <w:rPr>
            <w:rFonts w:eastAsia="Times New Roman" w:cs="Times New Roman"/>
            <w:color w:val="000000"/>
            <w:sz w:val="28"/>
            <w:szCs w:val="28"/>
            <w:lang w:val="en-GB" w:eastAsia="ru-RU"/>
          </w:rPr>
          <w:t>Z. Tian</w:t>
        </w:r>
      </w:hyperlink>
      <w:r w:rsidRPr="00CA099F">
        <w:rPr>
          <w:rFonts w:eastAsia="Times New Roman" w:cs="Times New Roman"/>
          <w:color w:val="000000"/>
          <w:sz w:val="28"/>
          <w:szCs w:val="28"/>
          <w:lang w:val="en-GB" w:eastAsia="ru-RU"/>
        </w:rPr>
        <w:t xml:space="preserve">, </w:t>
      </w:r>
      <w:hyperlink r:id="rId73">
        <w:r w:rsidRPr="00CA099F">
          <w:rPr>
            <w:rFonts w:eastAsia="Times New Roman" w:cs="Times New Roman"/>
            <w:color w:val="000000"/>
            <w:sz w:val="28"/>
            <w:szCs w:val="28"/>
            <w:lang w:val="en-GB" w:eastAsia="ru-RU"/>
          </w:rPr>
          <w:t>C. Zhang</w:t>
        </w:r>
      </w:hyperlink>
      <w:r w:rsidRPr="00CA099F">
        <w:rPr>
          <w:rFonts w:eastAsia="Times New Roman" w:cs="Times New Roman"/>
          <w:color w:val="000000"/>
          <w:sz w:val="28"/>
          <w:szCs w:val="28"/>
          <w:lang w:val="en-GB" w:eastAsia="ru-RU"/>
        </w:rPr>
        <w:t xml:space="preserve">, </w:t>
      </w:r>
      <w:hyperlink r:id="rId74">
        <w:r w:rsidRPr="00CA099F">
          <w:rPr>
            <w:rFonts w:eastAsia="Times New Roman" w:cs="Times New Roman"/>
            <w:color w:val="000000"/>
            <w:sz w:val="28"/>
            <w:szCs w:val="28"/>
            <w:lang w:val="en-GB" w:eastAsia="ru-RU"/>
          </w:rPr>
          <w:t>Y. He</w:t>
        </w:r>
      </w:hyperlink>
      <w:r w:rsidRPr="00CA099F">
        <w:rPr>
          <w:rFonts w:eastAsia="Times New Roman" w:cs="Times New Roman"/>
          <w:color w:val="000000"/>
          <w:sz w:val="28"/>
          <w:szCs w:val="28"/>
          <w:lang w:val="en-GB" w:eastAsia="ru-RU"/>
        </w:rPr>
        <w:t xml:space="preserve"> // </w:t>
      </w:r>
      <w:hyperlink r:id="rId75">
        <w:r w:rsidRPr="00CA099F">
          <w:rPr>
            <w:rFonts w:eastAsia="Times New Roman" w:cs="Times New Roman"/>
            <w:color w:val="000000"/>
            <w:sz w:val="28"/>
            <w:szCs w:val="28"/>
            <w:lang w:val="en-GB" w:eastAsia="ru-RU"/>
          </w:rPr>
          <w:t>Oncol Lett</w:t>
        </w:r>
      </w:hyperlink>
      <w:r w:rsidRPr="00CA099F">
        <w:rPr>
          <w:rFonts w:eastAsia="Times New Roman" w:cs="Times New Roman"/>
          <w:color w:val="000000"/>
          <w:sz w:val="28"/>
          <w:szCs w:val="28"/>
          <w:lang w:val="en-GB" w:eastAsia="ru-RU"/>
        </w:rPr>
        <w:t>. – 2016. – Vol. 11(2). – P. 1065–1068.</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Lateral and median cysts of the neck / G. </w:t>
      </w:r>
      <w:hyperlink r:id="rId76">
        <w:r w:rsidRPr="00CA099F">
          <w:rPr>
            <w:rFonts w:eastAsia="Times New Roman" w:cs="Times New Roman"/>
            <w:color w:val="000000"/>
            <w:sz w:val="28"/>
            <w:szCs w:val="28"/>
            <w:lang w:val="en-GB" w:eastAsia="ru-RU"/>
          </w:rPr>
          <w:t xml:space="preserve">Buła </w:t>
        </w:r>
      </w:hyperlink>
      <w:r w:rsidRPr="00CA099F">
        <w:rPr>
          <w:rFonts w:eastAsia="Times New Roman" w:cs="Times New Roman"/>
          <w:color w:val="000000"/>
          <w:sz w:val="28"/>
          <w:szCs w:val="28"/>
          <w:lang w:val="en-GB" w:eastAsia="ru-RU"/>
        </w:rPr>
        <w:t xml:space="preserve">, J. </w:t>
      </w:r>
      <w:hyperlink r:id="rId77">
        <w:r w:rsidRPr="00CA099F">
          <w:rPr>
            <w:rFonts w:eastAsia="Times New Roman" w:cs="Times New Roman"/>
            <w:color w:val="000000"/>
            <w:sz w:val="28"/>
            <w:szCs w:val="28"/>
            <w:lang w:val="en-GB" w:eastAsia="ru-RU"/>
          </w:rPr>
          <w:t xml:space="preserve">Waler </w:t>
        </w:r>
      </w:hyperlink>
      <w:r w:rsidRPr="00CA099F">
        <w:rPr>
          <w:rFonts w:eastAsia="Times New Roman" w:cs="Times New Roman"/>
          <w:color w:val="000000"/>
          <w:sz w:val="28"/>
          <w:szCs w:val="28"/>
          <w:lang w:val="en-GB" w:eastAsia="ru-RU"/>
        </w:rPr>
        <w:t xml:space="preserve">, A. </w:t>
      </w:r>
      <w:hyperlink r:id="rId78">
        <w:r w:rsidRPr="00CA099F">
          <w:rPr>
            <w:rFonts w:eastAsia="Times New Roman" w:cs="Times New Roman"/>
            <w:color w:val="000000"/>
            <w:sz w:val="28"/>
            <w:szCs w:val="28"/>
            <w:lang w:val="en-GB" w:eastAsia="ru-RU"/>
          </w:rPr>
          <w:t xml:space="preserve">Niemiec </w:t>
        </w:r>
      </w:hyperlink>
      <w:r w:rsidRPr="00CA099F">
        <w:rPr>
          <w:rFonts w:eastAsia="Times New Roman" w:cs="Times New Roman"/>
          <w:color w:val="000000"/>
          <w:sz w:val="28"/>
          <w:szCs w:val="28"/>
          <w:lang w:val="en-GB" w:eastAsia="ru-RU"/>
        </w:rPr>
        <w:t xml:space="preserve">[et al.] // </w:t>
      </w:r>
      <w:hyperlink r:id="rId79">
        <w:r w:rsidRPr="00CA099F">
          <w:rPr>
            <w:rFonts w:eastAsia="Times New Roman" w:cs="Times New Roman"/>
            <w:color w:val="000000"/>
            <w:sz w:val="28"/>
            <w:szCs w:val="28"/>
            <w:lang w:val="en-GB" w:eastAsia="ru-RU"/>
          </w:rPr>
          <w:t>Pol Przegl Chir.</w:t>
        </w:r>
      </w:hyperlink>
      <w:r w:rsidRPr="00CA099F">
        <w:rPr>
          <w:rFonts w:eastAsia="Times New Roman" w:cs="Times New Roman"/>
          <w:color w:val="000000"/>
          <w:sz w:val="28"/>
          <w:szCs w:val="28"/>
          <w:lang w:val="en-GB" w:eastAsia="ru-RU"/>
        </w:rPr>
        <w:t xml:space="preserve"> – 2012. – Vol. 84(9). – P. 445-448.</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80">
        <w:r w:rsidR="0030517B" w:rsidRPr="00CA099F">
          <w:rPr>
            <w:rFonts w:eastAsia="Times New Roman" w:cs="Times New Roman"/>
            <w:color w:val="000000"/>
            <w:sz w:val="28"/>
            <w:szCs w:val="28"/>
            <w:lang w:val="en-GB" w:eastAsia="ru-RU"/>
          </w:rPr>
          <w:t>Kotecha</w:t>
        </w:r>
      </w:hyperlink>
      <w:r w:rsidR="0030517B" w:rsidRPr="00CA099F">
        <w:rPr>
          <w:rFonts w:eastAsia="Times New Roman" w:cs="Times New Roman"/>
          <w:color w:val="000000"/>
          <w:sz w:val="28"/>
          <w:szCs w:val="28"/>
          <w:lang w:val="en-GB" w:eastAsia="ru-RU"/>
        </w:rPr>
        <w:t xml:space="preserve"> V. Branchial cysts: an unusual cause of a mediastinal mass: a case report / </w:t>
      </w:r>
      <w:hyperlink r:id="rId81">
        <w:r w:rsidR="0030517B" w:rsidRPr="00CA099F">
          <w:rPr>
            <w:rFonts w:eastAsia="Times New Roman" w:cs="Times New Roman"/>
            <w:color w:val="000000"/>
            <w:sz w:val="28"/>
            <w:szCs w:val="28"/>
            <w:lang w:val="en-GB" w:eastAsia="ru-RU"/>
          </w:rPr>
          <w:t>V. Kotecha</w:t>
        </w:r>
      </w:hyperlink>
      <w:r w:rsidR="0030517B" w:rsidRPr="00CA099F">
        <w:rPr>
          <w:rFonts w:eastAsia="Times New Roman" w:cs="Times New Roman"/>
          <w:color w:val="000000"/>
          <w:sz w:val="28"/>
          <w:szCs w:val="28"/>
          <w:lang w:val="en-GB" w:eastAsia="ru-RU"/>
        </w:rPr>
        <w:t xml:space="preserve">, </w:t>
      </w:r>
      <w:hyperlink r:id="rId82">
        <w:r w:rsidR="0030517B" w:rsidRPr="00CA099F">
          <w:rPr>
            <w:rFonts w:eastAsia="Times New Roman" w:cs="Times New Roman"/>
            <w:color w:val="000000"/>
            <w:sz w:val="28"/>
            <w:szCs w:val="28"/>
            <w:lang w:val="en-GB" w:eastAsia="ru-RU"/>
          </w:rPr>
          <w:t>A. Muturi</w:t>
        </w:r>
      </w:hyperlink>
      <w:hyperlink r:id="rId83">
        <w:r w:rsidR="0030517B" w:rsidRPr="00CA099F">
          <w:rPr>
            <w:rFonts w:eastAsia="Times New Roman" w:cs="Times New Roman"/>
            <w:color w:val="000000"/>
            <w:sz w:val="28"/>
            <w:szCs w:val="28"/>
            <w:lang w:val="en-GB" w:eastAsia="ru-RU"/>
          </w:rPr>
          <w:t>J. Ruturi</w:t>
        </w:r>
      </w:hyperlink>
      <w:r w:rsidR="0030517B" w:rsidRPr="00CA099F">
        <w:rPr>
          <w:rFonts w:eastAsia="Times New Roman" w:cs="Times New Roman"/>
          <w:color w:val="000000"/>
          <w:sz w:val="28"/>
          <w:szCs w:val="28"/>
          <w:lang w:val="en-GB" w:eastAsia="ru-RU"/>
        </w:rPr>
        <w:t xml:space="preserve"> // </w:t>
      </w:r>
      <w:hyperlink r:id="rId84">
        <w:r w:rsidR="0030517B" w:rsidRPr="00CA099F">
          <w:rPr>
            <w:rFonts w:eastAsia="Times New Roman" w:cs="Times New Roman"/>
            <w:color w:val="000000"/>
            <w:sz w:val="28"/>
            <w:szCs w:val="28"/>
            <w:lang w:val="en-GB" w:eastAsia="ru-RU"/>
          </w:rPr>
          <w:t>J Med Case Rep</w:t>
        </w:r>
      </w:hyperlink>
      <w:r w:rsidR="0030517B" w:rsidRPr="00CA099F">
        <w:rPr>
          <w:rFonts w:eastAsia="Times New Roman" w:cs="Times New Roman"/>
          <w:color w:val="000000"/>
          <w:sz w:val="28"/>
          <w:szCs w:val="28"/>
          <w:lang w:val="en-GB" w:eastAsia="ru-RU"/>
        </w:rPr>
        <w:t>. – 2015. – Vol. 9. – P. 208.</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85">
        <w:r w:rsidR="0030517B" w:rsidRPr="00CA099F">
          <w:rPr>
            <w:rFonts w:eastAsia="Times New Roman" w:cs="Times New Roman"/>
            <w:color w:val="000000"/>
            <w:sz w:val="28"/>
            <w:szCs w:val="28"/>
            <w:lang w:val="en-GB" w:eastAsia="ru-RU"/>
          </w:rPr>
          <w:t>Horvath D</w:t>
        </w:r>
      </w:hyperlink>
      <w:r w:rsidR="0030517B" w:rsidRPr="00CA099F">
        <w:rPr>
          <w:rFonts w:eastAsia="Times New Roman" w:cs="Times New Roman"/>
          <w:color w:val="000000"/>
          <w:sz w:val="28"/>
          <w:szCs w:val="28"/>
          <w:lang w:val="en-GB" w:eastAsia="ru-RU"/>
        </w:rPr>
        <w:t xml:space="preserve">. Branchiogen cyst at unusual age and in rare localization. A case report / D. </w:t>
      </w:r>
      <w:hyperlink r:id="rId86">
        <w:r w:rsidR="0030517B" w:rsidRPr="00CA099F">
          <w:rPr>
            <w:rFonts w:eastAsia="Times New Roman" w:cs="Times New Roman"/>
            <w:color w:val="000000"/>
            <w:sz w:val="28"/>
            <w:szCs w:val="28"/>
            <w:lang w:val="en-GB" w:eastAsia="ru-RU"/>
          </w:rPr>
          <w:t>Horvath</w:t>
        </w:r>
      </w:hyperlink>
      <w:r w:rsidR="0030517B" w:rsidRPr="00CA099F">
        <w:rPr>
          <w:rFonts w:eastAsia="Times New Roman" w:cs="Times New Roman"/>
          <w:color w:val="000000"/>
          <w:sz w:val="28"/>
          <w:szCs w:val="28"/>
          <w:lang w:val="en-GB" w:eastAsia="ru-RU"/>
        </w:rPr>
        <w:t xml:space="preserve">, P. </w:t>
      </w:r>
      <w:hyperlink r:id="rId87">
        <w:r w:rsidR="0030517B" w:rsidRPr="00CA099F">
          <w:rPr>
            <w:rFonts w:eastAsia="Times New Roman" w:cs="Times New Roman"/>
            <w:color w:val="000000"/>
            <w:sz w:val="28"/>
            <w:szCs w:val="28"/>
            <w:lang w:val="en-GB" w:eastAsia="ru-RU"/>
          </w:rPr>
          <w:t>Redl</w:t>
        </w:r>
      </w:hyperlink>
      <w:r w:rsidR="0030517B" w:rsidRPr="00CA099F">
        <w:rPr>
          <w:rFonts w:eastAsia="Times New Roman" w:cs="Times New Roman"/>
          <w:color w:val="000000"/>
          <w:sz w:val="28"/>
          <w:szCs w:val="28"/>
          <w:lang w:val="en-GB" w:eastAsia="ru-RU"/>
        </w:rPr>
        <w:t xml:space="preserve">, C. </w:t>
      </w:r>
      <w:hyperlink r:id="rId88">
        <w:r w:rsidR="0030517B" w:rsidRPr="00CA099F">
          <w:rPr>
            <w:rFonts w:eastAsia="Times New Roman" w:cs="Times New Roman"/>
            <w:color w:val="000000"/>
            <w:sz w:val="28"/>
            <w:szCs w:val="28"/>
            <w:lang w:val="en-GB" w:eastAsia="ru-RU"/>
          </w:rPr>
          <w:t>Hegedűs</w:t>
        </w:r>
      </w:hyperlink>
      <w:r w:rsidR="0030517B" w:rsidRPr="00CA099F">
        <w:rPr>
          <w:rFonts w:eastAsia="Times New Roman" w:cs="Times New Roman"/>
          <w:color w:val="000000"/>
          <w:sz w:val="28"/>
          <w:szCs w:val="28"/>
          <w:lang w:val="en-GB" w:eastAsia="ru-RU"/>
        </w:rPr>
        <w:t xml:space="preserve"> // </w:t>
      </w:r>
      <w:hyperlink r:id="rId89">
        <w:r w:rsidR="0030517B" w:rsidRPr="00CA099F">
          <w:rPr>
            <w:rFonts w:eastAsia="Times New Roman" w:cs="Times New Roman"/>
            <w:color w:val="000000"/>
            <w:sz w:val="28"/>
            <w:szCs w:val="28"/>
            <w:lang w:val="en-GB" w:eastAsia="ru-RU"/>
          </w:rPr>
          <w:t>Fogorv Sz.</w:t>
        </w:r>
      </w:hyperlink>
      <w:r w:rsidR="0030517B" w:rsidRPr="00CA099F">
        <w:rPr>
          <w:rFonts w:eastAsia="Times New Roman" w:cs="Times New Roman"/>
          <w:color w:val="000000"/>
          <w:sz w:val="28"/>
          <w:szCs w:val="28"/>
          <w:lang w:val="en-GB" w:eastAsia="ru-RU"/>
        </w:rPr>
        <w:t xml:space="preserve"> – 2015. – Vol. 108(4). – P. 127-130.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Branchial cleft anomalies: a pictorial review of embryological development and spectrum of imaging findings / </w:t>
      </w:r>
      <w:hyperlink r:id="rId90">
        <w:r w:rsidRPr="00CA099F">
          <w:rPr>
            <w:rFonts w:eastAsia="Times New Roman" w:cs="Times New Roman"/>
            <w:color w:val="000000"/>
            <w:sz w:val="28"/>
            <w:szCs w:val="28"/>
            <w:lang w:val="en-GB" w:eastAsia="ru-RU"/>
          </w:rPr>
          <w:t>A. Adams</w:t>
        </w:r>
      </w:hyperlink>
      <w:r w:rsidRPr="00CA099F">
        <w:rPr>
          <w:rFonts w:eastAsia="Times New Roman" w:cs="Times New Roman"/>
          <w:color w:val="000000"/>
          <w:sz w:val="28"/>
          <w:szCs w:val="28"/>
          <w:lang w:val="en-GB" w:eastAsia="ru-RU"/>
        </w:rPr>
        <w:t xml:space="preserve">, </w:t>
      </w:r>
      <w:hyperlink r:id="rId91">
        <w:r w:rsidRPr="00CA099F">
          <w:rPr>
            <w:rFonts w:eastAsia="Times New Roman" w:cs="Times New Roman"/>
            <w:color w:val="000000"/>
            <w:sz w:val="28"/>
            <w:szCs w:val="28"/>
            <w:lang w:val="en-GB" w:eastAsia="ru-RU"/>
          </w:rPr>
          <w:t>K. Mankad</w:t>
        </w:r>
      </w:hyperlink>
      <w:r w:rsidRPr="00CA099F">
        <w:rPr>
          <w:rFonts w:eastAsia="Times New Roman" w:cs="Times New Roman"/>
          <w:color w:val="000000"/>
          <w:sz w:val="28"/>
          <w:szCs w:val="28"/>
          <w:lang w:val="en-GB" w:eastAsia="ru-RU"/>
        </w:rPr>
        <w:t xml:space="preserve">, </w:t>
      </w:r>
      <w:hyperlink r:id="rId92">
        <w:r w:rsidRPr="00CA099F">
          <w:rPr>
            <w:rFonts w:eastAsia="Times New Roman" w:cs="Times New Roman"/>
            <w:color w:val="000000"/>
            <w:sz w:val="28"/>
            <w:szCs w:val="28"/>
            <w:lang w:val="en-GB" w:eastAsia="ru-RU"/>
          </w:rPr>
          <w:t>C. Offiah</w:t>
        </w:r>
      </w:hyperlink>
      <w:r w:rsidRPr="00CA099F">
        <w:rPr>
          <w:rFonts w:eastAsia="Times New Roman" w:cs="Times New Roman"/>
          <w:color w:val="000000"/>
          <w:sz w:val="28"/>
          <w:szCs w:val="28"/>
          <w:lang w:val="en-GB" w:eastAsia="ru-RU"/>
        </w:rPr>
        <w:t xml:space="preserve">, </w:t>
      </w:r>
      <w:hyperlink r:id="rId93">
        <w:r w:rsidRPr="00CA099F">
          <w:rPr>
            <w:rFonts w:eastAsia="Times New Roman" w:cs="Times New Roman"/>
            <w:color w:val="000000"/>
            <w:sz w:val="28"/>
            <w:szCs w:val="28"/>
            <w:lang w:val="en-GB" w:eastAsia="ru-RU"/>
          </w:rPr>
          <w:t>L. Childs</w:t>
        </w:r>
      </w:hyperlink>
      <w:r w:rsidRPr="00CA099F">
        <w:rPr>
          <w:rFonts w:eastAsia="Times New Roman" w:cs="Times New Roman"/>
          <w:color w:val="000000"/>
          <w:sz w:val="28"/>
          <w:szCs w:val="28"/>
          <w:lang w:val="en-GB" w:eastAsia="ru-RU"/>
        </w:rPr>
        <w:t xml:space="preserve"> // </w:t>
      </w:r>
      <w:hyperlink r:id="rId94">
        <w:r w:rsidRPr="00CA099F">
          <w:rPr>
            <w:rFonts w:eastAsia="Times New Roman" w:cs="Times New Roman"/>
            <w:color w:val="000000"/>
            <w:sz w:val="28"/>
            <w:szCs w:val="28"/>
            <w:lang w:val="en-GB" w:eastAsia="ru-RU"/>
          </w:rPr>
          <w:t>Insights Imaging</w:t>
        </w:r>
      </w:hyperlink>
      <w:r w:rsidRPr="00CA099F">
        <w:rPr>
          <w:rFonts w:eastAsia="Times New Roman" w:cs="Times New Roman"/>
          <w:color w:val="000000"/>
          <w:sz w:val="28"/>
          <w:szCs w:val="28"/>
          <w:lang w:val="en-GB" w:eastAsia="ru-RU"/>
        </w:rPr>
        <w:t>. – 2016. – Vol. 7(1). – P. 69–76.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First branchial cleft anomalies: otologic manifestations and treatment outcomes / J.R. Shinn, P.L. Purcell, D.L. Horn [et al.] // Otolaryngology—Head and Neck Surgery. – 2015. – Vol. 152(3). – P. 506–512.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Branchial cleft cyst: A case report and review of literature / </w:t>
      </w:r>
      <w:hyperlink r:id="rId95">
        <w:r w:rsidRPr="00CA099F">
          <w:rPr>
            <w:rFonts w:eastAsia="Times New Roman" w:cs="Times New Roman"/>
            <w:color w:val="000000"/>
            <w:sz w:val="28"/>
            <w:szCs w:val="28"/>
            <w:lang w:val="en-GB" w:eastAsia="ru-RU"/>
          </w:rPr>
          <w:t>S. Chavan</w:t>
        </w:r>
      </w:hyperlink>
      <w:r w:rsidRPr="00CA099F">
        <w:rPr>
          <w:rFonts w:eastAsia="Times New Roman" w:cs="Times New Roman"/>
          <w:color w:val="000000"/>
          <w:sz w:val="28"/>
          <w:szCs w:val="28"/>
          <w:lang w:val="en-GB" w:eastAsia="ru-RU"/>
        </w:rPr>
        <w:t xml:space="preserve">, </w:t>
      </w:r>
      <w:hyperlink r:id="rId96">
        <w:r w:rsidRPr="00CA099F">
          <w:rPr>
            <w:rFonts w:eastAsia="Times New Roman" w:cs="Times New Roman"/>
            <w:color w:val="000000"/>
            <w:sz w:val="28"/>
            <w:szCs w:val="28"/>
            <w:lang w:val="en-GB" w:eastAsia="ru-RU"/>
          </w:rPr>
          <w:t>R. Deshmukh</w:t>
        </w:r>
      </w:hyperlink>
      <w:r w:rsidRPr="00CA099F">
        <w:rPr>
          <w:rFonts w:eastAsia="Times New Roman" w:cs="Times New Roman"/>
          <w:color w:val="000000"/>
          <w:sz w:val="28"/>
          <w:szCs w:val="28"/>
          <w:lang w:val="en-GB" w:eastAsia="ru-RU"/>
        </w:rPr>
        <w:t xml:space="preserve">, </w:t>
      </w:r>
      <w:hyperlink r:id="rId97">
        <w:r w:rsidRPr="00CA099F">
          <w:rPr>
            <w:rFonts w:eastAsia="Times New Roman" w:cs="Times New Roman"/>
            <w:color w:val="000000"/>
            <w:sz w:val="28"/>
            <w:szCs w:val="28"/>
            <w:lang w:val="en-GB" w:eastAsia="ru-RU"/>
          </w:rPr>
          <w:t>P. Karande</w:t>
        </w:r>
      </w:hyperlink>
      <w:r w:rsidRPr="00CA099F">
        <w:rPr>
          <w:rFonts w:eastAsia="Times New Roman" w:cs="Times New Roman"/>
          <w:color w:val="000000"/>
          <w:sz w:val="28"/>
          <w:szCs w:val="28"/>
          <w:lang w:val="en-GB" w:eastAsia="ru-RU"/>
        </w:rPr>
        <w:t xml:space="preserve">, </w:t>
      </w:r>
      <w:hyperlink r:id="rId98">
        <w:r w:rsidRPr="00CA099F">
          <w:rPr>
            <w:rFonts w:eastAsia="Times New Roman" w:cs="Times New Roman"/>
            <w:color w:val="000000"/>
            <w:sz w:val="28"/>
            <w:szCs w:val="28"/>
            <w:lang w:val="en-GB" w:eastAsia="ru-RU"/>
          </w:rPr>
          <w:t>Y. Ingale</w:t>
        </w:r>
      </w:hyperlink>
      <w:r w:rsidRPr="00CA099F">
        <w:rPr>
          <w:rFonts w:eastAsia="Times New Roman" w:cs="Times New Roman"/>
          <w:color w:val="000000"/>
          <w:sz w:val="28"/>
          <w:szCs w:val="28"/>
          <w:lang w:val="en-GB" w:eastAsia="ru-RU"/>
        </w:rPr>
        <w:t xml:space="preserve"> // </w:t>
      </w:r>
      <w:hyperlink r:id="rId99">
        <w:r w:rsidRPr="00CA099F">
          <w:rPr>
            <w:rFonts w:eastAsia="Times New Roman" w:cs="Times New Roman"/>
            <w:color w:val="000000"/>
            <w:sz w:val="28"/>
            <w:szCs w:val="28"/>
            <w:lang w:val="en-GB" w:eastAsia="ru-RU"/>
          </w:rPr>
          <w:t>J Oral Maxillofac Pathol</w:t>
        </w:r>
      </w:hyperlink>
      <w:r w:rsidRPr="00CA099F">
        <w:rPr>
          <w:rFonts w:eastAsia="Times New Roman" w:cs="Times New Roman"/>
          <w:color w:val="000000"/>
          <w:sz w:val="28"/>
          <w:szCs w:val="28"/>
          <w:lang w:val="en-GB" w:eastAsia="ru-RU"/>
        </w:rPr>
        <w:t>. – 2014. – Vol. 18(1). – P. 150.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 xml:space="preserve">Branchial Cleft-Like Cysts Involving 3 Different Organs / T. </w:t>
      </w:r>
      <w:hyperlink r:id="rId100">
        <w:r w:rsidRPr="00CA099F">
          <w:rPr>
            <w:rFonts w:eastAsia="Times New Roman" w:cs="Times New Roman"/>
            <w:color w:val="000000"/>
            <w:sz w:val="28"/>
            <w:szCs w:val="28"/>
            <w:lang w:val="en-GB" w:eastAsia="ru-RU"/>
          </w:rPr>
          <w:t>Nakazawa</w:t>
        </w:r>
      </w:hyperlink>
      <w:r w:rsidRPr="00CA099F">
        <w:rPr>
          <w:rFonts w:eastAsia="Times New Roman" w:cs="Times New Roman"/>
          <w:color w:val="000000"/>
          <w:sz w:val="28"/>
          <w:szCs w:val="28"/>
          <w:lang w:val="en-GB" w:eastAsia="ru-RU"/>
        </w:rPr>
        <w:t xml:space="preserve">, </w:t>
      </w:r>
      <w:hyperlink r:id="rId101">
        <w:r w:rsidRPr="00CA099F">
          <w:rPr>
            <w:rFonts w:eastAsia="Times New Roman" w:cs="Times New Roman"/>
            <w:color w:val="000000"/>
            <w:sz w:val="28"/>
            <w:szCs w:val="28"/>
            <w:lang w:val="en-GB" w:eastAsia="ru-RU"/>
          </w:rPr>
          <w:t>T. Kondo</w:t>
        </w:r>
      </w:hyperlink>
      <w:r w:rsidRPr="00CA099F">
        <w:rPr>
          <w:rFonts w:eastAsia="Times New Roman" w:cs="Times New Roman"/>
          <w:color w:val="000000"/>
          <w:sz w:val="28"/>
          <w:szCs w:val="28"/>
          <w:lang w:val="en-GB" w:eastAsia="ru-RU"/>
        </w:rPr>
        <w:t xml:space="preserve">, </w:t>
      </w:r>
      <w:hyperlink r:id="rId102">
        <w:r w:rsidRPr="00CA099F">
          <w:rPr>
            <w:rFonts w:eastAsia="Times New Roman" w:cs="Times New Roman"/>
            <w:color w:val="000000"/>
            <w:sz w:val="28"/>
            <w:szCs w:val="28"/>
            <w:lang w:val="en-GB" w:eastAsia="ru-RU"/>
          </w:rPr>
          <w:t>N. Oishi</w:t>
        </w:r>
      </w:hyperlink>
      <w:r w:rsidRPr="00CA099F">
        <w:rPr>
          <w:rFonts w:eastAsia="Times New Roman" w:cs="Times New Roman"/>
          <w:color w:val="000000"/>
          <w:sz w:val="28"/>
          <w:szCs w:val="28"/>
          <w:lang w:val="en-GB" w:eastAsia="ru-RU"/>
        </w:rPr>
        <w:t xml:space="preserve"> [et al.] // </w:t>
      </w:r>
      <w:hyperlink r:id="rId103">
        <w:r w:rsidRPr="00CA099F">
          <w:rPr>
            <w:rFonts w:eastAsia="Times New Roman" w:cs="Times New Roman"/>
            <w:color w:val="000000"/>
            <w:sz w:val="28"/>
            <w:szCs w:val="28"/>
            <w:lang w:val="en-GB" w:eastAsia="ru-RU"/>
          </w:rPr>
          <w:t>Medicine (Baltimore)</w:t>
        </w:r>
      </w:hyperlink>
      <w:r w:rsidRPr="00CA099F">
        <w:rPr>
          <w:rFonts w:eastAsia="Times New Roman" w:cs="Times New Roman"/>
          <w:color w:val="000000"/>
          <w:sz w:val="28"/>
          <w:szCs w:val="28"/>
          <w:lang w:val="en-GB" w:eastAsia="ru-RU"/>
        </w:rPr>
        <w:t>. – 2015. – Vol. 94(42). – P. 1758.</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Bilateral branchial cleft anomaly type two and type three seen together / C. Kucur, V. Kinis, Y. Eren, A.O. Gursel // J Clin Exp Invest. – 2012. – Vol. 3(1). – P. 99–101.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Маланчук В.О. Хірургічна стоматологія та щелепно-лицева хірургія : </w:t>
      </w:r>
      <w:r w:rsidRPr="00CA099F">
        <w:rPr>
          <w:rFonts w:eastAsia="Times New Roman" w:cs="Times New Roman"/>
          <w:color w:val="000000"/>
          <w:sz w:val="28"/>
          <w:szCs w:val="28"/>
          <w:lang w:val="en-GB" w:eastAsia="ru-RU"/>
        </w:rPr>
        <w:t>T</w:t>
      </w:r>
      <w:r w:rsidRPr="00CA099F">
        <w:rPr>
          <w:rFonts w:eastAsia="Times New Roman" w:cs="Times New Roman"/>
          <w:color w:val="000000"/>
          <w:sz w:val="28"/>
          <w:szCs w:val="28"/>
          <w:lang w:val="ru-RU" w:eastAsia="ru-RU"/>
        </w:rPr>
        <w:t>. 1 / В.О. Маланчук. – К., 2011. – 672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Маланчук В.О. Доброякісні пухлини та пухлиноподібні ураження щелепно-лицевої ділянки та шиї / В.О. Маланчук, А.В. Копчак. – К. : Видавничий дім «Асканія», 2008. – 320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Recurrent neck abscess due to a bronchogenic cyst in an adult / A.J. Hazenberg, L.M. Pullmann, R.P. Henke, F. Hoppe // J Laryngol Otol – 2010. – Vol. 124. – P. 1325–1328.</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104">
        <w:r w:rsidR="0030517B" w:rsidRPr="00CA099F">
          <w:rPr>
            <w:rFonts w:eastAsia="Times New Roman" w:cs="Times New Roman"/>
            <w:color w:val="000000"/>
            <w:sz w:val="28"/>
            <w:szCs w:val="28"/>
            <w:lang w:val="en-GB" w:eastAsia="ru-RU"/>
          </w:rPr>
          <w:t>Valentino</w:t>
        </w:r>
      </w:hyperlink>
      <w:r w:rsidR="0030517B" w:rsidRPr="00CA099F">
        <w:rPr>
          <w:rFonts w:eastAsia="Times New Roman" w:cs="Times New Roman"/>
          <w:color w:val="000000"/>
          <w:sz w:val="28"/>
          <w:szCs w:val="28"/>
          <w:lang w:val="en-GB" w:eastAsia="ru-RU"/>
        </w:rPr>
        <w:t xml:space="preserve"> M. Branchial cleft cyst / </w:t>
      </w:r>
      <w:hyperlink r:id="rId105">
        <w:r w:rsidR="0030517B" w:rsidRPr="00CA099F">
          <w:rPr>
            <w:rFonts w:eastAsia="Times New Roman" w:cs="Times New Roman"/>
            <w:color w:val="000000"/>
            <w:sz w:val="28"/>
            <w:szCs w:val="28"/>
            <w:lang w:val="en-GB" w:eastAsia="ru-RU"/>
          </w:rPr>
          <w:t>M. Valentino</w:t>
        </w:r>
      </w:hyperlink>
      <w:r w:rsidR="0030517B" w:rsidRPr="00CA099F">
        <w:rPr>
          <w:rFonts w:eastAsia="Times New Roman" w:cs="Times New Roman"/>
          <w:color w:val="000000"/>
          <w:sz w:val="28"/>
          <w:szCs w:val="28"/>
          <w:lang w:val="en-GB" w:eastAsia="ru-RU"/>
        </w:rPr>
        <w:t xml:space="preserve">, </w:t>
      </w:r>
      <w:hyperlink r:id="rId106">
        <w:r w:rsidR="0030517B" w:rsidRPr="00CA099F">
          <w:rPr>
            <w:rFonts w:eastAsia="Times New Roman" w:cs="Times New Roman"/>
            <w:color w:val="000000"/>
            <w:sz w:val="28"/>
            <w:szCs w:val="28"/>
            <w:lang w:val="en-GB" w:eastAsia="ru-RU"/>
          </w:rPr>
          <w:t>C. Quiligotti</w:t>
        </w:r>
      </w:hyperlink>
      <w:r w:rsidR="0030517B" w:rsidRPr="00CA099F">
        <w:rPr>
          <w:rFonts w:eastAsia="Times New Roman" w:cs="Times New Roman"/>
          <w:color w:val="000000"/>
          <w:sz w:val="28"/>
          <w:szCs w:val="28"/>
          <w:lang w:val="en-GB" w:eastAsia="ru-RU"/>
        </w:rPr>
        <w:t xml:space="preserve">, </w:t>
      </w:r>
      <w:hyperlink r:id="rId107">
        <w:r w:rsidR="0030517B" w:rsidRPr="00CA099F">
          <w:rPr>
            <w:rFonts w:eastAsia="Times New Roman" w:cs="Times New Roman"/>
            <w:color w:val="000000"/>
            <w:sz w:val="28"/>
            <w:szCs w:val="28"/>
            <w:lang w:val="en-GB" w:eastAsia="ru-RU"/>
          </w:rPr>
          <w:t>L. Carone</w:t>
        </w:r>
      </w:hyperlink>
      <w:r w:rsidR="0030517B" w:rsidRPr="00CA099F">
        <w:rPr>
          <w:rFonts w:eastAsia="Times New Roman" w:cs="Times New Roman"/>
          <w:color w:val="000000"/>
          <w:sz w:val="28"/>
          <w:szCs w:val="28"/>
          <w:lang w:val="en-GB" w:eastAsia="ru-RU"/>
        </w:rPr>
        <w:t xml:space="preserve"> // </w:t>
      </w:r>
      <w:hyperlink r:id="rId108">
        <w:r w:rsidR="0030517B" w:rsidRPr="00CA099F">
          <w:rPr>
            <w:rFonts w:eastAsia="Times New Roman" w:cs="Times New Roman"/>
            <w:color w:val="000000"/>
            <w:sz w:val="28"/>
            <w:szCs w:val="28"/>
            <w:lang w:val="en-GB" w:eastAsia="ru-RU"/>
          </w:rPr>
          <w:t>J Ultrasound</w:t>
        </w:r>
      </w:hyperlink>
      <w:r w:rsidR="0030517B" w:rsidRPr="00CA099F">
        <w:rPr>
          <w:rFonts w:eastAsia="Times New Roman" w:cs="Times New Roman"/>
          <w:color w:val="000000"/>
          <w:sz w:val="28"/>
          <w:szCs w:val="28"/>
          <w:lang w:val="en-GB" w:eastAsia="ru-RU"/>
        </w:rPr>
        <w:t>. – 2013. – Vol. 16(1). – P. 17–20.</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109">
        <w:r w:rsidR="0030517B" w:rsidRPr="00CA099F">
          <w:rPr>
            <w:rFonts w:eastAsia="Times New Roman" w:cs="Times New Roman"/>
            <w:color w:val="000000"/>
            <w:sz w:val="28"/>
            <w:szCs w:val="28"/>
            <w:lang w:val="en-GB" w:eastAsia="ru-RU"/>
          </w:rPr>
          <w:t>Nahata</w:t>
        </w:r>
      </w:hyperlink>
      <w:r w:rsidR="0030517B" w:rsidRPr="00CA099F">
        <w:rPr>
          <w:rFonts w:eastAsia="Times New Roman" w:cs="Times New Roman"/>
          <w:color w:val="000000"/>
          <w:sz w:val="28"/>
          <w:szCs w:val="28"/>
          <w:lang w:val="en-GB" w:eastAsia="ru-RU"/>
        </w:rPr>
        <w:t xml:space="preserve"> V. Branchial Cleft Cyst / </w:t>
      </w:r>
      <w:hyperlink r:id="rId110">
        <w:r w:rsidR="0030517B" w:rsidRPr="00CA099F">
          <w:rPr>
            <w:rFonts w:eastAsia="Times New Roman" w:cs="Times New Roman"/>
            <w:color w:val="000000"/>
            <w:sz w:val="28"/>
            <w:szCs w:val="28"/>
            <w:lang w:val="en-GB" w:eastAsia="ru-RU"/>
          </w:rPr>
          <w:t>V. Nahata</w:t>
        </w:r>
      </w:hyperlink>
      <w:r w:rsidR="0030517B" w:rsidRPr="00CA099F">
        <w:rPr>
          <w:rFonts w:eastAsia="Times New Roman" w:cs="Times New Roman"/>
          <w:color w:val="000000"/>
          <w:sz w:val="28"/>
          <w:szCs w:val="28"/>
          <w:lang w:val="en-GB" w:eastAsia="ru-RU"/>
        </w:rPr>
        <w:t xml:space="preserve"> // </w:t>
      </w:r>
      <w:hyperlink r:id="rId111">
        <w:r w:rsidR="0030517B" w:rsidRPr="00CA099F">
          <w:rPr>
            <w:rFonts w:eastAsia="Times New Roman" w:cs="Times New Roman"/>
            <w:color w:val="000000"/>
            <w:sz w:val="28"/>
            <w:szCs w:val="28"/>
            <w:lang w:val="en-GB" w:eastAsia="ru-RU"/>
          </w:rPr>
          <w:t>Indian J Dermatol</w:t>
        </w:r>
      </w:hyperlink>
      <w:r w:rsidR="0030517B" w:rsidRPr="00CA099F">
        <w:rPr>
          <w:rFonts w:eastAsia="Times New Roman" w:cs="Times New Roman"/>
          <w:color w:val="000000"/>
          <w:sz w:val="28"/>
          <w:szCs w:val="28"/>
          <w:lang w:val="en-GB" w:eastAsia="ru-RU"/>
        </w:rPr>
        <w:t>. – 2016. – Vol. 61(6). – P. 701.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The presence of apoptotic neutrophils in contents of neck lateral cysts / W. Dobros, K. Burda, B. Pacura [et al.] // Przeglad Lek – 2010. – Vol. 67. – P. 357–359.</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Apoptotic cell clearance in chronic inflammation of lateral neck cysts / W. Dobros, K. Burda, </w:t>
      </w:r>
      <w:hyperlink r:id="rId112">
        <w:r w:rsidRPr="00CA099F">
          <w:rPr>
            <w:rFonts w:eastAsia="Times New Roman" w:cs="Times New Roman"/>
            <w:color w:val="000000"/>
            <w:sz w:val="28"/>
            <w:szCs w:val="28"/>
            <w:lang w:val="en-GB" w:eastAsia="ru-RU"/>
          </w:rPr>
          <w:t>K. Guzik</w:t>
        </w:r>
      </w:hyperlink>
      <w:r w:rsidRPr="00CA099F">
        <w:rPr>
          <w:rFonts w:eastAsia="Times New Roman" w:cs="Times New Roman"/>
          <w:color w:val="000000"/>
          <w:sz w:val="28"/>
          <w:szCs w:val="28"/>
          <w:lang w:val="en-GB" w:eastAsia="ru-RU"/>
        </w:rPr>
        <w:t xml:space="preserve"> [et al.] // </w:t>
      </w:r>
      <w:hyperlink r:id="rId113">
        <w:r w:rsidRPr="00CA099F">
          <w:rPr>
            <w:rFonts w:eastAsia="Times New Roman" w:cs="Times New Roman"/>
            <w:color w:val="000000"/>
            <w:sz w:val="28"/>
            <w:szCs w:val="28"/>
            <w:lang w:val="en-GB" w:eastAsia="ru-RU"/>
          </w:rPr>
          <w:t>Eur Arch Otorhinolaryngol</w:t>
        </w:r>
      </w:hyperlink>
      <w:r w:rsidRPr="00CA099F">
        <w:rPr>
          <w:rFonts w:eastAsia="Times New Roman" w:cs="Times New Roman"/>
          <w:color w:val="000000"/>
          <w:sz w:val="28"/>
          <w:szCs w:val="28"/>
          <w:lang w:val="en-GB" w:eastAsia="ru-RU"/>
        </w:rPr>
        <w:t>. – 2012. – Vol. 269(3). – P. 965–970.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Bradley P.T. Branchial cleft cyst carcinoma: fact or fiction? / P.T. Bradley, P.J. Bradley // Curr Opin Otolaryngol Head Neck Surg. – 2013. – Vol. 21(2). – P. 118–123.</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Primary papillary carcinoma originated from a branchial cleft cyst / </w:t>
      </w:r>
      <w:hyperlink r:id="rId114">
        <w:r w:rsidRPr="00CA099F">
          <w:rPr>
            <w:rFonts w:eastAsia="Times New Roman" w:cs="Times New Roman"/>
            <w:color w:val="000000"/>
            <w:sz w:val="28"/>
            <w:szCs w:val="28"/>
            <w:lang w:val="en-GB" w:eastAsia="ru-RU"/>
          </w:rPr>
          <w:t>J.S. Cho</w:t>
        </w:r>
      </w:hyperlink>
      <w:r w:rsidRPr="00CA099F">
        <w:rPr>
          <w:rFonts w:eastAsia="Times New Roman" w:cs="Times New Roman"/>
          <w:color w:val="000000"/>
          <w:sz w:val="28"/>
          <w:szCs w:val="28"/>
          <w:lang w:val="en-GB" w:eastAsia="ru-RU"/>
        </w:rPr>
        <w:t xml:space="preserve">, </w:t>
      </w:r>
      <w:hyperlink r:id="rId115">
        <w:r w:rsidRPr="00CA099F">
          <w:rPr>
            <w:rFonts w:eastAsia="Times New Roman" w:cs="Times New Roman"/>
            <w:color w:val="000000"/>
            <w:sz w:val="28"/>
            <w:szCs w:val="28"/>
            <w:lang w:val="en-GB" w:eastAsia="ru-RU"/>
          </w:rPr>
          <w:t>S.H. Shin</w:t>
        </w:r>
      </w:hyperlink>
      <w:r w:rsidRPr="00CA099F">
        <w:rPr>
          <w:rFonts w:eastAsia="Times New Roman" w:cs="Times New Roman"/>
          <w:color w:val="000000"/>
          <w:sz w:val="28"/>
          <w:szCs w:val="28"/>
          <w:lang w:val="en-GB" w:eastAsia="ru-RU"/>
        </w:rPr>
        <w:t xml:space="preserve">, </w:t>
      </w:r>
      <w:hyperlink r:id="rId116">
        <w:r w:rsidRPr="00CA099F">
          <w:rPr>
            <w:rFonts w:eastAsia="Times New Roman" w:cs="Times New Roman"/>
            <w:color w:val="000000"/>
            <w:sz w:val="28"/>
            <w:szCs w:val="28"/>
            <w:lang w:val="en-GB" w:eastAsia="ru-RU"/>
          </w:rPr>
          <w:t>H. Kim</w:t>
        </w:r>
      </w:hyperlink>
      <w:r w:rsidRPr="00CA099F">
        <w:rPr>
          <w:rFonts w:eastAsia="Times New Roman" w:cs="Times New Roman"/>
          <w:color w:val="000000"/>
          <w:sz w:val="28"/>
          <w:szCs w:val="28"/>
          <w:lang w:val="en-GB" w:eastAsia="ru-RU"/>
        </w:rPr>
        <w:t xml:space="preserve"> [et al.] // </w:t>
      </w:r>
      <w:hyperlink r:id="rId117">
        <w:r w:rsidRPr="00CA099F">
          <w:rPr>
            <w:rFonts w:eastAsia="Times New Roman" w:cs="Times New Roman"/>
            <w:color w:val="000000"/>
            <w:sz w:val="28"/>
            <w:szCs w:val="28"/>
            <w:lang w:val="en-GB" w:eastAsia="ru-RU"/>
          </w:rPr>
          <w:t>J Korean Surg Soc</w:t>
        </w:r>
      </w:hyperlink>
      <w:r w:rsidRPr="00CA099F">
        <w:rPr>
          <w:rFonts w:eastAsia="Times New Roman" w:cs="Times New Roman"/>
          <w:color w:val="000000"/>
          <w:sz w:val="28"/>
          <w:szCs w:val="28"/>
          <w:lang w:val="en-GB" w:eastAsia="ru-RU"/>
        </w:rPr>
        <w:t>. – 2011. – Vol. 81. – P. 12–16.</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 xml:space="preserve">Papillary thyroid carcinoma presenting as a lateral neck cyst / </w:t>
      </w:r>
      <w:hyperlink r:id="rId118">
        <w:r w:rsidRPr="00CA099F">
          <w:rPr>
            <w:rFonts w:eastAsia="Times New Roman" w:cs="Times New Roman"/>
            <w:color w:val="000000"/>
            <w:sz w:val="28"/>
            <w:szCs w:val="28"/>
            <w:lang w:val="en-GB" w:eastAsia="ru-RU"/>
          </w:rPr>
          <w:t>Y. Al-Ashaa</w:t>
        </w:r>
      </w:hyperlink>
      <w:r w:rsidRPr="00CA099F">
        <w:rPr>
          <w:rFonts w:eastAsia="Times New Roman" w:cs="Times New Roman"/>
          <w:color w:val="000000"/>
          <w:sz w:val="28"/>
          <w:szCs w:val="28"/>
          <w:lang w:val="en-GB" w:eastAsia="ru-RU"/>
        </w:rPr>
        <w:t xml:space="preserve">, </w:t>
      </w:r>
      <w:hyperlink r:id="rId119">
        <w:r w:rsidRPr="00CA099F">
          <w:rPr>
            <w:rFonts w:eastAsia="Times New Roman" w:cs="Times New Roman"/>
            <w:color w:val="000000"/>
            <w:sz w:val="28"/>
            <w:szCs w:val="28"/>
            <w:lang w:val="en-GB" w:eastAsia="ru-RU"/>
          </w:rPr>
          <w:t>A.F. Hefny</w:t>
        </w:r>
      </w:hyperlink>
      <w:r w:rsidRPr="00CA099F">
        <w:rPr>
          <w:rFonts w:eastAsia="Times New Roman" w:cs="Times New Roman"/>
          <w:color w:val="000000"/>
          <w:sz w:val="28"/>
          <w:szCs w:val="28"/>
          <w:lang w:val="en-GB" w:eastAsia="ru-RU"/>
        </w:rPr>
        <w:t xml:space="preserve">, </w:t>
      </w:r>
      <w:hyperlink r:id="rId120">
        <w:r w:rsidRPr="00CA099F">
          <w:rPr>
            <w:rFonts w:eastAsia="Times New Roman" w:cs="Times New Roman"/>
            <w:color w:val="000000"/>
            <w:sz w:val="28"/>
            <w:szCs w:val="28"/>
            <w:lang w:val="en-GB" w:eastAsia="ru-RU"/>
          </w:rPr>
          <w:t>S. Joshi</w:t>
        </w:r>
      </w:hyperlink>
      <w:r w:rsidRPr="00CA099F">
        <w:rPr>
          <w:rFonts w:eastAsia="Times New Roman" w:cs="Times New Roman"/>
          <w:color w:val="000000"/>
          <w:sz w:val="28"/>
          <w:szCs w:val="28"/>
          <w:lang w:val="en-GB" w:eastAsia="ru-RU"/>
        </w:rPr>
        <w:t xml:space="preserve">, F.M. Abu-Zidan // </w:t>
      </w:r>
      <w:hyperlink r:id="rId121">
        <w:r w:rsidRPr="00CA099F">
          <w:rPr>
            <w:rFonts w:eastAsia="Times New Roman" w:cs="Times New Roman"/>
            <w:color w:val="000000"/>
            <w:sz w:val="28"/>
            <w:szCs w:val="28"/>
            <w:lang w:val="en-GB" w:eastAsia="ru-RU"/>
          </w:rPr>
          <w:t>Afr Health Sci</w:t>
        </w:r>
      </w:hyperlink>
      <w:r w:rsidRPr="00CA099F">
        <w:rPr>
          <w:rFonts w:eastAsia="Times New Roman" w:cs="Times New Roman"/>
          <w:color w:val="000000"/>
          <w:sz w:val="28"/>
          <w:szCs w:val="28"/>
          <w:lang w:val="en-GB" w:eastAsia="ru-RU"/>
        </w:rPr>
        <w:t>. – 2011. – Vol. 11(2). – P. 296–300.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The true malignancy rate in 135 patients with preoperative diagnosis of a lateral neck cyst / S. </w:t>
      </w:r>
      <w:hyperlink r:id="rId122">
        <w:r w:rsidRPr="00CA099F">
          <w:rPr>
            <w:rFonts w:eastAsia="Times New Roman" w:cs="Times New Roman"/>
            <w:color w:val="000000"/>
            <w:sz w:val="28"/>
            <w:szCs w:val="28"/>
            <w:lang w:val="en-GB" w:eastAsia="ru-RU"/>
          </w:rPr>
          <w:t>Grønlund</w:t>
        </w:r>
      </w:hyperlink>
      <w:r w:rsidRPr="00CA099F">
        <w:rPr>
          <w:rFonts w:eastAsia="Times New Roman" w:cs="Times New Roman"/>
          <w:color w:val="000000"/>
          <w:sz w:val="28"/>
          <w:szCs w:val="28"/>
          <w:lang w:val="en-GB" w:eastAsia="ru-RU"/>
        </w:rPr>
        <w:t xml:space="preserve">, K. </w:t>
      </w:r>
      <w:hyperlink r:id="rId123">
        <w:r w:rsidRPr="00CA099F">
          <w:rPr>
            <w:rFonts w:eastAsia="Times New Roman" w:cs="Times New Roman"/>
            <w:color w:val="000000"/>
            <w:sz w:val="28"/>
            <w:szCs w:val="28"/>
            <w:lang w:val="en-GB" w:eastAsia="ru-RU"/>
          </w:rPr>
          <w:t>Mey</w:t>
        </w:r>
      </w:hyperlink>
      <w:r w:rsidRPr="00CA099F">
        <w:rPr>
          <w:rFonts w:eastAsia="Times New Roman" w:cs="Times New Roman"/>
          <w:color w:val="000000"/>
          <w:sz w:val="28"/>
          <w:szCs w:val="28"/>
          <w:lang w:val="en-GB" w:eastAsia="ru-RU"/>
        </w:rPr>
        <w:t xml:space="preserve">, E. </w:t>
      </w:r>
      <w:hyperlink r:id="rId124">
        <w:r w:rsidRPr="00CA099F">
          <w:rPr>
            <w:rFonts w:eastAsia="Times New Roman" w:cs="Times New Roman"/>
            <w:color w:val="000000"/>
            <w:sz w:val="28"/>
            <w:szCs w:val="28"/>
            <w:lang w:val="en-GB" w:eastAsia="ru-RU"/>
          </w:rPr>
          <w:t>Andersen</w:t>
        </w:r>
      </w:hyperlink>
      <w:r w:rsidRPr="00CA099F">
        <w:rPr>
          <w:rFonts w:eastAsia="Times New Roman" w:cs="Times New Roman"/>
          <w:color w:val="000000"/>
          <w:sz w:val="28"/>
          <w:szCs w:val="28"/>
          <w:lang w:val="en-GB" w:eastAsia="ru-RU"/>
        </w:rPr>
        <w:t xml:space="preserve">, E.R. </w:t>
      </w:r>
      <w:hyperlink r:id="rId125">
        <w:r w:rsidRPr="00CA099F">
          <w:rPr>
            <w:rFonts w:eastAsia="Times New Roman" w:cs="Times New Roman"/>
            <w:color w:val="000000"/>
            <w:sz w:val="28"/>
            <w:szCs w:val="28"/>
            <w:lang w:val="en-GB" w:eastAsia="ru-RU"/>
          </w:rPr>
          <w:t xml:space="preserve">Rasmussen </w:t>
        </w:r>
      </w:hyperlink>
      <w:r w:rsidRPr="00CA099F">
        <w:rPr>
          <w:rFonts w:eastAsia="Times New Roman" w:cs="Times New Roman"/>
          <w:color w:val="000000"/>
          <w:sz w:val="28"/>
          <w:szCs w:val="28"/>
          <w:lang w:val="en-GB" w:eastAsia="ru-RU"/>
        </w:rPr>
        <w:t xml:space="preserve">// </w:t>
      </w:r>
      <w:hyperlink r:id="rId126">
        <w:r w:rsidRPr="00CA099F">
          <w:rPr>
            <w:rFonts w:eastAsia="Times New Roman" w:cs="Times New Roman"/>
            <w:color w:val="000000"/>
            <w:sz w:val="28"/>
            <w:szCs w:val="28"/>
            <w:lang w:val="en-GB" w:eastAsia="ru-RU"/>
          </w:rPr>
          <w:t>Laryngoscope Investig Otolaryngol.</w:t>
        </w:r>
      </w:hyperlink>
      <w:r w:rsidRPr="00CA099F">
        <w:rPr>
          <w:rFonts w:eastAsia="Times New Roman" w:cs="Times New Roman"/>
          <w:color w:val="000000"/>
          <w:sz w:val="28"/>
          <w:szCs w:val="28"/>
          <w:lang w:val="en-GB" w:eastAsia="ru-RU"/>
        </w:rPr>
        <w:t xml:space="preserve"> – 2016. – Vol. 1(4). – P. 78-82. </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jc w:val="both"/>
        <w:outlineLvl w:val="0"/>
        <w:rPr>
          <w:rFonts w:eastAsia="Times New Roman" w:cs="Times New Roman"/>
          <w:color w:val="000000"/>
          <w:sz w:val="28"/>
          <w:szCs w:val="28"/>
          <w:lang w:val="en-GB" w:eastAsia="ru-RU"/>
        </w:rPr>
      </w:pPr>
      <w:hyperlink r:id="rId127">
        <w:r w:rsidR="0030517B" w:rsidRPr="00CA099F">
          <w:rPr>
            <w:rFonts w:eastAsia="Times New Roman" w:cs="Times New Roman"/>
            <w:color w:val="000000"/>
            <w:sz w:val="28"/>
            <w:szCs w:val="28"/>
            <w:lang w:val="en-GB" w:eastAsia="ru-RU"/>
          </w:rPr>
          <w:t>Goff C.J</w:t>
        </w:r>
      </w:hyperlink>
      <w:r w:rsidR="0030517B" w:rsidRPr="00CA099F">
        <w:rPr>
          <w:rFonts w:eastAsia="Times New Roman" w:cs="Times New Roman"/>
          <w:color w:val="000000"/>
          <w:sz w:val="28"/>
          <w:szCs w:val="28"/>
          <w:lang w:val="en-GB" w:eastAsia="ru-RU"/>
        </w:rPr>
        <w:t xml:space="preserve">. Current management of congenital branchial cleft cysts, sinuses, and fistulae / C.J. </w:t>
      </w:r>
      <w:hyperlink r:id="rId128">
        <w:r w:rsidR="0030517B" w:rsidRPr="00CA099F">
          <w:rPr>
            <w:rFonts w:eastAsia="Times New Roman" w:cs="Times New Roman"/>
            <w:color w:val="000000"/>
            <w:sz w:val="28"/>
            <w:szCs w:val="28"/>
            <w:lang w:val="en-GB" w:eastAsia="ru-RU"/>
          </w:rPr>
          <w:t>Goff</w:t>
        </w:r>
      </w:hyperlink>
      <w:r w:rsidR="0030517B" w:rsidRPr="00CA099F">
        <w:rPr>
          <w:rFonts w:eastAsia="Times New Roman" w:cs="Times New Roman"/>
          <w:color w:val="000000"/>
          <w:sz w:val="28"/>
          <w:szCs w:val="28"/>
          <w:lang w:val="en-GB" w:eastAsia="ru-RU"/>
        </w:rPr>
        <w:t xml:space="preserve">, C. </w:t>
      </w:r>
      <w:hyperlink r:id="rId129">
        <w:r w:rsidR="0030517B" w:rsidRPr="00CA099F">
          <w:rPr>
            <w:rFonts w:eastAsia="Times New Roman" w:cs="Times New Roman"/>
            <w:color w:val="000000"/>
            <w:sz w:val="28"/>
            <w:szCs w:val="28"/>
            <w:lang w:val="en-GB" w:eastAsia="ru-RU"/>
          </w:rPr>
          <w:t>Allred</w:t>
        </w:r>
      </w:hyperlink>
      <w:r w:rsidR="0030517B" w:rsidRPr="00CA099F">
        <w:rPr>
          <w:rFonts w:eastAsia="Times New Roman" w:cs="Times New Roman"/>
          <w:color w:val="000000"/>
          <w:sz w:val="28"/>
          <w:szCs w:val="28"/>
          <w:lang w:val="en-GB" w:eastAsia="ru-RU"/>
        </w:rPr>
        <w:t>, R.S. </w:t>
      </w:r>
      <w:hyperlink r:id="rId130">
        <w:r w:rsidR="0030517B" w:rsidRPr="00CA099F">
          <w:rPr>
            <w:rFonts w:eastAsia="Times New Roman" w:cs="Times New Roman"/>
            <w:color w:val="000000"/>
            <w:sz w:val="28"/>
            <w:szCs w:val="28"/>
            <w:lang w:val="en-GB" w:eastAsia="ru-RU"/>
          </w:rPr>
          <w:t>Glade</w:t>
        </w:r>
      </w:hyperlink>
      <w:r w:rsidR="0030517B" w:rsidRPr="00CA099F">
        <w:rPr>
          <w:rFonts w:eastAsia="Times New Roman" w:cs="Times New Roman"/>
          <w:color w:val="000000"/>
          <w:sz w:val="28"/>
          <w:szCs w:val="28"/>
          <w:lang w:val="en-GB" w:eastAsia="ru-RU"/>
        </w:rPr>
        <w:t xml:space="preserve"> // </w:t>
      </w:r>
      <w:hyperlink r:id="rId131">
        <w:r w:rsidR="0030517B" w:rsidRPr="00CA099F">
          <w:rPr>
            <w:rFonts w:eastAsia="Times New Roman" w:cs="Times New Roman"/>
            <w:color w:val="000000"/>
            <w:sz w:val="28"/>
            <w:szCs w:val="28"/>
            <w:lang w:val="en-GB" w:eastAsia="ru-RU"/>
          </w:rPr>
          <w:t xml:space="preserve">Curr Opin Otolaryngol Head </w:t>
        </w:r>
      </w:hyperlink>
      <w:hyperlink r:id="rId132">
        <w:r w:rsidR="0030517B" w:rsidRPr="00CA099F">
          <w:rPr>
            <w:rFonts w:eastAsia="Times New Roman" w:cs="Times New Roman"/>
            <w:color w:val="000000"/>
            <w:sz w:val="28"/>
            <w:szCs w:val="28"/>
            <w:lang w:val="en-GB" w:eastAsia="ru-RU"/>
          </w:rPr>
          <w:t>Neck</w:t>
        </w:r>
      </w:hyperlink>
      <w:hyperlink r:id="rId133">
        <w:r w:rsidR="0030517B" w:rsidRPr="00CA099F">
          <w:rPr>
            <w:rFonts w:eastAsia="Times New Roman" w:cs="Times New Roman"/>
            <w:color w:val="000000"/>
            <w:sz w:val="28"/>
            <w:szCs w:val="28"/>
            <w:lang w:val="en-GB" w:eastAsia="ru-RU"/>
          </w:rPr>
          <w:t xml:space="preserve"> Surg.</w:t>
        </w:r>
      </w:hyperlink>
      <w:r w:rsidR="0030517B" w:rsidRPr="00CA099F">
        <w:rPr>
          <w:rFonts w:eastAsia="Times New Roman" w:cs="Times New Roman"/>
          <w:color w:val="000000"/>
          <w:sz w:val="28"/>
          <w:szCs w:val="28"/>
          <w:lang w:val="en-GB" w:eastAsia="ru-RU"/>
        </w:rPr>
        <w:t xml:space="preserve"> – 2012. – Vol. 20(6). – P. 533-539.</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Endoscope-assisted second branchial cleft cyst resection via an incision along skin line on lateral neck / J. </w:t>
      </w:r>
      <w:hyperlink r:id="rId134">
        <w:r w:rsidRPr="00CA099F">
          <w:rPr>
            <w:rFonts w:eastAsia="Times New Roman" w:cs="Times New Roman"/>
            <w:color w:val="000000"/>
            <w:sz w:val="28"/>
            <w:szCs w:val="28"/>
            <w:lang w:val="en-GB" w:eastAsia="ru-RU"/>
          </w:rPr>
          <w:t>Chen</w:t>
        </w:r>
      </w:hyperlink>
      <w:r w:rsidRPr="00CA099F">
        <w:rPr>
          <w:rFonts w:eastAsia="Times New Roman" w:cs="Times New Roman"/>
          <w:color w:val="000000"/>
          <w:sz w:val="28"/>
          <w:szCs w:val="28"/>
          <w:lang w:val="en-GB" w:eastAsia="ru-RU"/>
        </w:rPr>
        <w:t xml:space="preserve">, W. </w:t>
      </w:r>
      <w:hyperlink r:id="rId135">
        <w:r w:rsidRPr="00CA099F">
          <w:rPr>
            <w:rFonts w:eastAsia="Times New Roman" w:cs="Times New Roman"/>
            <w:color w:val="000000"/>
            <w:sz w:val="28"/>
            <w:szCs w:val="28"/>
            <w:lang w:val="en-GB" w:eastAsia="ru-RU"/>
          </w:rPr>
          <w:t>Chen</w:t>
        </w:r>
      </w:hyperlink>
      <w:r w:rsidRPr="00CA099F">
        <w:rPr>
          <w:rFonts w:eastAsia="Times New Roman" w:cs="Times New Roman"/>
          <w:color w:val="000000"/>
          <w:sz w:val="28"/>
          <w:szCs w:val="28"/>
          <w:lang w:val="en-GB" w:eastAsia="ru-RU"/>
        </w:rPr>
        <w:t xml:space="preserve">, J. </w:t>
      </w:r>
      <w:hyperlink r:id="rId136">
        <w:r w:rsidRPr="00CA099F">
          <w:rPr>
            <w:rFonts w:eastAsia="Times New Roman" w:cs="Times New Roman"/>
            <w:color w:val="000000"/>
            <w:sz w:val="28"/>
            <w:szCs w:val="28"/>
            <w:lang w:val="en-GB" w:eastAsia="ru-RU"/>
          </w:rPr>
          <w:t xml:space="preserve">Zhang </w:t>
        </w:r>
      </w:hyperlink>
      <w:r w:rsidRPr="00CA099F">
        <w:rPr>
          <w:rFonts w:eastAsia="Times New Roman" w:cs="Times New Roman"/>
          <w:color w:val="000000"/>
          <w:sz w:val="28"/>
          <w:szCs w:val="28"/>
          <w:lang w:val="en-GB" w:eastAsia="ru-RU"/>
        </w:rPr>
        <w:t xml:space="preserve">[et al.] // </w:t>
      </w:r>
      <w:hyperlink r:id="rId137">
        <w:r w:rsidRPr="00CA099F">
          <w:rPr>
            <w:rFonts w:eastAsia="Times New Roman" w:cs="Times New Roman"/>
            <w:color w:val="000000"/>
            <w:sz w:val="28"/>
            <w:szCs w:val="28"/>
            <w:lang w:val="en-GB" w:eastAsia="ru-RU"/>
          </w:rPr>
          <w:t>Eur Arch Otorhinolaryngol.</w:t>
        </w:r>
      </w:hyperlink>
      <w:r w:rsidRPr="00CA099F">
        <w:rPr>
          <w:rFonts w:eastAsia="Times New Roman" w:cs="Times New Roman"/>
          <w:color w:val="000000"/>
          <w:sz w:val="28"/>
          <w:szCs w:val="28"/>
          <w:lang w:val="en-GB" w:eastAsia="ru-RU"/>
        </w:rPr>
        <w:t xml:space="preserve"> – 2014. – Vol. 271(10). – P. 2789-2793.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Intraoperative use of fibrin glue dyed with methylene blue in surgery for branchial cleft anomalies / M. </w:t>
      </w:r>
      <w:hyperlink r:id="rId138">
        <w:r w:rsidRPr="00CA099F">
          <w:rPr>
            <w:rFonts w:eastAsia="Times New Roman" w:cs="Times New Roman"/>
            <w:color w:val="000000"/>
            <w:sz w:val="28"/>
            <w:szCs w:val="28"/>
            <w:lang w:val="en-GB" w:eastAsia="ru-RU"/>
          </w:rPr>
          <w:t>Piccioni</w:t>
        </w:r>
      </w:hyperlink>
      <w:r w:rsidRPr="00CA099F">
        <w:rPr>
          <w:rFonts w:eastAsia="Times New Roman" w:cs="Times New Roman"/>
          <w:color w:val="000000"/>
          <w:sz w:val="28"/>
          <w:szCs w:val="28"/>
          <w:lang w:val="en-GB" w:eastAsia="ru-RU"/>
        </w:rPr>
        <w:t xml:space="preserve">, M. </w:t>
      </w:r>
      <w:hyperlink r:id="rId139">
        <w:r w:rsidRPr="00CA099F">
          <w:rPr>
            <w:rFonts w:eastAsia="Times New Roman" w:cs="Times New Roman"/>
            <w:color w:val="000000"/>
            <w:sz w:val="28"/>
            <w:szCs w:val="28"/>
            <w:lang w:val="en-GB" w:eastAsia="ru-RU"/>
          </w:rPr>
          <w:t>Bottazzoli</w:t>
        </w:r>
      </w:hyperlink>
      <w:r w:rsidRPr="00CA099F">
        <w:rPr>
          <w:rFonts w:eastAsia="Times New Roman" w:cs="Times New Roman"/>
          <w:color w:val="000000"/>
          <w:sz w:val="28"/>
          <w:szCs w:val="28"/>
          <w:lang w:val="en-GB" w:eastAsia="ru-RU"/>
        </w:rPr>
        <w:t xml:space="preserve">, N. </w:t>
      </w:r>
      <w:hyperlink r:id="rId140">
        <w:r w:rsidRPr="00CA099F">
          <w:rPr>
            <w:rFonts w:eastAsia="Times New Roman" w:cs="Times New Roman"/>
            <w:color w:val="000000"/>
            <w:sz w:val="28"/>
            <w:szCs w:val="28"/>
            <w:lang w:val="en-GB" w:eastAsia="ru-RU"/>
          </w:rPr>
          <w:t xml:space="preserve">Nassif </w:t>
        </w:r>
      </w:hyperlink>
      <w:r w:rsidRPr="00CA099F">
        <w:rPr>
          <w:rFonts w:eastAsia="Times New Roman" w:cs="Times New Roman"/>
          <w:color w:val="000000"/>
          <w:sz w:val="28"/>
          <w:szCs w:val="28"/>
          <w:lang w:val="en-GB" w:eastAsia="ru-RU"/>
        </w:rPr>
        <w:t>[et al.] // Laryngoscope – 2016. – Vol. 126(9). – P. 2147-2150.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Guldfred L. Branchial cleft anomalies: accuracy of pre-operative diagnosis, clinical presentation and management / L. Guldfred, B.B. Philipsen, C. Siim // J Laryngol Otol – 2012. – Vol. 126. – P. 598–604.</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jc w:val="both"/>
        <w:textAlignment w:val="top"/>
        <w:rPr>
          <w:rFonts w:eastAsia="Times New Roman" w:cs="Times New Roman"/>
          <w:color w:val="000000"/>
          <w:sz w:val="28"/>
          <w:szCs w:val="28"/>
          <w:lang w:val="en-US" w:eastAsia="ru-RU"/>
        </w:rPr>
      </w:pPr>
      <w:r w:rsidRPr="00CA099F">
        <w:rPr>
          <w:rFonts w:eastAsia="Times New Roman" w:cs="Times New Roman"/>
          <w:color w:val="000000"/>
          <w:kern w:val="36"/>
          <w:sz w:val="28"/>
          <w:szCs w:val="28"/>
          <w:lang w:val="en-US" w:eastAsia="ru-RU"/>
        </w:rPr>
        <w:t>Intra-thyroid thyroglossal duct cyst: a case report and review of literature</w:t>
      </w:r>
      <w:r w:rsidRPr="00CA099F">
        <w:rPr>
          <w:rFonts w:eastAsia="Times New Roman" w:cs="Times New Roman"/>
          <w:color w:val="000000"/>
          <w:kern w:val="36"/>
          <w:sz w:val="28"/>
          <w:szCs w:val="28"/>
          <w:lang w:eastAsia="ru-RU"/>
        </w:rPr>
        <w:t xml:space="preserve"> / </w:t>
      </w:r>
      <w:hyperlink r:id="rId141" w:history="1">
        <w:r w:rsidRPr="00CA099F">
          <w:rPr>
            <w:rFonts w:eastAsia="Times New Roman" w:cs="Times New Roman"/>
            <w:color w:val="000000"/>
            <w:sz w:val="28"/>
            <w:szCs w:val="28"/>
            <w:lang w:val="en-US" w:eastAsia="ru-RU"/>
          </w:rPr>
          <w:t>L</w:t>
        </w:r>
        <w:r w:rsidRPr="00CA099F">
          <w:rPr>
            <w:rFonts w:eastAsia="Times New Roman" w:cs="Times New Roman"/>
            <w:color w:val="000000"/>
            <w:sz w:val="28"/>
            <w:szCs w:val="28"/>
            <w:lang w:eastAsia="ru-RU"/>
          </w:rPr>
          <w:t>.</w:t>
        </w:r>
        <w:r w:rsidRPr="00CA099F">
          <w:rPr>
            <w:rFonts w:eastAsia="Times New Roman" w:cs="Times New Roman"/>
            <w:color w:val="000000"/>
            <w:sz w:val="28"/>
            <w:szCs w:val="28"/>
            <w:lang w:val="en-US" w:eastAsia="ru-RU"/>
          </w:rPr>
          <w:t>D</w:t>
        </w:r>
        <w:r w:rsidRPr="00CA099F">
          <w:rPr>
            <w:rFonts w:eastAsia="Times New Roman" w:cs="Times New Roman"/>
            <w:color w:val="000000"/>
            <w:sz w:val="28"/>
            <w:szCs w:val="28"/>
            <w:lang w:eastAsia="ru-RU"/>
          </w:rPr>
          <w:t>. </w:t>
        </w:r>
        <w:r w:rsidRPr="00CA099F">
          <w:rPr>
            <w:rFonts w:eastAsia="Times New Roman" w:cs="Times New Roman"/>
            <w:color w:val="000000"/>
            <w:sz w:val="28"/>
            <w:szCs w:val="28"/>
            <w:lang w:val="en-US" w:eastAsia="ru-RU"/>
          </w:rPr>
          <w:t>Huang</w:t>
        </w:r>
      </w:hyperlink>
      <w:r w:rsidRPr="00CA099F">
        <w:rPr>
          <w:rFonts w:eastAsia="Times New Roman" w:cs="Times New Roman"/>
          <w:color w:val="000000"/>
          <w:sz w:val="28"/>
          <w:szCs w:val="28"/>
          <w:lang w:val="en-US" w:eastAsia="ru-RU"/>
        </w:rPr>
        <w:t>,</w:t>
      </w:r>
      <w:hyperlink r:id="rId142" w:history="1">
        <w:r w:rsidRPr="00CA099F">
          <w:rPr>
            <w:rFonts w:eastAsia="Times New Roman" w:cs="Times New Roman"/>
            <w:color w:val="000000"/>
            <w:sz w:val="28"/>
            <w:szCs w:val="28"/>
            <w:lang w:val="en-US" w:eastAsia="ru-RU"/>
          </w:rPr>
          <w:t>S</w:t>
        </w:r>
        <w:r w:rsidRPr="00CA099F">
          <w:rPr>
            <w:rFonts w:eastAsia="Times New Roman" w:cs="Times New Roman"/>
            <w:color w:val="000000"/>
            <w:sz w:val="28"/>
            <w:szCs w:val="28"/>
            <w:lang w:eastAsia="ru-RU"/>
          </w:rPr>
          <w:t>.</w:t>
        </w:r>
        <w:r w:rsidRPr="00CA099F">
          <w:rPr>
            <w:rFonts w:eastAsia="Times New Roman" w:cs="Times New Roman"/>
            <w:color w:val="000000"/>
            <w:sz w:val="28"/>
            <w:szCs w:val="28"/>
            <w:lang w:val="en-US" w:eastAsia="ru-RU"/>
          </w:rPr>
          <w:t>Q</w:t>
        </w:r>
        <w:r w:rsidRPr="00CA099F">
          <w:rPr>
            <w:rFonts w:eastAsia="Times New Roman" w:cs="Times New Roman"/>
            <w:color w:val="000000"/>
            <w:sz w:val="28"/>
            <w:szCs w:val="28"/>
            <w:lang w:eastAsia="ru-RU"/>
          </w:rPr>
          <w:t>.</w:t>
        </w:r>
        <w:r w:rsidRPr="00CA099F">
          <w:rPr>
            <w:rFonts w:eastAsia="Times New Roman" w:cs="Times New Roman"/>
            <w:color w:val="000000"/>
            <w:sz w:val="28"/>
            <w:szCs w:val="28"/>
            <w:lang w:val="en-US" w:eastAsia="ru-RU"/>
          </w:rPr>
          <w:t> Gao</w:t>
        </w:r>
      </w:hyperlink>
      <w:r w:rsidRPr="00CA099F">
        <w:rPr>
          <w:rFonts w:eastAsia="Times New Roman" w:cs="Times New Roman"/>
          <w:color w:val="000000"/>
          <w:sz w:val="28"/>
          <w:szCs w:val="28"/>
          <w:lang w:val="en-US" w:eastAsia="ru-RU"/>
        </w:rPr>
        <w:t xml:space="preserve">, </w:t>
      </w:r>
      <w:hyperlink r:id="rId143" w:history="1">
        <w:r w:rsidRPr="00CA099F">
          <w:rPr>
            <w:rFonts w:eastAsia="Times New Roman" w:cs="Times New Roman"/>
            <w:color w:val="000000"/>
            <w:sz w:val="28"/>
            <w:szCs w:val="28"/>
            <w:lang w:val="en-US" w:eastAsia="ru-RU"/>
          </w:rPr>
          <w:t>R.J. Dai</w:t>
        </w:r>
      </w:hyperlink>
      <w:r w:rsidRPr="00CA099F">
        <w:rPr>
          <w:rFonts w:eastAsia="Times New Roman" w:cs="Times New Roman"/>
          <w:color w:val="000000"/>
          <w:sz w:val="28"/>
          <w:szCs w:val="28"/>
          <w:lang w:val="en-US" w:eastAsia="ru-RU"/>
        </w:rPr>
        <w:t xml:space="preserve"> [et al.] // </w:t>
      </w:r>
      <w:hyperlink r:id="rId144" w:history="1">
        <w:r w:rsidRPr="00CA099F">
          <w:rPr>
            <w:rFonts w:eastAsia="Times New Roman" w:cs="Times New Roman"/>
            <w:color w:val="000000"/>
            <w:sz w:val="28"/>
            <w:szCs w:val="28"/>
            <w:lang w:val="en-US" w:eastAsia="ru-RU"/>
          </w:rPr>
          <w:t>Int J Clin Exp Pathol</w:t>
        </w:r>
      </w:hyperlink>
      <w:r w:rsidRPr="00CA099F">
        <w:rPr>
          <w:rFonts w:eastAsia="Times New Roman" w:cs="Times New Roman"/>
          <w:color w:val="000000"/>
          <w:sz w:val="28"/>
          <w:szCs w:val="28"/>
          <w:lang w:val="en-US" w:eastAsia="ru-RU"/>
        </w:rPr>
        <w:t>. – 2015. – Vol. 8(6). – P. 7229–7233.</w:t>
      </w:r>
    </w:p>
    <w:p w:rsidR="0030517B" w:rsidRPr="00CA099F" w:rsidRDefault="00417675" w:rsidP="0030517B">
      <w:pPr>
        <w:numPr>
          <w:ilvl w:val="0"/>
          <w:numId w:val="17"/>
        </w:numPr>
        <w:pBdr>
          <w:top w:val="nil"/>
          <w:left w:val="nil"/>
          <w:bottom w:val="nil"/>
          <w:right w:val="nil"/>
          <w:between w:val="nil"/>
        </w:pBdr>
        <w:shd w:val="clear" w:color="auto" w:fill="FFFFFF"/>
        <w:spacing w:before="120" w:after="120" w:line="360" w:lineRule="auto"/>
        <w:contextualSpacing/>
        <w:outlineLvl w:val="0"/>
        <w:rPr>
          <w:rFonts w:eastAsia="Times New Roman" w:cs="Times New Roman"/>
          <w:color w:val="000000"/>
          <w:sz w:val="28"/>
          <w:szCs w:val="28"/>
          <w:lang w:val="en-US" w:eastAsia="ru-RU"/>
        </w:rPr>
      </w:pPr>
      <w:hyperlink r:id="rId145" w:history="1">
        <w:r w:rsidR="0030517B" w:rsidRPr="00CA099F">
          <w:rPr>
            <w:rFonts w:eastAsia="Times New Roman" w:cs="Times New Roman"/>
            <w:color w:val="000000"/>
            <w:sz w:val="28"/>
            <w:szCs w:val="28"/>
            <w:lang w:val="en-US" w:eastAsia="ru-RU"/>
          </w:rPr>
          <w:t>Povey H.G</w:t>
        </w:r>
      </w:hyperlink>
      <w:r w:rsidR="0030517B" w:rsidRPr="00CA099F">
        <w:rPr>
          <w:rFonts w:eastAsia="Times New Roman" w:cs="Times New Roman"/>
          <w:color w:val="000000"/>
          <w:sz w:val="28"/>
          <w:szCs w:val="28"/>
          <w:lang w:val="en-US" w:eastAsia="ru-RU"/>
        </w:rPr>
        <w:t xml:space="preserve">. </w:t>
      </w:r>
      <w:r w:rsidR="0030517B" w:rsidRPr="00CA099F">
        <w:rPr>
          <w:rFonts w:eastAsia="Times New Roman" w:cs="Times New Roman"/>
          <w:bCs/>
          <w:color w:val="000000"/>
          <w:kern w:val="36"/>
          <w:sz w:val="28"/>
          <w:szCs w:val="28"/>
          <w:lang w:val="en-US" w:eastAsia="ru-RU"/>
        </w:rPr>
        <w:t>Management of suspected thyroglossal duct cysts / H.G. </w:t>
      </w:r>
      <w:hyperlink r:id="rId146" w:history="1">
        <w:r w:rsidR="0030517B" w:rsidRPr="00CA099F">
          <w:rPr>
            <w:rFonts w:eastAsia="Times New Roman" w:cs="Times New Roman"/>
            <w:color w:val="000000"/>
            <w:sz w:val="28"/>
            <w:szCs w:val="28"/>
            <w:lang w:val="en-US" w:eastAsia="ru-RU"/>
          </w:rPr>
          <w:t>Povey</w:t>
        </w:r>
      </w:hyperlink>
      <w:r w:rsidR="0030517B" w:rsidRPr="00CA099F">
        <w:rPr>
          <w:rFonts w:eastAsia="Times New Roman" w:cs="Times New Roman"/>
          <w:color w:val="000000"/>
          <w:sz w:val="28"/>
          <w:szCs w:val="28"/>
          <w:lang w:val="en-US" w:eastAsia="ru-RU"/>
        </w:rPr>
        <w:t>, H. </w:t>
      </w:r>
      <w:hyperlink r:id="rId147" w:history="1">
        <w:r w:rsidR="0030517B" w:rsidRPr="00CA099F">
          <w:rPr>
            <w:rFonts w:eastAsia="Times New Roman" w:cs="Times New Roman"/>
            <w:color w:val="000000"/>
            <w:sz w:val="28"/>
            <w:szCs w:val="28"/>
            <w:lang w:val="en-US" w:eastAsia="ru-RU"/>
          </w:rPr>
          <w:t>Selvachandran</w:t>
        </w:r>
      </w:hyperlink>
      <w:r w:rsidR="0030517B" w:rsidRPr="00CA099F">
        <w:rPr>
          <w:rFonts w:eastAsia="Times New Roman" w:cs="Times New Roman"/>
          <w:color w:val="000000"/>
          <w:sz w:val="28"/>
          <w:szCs w:val="28"/>
          <w:lang w:val="en-US" w:eastAsia="ru-RU"/>
        </w:rPr>
        <w:t>, R.T. Peters, M.O. </w:t>
      </w:r>
      <w:hyperlink r:id="rId148" w:history="1">
        <w:r w:rsidR="0030517B" w:rsidRPr="00CA099F">
          <w:rPr>
            <w:rFonts w:eastAsia="Times New Roman" w:cs="Times New Roman"/>
            <w:color w:val="000000"/>
            <w:sz w:val="28"/>
            <w:szCs w:val="28"/>
            <w:lang w:val="en-US" w:eastAsia="ru-RU"/>
          </w:rPr>
          <w:t xml:space="preserve">Jones </w:t>
        </w:r>
      </w:hyperlink>
      <w:r w:rsidR="0030517B" w:rsidRPr="00CA099F">
        <w:rPr>
          <w:rFonts w:eastAsia="Times New Roman" w:cs="Times New Roman"/>
          <w:color w:val="000000"/>
          <w:sz w:val="28"/>
          <w:szCs w:val="28"/>
          <w:lang w:val="en-US" w:eastAsia="ru-RU"/>
        </w:rPr>
        <w:t>//</w:t>
      </w:r>
      <w:hyperlink r:id="rId149" w:tooltip="Journal of pediatric surgery." w:history="1">
        <w:r w:rsidR="0030517B" w:rsidRPr="00CA099F">
          <w:rPr>
            <w:rFonts w:eastAsia="Times New Roman" w:cs="Times New Roman"/>
            <w:color w:val="000000"/>
            <w:sz w:val="28"/>
            <w:szCs w:val="28"/>
            <w:lang w:val="en-US" w:eastAsia="ru-RU"/>
          </w:rPr>
          <w:t>J Pediatr Surg.</w:t>
        </w:r>
      </w:hyperlink>
      <w:r w:rsidR="0030517B" w:rsidRPr="00CA099F">
        <w:rPr>
          <w:rFonts w:eastAsia="Times New Roman" w:cs="Times New Roman"/>
          <w:color w:val="000000"/>
          <w:sz w:val="28"/>
          <w:szCs w:val="28"/>
          <w:lang w:val="en-US" w:eastAsia="ru-RU"/>
        </w:rPr>
        <w:t xml:space="preserve"> – 2018. – Vol. 53(2). – P. 281-282.</w:t>
      </w:r>
    </w:p>
    <w:p w:rsidR="0030517B" w:rsidRPr="00CA099F" w:rsidRDefault="0030517B"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r w:rsidRPr="00CA099F">
        <w:rPr>
          <w:rFonts w:eastAsia="Times New Roman" w:cs="Times New Roman"/>
          <w:color w:val="000000"/>
          <w:sz w:val="28"/>
          <w:szCs w:val="28"/>
          <w:lang w:val="en-US" w:eastAsia="ru-RU"/>
        </w:rPr>
        <w:t>Noyek A.M. Thyroglossal duct and ectopic thyroid disorders / A.M. Noyek, J. Friedberg – Otolaryngol Clin North Am. – 1981. – Vol. 14. – P. 187–201.</w:t>
      </w:r>
    </w:p>
    <w:p w:rsidR="0030517B" w:rsidRPr="00CA099F" w:rsidRDefault="00417675" w:rsidP="0030517B">
      <w:pPr>
        <w:numPr>
          <w:ilvl w:val="0"/>
          <w:numId w:val="17"/>
        </w:numPr>
        <w:pBdr>
          <w:top w:val="nil"/>
          <w:left w:val="nil"/>
          <w:bottom w:val="nil"/>
          <w:right w:val="nil"/>
          <w:between w:val="nil"/>
        </w:pBdr>
        <w:shd w:val="clear" w:color="auto" w:fill="FFFFFF"/>
        <w:spacing w:after="0" w:line="360" w:lineRule="auto"/>
        <w:contextualSpacing/>
        <w:jc w:val="both"/>
        <w:textAlignment w:val="top"/>
        <w:rPr>
          <w:rFonts w:eastAsia="Times New Roman" w:cs="Times New Roman"/>
          <w:color w:val="000000"/>
          <w:sz w:val="28"/>
          <w:szCs w:val="28"/>
          <w:lang w:val="en-US" w:eastAsia="ru-RU"/>
        </w:rPr>
      </w:pPr>
      <w:hyperlink r:id="rId150" w:history="1">
        <w:r w:rsidR="0030517B" w:rsidRPr="00CA099F">
          <w:rPr>
            <w:rFonts w:eastAsia="Times New Roman" w:cs="Times New Roman"/>
            <w:color w:val="000000"/>
            <w:sz w:val="28"/>
            <w:szCs w:val="28"/>
            <w:lang w:val="en-US" w:eastAsia="ru-RU"/>
          </w:rPr>
          <w:t>Moorthy</w:t>
        </w:r>
      </w:hyperlink>
      <w:r w:rsidR="0030517B" w:rsidRPr="00CA099F">
        <w:rPr>
          <w:rFonts w:eastAsia="Times New Roman" w:cs="Times New Roman"/>
          <w:color w:val="000000"/>
          <w:sz w:val="28"/>
          <w:szCs w:val="28"/>
          <w:lang w:val="en-US" w:eastAsia="ru-RU"/>
        </w:rPr>
        <w:t xml:space="preserve"> S.N. </w:t>
      </w:r>
      <w:r w:rsidR="0030517B" w:rsidRPr="00CA099F">
        <w:rPr>
          <w:rFonts w:eastAsia="Times New Roman" w:cs="Times New Roman"/>
          <w:color w:val="000000"/>
          <w:kern w:val="36"/>
          <w:sz w:val="28"/>
          <w:szCs w:val="28"/>
          <w:lang w:val="en-US" w:eastAsia="ru-RU"/>
        </w:rPr>
        <w:t xml:space="preserve">Thyroglossal Duct Cyst—More Than Just an Embryological Remnant / </w:t>
      </w:r>
      <w:hyperlink r:id="rId151" w:history="1">
        <w:r w:rsidR="0030517B" w:rsidRPr="00CA099F">
          <w:rPr>
            <w:rFonts w:eastAsia="Times New Roman" w:cs="Times New Roman"/>
            <w:color w:val="000000"/>
            <w:sz w:val="28"/>
            <w:szCs w:val="28"/>
            <w:lang w:val="en-US" w:eastAsia="ru-RU"/>
          </w:rPr>
          <w:t>S.N. Moorthy</w:t>
        </w:r>
      </w:hyperlink>
      <w:r w:rsidR="0030517B" w:rsidRPr="00CA099F">
        <w:rPr>
          <w:rFonts w:eastAsia="Times New Roman" w:cs="Times New Roman"/>
          <w:color w:val="000000"/>
          <w:sz w:val="28"/>
          <w:szCs w:val="28"/>
          <w:lang w:val="en-US" w:eastAsia="ru-RU"/>
        </w:rPr>
        <w:t xml:space="preserve">, </w:t>
      </w:r>
      <w:hyperlink r:id="rId152" w:history="1">
        <w:r w:rsidR="0030517B" w:rsidRPr="00CA099F">
          <w:rPr>
            <w:rFonts w:eastAsia="Times New Roman" w:cs="Times New Roman"/>
            <w:color w:val="000000"/>
            <w:sz w:val="28"/>
            <w:szCs w:val="28"/>
            <w:lang w:val="en-US" w:eastAsia="ru-RU"/>
          </w:rPr>
          <w:t>R. Arcot</w:t>
        </w:r>
      </w:hyperlink>
      <w:r w:rsidR="0030517B" w:rsidRPr="00CA099F">
        <w:rPr>
          <w:rFonts w:eastAsia="Times New Roman" w:cs="Times New Roman"/>
          <w:color w:val="000000"/>
          <w:sz w:val="28"/>
          <w:szCs w:val="28"/>
          <w:lang w:val="en-US" w:eastAsia="ru-RU"/>
        </w:rPr>
        <w:t xml:space="preserve"> // </w:t>
      </w:r>
      <w:hyperlink r:id="rId153" w:history="1">
        <w:r w:rsidR="0030517B" w:rsidRPr="00CA099F">
          <w:rPr>
            <w:rFonts w:eastAsia="Times New Roman" w:cs="Times New Roman"/>
            <w:color w:val="000000"/>
            <w:sz w:val="28"/>
            <w:szCs w:val="28"/>
            <w:lang w:val="en-US" w:eastAsia="ru-RU"/>
          </w:rPr>
          <w:t>Indian J Surg</w:t>
        </w:r>
      </w:hyperlink>
      <w:r w:rsidR="0030517B" w:rsidRPr="00CA099F">
        <w:rPr>
          <w:rFonts w:eastAsia="Times New Roman" w:cs="Times New Roman"/>
          <w:color w:val="000000"/>
          <w:sz w:val="28"/>
          <w:szCs w:val="28"/>
          <w:lang w:val="en-US" w:eastAsia="ru-RU"/>
        </w:rPr>
        <w:t>. – 2011. – Vol. 73(1). – P. 28–31.</w:t>
      </w:r>
    </w:p>
    <w:p w:rsidR="0030517B" w:rsidRPr="00CA099F" w:rsidRDefault="0030517B"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r w:rsidRPr="00CA099F">
        <w:rPr>
          <w:rFonts w:eastAsia="Times New Roman" w:cs="Times New Roman"/>
          <w:color w:val="000000"/>
          <w:sz w:val="28"/>
          <w:szCs w:val="28"/>
          <w:lang w:val="en-US" w:eastAsia="ru-RU"/>
        </w:rPr>
        <w:lastRenderedPageBreak/>
        <w:t>Thyroglossal duct cyst in hyoid bone: unusual location / A. Tas, A.R. Karasalihoglu, R. Yagiz [et al.] – J Laryngol Otol. –  2003. – Vol. 117(8). – P. 656–657.</w:t>
      </w:r>
    </w:p>
    <w:p w:rsidR="0030517B" w:rsidRPr="00CA099F" w:rsidRDefault="00417675" w:rsidP="0030517B">
      <w:pPr>
        <w:numPr>
          <w:ilvl w:val="0"/>
          <w:numId w:val="17"/>
        </w:numPr>
        <w:pBdr>
          <w:top w:val="nil"/>
          <w:left w:val="nil"/>
          <w:bottom w:val="nil"/>
          <w:right w:val="nil"/>
          <w:between w:val="nil"/>
        </w:pBdr>
        <w:shd w:val="clear" w:color="auto" w:fill="FFFFFF"/>
        <w:spacing w:before="120" w:after="120" w:line="360" w:lineRule="auto"/>
        <w:contextualSpacing/>
        <w:outlineLvl w:val="0"/>
        <w:rPr>
          <w:rFonts w:eastAsia="Times New Roman" w:cs="Times New Roman"/>
          <w:color w:val="000000"/>
          <w:sz w:val="28"/>
          <w:szCs w:val="28"/>
          <w:lang w:val="en-US" w:eastAsia="ru-RU"/>
        </w:rPr>
      </w:pPr>
      <w:hyperlink r:id="rId154" w:history="1">
        <w:r w:rsidR="0030517B" w:rsidRPr="00CA099F">
          <w:rPr>
            <w:rFonts w:eastAsia="Times New Roman" w:cs="Times New Roman"/>
            <w:color w:val="000000"/>
            <w:sz w:val="28"/>
            <w:szCs w:val="28"/>
            <w:lang w:val="en-US" w:eastAsia="ru-RU"/>
          </w:rPr>
          <w:t>Ramchandani R</w:t>
        </w:r>
      </w:hyperlink>
      <w:r w:rsidR="0030517B" w:rsidRPr="00CA099F">
        <w:rPr>
          <w:rFonts w:eastAsia="Times New Roman" w:cs="Times New Roman"/>
          <w:color w:val="000000"/>
          <w:sz w:val="28"/>
          <w:szCs w:val="28"/>
          <w:lang w:val="en-US" w:eastAsia="ru-RU"/>
        </w:rPr>
        <w:t xml:space="preserve">. </w:t>
      </w:r>
      <w:r w:rsidR="0030517B" w:rsidRPr="00CA099F">
        <w:rPr>
          <w:rFonts w:eastAsia="Times New Roman" w:cs="Times New Roman"/>
          <w:bCs/>
          <w:color w:val="000000"/>
          <w:kern w:val="36"/>
          <w:sz w:val="28"/>
          <w:szCs w:val="28"/>
          <w:lang w:val="en-US" w:eastAsia="ru-RU"/>
        </w:rPr>
        <w:t>Familial Occurrence of Thyroglossal Duct Cyst / R. </w:t>
      </w:r>
      <w:r w:rsidR="0030517B" w:rsidRPr="00CA099F">
        <w:rPr>
          <w:rFonts w:eastAsia="Times New Roman" w:cs="Times New Roman"/>
          <w:color w:val="000000"/>
          <w:sz w:val="28"/>
          <w:szCs w:val="28"/>
          <w:lang w:val="en-US" w:eastAsia="ru-RU"/>
        </w:rPr>
        <w:t>Ramchandani, S. </w:t>
      </w:r>
      <w:hyperlink r:id="rId155" w:history="1">
        <w:r w:rsidR="0030517B" w:rsidRPr="00CA099F">
          <w:rPr>
            <w:rFonts w:eastAsia="Times New Roman" w:cs="Times New Roman"/>
            <w:color w:val="000000"/>
            <w:sz w:val="28"/>
            <w:szCs w:val="28"/>
            <w:lang w:val="en-US" w:eastAsia="ru-RU"/>
          </w:rPr>
          <w:t>Chumber</w:t>
        </w:r>
      </w:hyperlink>
      <w:r w:rsidR="0030517B" w:rsidRPr="00CA099F">
        <w:rPr>
          <w:rFonts w:eastAsia="Times New Roman" w:cs="Times New Roman"/>
          <w:color w:val="000000"/>
          <w:sz w:val="28"/>
          <w:szCs w:val="28"/>
          <w:lang w:val="en-US" w:eastAsia="ru-RU"/>
        </w:rPr>
        <w:t xml:space="preserve">. – </w:t>
      </w:r>
      <w:hyperlink r:id="rId156" w:tooltip="The Indian journal of surgery." w:history="1">
        <w:r w:rsidR="0030517B" w:rsidRPr="00CA099F">
          <w:rPr>
            <w:rFonts w:eastAsia="Times New Roman" w:cs="Times New Roman"/>
            <w:color w:val="000000"/>
            <w:sz w:val="28"/>
            <w:szCs w:val="28"/>
            <w:lang w:val="en-US" w:eastAsia="ru-RU"/>
          </w:rPr>
          <w:t>Indian J Surg.</w:t>
        </w:r>
      </w:hyperlink>
      <w:r w:rsidR="0030517B" w:rsidRPr="00CA099F">
        <w:rPr>
          <w:rFonts w:eastAsia="Times New Roman" w:cs="Times New Roman"/>
          <w:color w:val="000000"/>
          <w:sz w:val="28"/>
          <w:szCs w:val="28"/>
          <w:lang w:val="en-US" w:eastAsia="ru-RU"/>
        </w:rPr>
        <w:t> – 2017. – Vol. 79(6). – P. 566-568.</w:t>
      </w:r>
    </w:p>
    <w:p w:rsidR="0030517B" w:rsidRPr="00CA099F" w:rsidRDefault="0030517B"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r w:rsidRPr="00CA099F">
        <w:rPr>
          <w:rFonts w:eastAsia="Times New Roman" w:cs="Times New Roman"/>
          <w:color w:val="000000"/>
          <w:sz w:val="28"/>
          <w:szCs w:val="28"/>
          <w:lang w:val="en-US" w:eastAsia="ru-RU"/>
        </w:rPr>
        <w:t>Thyroglossal duct cyst within the mediastinum: an extremely unusual location / Chon Soon-Ho, Shinn Sung Ho, Lee CB [et al.] – J Thorac Cardiovasc Surg. – 2007. – Vol. 133. – P. 1671–1672.</w:t>
      </w:r>
    </w:p>
    <w:p w:rsidR="0030517B" w:rsidRPr="00CA099F" w:rsidRDefault="0030517B"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r w:rsidRPr="00CA099F">
        <w:rPr>
          <w:rFonts w:eastAsia="Times New Roman" w:cs="Times New Roman"/>
          <w:color w:val="000000"/>
          <w:sz w:val="28"/>
          <w:szCs w:val="28"/>
          <w:lang w:val="en-US" w:eastAsia="ru-RU"/>
        </w:rPr>
        <w:t>Thyroglossal duct cyst: personal experience and literature review / V. Mondin, A. Ferlito, E. Muzzi [et al.] // Auris Nasus Larynx. – 2008. – Vol. 35. – P. 11–25.</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jc w:val="both"/>
        <w:textAlignment w:val="top"/>
        <w:rPr>
          <w:rFonts w:eastAsia="Times New Roman" w:cs="Times New Roman"/>
          <w:color w:val="000000"/>
          <w:sz w:val="28"/>
          <w:szCs w:val="28"/>
          <w:lang w:val="en-US" w:eastAsia="ru-RU"/>
        </w:rPr>
      </w:pPr>
      <w:r w:rsidRPr="00CA099F">
        <w:rPr>
          <w:rFonts w:eastAsia="Times New Roman" w:cs="Times New Roman"/>
          <w:color w:val="000000"/>
          <w:kern w:val="36"/>
          <w:sz w:val="28"/>
          <w:szCs w:val="28"/>
          <w:lang w:val="en-US" w:eastAsia="ru-RU"/>
        </w:rPr>
        <w:t xml:space="preserve">Squamous cell carcinoma arising from a thyroglossal duct cyst: A case report and review of the literature / </w:t>
      </w:r>
      <w:hyperlink r:id="rId157" w:history="1">
        <w:r w:rsidRPr="00CA099F">
          <w:rPr>
            <w:rFonts w:eastAsia="Times New Roman" w:cs="Times New Roman"/>
            <w:color w:val="000000"/>
            <w:sz w:val="28"/>
            <w:szCs w:val="28"/>
            <w:lang w:val="en-US" w:eastAsia="ru-RU"/>
          </w:rPr>
          <w:t>Q. Huang</w:t>
        </w:r>
      </w:hyperlink>
      <w:r w:rsidRPr="00CA099F">
        <w:rPr>
          <w:rFonts w:eastAsia="Times New Roman" w:cs="Times New Roman"/>
          <w:color w:val="000000"/>
          <w:sz w:val="28"/>
          <w:szCs w:val="28"/>
          <w:lang w:val="en-US" w:eastAsia="ru-RU"/>
        </w:rPr>
        <w:t>,</w:t>
      </w:r>
      <w:hyperlink r:id="rId158" w:history="1">
        <w:r w:rsidRPr="00CA099F">
          <w:rPr>
            <w:rFonts w:eastAsia="Times New Roman" w:cs="Times New Roman"/>
            <w:color w:val="000000"/>
            <w:sz w:val="28"/>
            <w:szCs w:val="28"/>
            <w:lang w:val="en-US" w:eastAsia="ru-RU"/>
          </w:rPr>
          <w:t>Y. Shen</w:t>
        </w:r>
      </w:hyperlink>
      <w:r w:rsidRPr="00CA099F">
        <w:rPr>
          <w:rFonts w:eastAsia="Times New Roman" w:cs="Times New Roman"/>
          <w:color w:val="000000"/>
          <w:sz w:val="28"/>
          <w:szCs w:val="28"/>
          <w:lang w:val="en-US" w:eastAsia="ru-RU"/>
        </w:rPr>
        <w:t xml:space="preserve">, </w:t>
      </w:r>
      <w:hyperlink r:id="rId159" w:history="1">
        <w:r w:rsidRPr="00CA099F">
          <w:rPr>
            <w:rFonts w:eastAsia="Times New Roman" w:cs="Times New Roman"/>
            <w:color w:val="000000"/>
            <w:sz w:val="28"/>
            <w:szCs w:val="28"/>
            <w:lang w:val="en-US" w:eastAsia="ru-RU"/>
          </w:rPr>
          <w:t>A.Y. Wang</w:t>
        </w:r>
      </w:hyperlink>
      <w:r w:rsidRPr="00CA099F">
        <w:rPr>
          <w:rFonts w:eastAsia="Times New Roman" w:cs="Times New Roman"/>
          <w:color w:val="000000"/>
          <w:sz w:val="28"/>
          <w:szCs w:val="28"/>
          <w:lang w:val="en-US" w:eastAsia="ru-RU"/>
        </w:rPr>
        <w:t xml:space="preserve"> [et al.] // </w:t>
      </w:r>
      <w:hyperlink r:id="rId160" w:history="1">
        <w:r w:rsidRPr="00CA099F">
          <w:rPr>
            <w:rFonts w:eastAsia="Times New Roman" w:cs="Times New Roman"/>
            <w:color w:val="000000"/>
            <w:sz w:val="28"/>
            <w:szCs w:val="28"/>
            <w:lang w:val="en-US" w:eastAsia="ru-RU"/>
          </w:rPr>
          <w:t>SAGE Open Med Case Rep</w:t>
        </w:r>
      </w:hyperlink>
      <w:r w:rsidRPr="00CA099F">
        <w:rPr>
          <w:rFonts w:eastAsia="Times New Roman" w:cs="Times New Roman"/>
          <w:color w:val="000000"/>
          <w:sz w:val="28"/>
          <w:szCs w:val="28"/>
          <w:lang w:val="en-US" w:eastAsia="ru-RU"/>
        </w:rPr>
        <w:t>. – 2018. – Vol. 6. – P. 313-318.</w:t>
      </w:r>
    </w:p>
    <w:p w:rsidR="0030517B" w:rsidRPr="00CA099F" w:rsidRDefault="0030517B"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r w:rsidRPr="00CA099F">
        <w:rPr>
          <w:rFonts w:eastAsia="Times New Roman" w:cs="Times New Roman"/>
          <w:color w:val="000000"/>
          <w:sz w:val="28"/>
          <w:szCs w:val="28"/>
          <w:lang w:val="en-US" w:eastAsia="ru-RU"/>
        </w:rPr>
        <w:t>Ali A.A. The relationship between the location of thyroglossal duct cysts and the epithelial lining / A.A. Ali, B. Al-Jandan, C.S. Suresh, A. Subae // Head Neck Pathol. – 2013. – Vol. 7(1). – P. 50–53.</w:t>
      </w:r>
    </w:p>
    <w:p w:rsidR="0030517B" w:rsidRPr="00CA099F" w:rsidRDefault="00417675" w:rsidP="0030517B">
      <w:pPr>
        <w:numPr>
          <w:ilvl w:val="0"/>
          <w:numId w:val="17"/>
        </w:numPr>
        <w:pBdr>
          <w:top w:val="nil"/>
          <w:left w:val="nil"/>
          <w:bottom w:val="nil"/>
          <w:right w:val="nil"/>
          <w:between w:val="nil"/>
        </w:pBdr>
        <w:shd w:val="clear" w:color="auto" w:fill="FFFFFF"/>
        <w:spacing w:before="240" w:after="120" w:line="360" w:lineRule="auto"/>
        <w:contextualSpacing/>
        <w:jc w:val="both"/>
        <w:outlineLvl w:val="0"/>
        <w:rPr>
          <w:rFonts w:eastAsia="Times New Roman" w:cs="Times New Roman"/>
          <w:color w:val="000000"/>
          <w:sz w:val="28"/>
          <w:szCs w:val="28"/>
          <w:lang w:val="en-US" w:eastAsia="ru-RU"/>
        </w:rPr>
      </w:pPr>
      <w:hyperlink r:id="rId161" w:history="1">
        <w:r w:rsidR="0030517B" w:rsidRPr="00CA099F">
          <w:rPr>
            <w:rFonts w:eastAsia="Times New Roman" w:cs="Times New Roman"/>
            <w:color w:val="000000"/>
            <w:sz w:val="28"/>
            <w:szCs w:val="28"/>
            <w:lang w:val="en-US" w:eastAsia="ru-RU"/>
          </w:rPr>
          <w:t>Patigaroo</w:t>
        </w:r>
      </w:hyperlink>
      <w:r w:rsidR="0030517B" w:rsidRPr="00CA099F">
        <w:rPr>
          <w:rFonts w:eastAsia="Times New Roman" w:cs="Times New Roman"/>
          <w:color w:val="000000"/>
          <w:sz w:val="28"/>
          <w:szCs w:val="28"/>
          <w:lang w:val="en-US" w:eastAsia="ru-RU"/>
        </w:rPr>
        <w:t xml:space="preserve"> S.A. </w:t>
      </w:r>
      <w:r w:rsidR="0030517B" w:rsidRPr="00CA099F">
        <w:rPr>
          <w:rFonts w:eastAsia="Times New Roman" w:cs="Times New Roman"/>
          <w:color w:val="000000"/>
          <w:kern w:val="36"/>
          <w:sz w:val="28"/>
          <w:szCs w:val="28"/>
          <w:lang w:val="en-US" w:eastAsia="ru-RU"/>
        </w:rPr>
        <w:t xml:space="preserve">Thyroglossal Duct Cysts: A Clinicosurgical Experience / </w:t>
      </w:r>
      <w:hyperlink r:id="rId162" w:history="1">
        <w:r w:rsidR="0030517B" w:rsidRPr="00CA099F">
          <w:rPr>
            <w:rFonts w:eastAsia="Times New Roman" w:cs="Times New Roman"/>
            <w:color w:val="000000"/>
            <w:sz w:val="28"/>
            <w:szCs w:val="28"/>
            <w:lang w:val="en-US" w:eastAsia="ru-RU"/>
          </w:rPr>
          <w:t>S.A. Patigaroo</w:t>
        </w:r>
      </w:hyperlink>
      <w:r w:rsidR="0030517B" w:rsidRPr="00CA099F">
        <w:rPr>
          <w:rFonts w:eastAsia="Times New Roman" w:cs="Times New Roman"/>
          <w:color w:val="000000"/>
          <w:sz w:val="28"/>
          <w:szCs w:val="28"/>
          <w:lang w:val="en-US" w:eastAsia="ru-RU"/>
        </w:rPr>
        <w:t xml:space="preserve">, </w:t>
      </w:r>
      <w:hyperlink r:id="rId163" w:history="1">
        <w:r w:rsidR="0030517B" w:rsidRPr="00CA099F">
          <w:rPr>
            <w:rFonts w:eastAsia="Times New Roman" w:cs="Times New Roman"/>
            <w:color w:val="000000"/>
            <w:sz w:val="28"/>
            <w:szCs w:val="28"/>
            <w:lang w:val="en-US" w:eastAsia="ru-RU"/>
          </w:rPr>
          <w:t>N.H. Dar</w:t>
        </w:r>
      </w:hyperlink>
      <w:r w:rsidR="0030517B" w:rsidRPr="00CA099F">
        <w:rPr>
          <w:rFonts w:eastAsia="Times New Roman" w:cs="Times New Roman"/>
          <w:color w:val="000000"/>
          <w:sz w:val="28"/>
          <w:szCs w:val="28"/>
          <w:lang w:val="en-US" w:eastAsia="ru-RU"/>
        </w:rPr>
        <w:t xml:space="preserve">, </w:t>
      </w:r>
      <w:hyperlink r:id="rId164" w:history="1">
        <w:r w:rsidR="0030517B" w:rsidRPr="00CA099F">
          <w:rPr>
            <w:rFonts w:eastAsia="Times New Roman" w:cs="Times New Roman"/>
            <w:color w:val="000000"/>
            <w:sz w:val="28"/>
            <w:szCs w:val="28"/>
            <w:lang w:val="en-US" w:eastAsia="ru-RU"/>
          </w:rPr>
          <w:t>A.S. Jallu</w:t>
        </w:r>
      </w:hyperlink>
      <w:r w:rsidR="0030517B" w:rsidRPr="00CA099F">
        <w:rPr>
          <w:rFonts w:eastAsia="Times New Roman" w:cs="Times New Roman"/>
          <w:color w:val="000000"/>
          <w:sz w:val="28"/>
          <w:szCs w:val="28"/>
          <w:lang w:val="en-US" w:eastAsia="ru-RU"/>
        </w:rPr>
        <w:t xml:space="preserve">, </w:t>
      </w:r>
      <w:hyperlink r:id="rId165" w:history="1">
        <w:r w:rsidR="0030517B" w:rsidRPr="00CA099F">
          <w:rPr>
            <w:rFonts w:eastAsia="Times New Roman" w:cs="Times New Roman"/>
            <w:color w:val="000000"/>
            <w:sz w:val="28"/>
            <w:szCs w:val="28"/>
            <w:lang w:val="en-US" w:eastAsia="ru-RU"/>
          </w:rPr>
          <w:t>R. Ahmad</w:t>
        </w:r>
      </w:hyperlink>
      <w:r w:rsidR="0030517B" w:rsidRPr="00CA099F">
        <w:rPr>
          <w:rFonts w:eastAsia="Times New Roman" w:cs="Times New Roman"/>
          <w:color w:val="000000"/>
          <w:sz w:val="28"/>
          <w:szCs w:val="28"/>
          <w:lang w:val="en-US" w:eastAsia="ru-RU"/>
        </w:rPr>
        <w:t xml:space="preserve"> // </w:t>
      </w:r>
      <w:hyperlink r:id="rId166" w:history="1">
        <w:r w:rsidR="0030517B" w:rsidRPr="00CA099F">
          <w:rPr>
            <w:rFonts w:eastAsia="Times New Roman" w:cs="Times New Roman"/>
            <w:color w:val="000000"/>
            <w:sz w:val="28"/>
            <w:szCs w:val="28"/>
            <w:lang w:val="en-US" w:eastAsia="ru-RU"/>
          </w:rPr>
          <w:t>Indian J Otolaryngol Head Neck Surg</w:t>
        </w:r>
      </w:hyperlink>
      <w:r w:rsidR="0030517B" w:rsidRPr="00CA099F">
        <w:rPr>
          <w:rFonts w:eastAsia="Times New Roman" w:cs="Times New Roman"/>
          <w:color w:val="000000"/>
          <w:sz w:val="28"/>
          <w:szCs w:val="28"/>
          <w:lang w:val="en-US" w:eastAsia="ru-RU"/>
        </w:rPr>
        <w:t>. – 2017. – Vol. 69 (1). – P. 102–107.</w:t>
      </w:r>
    </w:p>
    <w:p w:rsidR="0030517B" w:rsidRPr="00CA099F" w:rsidRDefault="0030517B" w:rsidP="0030517B">
      <w:pPr>
        <w:numPr>
          <w:ilvl w:val="0"/>
          <w:numId w:val="17"/>
        </w:numPr>
        <w:pBdr>
          <w:top w:val="nil"/>
          <w:left w:val="nil"/>
          <w:bottom w:val="nil"/>
          <w:right w:val="nil"/>
          <w:between w:val="nil"/>
        </w:pBdr>
        <w:tabs>
          <w:tab w:val="left" w:pos="709"/>
          <w:tab w:val="left" w:pos="1486"/>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Белоусов А.Е. Рубцы и их коррекция. Очерки пластической хирургии / А.Е. Белоусов. – Т. 1. – СПб., 2005. – 564 с.</w:t>
      </w:r>
    </w:p>
    <w:p w:rsidR="0030517B" w:rsidRPr="00CA099F" w:rsidRDefault="0030517B" w:rsidP="0030517B">
      <w:pPr>
        <w:numPr>
          <w:ilvl w:val="0"/>
          <w:numId w:val="17"/>
        </w:numPr>
        <w:pBdr>
          <w:top w:val="nil"/>
          <w:left w:val="nil"/>
          <w:bottom w:val="nil"/>
          <w:right w:val="nil"/>
          <w:between w:val="nil"/>
        </w:pBdr>
        <w:tabs>
          <w:tab w:val="left" w:pos="709"/>
          <w:tab w:val="left" w:pos="167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Белоусов А.Е. Рубцы как глобальная проблема пластической хирургии / А.Е. Белоусов // Анналы пластич., реконстр. и эстетич. хирургии. - 2004. - № 4. – С. 41-42.</w:t>
      </w:r>
    </w:p>
    <w:p w:rsidR="0030517B" w:rsidRPr="00CA099F" w:rsidRDefault="0030517B" w:rsidP="0030517B">
      <w:pPr>
        <w:numPr>
          <w:ilvl w:val="0"/>
          <w:numId w:val="17"/>
        </w:numPr>
        <w:pBdr>
          <w:top w:val="nil"/>
          <w:left w:val="nil"/>
          <w:bottom w:val="nil"/>
          <w:right w:val="nil"/>
          <w:between w:val="nil"/>
        </w:pBdr>
        <w:tabs>
          <w:tab w:val="left" w:pos="709"/>
          <w:tab w:val="left" w:pos="930"/>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Гуллер А.Е. Клинический тип и гистологическая структура кожных рубцов как прогностические факторы исхода лечения / А.Е. Гуллер, А.Б. Шехтер // Анналы пластической, реконструктивной и эстетической хирургии - 2007. - №4. - С.19-31.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lastRenderedPageBreak/>
        <w:t>Озерская О.С. Рубцы кожи и их дерматологическая коррекция / О.С. Озерская. // СПб. : Искусство России, 2007. – 224 с.</w:t>
      </w:r>
    </w:p>
    <w:p w:rsidR="0030517B" w:rsidRPr="00CA099F" w:rsidRDefault="0030517B" w:rsidP="0030517B">
      <w:pPr>
        <w:numPr>
          <w:ilvl w:val="0"/>
          <w:numId w:val="17"/>
        </w:numPr>
        <w:pBdr>
          <w:top w:val="nil"/>
          <w:left w:val="nil"/>
          <w:bottom w:val="nil"/>
          <w:right w:val="nil"/>
          <w:between w:val="nil"/>
        </w:pBdr>
        <w:tabs>
          <w:tab w:val="left" w:pos="709"/>
          <w:tab w:val="left" w:pos="93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Гуллер А.Е. Влияние возраста пациента и способа местного лечения раны на структуру рубцов при пограничных дермальных ожогах / А.Е. Гуллер, А.Б. Шехтер // Экспериментальная и клиническая дерматокосметология. - 2006. - № 3. - С. 6-14.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t>Фисталь Рубцовые деформации и контрактуры / Н.Н. Фисталь, Г.Е. Самойленко // Пластическая хирургия. – Донецк : «Вебер», 2008. − С.</w:t>
      </w:r>
      <w:r w:rsidRPr="00CA099F">
        <w:rPr>
          <w:rFonts w:eastAsia="Gungsuh" w:cs="Times New Roman"/>
          <w:color w:val="000000"/>
          <w:sz w:val="28"/>
          <w:szCs w:val="28"/>
          <w:lang w:val="en-GB" w:eastAsia="ru-RU"/>
        </w:rPr>
        <w:t> </w:t>
      </w:r>
      <w:r w:rsidRPr="00CA099F">
        <w:rPr>
          <w:rFonts w:eastAsia="Gungsuh" w:cs="Times New Roman"/>
          <w:color w:val="000000"/>
          <w:sz w:val="28"/>
          <w:szCs w:val="28"/>
          <w:lang w:val="ru-RU" w:eastAsia="ru-RU"/>
        </w:rPr>
        <w:t>136−162.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US" w:eastAsia="ru-RU"/>
        </w:rPr>
      </w:pPr>
      <w:r w:rsidRPr="00CA099F">
        <w:rPr>
          <w:rFonts w:eastAsia="Gungsuh" w:cs="Times New Roman"/>
          <w:color w:val="000000"/>
          <w:sz w:val="28"/>
          <w:szCs w:val="28"/>
          <w:lang w:val="ru-RU" w:eastAsia="ru-RU"/>
        </w:rPr>
        <w:t xml:space="preserve">Мишалов В.Г. Проблемы диагностики и лечения патологических рубцов / В.Г. Мишалов, В.В. Храпач, И.А. Назаренко [и др.] //Хирургия Украины. –2008. − №. </w:t>
      </w:r>
      <w:r w:rsidRPr="00CA099F">
        <w:rPr>
          <w:rFonts w:eastAsia="Gungsuh" w:cs="Times New Roman"/>
          <w:color w:val="000000"/>
          <w:sz w:val="28"/>
          <w:szCs w:val="28"/>
          <w:lang w:val="en-US" w:eastAsia="ru-RU"/>
        </w:rPr>
        <w:t xml:space="preserve">4 (28). – </w:t>
      </w:r>
      <w:r w:rsidRPr="00CA099F">
        <w:rPr>
          <w:rFonts w:eastAsia="Gungsuh" w:cs="Times New Roman"/>
          <w:color w:val="000000"/>
          <w:sz w:val="28"/>
          <w:szCs w:val="28"/>
          <w:lang w:val="ru-RU" w:eastAsia="ru-RU"/>
        </w:rPr>
        <w:t>С</w:t>
      </w:r>
      <w:r w:rsidRPr="00CA099F">
        <w:rPr>
          <w:rFonts w:eastAsia="Gungsuh" w:cs="Times New Roman"/>
          <w:color w:val="000000"/>
          <w:sz w:val="28"/>
          <w:szCs w:val="28"/>
          <w:lang w:val="en-US" w:eastAsia="ru-RU"/>
        </w:rPr>
        <w:t>.109−114.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US" w:eastAsia="ru-RU"/>
        </w:rPr>
      </w:pPr>
      <w:r w:rsidRPr="00CA099F">
        <w:rPr>
          <w:rFonts w:eastAsia="Times New Roman" w:cs="Times New Roman"/>
          <w:color w:val="000000"/>
          <w:sz w:val="28"/>
          <w:szCs w:val="28"/>
          <w:lang w:val="en-GB" w:eastAsia="ru-RU"/>
        </w:rPr>
        <w:t>Arima J. Hypertension: a systemic key to understanding local keloid severity / J. Arima, C. Huang, B. Rosner [et al.] // Wound Repair Regen – 2015. – Vol. 23. – P. 213–221.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Михельсон Н.М. Восстановительные операции челюстно-лицевой области / Н.М. Михельсон. – М., 1982. – с. 59-76.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Gungsuh" w:cs="Times New Roman"/>
          <w:color w:val="000000"/>
          <w:sz w:val="28"/>
          <w:szCs w:val="28"/>
          <w:lang w:val="en-GB" w:eastAsia="ru-RU"/>
        </w:rPr>
        <w:t>Alster T.S. Gypertrophic scars and Keloids: etiology and management / T.S. Alster, E.L. Tanzi // Am. J. Clin. Dermat. – 2003. – Vol. 4. – P. 235−243.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Резникова А.Е. Клинико-морфологические особенности лечения, профилактики рубцов лица и шеи у детей : автореф. дис. на соиск. уч. степ. канд. мед. наук : спец. 14.00.27 “Хірургія” / А. Е. Резникова. – М., 1999. – 26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Аветіков Д.С. Клініко-морфологічне обґрунтування комплексного лікування патологічних рубців, що локалізовані в ділянках голови та шиї : монографія / Д.С. Аветіков, С.О. Ставицький. – Полтава, 2013. – 94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Differences in collagen architecture between keloid, hypertrophic scar, normotrophic scar, and normal skin: an objective histopathological analysis / P.D. Verhaegen, P.P. van Zuijlen, N.M. Pennings [et al.] // Wound Repair Regen. – 2009. – Vol. 17. – P. 649–656.</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167">
        <w:r w:rsidR="0030517B" w:rsidRPr="00CA099F">
          <w:rPr>
            <w:rFonts w:eastAsia="Times New Roman" w:cs="Times New Roman"/>
            <w:color w:val="000000"/>
            <w:sz w:val="28"/>
            <w:szCs w:val="28"/>
            <w:lang w:val="en-GB" w:eastAsia="ru-RU"/>
          </w:rPr>
          <w:t>Ogawa R</w:t>
        </w:r>
      </w:hyperlink>
      <w:r w:rsidR="0030517B" w:rsidRPr="00CA099F">
        <w:rPr>
          <w:rFonts w:eastAsia="Times New Roman" w:cs="Times New Roman"/>
          <w:color w:val="000000"/>
          <w:sz w:val="28"/>
          <w:szCs w:val="28"/>
          <w:lang w:val="en-GB" w:eastAsia="ru-RU"/>
        </w:rPr>
        <w:t xml:space="preserve">. Endothelial dysfunction may play a key role in keloid and hypertrophic scar pathogenesis - Keloids and hypertrophic scars may be vascular disorders / R. </w:t>
      </w:r>
      <w:hyperlink r:id="rId168">
        <w:r w:rsidR="0030517B" w:rsidRPr="00CA099F">
          <w:rPr>
            <w:rFonts w:eastAsia="Times New Roman" w:cs="Times New Roman"/>
            <w:color w:val="000000"/>
            <w:sz w:val="28"/>
            <w:szCs w:val="28"/>
            <w:lang w:val="en-GB" w:eastAsia="ru-RU"/>
          </w:rPr>
          <w:t>Ogawa</w:t>
        </w:r>
      </w:hyperlink>
      <w:r w:rsidR="0030517B" w:rsidRPr="00CA099F">
        <w:rPr>
          <w:rFonts w:eastAsia="Times New Roman" w:cs="Times New Roman"/>
          <w:color w:val="000000"/>
          <w:sz w:val="28"/>
          <w:szCs w:val="28"/>
          <w:lang w:val="en-GB" w:eastAsia="ru-RU"/>
        </w:rPr>
        <w:t xml:space="preserve">, S. </w:t>
      </w:r>
      <w:hyperlink r:id="rId169">
        <w:r w:rsidR="0030517B" w:rsidRPr="00CA099F">
          <w:rPr>
            <w:rFonts w:eastAsia="Times New Roman" w:cs="Times New Roman"/>
            <w:color w:val="000000"/>
            <w:sz w:val="28"/>
            <w:szCs w:val="28"/>
            <w:lang w:val="en-GB" w:eastAsia="ru-RU"/>
          </w:rPr>
          <w:t>Akaishi</w:t>
        </w:r>
      </w:hyperlink>
      <w:r w:rsidR="0030517B" w:rsidRPr="00CA099F">
        <w:rPr>
          <w:rFonts w:eastAsia="Times New Roman" w:cs="Times New Roman"/>
          <w:color w:val="000000"/>
          <w:sz w:val="28"/>
          <w:szCs w:val="28"/>
          <w:lang w:val="en-GB" w:eastAsia="ru-RU"/>
        </w:rPr>
        <w:t xml:space="preserve"> // </w:t>
      </w:r>
      <w:hyperlink r:id="rId170">
        <w:r w:rsidR="0030517B" w:rsidRPr="00CA099F">
          <w:rPr>
            <w:rFonts w:eastAsia="Times New Roman" w:cs="Times New Roman"/>
            <w:color w:val="000000"/>
            <w:sz w:val="28"/>
            <w:szCs w:val="28"/>
            <w:lang w:val="en-GB" w:eastAsia="ru-RU"/>
          </w:rPr>
          <w:t>Med Hypotheses.</w:t>
        </w:r>
      </w:hyperlink>
      <w:r w:rsidR="0030517B" w:rsidRPr="00CA099F">
        <w:rPr>
          <w:rFonts w:eastAsia="Times New Roman" w:cs="Times New Roman"/>
          <w:color w:val="000000"/>
          <w:sz w:val="28"/>
          <w:szCs w:val="28"/>
          <w:lang w:val="en-GB" w:eastAsia="ru-RU"/>
        </w:rPr>
        <w:t xml:space="preserve"> – 2016. – Vol. 96. – P. 51-60.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Галлямова Ю.А. Рубцовые изменения кожи / Ю.А. Галлямова, З.З. Кардашова // Эксп. и клин, дерматокосм. - 2008. - №6. – С. 56-63.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Гуллер А.Е. Клинический тип и гистологическая структура кожных рубцов как прогностические факторы исхода лечения / А.Е. Гуллер, А.Б. Шехтер // Анналы пластической, реконструктивной и эстетической хирургии - 2007. - №4. - С. 19-31.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Ogawa R. Histologic analysis of keloids and hypertrophic scars / R. Ogawa, S. Akaishi, M. Izumi // Ann Plast Surg. – 2009. – Vol. 62. – P. 104–105.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Сарыгин П. В. Хирургическое лечение последствий ожогов шеи и лица : автореф. дис. на соиск. учен. степени д. мед. н. : спец. 14.00.27 “Хирургия” / П. В. Сарыгин. – М., 2005. – 38 с.</w:t>
      </w:r>
    </w:p>
    <w:p w:rsidR="0030517B" w:rsidRPr="00CA099F" w:rsidRDefault="00417675" w:rsidP="0030517B">
      <w:pPr>
        <w:numPr>
          <w:ilvl w:val="0"/>
          <w:numId w:val="17"/>
        </w:numPr>
        <w:pBdr>
          <w:top w:val="nil"/>
          <w:left w:val="nil"/>
          <w:bottom w:val="nil"/>
          <w:right w:val="nil"/>
          <w:between w:val="nil"/>
        </w:pBdr>
        <w:shd w:val="clear" w:color="auto" w:fill="FFFFFF"/>
        <w:spacing w:after="0" w:line="360" w:lineRule="auto"/>
        <w:contextualSpacing/>
        <w:jc w:val="both"/>
        <w:rPr>
          <w:rFonts w:eastAsia="Times New Roman" w:cs="Times New Roman"/>
          <w:color w:val="000000"/>
          <w:sz w:val="28"/>
          <w:szCs w:val="28"/>
          <w:lang w:val="en-GB" w:eastAsia="ru-RU"/>
        </w:rPr>
      </w:pPr>
      <w:hyperlink r:id="rId171">
        <w:r w:rsidR="0030517B" w:rsidRPr="00CA099F">
          <w:rPr>
            <w:rFonts w:eastAsia="Times New Roman" w:cs="Times New Roman"/>
            <w:color w:val="000000"/>
            <w:sz w:val="28"/>
            <w:szCs w:val="28"/>
            <w:lang w:val="en-GB" w:eastAsia="ru-RU"/>
          </w:rPr>
          <w:t>Ogawa</w:t>
        </w:r>
      </w:hyperlink>
      <w:r w:rsidR="0030517B" w:rsidRPr="00CA099F">
        <w:rPr>
          <w:rFonts w:eastAsia="Times New Roman" w:cs="Times New Roman"/>
          <w:color w:val="000000"/>
          <w:sz w:val="28"/>
          <w:szCs w:val="28"/>
          <w:lang w:val="en-GB" w:eastAsia="ru-RU"/>
        </w:rPr>
        <w:t xml:space="preserve"> R. Keloid and Hypertrophic Scars Are the Result of Chronic Inflammation in the Reticular Dermis / </w:t>
      </w:r>
      <w:hyperlink r:id="rId172">
        <w:r w:rsidR="0030517B" w:rsidRPr="00CA099F">
          <w:rPr>
            <w:rFonts w:eastAsia="Times New Roman" w:cs="Times New Roman"/>
            <w:color w:val="000000"/>
            <w:sz w:val="28"/>
            <w:szCs w:val="28"/>
            <w:lang w:val="en-GB" w:eastAsia="ru-RU"/>
          </w:rPr>
          <w:t>R. Ogawa</w:t>
        </w:r>
      </w:hyperlink>
      <w:r w:rsidR="0030517B" w:rsidRPr="00CA099F">
        <w:rPr>
          <w:rFonts w:eastAsia="Times New Roman" w:cs="Times New Roman"/>
          <w:color w:val="000000"/>
          <w:sz w:val="28"/>
          <w:szCs w:val="28"/>
          <w:lang w:val="en-GB" w:eastAsia="ru-RU"/>
        </w:rPr>
        <w:t xml:space="preserve"> // </w:t>
      </w:r>
      <w:hyperlink r:id="rId173">
        <w:r w:rsidR="0030517B" w:rsidRPr="00CA099F">
          <w:rPr>
            <w:rFonts w:eastAsia="Times New Roman" w:cs="Times New Roman"/>
            <w:color w:val="000000"/>
            <w:sz w:val="28"/>
            <w:szCs w:val="28"/>
            <w:lang w:val="en-GB" w:eastAsia="ru-RU"/>
          </w:rPr>
          <w:t>Int J Mol Sci</w:t>
        </w:r>
      </w:hyperlink>
      <w:r w:rsidR="0030517B" w:rsidRPr="00CA099F">
        <w:rPr>
          <w:rFonts w:eastAsia="Times New Roman" w:cs="Times New Roman"/>
          <w:color w:val="000000"/>
          <w:sz w:val="28"/>
          <w:szCs w:val="28"/>
          <w:lang w:val="en-GB" w:eastAsia="ru-RU"/>
        </w:rPr>
        <w:t>. – 2017. – Vol. 18(3). – P. 606.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Park T.H. Keloid recurrence in pregnancy / T.H. Park, C.H. Chang // Aesthetic Plast Surg. – 2012. – Vol. 36. – P. 1271–1272.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Huang C. The link between hypertension and pathological scarring: does hypertension cause or promote keloid and hypertrophic scar pathogenesis? / C. Huang, R. Ogawa // Wound Repair Regen. – 2014. – Vol. 22. – P. 462–466.</w:t>
      </w:r>
    </w:p>
    <w:p w:rsidR="0030517B" w:rsidRPr="00CA099F" w:rsidRDefault="0030517B" w:rsidP="0030517B">
      <w:pPr>
        <w:numPr>
          <w:ilvl w:val="0"/>
          <w:numId w:val="17"/>
        </w:numPr>
        <w:pBdr>
          <w:top w:val="nil"/>
          <w:left w:val="nil"/>
          <w:bottom w:val="nil"/>
          <w:right w:val="nil"/>
          <w:between w:val="nil"/>
        </w:pBdr>
        <w:tabs>
          <w:tab w:val="left" w:pos="709"/>
          <w:tab w:val="left" w:pos="1568"/>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Аганина </w:t>
      </w:r>
      <w:r w:rsidRPr="00CA099F">
        <w:rPr>
          <w:rFonts w:eastAsia="Times New Roman" w:cs="Times New Roman"/>
          <w:color w:val="000000"/>
          <w:sz w:val="28"/>
          <w:szCs w:val="28"/>
          <w:lang w:val="en-GB" w:eastAsia="ru-RU"/>
        </w:rPr>
        <w:t>E</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H</w:t>
      </w:r>
      <w:r w:rsidRPr="00CA099F">
        <w:rPr>
          <w:rFonts w:eastAsia="Times New Roman" w:cs="Times New Roman"/>
          <w:color w:val="000000"/>
          <w:sz w:val="28"/>
          <w:szCs w:val="28"/>
          <w:lang w:val="ru-RU" w:eastAsia="ru-RU"/>
        </w:rPr>
        <w:t xml:space="preserve">. Превентивная реабилитация обожженных / </w:t>
      </w:r>
      <w:r w:rsidRPr="00CA099F">
        <w:rPr>
          <w:rFonts w:eastAsia="Times New Roman" w:cs="Times New Roman"/>
          <w:color w:val="000000"/>
          <w:sz w:val="28"/>
          <w:szCs w:val="28"/>
          <w:lang w:val="en-GB" w:eastAsia="ru-RU"/>
        </w:rPr>
        <w:t>E</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H</w:t>
      </w:r>
      <w:r w:rsidRPr="00CA099F">
        <w:rPr>
          <w:rFonts w:eastAsia="Times New Roman" w:cs="Times New Roman"/>
          <w:color w:val="000000"/>
          <w:sz w:val="28"/>
          <w:szCs w:val="28"/>
          <w:lang w:val="ru-RU" w:eastAsia="ru-RU"/>
        </w:rPr>
        <w:t>. Аганина, О.Л. Ведерникова // Практическая медицина. - 2008. - №29. - С. 41-43.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Sen C.K. Oxygenation state as a driver of myofibroblast differentiation and wound contraction: hypoxia impairs wound closure / C.K. Sen, S. Roy // J Invest Dermatol. – 2010. – Vol. 130. – P. 2701–2703.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Nauta T.D. Hypoxic signaling during tissue repair and regenerative medicine / T.D. Nauta, V.W. van Hinsbergh, P. Koolwijk // Int J Mol Sci. – 2014. – Vol. 15. – P. 19791–19815.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Mechanisms of hypoxic regulation of plasminogen activator inhibitor-1 gene expression in keloid fibroblasts / Q. Zhang, Y. Wu, D.K. Ann [et al.] // J Invest Dermatol. – 2003. – Vol. 121. – P. 1005–1012.</w:t>
      </w:r>
    </w:p>
    <w:p w:rsidR="0030517B" w:rsidRPr="00CA099F" w:rsidRDefault="00417675" w:rsidP="0030517B">
      <w:pPr>
        <w:numPr>
          <w:ilvl w:val="0"/>
          <w:numId w:val="17"/>
        </w:numPr>
        <w:pBdr>
          <w:top w:val="nil"/>
          <w:left w:val="nil"/>
          <w:bottom w:val="nil"/>
          <w:right w:val="nil"/>
          <w:between w:val="nil"/>
        </w:pBdr>
        <w:spacing w:after="0" w:line="360" w:lineRule="auto"/>
        <w:contextualSpacing/>
        <w:rPr>
          <w:rFonts w:eastAsia="Times New Roman" w:cs="Times New Roman"/>
          <w:color w:val="000000"/>
          <w:sz w:val="28"/>
          <w:szCs w:val="28"/>
          <w:lang w:val="en-GB" w:eastAsia="ru-RU"/>
        </w:rPr>
      </w:pPr>
      <w:hyperlink r:id="rId174">
        <w:r w:rsidR="0030517B" w:rsidRPr="00CA099F">
          <w:rPr>
            <w:rFonts w:eastAsia="Times New Roman" w:cs="Times New Roman"/>
            <w:color w:val="000000"/>
            <w:sz w:val="28"/>
            <w:szCs w:val="28"/>
            <w:lang w:val="en-GB" w:eastAsia="ru-RU"/>
          </w:rPr>
          <w:t>A.L. Mescher</w:t>
        </w:r>
      </w:hyperlink>
      <w:r w:rsidR="0030517B" w:rsidRPr="00CA099F">
        <w:rPr>
          <w:rFonts w:eastAsia="Times New Roman" w:cs="Times New Roman"/>
          <w:color w:val="000000"/>
          <w:sz w:val="28"/>
          <w:szCs w:val="28"/>
          <w:lang w:val="en-GB" w:eastAsia="ru-RU"/>
        </w:rPr>
        <w:t xml:space="preserve"> Macrophages and fibroblasts during inflammation and tissue repair in models of organ regeneration / </w:t>
      </w:r>
      <w:hyperlink r:id="rId175">
        <w:r w:rsidR="0030517B" w:rsidRPr="00CA099F">
          <w:rPr>
            <w:rFonts w:eastAsia="Times New Roman" w:cs="Times New Roman"/>
            <w:color w:val="000000"/>
            <w:sz w:val="28"/>
            <w:szCs w:val="28"/>
            <w:lang w:val="en-GB" w:eastAsia="ru-RU"/>
          </w:rPr>
          <w:t>A.L. Mescher</w:t>
        </w:r>
      </w:hyperlink>
      <w:r w:rsidR="0030517B" w:rsidRPr="00CA099F">
        <w:rPr>
          <w:rFonts w:eastAsia="Times New Roman" w:cs="Times New Roman"/>
          <w:color w:val="000000"/>
          <w:sz w:val="28"/>
          <w:szCs w:val="28"/>
          <w:lang w:val="en-GB" w:eastAsia="ru-RU"/>
        </w:rPr>
        <w:t xml:space="preserve"> // </w:t>
      </w:r>
      <w:hyperlink r:id="rId176">
        <w:r w:rsidR="0030517B" w:rsidRPr="00CA099F">
          <w:rPr>
            <w:rFonts w:eastAsia="Times New Roman" w:cs="Times New Roman"/>
            <w:color w:val="000000"/>
            <w:sz w:val="28"/>
            <w:szCs w:val="28"/>
            <w:lang w:val="en-GB" w:eastAsia="ru-RU"/>
          </w:rPr>
          <w:t>Regeneration (Oxf)</w:t>
        </w:r>
      </w:hyperlink>
      <w:r w:rsidR="0030517B" w:rsidRPr="00CA099F">
        <w:rPr>
          <w:rFonts w:eastAsia="Times New Roman" w:cs="Times New Roman"/>
          <w:color w:val="000000"/>
          <w:sz w:val="28"/>
          <w:szCs w:val="28"/>
          <w:lang w:val="en-GB" w:eastAsia="ru-RU"/>
        </w:rPr>
        <w:t>. – 2017. – Vol. 4(2). – P. 39–53.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ru-RU" w:eastAsia="ru-RU"/>
        </w:rPr>
        <w:t xml:space="preserve">Белоусова И.П. Фармакологическая регуляция окислительного гомеостаза при гипоксическом синдроме / И.П. Белоусова, Е.Ю. Бибик // Проблеми військової охорони здоров’я : Зб. наук. праць Укр. військ.-мед. академії. </w:t>
      </w:r>
      <w:r w:rsidRPr="00CA099F">
        <w:rPr>
          <w:rFonts w:eastAsia="Times New Roman" w:cs="Times New Roman"/>
          <w:color w:val="000000"/>
          <w:sz w:val="28"/>
          <w:szCs w:val="28"/>
          <w:lang w:val="en-GB" w:eastAsia="ru-RU"/>
        </w:rPr>
        <w:t>Вип. 7 : за ред. проф. В.Я. Білого. – К., 2000. – С. 473–477.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Коробов В.М. Впливгіпоксичної гіпоксії на кисневозв’зувальні властивості гемоглобінівщурів і напівводяних амніот / В.М. Коробов // Експер. та клін. фізіологія і біохімія. – 2001. – №1 (13). – С.38–41.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Hypoxia upregulates VEGF production in keloid fibroblasts / D.S. Steinbrech, B.J. Mehrara, D. Chau [et al.] // Ann Plast Surg. – 1999. – Vol. 42. – P. 514–519.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Increased periostin expression affects the proliferation, collagen synthesis, migration and invasion of keloid fibroblasts under hypoxic conditions / Z. Zhang, F. Nie, C. Kang [et al.] // Int J Mol Med. – 2014. – Vol. 34. – P. 253–261.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Hypoxia drives the transition of human dermal fibroblasts to a myofibroblast-like phenotype via the TGF-β1/Smad3 pathway / </w:t>
      </w:r>
      <w:hyperlink r:id="rId177">
        <w:r w:rsidRPr="00CA099F">
          <w:rPr>
            <w:rFonts w:eastAsia="Times New Roman" w:cs="Times New Roman"/>
            <w:color w:val="000000"/>
            <w:sz w:val="28"/>
            <w:szCs w:val="28"/>
            <w:lang w:val="en-GB" w:eastAsia="ru-RU"/>
          </w:rPr>
          <w:t>B. Zhao</w:t>
        </w:r>
      </w:hyperlink>
      <w:r w:rsidRPr="00CA099F">
        <w:rPr>
          <w:rFonts w:eastAsia="Times New Roman" w:cs="Times New Roman"/>
          <w:color w:val="000000"/>
          <w:sz w:val="28"/>
          <w:szCs w:val="28"/>
          <w:lang w:val="en-GB" w:eastAsia="ru-RU"/>
        </w:rPr>
        <w:t xml:space="preserve">, </w:t>
      </w:r>
      <w:hyperlink r:id="rId178">
        <w:r w:rsidRPr="00CA099F">
          <w:rPr>
            <w:rFonts w:eastAsia="Times New Roman" w:cs="Times New Roman"/>
            <w:color w:val="000000"/>
            <w:sz w:val="28"/>
            <w:szCs w:val="28"/>
            <w:lang w:val="en-GB" w:eastAsia="ru-RU"/>
          </w:rPr>
          <w:t>H. Guan</w:t>
        </w:r>
      </w:hyperlink>
      <w:r w:rsidRPr="00CA099F">
        <w:rPr>
          <w:rFonts w:eastAsia="Times New Roman" w:cs="Times New Roman"/>
          <w:color w:val="000000"/>
          <w:sz w:val="28"/>
          <w:szCs w:val="28"/>
          <w:lang w:val="en-GB" w:eastAsia="ru-RU"/>
        </w:rPr>
        <w:t>,</w:t>
      </w:r>
      <w:hyperlink r:id="rId179">
        <w:r w:rsidRPr="00CA099F">
          <w:rPr>
            <w:rFonts w:eastAsia="Times New Roman" w:cs="Times New Roman"/>
            <w:color w:val="000000"/>
            <w:sz w:val="28"/>
            <w:szCs w:val="28"/>
            <w:lang w:val="en-GB" w:eastAsia="ru-RU"/>
          </w:rPr>
          <w:t>J.Q. Liu</w:t>
        </w:r>
      </w:hyperlink>
      <w:r w:rsidRPr="00CA099F">
        <w:rPr>
          <w:rFonts w:eastAsia="Times New Roman" w:cs="Times New Roman"/>
          <w:color w:val="000000"/>
          <w:sz w:val="28"/>
          <w:szCs w:val="28"/>
          <w:lang w:val="en-GB" w:eastAsia="ru-RU"/>
        </w:rPr>
        <w:t xml:space="preserve"> [et al.] // </w:t>
      </w:r>
      <w:hyperlink r:id="rId180">
        <w:r w:rsidRPr="00CA099F">
          <w:rPr>
            <w:rFonts w:eastAsia="Times New Roman" w:cs="Times New Roman"/>
            <w:color w:val="000000"/>
            <w:sz w:val="28"/>
            <w:szCs w:val="28"/>
            <w:lang w:val="en-GB" w:eastAsia="ru-RU"/>
          </w:rPr>
          <w:t>Int J Mol Med</w:t>
        </w:r>
      </w:hyperlink>
      <w:r w:rsidRPr="00CA099F">
        <w:rPr>
          <w:rFonts w:eastAsia="Times New Roman" w:cs="Times New Roman"/>
          <w:color w:val="000000"/>
          <w:sz w:val="28"/>
          <w:szCs w:val="28"/>
          <w:lang w:val="en-GB" w:eastAsia="ru-RU"/>
        </w:rPr>
        <w:t>. – 2017. – Vol. 39(1). – P. 153–159.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Kelly B.D. Cell type-specific regulation of angiogenic growth factor gene expression and induction of angiogenesis in nonischemic tissue by a constitutively active form of hypoxia-inducible factor 1 / B.D. Kelly, S.F. Hackett, K. Hirota // Circ Res. – 2003. – Vol. 93. – P. 1074–1081.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Ruthenborg R.J. Regulation of wound healing and fibrosis by hypoxia and hypoxia-inducible factor-1 / R.J. Ruthenborg, J.J. Ban, A. Wazir // Mol Cells. – 2014. – Vol. 37. – P. 637–643.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Haase V.H. Oxygen regulates epithelial-to-mesenchymal transition: insights into molecular mechanisms and relevance to disease / V.H. Haase // Kidney Int. – 2009. – Vol. 76. – P. 492–499.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Tissue gases in human hypertrophic burn scars / D.F. Sloan, R.D. Brown, C.H. Wells, J.G. Hilton // Plast Reconstr Surg. – 1978. – Vol. 61. – P. 431–436.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Chazaud B. Macrophages: supportive cells for tissue repair and regeneration / B. Chazaud // Immunobiology. – 2014. – Vol. 219. – P. 172–178.</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Reconstitution of Human Keloids in Mouse Skin / </w:t>
      </w:r>
      <w:hyperlink r:id="rId181">
        <w:r w:rsidRPr="00CA099F">
          <w:rPr>
            <w:rFonts w:eastAsia="Times New Roman" w:cs="Times New Roman"/>
            <w:color w:val="000000"/>
            <w:sz w:val="28"/>
            <w:szCs w:val="28"/>
            <w:lang w:val="en-GB" w:eastAsia="ru-RU"/>
          </w:rPr>
          <w:t>A. Sunaga</w:t>
        </w:r>
      </w:hyperlink>
      <w:r w:rsidRPr="00CA099F">
        <w:rPr>
          <w:rFonts w:eastAsia="Times New Roman" w:cs="Times New Roman"/>
          <w:color w:val="000000"/>
          <w:sz w:val="28"/>
          <w:szCs w:val="28"/>
          <w:lang w:val="en-GB" w:eastAsia="ru-RU"/>
        </w:rPr>
        <w:t xml:space="preserve">, </w:t>
      </w:r>
      <w:hyperlink r:id="rId182">
        <w:r w:rsidRPr="00CA099F">
          <w:rPr>
            <w:rFonts w:eastAsia="Times New Roman" w:cs="Times New Roman"/>
            <w:color w:val="000000"/>
            <w:sz w:val="28"/>
            <w:szCs w:val="28"/>
            <w:lang w:val="en-GB" w:eastAsia="ru-RU"/>
          </w:rPr>
          <w:t>H. Kamochi</w:t>
        </w:r>
      </w:hyperlink>
      <w:r w:rsidRPr="00CA099F">
        <w:rPr>
          <w:rFonts w:eastAsia="Times New Roman" w:cs="Times New Roman"/>
          <w:color w:val="000000"/>
          <w:sz w:val="28"/>
          <w:szCs w:val="28"/>
          <w:lang w:val="en-GB" w:eastAsia="ru-RU"/>
        </w:rPr>
        <w:t xml:space="preserve">, </w:t>
      </w:r>
      <w:hyperlink r:id="rId183">
        <w:r w:rsidRPr="00CA099F">
          <w:rPr>
            <w:rFonts w:eastAsia="Times New Roman" w:cs="Times New Roman"/>
            <w:color w:val="000000"/>
            <w:sz w:val="28"/>
            <w:szCs w:val="28"/>
            <w:lang w:val="en-GB" w:eastAsia="ru-RU"/>
          </w:rPr>
          <w:t>S. Sarukawa</w:t>
        </w:r>
      </w:hyperlink>
      <w:r w:rsidRPr="00CA099F">
        <w:rPr>
          <w:rFonts w:eastAsia="Times New Roman" w:cs="Times New Roman"/>
          <w:color w:val="000000"/>
          <w:sz w:val="28"/>
          <w:szCs w:val="28"/>
          <w:lang w:val="en-GB" w:eastAsia="ru-RU"/>
        </w:rPr>
        <w:t xml:space="preserve"> [et al.] // </w:t>
      </w:r>
      <w:hyperlink r:id="rId184">
        <w:r w:rsidRPr="00CA099F">
          <w:rPr>
            <w:rFonts w:eastAsia="Times New Roman" w:cs="Times New Roman"/>
            <w:color w:val="000000"/>
            <w:sz w:val="28"/>
            <w:szCs w:val="28"/>
            <w:lang w:val="en-GB" w:eastAsia="ru-RU"/>
          </w:rPr>
          <w:t>Plast Reconstr Surg Glob Open</w:t>
        </w:r>
      </w:hyperlink>
      <w:r w:rsidRPr="00CA099F">
        <w:rPr>
          <w:rFonts w:eastAsia="Times New Roman" w:cs="Times New Roman"/>
          <w:color w:val="000000"/>
          <w:sz w:val="28"/>
          <w:szCs w:val="28"/>
          <w:lang w:val="en-GB" w:eastAsia="ru-RU"/>
        </w:rPr>
        <w:t>. – 2017. – Vol. 5(4). – P. 1304.</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Малыхина Т.В. Лечение и профилактика келоидных рубцов на коже молочной железы после оперативных вмешательств : автореф. дисс. к.мед.н : спец. 14.00.11 – кожные и венерические болезни / Т.В. Малыхина. – Самара, 2000. – 24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t xml:space="preserve">Бархударова Н.Р. Оценка эндотелиальной дисфункции периферических артерий и структурных изменений сосудистой стенки у детей с послеожоговыми рубцовыми деформациями и контрактурами суставов / Н.Р. Бархударова, И.В. Бурков, А.В. Трусов // Сб. науч. тр. </w:t>
      </w:r>
      <w:r w:rsidRPr="00CA099F">
        <w:rPr>
          <w:rFonts w:eastAsia="Gungsuh" w:cs="Times New Roman"/>
          <w:color w:val="000000"/>
          <w:sz w:val="28"/>
          <w:szCs w:val="28"/>
          <w:lang w:val="en-GB" w:eastAsia="ru-RU"/>
        </w:rPr>
        <w:t>II</w:t>
      </w:r>
      <w:r w:rsidRPr="00CA099F">
        <w:rPr>
          <w:rFonts w:eastAsia="Gungsuh" w:cs="Times New Roman"/>
          <w:color w:val="000000"/>
          <w:sz w:val="28"/>
          <w:szCs w:val="28"/>
          <w:lang w:val="ru-RU" w:eastAsia="ru-RU"/>
        </w:rPr>
        <w:t xml:space="preserve"> Съезда комбустиологов России − М., 2008. – С. 183−184.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Серов В. В. Соединительная ткань / В. В. Серов, А. Б. Шехтер //. – М. : Медицина, 2002. – 194 с.</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185">
        <w:r w:rsidR="0030517B" w:rsidRPr="00CA099F">
          <w:rPr>
            <w:rFonts w:eastAsia="Times New Roman" w:cs="Times New Roman"/>
            <w:color w:val="000000"/>
            <w:sz w:val="28"/>
            <w:szCs w:val="28"/>
            <w:lang w:val="en-GB" w:eastAsia="ru-RU"/>
          </w:rPr>
          <w:t>Lebo P.B</w:t>
        </w:r>
      </w:hyperlink>
      <w:r w:rsidR="0030517B" w:rsidRPr="00CA099F">
        <w:rPr>
          <w:rFonts w:eastAsia="Times New Roman" w:cs="Times New Roman"/>
          <w:color w:val="000000"/>
          <w:sz w:val="28"/>
          <w:szCs w:val="28"/>
          <w:lang w:val="en-GB" w:eastAsia="ru-RU"/>
        </w:rPr>
        <w:t xml:space="preserve">. Delayed Post-burn Scar Reconstruction of the Dorsum of the Hand with a Collagen-Elastin-based Dermal Substitute and Split-skin Graft / P.B. </w:t>
      </w:r>
      <w:hyperlink r:id="rId186">
        <w:r w:rsidR="0030517B" w:rsidRPr="00CA099F">
          <w:rPr>
            <w:rFonts w:eastAsia="Times New Roman" w:cs="Times New Roman"/>
            <w:color w:val="000000"/>
            <w:sz w:val="28"/>
            <w:szCs w:val="28"/>
            <w:lang w:val="en-GB" w:eastAsia="ru-RU"/>
          </w:rPr>
          <w:t>Lebo</w:t>
        </w:r>
      </w:hyperlink>
      <w:r w:rsidR="0030517B" w:rsidRPr="00CA099F">
        <w:rPr>
          <w:rFonts w:eastAsia="Times New Roman" w:cs="Times New Roman"/>
          <w:color w:val="000000"/>
          <w:sz w:val="28"/>
          <w:szCs w:val="28"/>
          <w:lang w:val="en-GB" w:eastAsia="ru-RU"/>
        </w:rPr>
        <w:t xml:space="preserve">, M. </w:t>
      </w:r>
      <w:hyperlink r:id="rId187">
        <w:r w:rsidR="0030517B" w:rsidRPr="00CA099F">
          <w:rPr>
            <w:rFonts w:eastAsia="Times New Roman" w:cs="Times New Roman"/>
            <w:color w:val="000000"/>
            <w:sz w:val="28"/>
            <w:szCs w:val="28"/>
            <w:lang w:val="en-GB" w:eastAsia="ru-RU"/>
          </w:rPr>
          <w:t>Grohmann</w:t>
        </w:r>
      </w:hyperlink>
      <w:r w:rsidR="0030517B" w:rsidRPr="00CA099F">
        <w:rPr>
          <w:rFonts w:eastAsia="Times New Roman" w:cs="Times New Roman"/>
          <w:color w:val="000000"/>
          <w:sz w:val="28"/>
          <w:szCs w:val="28"/>
          <w:lang w:val="en-GB" w:eastAsia="ru-RU"/>
        </w:rPr>
        <w:t xml:space="preserve">, L. </w:t>
      </w:r>
      <w:hyperlink r:id="rId188">
        <w:r w:rsidR="0030517B" w:rsidRPr="00CA099F">
          <w:rPr>
            <w:rFonts w:eastAsia="Times New Roman" w:cs="Times New Roman"/>
            <w:color w:val="000000"/>
            <w:sz w:val="28"/>
            <w:szCs w:val="28"/>
            <w:lang w:val="en-GB" w:eastAsia="ru-RU"/>
          </w:rPr>
          <w:t xml:space="preserve">Kamolz </w:t>
        </w:r>
      </w:hyperlink>
      <w:r w:rsidR="0030517B" w:rsidRPr="00CA099F">
        <w:rPr>
          <w:rFonts w:eastAsia="Times New Roman" w:cs="Times New Roman"/>
          <w:color w:val="000000"/>
          <w:sz w:val="28"/>
          <w:szCs w:val="28"/>
          <w:lang w:val="en-GB" w:eastAsia="ru-RU"/>
        </w:rPr>
        <w:t xml:space="preserve">// </w:t>
      </w:r>
      <w:hyperlink r:id="rId189">
        <w:r w:rsidR="0030517B" w:rsidRPr="00CA099F">
          <w:rPr>
            <w:rFonts w:eastAsia="Times New Roman" w:cs="Times New Roman"/>
            <w:color w:val="000000"/>
            <w:sz w:val="28"/>
            <w:szCs w:val="28"/>
            <w:lang w:val="en-GB" w:eastAsia="ru-RU"/>
          </w:rPr>
          <w:t>Handchir Mikrochir Plast Chir.</w:t>
        </w:r>
      </w:hyperlink>
      <w:r w:rsidR="0030517B" w:rsidRPr="00CA099F">
        <w:rPr>
          <w:rFonts w:eastAsia="Times New Roman" w:cs="Times New Roman"/>
          <w:color w:val="000000"/>
          <w:sz w:val="28"/>
          <w:szCs w:val="28"/>
          <w:lang w:val="en-GB" w:eastAsia="ru-RU"/>
        </w:rPr>
        <w:t xml:space="preserve"> – 2017. – Vol. 49(2). – P. 127-131.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Regulatory mechanism of miR-29 over TGF-β1 and COL1 in scar cells / S. Bi, C. Cao, L.-L. Chai [et al.] // Eur Rev Med Pharmacol Sci. – 2017. – Vol. 21 (10). – P. 2512-2516.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Sulfated glycosaminoglycans and non-classically secreted proteins, basic FGF and epimorphin, coordinately regulate TGF-β-induced cell behaviors of human scar dermal fibroblasts / T. </w:t>
      </w:r>
      <w:hyperlink r:id="rId190">
        <w:r w:rsidRPr="00CA099F">
          <w:rPr>
            <w:rFonts w:eastAsia="Times New Roman" w:cs="Times New Roman"/>
            <w:color w:val="000000"/>
            <w:sz w:val="28"/>
            <w:szCs w:val="28"/>
            <w:lang w:val="en-GB" w:eastAsia="ru-RU"/>
          </w:rPr>
          <w:t>Horigome</w:t>
        </w:r>
      </w:hyperlink>
      <w:r w:rsidRPr="00CA099F">
        <w:rPr>
          <w:rFonts w:eastAsia="Times New Roman" w:cs="Times New Roman"/>
          <w:color w:val="000000"/>
          <w:sz w:val="28"/>
          <w:szCs w:val="28"/>
          <w:lang w:val="en-GB" w:eastAsia="ru-RU"/>
        </w:rPr>
        <w:t xml:space="preserve">, S. </w:t>
      </w:r>
      <w:hyperlink r:id="rId191">
        <w:r w:rsidRPr="00CA099F">
          <w:rPr>
            <w:rFonts w:eastAsia="Times New Roman" w:cs="Times New Roman"/>
            <w:color w:val="000000"/>
            <w:sz w:val="28"/>
            <w:szCs w:val="28"/>
            <w:lang w:val="en-GB" w:eastAsia="ru-RU"/>
          </w:rPr>
          <w:t>Takumi</w:t>
        </w:r>
      </w:hyperlink>
      <w:r w:rsidRPr="00CA099F">
        <w:rPr>
          <w:rFonts w:eastAsia="Times New Roman" w:cs="Times New Roman"/>
          <w:color w:val="000000"/>
          <w:sz w:val="28"/>
          <w:szCs w:val="28"/>
          <w:lang w:val="en-GB" w:eastAsia="ru-RU"/>
        </w:rPr>
        <w:t xml:space="preserve">, K. </w:t>
      </w:r>
      <w:hyperlink r:id="rId192">
        <w:r w:rsidRPr="00CA099F">
          <w:rPr>
            <w:rFonts w:eastAsia="Times New Roman" w:cs="Times New Roman"/>
            <w:color w:val="000000"/>
            <w:sz w:val="28"/>
            <w:szCs w:val="28"/>
            <w:lang w:val="en-GB" w:eastAsia="ru-RU"/>
          </w:rPr>
          <w:t xml:space="preserve">Shirai </w:t>
        </w:r>
      </w:hyperlink>
      <w:r w:rsidRPr="00CA099F">
        <w:rPr>
          <w:rFonts w:eastAsia="Times New Roman" w:cs="Times New Roman"/>
          <w:color w:val="000000"/>
          <w:sz w:val="28"/>
          <w:szCs w:val="28"/>
          <w:lang w:val="en-GB" w:eastAsia="ru-RU"/>
        </w:rPr>
        <w:t xml:space="preserve">[et al.] // </w:t>
      </w:r>
      <w:hyperlink r:id="rId193">
        <w:r w:rsidRPr="00CA099F">
          <w:rPr>
            <w:rFonts w:eastAsia="Times New Roman" w:cs="Times New Roman"/>
            <w:color w:val="000000"/>
            <w:sz w:val="28"/>
            <w:szCs w:val="28"/>
            <w:lang w:val="en-GB" w:eastAsia="ru-RU"/>
          </w:rPr>
          <w:t>J Dermatol Sci.</w:t>
        </w:r>
      </w:hyperlink>
      <w:r w:rsidRPr="00CA099F">
        <w:rPr>
          <w:rFonts w:eastAsia="Times New Roman" w:cs="Times New Roman"/>
          <w:color w:val="000000"/>
          <w:sz w:val="28"/>
          <w:szCs w:val="28"/>
          <w:lang w:val="en-GB" w:eastAsia="ru-RU"/>
        </w:rPr>
        <w:t xml:space="preserve"> – 2017. – Vol. 86(2). – P.132-141.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Tomasek J.J. Myofibroblasts and mechano-regulation of connective tissue remodelling / J.J. Tomasek, G. Gabbiani, B. Hinz // Nat Rev Mol Cell Biol – 2002. – Vol. 3. – P. 349–363.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Estradiol attenuates the TGF-β1-induced conversion of primary TAFs into myofibroblasts and inhibits collagen production and myofibroblast contraction by modulating the Smad and Rho/Rock signaling pathways / H.S. Jiang, L.L. Zhu, Z. Zhang [et al.] // Int J Mol Med – 2015. – Vol. 36. – P. 801–807.</w:t>
      </w:r>
    </w:p>
    <w:p w:rsidR="0030517B" w:rsidRPr="00CA099F" w:rsidRDefault="0030517B" w:rsidP="0030517B">
      <w:pPr>
        <w:numPr>
          <w:ilvl w:val="0"/>
          <w:numId w:val="17"/>
        </w:numPr>
        <w:pBdr>
          <w:top w:val="nil"/>
          <w:left w:val="nil"/>
          <w:bottom w:val="nil"/>
          <w:right w:val="nil"/>
          <w:between w:val="nil"/>
        </w:pBdr>
        <w:spacing w:after="0" w:line="360" w:lineRule="auto"/>
        <w:contextualSpacing/>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Expression of TGF-β1/mTOR signaling pathway in pathological scar fibroblasts / </w:t>
      </w:r>
      <w:hyperlink r:id="rId194">
        <w:r w:rsidRPr="00CA099F">
          <w:rPr>
            <w:rFonts w:eastAsia="Times New Roman" w:cs="Times New Roman"/>
            <w:color w:val="000000"/>
            <w:sz w:val="28"/>
            <w:szCs w:val="28"/>
            <w:lang w:val="en-GB" w:eastAsia="ru-RU"/>
          </w:rPr>
          <w:t>X.X. Zhai</w:t>
        </w:r>
      </w:hyperlink>
      <w:r w:rsidRPr="00CA099F">
        <w:rPr>
          <w:rFonts w:eastAsia="Times New Roman" w:cs="Times New Roman"/>
          <w:color w:val="000000"/>
          <w:sz w:val="28"/>
          <w:szCs w:val="28"/>
          <w:lang w:val="en-GB" w:eastAsia="ru-RU"/>
        </w:rPr>
        <w:t xml:space="preserve">, </w:t>
      </w:r>
      <w:hyperlink r:id="rId195">
        <w:r w:rsidRPr="00CA099F">
          <w:rPr>
            <w:rFonts w:eastAsia="Times New Roman" w:cs="Times New Roman"/>
            <w:color w:val="000000"/>
            <w:sz w:val="28"/>
            <w:szCs w:val="28"/>
            <w:lang w:val="en-GB" w:eastAsia="ru-RU"/>
          </w:rPr>
          <w:t>Z.M. Tang</w:t>
        </w:r>
      </w:hyperlink>
      <w:r w:rsidRPr="00CA099F">
        <w:rPr>
          <w:rFonts w:eastAsia="Times New Roman" w:cs="Times New Roman"/>
          <w:color w:val="000000"/>
          <w:sz w:val="28"/>
          <w:szCs w:val="28"/>
          <w:lang w:val="en-GB" w:eastAsia="ru-RU"/>
        </w:rPr>
        <w:t xml:space="preserve">, </w:t>
      </w:r>
      <w:hyperlink r:id="rId196">
        <w:r w:rsidRPr="00CA099F">
          <w:rPr>
            <w:rFonts w:eastAsia="Times New Roman" w:cs="Times New Roman"/>
            <w:color w:val="000000"/>
            <w:sz w:val="28"/>
            <w:szCs w:val="28"/>
            <w:lang w:val="en-GB" w:eastAsia="ru-RU"/>
          </w:rPr>
          <w:t>J.C. Ding</w:t>
        </w:r>
      </w:hyperlink>
      <w:r w:rsidRPr="00CA099F">
        <w:rPr>
          <w:rFonts w:eastAsia="Times New Roman" w:cs="Times New Roman"/>
          <w:color w:val="000000"/>
          <w:sz w:val="28"/>
          <w:szCs w:val="28"/>
          <w:lang w:val="en-GB" w:eastAsia="ru-RU"/>
        </w:rPr>
        <w:t xml:space="preserve">, </w:t>
      </w:r>
      <w:hyperlink r:id="rId197">
        <w:r w:rsidRPr="00CA099F">
          <w:rPr>
            <w:rFonts w:eastAsia="Times New Roman" w:cs="Times New Roman"/>
            <w:color w:val="000000"/>
            <w:sz w:val="28"/>
            <w:szCs w:val="28"/>
            <w:lang w:val="en-GB" w:eastAsia="ru-RU"/>
          </w:rPr>
          <w:t>X.L. Lu</w:t>
        </w:r>
      </w:hyperlink>
      <w:r w:rsidRPr="00CA099F">
        <w:rPr>
          <w:rFonts w:eastAsia="Times New Roman" w:cs="Times New Roman"/>
          <w:color w:val="000000"/>
          <w:sz w:val="28"/>
          <w:szCs w:val="28"/>
          <w:lang w:val="en-GB" w:eastAsia="ru-RU"/>
        </w:rPr>
        <w:t xml:space="preserve"> // </w:t>
      </w:r>
      <w:hyperlink r:id="rId198">
        <w:r w:rsidRPr="00CA099F">
          <w:rPr>
            <w:rFonts w:eastAsia="Times New Roman" w:cs="Times New Roman"/>
            <w:color w:val="000000"/>
            <w:sz w:val="28"/>
            <w:szCs w:val="28"/>
            <w:lang w:val="en-GB" w:eastAsia="ru-RU"/>
          </w:rPr>
          <w:t>Mol Med Rep</w:t>
        </w:r>
      </w:hyperlink>
      <w:r w:rsidRPr="00CA099F">
        <w:rPr>
          <w:rFonts w:eastAsia="Times New Roman" w:cs="Times New Roman"/>
          <w:color w:val="000000"/>
          <w:sz w:val="28"/>
          <w:szCs w:val="28"/>
          <w:lang w:val="en-GB" w:eastAsia="ru-RU"/>
        </w:rPr>
        <w:t>. – 2017. – Vol. 15(6). – P. 3467–3472.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Hwang H.W. Micrornas in cell proliferation, cell death, and tumorigenesis / H.W. Hwang, J.T. Mendell // Br J Cancer – 2006. – Vol. 94. – P. 776-780.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 novel regulatory function for mir-29a in keloid fibrogenesis / G.Y. Zhang, L.C. Wu, T. Liao [et al.] // Clin Exp Dermatol – 2016. – Vol. 41. – P. 341-345.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Mirna expression profiles in keloid tissue and corresponding normal skin tissue / Y. Liu, D. Yang, Z. Xiao, M. Zhang // Aesthetic Plast Surg – 2012. – Vol. 36. – P. 193-201.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Overexpression of mir-200b inhibits the cell proliferation and promotes apoptosis of human hypertrophic scar fibroblasts in vitro / P. Li, Q.Y. He, C.Q. Luo [et al.] // J Dermatol – 2014. – Vol. 41. – P. 903-911.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MiR-181a Targets PHLPP2 to Augment AKT Signaling and Regulate Proliferation and Apoptosis in Human Keloid Fibroblasts / Z. Rang, Z. Wang, Q. Pang [et al.] // Cell Physiol Biochem. – 2016. – Vol. 40. – P. 796-806.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Animal models of skin regeneration / B. Gawronska-Kozak, A. Grabowska, M. Kopcewicz, A. Kur // Reproductive Biology. – 2014. – Vol. 14. – P. 61–67.</w:t>
      </w:r>
    </w:p>
    <w:p w:rsidR="0030517B" w:rsidRPr="00CA099F" w:rsidRDefault="0030517B" w:rsidP="0030517B">
      <w:pPr>
        <w:numPr>
          <w:ilvl w:val="0"/>
          <w:numId w:val="17"/>
        </w:numPr>
        <w:pBdr>
          <w:top w:val="nil"/>
          <w:left w:val="nil"/>
          <w:bottom w:val="nil"/>
          <w:right w:val="nil"/>
          <w:between w:val="nil"/>
        </w:pBdr>
        <w:tabs>
          <w:tab w:val="left" w:pos="709"/>
          <w:tab w:val="left" w:pos="993"/>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Авдошенко К. Восстановительное лечение пациентов после пластических операций на лице методами аппаратной косметологии и физиотерапии / К. Авдошенко, Т.Коновалова // Эстетич. мед. – 2007. – № 1. – С. 54-63.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Homeobox B9 facilitates hypertrophic scar formation via activating the mitogen-activated protein kinase signaling pathway / Q. </w:t>
      </w:r>
      <w:hyperlink r:id="rId199">
        <w:r w:rsidRPr="00CA099F">
          <w:rPr>
            <w:rFonts w:eastAsia="Times New Roman" w:cs="Times New Roman"/>
            <w:color w:val="000000"/>
            <w:sz w:val="28"/>
            <w:szCs w:val="28"/>
            <w:lang w:val="en-GB" w:eastAsia="ru-RU"/>
          </w:rPr>
          <w:t>Xie</w:t>
        </w:r>
      </w:hyperlink>
      <w:r w:rsidRPr="00CA099F">
        <w:rPr>
          <w:rFonts w:eastAsia="Times New Roman" w:cs="Times New Roman"/>
          <w:color w:val="000000"/>
          <w:sz w:val="28"/>
          <w:szCs w:val="28"/>
          <w:lang w:val="en-GB" w:eastAsia="ru-RU"/>
        </w:rPr>
        <w:t xml:space="preserve">, D. </w:t>
      </w:r>
      <w:hyperlink r:id="rId200">
        <w:r w:rsidRPr="00CA099F">
          <w:rPr>
            <w:rFonts w:eastAsia="Times New Roman" w:cs="Times New Roman"/>
            <w:color w:val="000000"/>
            <w:sz w:val="28"/>
            <w:szCs w:val="28"/>
            <w:lang w:val="en-GB" w:eastAsia="ru-RU"/>
          </w:rPr>
          <w:t>Liu</w:t>
        </w:r>
      </w:hyperlink>
      <w:r w:rsidRPr="00CA099F">
        <w:rPr>
          <w:rFonts w:eastAsia="Times New Roman" w:cs="Times New Roman"/>
          <w:color w:val="000000"/>
          <w:sz w:val="28"/>
          <w:szCs w:val="28"/>
          <w:lang w:val="en-GB" w:eastAsia="ru-RU"/>
        </w:rPr>
        <w:t xml:space="preserve">, M. </w:t>
      </w:r>
      <w:hyperlink r:id="rId201">
        <w:r w:rsidRPr="00CA099F">
          <w:rPr>
            <w:rFonts w:eastAsia="Times New Roman" w:cs="Times New Roman"/>
            <w:color w:val="000000"/>
            <w:sz w:val="28"/>
            <w:szCs w:val="28"/>
            <w:lang w:val="en-GB" w:eastAsia="ru-RU"/>
          </w:rPr>
          <w:t xml:space="preserve">Yu </w:t>
        </w:r>
      </w:hyperlink>
      <w:r w:rsidRPr="00CA099F">
        <w:rPr>
          <w:rFonts w:eastAsia="Times New Roman" w:cs="Times New Roman"/>
          <w:color w:val="000000"/>
          <w:sz w:val="28"/>
          <w:szCs w:val="28"/>
          <w:lang w:val="en-GB" w:eastAsia="ru-RU"/>
        </w:rPr>
        <w:t xml:space="preserve">[et al.] // </w:t>
      </w:r>
      <w:hyperlink r:id="rId202">
        <w:r w:rsidRPr="00CA099F">
          <w:rPr>
            <w:rFonts w:eastAsia="Times New Roman" w:cs="Times New Roman"/>
            <w:color w:val="000000"/>
            <w:sz w:val="28"/>
            <w:szCs w:val="28"/>
            <w:lang w:val="en-GB" w:eastAsia="ru-RU"/>
          </w:rPr>
          <w:t>Mol Med Rep.</w:t>
        </w:r>
      </w:hyperlink>
      <w:r w:rsidRPr="00CA099F">
        <w:rPr>
          <w:rFonts w:eastAsia="Times New Roman" w:cs="Times New Roman"/>
          <w:color w:val="000000"/>
          <w:sz w:val="28"/>
          <w:szCs w:val="28"/>
          <w:lang w:val="en-GB" w:eastAsia="ru-RU"/>
        </w:rPr>
        <w:t xml:space="preserve"> – 2017. – Vol. 16(2). – P. 1669-1676.</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203">
        <w:r w:rsidR="0030517B" w:rsidRPr="00CA099F">
          <w:rPr>
            <w:rFonts w:eastAsia="Times New Roman" w:cs="Times New Roman"/>
            <w:color w:val="000000"/>
            <w:sz w:val="28"/>
            <w:szCs w:val="28"/>
            <w:lang w:val="en-GB" w:eastAsia="ru-RU"/>
          </w:rPr>
          <w:t>Jin J</w:t>
        </w:r>
      </w:hyperlink>
      <w:r w:rsidR="0030517B" w:rsidRPr="00CA099F">
        <w:rPr>
          <w:rFonts w:eastAsia="Times New Roman" w:cs="Times New Roman"/>
          <w:color w:val="000000"/>
          <w:sz w:val="28"/>
          <w:szCs w:val="28"/>
          <w:lang w:val="en-GB" w:eastAsia="ru-RU"/>
        </w:rPr>
        <w:t xml:space="preserve">. Advances in the research of signaling pathway in pathologic scar formation / J. </w:t>
      </w:r>
      <w:hyperlink r:id="rId204">
        <w:r w:rsidR="0030517B" w:rsidRPr="00CA099F">
          <w:rPr>
            <w:rFonts w:eastAsia="Times New Roman" w:cs="Times New Roman"/>
            <w:color w:val="000000"/>
            <w:sz w:val="28"/>
            <w:szCs w:val="28"/>
            <w:lang w:val="en-GB" w:eastAsia="ru-RU"/>
          </w:rPr>
          <w:t>Jin</w:t>
        </w:r>
      </w:hyperlink>
      <w:r w:rsidR="0030517B" w:rsidRPr="00CA099F">
        <w:rPr>
          <w:rFonts w:eastAsia="Times New Roman" w:cs="Times New Roman"/>
          <w:color w:val="000000"/>
          <w:sz w:val="28"/>
          <w:szCs w:val="28"/>
          <w:lang w:val="en-GB" w:eastAsia="ru-RU"/>
        </w:rPr>
        <w:t xml:space="preserve">, B. </w:t>
      </w:r>
      <w:hyperlink r:id="rId205">
        <w:r w:rsidR="0030517B" w:rsidRPr="00CA099F">
          <w:rPr>
            <w:rFonts w:eastAsia="Times New Roman" w:cs="Times New Roman"/>
            <w:color w:val="000000"/>
            <w:sz w:val="28"/>
            <w:szCs w:val="28"/>
            <w:lang w:val="en-GB" w:eastAsia="ru-RU"/>
          </w:rPr>
          <w:t>Ma</w:t>
        </w:r>
      </w:hyperlink>
      <w:r w:rsidR="0030517B" w:rsidRPr="00CA099F">
        <w:rPr>
          <w:rFonts w:eastAsia="Times New Roman" w:cs="Times New Roman"/>
          <w:color w:val="000000"/>
          <w:sz w:val="28"/>
          <w:szCs w:val="28"/>
          <w:lang w:val="en-GB" w:eastAsia="ru-RU"/>
        </w:rPr>
        <w:t xml:space="preserve">, Z.F. </w:t>
      </w:r>
      <w:hyperlink r:id="rId206">
        <w:r w:rsidR="0030517B" w:rsidRPr="00CA099F">
          <w:rPr>
            <w:rFonts w:eastAsia="Times New Roman" w:cs="Times New Roman"/>
            <w:color w:val="000000"/>
            <w:sz w:val="28"/>
            <w:szCs w:val="28"/>
            <w:lang w:val="en-GB" w:eastAsia="ru-RU"/>
          </w:rPr>
          <w:t>Xia</w:t>
        </w:r>
      </w:hyperlink>
      <w:r w:rsidR="0030517B" w:rsidRPr="00CA099F">
        <w:rPr>
          <w:rFonts w:eastAsia="Times New Roman" w:cs="Times New Roman"/>
          <w:color w:val="000000"/>
          <w:sz w:val="28"/>
          <w:szCs w:val="28"/>
          <w:lang w:val="en-GB" w:eastAsia="ru-RU"/>
        </w:rPr>
        <w:t xml:space="preserve"> // </w:t>
      </w:r>
      <w:hyperlink r:id="rId207">
        <w:r w:rsidR="0030517B" w:rsidRPr="00CA099F">
          <w:rPr>
            <w:rFonts w:eastAsia="Times New Roman" w:cs="Times New Roman"/>
            <w:color w:val="000000"/>
            <w:sz w:val="28"/>
            <w:szCs w:val="28"/>
            <w:lang w:val="en-GB" w:eastAsia="ru-RU"/>
          </w:rPr>
          <w:t>Zhonghua Shao Shang Za Zhi.</w:t>
        </w:r>
      </w:hyperlink>
      <w:r w:rsidR="0030517B" w:rsidRPr="00CA099F">
        <w:rPr>
          <w:rFonts w:eastAsia="Times New Roman" w:cs="Times New Roman"/>
          <w:color w:val="000000"/>
          <w:sz w:val="28"/>
          <w:szCs w:val="28"/>
          <w:lang w:val="en-GB" w:eastAsia="ru-RU"/>
        </w:rPr>
        <w:t xml:space="preserve"> – 2017. –Vol. 33(3). – P. 152-155.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Are keloid and hypertrophic scar different forms of the same disorder? A fibroproliferative skin disorder hypothesis based on keloid findings / C. Huang, S. Akaishi, H. Hyakusoku, R. Ogawa // Int Wound J – 2014. – Vol. 11. – P. 517–522.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Аветіков Д.С. Особливості будови та біомеханічних властивостей сполучнотканиних структур голови / Д. С. Аветіков // Вісник морфології. – 2010. - № 16(3). – С. 721–726.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Аветіков Д. С. Морфофункціональні особливості будови м’яких тканин різних ділянок голови людини : автореф. дис. на отрим. вчен. ступення докт. мед. наук : спец. 14.03.01 “нормальна анатомія” / Д.С. Аветіков. – Х., 2011. – 37 с.</w:t>
      </w:r>
    </w:p>
    <w:p w:rsidR="0030517B" w:rsidRPr="00CA099F" w:rsidRDefault="0030517B" w:rsidP="0030517B">
      <w:pPr>
        <w:numPr>
          <w:ilvl w:val="0"/>
          <w:numId w:val="17"/>
        </w:numPr>
        <w:pBdr>
          <w:top w:val="nil"/>
          <w:left w:val="nil"/>
          <w:bottom w:val="nil"/>
          <w:right w:val="nil"/>
          <w:between w:val="nil"/>
        </w:pBdr>
        <w:tabs>
          <w:tab w:val="left" w:pos="709"/>
          <w:tab w:val="left" w:pos="93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Перловская В.В. Рубцовые поражения кожи у детей / В.В. Перловская, В.Н. Стальмахович // Сибирский мед. журнал. - 2009. - №7. – С.240-244.</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208">
        <w:r w:rsidR="0030517B" w:rsidRPr="00CA099F">
          <w:rPr>
            <w:rFonts w:eastAsia="Times New Roman" w:cs="Times New Roman"/>
            <w:color w:val="000000"/>
            <w:sz w:val="28"/>
            <w:szCs w:val="28"/>
            <w:lang w:val="en-GB" w:eastAsia="ru-RU"/>
          </w:rPr>
          <w:t>Goldberg</w:t>
        </w:r>
      </w:hyperlink>
      <w:r w:rsidR="0030517B" w:rsidRPr="00CA099F">
        <w:rPr>
          <w:rFonts w:eastAsia="Times New Roman" w:cs="Times New Roman"/>
          <w:color w:val="000000"/>
          <w:sz w:val="28"/>
          <w:szCs w:val="28"/>
          <w:lang w:val="en-GB" w:eastAsia="ru-RU"/>
        </w:rPr>
        <w:t xml:space="preserve"> D.J. Efficacy and Safety of a Novel 100% Silicone Scar Gel Treatment for Early Intervention in Scar Management / </w:t>
      </w:r>
      <w:hyperlink r:id="rId209">
        <w:r w:rsidR="0030517B" w:rsidRPr="00CA099F">
          <w:rPr>
            <w:rFonts w:eastAsia="Times New Roman" w:cs="Times New Roman"/>
            <w:color w:val="000000"/>
            <w:sz w:val="28"/>
            <w:szCs w:val="28"/>
            <w:lang w:val="en-GB" w:eastAsia="ru-RU"/>
          </w:rPr>
          <w:t>Goldberg</w:t>
        </w:r>
      </w:hyperlink>
      <w:r w:rsidR="0030517B" w:rsidRPr="00CA099F">
        <w:rPr>
          <w:rFonts w:eastAsia="Times New Roman" w:cs="Times New Roman"/>
          <w:color w:val="000000"/>
          <w:sz w:val="28"/>
          <w:szCs w:val="28"/>
          <w:lang w:val="en-GB" w:eastAsia="ru-RU"/>
        </w:rPr>
        <w:t xml:space="preserve"> D. J. // </w:t>
      </w:r>
      <w:hyperlink r:id="rId210">
        <w:r w:rsidR="0030517B" w:rsidRPr="00CA099F">
          <w:rPr>
            <w:rFonts w:eastAsia="Times New Roman" w:cs="Times New Roman"/>
            <w:color w:val="000000"/>
            <w:sz w:val="28"/>
            <w:szCs w:val="28"/>
            <w:lang w:val="en-GB" w:eastAsia="ru-RU"/>
          </w:rPr>
          <w:t>J Clin Aesthet Dermatol</w:t>
        </w:r>
      </w:hyperlink>
      <w:r w:rsidR="0030517B" w:rsidRPr="00CA099F">
        <w:rPr>
          <w:rFonts w:eastAsia="Times New Roman" w:cs="Times New Roman"/>
          <w:color w:val="000000"/>
          <w:sz w:val="28"/>
          <w:szCs w:val="28"/>
          <w:lang w:val="en-GB" w:eastAsia="ru-RU"/>
        </w:rPr>
        <w:t>. – 2016. – Vol. 9(12). – P. 13–20.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Management of scars: updated practical guidelines and use of silicones / S. Meaume, A. Le Pillouer-Prost, B. Richert [et al.] // Eur J Dermatol. – 2014. – Vol. 24. – P. 435–443.</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211">
        <w:r w:rsidR="0030517B" w:rsidRPr="00CA099F">
          <w:rPr>
            <w:rFonts w:eastAsia="Times New Roman" w:cs="Times New Roman"/>
            <w:color w:val="000000"/>
            <w:sz w:val="28"/>
            <w:szCs w:val="28"/>
            <w:lang w:val="en-GB" w:eastAsia="ru-RU"/>
          </w:rPr>
          <w:t>Moore</w:t>
        </w:r>
      </w:hyperlink>
      <w:r w:rsidR="0030517B" w:rsidRPr="00CA099F">
        <w:rPr>
          <w:rFonts w:eastAsia="Times New Roman" w:cs="Times New Roman"/>
          <w:color w:val="000000"/>
          <w:sz w:val="28"/>
          <w:szCs w:val="28"/>
          <w:lang w:val="en-GB" w:eastAsia="ru-RU"/>
        </w:rPr>
        <w:t xml:space="preserve"> A. L. Minimizing Skin Scarring through Biomaterial Design / </w:t>
      </w:r>
      <w:hyperlink r:id="rId212">
        <w:r w:rsidR="0030517B" w:rsidRPr="00CA099F">
          <w:rPr>
            <w:rFonts w:eastAsia="Times New Roman" w:cs="Times New Roman"/>
            <w:color w:val="000000"/>
            <w:sz w:val="28"/>
            <w:szCs w:val="28"/>
            <w:lang w:val="en-GB" w:eastAsia="ru-RU"/>
          </w:rPr>
          <w:t>A. L. Moore</w:t>
        </w:r>
      </w:hyperlink>
      <w:r w:rsidR="0030517B" w:rsidRPr="00CA099F">
        <w:rPr>
          <w:rFonts w:eastAsia="Times New Roman" w:cs="Times New Roman"/>
          <w:color w:val="000000"/>
          <w:sz w:val="28"/>
          <w:szCs w:val="28"/>
          <w:lang w:val="en-GB" w:eastAsia="ru-RU"/>
        </w:rPr>
        <w:t>,</w:t>
      </w:r>
      <w:hyperlink r:id="rId213">
        <w:r w:rsidR="0030517B" w:rsidRPr="00CA099F">
          <w:rPr>
            <w:rFonts w:eastAsia="Times New Roman" w:cs="Times New Roman"/>
            <w:color w:val="000000"/>
            <w:sz w:val="28"/>
            <w:szCs w:val="28"/>
            <w:lang w:val="en-GB" w:eastAsia="ru-RU"/>
          </w:rPr>
          <w:t>C. D. Marshall</w:t>
        </w:r>
      </w:hyperlink>
      <w:r w:rsidR="0030517B" w:rsidRPr="00CA099F">
        <w:rPr>
          <w:rFonts w:eastAsia="Times New Roman" w:cs="Times New Roman"/>
          <w:color w:val="000000"/>
          <w:sz w:val="28"/>
          <w:szCs w:val="28"/>
          <w:lang w:val="en-GB" w:eastAsia="ru-RU"/>
        </w:rPr>
        <w:t>,</w:t>
      </w:r>
      <w:hyperlink r:id="rId214">
        <w:r w:rsidR="0030517B" w:rsidRPr="00CA099F">
          <w:rPr>
            <w:rFonts w:eastAsia="Times New Roman" w:cs="Times New Roman"/>
            <w:color w:val="000000"/>
            <w:sz w:val="28"/>
            <w:szCs w:val="28"/>
            <w:lang w:val="en-GB" w:eastAsia="ru-RU"/>
          </w:rPr>
          <w:t>M. T. Longaker</w:t>
        </w:r>
      </w:hyperlink>
      <w:r w:rsidR="0030517B" w:rsidRPr="00CA099F">
        <w:rPr>
          <w:rFonts w:eastAsia="Times New Roman" w:cs="Times New Roman"/>
          <w:color w:val="000000"/>
          <w:sz w:val="28"/>
          <w:szCs w:val="28"/>
          <w:lang w:val="en-GB" w:eastAsia="ru-RU"/>
        </w:rPr>
        <w:t xml:space="preserve"> // </w:t>
      </w:r>
      <w:hyperlink r:id="rId215">
        <w:r w:rsidR="0030517B" w:rsidRPr="00CA099F">
          <w:rPr>
            <w:rFonts w:eastAsia="Times New Roman" w:cs="Times New Roman"/>
            <w:color w:val="000000"/>
            <w:sz w:val="28"/>
            <w:szCs w:val="28"/>
            <w:lang w:val="en-GB" w:eastAsia="ru-RU"/>
          </w:rPr>
          <w:t>J Funct Biomater</w:t>
        </w:r>
      </w:hyperlink>
      <w:r w:rsidR="0030517B" w:rsidRPr="00CA099F">
        <w:rPr>
          <w:rFonts w:eastAsia="Times New Roman" w:cs="Times New Roman"/>
          <w:color w:val="000000"/>
          <w:sz w:val="28"/>
          <w:szCs w:val="28"/>
          <w:lang w:val="en-GB" w:eastAsia="ru-RU"/>
        </w:rPr>
        <w:t>. – 2017. – Vol. 8(1). – P. 3.</w:t>
      </w:r>
    </w:p>
    <w:p w:rsidR="0030517B" w:rsidRPr="00CA099F" w:rsidRDefault="0030517B" w:rsidP="0030517B">
      <w:pPr>
        <w:numPr>
          <w:ilvl w:val="0"/>
          <w:numId w:val="17"/>
        </w:numPr>
        <w:pBdr>
          <w:top w:val="nil"/>
          <w:left w:val="nil"/>
          <w:bottom w:val="nil"/>
          <w:right w:val="nil"/>
          <w:between w:val="nil"/>
        </w:pBdr>
        <w:tabs>
          <w:tab w:val="left" w:pos="709"/>
          <w:tab w:val="left" w:pos="930"/>
        </w:tabs>
        <w:spacing w:after="0" w:line="360" w:lineRule="auto"/>
        <w:ind w:right="300"/>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Scarless wound healing: finding the right cells and signals / T. Leavitt, M.S. Hu, C.D. Marshall [et al.] // Cell and Tissue Research. – 2016. – Vol. 365. – P. 483–493.</w:t>
      </w:r>
    </w:p>
    <w:p w:rsidR="0030517B" w:rsidRPr="00CA099F" w:rsidRDefault="0030517B" w:rsidP="0030517B">
      <w:pPr>
        <w:numPr>
          <w:ilvl w:val="0"/>
          <w:numId w:val="17"/>
        </w:numPr>
        <w:pBdr>
          <w:top w:val="nil"/>
          <w:left w:val="nil"/>
          <w:bottom w:val="nil"/>
          <w:right w:val="nil"/>
          <w:between w:val="nil"/>
        </w:pBdr>
        <w:tabs>
          <w:tab w:val="left" w:pos="709"/>
          <w:tab w:val="left" w:pos="93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Экспериментальное обоснование целесообразности ранней коррекции послеоперационных рубцов излучением С02-лазера в суперимпульсном режиме / В.Ф. Куликовский, Н.В. Олейник, </w:t>
      </w:r>
      <w:r w:rsidRPr="00CA099F">
        <w:rPr>
          <w:rFonts w:eastAsia="Times New Roman" w:cs="Times New Roman"/>
          <w:color w:val="000000"/>
          <w:sz w:val="28"/>
          <w:szCs w:val="28"/>
          <w:lang w:val="en-GB" w:eastAsia="ru-RU"/>
        </w:rPr>
        <w:t>A</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A</w:t>
      </w:r>
      <w:r w:rsidRPr="00CA099F">
        <w:rPr>
          <w:rFonts w:eastAsia="Times New Roman" w:cs="Times New Roman"/>
          <w:color w:val="000000"/>
          <w:sz w:val="28"/>
          <w:szCs w:val="28"/>
          <w:lang w:val="ru-RU" w:eastAsia="ru-RU"/>
        </w:rPr>
        <w:t>. Должиков, Ю.Е. Щербатова // Альманах клинической медицины. - 2007. - №6. – С. 93-96.</w:t>
      </w:r>
    </w:p>
    <w:p w:rsidR="0030517B" w:rsidRPr="00CA099F" w:rsidRDefault="0030517B" w:rsidP="0030517B">
      <w:pPr>
        <w:numPr>
          <w:ilvl w:val="0"/>
          <w:numId w:val="17"/>
        </w:numPr>
        <w:pBdr>
          <w:top w:val="nil"/>
          <w:left w:val="nil"/>
          <w:bottom w:val="nil"/>
          <w:right w:val="nil"/>
          <w:between w:val="nil"/>
        </w:pBdr>
        <w:tabs>
          <w:tab w:val="left" w:pos="709"/>
          <w:tab w:val="left" w:pos="949"/>
        </w:tabs>
        <w:spacing w:after="0" w:line="360" w:lineRule="auto"/>
        <w:ind w:right="20"/>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Gauglitz G.G. Hypertrophic Scarring and Keloids: Pathomechanisms and Current and Emerging Treatment Strategies / G.G. Gauglitz, H.C. Korting, T. Pavicic // Mol.Med. – 2011. – Vol. 17(1-2). – P. 113-125.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Gungsuh" w:cs="Times New Roman"/>
          <w:color w:val="000000"/>
          <w:sz w:val="28"/>
          <w:szCs w:val="28"/>
          <w:lang w:val="en-GB" w:eastAsia="ru-RU"/>
        </w:rPr>
        <w:t>Kelemen O. A comparative clinical study of the treatment of hypertrophic scars with either intralaesional steroids or silicone gel sheeting / O. Kelemen, L. Kollar, G. Menuhei // Magy Seb. – 2007. – Vol. 60(6). − P. 297−300.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Денисенко О.Г. Диференційна діагностика і лікування келоїдних та гіпертрофічних рубців / О.Г. Денисенко, Р.О. Чернышов // Галицький лікарський вісник. – 2006. – Т. 13, № 1. – С. 112– 115.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Озерская О. С. Патогенетическое обоснование новых методов терапии рубцов : автореф. дисс. на соиск учен. степ. д. мед. н. : спец. 14.00.11 “кожные и венерические болезни” / О. С.Озерская. – СПб., 2002. – 38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en-GB" w:eastAsia="ru-RU"/>
        </w:rPr>
        <w:lastRenderedPageBreak/>
        <w:t xml:space="preserve">Postoperative radiation protocol for keloids and hypertrophic scars: statistical analysis of 370 sites followed for over 18 months / R. Ogawa, T. Miyashita, H. Hyakusoku [et al.] // Ann Plast Surg. – 2007. – Vol.  </w:t>
      </w:r>
      <w:r w:rsidRPr="00CA099F">
        <w:rPr>
          <w:rFonts w:eastAsia="Times New Roman" w:cs="Times New Roman"/>
          <w:color w:val="000000"/>
          <w:sz w:val="28"/>
          <w:szCs w:val="28"/>
          <w:lang w:val="ru-RU" w:eastAsia="ru-RU"/>
        </w:rPr>
        <w:t xml:space="preserve">59. – </w:t>
      </w:r>
      <w:r w:rsidRPr="00CA099F">
        <w:rPr>
          <w:rFonts w:eastAsia="Times New Roman" w:cs="Times New Roman"/>
          <w:color w:val="000000"/>
          <w:sz w:val="28"/>
          <w:szCs w:val="28"/>
          <w:lang w:val="en-GB" w:eastAsia="ru-RU"/>
        </w:rPr>
        <w:t>P</w:t>
      </w:r>
      <w:r w:rsidRPr="00CA099F">
        <w:rPr>
          <w:rFonts w:eastAsia="Times New Roman" w:cs="Times New Roman"/>
          <w:color w:val="000000"/>
          <w:sz w:val="28"/>
          <w:szCs w:val="28"/>
          <w:lang w:val="ru-RU" w:eastAsia="ru-RU"/>
        </w:rPr>
        <w:t>. 688–691.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Проценко Т.В. Комплексное лечение больных с гипертрофическими рубцами с применением лучей Букки : автореф. дис на соиск учен. степ. к.мед.н. : спец. 14.00.11 – «кожные и венерические болезни» / Т.В. Проценко. – М., 1983. – 24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t>Слесаренко С.В. Оценка эффективности компрессионной терапии у пациентов с послеожоговыми рубцами / С.В. Слесаренко, П.А. Бадюл // Хірургія України. − 2006. −№2 (18). −С. 47−53.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Compression therapy affects collagen type balance in hypertrophic scar / S. Tejiram, J. Zhang, T.E. Travis [et al.] // J Surg Res. – 2016. – Vol. 201. – P 299–305.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Development of a best evidence statement for the use of pressure therapy for management of hypertrophic scarring / P.A. Sharp, B. Pan, K.P. Yakuboff, D. Rothchild // J Burn Care Res. – 2016. – Vol. 37. – P. 255–264.</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US" w:eastAsia="ru-RU"/>
        </w:rPr>
      </w:pPr>
      <w:r w:rsidRPr="00CA099F">
        <w:rPr>
          <w:rFonts w:eastAsia="Times New Roman" w:cs="Times New Roman"/>
          <w:color w:val="000000"/>
          <w:sz w:val="28"/>
          <w:szCs w:val="28"/>
          <w:lang w:val="ru-RU" w:eastAsia="ru-RU"/>
        </w:rPr>
        <w:t xml:space="preserve">Чугуй Е.В. Криолечение рубцов покровных тканей : автореф. дисс.на соиск учен. степ. к.мед.н. : спец. </w:t>
      </w:r>
      <w:r w:rsidRPr="00CA099F">
        <w:rPr>
          <w:rFonts w:eastAsia="Times New Roman" w:cs="Times New Roman"/>
          <w:color w:val="000000"/>
          <w:sz w:val="28"/>
          <w:szCs w:val="28"/>
          <w:lang w:val="en-US" w:eastAsia="ru-RU"/>
        </w:rPr>
        <w:t>14.00.27 – «</w:t>
      </w:r>
      <w:r w:rsidRPr="00CA099F">
        <w:rPr>
          <w:rFonts w:eastAsia="Times New Roman" w:cs="Times New Roman"/>
          <w:color w:val="000000"/>
          <w:sz w:val="28"/>
          <w:szCs w:val="28"/>
          <w:lang w:val="ru-RU" w:eastAsia="ru-RU"/>
        </w:rPr>
        <w:t>хірургія</w:t>
      </w:r>
      <w:r w:rsidRPr="00CA099F">
        <w:rPr>
          <w:rFonts w:eastAsia="Times New Roman" w:cs="Times New Roman"/>
          <w:color w:val="000000"/>
          <w:sz w:val="28"/>
          <w:szCs w:val="28"/>
          <w:lang w:val="en-US" w:eastAsia="ru-RU"/>
        </w:rPr>
        <w:t xml:space="preserve">» / </w:t>
      </w:r>
      <w:r w:rsidRPr="00CA099F">
        <w:rPr>
          <w:rFonts w:eastAsia="Times New Roman" w:cs="Times New Roman"/>
          <w:color w:val="000000"/>
          <w:sz w:val="28"/>
          <w:szCs w:val="28"/>
          <w:lang w:val="ru-RU" w:eastAsia="ru-RU"/>
        </w:rPr>
        <w:t>Е</w:t>
      </w:r>
      <w:r w:rsidRPr="00CA099F">
        <w:rPr>
          <w:rFonts w:eastAsia="Times New Roman" w:cs="Times New Roman"/>
          <w:color w:val="000000"/>
          <w:sz w:val="28"/>
          <w:szCs w:val="28"/>
          <w:lang w:val="en-US" w:eastAsia="ru-RU"/>
        </w:rPr>
        <w:t>.</w:t>
      </w:r>
      <w:r w:rsidRPr="00CA099F">
        <w:rPr>
          <w:rFonts w:eastAsia="Times New Roman" w:cs="Times New Roman"/>
          <w:color w:val="000000"/>
          <w:sz w:val="28"/>
          <w:szCs w:val="28"/>
          <w:lang w:val="ru-RU" w:eastAsia="ru-RU"/>
        </w:rPr>
        <w:t>В</w:t>
      </w:r>
      <w:r w:rsidRPr="00CA099F">
        <w:rPr>
          <w:rFonts w:eastAsia="Times New Roman" w:cs="Times New Roman"/>
          <w:color w:val="000000"/>
          <w:sz w:val="28"/>
          <w:szCs w:val="28"/>
          <w:lang w:val="en-US" w:eastAsia="ru-RU"/>
        </w:rPr>
        <w:t>.</w:t>
      </w:r>
      <w:r w:rsidRPr="00CA099F">
        <w:rPr>
          <w:rFonts w:eastAsia="Times New Roman" w:cs="Times New Roman"/>
          <w:color w:val="000000"/>
          <w:sz w:val="28"/>
          <w:szCs w:val="28"/>
          <w:lang w:val="ru-RU" w:eastAsia="ru-RU"/>
        </w:rPr>
        <w:t>Чугуй</w:t>
      </w:r>
      <w:r w:rsidRPr="00CA099F">
        <w:rPr>
          <w:rFonts w:eastAsia="Times New Roman" w:cs="Times New Roman"/>
          <w:color w:val="000000"/>
          <w:sz w:val="28"/>
          <w:szCs w:val="28"/>
          <w:lang w:val="en-US" w:eastAsia="ru-RU"/>
        </w:rPr>
        <w:t xml:space="preserve">. – </w:t>
      </w:r>
      <w:r w:rsidRPr="00CA099F">
        <w:rPr>
          <w:rFonts w:eastAsia="Times New Roman" w:cs="Times New Roman"/>
          <w:color w:val="000000"/>
          <w:sz w:val="28"/>
          <w:szCs w:val="28"/>
          <w:lang w:val="ru-RU" w:eastAsia="ru-RU"/>
        </w:rPr>
        <w:t>Томск</w:t>
      </w:r>
      <w:r w:rsidRPr="00CA099F">
        <w:rPr>
          <w:rFonts w:eastAsia="Times New Roman" w:cs="Times New Roman"/>
          <w:color w:val="000000"/>
          <w:sz w:val="28"/>
          <w:szCs w:val="28"/>
          <w:lang w:val="en-US" w:eastAsia="ru-RU"/>
        </w:rPr>
        <w:t>, 2003. – 28</w:t>
      </w:r>
      <w:r w:rsidRPr="00CA099F">
        <w:rPr>
          <w:rFonts w:eastAsia="Times New Roman" w:cs="Times New Roman"/>
          <w:color w:val="000000"/>
          <w:sz w:val="28"/>
          <w:szCs w:val="28"/>
          <w:lang w:val="ru-RU" w:eastAsia="ru-RU"/>
        </w:rPr>
        <w:t>с</w:t>
      </w:r>
      <w:r w:rsidRPr="00CA099F">
        <w:rPr>
          <w:rFonts w:eastAsia="Times New Roman" w:cs="Times New Roman"/>
          <w:color w:val="000000"/>
          <w:sz w:val="28"/>
          <w:szCs w:val="28"/>
          <w:lang w:val="en-US" w:eastAsia="ru-RU"/>
        </w:rPr>
        <w:t>.</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Gungsuh" w:cs="Times New Roman"/>
          <w:color w:val="000000"/>
          <w:sz w:val="28"/>
          <w:szCs w:val="28"/>
          <w:lang w:val="en-GB" w:eastAsia="ru-RU"/>
        </w:rPr>
        <w:t>Rusciani L. Cryotherapy in the treatment of keloids / L. Rusciani // J Drug Dermatol. – 2006. – Vol. 5(7). – P. 591−595.</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216">
        <w:r w:rsidR="0030517B" w:rsidRPr="00CA099F">
          <w:rPr>
            <w:rFonts w:eastAsia="Times New Roman" w:cs="Times New Roman"/>
            <w:color w:val="000000"/>
            <w:sz w:val="28"/>
            <w:szCs w:val="28"/>
            <w:lang w:val="en-GB" w:eastAsia="ru-RU"/>
          </w:rPr>
          <w:t>Liu D.Q</w:t>
        </w:r>
      </w:hyperlink>
      <w:r w:rsidR="0030517B" w:rsidRPr="00CA099F">
        <w:rPr>
          <w:rFonts w:eastAsia="Times New Roman" w:cs="Times New Roman"/>
          <w:color w:val="000000"/>
          <w:sz w:val="28"/>
          <w:szCs w:val="28"/>
          <w:lang w:val="en-GB" w:eastAsia="ru-RU"/>
        </w:rPr>
        <w:t xml:space="preserve">. Effect of BTXA on Inhibiting Hypertrophic Scar Formation in a Rabbit Ear Model / D.Q. </w:t>
      </w:r>
      <w:hyperlink r:id="rId217">
        <w:r w:rsidR="0030517B" w:rsidRPr="00CA099F">
          <w:rPr>
            <w:rFonts w:eastAsia="Times New Roman" w:cs="Times New Roman"/>
            <w:color w:val="000000"/>
            <w:sz w:val="28"/>
            <w:szCs w:val="28"/>
            <w:lang w:val="en-GB" w:eastAsia="ru-RU"/>
          </w:rPr>
          <w:t>Liu</w:t>
        </w:r>
      </w:hyperlink>
      <w:r w:rsidR="0030517B" w:rsidRPr="00CA099F">
        <w:rPr>
          <w:rFonts w:eastAsia="Times New Roman" w:cs="Times New Roman"/>
          <w:color w:val="000000"/>
          <w:sz w:val="28"/>
          <w:szCs w:val="28"/>
          <w:lang w:val="en-GB" w:eastAsia="ru-RU"/>
        </w:rPr>
        <w:t xml:space="preserve">, X.J. </w:t>
      </w:r>
      <w:hyperlink r:id="rId218">
        <w:r w:rsidR="0030517B" w:rsidRPr="00CA099F">
          <w:rPr>
            <w:rFonts w:eastAsia="Times New Roman" w:cs="Times New Roman"/>
            <w:color w:val="000000"/>
            <w:sz w:val="28"/>
            <w:szCs w:val="28"/>
            <w:lang w:val="en-GB" w:eastAsia="ru-RU"/>
          </w:rPr>
          <w:t>Li</w:t>
        </w:r>
      </w:hyperlink>
      <w:r w:rsidR="0030517B" w:rsidRPr="00CA099F">
        <w:rPr>
          <w:rFonts w:eastAsia="Times New Roman" w:cs="Times New Roman"/>
          <w:color w:val="000000"/>
          <w:sz w:val="28"/>
          <w:szCs w:val="28"/>
          <w:lang w:val="en-GB" w:eastAsia="ru-RU"/>
        </w:rPr>
        <w:t xml:space="preserve">, X.J. </w:t>
      </w:r>
      <w:hyperlink r:id="rId219">
        <w:r w:rsidR="0030517B" w:rsidRPr="00CA099F">
          <w:rPr>
            <w:rFonts w:eastAsia="Times New Roman" w:cs="Times New Roman"/>
            <w:color w:val="000000"/>
            <w:sz w:val="28"/>
            <w:szCs w:val="28"/>
            <w:lang w:val="en-GB" w:eastAsia="ru-RU"/>
          </w:rPr>
          <w:t xml:space="preserve">Weng </w:t>
        </w:r>
      </w:hyperlink>
      <w:r w:rsidR="0030517B" w:rsidRPr="00CA099F">
        <w:rPr>
          <w:rFonts w:eastAsia="Times New Roman" w:cs="Times New Roman"/>
          <w:color w:val="000000"/>
          <w:sz w:val="28"/>
          <w:szCs w:val="28"/>
          <w:lang w:val="en-GB" w:eastAsia="ru-RU"/>
        </w:rPr>
        <w:t xml:space="preserve">// </w:t>
      </w:r>
      <w:hyperlink r:id="rId220">
        <w:r w:rsidR="0030517B" w:rsidRPr="00CA099F">
          <w:rPr>
            <w:rFonts w:eastAsia="Times New Roman" w:cs="Times New Roman"/>
            <w:color w:val="000000"/>
            <w:sz w:val="28"/>
            <w:szCs w:val="28"/>
            <w:lang w:val="en-GB" w:eastAsia="ru-RU"/>
          </w:rPr>
          <w:t>Aesthetic Plast Surg.</w:t>
        </w:r>
      </w:hyperlink>
      <w:r w:rsidR="0030517B" w:rsidRPr="00CA099F">
        <w:rPr>
          <w:rFonts w:eastAsia="Times New Roman" w:cs="Times New Roman"/>
          <w:color w:val="000000"/>
          <w:sz w:val="28"/>
          <w:szCs w:val="28"/>
          <w:lang w:val="en-GB" w:eastAsia="ru-RU"/>
        </w:rPr>
        <w:t xml:space="preserve"> – 2017. – Vol. 41(3). – P. 721-728.</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Advances in the research of mechanism in prevention and treatment of scar with botulinum toxin type A and its clinical application / Y.H. </w:t>
      </w:r>
      <w:hyperlink r:id="rId221">
        <w:r w:rsidRPr="00CA099F">
          <w:rPr>
            <w:rFonts w:eastAsia="Times New Roman" w:cs="Times New Roman"/>
            <w:color w:val="000000"/>
            <w:sz w:val="28"/>
            <w:szCs w:val="28"/>
            <w:lang w:val="en-GB" w:eastAsia="ru-RU"/>
          </w:rPr>
          <w:t>Li</w:t>
        </w:r>
      </w:hyperlink>
      <w:r w:rsidRPr="00CA099F">
        <w:rPr>
          <w:rFonts w:eastAsia="Times New Roman" w:cs="Times New Roman"/>
          <w:color w:val="000000"/>
          <w:sz w:val="28"/>
          <w:szCs w:val="28"/>
          <w:lang w:val="en-GB" w:eastAsia="ru-RU"/>
        </w:rPr>
        <w:t xml:space="preserve">, J.Q. </w:t>
      </w:r>
      <w:hyperlink r:id="rId222">
        <w:r w:rsidRPr="00CA099F">
          <w:rPr>
            <w:rFonts w:eastAsia="Times New Roman" w:cs="Times New Roman"/>
            <w:color w:val="000000"/>
            <w:sz w:val="28"/>
            <w:szCs w:val="28"/>
            <w:lang w:val="en-GB" w:eastAsia="ru-RU"/>
          </w:rPr>
          <w:t>Liu</w:t>
        </w:r>
      </w:hyperlink>
      <w:r w:rsidRPr="00CA099F">
        <w:rPr>
          <w:rFonts w:eastAsia="Times New Roman" w:cs="Times New Roman"/>
          <w:color w:val="000000"/>
          <w:sz w:val="28"/>
          <w:szCs w:val="28"/>
          <w:lang w:val="en-GB" w:eastAsia="ru-RU"/>
        </w:rPr>
        <w:t xml:space="preserve">, D. </w:t>
      </w:r>
      <w:hyperlink r:id="rId223">
        <w:r w:rsidRPr="00CA099F">
          <w:rPr>
            <w:rFonts w:eastAsia="Times New Roman" w:cs="Times New Roman"/>
            <w:color w:val="000000"/>
            <w:sz w:val="28"/>
            <w:szCs w:val="28"/>
            <w:lang w:val="en-GB" w:eastAsia="ru-RU"/>
          </w:rPr>
          <w:t xml:space="preserve">Xiao </w:t>
        </w:r>
      </w:hyperlink>
      <w:r w:rsidRPr="00CA099F">
        <w:rPr>
          <w:rFonts w:eastAsia="Times New Roman" w:cs="Times New Roman"/>
          <w:color w:val="000000"/>
          <w:sz w:val="28"/>
          <w:szCs w:val="28"/>
          <w:lang w:val="en-GB" w:eastAsia="ru-RU"/>
        </w:rPr>
        <w:t xml:space="preserve">[et al.] // </w:t>
      </w:r>
      <w:hyperlink r:id="rId224">
        <w:r w:rsidRPr="00CA099F">
          <w:rPr>
            <w:rFonts w:eastAsia="Times New Roman" w:cs="Times New Roman"/>
            <w:color w:val="000000"/>
            <w:sz w:val="28"/>
            <w:szCs w:val="28"/>
            <w:lang w:val="en-GB" w:eastAsia="ru-RU"/>
          </w:rPr>
          <w:t>Zhonghua Shao Shang Za Zhi.</w:t>
        </w:r>
      </w:hyperlink>
      <w:r w:rsidRPr="00CA099F">
        <w:rPr>
          <w:rFonts w:eastAsia="Times New Roman" w:cs="Times New Roman"/>
          <w:color w:val="000000"/>
          <w:sz w:val="28"/>
          <w:szCs w:val="28"/>
          <w:lang w:val="en-GB" w:eastAsia="ru-RU"/>
        </w:rPr>
        <w:t xml:space="preserve"> – 2017. – Vol. 33(4). – P. 254-256.</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US" w:eastAsia="ru-RU"/>
        </w:rPr>
      </w:pPr>
      <w:hyperlink r:id="rId225">
        <w:r w:rsidR="0030517B" w:rsidRPr="00CA099F">
          <w:rPr>
            <w:rFonts w:eastAsia="Times New Roman" w:cs="Times New Roman"/>
            <w:color w:val="000000"/>
            <w:sz w:val="28"/>
            <w:szCs w:val="28"/>
            <w:lang w:val="en-GB" w:eastAsia="ru-RU"/>
          </w:rPr>
          <w:t>Jablonka E.M</w:t>
        </w:r>
      </w:hyperlink>
      <w:r w:rsidR="0030517B" w:rsidRPr="00CA099F">
        <w:rPr>
          <w:rFonts w:eastAsia="Times New Roman" w:cs="Times New Roman"/>
          <w:color w:val="000000"/>
          <w:sz w:val="28"/>
          <w:szCs w:val="28"/>
          <w:lang w:val="en-GB" w:eastAsia="ru-RU"/>
        </w:rPr>
        <w:t xml:space="preserve">. Botulinum toxin to minimize facial scarring / E.M. </w:t>
      </w:r>
      <w:hyperlink r:id="rId226">
        <w:r w:rsidR="0030517B" w:rsidRPr="00CA099F">
          <w:rPr>
            <w:rFonts w:eastAsia="Times New Roman" w:cs="Times New Roman"/>
            <w:color w:val="000000"/>
            <w:sz w:val="28"/>
            <w:szCs w:val="28"/>
            <w:lang w:val="en-GB" w:eastAsia="ru-RU"/>
          </w:rPr>
          <w:t>Jablonka</w:t>
        </w:r>
      </w:hyperlink>
      <w:r w:rsidR="0030517B" w:rsidRPr="00CA099F">
        <w:rPr>
          <w:rFonts w:eastAsia="Times New Roman" w:cs="Times New Roman"/>
          <w:color w:val="000000"/>
          <w:sz w:val="28"/>
          <w:szCs w:val="28"/>
          <w:lang w:val="en-GB" w:eastAsia="ru-RU"/>
        </w:rPr>
        <w:t xml:space="preserve">, D.A. </w:t>
      </w:r>
      <w:hyperlink r:id="rId227">
        <w:r w:rsidR="0030517B" w:rsidRPr="00CA099F">
          <w:rPr>
            <w:rFonts w:eastAsia="Times New Roman" w:cs="Times New Roman"/>
            <w:color w:val="000000"/>
            <w:sz w:val="28"/>
            <w:szCs w:val="28"/>
            <w:lang w:val="en-GB" w:eastAsia="ru-RU"/>
          </w:rPr>
          <w:t>Sherris</w:t>
        </w:r>
      </w:hyperlink>
      <w:r w:rsidR="0030517B" w:rsidRPr="00CA099F">
        <w:rPr>
          <w:rFonts w:eastAsia="Times New Roman" w:cs="Times New Roman"/>
          <w:color w:val="000000"/>
          <w:sz w:val="28"/>
          <w:szCs w:val="28"/>
          <w:lang w:val="en-GB" w:eastAsia="ru-RU"/>
        </w:rPr>
        <w:t xml:space="preserve">, H.G. </w:t>
      </w:r>
      <w:hyperlink r:id="rId228">
        <w:r w:rsidR="0030517B" w:rsidRPr="00CA099F">
          <w:rPr>
            <w:rFonts w:eastAsia="Times New Roman" w:cs="Times New Roman"/>
            <w:color w:val="000000"/>
            <w:sz w:val="28"/>
            <w:szCs w:val="28"/>
            <w:lang w:val="en-GB" w:eastAsia="ru-RU"/>
          </w:rPr>
          <w:t>Gassner</w:t>
        </w:r>
      </w:hyperlink>
      <w:r w:rsidR="0030517B" w:rsidRPr="00CA099F">
        <w:rPr>
          <w:rFonts w:eastAsia="Times New Roman" w:cs="Times New Roman"/>
          <w:color w:val="000000"/>
          <w:sz w:val="28"/>
          <w:szCs w:val="28"/>
          <w:lang w:val="en-GB" w:eastAsia="ru-RU"/>
        </w:rPr>
        <w:t xml:space="preserve"> // </w:t>
      </w:r>
      <w:hyperlink r:id="rId229">
        <w:r w:rsidR="0030517B" w:rsidRPr="00CA099F">
          <w:rPr>
            <w:rFonts w:eastAsia="Times New Roman" w:cs="Times New Roman"/>
            <w:color w:val="000000"/>
            <w:sz w:val="28"/>
            <w:szCs w:val="28"/>
            <w:lang w:val="en-GB" w:eastAsia="ru-RU"/>
          </w:rPr>
          <w:t>Facial Plast Surg.</w:t>
        </w:r>
      </w:hyperlink>
      <w:r w:rsidR="0030517B" w:rsidRPr="00CA099F">
        <w:rPr>
          <w:rFonts w:eastAsia="Times New Roman" w:cs="Times New Roman"/>
          <w:color w:val="000000"/>
          <w:sz w:val="28"/>
          <w:szCs w:val="28"/>
          <w:lang w:val="en-US" w:eastAsia="ru-RU"/>
        </w:rPr>
        <w:t xml:space="preserve">– 2012. – </w:t>
      </w:r>
      <w:r w:rsidR="0030517B" w:rsidRPr="00CA099F">
        <w:rPr>
          <w:rFonts w:eastAsia="Times New Roman" w:cs="Times New Roman"/>
          <w:color w:val="000000"/>
          <w:sz w:val="28"/>
          <w:szCs w:val="28"/>
          <w:lang w:val="en-GB" w:eastAsia="ru-RU"/>
        </w:rPr>
        <w:t>Vol</w:t>
      </w:r>
      <w:r w:rsidR="0030517B" w:rsidRPr="00CA099F">
        <w:rPr>
          <w:rFonts w:eastAsia="Times New Roman" w:cs="Times New Roman"/>
          <w:color w:val="000000"/>
          <w:sz w:val="28"/>
          <w:szCs w:val="28"/>
          <w:lang w:val="en-US" w:eastAsia="ru-RU"/>
        </w:rPr>
        <w:t xml:space="preserve">. 28(5). – </w:t>
      </w:r>
      <w:r w:rsidR="0030517B" w:rsidRPr="00CA099F">
        <w:rPr>
          <w:rFonts w:eastAsia="Times New Roman" w:cs="Times New Roman"/>
          <w:color w:val="000000"/>
          <w:sz w:val="28"/>
          <w:szCs w:val="28"/>
          <w:lang w:val="en-GB" w:eastAsia="ru-RU"/>
        </w:rPr>
        <w:t>P</w:t>
      </w:r>
      <w:r w:rsidR="0030517B" w:rsidRPr="00CA099F">
        <w:rPr>
          <w:rFonts w:eastAsia="Times New Roman" w:cs="Times New Roman"/>
          <w:color w:val="000000"/>
          <w:sz w:val="28"/>
          <w:szCs w:val="28"/>
          <w:lang w:val="en-US" w:eastAsia="ru-RU"/>
        </w:rPr>
        <w:t>. 525-35.</w:t>
      </w:r>
    </w:p>
    <w:p w:rsidR="0030517B" w:rsidRPr="00CA099F" w:rsidRDefault="0030517B" w:rsidP="0030517B">
      <w:pPr>
        <w:numPr>
          <w:ilvl w:val="0"/>
          <w:numId w:val="17"/>
        </w:numPr>
        <w:pBdr>
          <w:top w:val="nil"/>
          <w:left w:val="nil"/>
          <w:bottom w:val="nil"/>
          <w:right w:val="nil"/>
          <w:between w:val="nil"/>
        </w:pBdr>
        <w:tabs>
          <w:tab w:val="left" w:pos="709"/>
          <w:tab w:val="left" w:pos="93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Забненкова О.В. Физиотерапевтические методы в программах постоперационной реабилитации пациентов / О.В. Забненкова, </w:t>
      </w:r>
      <w:r w:rsidRPr="00CA099F">
        <w:rPr>
          <w:rFonts w:eastAsia="Times New Roman" w:cs="Times New Roman"/>
          <w:color w:val="000000"/>
          <w:sz w:val="28"/>
          <w:szCs w:val="28"/>
          <w:lang w:val="en-GB" w:eastAsia="ru-RU"/>
        </w:rPr>
        <w:t>A</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C</w:t>
      </w:r>
      <w:r w:rsidRPr="00CA099F">
        <w:rPr>
          <w:rFonts w:eastAsia="Times New Roman" w:cs="Times New Roman"/>
          <w:color w:val="000000"/>
          <w:sz w:val="28"/>
          <w:szCs w:val="28"/>
          <w:lang w:val="ru-RU" w:eastAsia="ru-RU"/>
        </w:rPr>
        <w:t>. Пирогова //Эксп. и клин, дермато- космет. - 2009. - №2. - С.52-57.</w:t>
      </w:r>
    </w:p>
    <w:p w:rsidR="0030517B" w:rsidRPr="00CA099F" w:rsidRDefault="0030517B" w:rsidP="0030517B">
      <w:pPr>
        <w:numPr>
          <w:ilvl w:val="0"/>
          <w:numId w:val="17"/>
        </w:numPr>
        <w:pBdr>
          <w:top w:val="nil"/>
          <w:left w:val="nil"/>
          <w:bottom w:val="nil"/>
          <w:right w:val="nil"/>
          <w:between w:val="nil"/>
        </w:pBdr>
        <w:tabs>
          <w:tab w:val="left" w:pos="709"/>
          <w:tab w:val="left" w:pos="929"/>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Кондратьева Ю.С. Рубцы кожи : методическое пособие / Ю.С. Кондратьева, Е.Ю. Неверова. – М. : ЗАО «МираксФарма», 2010. – 32 с.</w:t>
      </w:r>
    </w:p>
    <w:p w:rsidR="0030517B" w:rsidRPr="00CA099F" w:rsidRDefault="0030517B" w:rsidP="0030517B">
      <w:pPr>
        <w:numPr>
          <w:ilvl w:val="0"/>
          <w:numId w:val="17"/>
        </w:numPr>
        <w:pBdr>
          <w:top w:val="nil"/>
          <w:left w:val="nil"/>
          <w:bottom w:val="nil"/>
          <w:right w:val="nil"/>
          <w:between w:val="nil"/>
        </w:pBdr>
        <w:tabs>
          <w:tab w:val="left" w:pos="709"/>
          <w:tab w:val="left" w:pos="94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Проскурина В.Ю. Применение микротоковой терапии при восстановлении и адаптации кожи / В.Ю. Проскурина // Экп. и клин, дерматокосм. – 2006. - №.2. – С. 27-30.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Соболева И.В. Обоснование тактики лечения детей с послеожоговыми рубцами кожи : автореф. дис. на соиск. учен. степени д.мед.н. : спец. 14.00.27 “Хірургія” / И. В. Соболева. – М., 2007. – 26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t>Герасименко М.И. Различные подходы к использованию ультрафонофореза при рубцах / М.И. Герасименко, В.Г. Зенгер, Ж.И. Усова // Вопросы курортологии, физиотерапии, лечебной физкультуры. – 2002. – Т 2. – С. 36−38.</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Ultrapulsed fractional ablative carbon dioxide laser treatment of hypertrophic burn scars: evaluation of an in-patient controlled, standardized treatment approach / </w:t>
      </w:r>
      <w:hyperlink r:id="rId230">
        <w:r w:rsidRPr="00CA099F">
          <w:rPr>
            <w:rFonts w:eastAsia="Times New Roman" w:cs="Times New Roman"/>
            <w:color w:val="000000"/>
            <w:sz w:val="28"/>
            <w:szCs w:val="28"/>
            <w:lang w:val="en-GB" w:eastAsia="ru-RU"/>
          </w:rPr>
          <w:t>J</w:t>
        </w:r>
      </w:hyperlink>
      <w:r w:rsidRPr="00CA099F">
        <w:rPr>
          <w:rFonts w:eastAsia="Times New Roman" w:cs="Times New Roman"/>
          <w:color w:val="000000"/>
          <w:sz w:val="28"/>
          <w:szCs w:val="28"/>
          <w:lang w:val="en-GB" w:eastAsia="ru-RU"/>
        </w:rPr>
        <w:t xml:space="preserve">. Poetschke, U. </w:t>
      </w:r>
      <w:hyperlink r:id="rId231">
        <w:r w:rsidRPr="00CA099F">
          <w:rPr>
            <w:rFonts w:eastAsia="Times New Roman" w:cs="Times New Roman"/>
            <w:color w:val="000000"/>
            <w:sz w:val="28"/>
            <w:szCs w:val="28"/>
            <w:lang w:val="en-GB" w:eastAsia="ru-RU"/>
          </w:rPr>
          <w:t>Dornseifer</w:t>
        </w:r>
      </w:hyperlink>
      <w:r w:rsidRPr="00CA099F">
        <w:rPr>
          <w:rFonts w:eastAsia="Times New Roman" w:cs="Times New Roman"/>
          <w:color w:val="000000"/>
          <w:sz w:val="28"/>
          <w:szCs w:val="28"/>
          <w:lang w:val="en-GB" w:eastAsia="ru-RU"/>
        </w:rPr>
        <w:t xml:space="preserve">, M.T. </w:t>
      </w:r>
      <w:hyperlink r:id="rId232">
        <w:r w:rsidRPr="00CA099F">
          <w:rPr>
            <w:rFonts w:eastAsia="Times New Roman" w:cs="Times New Roman"/>
            <w:color w:val="000000"/>
            <w:sz w:val="28"/>
            <w:szCs w:val="28"/>
            <w:lang w:val="en-GB" w:eastAsia="ru-RU"/>
          </w:rPr>
          <w:t xml:space="preserve">Clementoni </w:t>
        </w:r>
      </w:hyperlink>
      <w:r w:rsidRPr="00CA099F">
        <w:rPr>
          <w:rFonts w:eastAsia="Times New Roman" w:cs="Times New Roman"/>
          <w:color w:val="000000"/>
          <w:sz w:val="28"/>
          <w:szCs w:val="28"/>
          <w:lang w:val="en-GB" w:eastAsia="ru-RU"/>
        </w:rPr>
        <w:t xml:space="preserve">[et al.] // </w:t>
      </w:r>
      <w:hyperlink r:id="rId233">
        <w:r w:rsidRPr="00CA099F">
          <w:rPr>
            <w:rFonts w:eastAsia="Times New Roman" w:cs="Times New Roman"/>
            <w:color w:val="000000"/>
            <w:sz w:val="28"/>
            <w:szCs w:val="28"/>
            <w:lang w:val="en-GB" w:eastAsia="ru-RU"/>
          </w:rPr>
          <w:t>Lasers Med Sci.</w:t>
        </w:r>
      </w:hyperlink>
      <w:r w:rsidRPr="00CA099F">
        <w:rPr>
          <w:rFonts w:eastAsia="Times New Roman" w:cs="Times New Roman"/>
          <w:color w:val="000000"/>
          <w:sz w:val="28"/>
          <w:szCs w:val="28"/>
          <w:lang w:val="en-GB" w:eastAsia="ru-RU"/>
        </w:rPr>
        <w:t xml:space="preserve"> – 2017. – Vol. 32(5). – P.1031-1040.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Nd:YAG laser treatment for keloids and hypertrophic scars: an analysis of 102 cases / S. Koike, S. Akaishi, Y. Nagashima [et al.] // Plast Reconstr Surg Glob Open – 2015. – Vol. 2. – P. 272.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Пономаренко Г.Н. Физиотерапия в косметологии / Г.Н.</w:t>
      </w:r>
      <w:r w:rsidRPr="00CA099F">
        <w:rPr>
          <w:rFonts w:eastAsia="Times New Roman" w:cs="Times New Roman"/>
          <w:color w:val="000000"/>
          <w:sz w:val="28"/>
          <w:szCs w:val="28"/>
          <w:lang w:val="en-GB" w:eastAsia="ru-RU"/>
        </w:rPr>
        <w:t> </w:t>
      </w:r>
      <w:r w:rsidRPr="00CA099F">
        <w:rPr>
          <w:rFonts w:eastAsia="Times New Roman" w:cs="Times New Roman"/>
          <w:color w:val="000000"/>
          <w:sz w:val="28"/>
          <w:szCs w:val="28"/>
          <w:lang w:val="ru-RU" w:eastAsia="ru-RU"/>
        </w:rPr>
        <w:t>Пономаренко. –СПб. : ВМедА, 2002. – 356 с.</w:t>
      </w:r>
    </w:p>
    <w:p w:rsidR="0030517B" w:rsidRPr="00CA099F" w:rsidRDefault="0030517B" w:rsidP="0030517B">
      <w:pPr>
        <w:numPr>
          <w:ilvl w:val="0"/>
          <w:numId w:val="17"/>
        </w:numPr>
        <w:pBdr>
          <w:top w:val="nil"/>
          <w:left w:val="nil"/>
          <w:bottom w:val="nil"/>
          <w:right w:val="nil"/>
          <w:between w:val="nil"/>
        </w:pBdr>
        <w:tabs>
          <w:tab w:val="left" w:pos="709"/>
          <w:tab w:val="left" w:pos="930"/>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Веселова </w:t>
      </w:r>
      <w:r w:rsidRPr="00CA099F">
        <w:rPr>
          <w:rFonts w:eastAsia="Times New Roman" w:cs="Times New Roman"/>
          <w:color w:val="000000"/>
          <w:sz w:val="28"/>
          <w:szCs w:val="28"/>
          <w:lang w:val="en-GB" w:eastAsia="ru-RU"/>
        </w:rPr>
        <w:t>JI</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B</w:t>
      </w:r>
      <w:r w:rsidRPr="00CA099F">
        <w:rPr>
          <w:rFonts w:eastAsia="Times New Roman" w:cs="Times New Roman"/>
          <w:color w:val="000000"/>
          <w:sz w:val="28"/>
          <w:szCs w:val="28"/>
          <w:lang w:val="ru-RU" w:eastAsia="ru-RU"/>
        </w:rPr>
        <w:t xml:space="preserve">. Шлифовка рубцовых осложнений кожи эрбиевым лазером / </w:t>
      </w:r>
      <w:r w:rsidRPr="00CA099F">
        <w:rPr>
          <w:rFonts w:eastAsia="Times New Roman" w:cs="Times New Roman"/>
          <w:color w:val="000000"/>
          <w:sz w:val="28"/>
          <w:szCs w:val="28"/>
          <w:lang w:val="en-GB" w:eastAsia="ru-RU"/>
        </w:rPr>
        <w:t>JI</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B</w:t>
      </w:r>
      <w:r w:rsidRPr="00CA099F">
        <w:rPr>
          <w:rFonts w:eastAsia="Times New Roman" w:cs="Times New Roman"/>
          <w:color w:val="000000"/>
          <w:sz w:val="28"/>
          <w:szCs w:val="28"/>
          <w:lang w:val="ru-RU" w:eastAsia="ru-RU"/>
        </w:rPr>
        <w:t>. Веселова, Т.В. Шуртакова, Н.В. Полукаров // Эксп. и клин, дерматокосм. - 2008. - №2 – С. 35-38.</w:t>
      </w:r>
    </w:p>
    <w:p w:rsidR="0030517B" w:rsidRPr="00CA099F" w:rsidRDefault="0030517B" w:rsidP="0030517B">
      <w:pPr>
        <w:numPr>
          <w:ilvl w:val="0"/>
          <w:numId w:val="17"/>
        </w:numPr>
        <w:pBdr>
          <w:top w:val="nil"/>
          <w:left w:val="nil"/>
          <w:bottom w:val="nil"/>
          <w:right w:val="nil"/>
          <w:between w:val="nil"/>
        </w:pBdr>
        <w:tabs>
          <w:tab w:val="left" w:pos="709"/>
          <w:tab w:val="left" w:pos="924"/>
        </w:tabs>
        <w:spacing w:after="0" w:line="360" w:lineRule="auto"/>
        <w:ind w:right="20"/>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Khatri K.A. Laser scar revision: A review / K.A. Khatri, D.L. Mahoney, M.J. McCartney // J. Cosmet. Laser Ther. – 2011. – Vol. 13, N2. – P. 54-62.</w:t>
      </w:r>
    </w:p>
    <w:p w:rsidR="0030517B" w:rsidRPr="00CA099F" w:rsidRDefault="0030517B" w:rsidP="0030517B">
      <w:pPr>
        <w:numPr>
          <w:ilvl w:val="0"/>
          <w:numId w:val="17"/>
        </w:numPr>
        <w:pBdr>
          <w:top w:val="nil"/>
          <w:left w:val="nil"/>
          <w:bottom w:val="nil"/>
          <w:right w:val="nil"/>
          <w:between w:val="nil"/>
        </w:pBdr>
        <w:shd w:val="clear" w:color="auto" w:fill="FFFFFF"/>
        <w:spacing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Fractional Carbon Dioxide Laser and its Combination with Subcision in Improving Atrophic Acne Scars / M.A. Nilforoushzadeh, </w:t>
      </w:r>
      <w:hyperlink r:id="rId234">
        <w:r w:rsidRPr="00CA099F">
          <w:rPr>
            <w:rFonts w:eastAsia="Times New Roman" w:cs="Times New Roman"/>
            <w:color w:val="000000"/>
            <w:sz w:val="28"/>
            <w:szCs w:val="28"/>
            <w:lang w:val="en-GB" w:eastAsia="ru-RU"/>
          </w:rPr>
          <w:t>G. Faghihi</w:t>
        </w:r>
      </w:hyperlink>
      <w:r w:rsidRPr="00CA099F">
        <w:rPr>
          <w:rFonts w:eastAsia="Times New Roman" w:cs="Times New Roman"/>
          <w:color w:val="000000"/>
          <w:sz w:val="28"/>
          <w:szCs w:val="28"/>
          <w:lang w:val="en-GB" w:eastAsia="ru-RU"/>
        </w:rPr>
        <w:t xml:space="preserve">, </w:t>
      </w:r>
      <w:hyperlink r:id="rId235">
        <w:r w:rsidRPr="00CA099F">
          <w:rPr>
            <w:rFonts w:eastAsia="Times New Roman" w:cs="Times New Roman"/>
            <w:color w:val="000000"/>
            <w:sz w:val="28"/>
            <w:szCs w:val="28"/>
            <w:lang w:val="en-GB" w:eastAsia="ru-RU"/>
          </w:rPr>
          <w:t>F. Jaffary</w:t>
        </w:r>
      </w:hyperlink>
      <w:r w:rsidRPr="00CA099F">
        <w:rPr>
          <w:rFonts w:eastAsia="Times New Roman" w:cs="Times New Roman"/>
          <w:color w:val="000000"/>
          <w:sz w:val="28"/>
          <w:szCs w:val="28"/>
          <w:lang w:val="en-GB" w:eastAsia="ru-RU"/>
        </w:rPr>
        <w:t xml:space="preserve"> [et al.] // </w:t>
      </w:r>
      <w:hyperlink r:id="rId236">
        <w:r w:rsidRPr="00CA099F">
          <w:rPr>
            <w:rFonts w:eastAsia="Times New Roman" w:cs="Times New Roman"/>
            <w:color w:val="000000"/>
            <w:sz w:val="28"/>
            <w:szCs w:val="28"/>
            <w:lang w:val="en-GB" w:eastAsia="ru-RU"/>
          </w:rPr>
          <w:t>Adv Biomed Res</w:t>
        </w:r>
      </w:hyperlink>
      <w:r w:rsidRPr="00CA099F">
        <w:rPr>
          <w:rFonts w:eastAsia="Times New Roman" w:cs="Times New Roman"/>
          <w:color w:val="000000"/>
          <w:sz w:val="28"/>
          <w:szCs w:val="28"/>
          <w:lang w:val="en-GB" w:eastAsia="ru-RU"/>
        </w:rPr>
        <w:t>. – 2017. – Vol. 6. – P. 20.</w:t>
      </w:r>
    </w:p>
    <w:p w:rsidR="0030517B" w:rsidRPr="00CA099F" w:rsidRDefault="0030517B" w:rsidP="0030517B">
      <w:pPr>
        <w:numPr>
          <w:ilvl w:val="0"/>
          <w:numId w:val="17"/>
        </w:numPr>
        <w:pBdr>
          <w:top w:val="nil"/>
          <w:left w:val="nil"/>
          <w:bottom w:val="nil"/>
          <w:right w:val="nil"/>
          <w:between w:val="nil"/>
        </w:pBdr>
        <w:tabs>
          <w:tab w:val="left" w:pos="709"/>
          <w:tab w:val="left" w:pos="914"/>
        </w:tabs>
        <w:spacing w:after="0" w:line="360" w:lineRule="auto"/>
        <w:ind w:right="20"/>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Ключарева </w:t>
      </w:r>
      <w:r w:rsidRPr="00CA099F">
        <w:rPr>
          <w:rFonts w:eastAsia="Times New Roman" w:cs="Times New Roman"/>
          <w:color w:val="000000"/>
          <w:sz w:val="28"/>
          <w:szCs w:val="28"/>
          <w:lang w:val="en-GB" w:eastAsia="ru-RU"/>
        </w:rPr>
        <w:t>C</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B</w:t>
      </w:r>
      <w:r w:rsidRPr="00CA099F">
        <w:rPr>
          <w:rFonts w:eastAsia="Times New Roman" w:cs="Times New Roman"/>
          <w:color w:val="000000"/>
          <w:sz w:val="28"/>
          <w:szCs w:val="28"/>
          <w:lang w:val="ru-RU" w:eastAsia="ru-RU"/>
        </w:rPr>
        <w:t xml:space="preserve">. Терапия рубцов сосудистым лазером на парах меди / </w:t>
      </w:r>
      <w:r w:rsidRPr="00CA099F">
        <w:rPr>
          <w:rFonts w:eastAsia="Times New Roman" w:cs="Times New Roman"/>
          <w:color w:val="000000"/>
          <w:sz w:val="28"/>
          <w:szCs w:val="28"/>
          <w:lang w:val="en-GB" w:eastAsia="ru-RU"/>
        </w:rPr>
        <w:t>C</w:t>
      </w:r>
      <w:r w:rsidRPr="00CA099F">
        <w:rPr>
          <w:rFonts w:eastAsia="Times New Roman" w:cs="Times New Roman"/>
          <w:color w:val="000000"/>
          <w:sz w:val="28"/>
          <w:szCs w:val="28"/>
          <w:lang w:val="ru-RU" w:eastAsia="ru-RU"/>
        </w:rPr>
        <w:t>.</w:t>
      </w:r>
      <w:r w:rsidRPr="00CA099F">
        <w:rPr>
          <w:rFonts w:eastAsia="Times New Roman" w:cs="Times New Roman"/>
          <w:color w:val="000000"/>
          <w:sz w:val="28"/>
          <w:szCs w:val="28"/>
          <w:lang w:val="en-GB" w:eastAsia="ru-RU"/>
        </w:rPr>
        <w:t>B</w:t>
      </w:r>
      <w:r w:rsidRPr="00CA099F">
        <w:rPr>
          <w:rFonts w:eastAsia="Times New Roman" w:cs="Times New Roman"/>
          <w:color w:val="000000"/>
          <w:sz w:val="28"/>
          <w:szCs w:val="28"/>
          <w:lang w:val="ru-RU" w:eastAsia="ru-RU"/>
        </w:rPr>
        <w:t>. Ключарева, И.В. Пономарев, Л.А. Бендик // Экспериментальная и клиническая дерматокос- метология. - 2008. - №1. - С.39-43.</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Stewart S.A. The Use of Silgel STC-SE, a Topical Silicone Gel for the Treatment and Reduction of Hypertrophic and Keloid Scars / S.A. Stewart, </w:t>
      </w:r>
      <w:hyperlink r:id="rId237">
        <w:r w:rsidRPr="00CA099F">
          <w:rPr>
            <w:rFonts w:eastAsia="Times New Roman" w:cs="Times New Roman"/>
            <w:color w:val="000000"/>
            <w:sz w:val="28"/>
            <w:szCs w:val="28"/>
            <w:lang w:val="en-GB" w:eastAsia="ru-RU"/>
          </w:rPr>
          <w:t>G.M.G. Dougall</w:t>
        </w:r>
      </w:hyperlink>
      <w:r w:rsidRPr="00CA099F">
        <w:rPr>
          <w:rFonts w:eastAsia="Times New Roman" w:cs="Times New Roman"/>
          <w:color w:val="000000"/>
          <w:sz w:val="28"/>
          <w:szCs w:val="28"/>
          <w:lang w:val="en-GB" w:eastAsia="ru-RU"/>
        </w:rPr>
        <w:t xml:space="preserve">, </w:t>
      </w:r>
      <w:hyperlink r:id="rId238">
        <w:r w:rsidRPr="00CA099F">
          <w:rPr>
            <w:rFonts w:eastAsia="Times New Roman" w:cs="Times New Roman"/>
            <w:color w:val="000000"/>
            <w:sz w:val="28"/>
            <w:szCs w:val="28"/>
            <w:lang w:val="en-GB" w:eastAsia="ru-RU"/>
          </w:rPr>
          <w:t>E.M. Tafuro</w:t>
        </w:r>
      </w:hyperlink>
      <w:r w:rsidRPr="00CA099F">
        <w:rPr>
          <w:rFonts w:eastAsia="Times New Roman" w:cs="Times New Roman"/>
          <w:color w:val="000000"/>
          <w:sz w:val="28"/>
          <w:szCs w:val="28"/>
          <w:lang w:val="en-GB" w:eastAsia="ru-RU"/>
        </w:rPr>
        <w:t xml:space="preserve"> // </w:t>
      </w:r>
      <w:hyperlink r:id="rId239">
        <w:r w:rsidRPr="00CA099F">
          <w:rPr>
            <w:rFonts w:eastAsia="Times New Roman" w:cs="Times New Roman"/>
            <w:color w:val="000000"/>
            <w:sz w:val="28"/>
            <w:szCs w:val="28"/>
            <w:lang w:val="en-GB" w:eastAsia="ru-RU"/>
          </w:rPr>
          <w:t>Plast Reconstr Surg Glob Open</w:t>
        </w:r>
      </w:hyperlink>
      <w:r w:rsidRPr="00CA099F">
        <w:rPr>
          <w:rFonts w:eastAsia="Times New Roman" w:cs="Times New Roman"/>
          <w:color w:val="000000"/>
          <w:sz w:val="28"/>
          <w:szCs w:val="28"/>
          <w:lang w:val="en-GB" w:eastAsia="ru-RU"/>
        </w:rPr>
        <w:t>. – 2016. – Vol. 4(12). – P. 1183.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en-GB" w:eastAsia="ru-RU"/>
        </w:rPr>
        <w:t xml:space="preserve">Скрипник В.М. Клініко-генетичне та морфологічне обґрунтування профілактики утворення післяопераційних патологічних рубів голови та шиї : автореферат дис. на здобуття наук. ст. к.мед.н. : спец. </w:t>
      </w:r>
      <w:r w:rsidRPr="00CA099F">
        <w:rPr>
          <w:rFonts w:eastAsia="Times New Roman" w:cs="Times New Roman"/>
          <w:color w:val="000000"/>
          <w:sz w:val="28"/>
          <w:szCs w:val="28"/>
          <w:lang w:val="ru-RU" w:eastAsia="ru-RU"/>
        </w:rPr>
        <w:t>14.01.22 «Стоматологія» / В.М. Скрипник. – Полтава, 2013. – 21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Патент на корисну модель 15448 Україна, МПК </w:t>
      </w:r>
      <w:r w:rsidRPr="00CA099F">
        <w:rPr>
          <w:rFonts w:eastAsia="Times New Roman" w:cs="Times New Roman"/>
          <w:color w:val="000000"/>
          <w:sz w:val="28"/>
          <w:szCs w:val="28"/>
          <w:lang w:val="en-GB" w:eastAsia="ru-RU"/>
        </w:rPr>
        <w:t>G</w:t>
      </w:r>
      <w:r w:rsidRPr="00CA099F">
        <w:rPr>
          <w:rFonts w:eastAsia="Times New Roman" w:cs="Times New Roman"/>
          <w:color w:val="000000"/>
          <w:sz w:val="28"/>
          <w:szCs w:val="28"/>
          <w:lang w:val="ru-RU" w:eastAsia="ru-RU"/>
        </w:rPr>
        <w:t>01</w:t>
      </w:r>
      <w:r w:rsidRPr="00CA099F">
        <w:rPr>
          <w:rFonts w:eastAsia="Times New Roman" w:cs="Times New Roman"/>
          <w:color w:val="000000"/>
          <w:sz w:val="28"/>
          <w:szCs w:val="28"/>
          <w:lang w:val="en-GB" w:eastAsia="ru-RU"/>
        </w:rPr>
        <w:t>N</w:t>
      </w:r>
      <w:r w:rsidRPr="00CA099F">
        <w:rPr>
          <w:rFonts w:eastAsia="Times New Roman" w:cs="Times New Roman"/>
          <w:color w:val="000000"/>
          <w:sz w:val="28"/>
          <w:szCs w:val="28"/>
          <w:lang w:val="ru-RU" w:eastAsia="ru-RU"/>
        </w:rPr>
        <w:t xml:space="preserve"> 33/00. Спосіб профілактики виникнення патологічних рубців, що локалізовані в ділянках голови та шиї після планових оперативних втручань / Аветіков Д.С., Ставицький С.О., Скрипник В.М. - № </w:t>
      </w:r>
      <w:r w:rsidRPr="00CA099F">
        <w:rPr>
          <w:rFonts w:eastAsia="Times New Roman" w:cs="Times New Roman"/>
          <w:color w:val="000000"/>
          <w:sz w:val="28"/>
          <w:szCs w:val="28"/>
          <w:lang w:val="en-GB" w:eastAsia="ru-RU"/>
        </w:rPr>
        <w:t>u</w:t>
      </w:r>
      <w:r w:rsidRPr="00CA099F">
        <w:rPr>
          <w:rFonts w:eastAsia="Times New Roman" w:cs="Times New Roman"/>
          <w:color w:val="000000"/>
          <w:sz w:val="28"/>
          <w:szCs w:val="28"/>
          <w:lang w:val="ru-RU" w:eastAsia="ru-RU"/>
        </w:rPr>
        <w:t xml:space="preserve"> 2012 102712; заявл 14.10.2012; опубл. 20.12.2012, Бюл. №11.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Ставицький С.О. Клініко-морфологічне обґрунтування комплексного лікування патологічних рубців, що локалізовані в ділянках голови та шиї : автореферат дис. на здобуття наук. ст. к.мед.н. : спец. 14.01.22 «Стоматологія» / С.О. Ставицький. – Полтава, 2012. – 19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t xml:space="preserve">Герасименко М.Ю. Контрактубекс и физические факторы в комплексном лечении рубцовых деформаций / М.Ю. Герасименко, Е.В.Филатова, В.А. Стучилов // Сб. науч. тр. </w:t>
      </w:r>
      <w:r w:rsidRPr="00CA099F">
        <w:rPr>
          <w:rFonts w:eastAsia="Gungsuh" w:cs="Times New Roman"/>
          <w:color w:val="000000"/>
          <w:sz w:val="28"/>
          <w:szCs w:val="28"/>
          <w:lang w:val="en-GB" w:eastAsia="ru-RU"/>
        </w:rPr>
        <w:t>IIc</w:t>
      </w:r>
      <w:r w:rsidRPr="00CA099F">
        <w:rPr>
          <w:rFonts w:eastAsia="Gungsuh" w:cs="Times New Roman"/>
          <w:color w:val="000000"/>
          <w:sz w:val="28"/>
          <w:szCs w:val="28"/>
          <w:lang w:val="ru-RU" w:eastAsia="ru-RU"/>
        </w:rPr>
        <w:t>ъезда комбустиологов России. − М., 2008. – С. 187−188.</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Gungsuh" w:cs="Times New Roman"/>
          <w:color w:val="000000"/>
          <w:sz w:val="28"/>
          <w:szCs w:val="28"/>
          <w:lang w:val="ru-RU" w:eastAsia="ru-RU"/>
        </w:rPr>
        <w:lastRenderedPageBreak/>
        <w:t>Алексеев А.А. Профилактика и лечение послеожоговых рубцов гелем «Контрактубекс» / А.А. Алексеев, В.А. Лавров, М.Г. Лагвилава // Мат. симпозиума по консервативному лечению рубцов. – М., 2000. – С. 6−10.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 xml:space="preserve">Патент на корисну модель 44539, Україна, МПК А61К 47/48. Спосіб консервативного лікування келоїдних рубців, що локалізовані в ділянці голови та шиї / Аветіков Д. С., Ставицький С. О., Скрипник В. М. - № </w:t>
      </w:r>
      <w:r w:rsidRPr="00CA099F">
        <w:rPr>
          <w:rFonts w:eastAsia="Times New Roman" w:cs="Times New Roman"/>
          <w:color w:val="000000"/>
          <w:sz w:val="28"/>
          <w:szCs w:val="28"/>
          <w:lang w:val="en-GB" w:eastAsia="ru-RU"/>
        </w:rPr>
        <w:t>u</w:t>
      </w:r>
      <w:r w:rsidRPr="00CA099F">
        <w:rPr>
          <w:rFonts w:eastAsia="Times New Roman" w:cs="Times New Roman"/>
          <w:color w:val="000000"/>
          <w:sz w:val="28"/>
          <w:szCs w:val="28"/>
          <w:lang w:val="ru-RU" w:eastAsia="ru-RU"/>
        </w:rPr>
        <w:t xml:space="preserve"> 2009 03435; заявл. 10.04.2009; опубл. 12.10.2009, Бюл. № 19.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Курганская И.Г. Комплексная коррекция патологических рубців кожи : автореф. дис. на соиск. учен. степени д. мед. н. : спец. 14.01.10 «Кожные и венерические болезни» / И.Г. Курганская. – СПб., 2011. – 20 с.</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US" w:eastAsia="ru-RU"/>
        </w:rPr>
      </w:pPr>
      <w:r w:rsidRPr="00CA099F">
        <w:rPr>
          <w:rFonts w:eastAsia="Times New Roman" w:cs="Times New Roman"/>
          <w:color w:val="000000"/>
          <w:sz w:val="28"/>
          <w:szCs w:val="28"/>
          <w:lang w:val="en-GB" w:eastAsia="ru-RU"/>
        </w:rPr>
        <w:t>GibbleJ</w:t>
      </w:r>
      <w:r w:rsidRPr="00CA099F">
        <w:rPr>
          <w:rFonts w:eastAsia="Times New Roman" w:cs="Times New Roman"/>
          <w:color w:val="000000"/>
          <w:sz w:val="28"/>
          <w:szCs w:val="28"/>
          <w:lang w:val="en-US" w:eastAsia="ru-RU"/>
        </w:rPr>
        <w:t>.</w:t>
      </w:r>
      <w:r w:rsidRPr="00CA099F">
        <w:rPr>
          <w:rFonts w:eastAsia="Times New Roman" w:cs="Times New Roman"/>
          <w:color w:val="000000"/>
          <w:sz w:val="28"/>
          <w:szCs w:val="28"/>
          <w:lang w:val="en-GB" w:eastAsia="ru-RU"/>
        </w:rPr>
        <w:t>W</w:t>
      </w:r>
      <w:r w:rsidRPr="00CA099F">
        <w:rPr>
          <w:rFonts w:eastAsia="Times New Roman" w:cs="Times New Roman"/>
          <w:color w:val="000000"/>
          <w:sz w:val="28"/>
          <w:szCs w:val="28"/>
          <w:lang w:val="en-US" w:eastAsia="ru-RU"/>
        </w:rPr>
        <w:t xml:space="preserve">. </w:t>
      </w:r>
      <w:r w:rsidRPr="00CA099F">
        <w:rPr>
          <w:rFonts w:eastAsia="Times New Roman" w:cs="Times New Roman"/>
          <w:color w:val="000000"/>
          <w:sz w:val="28"/>
          <w:szCs w:val="28"/>
          <w:lang w:val="en-GB" w:eastAsia="ru-RU"/>
        </w:rPr>
        <w:t>Fibringlue</w:t>
      </w:r>
      <w:r w:rsidRPr="00CA099F">
        <w:rPr>
          <w:rFonts w:eastAsia="Times New Roman" w:cs="Times New Roman"/>
          <w:color w:val="000000"/>
          <w:sz w:val="28"/>
          <w:szCs w:val="28"/>
          <w:lang w:val="en-US" w:eastAsia="ru-RU"/>
        </w:rPr>
        <w:t xml:space="preserve">: </w:t>
      </w:r>
      <w:r w:rsidRPr="00CA099F">
        <w:rPr>
          <w:rFonts w:eastAsia="Times New Roman" w:cs="Times New Roman"/>
          <w:color w:val="000000"/>
          <w:sz w:val="28"/>
          <w:szCs w:val="28"/>
          <w:lang w:val="en-GB" w:eastAsia="ru-RU"/>
        </w:rPr>
        <w:t>Theperfectoperativesealant</w:t>
      </w:r>
      <w:r w:rsidRPr="00CA099F">
        <w:rPr>
          <w:rFonts w:eastAsia="Times New Roman" w:cs="Times New Roman"/>
          <w:color w:val="000000"/>
          <w:sz w:val="28"/>
          <w:szCs w:val="28"/>
          <w:lang w:val="en-US" w:eastAsia="ru-RU"/>
        </w:rPr>
        <w:t xml:space="preserve">? / </w:t>
      </w:r>
      <w:r w:rsidRPr="00CA099F">
        <w:rPr>
          <w:rFonts w:eastAsia="Times New Roman" w:cs="Times New Roman"/>
          <w:color w:val="000000"/>
          <w:sz w:val="28"/>
          <w:szCs w:val="28"/>
          <w:lang w:val="en-GB" w:eastAsia="ru-RU"/>
        </w:rPr>
        <w:t>J</w:t>
      </w:r>
      <w:r w:rsidRPr="00CA099F">
        <w:rPr>
          <w:rFonts w:eastAsia="Times New Roman" w:cs="Times New Roman"/>
          <w:color w:val="000000"/>
          <w:sz w:val="28"/>
          <w:szCs w:val="28"/>
          <w:lang w:val="en-US" w:eastAsia="ru-RU"/>
        </w:rPr>
        <w:t>.</w:t>
      </w:r>
      <w:r w:rsidRPr="00CA099F">
        <w:rPr>
          <w:rFonts w:eastAsia="Times New Roman" w:cs="Times New Roman"/>
          <w:color w:val="000000"/>
          <w:sz w:val="28"/>
          <w:szCs w:val="28"/>
          <w:lang w:val="en-GB" w:eastAsia="ru-RU"/>
        </w:rPr>
        <w:t>W</w:t>
      </w:r>
      <w:r w:rsidRPr="00CA099F">
        <w:rPr>
          <w:rFonts w:eastAsia="Times New Roman" w:cs="Times New Roman"/>
          <w:color w:val="000000"/>
          <w:sz w:val="28"/>
          <w:szCs w:val="28"/>
          <w:lang w:val="en-US" w:eastAsia="ru-RU"/>
        </w:rPr>
        <w:t xml:space="preserve">. </w:t>
      </w:r>
      <w:r w:rsidRPr="00CA099F">
        <w:rPr>
          <w:rFonts w:eastAsia="Times New Roman" w:cs="Times New Roman"/>
          <w:color w:val="000000"/>
          <w:sz w:val="28"/>
          <w:szCs w:val="28"/>
          <w:lang w:val="en-GB" w:eastAsia="ru-RU"/>
        </w:rPr>
        <w:t>Gibble</w:t>
      </w:r>
      <w:r w:rsidRPr="00CA099F">
        <w:rPr>
          <w:rFonts w:eastAsia="Times New Roman" w:cs="Times New Roman"/>
          <w:color w:val="000000"/>
          <w:sz w:val="28"/>
          <w:szCs w:val="28"/>
          <w:lang w:val="en-US" w:eastAsia="ru-RU"/>
        </w:rPr>
        <w:t xml:space="preserve">, </w:t>
      </w:r>
      <w:r w:rsidRPr="00CA099F">
        <w:rPr>
          <w:rFonts w:eastAsia="Times New Roman" w:cs="Times New Roman"/>
          <w:color w:val="000000"/>
          <w:sz w:val="28"/>
          <w:szCs w:val="28"/>
          <w:lang w:val="en-GB" w:eastAsia="ru-RU"/>
        </w:rPr>
        <w:t>P</w:t>
      </w:r>
      <w:r w:rsidRPr="00CA099F">
        <w:rPr>
          <w:rFonts w:eastAsia="Times New Roman" w:cs="Times New Roman"/>
          <w:color w:val="000000"/>
          <w:sz w:val="28"/>
          <w:szCs w:val="28"/>
          <w:lang w:val="en-US" w:eastAsia="ru-RU"/>
        </w:rPr>
        <w:t>.</w:t>
      </w:r>
      <w:r w:rsidRPr="00CA099F">
        <w:rPr>
          <w:rFonts w:eastAsia="Times New Roman" w:cs="Times New Roman"/>
          <w:color w:val="000000"/>
          <w:sz w:val="28"/>
          <w:szCs w:val="28"/>
          <w:lang w:val="en-GB" w:eastAsia="ru-RU"/>
        </w:rPr>
        <w:t>M</w:t>
      </w:r>
      <w:r w:rsidRPr="00CA099F">
        <w:rPr>
          <w:rFonts w:eastAsia="Times New Roman" w:cs="Times New Roman"/>
          <w:color w:val="000000"/>
          <w:sz w:val="28"/>
          <w:szCs w:val="28"/>
          <w:lang w:val="en-US" w:eastAsia="ru-RU"/>
        </w:rPr>
        <w:t xml:space="preserve">. </w:t>
      </w:r>
      <w:r w:rsidRPr="00CA099F">
        <w:rPr>
          <w:rFonts w:eastAsia="Times New Roman" w:cs="Times New Roman"/>
          <w:color w:val="000000"/>
          <w:sz w:val="28"/>
          <w:szCs w:val="28"/>
          <w:lang w:val="en-GB" w:eastAsia="ru-RU"/>
        </w:rPr>
        <w:t>Ness</w:t>
      </w:r>
      <w:r w:rsidRPr="00CA099F">
        <w:rPr>
          <w:rFonts w:eastAsia="Times New Roman" w:cs="Times New Roman"/>
          <w:color w:val="000000"/>
          <w:sz w:val="28"/>
          <w:szCs w:val="28"/>
          <w:lang w:val="en-US" w:eastAsia="ru-RU"/>
        </w:rPr>
        <w:t xml:space="preserve"> // </w:t>
      </w:r>
      <w:r w:rsidRPr="00CA099F">
        <w:rPr>
          <w:rFonts w:eastAsia="Times New Roman" w:cs="Times New Roman"/>
          <w:color w:val="000000"/>
          <w:sz w:val="28"/>
          <w:szCs w:val="28"/>
          <w:lang w:val="en-GB" w:eastAsia="ru-RU"/>
        </w:rPr>
        <w:t>Transfusion</w:t>
      </w:r>
      <w:r w:rsidRPr="00CA099F">
        <w:rPr>
          <w:rFonts w:eastAsia="Times New Roman" w:cs="Times New Roman"/>
          <w:color w:val="000000"/>
          <w:sz w:val="28"/>
          <w:szCs w:val="28"/>
          <w:lang w:val="en-US" w:eastAsia="ru-RU"/>
        </w:rPr>
        <w:t xml:space="preserve">. – 1990. – </w:t>
      </w:r>
      <w:r w:rsidRPr="00CA099F">
        <w:rPr>
          <w:rFonts w:eastAsia="Times New Roman" w:cs="Times New Roman"/>
          <w:color w:val="000000"/>
          <w:sz w:val="28"/>
          <w:szCs w:val="28"/>
          <w:lang w:val="en-GB" w:eastAsia="ru-RU"/>
        </w:rPr>
        <w:t>Vol</w:t>
      </w:r>
      <w:r w:rsidRPr="00CA099F">
        <w:rPr>
          <w:rFonts w:eastAsia="Times New Roman" w:cs="Times New Roman"/>
          <w:color w:val="000000"/>
          <w:sz w:val="28"/>
          <w:szCs w:val="28"/>
          <w:lang w:val="en-US" w:eastAsia="ru-RU"/>
        </w:rPr>
        <w:t xml:space="preserve">. 30. – </w:t>
      </w:r>
      <w:r w:rsidRPr="00CA099F">
        <w:rPr>
          <w:rFonts w:eastAsia="Times New Roman" w:cs="Times New Roman"/>
          <w:color w:val="000000"/>
          <w:sz w:val="28"/>
          <w:szCs w:val="28"/>
          <w:lang w:val="en-GB" w:eastAsia="ru-RU"/>
        </w:rPr>
        <w:t>P</w:t>
      </w:r>
      <w:r w:rsidRPr="00CA099F">
        <w:rPr>
          <w:rFonts w:eastAsia="Times New Roman" w:cs="Times New Roman"/>
          <w:color w:val="000000"/>
          <w:sz w:val="28"/>
          <w:szCs w:val="28"/>
          <w:lang w:val="en-US" w:eastAsia="ru-RU"/>
        </w:rPr>
        <w:t>. 741–747.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Platelet-rich plasma and Platelet-rich fibrin in human cell culture / V.L. Gabling, Y. Acil, I.N. Springer [et al.] // Oral Surg Oral Med Oral Pathol Oral Radiol Endod – 2009. – Vol. 108. – P. 48–55.</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240">
        <w:r w:rsidR="0030517B" w:rsidRPr="00CA099F">
          <w:rPr>
            <w:rFonts w:eastAsia="Times New Roman" w:cs="Times New Roman"/>
            <w:color w:val="000000"/>
            <w:sz w:val="28"/>
            <w:szCs w:val="28"/>
            <w:lang w:val="en-GB" w:eastAsia="ru-RU"/>
          </w:rPr>
          <w:t>Saluja</w:t>
        </w:r>
      </w:hyperlink>
      <w:r w:rsidR="0030517B" w:rsidRPr="00CA099F">
        <w:rPr>
          <w:rFonts w:eastAsia="Times New Roman" w:cs="Times New Roman"/>
          <w:color w:val="000000"/>
          <w:sz w:val="28"/>
          <w:szCs w:val="28"/>
          <w:lang w:val="en-GB" w:eastAsia="ru-RU"/>
        </w:rPr>
        <w:t xml:space="preserve"> H. Platelet-Rich fibrin: A second generation platelet concentrate and a new friend of oral and maxillofacial surgeons / </w:t>
      </w:r>
      <w:hyperlink r:id="rId241">
        <w:r w:rsidR="0030517B" w:rsidRPr="00CA099F">
          <w:rPr>
            <w:rFonts w:eastAsia="Times New Roman" w:cs="Times New Roman"/>
            <w:color w:val="000000"/>
            <w:sz w:val="28"/>
            <w:szCs w:val="28"/>
            <w:lang w:val="en-GB" w:eastAsia="ru-RU"/>
          </w:rPr>
          <w:t>H. Saluja</w:t>
        </w:r>
      </w:hyperlink>
      <w:r w:rsidR="0030517B" w:rsidRPr="00CA099F">
        <w:rPr>
          <w:rFonts w:eastAsia="Times New Roman" w:cs="Times New Roman"/>
          <w:color w:val="000000"/>
          <w:sz w:val="28"/>
          <w:szCs w:val="28"/>
          <w:lang w:val="en-GB" w:eastAsia="ru-RU"/>
        </w:rPr>
        <w:t xml:space="preserve">, </w:t>
      </w:r>
      <w:hyperlink r:id="rId242">
        <w:r w:rsidR="0030517B" w:rsidRPr="00CA099F">
          <w:rPr>
            <w:rFonts w:eastAsia="Times New Roman" w:cs="Times New Roman"/>
            <w:color w:val="000000"/>
            <w:sz w:val="28"/>
            <w:szCs w:val="28"/>
            <w:lang w:val="en-GB" w:eastAsia="ru-RU"/>
          </w:rPr>
          <w:t>V. Dehane</w:t>
        </w:r>
      </w:hyperlink>
      <w:r w:rsidR="0030517B" w:rsidRPr="00CA099F">
        <w:rPr>
          <w:rFonts w:eastAsia="Times New Roman" w:cs="Times New Roman"/>
          <w:color w:val="000000"/>
          <w:sz w:val="28"/>
          <w:szCs w:val="28"/>
          <w:lang w:val="en-GB" w:eastAsia="ru-RU"/>
        </w:rPr>
        <w:t xml:space="preserve">, </w:t>
      </w:r>
      <w:hyperlink r:id="rId243">
        <w:r w:rsidR="0030517B" w:rsidRPr="00CA099F">
          <w:rPr>
            <w:rFonts w:eastAsia="Times New Roman" w:cs="Times New Roman"/>
            <w:color w:val="000000"/>
            <w:sz w:val="28"/>
            <w:szCs w:val="28"/>
            <w:lang w:val="en-GB" w:eastAsia="ru-RU"/>
          </w:rPr>
          <w:t>U. Mahindra</w:t>
        </w:r>
      </w:hyperlink>
      <w:r w:rsidR="0030517B" w:rsidRPr="00CA099F">
        <w:rPr>
          <w:rFonts w:eastAsia="Times New Roman" w:cs="Times New Roman"/>
          <w:color w:val="000000"/>
          <w:sz w:val="28"/>
          <w:szCs w:val="28"/>
          <w:lang w:val="en-GB" w:eastAsia="ru-RU"/>
        </w:rPr>
        <w:t xml:space="preserve"> // </w:t>
      </w:r>
      <w:hyperlink r:id="rId244">
        <w:r w:rsidR="0030517B" w:rsidRPr="00CA099F">
          <w:rPr>
            <w:rFonts w:eastAsia="Times New Roman" w:cs="Times New Roman"/>
            <w:color w:val="000000"/>
            <w:sz w:val="28"/>
            <w:szCs w:val="28"/>
            <w:lang w:val="en-GB" w:eastAsia="ru-RU"/>
          </w:rPr>
          <w:t>Ann Maxillofac Surg</w:t>
        </w:r>
      </w:hyperlink>
      <w:r w:rsidR="0030517B" w:rsidRPr="00CA099F">
        <w:rPr>
          <w:rFonts w:eastAsia="Times New Roman" w:cs="Times New Roman"/>
          <w:color w:val="000000"/>
          <w:sz w:val="28"/>
          <w:szCs w:val="28"/>
          <w:lang w:val="en-GB" w:eastAsia="ru-RU"/>
        </w:rPr>
        <w:t>. – 2011. – Vol. 1(1). – P. 53–57.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Application of PRF in surgical management of periapical lesions / </w:t>
      </w:r>
      <w:hyperlink r:id="rId245">
        <w:r w:rsidRPr="00CA099F">
          <w:rPr>
            <w:rFonts w:eastAsia="Times New Roman" w:cs="Times New Roman"/>
            <w:color w:val="000000"/>
            <w:sz w:val="28"/>
            <w:szCs w:val="28"/>
            <w:lang w:val="en-GB" w:eastAsia="ru-RU"/>
          </w:rPr>
          <w:t>S. Singh</w:t>
        </w:r>
      </w:hyperlink>
      <w:r w:rsidRPr="00CA099F">
        <w:rPr>
          <w:rFonts w:eastAsia="Times New Roman" w:cs="Times New Roman"/>
          <w:color w:val="000000"/>
          <w:sz w:val="28"/>
          <w:szCs w:val="28"/>
          <w:lang w:val="en-GB" w:eastAsia="ru-RU"/>
        </w:rPr>
        <w:t xml:space="preserve">, </w:t>
      </w:r>
      <w:hyperlink r:id="rId246">
        <w:r w:rsidRPr="00CA099F">
          <w:rPr>
            <w:rFonts w:eastAsia="Times New Roman" w:cs="Times New Roman"/>
            <w:color w:val="000000"/>
            <w:sz w:val="28"/>
            <w:szCs w:val="28"/>
            <w:lang w:val="en-GB" w:eastAsia="ru-RU"/>
          </w:rPr>
          <w:t>A. Singh</w:t>
        </w:r>
      </w:hyperlink>
      <w:r w:rsidRPr="00CA099F">
        <w:rPr>
          <w:rFonts w:eastAsia="Times New Roman" w:cs="Times New Roman"/>
          <w:color w:val="000000"/>
          <w:sz w:val="28"/>
          <w:szCs w:val="28"/>
          <w:lang w:val="en-GB" w:eastAsia="ru-RU"/>
        </w:rPr>
        <w:t xml:space="preserve">, </w:t>
      </w:r>
      <w:hyperlink r:id="rId247">
        <w:r w:rsidRPr="00CA099F">
          <w:rPr>
            <w:rFonts w:eastAsia="Times New Roman" w:cs="Times New Roman"/>
            <w:color w:val="000000"/>
            <w:sz w:val="28"/>
            <w:szCs w:val="28"/>
            <w:lang w:val="en-GB" w:eastAsia="ru-RU"/>
          </w:rPr>
          <w:t>S. Singh</w:t>
        </w:r>
      </w:hyperlink>
      <w:r w:rsidRPr="00CA099F">
        <w:rPr>
          <w:rFonts w:eastAsia="Times New Roman" w:cs="Times New Roman"/>
          <w:color w:val="000000"/>
          <w:sz w:val="28"/>
          <w:szCs w:val="28"/>
          <w:lang w:val="en-GB" w:eastAsia="ru-RU"/>
        </w:rPr>
        <w:t xml:space="preserve">, </w:t>
      </w:r>
      <w:hyperlink r:id="rId248">
        <w:r w:rsidRPr="00CA099F">
          <w:rPr>
            <w:rFonts w:eastAsia="Times New Roman" w:cs="Times New Roman"/>
            <w:color w:val="000000"/>
            <w:sz w:val="28"/>
            <w:szCs w:val="28"/>
            <w:lang w:val="en-GB" w:eastAsia="ru-RU"/>
          </w:rPr>
          <w:t>R. Singh</w:t>
        </w:r>
      </w:hyperlink>
      <w:r w:rsidRPr="00CA099F">
        <w:rPr>
          <w:rFonts w:eastAsia="Times New Roman" w:cs="Times New Roman"/>
          <w:color w:val="000000"/>
          <w:sz w:val="28"/>
          <w:szCs w:val="28"/>
          <w:lang w:val="en-GB" w:eastAsia="ru-RU"/>
        </w:rPr>
        <w:t xml:space="preserve"> // </w:t>
      </w:r>
      <w:hyperlink r:id="rId249">
        <w:r w:rsidRPr="00CA099F">
          <w:rPr>
            <w:rFonts w:eastAsia="Times New Roman" w:cs="Times New Roman"/>
            <w:color w:val="000000"/>
            <w:sz w:val="28"/>
            <w:szCs w:val="28"/>
            <w:lang w:val="en-GB" w:eastAsia="ru-RU"/>
          </w:rPr>
          <w:t>Natl J Maxillofac Surg</w:t>
        </w:r>
      </w:hyperlink>
      <w:r w:rsidRPr="00CA099F">
        <w:rPr>
          <w:rFonts w:eastAsia="Times New Roman" w:cs="Times New Roman"/>
          <w:color w:val="000000"/>
          <w:sz w:val="28"/>
          <w:szCs w:val="28"/>
          <w:lang w:val="en-GB" w:eastAsia="ru-RU"/>
        </w:rPr>
        <w:t>. – 2013. – Vol. 4(1). – P. 94–99.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Platelet-rich fibrin (PRF): A second-generation platelet concentrate / D.M. Dohan, J. Choukroun, A. Diss [et al.] // Oral Surg Oral Med Oral Pathol Oral Radiol Endod. – 2006. – Vol. 101. – P. 45–50.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An opportunity in perio-implantology: The PRF / J. Choukroun, F. Adda, C. Schoeffler, A. Vervelle // Implantodontie. – 2001. – Vol. 42. – P. 55-62.</w:t>
      </w:r>
    </w:p>
    <w:p w:rsidR="0030517B" w:rsidRPr="00CA099F" w:rsidRDefault="0030517B" w:rsidP="0030517B">
      <w:pPr>
        <w:numPr>
          <w:ilvl w:val="0"/>
          <w:numId w:val="17"/>
        </w:numPr>
        <w:pBdr>
          <w:top w:val="nil"/>
          <w:left w:val="nil"/>
          <w:bottom w:val="nil"/>
          <w:right w:val="nil"/>
          <w:between w:val="nil"/>
        </w:pBdr>
        <w:shd w:val="clear" w:color="auto" w:fill="FFFFFF"/>
        <w:spacing w:after="0" w:line="360" w:lineRule="auto"/>
        <w:contextualSpacing/>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 xml:space="preserve">Role of plasma-rich fibrin in oral surgery / </w:t>
      </w:r>
      <w:hyperlink r:id="rId250">
        <w:r w:rsidRPr="00CA099F">
          <w:rPr>
            <w:rFonts w:eastAsia="Times New Roman" w:cs="Times New Roman"/>
            <w:color w:val="000000"/>
            <w:sz w:val="28"/>
            <w:szCs w:val="28"/>
            <w:lang w:val="en-GB" w:eastAsia="ru-RU"/>
          </w:rPr>
          <w:t>K.R. Kumar</w:t>
        </w:r>
      </w:hyperlink>
      <w:r w:rsidRPr="00CA099F">
        <w:rPr>
          <w:rFonts w:eastAsia="Times New Roman" w:cs="Times New Roman"/>
          <w:color w:val="000000"/>
          <w:sz w:val="28"/>
          <w:szCs w:val="28"/>
          <w:lang w:val="en-GB" w:eastAsia="ru-RU"/>
        </w:rPr>
        <w:t xml:space="preserve">, </w:t>
      </w:r>
      <w:hyperlink r:id="rId251">
        <w:r w:rsidRPr="00CA099F">
          <w:rPr>
            <w:rFonts w:eastAsia="Times New Roman" w:cs="Times New Roman"/>
            <w:color w:val="000000"/>
            <w:sz w:val="28"/>
            <w:szCs w:val="28"/>
            <w:lang w:val="en-GB" w:eastAsia="ru-RU"/>
          </w:rPr>
          <w:t>K. Genmorgan</w:t>
        </w:r>
      </w:hyperlink>
      <w:r w:rsidRPr="00CA099F">
        <w:rPr>
          <w:rFonts w:eastAsia="Times New Roman" w:cs="Times New Roman"/>
          <w:color w:val="000000"/>
          <w:sz w:val="28"/>
          <w:szCs w:val="28"/>
          <w:lang w:val="en-GB" w:eastAsia="ru-RU"/>
        </w:rPr>
        <w:t xml:space="preserve">, </w:t>
      </w:r>
      <w:hyperlink r:id="rId252">
        <w:r w:rsidRPr="00CA099F">
          <w:rPr>
            <w:rFonts w:eastAsia="Times New Roman" w:cs="Times New Roman"/>
            <w:color w:val="000000"/>
            <w:sz w:val="28"/>
            <w:szCs w:val="28"/>
            <w:lang w:val="en-GB" w:eastAsia="ru-RU"/>
          </w:rPr>
          <w:t>S.M.A. Rahman</w:t>
        </w:r>
      </w:hyperlink>
      <w:r w:rsidRPr="00CA099F">
        <w:rPr>
          <w:rFonts w:eastAsia="Times New Roman" w:cs="Times New Roman"/>
          <w:color w:val="000000"/>
          <w:sz w:val="28"/>
          <w:szCs w:val="28"/>
          <w:lang w:val="en-GB" w:eastAsia="ru-RU"/>
        </w:rPr>
        <w:t xml:space="preserve"> [et al.] // </w:t>
      </w:r>
      <w:hyperlink r:id="rId253">
        <w:r w:rsidRPr="00CA099F">
          <w:rPr>
            <w:rFonts w:eastAsia="Times New Roman" w:cs="Times New Roman"/>
            <w:color w:val="000000"/>
            <w:sz w:val="28"/>
            <w:szCs w:val="28"/>
            <w:lang w:val="en-GB" w:eastAsia="ru-RU"/>
          </w:rPr>
          <w:t>J Pharm Bioallied Sci</w:t>
        </w:r>
      </w:hyperlink>
      <w:r w:rsidRPr="00CA099F">
        <w:rPr>
          <w:rFonts w:eastAsia="Times New Roman" w:cs="Times New Roman"/>
          <w:color w:val="000000"/>
          <w:sz w:val="28"/>
          <w:szCs w:val="28"/>
          <w:lang w:val="en-GB" w:eastAsia="ru-RU"/>
        </w:rPr>
        <w:t>. – 2016. – Vol. 8(1). – P. 36–38.</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The adjunctive effect of Platelet</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Rich Fibrin to Connective Tissue Graft in the treatment of buccal recession defects: results of a randomized, parallel</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group controlled trial / H.G. Keceli, G. Kamak, E. Erdemir [et al.] // Journal of Periodontology – 2015. – Vol. 86. – P. 1221</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1230.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Thrombocidins, microbicidal proteins from human blood platelets, are C-terminal deletion products of CXC chemokines / J. Krijgsveld, S.A. Zaat, J. Meeldijk [et al.] // J Biol Chem. – 2000. – Vol. 275. – P. 20374-20381.</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Antimicrobial effect of platelet-rich plasma and platelet-rich fibrin / P.S. Badade, S.A. Mahale, A.A. Panjwani [et al.] // Indian J Dent Res. – 2016. – Vol. 27. – P. 300-304.</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The role of leukocytes from L-PRP/L-PRF in wound healing and immune defense: new perspectives / T. </w:t>
      </w:r>
      <w:hyperlink r:id="rId254">
        <w:r w:rsidRPr="00CA099F">
          <w:rPr>
            <w:rFonts w:eastAsia="Times New Roman" w:cs="Times New Roman"/>
            <w:color w:val="000000"/>
            <w:sz w:val="28"/>
            <w:szCs w:val="28"/>
            <w:lang w:val="en-GB" w:eastAsia="ru-RU"/>
          </w:rPr>
          <w:t>Bielecki</w:t>
        </w:r>
      </w:hyperlink>
      <w:r w:rsidRPr="00CA099F">
        <w:rPr>
          <w:rFonts w:eastAsia="Times New Roman" w:cs="Times New Roman"/>
          <w:color w:val="000000"/>
          <w:sz w:val="28"/>
          <w:szCs w:val="28"/>
          <w:lang w:val="en-GB" w:eastAsia="ru-RU"/>
        </w:rPr>
        <w:t xml:space="preserve">, D.M. </w:t>
      </w:r>
      <w:hyperlink r:id="rId255">
        <w:r w:rsidRPr="00CA099F">
          <w:rPr>
            <w:rFonts w:eastAsia="Times New Roman" w:cs="Times New Roman"/>
            <w:color w:val="000000"/>
            <w:sz w:val="28"/>
            <w:szCs w:val="28"/>
            <w:lang w:val="en-GB" w:eastAsia="ru-RU"/>
          </w:rPr>
          <w:t>Dohan Ehrenfest</w:t>
        </w:r>
      </w:hyperlink>
      <w:r w:rsidRPr="00CA099F">
        <w:rPr>
          <w:rFonts w:eastAsia="Times New Roman" w:cs="Times New Roman"/>
          <w:color w:val="000000"/>
          <w:sz w:val="28"/>
          <w:szCs w:val="28"/>
          <w:lang w:val="en-GB" w:eastAsia="ru-RU"/>
        </w:rPr>
        <w:t xml:space="preserve">, P.A. </w:t>
      </w:r>
      <w:hyperlink r:id="rId256">
        <w:r w:rsidRPr="00CA099F">
          <w:rPr>
            <w:rFonts w:eastAsia="Times New Roman" w:cs="Times New Roman"/>
            <w:color w:val="000000"/>
            <w:sz w:val="28"/>
            <w:szCs w:val="28"/>
            <w:lang w:val="en-GB" w:eastAsia="ru-RU"/>
          </w:rPr>
          <w:t>Everts</w:t>
        </w:r>
      </w:hyperlink>
      <w:r w:rsidRPr="00CA099F">
        <w:rPr>
          <w:rFonts w:eastAsia="Times New Roman" w:cs="Times New Roman"/>
          <w:color w:val="000000"/>
          <w:sz w:val="28"/>
          <w:szCs w:val="28"/>
          <w:lang w:val="en-GB" w:eastAsia="ru-RU"/>
        </w:rPr>
        <w:t xml:space="preserve">, A. </w:t>
      </w:r>
      <w:hyperlink r:id="rId257">
        <w:r w:rsidRPr="00CA099F">
          <w:rPr>
            <w:rFonts w:eastAsia="Times New Roman" w:cs="Times New Roman"/>
            <w:color w:val="000000"/>
            <w:sz w:val="28"/>
            <w:szCs w:val="28"/>
            <w:lang w:val="en-GB" w:eastAsia="ru-RU"/>
          </w:rPr>
          <w:t xml:space="preserve">Wiczkowski </w:t>
        </w:r>
      </w:hyperlink>
      <w:r w:rsidRPr="00CA099F">
        <w:rPr>
          <w:rFonts w:eastAsia="Times New Roman" w:cs="Times New Roman"/>
          <w:color w:val="000000"/>
          <w:sz w:val="28"/>
          <w:szCs w:val="28"/>
          <w:lang w:val="en-GB" w:eastAsia="ru-RU"/>
        </w:rPr>
        <w:t xml:space="preserve">// </w:t>
      </w:r>
      <w:hyperlink r:id="rId258">
        <w:r w:rsidRPr="00CA099F">
          <w:rPr>
            <w:rFonts w:eastAsia="Times New Roman" w:cs="Times New Roman"/>
            <w:color w:val="000000"/>
            <w:sz w:val="28"/>
            <w:szCs w:val="28"/>
            <w:lang w:val="en-GB" w:eastAsia="ru-RU"/>
          </w:rPr>
          <w:t>Curr Pharm Biotechnol.</w:t>
        </w:r>
      </w:hyperlink>
      <w:r w:rsidRPr="00CA099F">
        <w:rPr>
          <w:rFonts w:eastAsia="Times New Roman" w:cs="Times New Roman"/>
          <w:color w:val="000000"/>
          <w:sz w:val="28"/>
          <w:szCs w:val="28"/>
          <w:lang w:val="en-GB" w:eastAsia="ru-RU"/>
        </w:rPr>
        <w:t xml:space="preserve"> – 2012. – Vol. 13(7). – P. 1153-1162.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Sunitha Raja V. Platelet-rich fibrin: Evolution of a second-generation platelet concentrate / V. Sunitha Raja, E. Munirathnam Naidu // Indian J Dent Res – 2008. – Vol. 19. – P. 42-46.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A comparative study of 2 methods for obtaining platelet-rich plasma / F.M. </w:t>
      </w:r>
      <w:hyperlink r:id="rId259">
        <w:r w:rsidRPr="00CA099F">
          <w:rPr>
            <w:rFonts w:eastAsia="Times New Roman" w:cs="Times New Roman"/>
            <w:color w:val="000000"/>
            <w:sz w:val="28"/>
            <w:szCs w:val="28"/>
            <w:lang w:val="en-GB" w:eastAsia="ru-RU"/>
          </w:rPr>
          <w:t>Tamimi</w:t>
        </w:r>
      </w:hyperlink>
      <w:r w:rsidRPr="00CA099F">
        <w:rPr>
          <w:rFonts w:eastAsia="Times New Roman" w:cs="Times New Roman"/>
          <w:color w:val="000000"/>
          <w:sz w:val="28"/>
          <w:szCs w:val="28"/>
          <w:lang w:val="en-GB" w:eastAsia="ru-RU"/>
        </w:rPr>
        <w:t xml:space="preserve">, S. </w:t>
      </w:r>
      <w:hyperlink r:id="rId260">
        <w:r w:rsidRPr="00CA099F">
          <w:rPr>
            <w:rFonts w:eastAsia="Times New Roman" w:cs="Times New Roman"/>
            <w:color w:val="000000"/>
            <w:sz w:val="28"/>
            <w:szCs w:val="28"/>
            <w:lang w:val="en-GB" w:eastAsia="ru-RU"/>
          </w:rPr>
          <w:t>Montalvo</w:t>
        </w:r>
      </w:hyperlink>
      <w:r w:rsidRPr="00CA099F">
        <w:rPr>
          <w:rFonts w:eastAsia="Times New Roman" w:cs="Times New Roman"/>
          <w:color w:val="000000"/>
          <w:sz w:val="28"/>
          <w:szCs w:val="28"/>
          <w:lang w:val="en-GB" w:eastAsia="ru-RU"/>
        </w:rPr>
        <w:t xml:space="preserve">, I. </w:t>
      </w:r>
      <w:hyperlink r:id="rId261">
        <w:r w:rsidRPr="00CA099F">
          <w:rPr>
            <w:rFonts w:eastAsia="Times New Roman" w:cs="Times New Roman"/>
            <w:color w:val="000000"/>
            <w:sz w:val="28"/>
            <w:szCs w:val="28"/>
            <w:lang w:val="en-GB" w:eastAsia="ru-RU"/>
          </w:rPr>
          <w:t>Tresguerres</w:t>
        </w:r>
      </w:hyperlink>
      <w:r w:rsidRPr="00CA099F">
        <w:rPr>
          <w:rFonts w:eastAsia="Times New Roman" w:cs="Times New Roman"/>
          <w:color w:val="000000"/>
          <w:sz w:val="28"/>
          <w:szCs w:val="28"/>
          <w:lang w:val="en-GB" w:eastAsia="ru-RU"/>
        </w:rPr>
        <w:t xml:space="preserve">, L. </w:t>
      </w:r>
      <w:hyperlink r:id="rId262">
        <w:r w:rsidRPr="00CA099F">
          <w:rPr>
            <w:rFonts w:eastAsia="Times New Roman" w:cs="Times New Roman"/>
            <w:color w:val="000000"/>
            <w:sz w:val="28"/>
            <w:szCs w:val="28"/>
            <w:lang w:val="en-GB" w:eastAsia="ru-RU"/>
          </w:rPr>
          <w:t xml:space="preserve">Blanco Jerez </w:t>
        </w:r>
      </w:hyperlink>
      <w:r w:rsidRPr="00CA099F">
        <w:rPr>
          <w:rFonts w:eastAsia="Times New Roman" w:cs="Times New Roman"/>
          <w:color w:val="000000"/>
          <w:sz w:val="28"/>
          <w:szCs w:val="28"/>
          <w:lang w:val="en-GB" w:eastAsia="ru-RU"/>
        </w:rPr>
        <w:t xml:space="preserve">// </w:t>
      </w:r>
      <w:hyperlink r:id="rId263">
        <w:r w:rsidRPr="00CA099F">
          <w:rPr>
            <w:rFonts w:eastAsia="Times New Roman" w:cs="Times New Roman"/>
            <w:color w:val="000000"/>
            <w:sz w:val="28"/>
            <w:szCs w:val="28"/>
            <w:lang w:val="en-GB" w:eastAsia="ru-RU"/>
          </w:rPr>
          <w:t>J Oral Maxillofac Surg.</w:t>
        </w:r>
      </w:hyperlink>
      <w:r w:rsidRPr="00CA099F">
        <w:rPr>
          <w:rFonts w:eastAsia="Times New Roman" w:cs="Times New Roman"/>
          <w:color w:val="000000"/>
          <w:sz w:val="28"/>
          <w:szCs w:val="28"/>
          <w:lang w:val="en-GB" w:eastAsia="ru-RU"/>
        </w:rPr>
        <w:t xml:space="preserve"> – 2007. – Vol. 65(6). – P. 1084-1093.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Do the fibrin architecture and leukocyte content influence the growth factor release of platelet concentrates? An evidence-based answer comparing a pure platelet-rich plasm (P-PRP) gel and a leukocyte- and platelet-rich fibrin (L-PRF) / D. M. Dohan Ehrenfest, T. Bielecki, R. Jimbo [et al.] // Current Pharmaceutical Biotechnology. – 2012. – Vol. 13(7). – P. 1145–1152.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Platelet-rich plasma: growth factor enhancement for bone grafts / R.E. Marx, E.R. Carlson, R.M. Eichstaedt [et al.] // Oral Surgery, Oral Medicine, </w:t>
      </w:r>
      <w:r w:rsidRPr="00CA099F">
        <w:rPr>
          <w:rFonts w:eastAsia="Times New Roman" w:cs="Times New Roman"/>
          <w:color w:val="000000"/>
          <w:sz w:val="28"/>
          <w:szCs w:val="28"/>
          <w:lang w:val="en-GB" w:eastAsia="ru-RU"/>
        </w:rPr>
        <w:lastRenderedPageBreak/>
        <w:t>Oral Pathology, Oral Radiology, and Endodontics. – 1998. – Vol. 85(6). – P. 638–646.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Effects of PRF and released three growth factors on migration of rat adipose tissue-derived stem cells / J. </w:t>
      </w:r>
      <w:hyperlink r:id="rId264">
        <w:r w:rsidRPr="00CA099F">
          <w:rPr>
            <w:rFonts w:eastAsia="Times New Roman" w:cs="Times New Roman"/>
            <w:color w:val="000000"/>
            <w:sz w:val="28"/>
            <w:szCs w:val="28"/>
            <w:lang w:val="en-GB" w:eastAsia="ru-RU"/>
          </w:rPr>
          <w:t>Gao</w:t>
        </w:r>
      </w:hyperlink>
      <w:r w:rsidRPr="00CA099F">
        <w:rPr>
          <w:rFonts w:eastAsia="Times New Roman" w:cs="Times New Roman"/>
          <w:color w:val="000000"/>
          <w:sz w:val="28"/>
          <w:szCs w:val="28"/>
          <w:lang w:val="en-GB" w:eastAsia="ru-RU"/>
        </w:rPr>
        <w:t xml:space="preserve">, M.G. </w:t>
      </w:r>
      <w:hyperlink r:id="rId265">
        <w:r w:rsidRPr="00CA099F">
          <w:rPr>
            <w:rFonts w:eastAsia="Times New Roman" w:cs="Times New Roman"/>
            <w:color w:val="000000"/>
            <w:sz w:val="28"/>
            <w:szCs w:val="28"/>
            <w:lang w:val="en-GB" w:eastAsia="ru-RU"/>
          </w:rPr>
          <w:t>Wang</w:t>
        </w:r>
      </w:hyperlink>
      <w:r w:rsidRPr="00CA099F">
        <w:rPr>
          <w:rFonts w:eastAsia="Times New Roman" w:cs="Times New Roman"/>
          <w:color w:val="000000"/>
          <w:sz w:val="28"/>
          <w:szCs w:val="28"/>
          <w:lang w:val="en-GB" w:eastAsia="ru-RU"/>
        </w:rPr>
        <w:t xml:space="preserve">, S. </w:t>
      </w:r>
      <w:hyperlink r:id="rId266">
        <w:r w:rsidRPr="00CA099F">
          <w:rPr>
            <w:rFonts w:eastAsia="Times New Roman" w:cs="Times New Roman"/>
            <w:color w:val="000000"/>
            <w:sz w:val="28"/>
            <w:szCs w:val="28"/>
            <w:lang w:val="en-GB" w:eastAsia="ru-RU"/>
          </w:rPr>
          <w:t xml:space="preserve">Yang </w:t>
        </w:r>
      </w:hyperlink>
      <w:r w:rsidRPr="00CA099F">
        <w:rPr>
          <w:rFonts w:eastAsia="Times New Roman" w:cs="Times New Roman"/>
          <w:color w:val="000000"/>
          <w:sz w:val="28"/>
          <w:szCs w:val="28"/>
          <w:lang w:val="en-GB" w:eastAsia="ru-RU"/>
        </w:rPr>
        <w:t xml:space="preserve">[et al.] // </w:t>
      </w:r>
      <w:hyperlink r:id="rId267">
        <w:r w:rsidRPr="00CA099F">
          <w:rPr>
            <w:rFonts w:eastAsia="Times New Roman" w:cs="Times New Roman"/>
            <w:color w:val="000000"/>
            <w:sz w:val="28"/>
            <w:szCs w:val="28"/>
            <w:lang w:val="en-GB" w:eastAsia="ru-RU"/>
          </w:rPr>
          <w:t>Shanghai Kou Qiang Yi Xue.</w:t>
        </w:r>
      </w:hyperlink>
      <w:r w:rsidRPr="00CA099F">
        <w:rPr>
          <w:rFonts w:eastAsia="Times New Roman" w:cs="Times New Roman"/>
          <w:color w:val="000000"/>
          <w:sz w:val="28"/>
          <w:szCs w:val="28"/>
          <w:lang w:val="en-GB" w:eastAsia="ru-RU"/>
        </w:rPr>
        <w:t xml:space="preserve"> – 2015. – Vol. 24(6). – P. 667-673.</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 w:val="left" w:pos="855"/>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Autologous platelets as a source of proteins for healing and tissue regeneration / E. </w:t>
      </w:r>
      <w:hyperlink r:id="rId268">
        <w:r w:rsidRPr="00CA099F">
          <w:rPr>
            <w:rFonts w:eastAsia="Times New Roman" w:cs="Times New Roman"/>
            <w:color w:val="000000"/>
            <w:sz w:val="28"/>
            <w:szCs w:val="28"/>
            <w:lang w:val="en-GB" w:eastAsia="ru-RU"/>
          </w:rPr>
          <w:t>Anitua</w:t>
        </w:r>
      </w:hyperlink>
      <w:r w:rsidRPr="00CA099F">
        <w:rPr>
          <w:rFonts w:eastAsia="Times New Roman" w:cs="Times New Roman"/>
          <w:color w:val="000000"/>
          <w:sz w:val="28"/>
          <w:szCs w:val="28"/>
          <w:lang w:val="en-GB" w:eastAsia="ru-RU"/>
        </w:rPr>
        <w:t xml:space="preserve">, I. </w:t>
      </w:r>
      <w:hyperlink r:id="rId269">
        <w:r w:rsidRPr="00CA099F">
          <w:rPr>
            <w:rFonts w:eastAsia="Times New Roman" w:cs="Times New Roman"/>
            <w:color w:val="000000"/>
            <w:sz w:val="28"/>
            <w:szCs w:val="28"/>
            <w:lang w:val="en-GB" w:eastAsia="ru-RU"/>
          </w:rPr>
          <w:t>Andia</w:t>
        </w:r>
      </w:hyperlink>
      <w:r w:rsidRPr="00CA099F">
        <w:rPr>
          <w:rFonts w:eastAsia="Times New Roman" w:cs="Times New Roman"/>
          <w:color w:val="000000"/>
          <w:sz w:val="28"/>
          <w:szCs w:val="28"/>
          <w:lang w:val="en-GB" w:eastAsia="ru-RU"/>
        </w:rPr>
        <w:t xml:space="preserve">, B. </w:t>
      </w:r>
      <w:hyperlink r:id="rId270">
        <w:r w:rsidRPr="00CA099F">
          <w:rPr>
            <w:rFonts w:eastAsia="Times New Roman" w:cs="Times New Roman"/>
            <w:color w:val="000000"/>
            <w:sz w:val="28"/>
            <w:szCs w:val="28"/>
            <w:lang w:val="en-GB" w:eastAsia="ru-RU"/>
          </w:rPr>
          <w:t>Ardanza</w:t>
        </w:r>
      </w:hyperlink>
      <w:r w:rsidRPr="00CA099F">
        <w:rPr>
          <w:rFonts w:eastAsia="Times New Roman" w:cs="Times New Roman"/>
          <w:color w:val="000000"/>
          <w:sz w:val="28"/>
          <w:szCs w:val="28"/>
          <w:lang w:val="en-GB" w:eastAsia="ru-RU"/>
        </w:rPr>
        <w:t xml:space="preserve"> [et al.] // </w:t>
      </w:r>
      <w:hyperlink r:id="rId271">
        <w:r w:rsidRPr="00CA099F">
          <w:rPr>
            <w:rFonts w:eastAsia="Times New Roman" w:cs="Times New Roman"/>
            <w:color w:val="000000"/>
            <w:sz w:val="28"/>
            <w:szCs w:val="28"/>
            <w:lang w:val="en-GB" w:eastAsia="ru-RU"/>
          </w:rPr>
          <w:t>Thromb Haemost.</w:t>
        </w:r>
      </w:hyperlink>
      <w:r w:rsidRPr="00CA099F">
        <w:rPr>
          <w:rFonts w:eastAsia="Times New Roman" w:cs="Times New Roman"/>
          <w:color w:val="000000"/>
          <w:sz w:val="28"/>
          <w:szCs w:val="28"/>
          <w:lang w:val="en-GB" w:eastAsia="ru-RU"/>
        </w:rPr>
        <w:t xml:space="preserve"> – 2004. – Vol. 91(1). – P. 4-15.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Slow release of growth factors and thrombospondin-1 in Choukroun's platelet-rich fibrin (PRF): a gold standard to achieve for all surgical platelet concentrates technologies / D.M. Dohan Ehrenfest, G.M. de Peppo, P. Doglioli, G. Sammartino // Growth Factors. – 2009. – Vol. 27(1). – P. 63–69.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Growth-promoting action and growth factor release by different platelet derivatives / F. Passaretti, M. Tia, V. D'esposito [et al.] // Platelets. – 2014. – Vol. 25(4). – P. 252–256.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Influence of Leukocyte- and Platelet-Rich Fibrin (L-PRF) in the Healing of Simple Postextraction Sockets: A Split-Mouth Study / </w:t>
      </w:r>
      <w:hyperlink r:id="rId272">
        <w:r w:rsidRPr="00CA099F">
          <w:rPr>
            <w:rFonts w:eastAsia="Times New Roman" w:cs="Times New Roman"/>
            <w:color w:val="000000"/>
            <w:sz w:val="28"/>
            <w:szCs w:val="28"/>
            <w:lang w:val="en-GB" w:eastAsia="ru-RU"/>
          </w:rPr>
          <w:t>G. Marenzi</w:t>
        </w:r>
      </w:hyperlink>
      <w:r w:rsidRPr="00CA099F">
        <w:rPr>
          <w:rFonts w:eastAsia="Times New Roman" w:cs="Times New Roman"/>
          <w:color w:val="000000"/>
          <w:sz w:val="28"/>
          <w:szCs w:val="28"/>
          <w:lang w:val="en-GB" w:eastAsia="ru-RU"/>
        </w:rPr>
        <w:t>,</w:t>
      </w:r>
      <w:hyperlink r:id="rId273">
        <w:r w:rsidRPr="00CA099F">
          <w:rPr>
            <w:rFonts w:eastAsia="Times New Roman" w:cs="Times New Roman"/>
            <w:color w:val="000000"/>
            <w:sz w:val="28"/>
            <w:szCs w:val="28"/>
            <w:lang w:val="en-GB" w:eastAsia="ru-RU"/>
          </w:rPr>
          <w:t>F. Riccitiello</w:t>
        </w:r>
      </w:hyperlink>
      <w:r w:rsidRPr="00CA099F">
        <w:rPr>
          <w:rFonts w:eastAsia="Times New Roman" w:cs="Times New Roman"/>
          <w:color w:val="000000"/>
          <w:sz w:val="28"/>
          <w:szCs w:val="28"/>
          <w:lang w:val="en-GB" w:eastAsia="ru-RU"/>
        </w:rPr>
        <w:t>,</w:t>
      </w:r>
      <w:hyperlink r:id="rId274">
        <w:r w:rsidRPr="00CA099F">
          <w:rPr>
            <w:rFonts w:eastAsia="Times New Roman" w:cs="Times New Roman"/>
            <w:color w:val="000000"/>
            <w:sz w:val="28"/>
            <w:szCs w:val="28"/>
            <w:lang w:val="en-GB" w:eastAsia="ru-RU"/>
          </w:rPr>
          <w:t>M. Tia</w:t>
        </w:r>
      </w:hyperlink>
      <w:r w:rsidRPr="00CA099F">
        <w:rPr>
          <w:rFonts w:eastAsia="Times New Roman" w:cs="Times New Roman"/>
          <w:color w:val="000000"/>
          <w:sz w:val="28"/>
          <w:szCs w:val="28"/>
          <w:lang w:val="en-GB" w:eastAsia="ru-RU"/>
        </w:rPr>
        <w:t xml:space="preserve"> [et al.] // </w:t>
      </w:r>
      <w:hyperlink r:id="rId275">
        <w:r w:rsidRPr="00CA099F">
          <w:rPr>
            <w:rFonts w:eastAsia="Times New Roman" w:cs="Times New Roman"/>
            <w:color w:val="000000"/>
            <w:sz w:val="28"/>
            <w:szCs w:val="28"/>
            <w:lang w:val="en-GB" w:eastAsia="ru-RU"/>
          </w:rPr>
          <w:t>Biomed Res Int</w:t>
        </w:r>
      </w:hyperlink>
      <w:r w:rsidRPr="00CA099F">
        <w:rPr>
          <w:rFonts w:eastAsia="Times New Roman" w:cs="Times New Roman"/>
          <w:color w:val="000000"/>
          <w:sz w:val="28"/>
          <w:szCs w:val="28"/>
          <w:lang w:val="en-GB" w:eastAsia="ru-RU"/>
        </w:rPr>
        <w:t>. – 2015. – Vol. 205. – P. 369-373.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Bone regeneration in extraction sockets with autologous platelet rich fibrin gel / S. Girish Rao, P. Bhat, K.S. Nagesh [et al.] // J Maxillofac Oral Surg. – 2013. – Vol. 12. – P. 11-16.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Role of platelet-derived growth factor in wound healing / G.F. </w:t>
      </w:r>
      <w:hyperlink r:id="rId276">
        <w:r w:rsidRPr="00CA099F">
          <w:rPr>
            <w:rFonts w:eastAsia="Times New Roman" w:cs="Times New Roman"/>
            <w:color w:val="000000"/>
            <w:sz w:val="28"/>
            <w:szCs w:val="28"/>
            <w:lang w:val="en-GB" w:eastAsia="ru-RU"/>
          </w:rPr>
          <w:t xml:space="preserve">Pierce </w:t>
        </w:r>
      </w:hyperlink>
      <w:r w:rsidRPr="00CA099F">
        <w:rPr>
          <w:rFonts w:eastAsia="Times New Roman" w:cs="Times New Roman"/>
          <w:color w:val="000000"/>
          <w:sz w:val="28"/>
          <w:szCs w:val="28"/>
          <w:lang w:val="en-GB" w:eastAsia="ru-RU"/>
        </w:rPr>
        <w:t xml:space="preserve">, T.A. </w:t>
      </w:r>
      <w:hyperlink r:id="rId277">
        <w:r w:rsidRPr="00CA099F">
          <w:rPr>
            <w:rFonts w:eastAsia="Times New Roman" w:cs="Times New Roman"/>
            <w:color w:val="000000"/>
            <w:sz w:val="28"/>
            <w:szCs w:val="28"/>
            <w:lang w:val="en-GB" w:eastAsia="ru-RU"/>
          </w:rPr>
          <w:t>Mustoe</w:t>
        </w:r>
      </w:hyperlink>
      <w:r w:rsidRPr="00CA099F">
        <w:rPr>
          <w:rFonts w:eastAsia="Times New Roman" w:cs="Times New Roman"/>
          <w:color w:val="000000"/>
          <w:sz w:val="28"/>
          <w:szCs w:val="28"/>
          <w:lang w:val="en-GB" w:eastAsia="ru-RU"/>
        </w:rPr>
        <w:t xml:space="preserve">, B.W. </w:t>
      </w:r>
      <w:hyperlink r:id="rId278">
        <w:r w:rsidRPr="00CA099F">
          <w:rPr>
            <w:rFonts w:eastAsia="Times New Roman" w:cs="Times New Roman"/>
            <w:color w:val="000000"/>
            <w:sz w:val="28"/>
            <w:szCs w:val="28"/>
            <w:lang w:val="en-GB" w:eastAsia="ru-RU"/>
          </w:rPr>
          <w:t xml:space="preserve">Altrock </w:t>
        </w:r>
      </w:hyperlink>
      <w:r w:rsidRPr="00CA099F">
        <w:rPr>
          <w:rFonts w:eastAsia="Times New Roman" w:cs="Times New Roman"/>
          <w:color w:val="000000"/>
          <w:sz w:val="28"/>
          <w:szCs w:val="28"/>
          <w:lang w:val="en-GB" w:eastAsia="ru-RU"/>
        </w:rPr>
        <w:t xml:space="preserve">[et al.] // </w:t>
      </w:r>
      <w:hyperlink r:id="rId279">
        <w:r w:rsidRPr="00CA099F">
          <w:rPr>
            <w:rFonts w:eastAsia="Times New Roman" w:cs="Times New Roman"/>
            <w:color w:val="000000"/>
            <w:sz w:val="28"/>
            <w:szCs w:val="28"/>
            <w:lang w:val="en-GB" w:eastAsia="ru-RU"/>
          </w:rPr>
          <w:t>J Cell Biochem.</w:t>
        </w:r>
      </w:hyperlink>
      <w:r w:rsidRPr="00CA099F">
        <w:rPr>
          <w:rFonts w:eastAsia="Times New Roman" w:cs="Times New Roman"/>
          <w:color w:val="000000"/>
          <w:sz w:val="28"/>
          <w:szCs w:val="28"/>
          <w:lang w:val="en-GB" w:eastAsia="ru-RU"/>
        </w:rPr>
        <w:t xml:space="preserve"> – 1991. – Vol. 45(4). – P. 319-326.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Current knowledge and perspectives for the use of platelet-rich plasma (PRP) and platelet-rich fibrin (PRF) in oral and maxillofacial surgery part 1: periodontal and dentoalveolar surgery / M. del Corso, A. Vervelle, A. Simonpieri [et al.] // Current Pharmaceutical Biotechnology. – 2012. – Vol. 13(7). – P. 1207–1230.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Current knowledge and perspectives for the use of platelet-rich plasma (PRP) and platelet-rich fibrin (PRF) in oral and maxillofacial surgery. Part 2. Bone graft, implant and reconstructive surgery / A. Simonpieri, M. del Corso, A. Vervelle [et al.] // Current Pharmaceutical Biotechnology – 2012. – Vol. 13(7). – P. 1231–1256.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Platelet-rich plasma and platelet-rich fibrin in human cell culture / V.L. Gassling, Y. Açil, I.N. Springer [et al.] // Oral Surg Oral Med Oral Pathol Oral Radiol Endod. – 2009. – Vol. 108. – P. 48–55.</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Clinical and Histologic Evaluation of Platelet-Rich Fibrin Accelerated Epithelization of Gingival Wound / </w:t>
      </w:r>
      <w:hyperlink r:id="rId280">
        <w:r w:rsidRPr="00CA099F">
          <w:rPr>
            <w:rFonts w:eastAsia="Times New Roman" w:cs="Times New Roman"/>
            <w:color w:val="000000"/>
            <w:sz w:val="28"/>
            <w:szCs w:val="28"/>
            <w:lang w:val="en-GB" w:eastAsia="ru-RU"/>
          </w:rPr>
          <w:t>M. Bansal</w:t>
        </w:r>
      </w:hyperlink>
      <w:r w:rsidRPr="00CA099F">
        <w:rPr>
          <w:rFonts w:eastAsia="Times New Roman" w:cs="Times New Roman"/>
          <w:color w:val="000000"/>
          <w:sz w:val="28"/>
          <w:szCs w:val="28"/>
          <w:lang w:val="en-GB" w:eastAsia="ru-RU"/>
        </w:rPr>
        <w:t xml:space="preserve">, </w:t>
      </w:r>
      <w:hyperlink r:id="rId281">
        <w:r w:rsidRPr="00CA099F">
          <w:rPr>
            <w:rFonts w:eastAsia="Times New Roman" w:cs="Times New Roman"/>
            <w:color w:val="000000"/>
            <w:sz w:val="28"/>
            <w:szCs w:val="28"/>
            <w:lang w:val="en-GB" w:eastAsia="ru-RU"/>
          </w:rPr>
          <w:t>A. Kumar</w:t>
        </w:r>
      </w:hyperlink>
      <w:r w:rsidRPr="00CA099F">
        <w:rPr>
          <w:rFonts w:eastAsia="Times New Roman" w:cs="Times New Roman"/>
          <w:color w:val="000000"/>
          <w:sz w:val="28"/>
          <w:szCs w:val="28"/>
          <w:lang w:val="en-GB" w:eastAsia="ru-RU"/>
        </w:rPr>
        <w:t xml:space="preserve">, </w:t>
      </w:r>
      <w:hyperlink r:id="rId282">
        <w:r w:rsidRPr="00CA099F">
          <w:rPr>
            <w:rFonts w:eastAsia="Times New Roman" w:cs="Times New Roman"/>
            <w:color w:val="000000"/>
            <w:sz w:val="28"/>
            <w:szCs w:val="28"/>
            <w:lang w:val="en-GB" w:eastAsia="ru-RU"/>
          </w:rPr>
          <w:t>K. Puri</w:t>
        </w:r>
      </w:hyperlink>
      <w:r w:rsidRPr="00CA099F">
        <w:rPr>
          <w:rFonts w:eastAsia="Times New Roman" w:cs="Times New Roman"/>
          <w:color w:val="000000"/>
          <w:sz w:val="28"/>
          <w:szCs w:val="28"/>
          <w:lang w:val="en-GB" w:eastAsia="ru-RU"/>
        </w:rPr>
        <w:t xml:space="preserve"> [et al.] // </w:t>
      </w:r>
      <w:hyperlink r:id="rId283">
        <w:r w:rsidRPr="00CA099F">
          <w:rPr>
            <w:rFonts w:eastAsia="Times New Roman" w:cs="Times New Roman"/>
            <w:color w:val="000000"/>
            <w:sz w:val="28"/>
            <w:szCs w:val="28"/>
            <w:lang w:val="en-GB" w:eastAsia="ru-RU"/>
          </w:rPr>
          <w:t>J Cutan Aesthet Surg</w:t>
        </w:r>
      </w:hyperlink>
      <w:r w:rsidRPr="00CA099F">
        <w:rPr>
          <w:rFonts w:eastAsia="Times New Roman" w:cs="Times New Roman"/>
          <w:color w:val="000000"/>
          <w:sz w:val="28"/>
          <w:szCs w:val="28"/>
          <w:lang w:val="en-GB" w:eastAsia="ru-RU"/>
        </w:rPr>
        <w:t>. – 2016. – Vol. 9(3). – P. 196–200.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Platelet-Rich Fibrin and Soft Tissue Wound Healing: A Systematic Review / R.J. </w:t>
      </w:r>
      <w:hyperlink r:id="rId284">
        <w:r w:rsidRPr="00CA099F">
          <w:rPr>
            <w:rFonts w:eastAsia="Times New Roman" w:cs="Times New Roman"/>
            <w:color w:val="000000"/>
            <w:sz w:val="28"/>
            <w:szCs w:val="28"/>
            <w:lang w:val="en-GB" w:eastAsia="ru-RU"/>
          </w:rPr>
          <w:t>Miron</w:t>
        </w:r>
      </w:hyperlink>
      <w:r w:rsidRPr="00CA099F">
        <w:rPr>
          <w:rFonts w:eastAsia="Times New Roman" w:cs="Times New Roman"/>
          <w:color w:val="000000"/>
          <w:sz w:val="28"/>
          <w:szCs w:val="28"/>
          <w:lang w:val="en-GB" w:eastAsia="ru-RU"/>
        </w:rPr>
        <w:t xml:space="preserve">, M. </w:t>
      </w:r>
      <w:hyperlink r:id="rId285">
        <w:r w:rsidRPr="00CA099F">
          <w:rPr>
            <w:rFonts w:eastAsia="Times New Roman" w:cs="Times New Roman"/>
            <w:color w:val="000000"/>
            <w:sz w:val="28"/>
            <w:szCs w:val="28"/>
            <w:lang w:val="en-GB" w:eastAsia="ru-RU"/>
          </w:rPr>
          <w:t>Fujioka-Kobayashi</w:t>
        </w:r>
      </w:hyperlink>
      <w:r w:rsidRPr="00CA099F">
        <w:rPr>
          <w:rFonts w:eastAsia="Times New Roman" w:cs="Times New Roman"/>
          <w:color w:val="000000"/>
          <w:sz w:val="28"/>
          <w:szCs w:val="28"/>
          <w:lang w:val="en-GB" w:eastAsia="ru-RU"/>
        </w:rPr>
        <w:t xml:space="preserve">, M. </w:t>
      </w:r>
      <w:hyperlink r:id="rId286">
        <w:r w:rsidRPr="00CA099F">
          <w:rPr>
            <w:rFonts w:eastAsia="Times New Roman" w:cs="Times New Roman"/>
            <w:color w:val="000000"/>
            <w:sz w:val="28"/>
            <w:szCs w:val="28"/>
            <w:lang w:val="en-GB" w:eastAsia="ru-RU"/>
          </w:rPr>
          <w:t xml:space="preserve">Bishara </w:t>
        </w:r>
      </w:hyperlink>
      <w:r w:rsidRPr="00CA099F">
        <w:rPr>
          <w:rFonts w:eastAsia="Times New Roman" w:cs="Times New Roman"/>
          <w:color w:val="000000"/>
          <w:sz w:val="28"/>
          <w:szCs w:val="28"/>
          <w:lang w:val="en-GB" w:eastAsia="ru-RU"/>
        </w:rPr>
        <w:t xml:space="preserve">[et al.] // </w:t>
      </w:r>
      <w:hyperlink r:id="rId287">
        <w:r w:rsidRPr="00CA099F">
          <w:rPr>
            <w:rFonts w:eastAsia="Times New Roman" w:cs="Times New Roman"/>
            <w:color w:val="000000"/>
            <w:sz w:val="28"/>
            <w:szCs w:val="28"/>
            <w:lang w:val="en-GB" w:eastAsia="ru-RU"/>
          </w:rPr>
          <w:t>Tissue Eng Part B Rev.</w:t>
        </w:r>
      </w:hyperlink>
      <w:r w:rsidRPr="00CA099F">
        <w:rPr>
          <w:rFonts w:eastAsia="Times New Roman" w:cs="Times New Roman"/>
          <w:color w:val="000000"/>
          <w:sz w:val="28"/>
          <w:szCs w:val="28"/>
          <w:lang w:val="en-GB" w:eastAsia="ru-RU"/>
        </w:rPr>
        <w:t xml:space="preserve"> – 2017. – Vol. 23(1). – P. 83-99.</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Improvement in the repair of defects in maxillofacial soft tissue in irradiated minipigs by a mixture of adipose-derived stem cells and platelet-rich fibrin / Y. </w:t>
      </w:r>
      <w:hyperlink r:id="rId288">
        <w:r w:rsidRPr="00CA099F">
          <w:rPr>
            <w:rFonts w:eastAsia="Times New Roman" w:cs="Times New Roman"/>
            <w:color w:val="000000"/>
            <w:sz w:val="28"/>
            <w:szCs w:val="28"/>
            <w:lang w:val="en-GB" w:eastAsia="ru-RU"/>
          </w:rPr>
          <w:t>Chen</w:t>
        </w:r>
      </w:hyperlink>
      <w:r w:rsidRPr="00CA099F">
        <w:rPr>
          <w:rFonts w:eastAsia="Times New Roman" w:cs="Times New Roman"/>
          <w:color w:val="000000"/>
          <w:sz w:val="28"/>
          <w:szCs w:val="28"/>
          <w:lang w:val="en-GB" w:eastAsia="ru-RU"/>
        </w:rPr>
        <w:t xml:space="preserve">, Z. </w:t>
      </w:r>
      <w:hyperlink r:id="rId289">
        <w:r w:rsidRPr="00CA099F">
          <w:rPr>
            <w:rFonts w:eastAsia="Times New Roman" w:cs="Times New Roman"/>
            <w:color w:val="000000"/>
            <w:sz w:val="28"/>
            <w:szCs w:val="28"/>
            <w:lang w:val="en-GB" w:eastAsia="ru-RU"/>
          </w:rPr>
          <w:t>Niu</w:t>
        </w:r>
      </w:hyperlink>
      <w:r w:rsidRPr="00CA099F">
        <w:rPr>
          <w:rFonts w:eastAsia="Times New Roman" w:cs="Times New Roman"/>
          <w:color w:val="000000"/>
          <w:sz w:val="28"/>
          <w:szCs w:val="28"/>
          <w:lang w:val="en-GB" w:eastAsia="ru-RU"/>
        </w:rPr>
        <w:t xml:space="preserve">, Y. </w:t>
      </w:r>
      <w:hyperlink r:id="rId290">
        <w:r w:rsidRPr="00CA099F">
          <w:rPr>
            <w:rFonts w:eastAsia="Times New Roman" w:cs="Times New Roman"/>
            <w:color w:val="000000"/>
            <w:sz w:val="28"/>
            <w:szCs w:val="28"/>
            <w:lang w:val="en-GB" w:eastAsia="ru-RU"/>
          </w:rPr>
          <w:t xml:space="preserve">Xue </w:t>
        </w:r>
      </w:hyperlink>
      <w:r w:rsidRPr="00CA099F">
        <w:rPr>
          <w:rFonts w:eastAsia="Times New Roman" w:cs="Times New Roman"/>
          <w:color w:val="000000"/>
          <w:sz w:val="28"/>
          <w:szCs w:val="28"/>
          <w:lang w:val="en-GB" w:eastAsia="ru-RU"/>
        </w:rPr>
        <w:t xml:space="preserve">[et al.] // </w:t>
      </w:r>
      <w:hyperlink r:id="rId291">
        <w:r w:rsidRPr="00CA099F">
          <w:rPr>
            <w:rFonts w:eastAsia="Times New Roman" w:cs="Times New Roman"/>
            <w:color w:val="000000"/>
            <w:sz w:val="28"/>
            <w:szCs w:val="28"/>
            <w:lang w:val="en-GB" w:eastAsia="ru-RU"/>
          </w:rPr>
          <w:t>Br J Oral Maxillofac Surg.</w:t>
        </w:r>
      </w:hyperlink>
      <w:r w:rsidRPr="00CA099F">
        <w:rPr>
          <w:rFonts w:eastAsia="Times New Roman" w:cs="Times New Roman"/>
          <w:color w:val="000000"/>
          <w:sz w:val="28"/>
          <w:szCs w:val="28"/>
          <w:lang w:val="en-GB" w:eastAsia="ru-RU"/>
        </w:rPr>
        <w:t xml:space="preserve"> – 2014. – Vol. 52(8). – P. 740-745.</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Rowe S.L. Influence of thrombin concentration on the mechanical and morphological properties of cell</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seeded fibrin hydrogels / S.L. Rowe, S.Y. Lee, J.P. Stegemann // Acta Biomaterialia. – 2007. – Vol. 3. – P. 59–67.</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Regenerative potential of leucocyte</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 xml:space="preserve"> and platelet</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rich fibrin. Part A: intra</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bony defects, furcation defects and periodontal plastic surgery. A systematic review and meta</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 xml:space="preserve">analysis / </w:t>
      </w:r>
      <w:hyperlink r:id="rId292">
        <w:r w:rsidRPr="00CA099F">
          <w:rPr>
            <w:rFonts w:eastAsia="Times New Roman" w:cs="Times New Roman"/>
            <w:color w:val="000000"/>
            <w:sz w:val="28"/>
            <w:szCs w:val="28"/>
            <w:lang w:val="en-GB" w:eastAsia="ru-RU"/>
          </w:rPr>
          <w:t>A.B. Castro</w:t>
        </w:r>
      </w:hyperlink>
      <w:r w:rsidRPr="00CA099F">
        <w:rPr>
          <w:rFonts w:eastAsia="Times New Roman" w:cs="Times New Roman"/>
          <w:color w:val="000000"/>
          <w:sz w:val="28"/>
          <w:szCs w:val="28"/>
          <w:lang w:val="en-GB" w:eastAsia="ru-RU"/>
        </w:rPr>
        <w:t xml:space="preserve">, </w:t>
      </w:r>
      <w:hyperlink r:id="rId293">
        <w:r w:rsidRPr="00CA099F">
          <w:rPr>
            <w:rFonts w:eastAsia="Times New Roman" w:cs="Times New Roman"/>
            <w:color w:val="000000"/>
            <w:sz w:val="28"/>
            <w:szCs w:val="28"/>
            <w:lang w:val="en-GB" w:eastAsia="ru-RU"/>
          </w:rPr>
          <w:t>N. Meschi</w:t>
        </w:r>
      </w:hyperlink>
      <w:r w:rsidRPr="00CA099F">
        <w:rPr>
          <w:rFonts w:eastAsia="Times New Roman" w:cs="Times New Roman"/>
          <w:color w:val="000000"/>
          <w:sz w:val="28"/>
          <w:szCs w:val="28"/>
          <w:lang w:val="en-GB" w:eastAsia="ru-RU"/>
        </w:rPr>
        <w:t xml:space="preserve">, </w:t>
      </w:r>
      <w:hyperlink r:id="rId294">
        <w:r w:rsidRPr="00CA099F">
          <w:rPr>
            <w:rFonts w:eastAsia="Times New Roman" w:cs="Times New Roman"/>
            <w:color w:val="000000"/>
            <w:sz w:val="28"/>
            <w:szCs w:val="28"/>
            <w:lang w:val="en-GB" w:eastAsia="ru-RU"/>
          </w:rPr>
          <w:t>A. Temmerman</w:t>
        </w:r>
      </w:hyperlink>
      <w:r w:rsidRPr="00CA099F">
        <w:rPr>
          <w:rFonts w:eastAsia="Times New Roman" w:cs="Times New Roman"/>
          <w:color w:val="000000"/>
          <w:sz w:val="28"/>
          <w:szCs w:val="28"/>
          <w:lang w:val="en-GB" w:eastAsia="ru-RU"/>
        </w:rPr>
        <w:t xml:space="preserve"> [et al.] // </w:t>
      </w:r>
      <w:hyperlink r:id="rId295">
        <w:r w:rsidRPr="00CA099F">
          <w:rPr>
            <w:rFonts w:eastAsia="Times New Roman" w:cs="Times New Roman"/>
            <w:color w:val="000000"/>
            <w:sz w:val="28"/>
            <w:szCs w:val="28"/>
            <w:lang w:val="en-GB" w:eastAsia="ru-RU"/>
          </w:rPr>
          <w:t>J Clin Periodontol</w:t>
        </w:r>
      </w:hyperlink>
      <w:r w:rsidRPr="00CA099F">
        <w:rPr>
          <w:rFonts w:eastAsia="Times New Roman" w:cs="Times New Roman"/>
          <w:color w:val="000000"/>
          <w:sz w:val="28"/>
          <w:szCs w:val="28"/>
          <w:lang w:val="en-GB" w:eastAsia="ru-RU"/>
        </w:rPr>
        <w:t>. – 2017. – Vol. 44(1). – P. 67–82.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Antimicrobial activity of plasma</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rich plasma and other plasma preparations against periodontal pathogens / L.C. Yang, S.W. Hu, M. Yan [et al.] // Journal of Periodontology. – 2015. – Vol. 86. – P. 310–318.</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296">
        <w:r w:rsidR="0030517B" w:rsidRPr="00CA099F">
          <w:rPr>
            <w:rFonts w:eastAsia="Times New Roman" w:cs="Times New Roman"/>
            <w:color w:val="000000"/>
            <w:sz w:val="28"/>
            <w:szCs w:val="28"/>
            <w:lang w:val="en-GB" w:eastAsia="ru-RU"/>
          </w:rPr>
          <w:t>Yelamali</w:t>
        </w:r>
      </w:hyperlink>
      <w:r w:rsidR="0030517B" w:rsidRPr="00CA099F">
        <w:rPr>
          <w:rFonts w:eastAsia="Times New Roman" w:cs="Times New Roman"/>
          <w:color w:val="000000"/>
          <w:sz w:val="28"/>
          <w:szCs w:val="28"/>
          <w:lang w:val="en-GB" w:eastAsia="ru-RU"/>
        </w:rPr>
        <w:t xml:space="preserve"> T. Role of Platelet Rich Fibrin and Platelet Rich Plasma in Wound Healing of Extracted Third Molar Sockets: A Comparative Study / </w:t>
      </w:r>
      <w:hyperlink r:id="rId297">
        <w:r w:rsidR="0030517B" w:rsidRPr="00CA099F">
          <w:rPr>
            <w:rFonts w:eastAsia="Times New Roman" w:cs="Times New Roman"/>
            <w:color w:val="000000"/>
            <w:sz w:val="28"/>
            <w:szCs w:val="28"/>
            <w:lang w:val="en-GB" w:eastAsia="ru-RU"/>
          </w:rPr>
          <w:t xml:space="preserve">T. </w:t>
        </w:r>
        <w:r w:rsidR="0030517B" w:rsidRPr="00CA099F">
          <w:rPr>
            <w:rFonts w:eastAsia="Times New Roman" w:cs="Times New Roman"/>
            <w:color w:val="000000"/>
            <w:sz w:val="28"/>
            <w:szCs w:val="28"/>
            <w:lang w:val="en-GB" w:eastAsia="ru-RU"/>
          </w:rPr>
          <w:lastRenderedPageBreak/>
          <w:t>Yelamali</w:t>
        </w:r>
      </w:hyperlink>
      <w:r w:rsidR="0030517B" w:rsidRPr="00CA099F">
        <w:rPr>
          <w:rFonts w:eastAsia="Times New Roman" w:cs="Times New Roman"/>
          <w:color w:val="000000"/>
          <w:sz w:val="28"/>
          <w:szCs w:val="28"/>
          <w:lang w:val="en-GB" w:eastAsia="ru-RU"/>
        </w:rPr>
        <w:t xml:space="preserve">, D. Saikrishna // </w:t>
      </w:r>
      <w:hyperlink r:id="rId298">
        <w:r w:rsidR="0030517B" w:rsidRPr="00CA099F">
          <w:rPr>
            <w:rFonts w:eastAsia="Times New Roman" w:cs="Times New Roman"/>
            <w:color w:val="000000"/>
            <w:sz w:val="28"/>
            <w:szCs w:val="28"/>
            <w:lang w:val="en-GB" w:eastAsia="ru-RU"/>
          </w:rPr>
          <w:t>J Maxillofac Oral Surg</w:t>
        </w:r>
      </w:hyperlink>
      <w:r w:rsidR="0030517B" w:rsidRPr="00CA099F">
        <w:rPr>
          <w:rFonts w:eastAsia="Times New Roman" w:cs="Times New Roman"/>
          <w:color w:val="000000"/>
          <w:sz w:val="28"/>
          <w:szCs w:val="28"/>
          <w:lang w:val="en-GB" w:eastAsia="ru-RU"/>
        </w:rPr>
        <w:t>. – 2015. – Vol. 14(2). – P. 410–416.</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299">
        <w:r w:rsidR="0030517B" w:rsidRPr="00CA099F">
          <w:rPr>
            <w:rFonts w:eastAsia="Times New Roman" w:cs="Times New Roman"/>
            <w:color w:val="000000"/>
            <w:sz w:val="28"/>
            <w:szCs w:val="28"/>
            <w:lang w:val="en-GB" w:eastAsia="ru-RU"/>
          </w:rPr>
          <w:t>Bayer A</w:t>
        </w:r>
      </w:hyperlink>
      <w:r w:rsidR="0030517B" w:rsidRPr="00CA099F">
        <w:rPr>
          <w:rFonts w:eastAsia="Times New Roman" w:cs="Times New Roman"/>
          <w:color w:val="000000"/>
          <w:sz w:val="28"/>
          <w:szCs w:val="28"/>
          <w:lang w:val="en-GB" w:eastAsia="ru-RU"/>
        </w:rPr>
        <w:t xml:space="preserve">. Platelet-released growth factors induce psoriasin in keratinocytes: Implications for the cutaneous barrier / A. </w:t>
      </w:r>
      <w:hyperlink r:id="rId300">
        <w:r w:rsidR="0030517B" w:rsidRPr="00CA099F">
          <w:rPr>
            <w:rFonts w:eastAsia="Times New Roman" w:cs="Times New Roman"/>
            <w:color w:val="000000"/>
            <w:sz w:val="28"/>
            <w:szCs w:val="28"/>
            <w:lang w:val="en-GB" w:eastAsia="ru-RU"/>
          </w:rPr>
          <w:t>Bayer</w:t>
        </w:r>
      </w:hyperlink>
      <w:r w:rsidR="0030517B" w:rsidRPr="00CA099F">
        <w:rPr>
          <w:rFonts w:eastAsia="Times New Roman" w:cs="Times New Roman"/>
          <w:color w:val="000000"/>
          <w:sz w:val="28"/>
          <w:szCs w:val="28"/>
          <w:lang w:val="en-GB" w:eastAsia="ru-RU"/>
        </w:rPr>
        <w:t xml:space="preserve">, J. </w:t>
      </w:r>
      <w:hyperlink r:id="rId301">
        <w:r w:rsidR="0030517B" w:rsidRPr="00CA099F">
          <w:rPr>
            <w:rFonts w:eastAsia="Times New Roman" w:cs="Times New Roman"/>
            <w:color w:val="000000"/>
            <w:sz w:val="28"/>
            <w:szCs w:val="28"/>
            <w:lang w:val="en-GB" w:eastAsia="ru-RU"/>
          </w:rPr>
          <w:t>Lammel</w:t>
        </w:r>
      </w:hyperlink>
      <w:r w:rsidR="0030517B" w:rsidRPr="00CA099F">
        <w:rPr>
          <w:rFonts w:eastAsia="Times New Roman" w:cs="Times New Roman"/>
          <w:color w:val="000000"/>
          <w:sz w:val="28"/>
          <w:szCs w:val="28"/>
          <w:lang w:val="en-GB" w:eastAsia="ru-RU"/>
        </w:rPr>
        <w:t xml:space="preserve">, S. </w:t>
      </w:r>
      <w:hyperlink r:id="rId302">
        <w:r w:rsidR="0030517B" w:rsidRPr="00CA099F">
          <w:rPr>
            <w:rFonts w:eastAsia="Times New Roman" w:cs="Times New Roman"/>
            <w:color w:val="000000"/>
            <w:sz w:val="28"/>
            <w:szCs w:val="28"/>
            <w:lang w:val="en-GB" w:eastAsia="ru-RU"/>
          </w:rPr>
          <w:t xml:space="preserve">Lippross </w:t>
        </w:r>
      </w:hyperlink>
      <w:r w:rsidR="0030517B" w:rsidRPr="00CA099F">
        <w:rPr>
          <w:rFonts w:eastAsia="Times New Roman" w:cs="Times New Roman"/>
          <w:color w:val="000000"/>
          <w:sz w:val="28"/>
          <w:szCs w:val="28"/>
          <w:lang w:val="en-GB" w:eastAsia="ru-RU"/>
        </w:rPr>
        <w:t xml:space="preserve">// </w:t>
      </w:r>
      <w:hyperlink r:id="rId303">
        <w:r w:rsidR="0030517B" w:rsidRPr="00CA099F">
          <w:rPr>
            <w:rFonts w:eastAsia="Times New Roman" w:cs="Times New Roman"/>
            <w:color w:val="000000"/>
            <w:sz w:val="28"/>
            <w:szCs w:val="28"/>
            <w:lang w:val="en-GB" w:eastAsia="ru-RU"/>
          </w:rPr>
          <w:t>Ann Anat.</w:t>
        </w:r>
      </w:hyperlink>
      <w:r w:rsidR="0030517B" w:rsidRPr="00CA099F">
        <w:rPr>
          <w:rFonts w:eastAsia="Times New Roman" w:cs="Times New Roman"/>
          <w:color w:val="000000"/>
          <w:sz w:val="28"/>
          <w:szCs w:val="28"/>
          <w:lang w:val="en-GB" w:eastAsia="ru-RU"/>
        </w:rPr>
        <w:t xml:space="preserve"> – 2017. – Vol. 25. – P. 25-32.</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Platelet-Rich Fibrin Accelerates Skin Wound Healing in Diabetic Mice / Y. </w:t>
      </w:r>
      <w:hyperlink r:id="rId304">
        <w:r w:rsidRPr="00CA099F">
          <w:rPr>
            <w:rFonts w:eastAsia="Times New Roman" w:cs="Times New Roman"/>
            <w:color w:val="000000"/>
            <w:sz w:val="28"/>
            <w:szCs w:val="28"/>
            <w:lang w:val="en-GB" w:eastAsia="ru-RU"/>
          </w:rPr>
          <w:t>Ding</w:t>
        </w:r>
      </w:hyperlink>
      <w:r w:rsidRPr="00CA099F">
        <w:rPr>
          <w:rFonts w:eastAsia="Times New Roman" w:cs="Times New Roman"/>
          <w:color w:val="000000"/>
          <w:sz w:val="28"/>
          <w:szCs w:val="28"/>
          <w:lang w:val="en-GB" w:eastAsia="ru-RU"/>
        </w:rPr>
        <w:t xml:space="preserve">, L </w:t>
      </w:r>
      <w:hyperlink r:id="rId305">
        <w:r w:rsidRPr="00CA099F">
          <w:rPr>
            <w:rFonts w:eastAsia="Times New Roman" w:cs="Times New Roman"/>
            <w:color w:val="000000"/>
            <w:sz w:val="28"/>
            <w:szCs w:val="28"/>
            <w:lang w:val="en-GB" w:eastAsia="ru-RU"/>
          </w:rPr>
          <w:t>Cui</w:t>
        </w:r>
      </w:hyperlink>
      <w:r w:rsidRPr="00CA099F">
        <w:rPr>
          <w:rFonts w:eastAsia="Times New Roman" w:cs="Times New Roman"/>
          <w:color w:val="000000"/>
          <w:sz w:val="28"/>
          <w:szCs w:val="28"/>
          <w:lang w:val="en-GB" w:eastAsia="ru-RU"/>
        </w:rPr>
        <w:t xml:space="preserve">, Q. </w:t>
      </w:r>
      <w:hyperlink r:id="rId306">
        <w:r w:rsidRPr="00CA099F">
          <w:rPr>
            <w:rFonts w:eastAsia="Times New Roman" w:cs="Times New Roman"/>
            <w:color w:val="000000"/>
            <w:sz w:val="28"/>
            <w:szCs w:val="28"/>
            <w:lang w:val="en-GB" w:eastAsia="ru-RU"/>
          </w:rPr>
          <w:t>Zhao</w:t>
        </w:r>
      </w:hyperlink>
      <w:r w:rsidRPr="00CA099F">
        <w:rPr>
          <w:rFonts w:eastAsia="Times New Roman" w:cs="Times New Roman"/>
          <w:color w:val="000000"/>
          <w:sz w:val="28"/>
          <w:szCs w:val="28"/>
          <w:lang w:val="en-GB" w:eastAsia="ru-RU"/>
        </w:rPr>
        <w:t xml:space="preserve"> [et al.] // </w:t>
      </w:r>
      <w:hyperlink r:id="rId307">
        <w:r w:rsidRPr="00CA099F">
          <w:rPr>
            <w:rFonts w:eastAsia="Times New Roman" w:cs="Times New Roman"/>
            <w:color w:val="000000"/>
            <w:sz w:val="28"/>
            <w:szCs w:val="28"/>
            <w:lang w:val="en-GB" w:eastAsia="ru-RU"/>
          </w:rPr>
          <w:t>Ann Plast Surg.</w:t>
        </w:r>
      </w:hyperlink>
      <w:r w:rsidRPr="00CA099F">
        <w:rPr>
          <w:rFonts w:eastAsia="Times New Roman" w:cs="Times New Roman"/>
          <w:color w:val="000000"/>
          <w:sz w:val="28"/>
          <w:szCs w:val="28"/>
          <w:lang w:val="en-GB" w:eastAsia="ru-RU"/>
        </w:rPr>
        <w:t xml:space="preserve"> – 2017. – Vol. 23. – P. 10-17.</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L-PRP/L-PRF in esthetic plastic surgery, regenerative medicine of the skin and chronic wounds / A. </w:t>
      </w:r>
      <w:hyperlink r:id="rId308">
        <w:r w:rsidRPr="00CA099F">
          <w:rPr>
            <w:rFonts w:eastAsia="Times New Roman" w:cs="Times New Roman"/>
            <w:color w:val="000000"/>
            <w:sz w:val="28"/>
            <w:szCs w:val="28"/>
            <w:lang w:val="en-GB" w:eastAsia="ru-RU"/>
          </w:rPr>
          <w:t>Cieslik-Bielecka</w:t>
        </w:r>
      </w:hyperlink>
      <w:r w:rsidRPr="00CA099F">
        <w:rPr>
          <w:rFonts w:eastAsia="Times New Roman" w:cs="Times New Roman"/>
          <w:color w:val="000000"/>
          <w:sz w:val="28"/>
          <w:szCs w:val="28"/>
          <w:lang w:val="en-GB" w:eastAsia="ru-RU"/>
        </w:rPr>
        <w:t xml:space="preserve">, J. </w:t>
      </w:r>
      <w:hyperlink r:id="rId309">
        <w:r w:rsidRPr="00CA099F">
          <w:rPr>
            <w:rFonts w:eastAsia="Times New Roman" w:cs="Times New Roman"/>
            <w:color w:val="000000"/>
            <w:sz w:val="28"/>
            <w:szCs w:val="28"/>
            <w:lang w:val="en-GB" w:eastAsia="ru-RU"/>
          </w:rPr>
          <w:t>Choukroun</w:t>
        </w:r>
      </w:hyperlink>
      <w:r w:rsidRPr="00CA099F">
        <w:rPr>
          <w:rFonts w:eastAsia="Times New Roman" w:cs="Times New Roman"/>
          <w:color w:val="000000"/>
          <w:sz w:val="28"/>
          <w:szCs w:val="28"/>
          <w:lang w:val="en-GB" w:eastAsia="ru-RU"/>
        </w:rPr>
        <w:t xml:space="preserve">, G. </w:t>
      </w:r>
      <w:hyperlink r:id="rId310">
        <w:r w:rsidRPr="00CA099F">
          <w:rPr>
            <w:rFonts w:eastAsia="Times New Roman" w:cs="Times New Roman"/>
            <w:color w:val="000000"/>
            <w:sz w:val="28"/>
            <w:szCs w:val="28"/>
            <w:lang w:val="en-GB" w:eastAsia="ru-RU"/>
          </w:rPr>
          <w:t>Odin</w:t>
        </w:r>
      </w:hyperlink>
      <w:r w:rsidRPr="00CA099F">
        <w:rPr>
          <w:rFonts w:eastAsia="Times New Roman" w:cs="Times New Roman"/>
          <w:color w:val="000000"/>
          <w:sz w:val="28"/>
          <w:szCs w:val="28"/>
          <w:lang w:val="en-GB" w:eastAsia="ru-RU"/>
        </w:rPr>
        <w:t xml:space="preserve">, D.M. </w:t>
      </w:r>
      <w:hyperlink r:id="rId311">
        <w:r w:rsidRPr="00CA099F">
          <w:rPr>
            <w:rFonts w:eastAsia="Times New Roman" w:cs="Times New Roman"/>
            <w:color w:val="000000"/>
            <w:sz w:val="28"/>
            <w:szCs w:val="28"/>
            <w:lang w:val="en-GB" w:eastAsia="ru-RU"/>
          </w:rPr>
          <w:t xml:space="preserve">Dohan Ehrenfest </w:t>
        </w:r>
      </w:hyperlink>
      <w:r w:rsidRPr="00CA099F">
        <w:rPr>
          <w:rFonts w:eastAsia="Times New Roman" w:cs="Times New Roman"/>
          <w:color w:val="000000"/>
          <w:sz w:val="28"/>
          <w:szCs w:val="28"/>
          <w:lang w:val="en-GB" w:eastAsia="ru-RU"/>
        </w:rPr>
        <w:t xml:space="preserve">// </w:t>
      </w:r>
      <w:hyperlink r:id="rId312">
        <w:r w:rsidRPr="00CA099F">
          <w:rPr>
            <w:rFonts w:eastAsia="Times New Roman" w:cs="Times New Roman"/>
            <w:color w:val="000000"/>
            <w:sz w:val="28"/>
            <w:szCs w:val="28"/>
            <w:lang w:val="en-GB" w:eastAsia="ru-RU"/>
          </w:rPr>
          <w:t>Curr Pharm Biotechnol.</w:t>
        </w:r>
      </w:hyperlink>
      <w:r w:rsidRPr="00CA099F">
        <w:rPr>
          <w:rFonts w:eastAsia="Times New Roman" w:cs="Times New Roman"/>
          <w:color w:val="000000"/>
          <w:sz w:val="28"/>
          <w:szCs w:val="28"/>
          <w:lang w:val="en-GB" w:eastAsia="ru-RU"/>
        </w:rPr>
        <w:t xml:space="preserve"> – 2012. – Vol. 13(7). – P. 1266-1277.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Leukocyte- and platelet-rich fibrin (L-PRF) for long-term delivery of growth factor in rotator cuff repair: review, preliminary results and future directions / M.A. Zumstein, S. Berger, M. Schober [et al.] // Current Pharmaceutical Biotechnology. – 2012. – Vol. 13(7). – P. 1196–1206.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Rock L. Potential of platelet rich fibrin in regenerative periodontal therapy: literature review / L. Rock // The Canadian Journal of Dental Hygiene. – 2013. – Vol. 47. – P. 33–37.</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Comparative evaluation of platelet</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rich fibrin with demineralized freeze</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dried bone allograft in periodontal infrabony defects: a randomized controlled clinical study / M. Shah, J. Patel, D. Dave, S. Shah // Journal of Indian Society of Periodontology. – 2015. – Vol. 19. – P. 56–60.</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Platelet</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rich</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fibrin: a novel root coverage approach / K. Anilkumar, A. Geetha, R. Umasudhakar [et al.] // Journal of Indian Society of Periodontology – 2009. – Vol. 13. – P. 50–54.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Lateral sliding bridge flap technique along with platelet rich fibrin and guided tissue regeneration for root coverage / K. Agarwal, C. Chandra, K. Agarwal, N. Kumar // Journal of Indian Society of Periodontology. – 2013. – Vol. 17. – P. 801–805.</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Agarwal A. Platelet rich fibrin combined with decalcified freeze</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dried bone allograft for the treatment of human intrabony periodontal defects: a randomized split mouth clinical trail / A. Agarwal, N.D. Gupta, A. Jain // Acta Odontologica Scandinavica. – 2016. – Vol. 74. – P. 36–43.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Singh J. Laterally positioned flap</w:t>
      </w:r>
      <w:r w:rsidRPr="00CA099F">
        <w:rPr>
          <w:rFonts w:ascii="Cambria Math" w:eastAsia="Cambria" w:hAnsi="Cambria Math" w:cs="Cambria Math"/>
          <w:color w:val="000000"/>
          <w:sz w:val="28"/>
          <w:szCs w:val="28"/>
          <w:lang w:val="en-GB" w:eastAsia="ru-RU"/>
        </w:rPr>
        <w:t>‐</w:t>
      </w:r>
      <w:r w:rsidRPr="00CA099F">
        <w:rPr>
          <w:rFonts w:eastAsia="Times New Roman" w:cs="Times New Roman"/>
          <w:color w:val="000000"/>
          <w:sz w:val="28"/>
          <w:szCs w:val="28"/>
          <w:lang w:val="en-GB" w:eastAsia="ru-RU"/>
        </w:rPr>
        <w:t>revised technique along with platelet rich fibrin in the management of Miller class II gingival recession / J. Singh, V. Bharti // Dental Research Journal. – 2013. – Vol. 10. – P. 268–273.</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313">
        <w:r w:rsidR="0030517B" w:rsidRPr="00CA099F">
          <w:rPr>
            <w:rFonts w:eastAsia="Times New Roman" w:cs="Times New Roman"/>
            <w:color w:val="000000"/>
            <w:sz w:val="28"/>
            <w:szCs w:val="28"/>
            <w:lang w:val="en-GB" w:eastAsia="ru-RU"/>
          </w:rPr>
          <w:t>Soffer E</w:t>
        </w:r>
      </w:hyperlink>
      <w:r w:rsidR="0030517B" w:rsidRPr="00CA099F">
        <w:rPr>
          <w:rFonts w:eastAsia="Times New Roman" w:cs="Times New Roman"/>
          <w:color w:val="000000"/>
          <w:sz w:val="28"/>
          <w:szCs w:val="28"/>
          <w:lang w:val="en-GB" w:eastAsia="ru-RU"/>
        </w:rPr>
        <w:t xml:space="preserve">. Fibrin sealants and platelet preparations in bone and periodontal healing / E. </w:t>
      </w:r>
      <w:hyperlink r:id="rId314">
        <w:r w:rsidR="0030517B" w:rsidRPr="00CA099F">
          <w:rPr>
            <w:rFonts w:eastAsia="Times New Roman" w:cs="Times New Roman"/>
            <w:color w:val="000000"/>
            <w:sz w:val="28"/>
            <w:szCs w:val="28"/>
            <w:lang w:val="en-GB" w:eastAsia="ru-RU"/>
          </w:rPr>
          <w:t>Soffer</w:t>
        </w:r>
      </w:hyperlink>
      <w:r w:rsidR="0030517B" w:rsidRPr="00CA099F">
        <w:rPr>
          <w:rFonts w:eastAsia="Times New Roman" w:cs="Times New Roman"/>
          <w:color w:val="000000"/>
          <w:sz w:val="28"/>
          <w:szCs w:val="28"/>
          <w:lang w:val="en-GB" w:eastAsia="ru-RU"/>
        </w:rPr>
        <w:t xml:space="preserve">, J.P. </w:t>
      </w:r>
      <w:hyperlink r:id="rId315">
        <w:r w:rsidR="0030517B" w:rsidRPr="00CA099F">
          <w:rPr>
            <w:rFonts w:eastAsia="Times New Roman" w:cs="Times New Roman"/>
            <w:color w:val="000000"/>
            <w:sz w:val="28"/>
            <w:szCs w:val="28"/>
            <w:lang w:val="en-GB" w:eastAsia="ru-RU"/>
          </w:rPr>
          <w:t>Ouhayoun</w:t>
        </w:r>
      </w:hyperlink>
      <w:r w:rsidR="0030517B" w:rsidRPr="00CA099F">
        <w:rPr>
          <w:rFonts w:eastAsia="Times New Roman" w:cs="Times New Roman"/>
          <w:color w:val="000000"/>
          <w:sz w:val="28"/>
          <w:szCs w:val="28"/>
          <w:lang w:val="en-GB" w:eastAsia="ru-RU"/>
        </w:rPr>
        <w:t xml:space="preserve">, F. </w:t>
      </w:r>
      <w:hyperlink r:id="rId316">
        <w:r w:rsidR="0030517B" w:rsidRPr="00CA099F">
          <w:rPr>
            <w:rFonts w:eastAsia="Times New Roman" w:cs="Times New Roman"/>
            <w:color w:val="000000"/>
            <w:sz w:val="28"/>
            <w:szCs w:val="28"/>
            <w:lang w:val="en-GB" w:eastAsia="ru-RU"/>
          </w:rPr>
          <w:t>Anagnostou</w:t>
        </w:r>
      </w:hyperlink>
      <w:r w:rsidR="0030517B" w:rsidRPr="00CA099F">
        <w:rPr>
          <w:rFonts w:eastAsia="Times New Roman" w:cs="Times New Roman"/>
          <w:color w:val="000000"/>
          <w:sz w:val="28"/>
          <w:szCs w:val="28"/>
          <w:lang w:val="en-GB" w:eastAsia="ru-RU"/>
        </w:rPr>
        <w:t xml:space="preserve"> // </w:t>
      </w:r>
      <w:hyperlink r:id="rId317">
        <w:r w:rsidR="0030517B" w:rsidRPr="00CA099F">
          <w:rPr>
            <w:rFonts w:eastAsia="Times New Roman" w:cs="Times New Roman"/>
            <w:color w:val="000000"/>
            <w:sz w:val="28"/>
            <w:szCs w:val="28"/>
            <w:lang w:val="en-GB" w:eastAsia="ru-RU"/>
          </w:rPr>
          <w:t>Oral Surg Oral Med Oral Pathol Oral Radiol Endod.</w:t>
        </w:r>
      </w:hyperlink>
      <w:r w:rsidR="0030517B" w:rsidRPr="00CA099F">
        <w:rPr>
          <w:rFonts w:eastAsia="Times New Roman" w:cs="Times New Roman"/>
          <w:color w:val="000000"/>
          <w:sz w:val="28"/>
          <w:szCs w:val="28"/>
          <w:lang w:val="en-GB" w:eastAsia="ru-RU"/>
        </w:rPr>
        <w:t xml:space="preserve"> – 2003. – Vol. 95(5). – P. 521-528.</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Patient-centered evaluation of microsurgical management of gingival recession using coronally advanced flap with platelet-rich fibrin or amnion membrane: A comparative analysis / </w:t>
      </w:r>
      <w:hyperlink r:id="rId318">
        <w:r w:rsidRPr="00CA099F">
          <w:rPr>
            <w:rFonts w:eastAsia="Times New Roman" w:cs="Times New Roman"/>
            <w:color w:val="000000"/>
            <w:sz w:val="28"/>
            <w:szCs w:val="28"/>
            <w:lang w:val="en-GB" w:eastAsia="ru-RU"/>
          </w:rPr>
          <w:t>S.K. Agarwal</w:t>
        </w:r>
      </w:hyperlink>
      <w:r w:rsidRPr="00CA099F">
        <w:rPr>
          <w:rFonts w:eastAsia="Times New Roman" w:cs="Times New Roman"/>
          <w:color w:val="000000"/>
          <w:sz w:val="28"/>
          <w:szCs w:val="28"/>
          <w:lang w:val="en-GB" w:eastAsia="ru-RU"/>
        </w:rPr>
        <w:t xml:space="preserve">, </w:t>
      </w:r>
      <w:hyperlink r:id="rId319">
        <w:r w:rsidRPr="00CA099F">
          <w:rPr>
            <w:rFonts w:eastAsia="Times New Roman" w:cs="Times New Roman"/>
            <w:color w:val="000000"/>
            <w:sz w:val="28"/>
            <w:szCs w:val="28"/>
            <w:lang w:val="en-GB" w:eastAsia="ru-RU"/>
          </w:rPr>
          <w:t>R. Jhingran</w:t>
        </w:r>
      </w:hyperlink>
      <w:r w:rsidRPr="00CA099F">
        <w:rPr>
          <w:rFonts w:eastAsia="Times New Roman" w:cs="Times New Roman"/>
          <w:color w:val="000000"/>
          <w:sz w:val="28"/>
          <w:szCs w:val="28"/>
          <w:lang w:val="en-GB" w:eastAsia="ru-RU"/>
        </w:rPr>
        <w:t xml:space="preserve">, </w:t>
      </w:r>
      <w:hyperlink r:id="rId320">
        <w:r w:rsidRPr="00CA099F">
          <w:rPr>
            <w:rFonts w:eastAsia="Times New Roman" w:cs="Times New Roman"/>
            <w:color w:val="000000"/>
            <w:sz w:val="28"/>
            <w:szCs w:val="28"/>
            <w:lang w:val="en-GB" w:eastAsia="ru-RU"/>
          </w:rPr>
          <w:t>V.K. Bains</w:t>
        </w:r>
      </w:hyperlink>
      <w:r w:rsidRPr="00CA099F">
        <w:rPr>
          <w:rFonts w:eastAsia="Times New Roman" w:cs="Times New Roman"/>
          <w:color w:val="000000"/>
          <w:sz w:val="28"/>
          <w:szCs w:val="28"/>
          <w:lang w:val="en-GB" w:eastAsia="ru-RU"/>
        </w:rPr>
        <w:t xml:space="preserve"> [at al.] // </w:t>
      </w:r>
      <w:hyperlink r:id="rId321">
        <w:r w:rsidRPr="00CA099F">
          <w:rPr>
            <w:rFonts w:eastAsia="Times New Roman" w:cs="Times New Roman"/>
            <w:color w:val="000000"/>
            <w:sz w:val="28"/>
            <w:szCs w:val="28"/>
            <w:lang w:val="en-GB" w:eastAsia="ru-RU"/>
          </w:rPr>
          <w:t>Eur J Dent</w:t>
        </w:r>
      </w:hyperlink>
      <w:r w:rsidRPr="00CA099F">
        <w:rPr>
          <w:rFonts w:eastAsia="Times New Roman" w:cs="Times New Roman"/>
          <w:color w:val="000000"/>
          <w:sz w:val="28"/>
          <w:szCs w:val="28"/>
          <w:lang w:val="en-GB" w:eastAsia="ru-RU"/>
        </w:rPr>
        <w:t>. – 2016. – Vol. 10(1). – P. 121–133.</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Efficacy of Autologous Platelet-rich Plasma Glue in Weight Loss Sequelae Surgery and Breast Reduction: A Prospective Study / </w:t>
      </w:r>
      <w:hyperlink r:id="rId322">
        <w:r w:rsidRPr="00CA099F">
          <w:rPr>
            <w:rFonts w:eastAsia="Times New Roman" w:cs="Times New Roman"/>
            <w:color w:val="000000"/>
            <w:sz w:val="28"/>
            <w:szCs w:val="28"/>
            <w:lang w:val="en-GB" w:eastAsia="ru-RU"/>
          </w:rPr>
          <w:t>B. Hersant</w:t>
        </w:r>
      </w:hyperlink>
      <w:r w:rsidRPr="00CA099F">
        <w:rPr>
          <w:rFonts w:eastAsia="Times New Roman" w:cs="Times New Roman"/>
          <w:color w:val="000000"/>
          <w:sz w:val="28"/>
          <w:szCs w:val="28"/>
          <w:lang w:val="en-GB" w:eastAsia="ru-RU"/>
        </w:rPr>
        <w:t xml:space="preserve">, </w:t>
      </w:r>
      <w:hyperlink r:id="rId323">
        <w:r w:rsidRPr="00CA099F">
          <w:rPr>
            <w:rFonts w:eastAsia="Times New Roman" w:cs="Times New Roman"/>
            <w:color w:val="000000"/>
            <w:sz w:val="28"/>
            <w:szCs w:val="28"/>
            <w:lang w:val="en-GB" w:eastAsia="ru-RU"/>
          </w:rPr>
          <w:t>M. SidAhmed-Mezi</w:t>
        </w:r>
      </w:hyperlink>
      <w:r w:rsidRPr="00CA099F">
        <w:rPr>
          <w:rFonts w:eastAsia="Times New Roman" w:cs="Times New Roman"/>
          <w:color w:val="000000"/>
          <w:sz w:val="28"/>
          <w:szCs w:val="28"/>
          <w:lang w:val="en-GB" w:eastAsia="ru-RU"/>
        </w:rPr>
        <w:t xml:space="preserve"> [et al.] // </w:t>
      </w:r>
      <w:hyperlink r:id="rId324">
        <w:r w:rsidRPr="00CA099F">
          <w:rPr>
            <w:rFonts w:eastAsia="Times New Roman" w:cs="Times New Roman"/>
            <w:color w:val="000000"/>
            <w:sz w:val="28"/>
            <w:szCs w:val="28"/>
            <w:lang w:val="en-GB" w:eastAsia="ru-RU"/>
          </w:rPr>
          <w:t>Plast Reconstr Surg Glob Open</w:t>
        </w:r>
      </w:hyperlink>
      <w:r w:rsidRPr="00CA099F">
        <w:rPr>
          <w:rFonts w:eastAsia="Times New Roman" w:cs="Times New Roman"/>
          <w:color w:val="000000"/>
          <w:sz w:val="28"/>
          <w:szCs w:val="28"/>
          <w:lang w:val="en-GB" w:eastAsia="ru-RU"/>
        </w:rPr>
        <w:t>. – 2016. – Vol. 4(11). – P. 871.</w:t>
      </w:r>
    </w:p>
    <w:p w:rsidR="0030517B" w:rsidRPr="00CA099F" w:rsidRDefault="00417675"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hyperlink r:id="rId325">
        <w:r w:rsidR="0030517B" w:rsidRPr="00CA099F">
          <w:rPr>
            <w:rFonts w:eastAsia="Times New Roman" w:cs="Times New Roman"/>
            <w:color w:val="000000"/>
            <w:sz w:val="28"/>
            <w:szCs w:val="28"/>
            <w:lang w:val="en-GB" w:eastAsia="ru-RU"/>
          </w:rPr>
          <w:t>Bilginaylar</w:t>
        </w:r>
      </w:hyperlink>
      <w:r w:rsidR="0030517B" w:rsidRPr="00CA099F">
        <w:rPr>
          <w:rFonts w:eastAsia="Times New Roman" w:cs="Times New Roman"/>
          <w:color w:val="000000"/>
          <w:sz w:val="28"/>
          <w:szCs w:val="28"/>
          <w:lang w:val="en-GB" w:eastAsia="ru-RU"/>
        </w:rPr>
        <w:t xml:space="preserve"> K. Uncommon Odontogenic Orocutaneous Fistula of the Jaw Treated with Platelet-Rich Fibrin / </w:t>
      </w:r>
      <w:hyperlink r:id="rId326">
        <w:r w:rsidR="0030517B" w:rsidRPr="00CA099F">
          <w:rPr>
            <w:rFonts w:eastAsia="Times New Roman" w:cs="Times New Roman"/>
            <w:color w:val="000000"/>
            <w:sz w:val="28"/>
            <w:szCs w:val="28"/>
            <w:lang w:val="en-GB" w:eastAsia="ru-RU"/>
          </w:rPr>
          <w:t>K. Bilginaylar</w:t>
        </w:r>
      </w:hyperlink>
      <w:r w:rsidR="0030517B" w:rsidRPr="00CA099F">
        <w:rPr>
          <w:rFonts w:eastAsia="Times New Roman" w:cs="Times New Roman"/>
          <w:color w:val="000000"/>
          <w:sz w:val="28"/>
          <w:szCs w:val="28"/>
          <w:lang w:val="en-GB" w:eastAsia="ru-RU"/>
        </w:rPr>
        <w:t xml:space="preserve"> // </w:t>
      </w:r>
      <w:hyperlink r:id="rId327">
        <w:r w:rsidR="0030517B" w:rsidRPr="00CA099F">
          <w:rPr>
            <w:rFonts w:eastAsia="Times New Roman" w:cs="Times New Roman"/>
            <w:color w:val="000000"/>
            <w:sz w:val="28"/>
            <w:szCs w:val="28"/>
            <w:lang w:val="en-GB" w:eastAsia="ru-RU"/>
          </w:rPr>
          <w:t>Case Rep Dent</w:t>
        </w:r>
      </w:hyperlink>
      <w:r w:rsidR="0030517B" w:rsidRPr="00CA099F">
        <w:rPr>
          <w:rFonts w:eastAsia="Times New Roman" w:cs="Times New Roman"/>
          <w:color w:val="000000"/>
          <w:sz w:val="28"/>
          <w:szCs w:val="28"/>
          <w:lang w:val="en-GB" w:eastAsia="ru-RU"/>
        </w:rPr>
        <w:t>. – 2017. – Vol. 17. – P. 71-74.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Orocutaneous fistula or traumatic infectious skin lesion: a diagnostic dilemma / M. Vermani, V. Kalia, S. Singh [et al.] // Case Reports in Dentistry. – 2015. – Vol. 15. – P. 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The autologous platelet rich fibrin: A novel approach in osseous regeneration after cystic enucleation: A pilot study / V.S. Meshram, P.N. Lambade, P.V. Meshram [et al.] // Indian J Dent Res. – 2015. – Vol. 26. – P. 560-564.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Vaishnavi C. Treatment of endodontically induced periapical lesions using hydroxyapatite, platelet-rich plasma, and a combination of both: An in </w:t>
      </w:r>
      <w:r w:rsidRPr="00CA099F">
        <w:rPr>
          <w:rFonts w:eastAsia="Times New Roman" w:cs="Times New Roman"/>
          <w:color w:val="000000"/>
          <w:sz w:val="28"/>
          <w:szCs w:val="28"/>
          <w:lang w:val="en-GB" w:eastAsia="ru-RU"/>
        </w:rPr>
        <w:lastRenderedPageBreak/>
        <w:t>vivo study / C. Vaishnavi, B. Mohan, L.L. Narayanan // J Conserv Dent. – 2011. – Vol. 14. – P. 140-146.</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Singh A. Platelet rich fibrin: A novel approach for osseous regeneration / A. Singh, M. Kohli, N. Gupta // J Maxillofac Oral Surg. – 2012. – Vol. 11. – P. 430-434.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Combination of platelet rich fibrin, hydroxyapatite and PRF membrane in the management of large inflammatory periapical lesion / V.Y. Shivashankar, D.A. Johns, S. Vidyanath, G. Sam // J Conserv Dent. – 2013. – Vol. 16. – P. 261-264.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Lauritano D. Is platelet-rich fibrin really useful in oral and maxillofacial surgery? Lights and shadows of this new technique / D. Lauritano // Ann Oral Maxillofac Surg. – 2013. – Vol. 1(3). – P. 25.</w:t>
      </w:r>
    </w:p>
    <w:p w:rsidR="0030517B" w:rsidRPr="00CA099F" w:rsidRDefault="00417675"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hyperlink r:id="rId328">
        <w:r w:rsidR="0030517B" w:rsidRPr="00CA099F">
          <w:rPr>
            <w:rFonts w:eastAsia="Times New Roman" w:cs="Times New Roman"/>
            <w:color w:val="000000"/>
            <w:sz w:val="28"/>
            <w:szCs w:val="28"/>
            <w:lang w:val="en-GB" w:eastAsia="ru-RU"/>
          </w:rPr>
          <w:t>Hoaglin</w:t>
        </w:r>
      </w:hyperlink>
      <w:r w:rsidR="0030517B" w:rsidRPr="00CA099F">
        <w:rPr>
          <w:rFonts w:eastAsia="Times New Roman" w:cs="Times New Roman"/>
          <w:color w:val="000000"/>
          <w:sz w:val="28"/>
          <w:szCs w:val="28"/>
          <w:lang w:val="en-GB" w:eastAsia="ru-RU"/>
        </w:rPr>
        <w:t xml:space="preserve"> D.R. Prevention of Localized Osteitis in Mandibular Third-Molar Sites Using Platelet-Rich Fibrin / </w:t>
      </w:r>
      <w:hyperlink r:id="rId329">
        <w:r w:rsidR="0030517B" w:rsidRPr="00CA099F">
          <w:rPr>
            <w:rFonts w:eastAsia="Times New Roman" w:cs="Times New Roman"/>
            <w:color w:val="000000"/>
            <w:sz w:val="28"/>
            <w:szCs w:val="28"/>
            <w:lang w:val="en-GB" w:eastAsia="ru-RU"/>
          </w:rPr>
          <w:t>D.R. Hoaglin</w:t>
        </w:r>
      </w:hyperlink>
      <w:r w:rsidR="0030517B" w:rsidRPr="00CA099F">
        <w:rPr>
          <w:rFonts w:eastAsia="Times New Roman" w:cs="Times New Roman"/>
          <w:color w:val="000000"/>
          <w:sz w:val="28"/>
          <w:szCs w:val="28"/>
          <w:lang w:val="en-GB" w:eastAsia="ru-RU"/>
        </w:rPr>
        <w:t xml:space="preserve">, </w:t>
      </w:r>
      <w:hyperlink r:id="rId330">
        <w:r w:rsidR="0030517B" w:rsidRPr="00CA099F">
          <w:rPr>
            <w:rFonts w:eastAsia="Times New Roman" w:cs="Times New Roman"/>
            <w:color w:val="000000"/>
            <w:sz w:val="28"/>
            <w:szCs w:val="28"/>
            <w:lang w:val="en-GB" w:eastAsia="ru-RU"/>
          </w:rPr>
          <w:t>G.K. Lines</w:t>
        </w:r>
      </w:hyperlink>
      <w:r w:rsidR="0030517B" w:rsidRPr="00CA099F">
        <w:rPr>
          <w:rFonts w:eastAsia="Times New Roman" w:cs="Times New Roman"/>
          <w:color w:val="000000"/>
          <w:sz w:val="28"/>
          <w:szCs w:val="28"/>
          <w:lang w:val="en-GB" w:eastAsia="ru-RU"/>
        </w:rPr>
        <w:t xml:space="preserve"> // </w:t>
      </w:r>
      <w:hyperlink r:id="rId331">
        <w:r w:rsidR="0030517B" w:rsidRPr="00CA099F">
          <w:rPr>
            <w:rFonts w:eastAsia="Times New Roman" w:cs="Times New Roman"/>
            <w:color w:val="000000"/>
            <w:sz w:val="28"/>
            <w:szCs w:val="28"/>
            <w:lang w:val="en-GB" w:eastAsia="ru-RU"/>
          </w:rPr>
          <w:t>Int J Dent</w:t>
        </w:r>
      </w:hyperlink>
      <w:r w:rsidR="0030517B" w:rsidRPr="00CA099F">
        <w:rPr>
          <w:rFonts w:eastAsia="Times New Roman" w:cs="Times New Roman"/>
          <w:color w:val="000000"/>
          <w:sz w:val="28"/>
          <w:szCs w:val="28"/>
          <w:lang w:val="en-GB" w:eastAsia="ru-RU"/>
        </w:rPr>
        <w:t>. – 2013. – Vol. 13. – P. 875-880.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del Fabbro M. Is autologous platelet concentrate beneficial for post-extraction socket healing? A systematic review / M. del Fabbro, M. Bortolin, S. Tascheri // International Journal of Oral and Maxillofacial Surgery. – 2011. – Vol. 40. – P. 891–900.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Effectiveness of sinus lift procedures for dental implant rehabilitation: a Cochrane systematic review / M. Esposito, M.G. Grusovin, J. Rees [et al.] // European Journal of Oral Implantology. – 2010. – Vol. 3. – P. 7–26.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Kaur P. Efficacy of platelet rich plasma and hydroxyapatite crystals in bone regeneration after surgical removal of mandibular third molars / P. Kaur, A. Maria // Journal of Maxillofacial and Oral Surgery. – 2013. – Vol. 12(1). – P. 51–59.</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Evaluation of the efficacy of platelet-rich plasma and platelet-rich fibrin in alveolar defects after removal of impacted bilateral mandibular third molars / </w:t>
      </w:r>
      <w:hyperlink r:id="rId332">
        <w:r w:rsidRPr="00CA099F">
          <w:rPr>
            <w:rFonts w:eastAsia="Times New Roman" w:cs="Times New Roman"/>
            <w:color w:val="000000"/>
            <w:sz w:val="28"/>
            <w:szCs w:val="28"/>
            <w:lang w:val="en-GB" w:eastAsia="ru-RU"/>
          </w:rPr>
          <w:t>A.M. Doiphode</w:t>
        </w:r>
      </w:hyperlink>
      <w:r w:rsidRPr="00CA099F">
        <w:rPr>
          <w:rFonts w:eastAsia="Times New Roman" w:cs="Times New Roman"/>
          <w:color w:val="000000"/>
          <w:sz w:val="28"/>
          <w:szCs w:val="28"/>
          <w:lang w:val="en-GB" w:eastAsia="ru-RU"/>
        </w:rPr>
        <w:t xml:space="preserve">, </w:t>
      </w:r>
      <w:hyperlink r:id="rId333">
        <w:r w:rsidRPr="00CA099F">
          <w:rPr>
            <w:rFonts w:eastAsia="Times New Roman" w:cs="Times New Roman"/>
            <w:color w:val="000000"/>
            <w:sz w:val="28"/>
            <w:szCs w:val="28"/>
            <w:lang w:val="en-GB" w:eastAsia="ru-RU"/>
          </w:rPr>
          <w:t>P. Hegde</w:t>
        </w:r>
      </w:hyperlink>
      <w:r w:rsidRPr="00CA099F">
        <w:rPr>
          <w:rFonts w:eastAsia="Times New Roman" w:cs="Times New Roman"/>
          <w:color w:val="000000"/>
          <w:sz w:val="28"/>
          <w:szCs w:val="28"/>
          <w:lang w:val="en-GB" w:eastAsia="ru-RU"/>
        </w:rPr>
        <w:t xml:space="preserve">, </w:t>
      </w:r>
      <w:hyperlink r:id="rId334">
        <w:r w:rsidRPr="00CA099F">
          <w:rPr>
            <w:rFonts w:eastAsia="Times New Roman" w:cs="Times New Roman"/>
            <w:color w:val="000000"/>
            <w:sz w:val="28"/>
            <w:szCs w:val="28"/>
            <w:lang w:val="en-GB" w:eastAsia="ru-RU"/>
          </w:rPr>
          <w:t>U.Mahindra</w:t>
        </w:r>
      </w:hyperlink>
      <w:r w:rsidRPr="00CA099F">
        <w:rPr>
          <w:rFonts w:eastAsia="Times New Roman" w:cs="Times New Roman"/>
          <w:color w:val="000000"/>
          <w:sz w:val="28"/>
          <w:szCs w:val="28"/>
          <w:lang w:val="en-GB" w:eastAsia="ru-RU"/>
        </w:rPr>
        <w:t xml:space="preserve"> [et al.] // </w:t>
      </w:r>
      <w:hyperlink r:id="rId335">
        <w:r w:rsidRPr="00CA099F">
          <w:rPr>
            <w:rFonts w:eastAsia="Times New Roman" w:cs="Times New Roman"/>
            <w:color w:val="000000"/>
            <w:sz w:val="28"/>
            <w:szCs w:val="28"/>
            <w:lang w:val="en-GB" w:eastAsia="ru-RU"/>
          </w:rPr>
          <w:t>J Int Soc Prev Community Dent</w:t>
        </w:r>
      </w:hyperlink>
      <w:r w:rsidRPr="00CA099F">
        <w:rPr>
          <w:rFonts w:eastAsia="Times New Roman" w:cs="Times New Roman"/>
          <w:color w:val="000000"/>
          <w:sz w:val="28"/>
          <w:szCs w:val="28"/>
          <w:lang w:val="en-GB" w:eastAsia="ru-RU"/>
        </w:rPr>
        <w:t>. – 2016. – Vol. 6(1). – P. 47–52.</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lastRenderedPageBreak/>
        <w:t>Platelet-rich fibrin (PRF): A second-generation platelet concentrate. Part V: Histologic evaluations of PRF effects on bone allograft maturation in sinus lift / J. Choukroun, A. Diss, A. Simonpieri [et al.] // Oral Surg Oral Med Oral Pathol Oral Radiol Endod. – 2006. – Vol. 101. – P. 299-303.</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The use of leukocyte- and platelet-rich fibrin (L-PRF) to facilitate implant placement in bone-deficient sites: A report of two cases / M.T. Peck, J. Marnewick, L.X. Stephen [et al.] // SADJ. – 2012. – Vol. 67. – P. 54.</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Platelet-rich fibrin application in dentistry: A literature review / E. Borie, D.G. Oliví, I.A. Orsi [et al.] // Int J Clin Exp Med. – 2015. – Vol. 8. – P. 7922–7929.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The relevance of choukroun′s platelet-rich fibrin and metronidazole during complex maxillary rehabilitations using bone allograft. Part II: Implant surgery, prosthodontics, and survival / V. Gupta, V.K. Bains, G.P. Singh [et al.] // Implant Dent. – 2009. – Vol. 18. – P. 220-229.</w:t>
      </w:r>
    </w:p>
    <w:p w:rsidR="0030517B" w:rsidRPr="00CA099F" w:rsidRDefault="0030517B" w:rsidP="0030517B">
      <w:pPr>
        <w:numPr>
          <w:ilvl w:val="0"/>
          <w:numId w:val="17"/>
        </w:numPr>
        <w:pBdr>
          <w:top w:val="nil"/>
          <w:left w:val="nil"/>
          <w:bottom w:val="nil"/>
          <w:right w:val="nil"/>
          <w:between w:val="nil"/>
        </w:pBdr>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Sanchez A.R. Is platelet rich plasma the perfect enhancement factor? A current review / A.R. Sanchez, P.J. Sheridan, L.I. Kupp // Int J Oral Maxillofac Implants. – 2003. – Vol. 18. – P. 93–103.</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val="en-GB" w:eastAsia="ru-RU"/>
        </w:rPr>
        <w:t xml:space="preserve">Zygomatic fractures: Technical modifications for better aesthetic and functional results in older patients / A. </w:t>
      </w:r>
      <w:hyperlink r:id="rId336">
        <w:r w:rsidRPr="00CA099F">
          <w:rPr>
            <w:rFonts w:eastAsia="Times New Roman" w:cs="Times New Roman"/>
            <w:color w:val="000000"/>
            <w:sz w:val="28"/>
            <w:szCs w:val="28"/>
            <w:lang w:val="en-GB" w:eastAsia="ru-RU"/>
          </w:rPr>
          <w:t>Cortese</w:t>
        </w:r>
      </w:hyperlink>
      <w:r w:rsidRPr="00CA099F">
        <w:rPr>
          <w:rFonts w:eastAsia="Times New Roman" w:cs="Times New Roman"/>
          <w:color w:val="000000"/>
          <w:sz w:val="28"/>
          <w:szCs w:val="28"/>
          <w:lang w:val="en-GB" w:eastAsia="ru-RU"/>
        </w:rPr>
        <w:t xml:space="preserve">, M. </w:t>
      </w:r>
      <w:hyperlink r:id="rId337">
        <w:r w:rsidRPr="00CA099F">
          <w:rPr>
            <w:rFonts w:eastAsia="Times New Roman" w:cs="Times New Roman"/>
            <w:color w:val="000000"/>
            <w:sz w:val="28"/>
            <w:szCs w:val="28"/>
            <w:lang w:val="en-GB" w:eastAsia="ru-RU"/>
          </w:rPr>
          <w:t>Caggiano</w:t>
        </w:r>
      </w:hyperlink>
      <w:r w:rsidRPr="00CA099F">
        <w:rPr>
          <w:rFonts w:eastAsia="Times New Roman" w:cs="Times New Roman"/>
          <w:color w:val="000000"/>
          <w:sz w:val="28"/>
          <w:szCs w:val="28"/>
          <w:lang w:val="en-GB" w:eastAsia="ru-RU"/>
        </w:rPr>
        <w:t xml:space="preserve">, F. </w:t>
      </w:r>
      <w:hyperlink r:id="rId338">
        <w:r w:rsidRPr="00CA099F">
          <w:rPr>
            <w:rFonts w:eastAsia="Times New Roman" w:cs="Times New Roman"/>
            <w:color w:val="000000"/>
            <w:sz w:val="28"/>
            <w:szCs w:val="28"/>
            <w:lang w:val="en-GB" w:eastAsia="ru-RU"/>
          </w:rPr>
          <w:t>Carlino</w:t>
        </w:r>
      </w:hyperlink>
      <w:r w:rsidRPr="00CA099F">
        <w:rPr>
          <w:rFonts w:eastAsia="Times New Roman" w:cs="Times New Roman"/>
          <w:color w:val="000000"/>
          <w:sz w:val="28"/>
          <w:szCs w:val="28"/>
          <w:lang w:val="en-GB" w:eastAsia="ru-RU"/>
        </w:rPr>
        <w:t xml:space="preserve">, G. </w:t>
      </w:r>
      <w:hyperlink r:id="rId339">
        <w:r w:rsidRPr="00CA099F">
          <w:rPr>
            <w:rFonts w:eastAsia="Times New Roman" w:cs="Times New Roman"/>
            <w:color w:val="000000"/>
            <w:sz w:val="28"/>
            <w:szCs w:val="28"/>
            <w:lang w:val="en-GB" w:eastAsia="ru-RU"/>
          </w:rPr>
          <w:t xml:space="preserve">Pantaleo </w:t>
        </w:r>
      </w:hyperlink>
      <w:r w:rsidRPr="00CA099F">
        <w:rPr>
          <w:rFonts w:eastAsia="Times New Roman" w:cs="Times New Roman"/>
          <w:color w:val="000000"/>
          <w:sz w:val="28"/>
          <w:szCs w:val="28"/>
          <w:lang w:val="en-GB" w:eastAsia="ru-RU"/>
        </w:rPr>
        <w:t xml:space="preserve">// </w:t>
      </w:r>
      <w:hyperlink r:id="rId340">
        <w:r w:rsidRPr="00CA099F">
          <w:rPr>
            <w:rFonts w:eastAsia="Times New Roman" w:cs="Times New Roman"/>
            <w:color w:val="000000"/>
            <w:sz w:val="28"/>
            <w:szCs w:val="28"/>
            <w:lang w:val="en-GB" w:eastAsia="ru-RU"/>
          </w:rPr>
          <w:t>Int J Surg.</w:t>
        </w:r>
      </w:hyperlink>
      <w:r w:rsidRPr="00CA099F">
        <w:rPr>
          <w:rFonts w:eastAsia="Times New Roman" w:cs="Times New Roman"/>
          <w:color w:val="000000"/>
          <w:sz w:val="28"/>
          <w:szCs w:val="28"/>
          <w:lang w:val="en-GB" w:eastAsia="ru-RU"/>
        </w:rPr>
        <w:t xml:space="preserve"> – 2016. – Vol. 33. – P. 9-15.</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GB" w:eastAsia="ru-RU"/>
        </w:rPr>
      </w:pPr>
      <w:r w:rsidRPr="00CA099F">
        <w:rPr>
          <w:rFonts w:eastAsia="Times New Roman" w:cs="Times New Roman"/>
          <w:color w:val="000000"/>
          <w:sz w:val="28"/>
          <w:szCs w:val="28"/>
          <w:lang w:eastAsia="ru-RU"/>
        </w:rPr>
        <w:t>Мещишен І. Ф. Метод визначення окислювальної модифікації білків плазми крові / І. Ф. Мещишен // Буковинський медичний вісник. – 1998. – Т. 2, № 1. – С. 156–158.</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Чевари С. Роль супероксидредуктазы в окислительных процессах клетки и метод определения ее в биологическом материале / С. Чевари, И. Чаба, Й. Секей // Лаб. дело. – 1985. – № 11. – С. 678–681.</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Котолюк М.А. Метод определения активности каталазы / М. А. Королюк, Л. И. Иванова, И. Г. Майорова [и др.] // Лаб. дело. – 1988. – № 1. – С. 16–18.</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en-US" w:eastAsia="ru-RU"/>
        </w:rPr>
      </w:pPr>
      <w:r w:rsidRPr="00CA099F">
        <w:rPr>
          <w:rFonts w:eastAsia="Times New Roman" w:cs="Times New Roman"/>
          <w:color w:val="000000"/>
          <w:sz w:val="28"/>
          <w:szCs w:val="28"/>
          <w:lang w:eastAsia="ru-RU"/>
        </w:rPr>
        <w:lastRenderedPageBreak/>
        <w:t>Moffat J. A. Investigations into the role of sulfhydryl groups in the mechanism of action of the nitrates / J. A. Moffat, P. W. Armstrong, G. S. Marks // Canadian Journal of Physiology and Pharmacology. – 1982. – Vol. 60, № 10. – Р. 1261-1266.</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Пустовалова Р.А. Неоптерин как показатель активности воспалительного этапа раневого процесса в коже // Р.А. Пустовалова, М.Б. Петрова // Биомедицинск</w:t>
      </w:r>
      <w:r w:rsidR="00A74681">
        <w:rPr>
          <w:rFonts w:eastAsia="Times New Roman" w:cs="Times New Roman"/>
          <w:color w:val="000000"/>
          <w:sz w:val="28"/>
          <w:szCs w:val="28"/>
          <w:lang w:eastAsia="ru-RU"/>
        </w:rPr>
        <w:t>ая химия, 2011 том 57, вып. 4, С</w:t>
      </w:r>
      <w:r w:rsidRPr="00CA099F">
        <w:rPr>
          <w:rFonts w:eastAsia="Times New Roman" w:cs="Times New Roman"/>
          <w:color w:val="000000"/>
          <w:sz w:val="28"/>
          <w:szCs w:val="28"/>
          <w:lang w:eastAsia="ru-RU"/>
        </w:rPr>
        <w:t>. 461-468.</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Ферментативный метод определения дисбиоза полости рта для скрининга про-и пребиотиков: метод. рекомендации / А.П. Левицкий, О.А. Макаренко, И.А. Селиванская [и др.] – К.: ГФЦ МЗУ, 2007. – 22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Левицкий А.П. Методы определения активности эластазы и ее ингибиторов: метод. рекомендации / А.П. Левицкий, А.В. Стефанов – К.: ГФЦ, 2002. – 15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Pr>
          <w:rFonts w:eastAsia="Times New Roman" w:cs="Times New Roman"/>
          <w:color w:val="000000"/>
          <w:sz w:val="28"/>
          <w:szCs w:val="28"/>
          <w:lang w:eastAsia="ru-RU"/>
        </w:rPr>
        <w:t>Бузлама B.</w:t>
      </w:r>
      <w:r w:rsidRPr="00CA099F">
        <w:rPr>
          <w:rFonts w:eastAsia="Times New Roman" w:cs="Times New Roman"/>
          <w:color w:val="000000"/>
          <w:sz w:val="28"/>
          <w:szCs w:val="28"/>
          <w:lang w:eastAsia="ru-RU"/>
        </w:rPr>
        <w:t>C. Методическое пособие по изучению процессов перекисного окисления липидов и системы антиоксидантной защиты организма животных / B. C. Бузлама, М. И. Рецкий, Н. П. Мещеряков, Т. Е. Рогачева. – Воронеж, 1997. – 35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Pr>
          <w:rFonts w:eastAsia="Times New Roman" w:cs="Times New Roman"/>
          <w:color w:val="000000"/>
          <w:sz w:val="28"/>
          <w:szCs w:val="28"/>
          <w:lang w:eastAsia="ru-RU"/>
        </w:rPr>
        <w:t>Коробейникова Э.</w:t>
      </w:r>
      <w:r w:rsidRPr="00CA099F">
        <w:rPr>
          <w:rFonts w:eastAsia="Times New Roman" w:cs="Times New Roman"/>
          <w:color w:val="000000"/>
          <w:sz w:val="28"/>
          <w:szCs w:val="28"/>
          <w:lang w:eastAsia="ru-RU"/>
        </w:rPr>
        <w:t xml:space="preserve">Н. Модификация определения продуктов ПОЛ в реакции </w:t>
      </w:r>
      <w:r>
        <w:rPr>
          <w:rFonts w:eastAsia="Times New Roman" w:cs="Times New Roman"/>
          <w:color w:val="000000"/>
          <w:sz w:val="28"/>
          <w:szCs w:val="28"/>
          <w:lang w:eastAsia="ru-RU"/>
        </w:rPr>
        <w:t>с тиобарбитуровой кислотой / Э.</w:t>
      </w:r>
      <w:r w:rsidRPr="00CA099F">
        <w:rPr>
          <w:rFonts w:eastAsia="Times New Roman" w:cs="Times New Roman"/>
          <w:color w:val="000000"/>
          <w:sz w:val="28"/>
          <w:szCs w:val="28"/>
          <w:lang w:eastAsia="ru-RU"/>
        </w:rPr>
        <w:t>Н. Коробейникова // Лаб. дело. – 1989. – № 7. – С. 8-10.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eastAsia="ru-RU"/>
        </w:rPr>
        <w:t xml:space="preserve">Caveolin-1 Inhibits Expression of Antioxidant Enzymes through Direct Interaction with Nuclear Erythroid 2 p45-related Factor-2 (Nrf2) / W. </w:t>
      </w:r>
      <w:hyperlink r:id="rId341" w:history="1">
        <w:r w:rsidRPr="00CA099F">
          <w:rPr>
            <w:rFonts w:eastAsia="Times New Roman" w:cs="Times New Roman"/>
            <w:sz w:val="28"/>
            <w:szCs w:val="28"/>
            <w:u w:val="single"/>
            <w:lang w:eastAsia="ru-RU"/>
          </w:rPr>
          <w:t>Li</w:t>
        </w:r>
      </w:hyperlink>
      <w:r w:rsidRPr="00CA099F">
        <w:rPr>
          <w:rFonts w:eastAsia="Times New Roman" w:cs="Times New Roman"/>
          <w:sz w:val="28"/>
          <w:szCs w:val="28"/>
          <w:lang w:eastAsia="ru-RU"/>
        </w:rPr>
        <w:t xml:space="preserve">, H. </w:t>
      </w:r>
      <w:hyperlink r:id="rId342" w:history="1">
        <w:r w:rsidRPr="00CA099F">
          <w:rPr>
            <w:rFonts w:eastAsia="Times New Roman" w:cs="Times New Roman"/>
            <w:sz w:val="28"/>
            <w:szCs w:val="28"/>
            <w:u w:val="single"/>
            <w:lang w:eastAsia="ru-RU"/>
          </w:rPr>
          <w:t>Liu</w:t>
        </w:r>
      </w:hyperlink>
      <w:r w:rsidRPr="00CA099F">
        <w:rPr>
          <w:rFonts w:eastAsia="Times New Roman" w:cs="Times New Roman"/>
          <w:sz w:val="28"/>
          <w:szCs w:val="28"/>
          <w:lang w:eastAsia="ru-RU"/>
        </w:rPr>
        <w:t xml:space="preserve">, J. S. </w:t>
      </w:r>
      <w:hyperlink r:id="rId343" w:history="1">
        <w:r w:rsidRPr="00CA099F">
          <w:rPr>
            <w:rFonts w:eastAsia="Times New Roman" w:cs="Times New Roman"/>
            <w:sz w:val="28"/>
            <w:szCs w:val="28"/>
            <w:u w:val="single"/>
            <w:lang w:eastAsia="ru-RU"/>
          </w:rPr>
          <w:t xml:space="preserve">Zhou </w:t>
        </w:r>
      </w:hyperlink>
      <w:r w:rsidRPr="00CA099F">
        <w:rPr>
          <w:rFonts w:eastAsia="Times New Roman" w:cs="Times New Roman"/>
          <w:sz w:val="28"/>
          <w:szCs w:val="28"/>
          <w:lang w:eastAsia="ru-RU"/>
        </w:rPr>
        <w:t xml:space="preserve">[et al.] // </w:t>
      </w:r>
      <w:hyperlink r:id="rId344" w:tooltip="The Journal of biological chemistry." w:history="1">
        <w:r w:rsidRPr="00CA099F">
          <w:rPr>
            <w:rFonts w:eastAsia="Times New Roman" w:cs="Times New Roman"/>
            <w:sz w:val="28"/>
            <w:szCs w:val="28"/>
            <w:u w:val="single"/>
            <w:lang w:eastAsia="ru-RU"/>
          </w:rPr>
          <w:t>J. Biol. Chem.</w:t>
        </w:r>
      </w:hyperlink>
      <w:r w:rsidRPr="00CA099F">
        <w:rPr>
          <w:rFonts w:eastAsia="Times New Roman" w:cs="Times New Roman"/>
          <w:sz w:val="28"/>
          <w:szCs w:val="28"/>
          <w:lang w:eastAsia="ru-RU"/>
        </w:rPr>
        <w:t xml:space="preserve"> – 2012. – Vol. 287, № 25. – P. </w:t>
      </w:r>
      <w:r w:rsidRPr="00CA099F">
        <w:rPr>
          <w:rFonts w:eastAsia="Times New Roman" w:cs="Times New Roman"/>
          <w:color w:val="000000"/>
          <w:sz w:val="28"/>
          <w:szCs w:val="28"/>
          <w:lang w:eastAsia="ru-RU"/>
        </w:rPr>
        <w:t>20922-20930.</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Pr>
          <w:rFonts w:eastAsia="Times New Roman" w:cs="Times New Roman"/>
          <w:color w:val="000000"/>
          <w:sz w:val="28"/>
          <w:szCs w:val="28"/>
          <w:lang w:eastAsia="ru-RU"/>
        </w:rPr>
        <w:t>Влізло В.В., Федорук Р.</w:t>
      </w:r>
      <w:r w:rsidRPr="00CA099F">
        <w:rPr>
          <w:rFonts w:eastAsia="Times New Roman" w:cs="Times New Roman"/>
          <w:color w:val="000000"/>
          <w:sz w:val="28"/>
          <w:szCs w:val="28"/>
          <w:lang w:eastAsia="ru-RU"/>
        </w:rPr>
        <w:t>С., Ратич І. Б. та ін. Лабораторні методи досліджень у біології, тваринництві та ветеринарній медицині. Львів: СПОЛОМ, 2012. – 761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sidRPr="00CA099F">
        <w:rPr>
          <w:rFonts w:eastAsia="Times New Roman" w:cs="Times New Roman"/>
          <w:color w:val="000000"/>
          <w:sz w:val="28"/>
          <w:szCs w:val="28"/>
          <w:lang w:val="ru-RU" w:eastAsia="ru-RU"/>
        </w:rPr>
        <w:t>Камышников В.С. Справочник по клинико-биохимическим исследованиям и лабораторной диагностике / В.С. Камышников. – М.: МЕДпресс-информ. – 2004. – 911 с.</w:t>
      </w:r>
    </w:p>
    <w:p w:rsidR="0030517B" w:rsidRPr="00CA099F" w:rsidRDefault="0030517B" w:rsidP="0030517B">
      <w:pPr>
        <w:numPr>
          <w:ilvl w:val="0"/>
          <w:numId w:val="17"/>
        </w:numPr>
        <w:pBdr>
          <w:top w:val="nil"/>
          <w:left w:val="nil"/>
          <w:bottom w:val="nil"/>
          <w:right w:val="nil"/>
          <w:between w:val="nil"/>
        </w:pBdr>
        <w:shd w:val="clear" w:color="auto" w:fill="FFFFFF"/>
        <w:tabs>
          <w:tab w:val="left" w:pos="709"/>
        </w:tabs>
        <w:spacing w:after="0" w:line="360" w:lineRule="auto"/>
        <w:contextualSpacing/>
        <w:jc w:val="both"/>
        <w:rPr>
          <w:rFonts w:eastAsia="Times New Roman" w:cs="Times New Roman"/>
          <w:color w:val="000000"/>
          <w:sz w:val="28"/>
          <w:szCs w:val="28"/>
          <w:lang w:val="ru-RU" w:eastAsia="ru-RU"/>
        </w:rPr>
      </w:pPr>
      <w:r>
        <w:rPr>
          <w:rFonts w:eastAsia="Times New Roman" w:cs="Times New Roman"/>
          <w:color w:val="000000"/>
          <w:sz w:val="28"/>
          <w:szCs w:val="28"/>
          <w:lang w:val="ru-RU" w:eastAsia="ru-RU"/>
        </w:rPr>
        <w:lastRenderedPageBreak/>
        <w:t>Лапач С.</w:t>
      </w:r>
      <w:r w:rsidRPr="00CA099F">
        <w:rPr>
          <w:rFonts w:eastAsia="Times New Roman" w:cs="Times New Roman"/>
          <w:color w:val="000000"/>
          <w:sz w:val="28"/>
          <w:szCs w:val="28"/>
          <w:lang w:val="ru-RU" w:eastAsia="ru-RU"/>
        </w:rPr>
        <w:t>Н. Статистические методы в медико-биологических исследованиях с использованием Exel / Лапач С. Н. Чубенко А. В., Бабич П. Н. – Киев: Морион, 2000. – 320 с.</w:t>
      </w:r>
    </w:p>
    <w:p w:rsidR="0030517B" w:rsidRPr="00CA099F" w:rsidRDefault="0030517B" w:rsidP="0030517B">
      <w:pPr>
        <w:numPr>
          <w:ilvl w:val="0"/>
          <w:numId w:val="17"/>
        </w:numPr>
        <w:pBdr>
          <w:top w:val="nil"/>
          <w:left w:val="nil"/>
          <w:bottom w:val="nil"/>
          <w:right w:val="nil"/>
          <w:between w:val="nil"/>
        </w:pBdr>
        <w:spacing w:line="360" w:lineRule="auto"/>
        <w:contextualSpacing/>
        <w:jc w:val="both"/>
        <w:rPr>
          <w:rFonts w:eastAsia="Times New Roman" w:cs="Times New Roman"/>
          <w:sz w:val="28"/>
          <w:szCs w:val="28"/>
          <w:shd w:val="clear" w:color="auto" w:fill="FFFFFF"/>
          <w:lang w:eastAsia="ru-RU"/>
        </w:rPr>
      </w:pPr>
      <w:r>
        <w:rPr>
          <w:rFonts w:eastAsia="Times New Roman" w:cs="Times New Roman"/>
          <w:sz w:val="28"/>
          <w:szCs w:val="28"/>
          <w:shd w:val="clear" w:color="auto" w:fill="FFFFFF"/>
          <w:lang w:val="ru-RU" w:eastAsia="ru-RU"/>
        </w:rPr>
        <w:t>Шепітько В.</w:t>
      </w:r>
      <w:r w:rsidRPr="00CA099F">
        <w:rPr>
          <w:rFonts w:eastAsia="Times New Roman" w:cs="Times New Roman"/>
          <w:sz w:val="28"/>
          <w:szCs w:val="28"/>
          <w:shd w:val="clear" w:color="auto" w:fill="FFFFFF"/>
          <w:lang w:val="ru-RU" w:eastAsia="ru-RU"/>
        </w:rPr>
        <w:t>І. Вікові аспекти будови шкіри обличчя людини / В.І.</w:t>
      </w:r>
      <w:r w:rsidRPr="00CA099F">
        <w:rPr>
          <w:rFonts w:eastAsia="Times New Roman" w:cs="Times New Roman"/>
          <w:sz w:val="28"/>
          <w:szCs w:val="28"/>
          <w:shd w:val="clear" w:color="auto" w:fill="FFFFFF"/>
          <w:lang w:val="en-US" w:eastAsia="ru-RU"/>
        </w:rPr>
        <w:t> </w:t>
      </w:r>
      <w:r w:rsidRPr="00CA099F">
        <w:rPr>
          <w:rFonts w:eastAsia="Times New Roman" w:cs="Times New Roman"/>
          <w:sz w:val="28"/>
          <w:szCs w:val="28"/>
          <w:shd w:val="clear" w:color="auto" w:fill="FFFFFF"/>
          <w:lang w:val="ru-RU" w:eastAsia="ru-RU"/>
        </w:rPr>
        <w:t>Шепітько, Г.А. Єрошенко, О.Д. Лисаченко // Світ медицини та біології. — 2013. — № 3. — С. 91—97.</w:t>
      </w:r>
    </w:p>
    <w:p w:rsidR="0030517B" w:rsidRPr="00CA099F" w:rsidRDefault="00417675" w:rsidP="0030517B">
      <w:pPr>
        <w:numPr>
          <w:ilvl w:val="0"/>
          <w:numId w:val="17"/>
        </w:numPr>
        <w:pBdr>
          <w:top w:val="nil"/>
          <w:left w:val="nil"/>
          <w:bottom w:val="nil"/>
          <w:right w:val="nil"/>
          <w:between w:val="nil"/>
        </w:pBdr>
        <w:spacing w:line="360" w:lineRule="auto"/>
        <w:contextualSpacing/>
        <w:jc w:val="both"/>
        <w:rPr>
          <w:rFonts w:eastAsia="Times New Roman" w:cs="Times New Roman"/>
          <w:sz w:val="28"/>
          <w:szCs w:val="28"/>
          <w:shd w:val="clear" w:color="auto" w:fill="FFFFFF"/>
          <w:lang w:eastAsia="ru-RU"/>
        </w:rPr>
      </w:pPr>
      <w:hyperlink r:id="rId345" w:history="1">
        <w:r w:rsidR="0030517B" w:rsidRPr="00CA099F">
          <w:rPr>
            <w:rFonts w:eastAsia="Times New Roman" w:cs="Times New Roman"/>
            <w:sz w:val="28"/>
            <w:szCs w:val="28"/>
            <w:lang w:val="en-GB" w:eastAsia="ru-RU"/>
          </w:rPr>
          <w:t>Krzyszczyk</w:t>
        </w:r>
      </w:hyperlink>
      <w:r w:rsidR="0030517B" w:rsidRPr="00CA099F">
        <w:rPr>
          <w:rFonts w:eastAsia="Times New Roman" w:cs="Times New Roman"/>
          <w:color w:val="000000"/>
          <w:sz w:val="28"/>
          <w:szCs w:val="28"/>
          <w:lang w:val="en-GB" w:eastAsia="ru-RU"/>
        </w:rPr>
        <w:t>P. </w:t>
      </w:r>
      <w:r w:rsidR="0030517B" w:rsidRPr="00CA099F">
        <w:rPr>
          <w:rFonts w:eastAsia="Times New Roman" w:cs="Times New Roman"/>
          <w:sz w:val="28"/>
          <w:szCs w:val="28"/>
          <w:lang w:val="en-GB" w:eastAsia="ru-RU"/>
        </w:rPr>
        <w:t>The Role of Macrophages in Acute andChronicWound Healing and Interventions to Promo</w:t>
      </w:r>
      <w:r w:rsidR="0030517B" w:rsidRPr="00CA099F">
        <w:rPr>
          <w:rFonts w:eastAsia="Times New Roman" w:cs="Times New Roman"/>
          <w:color w:val="000000"/>
          <w:sz w:val="28"/>
          <w:szCs w:val="28"/>
          <w:lang w:val="en-GB" w:eastAsia="ru-RU"/>
        </w:rPr>
        <w:t>te Pro-wound Healing Phenotypes / P. </w:t>
      </w:r>
      <w:hyperlink r:id="rId346" w:history="1">
        <w:r w:rsidR="0030517B" w:rsidRPr="00CA099F">
          <w:rPr>
            <w:rFonts w:eastAsia="Times New Roman" w:cs="Times New Roman"/>
            <w:sz w:val="28"/>
            <w:szCs w:val="28"/>
            <w:lang w:val="en-GB" w:eastAsia="ru-RU"/>
          </w:rPr>
          <w:t>Krzyszczyk</w:t>
        </w:r>
      </w:hyperlink>
      <w:r w:rsidR="0030517B" w:rsidRPr="00CA099F">
        <w:rPr>
          <w:rFonts w:eastAsia="Times New Roman" w:cs="Times New Roman"/>
          <w:sz w:val="28"/>
          <w:szCs w:val="28"/>
          <w:lang w:val="en-GB" w:eastAsia="ru-RU"/>
        </w:rPr>
        <w:t>,</w:t>
      </w:r>
      <w:r w:rsidR="0030517B" w:rsidRPr="00CA099F">
        <w:rPr>
          <w:rFonts w:eastAsia="Times New Roman" w:cs="Times New Roman"/>
          <w:color w:val="000000"/>
          <w:sz w:val="28"/>
          <w:szCs w:val="28"/>
          <w:lang w:val="en-GB" w:eastAsia="ru-RU"/>
        </w:rPr>
        <w:t>R.</w:t>
      </w:r>
      <w:r w:rsidR="0030517B" w:rsidRPr="00CA099F">
        <w:rPr>
          <w:rFonts w:eastAsia="Times New Roman" w:cs="Times New Roman"/>
          <w:sz w:val="28"/>
          <w:szCs w:val="28"/>
          <w:lang w:val="en-GB" w:eastAsia="ru-RU"/>
        </w:rPr>
        <w:t> </w:t>
      </w:r>
      <w:hyperlink r:id="rId347" w:history="1">
        <w:r w:rsidR="0030517B" w:rsidRPr="00CA099F">
          <w:rPr>
            <w:rFonts w:eastAsia="Times New Roman" w:cs="Times New Roman"/>
            <w:sz w:val="28"/>
            <w:szCs w:val="28"/>
            <w:lang w:val="en-GB" w:eastAsia="ru-RU"/>
          </w:rPr>
          <w:t>Schloss</w:t>
        </w:r>
      </w:hyperlink>
      <w:r w:rsidR="0030517B" w:rsidRPr="00CA099F">
        <w:rPr>
          <w:rFonts w:eastAsia="Times New Roman" w:cs="Times New Roman"/>
          <w:sz w:val="28"/>
          <w:szCs w:val="28"/>
          <w:lang w:val="en-GB" w:eastAsia="ru-RU"/>
        </w:rPr>
        <w:t>,</w:t>
      </w:r>
      <w:r w:rsidR="0030517B" w:rsidRPr="00CA099F">
        <w:rPr>
          <w:rFonts w:eastAsia="Times New Roman" w:cs="Times New Roman"/>
          <w:color w:val="000000"/>
          <w:sz w:val="28"/>
          <w:szCs w:val="28"/>
          <w:lang w:val="en-GB" w:eastAsia="ru-RU"/>
        </w:rPr>
        <w:t>A.</w:t>
      </w:r>
      <w:r w:rsidR="0030517B" w:rsidRPr="00CA099F">
        <w:rPr>
          <w:rFonts w:eastAsia="Times New Roman" w:cs="Times New Roman"/>
          <w:sz w:val="28"/>
          <w:szCs w:val="28"/>
          <w:lang w:val="en-GB" w:eastAsia="ru-RU"/>
        </w:rPr>
        <w:t> </w:t>
      </w:r>
      <w:hyperlink r:id="rId348" w:history="1">
        <w:r w:rsidR="0030517B" w:rsidRPr="00CA099F">
          <w:rPr>
            <w:rFonts w:eastAsia="Times New Roman" w:cs="Times New Roman"/>
            <w:sz w:val="28"/>
            <w:szCs w:val="28"/>
            <w:lang w:val="en-GB" w:eastAsia="ru-RU"/>
          </w:rPr>
          <w:t>Palmer</w:t>
        </w:r>
      </w:hyperlink>
      <w:r w:rsidR="0030517B" w:rsidRPr="00CA099F">
        <w:rPr>
          <w:rFonts w:eastAsia="Times New Roman" w:cs="Times New Roman"/>
          <w:sz w:val="28"/>
          <w:szCs w:val="28"/>
          <w:lang w:val="en-GB" w:eastAsia="ru-RU"/>
        </w:rPr>
        <w:t>,</w:t>
      </w:r>
      <w:r w:rsidR="0030517B" w:rsidRPr="00CA099F">
        <w:rPr>
          <w:rFonts w:eastAsia="Times New Roman" w:cs="Times New Roman"/>
          <w:color w:val="000000"/>
          <w:sz w:val="28"/>
          <w:szCs w:val="28"/>
          <w:lang w:val="en-GB" w:eastAsia="ru-RU"/>
        </w:rPr>
        <w:t>F.</w:t>
      </w:r>
      <w:r w:rsidR="0030517B" w:rsidRPr="00CA099F">
        <w:rPr>
          <w:rFonts w:eastAsia="Times New Roman" w:cs="Times New Roman"/>
          <w:sz w:val="28"/>
          <w:szCs w:val="28"/>
          <w:lang w:val="en-GB" w:eastAsia="ru-RU"/>
        </w:rPr>
        <w:t> </w:t>
      </w:r>
      <w:hyperlink r:id="rId349" w:history="1">
        <w:r w:rsidR="0030517B" w:rsidRPr="00CA099F">
          <w:rPr>
            <w:rFonts w:eastAsia="Times New Roman" w:cs="Times New Roman"/>
            <w:sz w:val="28"/>
            <w:szCs w:val="28"/>
            <w:lang w:val="en-GB" w:eastAsia="ru-RU"/>
          </w:rPr>
          <w:t xml:space="preserve">Berthiaume </w:t>
        </w:r>
      </w:hyperlink>
      <w:r w:rsidR="0030517B" w:rsidRPr="00CA099F">
        <w:rPr>
          <w:rFonts w:eastAsia="Times New Roman" w:cs="Times New Roman"/>
          <w:color w:val="000000"/>
          <w:sz w:val="28"/>
          <w:szCs w:val="28"/>
          <w:lang w:val="en-US" w:eastAsia="ru-RU"/>
        </w:rPr>
        <w:t xml:space="preserve">// </w:t>
      </w:r>
      <w:r w:rsidR="0030517B" w:rsidRPr="00CA099F">
        <w:rPr>
          <w:rFonts w:eastAsia="Times New Roman" w:cs="Times New Roman"/>
          <w:color w:val="000000"/>
          <w:sz w:val="28"/>
          <w:szCs w:val="28"/>
          <w:lang w:val="en-GB" w:eastAsia="ru-RU"/>
        </w:rPr>
        <w:t xml:space="preserve">Physiol J. – </w:t>
      </w:r>
      <w:r w:rsidR="0030517B" w:rsidRPr="00CA099F">
        <w:rPr>
          <w:rFonts w:eastAsia="Times New Roman" w:cs="Times New Roman"/>
          <w:sz w:val="28"/>
          <w:szCs w:val="28"/>
          <w:lang w:val="en-GB" w:eastAsia="ru-RU"/>
        </w:rPr>
        <w:t>2018</w:t>
      </w:r>
      <w:r w:rsidR="0030517B" w:rsidRPr="00CA099F">
        <w:rPr>
          <w:rFonts w:eastAsia="Times New Roman" w:cs="Times New Roman"/>
          <w:color w:val="000000"/>
          <w:sz w:val="28"/>
          <w:szCs w:val="28"/>
          <w:lang w:val="en-GB" w:eastAsia="ru-RU"/>
        </w:rPr>
        <w:t xml:space="preserve">. – Vol. </w:t>
      </w:r>
      <w:r w:rsidR="0030517B" w:rsidRPr="00CA099F">
        <w:rPr>
          <w:rFonts w:eastAsia="Times New Roman" w:cs="Times New Roman"/>
          <w:sz w:val="28"/>
          <w:szCs w:val="28"/>
          <w:lang w:val="en-GB" w:eastAsia="ru-RU"/>
        </w:rPr>
        <w:t>1</w:t>
      </w:r>
      <w:r w:rsidR="0030517B" w:rsidRPr="00CA099F">
        <w:rPr>
          <w:rFonts w:eastAsia="Times New Roman" w:cs="Times New Roman"/>
          <w:color w:val="000000"/>
          <w:sz w:val="28"/>
          <w:szCs w:val="28"/>
          <w:lang w:val="en-GB" w:eastAsia="ru-RU"/>
        </w:rPr>
        <w:t>(</w:t>
      </w:r>
      <w:r w:rsidR="0030517B" w:rsidRPr="00CA099F">
        <w:rPr>
          <w:rFonts w:eastAsia="Times New Roman" w:cs="Times New Roman"/>
          <w:sz w:val="28"/>
          <w:szCs w:val="28"/>
          <w:lang w:val="en-GB" w:eastAsia="ru-RU"/>
        </w:rPr>
        <w:t>9</w:t>
      </w:r>
      <w:r w:rsidR="0030517B" w:rsidRPr="00CA099F">
        <w:rPr>
          <w:rFonts w:eastAsia="Times New Roman" w:cs="Times New Roman"/>
          <w:color w:val="000000"/>
          <w:sz w:val="28"/>
          <w:szCs w:val="28"/>
          <w:lang w:val="en-GB" w:eastAsia="ru-RU"/>
        </w:rPr>
        <w:t>). – P. </w:t>
      </w:r>
      <w:r w:rsidR="0030517B" w:rsidRPr="00CA099F">
        <w:rPr>
          <w:rFonts w:eastAsia="Times New Roman" w:cs="Times New Roman"/>
          <w:sz w:val="28"/>
          <w:szCs w:val="28"/>
          <w:lang w:val="en-GB" w:eastAsia="ru-RU"/>
        </w:rPr>
        <w:t>419.</w:t>
      </w:r>
    </w:p>
    <w:p w:rsidR="0030517B" w:rsidRPr="00CA099F" w:rsidRDefault="0030517B" w:rsidP="0030517B">
      <w:pPr>
        <w:numPr>
          <w:ilvl w:val="0"/>
          <w:numId w:val="17"/>
        </w:num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r>
        <w:rPr>
          <w:rFonts w:eastAsia="Times New Roman" w:cs="Times New Roman"/>
          <w:sz w:val="28"/>
          <w:szCs w:val="28"/>
          <w:shd w:val="clear" w:color="auto" w:fill="FFFFFF"/>
          <w:lang w:eastAsia="ru-RU"/>
        </w:rPr>
        <w:t xml:space="preserve">Ставицький С.О. </w:t>
      </w:r>
      <w:r w:rsidRPr="00CA099F">
        <w:rPr>
          <w:rFonts w:eastAsia="Times New Roman" w:cs="Times New Roman"/>
          <w:sz w:val="28"/>
          <w:szCs w:val="28"/>
          <w:shd w:val="clear" w:color="auto" w:fill="FFFFFF"/>
          <w:lang w:eastAsia="ru-RU"/>
        </w:rPr>
        <w:t xml:space="preserve">Оптимізація хірургічних розрізів шкіри голови та шиї. </w:t>
      </w:r>
      <w:r w:rsidRPr="00CA099F">
        <w:rPr>
          <w:rFonts w:eastAsia="Times New Roman" w:cs="Times New Roman"/>
          <w:sz w:val="28"/>
          <w:szCs w:val="28"/>
          <w:shd w:val="clear" w:color="auto" w:fill="FFFFFF"/>
          <w:lang w:val="ru-RU" w:eastAsia="ru-RU"/>
        </w:rPr>
        <w:t>Сучасний погляд на проблему / С.О. Ставицький, Д.С. Аветіков, І.В. Яценко, К.П.</w:t>
      </w:r>
      <w:r w:rsidRPr="00CA099F">
        <w:rPr>
          <w:rFonts w:eastAsia="Times New Roman" w:cs="Times New Roman"/>
          <w:sz w:val="28"/>
          <w:szCs w:val="28"/>
          <w:shd w:val="clear" w:color="auto" w:fill="FFFFFF"/>
          <w:lang w:val="en-US" w:eastAsia="ru-RU"/>
        </w:rPr>
        <w:t> </w:t>
      </w:r>
      <w:r w:rsidRPr="00CA099F">
        <w:rPr>
          <w:rFonts w:eastAsia="Times New Roman" w:cs="Times New Roman"/>
          <w:sz w:val="28"/>
          <w:szCs w:val="28"/>
          <w:shd w:val="clear" w:color="auto" w:fill="FFFFFF"/>
          <w:lang w:val="ru-RU" w:eastAsia="ru-RU"/>
        </w:rPr>
        <w:t>Локес // Вісник проблем біології і медицини. – 2013. – Вип. 3, Т. 2(103). – С. 42–47.</w:t>
      </w:r>
    </w:p>
    <w:p w:rsidR="0030517B" w:rsidRPr="0016277E" w:rsidRDefault="0030517B" w:rsidP="0030517B">
      <w:pPr>
        <w:numPr>
          <w:ilvl w:val="0"/>
          <w:numId w:val="17"/>
        </w:numPr>
        <w:pBdr>
          <w:top w:val="nil"/>
          <w:left w:val="nil"/>
          <w:bottom w:val="nil"/>
          <w:right w:val="nil"/>
          <w:between w:val="nil"/>
        </w:pBdr>
        <w:spacing w:after="0" w:line="360" w:lineRule="auto"/>
        <w:contextualSpacing/>
        <w:jc w:val="both"/>
        <w:rPr>
          <w:rFonts w:eastAsia="Times New Roman" w:cs="Times New Roman"/>
          <w:sz w:val="28"/>
          <w:szCs w:val="28"/>
          <w:lang w:eastAsia="ru-RU"/>
        </w:rPr>
      </w:pPr>
      <w:r w:rsidRPr="00CA099F">
        <w:rPr>
          <w:rFonts w:eastAsia="Times New Roman" w:cs="Times New Roman"/>
          <w:sz w:val="28"/>
          <w:szCs w:val="28"/>
          <w:shd w:val="clear" w:color="auto" w:fill="FFFFFF"/>
          <w:lang w:eastAsia="ru-RU"/>
        </w:rPr>
        <w:t xml:space="preserve">Патент 109266 </w:t>
      </w:r>
      <w:r w:rsidRPr="00CA099F">
        <w:rPr>
          <w:rFonts w:eastAsia="Times New Roman" w:cs="Times New Roman"/>
          <w:sz w:val="28"/>
          <w:szCs w:val="28"/>
          <w:shd w:val="clear" w:color="auto" w:fill="FFFFFF"/>
          <w:lang w:val="en-GB" w:eastAsia="ru-RU"/>
        </w:rPr>
        <w:t>UA</w:t>
      </w:r>
      <w:r w:rsidRPr="00CA099F">
        <w:rPr>
          <w:rFonts w:eastAsia="Times New Roman" w:cs="Times New Roman"/>
          <w:sz w:val="28"/>
          <w:szCs w:val="28"/>
          <w:shd w:val="clear" w:color="auto" w:fill="FFFFFF"/>
          <w:lang w:eastAsia="ru-RU"/>
        </w:rPr>
        <w:t xml:space="preserve">, МПК </w:t>
      </w:r>
      <w:r w:rsidRPr="00CA099F">
        <w:rPr>
          <w:rFonts w:eastAsia="Times New Roman" w:cs="Times New Roman"/>
          <w:sz w:val="28"/>
          <w:szCs w:val="28"/>
          <w:shd w:val="clear" w:color="auto" w:fill="FFFFFF"/>
          <w:lang w:val="en-GB" w:eastAsia="ru-RU"/>
        </w:rPr>
        <w:t>A</w:t>
      </w:r>
      <w:r w:rsidRPr="00CA099F">
        <w:rPr>
          <w:rFonts w:eastAsia="Times New Roman" w:cs="Times New Roman"/>
          <w:sz w:val="28"/>
          <w:szCs w:val="28"/>
          <w:shd w:val="clear" w:color="auto" w:fill="FFFFFF"/>
          <w:lang w:eastAsia="ru-RU"/>
        </w:rPr>
        <w:t>61</w:t>
      </w:r>
      <w:r w:rsidRPr="00CA099F">
        <w:rPr>
          <w:rFonts w:eastAsia="Times New Roman" w:cs="Times New Roman"/>
          <w:sz w:val="28"/>
          <w:szCs w:val="28"/>
          <w:shd w:val="clear" w:color="auto" w:fill="FFFFFF"/>
          <w:lang w:val="en-GB" w:eastAsia="ru-RU"/>
        </w:rPr>
        <w:t>B</w:t>
      </w:r>
      <w:r w:rsidRPr="00CA099F">
        <w:rPr>
          <w:rFonts w:eastAsia="Times New Roman" w:cs="Times New Roman"/>
          <w:sz w:val="28"/>
          <w:szCs w:val="28"/>
          <w:shd w:val="clear" w:color="auto" w:fill="FFFFFF"/>
          <w:lang w:eastAsia="ru-RU"/>
        </w:rPr>
        <w:t xml:space="preserve"> 8/00 (2016.01) Спосіб інтегральної диференційної діагностики рубців шкіри голови та шиї різного генезу / Д.С.Аветіков, С.О.Ставицький, О.П.Буханченко, О.О.</w:t>
      </w:r>
      <w:r w:rsidRPr="00CA099F">
        <w:rPr>
          <w:rFonts w:eastAsia="Times New Roman" w:cs="Times New Roman"/>
          <w:sz w:val="28"/>
          <w:szCs w:val="28"/>
          <w:shd w:val="clear" w:color="auto" w:fill="FFFFFF"/>
          <w:lang w:val="en-US" w:eastAsia="ru-RU"/>
        </w:rPr>
        <w:t> </w:t>
      </w:r>
      <w:r w:rsidRPr="00CA099F">
        <w:rPr>
          <w:rFonts w:eastAsia="Times New Roman" w:cs="Times New Roman"/>
          <w:sz w:val="28"/>
          <w:szCs w:val="28"/>
          <w:shd w:val="clear" w:color="auto" w:fill="FFFFFF"/>
          <w:lang w:eastAsia="ru-RU"/>
        </w:rPr>
        <w:t xml:space="preserve">Розколупа, В.Д. Ахмеров; заявник ВДНЗУ УМСА. — № </w:t>
      </w:r>
      <w:r w:rsidRPr="00CA099F">
        <w:rPr>
          <w:rFonts w:eastAsia="Times New Roman" w:cs="Times New Roman"/>
          <w:sz w:val="28"/>
          <w:szCs w:val="28"/>
          <w:shd w:val="clear" w:color="auto" w:fill="FFFFFF"/>
          <w:lang w:val="en-GB" w:eastAsia="ru-RU"/>
        </w:rPr>
        <w:t>u</w:t>
      </w:r>
      <w:r w:rsidRPr="00CA099F">
        <w:rPr>
          <w:rFonts w:eastAsia="Times New Roman" w:cs="Times New Roman"/>
          <w:sz w:val="28"/>
          <w:szCs w:val="28"/>
          <w:shd w:val="clear" w:color="auto" w:fill="FFFFFF"/>
          <w:lang w:eastAsia="ru-RU"/>
        </w:rPr>
        <w:t xml:space="preserve"> 2015 00024 ; заявл. </w:t>
      </w:r>
      <w:r>
        <w:rPr>
          <w:rFonts w:eastAsia="Times New Roman" w:cs="Times New Roman"/>
          <w:sz w:val="28"/>
          <w:szCs w:val="28"/>
          <w:shd w:val="clear" w:color="auto" w:fill="FFFFFF"/>
          <w:lang w:val="ru-RU" w:eastAsia="ru-RU"/>
        </w:rPr>
        <w:t>04.01.2016</w:t>
      </w:r>
      <w:r w:rsidRPr="00CA099F">
        <w:rPr>
          <w:rFonts w:eastAsia="Times New Roman" w:cs="Times New Roman"/>
          <w:sz w:val="28"/>
          <w:szCs w:val="28"/>
          <w:shd w:val="clear" w:color="auto" w:fill="FFFFFF"/>
          <w:lang w:val="ru-RU" w:eastAsia="ru-RU"/>
        </w:rPr>
        <w:t>; опубл. 25.08.2016, Бюл. № 16.</w:t>
      </w: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pBdr>
          <w:top w:val="nil"/>
          <w:left w:val="nil"/>
          <w:bottom w:val="nil"/>
          <w:right w:val="nil"/>
          <w:between w:val="nil"/>
        </w:pBdr>
        <w:spacing w:after="0" w:line="360" w:lineRule="auto"/>
        <w:contextualSpacing/>
        <w:jc w:val="both"/>
        <w:rPr>
          <w:rFonts w:eastAsia="Times New Roman" w:cs="Times New Roman"/>
          <w:sz w:val="28"/>
          <w:szCs w:val="28"/>
          <w:shd w:val="clear" w:color="auto" w:fill="FFFFFF"/>
          <w:lang w:val="ru-RU" w:eastAsia="ru-RU"/>
        </w:rPr>
      </w:pPr>
    </w:p>
    <w:p w:rsidR="0016277E" w:rsidRDefault="0016277E" w:rsidP="0016277E">
      <w:pPr>
        <w:spacing w:line="360" w:lineRule="auto"/>
        <w:jc w:val="center"/>
        <w:rPr>
          <w:rFonts w:eastAsia="MS Mincho"/>
          <w:b/>
          <w:sz w:val="28"/>
          <w:szCs w:val="24"/>
        </w:rPr>
      </w:pPr>
      <w:r w:rsidRPr="008774F8">
        <w:rPr>
          <w:rFonts w:eastAsia="MS Mincho"/>
          <w:b/>
          <w:sz w:val="28"/>
          <w:szCs w:val="24"/>
        </w:rPr>
        <w:lastRenderedPageBreak/>
        <w:t>ДОДАТОК</w:t>
      </w:r>
      <w:r>
        <w:rPr>
          <w:rFonts w:eastAsia="MS Mincho"/>
          <w:b/>
          <w:sz w:val="28"/>
          <w:szCs w:val="24"/>
        </w:rPr>
        <w:t xml:space="preserve"> А</w:t>
      </w:r>
    </w:p>
    <w:p w:rsidR="0016277E" w:rsidRPr="00C34B6C" w:rsidRDefault="0016277E" w:rsidP="0016277E">
      <w:pPr>
        <w:tabs>
          <w:tab w:val="left" w:pos="142"/>
        </w:tabs>
        <w:spacing w:line="360" w:lineRule="auto"/>
        <w:jc w:val="center"/>
        <w:rPr>
          <w:b/>
          <w:sz w:val="28"/>
          <w:szCs w:val="28"/>
        </w:rPr>
      </w:pPr>
      <w:r w:rsidRPr="00C34B6C">
        <w:rPr>
          <w:b/>
          <w:sz w:val="28"/>
          <w:szCs w:val="28"/>
        </w:rPr>
        <w:t>СПИСОК ОПУБЛІКОВАНИХ ПРАЦЬ ЗА ТЕМОЮ ДИСЕРТАЦІЇ</w:t>
      </w:r>
    </w:p>
    <w:p w:rsidR="0016277E" w:rsidRDefault="0016277E" w:rsidP="0016277E">
      <w:pPr>
        <w:spacing w:line="360" w:lineRule="auto"/>
        <w:ind w:left="-567" w:firstLine="568"/>
        <w:jc w:val="center"/>
        <w:rPr>
          <w:b/>
          <w:sz w:val="28"/>
          <w:szCs w:val="28"/>
        </w:rPr>
      </w:pPr>
      <w:r w:rsidRPr="00C34B6C">
        <w:rPr>
          <w:b/>
          <w:sz w:val="28"/>
          <w:szCs w:val="28"/>
        </w:rPr>
        <w:t>Праці, у яких опубліковані основні результати</w:t>
      </w:r>
      <w:r>
        <w:rPr>
          <w:b/>
          <w:sz w:val="28"/>
          <w:szCs w:val="28"/>
        </w:rPr>
        <w:t xml:space="preserve"> </w:t>
      </w:r>
      <w:r w:rsidRPr="00C34B6C">
        <w:rPr>
          <w:b/>
          <w:sz w:val="28"/>
          <w:szCs w:val="28"/>
        </w:rPr>
        <w:t>дисертації:</w:t>
      </w:r>
    </w:p>
    <w:p w:rsidR="0016277E" w:rsidRPr="00776E0A" w:rsidRDefault="0016277E" w:rsidP="0016277E">
      <w:pPr>
        <w:pStyle w:val="ac"/>
        <w:numPr>
          <w:ilvl w:val="0"/>
          <w:numId w:val="20"/>
        </w:numPr>
        <w:spacing w:line="360" w:lineRule="auto"/>
        <w:jc w:val="both"/>
      </w:pPr>
      <w:r w:rsidRPr="00776E0A">
        <w:rPr>
          <w:lang w:val="en-US"/>
        </w:rPr>
        <w:t xml:space="preserve">Krinichko L.R. Dynamics of changes of proteins free-radial oxidation, regenerator processes, microbial distribution and non-specific immunity in the gomogenates of scar tissues at different stages of the postoperative period / L.R. Krinichko, S.M. Grigorov // </w:t>
      </w:r>
      <w:r w:rsidRPr="00776E0A">
        <w:t xml:space="preserve">Проблеми екології та медицини. – 2018. – Т. 22 (№3-4). – С. 3-6. </w:t>
      </w:r>
      <w:r>
        <w:t>(</w:t>
      </w:r>
      <w:r>
        <w:rPr>
          <w:i/>
        </w:rPr>
        <w:t>Дисертантом особисто проведено</w:t>
      </w:r>
      <w:r w:rsidRPr="007345C5">
        <w:rPr>
          <w:i/>
        </w:rPr>
        <w:t xml:space="preserve"> обстеження пацієнтів,</w:t>
      </w:r>
      <w:r>
        <w:rPr>
          <w:i/>
        </w:rPr>
        <w:t xml:space="preserve"> досліджено зміни регенераторних процесів та неспеціфічного імунітету,</w:t>
      </w:r>
      <w:r w:rsidRPr="007345C5">
        <w:rPr>
          <w:i/>
        </w:rPr>
        <w:t xml:space="preserve"> </w:t>
      </w:r>
      <w:r>
        <w:rPr>
          <w:i/>
        </w:rPr>
        <w:t>проаналізовано отримані дані, підготовлено матеріали до друку).</w:t>
      </w:r>
      <w:r>
        <w:t xml:space="preserve"> </w:t>
      </w:r>
    </w:p>
    <w:p w:rsidR="0016277E" w:rsidRPr="00776E0A" w:rsidRDefault="0016277E" w:rsidP="0016277E">
      <w:pPr>
        <w:pStyle w:val="ac"/>
        <w:numPr>
          <w:ilvl w:val="0"/>
          <w:numId w:val="20"/>
        </w:numPr>
        <w:spacing w:line="360" w:lineRule="auto"/>
        <w:ind w:left="720"/>
        <w:jc w:val="both"/>
      </w:pPr>
      <w:r>
        <w:t xml:space="preserve">Криничко Л.Р. </w:t>
      </w:r>
      <w:r w:rsidRPr="00776E0A">
        <w:t>Визначення розбіжностей продукції активних форм окси</w:t>
      </w:r>
      <w:r>
        <w:t>г</w:t>
      </w:r>
      <w:r w:rsidRPr="00776E0A">
        <w:t xml:space="preserve">ену та вмісту гідропероксидів ліпідів </w:t>
      </w:r>
      <w:r>
        <w:t>в</w:t>
      </w:r>
      <w:r w:rsidRPr="00776E0A">
        <w:t xml:space="preserve"> гомогенатах рубцевозмінених тканин в різні терміни післяопераційного періоду / Л.Р. Криничко, К.П. Локес, С.О. Ставицький</w:t>
      </w:r>
      <w:r>
        <w:t xml:space="preserve">, С.М. Григоров., Л. І. Волошина </w:t>
      </w:r>
      <w:r w:rsidRPr="00776E0A">
        <w:t xml:space="preserve"> // Вісник проблем біології і медицини. – 2018. – Bип. 4 (146). – С. 95-98. </w:t>
      </w:r>
      <w:r>
        <w:t>(</w:t>
      </w:r>
      <w:r>
        <w:rPr>
          <w:i/>
        </w:rPr>
        <w:t>Дисертантом особисто проведено</w:t>
      </w:r>
      <w:r w:rsidRPr="007345C5">
        <w:rPr>
          <w:i/>
        </w:rPr>
        <w:t xml:space="preserve"> обстеження пацієнтів, </w:t>
      </w:r>
      <w:r>
        <w:rPr>
          <w:i/>
        </w:rPr>
        <w:t xml:space="preserve">досліджено </w:t>
      </w:r>
      <w:r w:rsidRPr="00BA3BAD">
        <w:rPr>
          <w:i/>
        </w:rPr>
        <w:t>гомогенати рубцевозмінених тканин в різні терміни післяопераційного період</w:t>
      </w:r>
      <w:r>
        <w:rPr>
          <w:i/>
        </w:rPr>
        <w:t>,</w:t>
      </w:r>
      <w:r w:rsidRPr="00BA3BAD">
        <w:rPr>
          <w:i/>
        </w:rPr>
        <w:t>у провів</w:t>
      </w:r>
      <w:r w:rsidRPr="007345C5">
        <w:rPr>
          <w:i/>
        </w:rPr>
        <w:t xml:space="preserve"> пошук літератури</w:t>
      </w:r>
      <w:r>
        <w:rPr>
          <w:i/>
        </w:rPr>
        <w:t>, виконано статистичну обробку отриманих даних та оформлено статтю до друку</w:t>
      </w:r>
      <w:r>
        <w:t>).</w:t>
      </w:r>
    </w:p>
    <w:p w:rsidR="0016277E" w:rsidRPr="00776E0A" w:rsidRDefault="0016277E" w:rsidP="0016277E">
      <w:pPr>
        <w:pStyle w:val="ac"/>
        <w:numPr>
          <w:ilvl w:val="0"/>
          <w:numId w:val="20"/>
        </w:numPr>
        <w:spacing w:line="360" w:lineRule="auto"/>
        <w:ind w:left="720"/>
        <w:jc w:val="both"/>
      </w:pPr>
      <w:r w:rsidRPr="00776E0A">
        <w:t>Криничко Л.Р. Особливості морфологічної будови рубцевозмінених тканин шкіри при хірургічному лікуванні кіст шиї ембріонального походження на 6, 9 та 12 місяць післяопераційного періоду / Л.Р. Криничко // Актуальні проблеми сучасної медицини : Вісник УМСА. – 2018. – Т. 18., Вип. 3 (63). – С. 219-222.</w:t>
      </w:r>
      <w:r>
        <w:t xml:space="preserve"> </w:t>
      </w:r>
    </w:p>
    <w:p w:rsidR="0016277E" w:rsidRPr="00776E0A" w:rsidRDefault="0016277E" w:rsidP="0016277E">
      <w:pPr>
        <w:pStyle w:val="ac"/>
        <w:numPr>
          <w:ilvl w:val="0"/>
          <w:numId w:val="20"/>
        </w:numPr>
        <w:spacing w:line="360" w:lineRule="auto"/>
        <w:ind w:left="720"/>
        <w:jc w:val="both"/>
      </w:pPr>
      <w:r w:rsidRPr="00776E0A">
        <w:t>Криничко Л.Р.</w:t>
      </w:r>
      <w:r>
        <w:t xml:space="preserve"> </w:t>
      </w:r>
      <w:r w:rsidRPr="00776E0A">
        <w:t xml:space="preserve">Аналіз динаміки клінічних змін рубцевозмінених тканин після хірургічного лікування бранхіогенних кіст у хронологічному </w:t>
      </w:r>
      <w:r w:rsidRPr="00776E0A">
        <w:lastRenderedPageBreak/>
        <w:t>аспекті / С.М. Григоров,</w:t>
      </w:r>
      <w:r>
        <w:t xml:space="preserve"> Л.Р. Криничко, С.О. Ставицький, Бойко І. В., Труфанова В.П.</w:t>
      </w:r>
      <w:r w:rsidRPr="00776E0A">
        <w:t>// Клінічна хірургія. – 2018. – Т. 85 (№6). – С. 33-35.</w:t>
      </w:r>
      <w:r>
        <w:t xml:space="preserve"> </w:t>
      </w:r>
      <w:r w:rsidRPr="00E456E3">
        <w:t>(</w:t>
      </w:r>
      <w:r w:rsidRPr="00E456E3">
        <w:rPr>
          <w:i/>
        </w:rPr>
        <w:t>Дисертантом особисто зібрано клінічний матеріал, виконано статистичну обробку отриманих результатів, підготовлено текст</w:t>
      </w:r>
      <w:r w:rsidRPr="00E456E3">
        <w:t>)</w:t>
      </w:r>
      <w:r>
        <w:t>.</w:t>
      </w:r>
    </w:p>
    <w:p w:rsidR="0016277E" w:rsidRPr="00776E0A" w:rsidRDefault="0016277E" w:rsidP="0016277E">
      <w:pPr>
        <w:pStyle w:val="ac"/>
        <w:numPr>
          <w:ilvl w:val="0"/>
          <w:numId w:val="20"/>
        </w:numPr>
        <w:spacing w:line="360" w:lineRule="auto"/>
        <w:ind w:left="720"/>
        <w:jc w:val="both"/>
      </w:pPr>
      <w:r w:rsidRPr="00776E0A">
        <w:t>Krynychko L.R. The Dynamics of Changes of Indicators of Products of Peroxide Lipid Oxidation in the Homogenates of Scarring Tissues in Different Terms of the Postoperative Period / L.R. Krynychko, S.M. Grygorov, K.P. Lokes, O.O. Rozkolupa // Intermedical journal. – 2018. – Vol. 1 (11). – P. 50-54.</w:t>
      </w:r>
      <w:r>
        <w:t xml:space="preserve"> </w:t>
      </w:r>
      <w:r w:rsidRPr="00411424">
        <w:t>(</w:t>
      </w:r>
      <w:r w:rsidRPr="00411424">
        <w:rPr>
          <w:i/>
        </w:rPr>
        <w:t>Дисертантом особисто зібрано клінічний матеріал, виконано статистичну обробку отриманих результатів, підготовлено текст</w:t>
      </w:r>
      <w:r w:rsidRPr="00411424">
        <w:t>)</w:t>
      </w:r>
      <w:r>
        <w:t>.</w:t>
      </w:r>
    </w:p>
    <w:p w:rsidR="0016277E" w:rsidRPr="00776E0A" w:rsidRDefault="0016277E" w:rsidP="0016277E">
      <w:pPr>
        <w:pStyle w:val="ac"/>
        <w:numPr>
          <w:ilvl w:val="0"/>
          <w:numId w:val="20"/>
        </w:numPr>
        <w:spacing w:line="360" w:lineRule="auto"/>
        <w:ind w:left="720"/>
        <w:jc w:val="both"/>
      </w:pPr>
      <w:r w:rsidRPr="00776E0A">
        <w:t>Криничко Л.Р.</w:t>
      </w:r>
      <w:r>
        <w:t xml:space="preserve"> </w:t>
      </w:r>
      <w:r w:rsidRPr="00776E0A">
        <w:t xml:space="preserve">Гістотопографічні особливості регенеративних процесів, що відбуваються в шкірі шиї на 3-й місяць післяопераційного періоду / Л.Р. Криничко, </w:t>
      </w:r>
      <w:r>
        <w:t xml:space="preserve">С.М. Григоров, С.О. Ставицький, Локес К.П., Розколупа О.О. </w:t>
      </w:r>
      <w:r w:rsidRPr="00776E0A">
        <w:t>// Вісник проблем біології і медицини. – 2018. – Bип. 2(144). – С. 315-319.</w:t>
      </w:r>
      <w:r>
        <w:t xml:space="preserve"> (</w:t>
      </w:r>
      <w:r>
        <w:rPr>
          <w:i/>
        </w:rPr>
        <w:t>Дисертантом особисто проведено</w:t>
      </w:r>
      <w:r w:rsidRPr="007345C5">
        <w:rPr>
          <w:i/>
        </w:rPr>
        <w:t xml:space="preserve"> пошук літератури</w:t>
      </w:r>
      <w:r>
        <w:rPr>
          <w:i/>
        </w:rPr>
        <w:t>, виконав статистичну обробку отриманих даних, підготовлено матеріали до друку).</w:t>
      </w:r>
    </w:p>
    <w:p w:rsidR="0016277E" w:rsidRPr="00776E0A" w:rsidRDefault="0016277E" w:rsidP="0016277E">
      <w:pPr>
        <w:pStyle w:val="ac"/>
        <w:numPr>
          <w:ilvl w:val="0"/>
          <w:numId w:val="20"/>
        </w:numPr>
        <w:spacing w:line="360" w:lineRule="auto"/>
        <w:ind w:left="720"/>
        <w:jc w:val="both"/>
      </w:pPr>
      <w:r w:rsidRPr="00776E0A">
        <w:t>Сучасний погляд на експериментальне і клінічне обґрунтування використання PRF у процесі репаративної регенерації шкіри / Л.Р. Криничко, С</w:t>
      </w:r>
      <w:r>
        <w:t xml:space="preserve">.М. Григоров, Д.В. Стебловський, С.О. Ставицький, В.Д. Ахмеров </w:t>
      </w:r>
      <w:r w:rsidRPr="00776E0A">
        <w:t>// Український стоматологічний альманах. – 2018. - №2. – С. 45-48.</w:t>
      </w:r>
      <w:r>
        <w:t xml:space="preserve"> </w:t>
      </w:r>
      <w:r w:rsidRPr="00A0507C">
        <w:t>(</w:t>
      </w:r>
      <w:r w:rsidRPr="00A0507C">
        <w:rPr>
          <w:i/>
        </w:rPr>
        <w:t>Дисертантом особисто зібрано клінічний матеріал, виконано статистичну обробку отриманих результатів, підготовлено текст</w:t>
      </w:r>
      <w:r w:rsidRPr="00A0507C">
        <w:t>)</w:t>
      </w:r>
      <w:r>
        <w:t>.</w:t>
      </w:r>
    </w:p>
    <w:p w:rsidR="0016277E" w:rsidRPr="0016277E" w:rsidRDefault="0016277E" w:rsidP="0016277E">
      <w:pPr>
        <w:pStyle w:val="ac"/>
        <w:numPr>
          <w:ilvl w:val="0"/>
          <w:numId w:val="20"/>
        </w:numPr>
        <w:spacing w:line="360" w:lineRule="auto"/>
        <w:ind w:left="720"/>
        <w:jc w:val="both"/>
      </w:pPr>
      <w:r w:rsidRPr="00776E0A">
        <w:t>Динаміка змін показників рубцевозмінених тканин на 3 місяць післяопераційного періоду / Л.Р. Криничко,</w:t>
      </w:r>
      <w:r>
        <w:t xml:space="preserve"> С.М. Григоров, С.О. Ставицький, Бойко І.В., Ахмеров  В.Д. </w:t>
      </w:r>
      <w:r w:rsidRPr="00776E0A">
        <w:t>// Актуальні проблеми сучасної медицини : Вісник УМСА. – 2018. – Т. 18., Вип. 2 (62). – С. 197-200.</w:t>
      </w:r>
      <w:r>
        <w:t xml:space="preserve"> </w:t>
      </w:r>
      <w:r w:rsidRPr="00A0507C">
        <w:t>(</w:t>
      </w:r>
      <w:r w:rsidRPr="00A0507C">
        <w:rPr>
          <w:i/>
        </w:rPr>
        <w:t>Дисертантом особисто зібрано клінічний матеріал, виконано статистичну обробку отриманих результатів, підготовлено текст</w:t>
      </w:r>
      <w:r w:rsidRPr="00A0507C">
        <w:t>)</w:t>
      </w:r>
      <w:r>
        <w:t>.</w:t>
      </w:r>
    </w:p>
    <w:p w:rsidR="0016277E" w:rsidRDefault="0016277E" w:rsidP="0016277E">
      <w:pPr>
        <w:pStyle w:val="Style1"/>
        <w:spacing w:line="360" w:lineRule="auto"/>
        <w:ind w:right="283" w:firstLine="567"/>
        <w:rPr>
          <w:b/>
          <w:bCs/>
          <w:sz w:val="28"/>
          <w:szCs w:val="28"/>
          <w:lang w:val="uk-UA"/>
        </w:rPr>
      </w:pPr>
    </w:p>
    <w:p w:rsidR="0016277E" w:rsidRDefault="0016277E" w:rsidP="0016277E">
      <w:pPr>
        <w:pStyle w:val="Style1"/>
        <w:spacing w:line="360" w:lineRule="auto"/>
        <w:ind w:right="283" w:firstLine="567"/>
        <w:rPr>
          <w:b/>
          <w:bCs/>
          <w:sz w:val="28"/>
          <w:szCs w:val="28"/>
          <w:lang w:val="uk-UA"/>
        </w:rPr>
      </w:pPr>
      <w:bookmarkStart w:id="1" w:name="_GoBack"/>
      <w:bookmarkEnd w:id="1"/>
      <w:r w:rsidRPr="00A330F0">
        <w:rPr>
          <w:b/>
          <w:bCs/>
          <w:sz w:val="28"/>
          <w:szCs w:val="28"/>
          <w:lang w:val="uk-UA"/>
        </w:rPr>
        <w:lastRenderedPageBreak/>
        <w:t>Праці, які засвідчують апробацію матеріалів дисертації:</w:t>
      </w:r>
    </w:p>
    <w:p w:rsidR="0016277E" w:rsidRPr="00776E0A" w:rsidRDefault="0016277E" w:rsidP="0016277E">
      <w:pPr>
        <w:pStyle w:val="ac"/>
        <w:numPr>
          <w:ilvl w:val="0"/>
          <w:numId w:val="20"/>
        </w:numPr>
        <w:spacing w:line="360" w:lineRule="auto"/>
        <w:jc w:val="both"/>
      </w:pPr>
      <w:r w:rsidRPr="00776E0A">
        <w:t xml:space="preserve">Особливості оптимізації профілактики виникнення ускладнень у хворих після хірургічного лікування кіст ембріонального походження в анатомічному аспекті. / С.М. Григоров, Л.Р. Криничко, С.О. Ставицький </w:t>
      </w:r>
      <w:r>
        <w:t>І.В. Яценко, Ф. Р. Криничко</w:t>
      </w:r>
      <w:r w:rsidRPr="00776E0A">
        <w:t xml:space="preserve"> // Стоматологія Придніпров’я</w:t>
      </w:r>
      <w:r>
        <w:t xml:space="preserve">: </w:t>
      </w:r>
      <w:r w:rsidRPr="00776E0A">
        <w:t xml:space="preserve"> </w:t>
      </w:r>
      <w:r>
        <w:t>з</w:t>
      </w:r>
      <w:r w:rsidRPr="00776E0A">
        <w:t>б</w:t>
      </w:r>
      <w:r>
        <w:t>ірник наукових праць Третьої (ІІІ) міжрегіональної науково-практичної конференції,</w:t>
      </w:r>
      <w:r w:rsidRPr="00776E0A">
        <w:t xml:space="preserve"> Дніпропетровськ, Запоріжжя,</w:t>
      </w:r>
      <w:r>
        <w:t xml:space="preserve"> 5 березня </w:t>
      </w:r>
      <w:r w:rsidRPr="00776E0A">
        <w:t xml:space="preserve"> 2015. –</w:t>
      </w:r>
      <w:r w:rsidRPr="00BB565B">
        <w:t xml:space="preserve"> </w:t>
      </w:r>
      <w:r w:rsidRPr="00776E0A">
        <w:t>Дніпропетровськ, Запоріжжя</w:t>
      </w:r>
      <w:r>
        <w:t xml:space="preserve">, 2015  – </w:t>
      </w:r>
      <w:r w:rsidRPr="00776E0A">
        <w:t xml:space="preserve"> С. 51-52.</w:t>
      </w:r>
      <w:r>
        <w:t xml:space="preserve"> </w:t>
      </w:r>
      <w:r w:rsidRPr="00FB0C0F">
        <w:t>(</w:t>
      </w:r>
      <w:r w:rsidRPr="00FB0C0F">
        <w:rPr>
          <w:i/>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FB0C0F">
        <w:t>)</w:t>
      </w:r>
      <w:r>
        <w:t>.</w:t>
      </w:r>
    </w:p>
    <w:p w:rsidR="0016277E" w:rsidRPr="00776E0A" w:rsidRDefault="0016277E" w:rsidP="0016277E">
      <w:pPr>
        <w:pStyle w:val="ac"/>
        <w:numPr>
          <w:ilvl w:val="0"/>
          <w:numId w:val="20"/>
        </w:numPr>
        <w:spacing w:line="360" w:lineRule="auto"/>
        <w:ind w:left="720"/>
        <w:jc w:val="both"/>
      </w:pPr>
      <w:r w:rsidRPr="00776E0A">
        <w:t xml:space="preserve"> Современный подход к хирургическому лечению и послеоперационной реабилитации пациентов с жаберными кистами шеи / С.Н. Григоров, Л.Р. Криничко, С.А. Ставицкий, Е.П. Локес // Паринские чтения 2016. Обеспечение демографической безопасности при решении актуальных вопросов хирургической стоматологии </w:t>
      </w:r>
      <w:r>
        <w:t>и челюстно-лицевой хирургии : сборник трудов национального конгресса с международн</w:t>
      </w:r>
      <w:r>
        <w:rPr>
          <w:lang w:val="ru-RU"/>
        </w:rPr>
        <w:t>ым</w:t>
      </w:r>
      <w:r>
        <w:t xml:space="preserve"> участием</w:t>
      </w:r>
      <w:r w:rsidRPr="00776E0A">
        <w:t xml:space="preserve"> – Минск, </w:t>
      </w:r>
      <w:r>
        <w:rPr>
          <w:lang w:val="ru-RU"/>
        </w:rPr>
        <w:t xml:space="preserve">5-6 мая, </w:t>
      </w:r>
      <w:r>
        <w:t>2016 г</w:t>
      </w:r>
      <w:r>
        <w:rPr>
          <w:lang w:val="ru-RU"/>
        </w:rPr>
        <w:t xml:space="preserve">. – Минск, 2016. </w:t>
      </w:r>
      <w:r w:rsidRPr="00776E0A">
        <w:t xml:space="preserve"> – С. 327-329.</w:t>
      </w:r>
      <w:r>
        <w:t xml:space="preserve"> </w:t>
      </w:r>
      <w:r w:rsidRPr="00FB0C0F">
        <w:t>(</w:t>
      </w:r>
      <w:r w:rsidRPr="00FB0C0F">
        <w:rPr>
          <w:i/>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FB0C0F">
        <w:t>)</w:t>
      </w:r>
      <w:r>
        <w:t>.</w:t>
      </w:r>
    </w:p>
    <w:p w:rsidR="0016277E" w:rsidRPr="00776E0A" w:rsidRDefault="0016277E" w:rsidP="0016277E">
      <w:pPr>
        <w:pStyle w:val="ac"/>
        <w:numPr>
          <w:ilvl w:val="0"/>
          <w:numId w:val="20"/>
        </w:numPr>
        <w:spacing w:line="360" w:lineRule="auto"/>
        <w:ind w:left="720"/>
        <w:jc w:val="both"/>
      </w:pPr>
      <w:r w:rsidRPr="00776E0A">
        <w:t xml:space="preserve"> Григоров С.М. Особливості васкуляризації інтактної шкіри, в аспекті регенеративних питань / С.М. Григоров, Л.Р. Криничко, С.О. Ставицький // Сучасна стоматологія та </w:t>
      </w:r>
      <w:r>
        <w:t>щелепно-лицева хірургія : матеріали</w:t>
      </w:r>
      <w:r w:rsidRPr="00776E0A">
        <w:t xml:space="preserve"> міжна</w:t>
      </w:r>
      <w:r>
        <w:t>родної науково-практичної конференції присвяченої 25-річн. створення Національної</w:t>
      </w:r>
      <w:r w:rsidRPr="00776E0A">
        <w:t xml:space="preserve"> академії мед. наук України та 40-річчю відновлення д</w:t>
      </w:r>
      <w:r>
        <w:t>ентальної імплантації в Україні. м.</w:t>
      </w:r>
      <w:r w:rsidRPr="00776E0A">
        <w:t xml:space="preserve"> Київ,</w:t>
      </w:r>
      <w:r>
        <w:t xml:space="preserve"> 11 травня</w:t>
      </w:r>
      <w:r w:rsidRPr="00776E0A">
        <w:t xml:space="preserve"> 2018</w:t>
      </w:r>
      <w:r>
        <w:t xml:space="preserve"> р. – м. Київ</w:t>
      </w:r>
      <w:r w:rsidRPr="00776E0A">
        <w:t>. – С. 111-112.</w:t>
      </w:r>
      <w:r>
        <w:t xml:space="preserve"> </w:t>
      </w:r>
      <w:r w:rsidRPr="00FB0C0F">
        <w:t>(</w:t>
      </w:r>
      <w:r w:rsidRPr="00FB0C0F">
        <w:rPr>
          <w:i/>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FB0C0F">
        <w:t>)</w:t>
      </w:r>
      <w:r>
        <w:t>.</w:t>
      </w:r>
    </w:p>
    <w:p w:rsidR="0016277E" w:rsidRPr="00776E0A" w:rsidRDefault="0016277E" w:rsidP="0016277E">
      <w:pPr>
        <w:pStyle w:val="ac"/>
        <w:numPr>
          <w:ilvl w:val="0"/>
          <w:numId w:val="20"/>
        </w:numPr>
        <w:spacing w:line="360" w:lineRule="auto"/>
        <w:jc w:val="both"/>
      </w:pPr>
      <w:r w:rsidRPr="00776E0A">
        <w:t xml:space="preserve"> Использование RGB-метода в дифференциальной диагностике патологических рубцов головы и шеи / О.П. Буханченко, Е.С. Иваницкая, </w:t>
      </w:r>
      <w:r w:rsidRPr="00776E0A">
        <w:lastRenderedPageBreak/>
        <w:t xml:space="preserve">И.В. Бойко, Л.Р. Криничко // Паринские чтения </w:t>
      </w:r>
      <w:r>
        <w:t xml:space="preserve"> 2018. </w:t>
      </w:r>
      <w:r w:rsidRPr="00776E0A">
        <w:t xml:space="preserve">Перспективные решения в прогнозировании, диагностике, лечении и реабилитации заболеваний черепно-челюстно-лицевой области и шеи : </w:t>
      </w:r>
      <w:r>
        <w:t>с</w:t>
      </w:r>
      <w:r w:rsidRPr="00776E0A">
        <w:t>бор. Трудов Нац. конгресса с междунар. участием, Минск, 3-4 мая 2018</w:t>
      </w:r>
      <w:r>
        <w:t>.</w:t>
      </w:r>
      <w:r w:rsidRPr="00776E0A">
        <w:t xml:space="preserve"> – Минск</w:t>
      </w:r>
      <w:r>
        <w:t xml:space="preserve">, </w:t>
      </w:r>
      <w:r w:rsidRPr="00776E0A">
        <w:t>2018.– С. 204-207.</w:t>
      </w:r>
      <w:r>
        <w:t xml:space="preserve"> </w:t>
      </w:r>
      <w:r w:rsidRPr="00FB0C0F">
        <w:t>(</w:t>
      </w:r>
      <w:r w:rsidRPr="00FB0C0F">
        <w:rPr>
          <w:i/>
        </w:rPr>
        <w:t>Дисертантом особисто виконано лікування тематичних пацієнтів, зібрано клінічний матеріал, виконано статистичну обробку отриманих результатів</w:t>
      </w:r>
      <w:r w:rsidRPr="00FB0C0F">
        <w:t>)</w:t>
      </w:r>
      <w:r>
        <w:t>.</w:t>
      </w:r>
    </w:p>
    <w:p w:rsidR="0016277E" w:rsidRPr="00A330F0" w:rsidRDefault="0016277E" w:rsidP="0016277E">
      <w:pPr>
        <w:pStyle w:val="Style1"/>
        <w:spacing w:line="360" w:lineRule="auto"/>
        <w:ind w:right="283" w:firstLine="567"/>
        <w:rPr>
          <w:b/>
          <w:bCs/>
          <w:sz w:val="28"/>
          <w:szCs w:val="28"/>
          <w:lang w:val="uk-UA"/>
        </w:rPr>
      </w:pPr>
    </w:p>
    <w:p w:rsidR="0016277E" w:rsidRPr="00A330F0" w:rsidRDefault="0016277E" w:rsidP="0016277E">
      <w:pPr>
        <w:pStyle w:val="Style1"/>
        <w:spacing w:line="360" w:lineRule="auto"/>
        <w:ind w:right="283" w:firstLine="567"/>
        <w:rPr>
          <w:b/>
          <w:bCs/>
          <w:sz w:val="28"/>
          <w:szCs w:val="28"/>
          <w:lang w:val="uk-UA"/>
        </w:rPr>
      </w:pPr>
      <w:r w:rsidRPr="00A330F0">
        <w:rPr>
          <w:b/>
          <w:bCs/>
          <w:sz w:val="28"/>
          <w:szCs w:val="28"/>
          <w:lang w:val="uk-UA"/>
        </w:rPr>
        <w:t>Праці, які додатково відображають наукові результати дисертації:</w:t>
      </w:r>
    </w:p>
    <w:p w:rsidR="0016277E" w:rsidRPr="00776E0A" w:rsidRDefault="0016277E" w:rsidP="0016277E">
      <w:pPr>
        <w:pStyle w:val="ac"/>
        <w:numPr>
          <w:ilvl w:val="0"/>
          <w:numId w:val="20"/>
        </w:numPr>
        <w:spacing w:line="360" w:lineRule="auto"/>
        <w:jc w:val="both"/>
      </w:pPr>
      <w:r>
        <w:t xml:space="preserve"> </w:t>
      </w:r>
      <w:r w:rsidRPr="00776E0A">
        <w:t>Патент 109267 UA, МПК A61K 31/00 (2016.01) A61P 17/02 (2006.01) Спосіб інтраопераційної профілактики виникнення келоїдних та гіпертрофічних рубців шкіри при лікуванні кист шиї ембріонального походження / Григоров С. М., Криничко Л. Р., Ставицький С. О., Яценко І. В. ; заявник ВДНЗУ УМСА. — № u 2015 00026 ; заявл. 04.01.2016 ; опубл. 25.08.2016, Бюл. № 16.</w:t>
      </w:r>
      <w:r>
        <w:t xml:space="preserve"> </w:t>
      </w:r>
      <w:r w:rsidRPr="00A0507C">
        <w:t>(</w:t>
      </w:r>
      <w:r w:rsidRPr="00A0507C">
        <w:rPr>
          <w:i/>
        </w:rPr>
        <w:t xml:space="preserve">Дисертант особисто розробив </w:t>
      </w:r>
      <w:r>
        <w:rPr>
          <w:i/>
        </w:rPr>
        <w:t xml:space="preserve">авторську методику </w:t>
      </w:r>
      <w:r w:rsidRPr="00A0507C">
        <w:rPr>
          <w:i/>
        </w:rPr>
        <w:t xml:space="preserve">профілактики </w:t>
      </w:r>
      <w:r>
        <w:rPr>
          <w:i/>
        </w:rPr>
        <w:t>виникнення патологічних рубців шкіри</w:t>
      </w:r>
      <w:r w:rsidRPr="00A0507C">
        <w:rPr>
          <w:i/>
        </w:rPr>
        <w:t>, проводив клінічну апробацію та оформив формулу винаходу</w:t>
      </w:r>
      <w:r w:rsidRPr="00A0507C">
        <w:t>)</w:t>
      </w:r>
      <w:r>
        <w:t>.</w:t>
      </w:r>
    </w:p>
    <w:p w:rsidR="0016277E" w:rsidRPr="0016277E" w:rsidRDefault="0016277E" w:rsidP="0016277E">
      <w:pPr>
        <w:pStyle w:val="a7"/>
        <w:pBdr>
          <w:top w:val="nil"/>
          <w:left w:val="nil"/>
          <w:bottom w:val="nil"/>
          <w:right w:val="nil"/>
          <w:between w:val="nil"/>
        </w:pBdr>
        <w:spacing w:after="0" w:line="360" w:lineRule="auto"/>
        <w:ind w:left="644"/>
        <w:jc w:val="both"/>
        <w:rPr>
          <w:sz w:val="28"/>
          <w:szCs w:val="28"/>
        </w:rPr>
      </w:pPr>
    </w:p>
    <w:p w:rsidR="0030517B" w:rsidRDefault="0030517B" w:rsidP="0016277E">
      <w:pPr>
        <w:spacing w:line="360" w:lineRule="auto"/>
      </w:pPr>
      <w:bookmarkStart w:id="2" w:name="_gjdgxs" w:colFirst="0" w:colLast="0"/>
      <w:bookmarkEnd w:id="2"/>
    </w:p>
    <w:p w:rsidR="0043343C" w:rsidRDefault="0043343C" w:rsidP="0016277E">
      <w:pPr>
        <w:spacing w:line="360" w:lineRule="auto"/>
      </w:pPr>
    </w:p>
    <w:sectPr w:rsidR="0043343C" w:rsidSect="0075147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7675" w:rsidRDefault="00417675">
      <w:pPr>
        <w:spacing w:after="0" w:line="240" w:lineRule="auto"/>
      </w:pPr>
      <w:r>
        <w:separator/>
      </w:r>
    </w:p>
  </w:endnote>
  <w:endnote w:type="continuationSeparator" w:id="0">
    <w:p w:rsidR="00417675" w:rsidRDefault="00417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ungsuh">
    <w:altName w:val="Times New Roman"/>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7675" w:rsidRDefault="00417675">
      <w:pPr>
        <w:spacing w:after="0" w:line="240" w:lineRule="auto"/>
      </w:pPr>
      <w:r>
        <w:separator/>
      </w:r>
    </w:p>
  </w:footnote>
  <w:footnote w:type="continuationSeparator" w:id="0">
    <w:p w:rsidR="00417675" w:rsidRDefault="004176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6611827"/>
      <w:docPartObj>
        <w:docPartGallery w:val="Page Numbers (Top of Page)"/>
        <w:docPartUnique/>
      </w:docPartObj>
    </w:sdtPr>
    <w:sdtEndPr/>
    <w:sdtContent>
      <w:p w:rsidR="00536D58" w:rsidRDefault="00536D58">
        <w:pPr>
          <w:pStyle w:val="af1"/>
          <w:jc w:val="right"/>
        </w:pPr>
        <w:r>
          <w:fldChar w:fldCharType="begin"/>
        </w:r>
        <w:r>
          <w:instrText>PAGE   \* MERGEFORMAT</w:instrText>
        </w:r>
        <w:r>
          <w:fldChar w:fldCharType="separate"/>
        </w:r>
        <w:r w:rsidR="0016277E" w:rsidRPr="0016277E">
          <w:rPr>
            <w:noProof/>
            <w:lang w:val="ru-RU"/>
          </w:rPr>
          <w:t>1</w:t>
        </w:r>
        <w:r>
          <w:fldChar w:fldCharType="end"/>
        </w:r>
      </w:p>
    </w:sdtContent>
  </w:sdt>
  <w:p w:rsidR="00536D58" w:rsidRDefault="00536D58">
    <w:pPr>
      <w:pStyle w:val="af1"/>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1852773"/>
      <w:docPartObj>
        <w:docPartGallery w:val="Page Numbers (Top of Page)"/>
        <w:docPartUnique/>
      </w:docPartObj>
    </w:sdtPr>
    <w:sdtEndPr/>
    <w:sdtContent>
      <w:p w:rsidR="00536D58" w:rsidRDefault="00536D58">
        <w:pPr>
          <w:pStyle w:val="af1"/>
          <w:jc w:val="right"/>
        </w:pPr>
        <w:r>
          <w:fldChar w:fldCharType="begin"/>
        </w:r>
        <w:r>
          <w:instrText>PAGE   \* MERGEFORMAT</w:instrText>
        </w:r>
        <w:r>
          <w:fldChar w:fldCharType="separate"/>
        </w:r>
        <w:r w:rsidR="0016277E" w:rsidRPr="0016277E">
          <w:rPr>
            <w:noProof/>
            <w:lang w:val="ru-RU"/>
          </w:rPr>
          <w:t>196</w:t>
        </w:r>
        <w:r>
          <w:rPr>
            <w:noProof/>
            <w:lang w:val="ru-RU"/>
          </w:rPr>
          <w:fldChar w:fldCharType="end"/>
        </w:r>
      </w:p>
    </w:sdtContent>
  </w:sdt>
  <w:p w:rsidR="00536D58" w:rsidRDefault="00536D58">
    <w:pPr>
      <w:pStyle w:val="af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21F44"/>
    <w:multiLevelType w:val="hybridMultilevel"/>
    <w:tmpl w:val="B44EB114"/>
    <w:lvl w:ilvl="0" w:tplc="EF16BF3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BD1109C"/>
    <w:multiLevelType w:val="hybridMultilevel"/>
    <w:tmpl w:val="BC2ECF7C"/>
    <w:lvl w:ilvl="0" w:tplc="69F2D04E">
      <w:start w:val="5"/>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15:restartNumberingAfterBreak="0">
    <w:nsid w:val="14844BBC"/>
    <w:multiLevelType w:val="hybridMultilevel"/>
    <w:tmpl w:val="D72AF9A6"/>
    <w:lvl w:ilvl="0" w:tplc="B980FD80">
      <w:start w:val="1"/>
      <w:numFmt w:val="decimal"/>
      <w:lvlText w:val="%1."/>
      <w:lvlJc w:val="left"/>
      <w:pPr>
        <w:ind w:left="1035" w:hanging="6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6920D08"/>
    <w:multiLevelType w:val="hybridMultilevel"/>
    <w:tmpl w:val="E8A0FE00"/>
    <w:lvl w:ilvl="0" w:tplc="D85AA5BE">
      <w:start w:val="1"/>
      <w:numFmt w:val="decimal"/>
      <w:lvlText w:val="%1."/>
      <w:lvlJc w:val="left"/>
      <w:pPr>
        <w:ind w:left="928" w:hanging="360"/>
      </w:pPr>
      <w:rPr>
        <w:rFonts w:cs="Times New Roman" w:hint="default"/>
        <w:color w:val="000000"/>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4" w15:restartNumberingAfterBreak="0">
    <w:nsid w:val="1A222E46"/>
    <w:multiLevelType w:val="hybridMultilevel"/>
    <w:tmpl w:val="1978919C"/>
    <w:lvl w:ilvl="0" w:tplc="22FA370C">
      <w:start w:val="1"/>
      <w:numFmt w:val="decimal"/>
      <w:lvlText w:val="%1."/>
      <w:lvlJc w:val="left"/>
      <w:pPr>
        <w:ind w:left="1120" w:hanging="360"/>
      </w:pPr>
      <w:rPr>
        <w:rFonts w:cs="Times New Roman" w:hint="default"/>
      </w:rPr>
    </w:lvl>
    <w:lvl w:ilvl="1" w:tplc="04190019" w:tentative="1">
      <w:start w:val="1"/>
      <w:numFmt w:val="lowerLetter"/>
      <w:lvlText w:val="%2."/>
      <w:lvlJc w:val="left"/>
      <w:pPr>
        <w:ind w:left="1840" w:hanging="360"/>
      </w:pPr>
      <w:rPr>
        <w:rFonts w:cs="Times New Roman"/>
      </w:rPr>
    </w:lvl>
    <w:lvl w:ilvl="2" w:tplc="0419001B" w:tentative="1">
      <w:start w:val="1"/>
      <w:numFmt w:val="lowerRoman"/>
      <w:lvlText w:val="%3."/>
      <w:lvlJc w:val="right"/>
      <w:pPr>
        <w:ind w:left="2560" w:hanging="180"/>
      </w:pPr>
      <w:rPr>
        <w:rFonts w:cs="Times New Roman"/>
      </w:rPr>
    </w:lvl>
    <w:lvl w:ilvl="3" w:tplc="0419000F" w:tentative="1">
      <w:start w:val="1"/>
      <w:numFmt w:val="decimal"/>
      <w:lvlText w:val="%4."/>
      <w:lvlJc w:val="left"/>
      <w:pPr>
        <w:ind w:left="3280" w:hanging="360"/>
      </w:pPr>
      <w:rPr>
        <w:rFonts w:cs="Times New Roman"/>
      </w:rPr>
    </w:lvl>
    <w:lvl w:ilvl="4" w:tplc="04190019" w:tentative="1">
      <w:start w:val="1"/>
      <w:numFmt w:val="lowerLetter"/>
      <w:lvlText w:val="%5."/>
      <w:lvlJc w:val="left"/>
      <w:pPr>
        <w:ind w:left="4000" w:hanging="360"/>
      </w:pPr>
      <w:rPr>
        <w:rFonts w:cs="Times New Roman"/>
      </w:rPr>
    </w:lvl>
    <w:lvl w:ilvl="5" w:tplc="0419001B" w:tentative="1">
      <w:start w:val="1"/>
      <w:numFmt w:val="lowerRoman"/>
      <w:lvlText w:val="%6."/>
      <w:lvlJc w:val="right"/>
      <w:pPr>
        <w:ind w:left="4720" w:hanging="180"/>
      </w:pPr>
      <w:rPr>
        <w:rFonts w:cs="Times New Roman"/>
      </w:rPr>
    </w:lvl>
    <w:lvl w:ilvl="6" w:tplc="0419000F" w:tentative="1">
      <w:start w:val="1"/>
      <w:numFmt w:val="decimal"/>
      <w:lvlText w:val="%7."/>
      <w:lvlJc w:val="left"/>
      <w:pPr>
        <w:ind w:left="5440" w:hanging="360"/>
      </w:pPr>
      <w:rPr>
        <w:rFonts w:cs="Times New Roman"/>
      </w:rPr>
    </w:lvl>
    <w:lvl w:ilvl="7" w:tplc="04190019" w:tentative="1">
      <w:start w:val="1"/>
      <w:numFmt w:val="lowerLetter"/>
      <w:lvlText w:val="%8."/>
      <w:lvlJc w:val="left"/>
      <w:pPr>
        <w:ind w:left="6160" w:hanging="360"/>
      </w:pPr>
      <w:rPr>
        <w:rFonts w:cs="Times New Roman"/>
      </w:rPr>
    </w:lvl>
    <w:lvl w:ilvl="8" w:tplc="0419001B" w:tentative="1">
      <w:start w:val="1"/>
      <w:numFmt w:val="lowerRoman"/>
      <w:lvlText w:val="%9."/>
      <w:lvlJc w:val="right"/>
      <w:pPr>
        <w:ind w:left="6880" w:hanging="180"/>
      </w:pPr>
      <w:rPr>
        <w:rFonts w:cs="Times New Roman"/>
      </w:rPr>
    </w:lvl>
  </w:abstractNum>
  <w:abstractNum w:abstractNumId="5" w15:restartNumberingAfterBreak="0">
    <w:nsid w:val="1AFC5FD7"/>
    <w:multiLevelType w:val="hybridMultilevel"/>
    <w:tmpl w:val="F888365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E7359AC"/>
    <w:multiLevelType w:val="multilevel"/>
    <w:tmpl w:val="D9866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0E1F38"/>
    <w:multiLevelType w:val="hybridMultilevel"/>
    <w:tmpl w:val="7AEACB74"/>
    <w:lvl w:ilvl="0" w:tplc="0D2A4AC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15:restartNumberingAfterBreak="0">
    <w:nsid w:val="314E43E6"/>
    <w:multiLevelType w:val="hybridMultilevel"/>
    <w:tmpl w:val="0FC8A964"/>
    <w:lvl w:ilvl="0" w:tplc="15D60716">
      <w:start w:val="4"/>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1647E76"/>
    <w:multiLevelType w:val="hybridMultilevel"/>
    <w:tmpl w:val="7DB62F6A"/>
    <w:lvl w:ilvl="0" w:tplc="8B549A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70C75B4"/>
    <w:multiLevelType w:val="hybridMultilevel"/>
    <w:tmpl w:val="2F2ACAB4"/>
    <w:lvl w:ilvl="0" w:tplc="A0F0A4EA">
      <w:start w:val="1"/>
      <w:numFmt w:val="decimal"/>
      <w:lvlText w:val="%1."/>
      <w:lvlJc w:val="left"/>
      <w:pPr>
        <w:ind w:left="720" w:hanging="360"/>
      </w:pPr>
      <w:rPr>
        <w:rFonts w:hint="default"/>
        <w:sz w:val="29"/>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37D5ABD"/>
    <w:multiLevelType w:val="multilevel"/>
    <w:tmpl w:val="82E6312A"/>
    <w:lvl w:ilvl="0">
      <w:start w:val="41"/>
      <w:numFmt w:val="decimal"/>
      <w:lvlText w:val="%1."/>
      <w:lvlJc w:val="left"/>
      <w:pPr>
        <w:ind w:left="455" w:hanging="375"/>
      </w:pPr>
    </w:lvl>
    <w:lvl w:ilvl="1">
      <w:start w:val="1"/>
      <w:numFmt w:val="lowerLetter"/>
      <w:lvlText w:val="%2."/>
      <w:lvlJc w:val="left"/>
      <w:pPr>
        <w:ind w:left="1160" w:hanging="360"/>
      </w:pPr>
    </w:lvl>
    <w:lvl w:ilvl="2">
      <w:start w:val="1"/>
      <w:numFmt w:val="lowerRoman"/>
      <w:lvlText w:val="%3."/>
      <w:lvlJc w:val="right"/>
      <w:pPr>
        <w:ind w:left="1880" w:hanging="180"/>
      </w:pPr>
    </w:lvl>
    <w:lvl w:ilvl="3">
      <w:start w:val="1"/>
      <w:numFmt w:val="decimal"/>
      <w:lvlText w:val="%4."/>
      <w:lvlJc w:val="left"/>
      <w:pPr>
        <w:ind w:left="2600" w:hanging="360"/>
      </w:pPr>
    </w:lvl>
    <w:lvl w:ilvl="4">
      <w:start w:val="1"/>
      <w:numFmt w:val="lowerLetter"/>
      <w:lvlText w:val="%5."/>
      <w:lvlJc w:val="left"/>
      <w:pPr>
        <w:ind w:left="3320" w:hanging="360"/>
      </w:pPr>
    </w:lvl>
    <w:lvl w:ilvl="5">
      <w:start w:val="1"/>
      <w:numFmt w:val="lowerRoman"/>
      <w:lvlText w:val="%6."/>
      <w:lvlJc w:val="right"/>
      <w:pPr>
        <w:ind w:left="4040" w:hanging="180"/>
      </w:pPr>
    </w:lvl>
    <w:lvl w:ilvl="6">
      <w:start w:val="1"/>
      <w:numFmt w:val="decimal"/>
      <w:lvlText w:val="%7."/>
      <w:lvlJc w:val="left"/>
      <w:pPr>
        <w:ind w:left="4760" w:hanging="360"/>
      </w:pPr>
    </w:lvl>
    <w:lvl w:ilvl="7">
      <w:start w:val="1"/>
      <w:numFmt w:val="lowerLetter"/>
      <w:lvlText w:val="%8."/>
      <w:lvlJc w:val="left"/>
      <w:pPr>
        <w:ind w:left="5480" w:hanging="360"/>
      </w:pPr>
    </w:lvl>
    <w:lvl w:ilvl="8">
      <w:start w:val="1"/>
      <w:numFmt w:val="lowerRoman"/>
      <w:lvlText w:val="%9."/>
      <w:lvlJc w:val="right"/>
      <w:pPr>
        <w:ind w:left="6200" w:hanging="180"/>
      </w:pPr>
    </w:lvl>
  </w:abstractNum>
  <w:abstractNum w:abstractNumId="12" w15:restartNumberingAfterBreak="0">
    <w:nsid w:val="43DB5D16"/>
    <w:multiLevelType w:val="hybridMultilevel"/>
    <w:tmpl w:val="BCBE3882"/>
    <w:lvl w:ilvl="0" w:tplc="4DCA9EDE">
      <w:start w:val="1"/>
      <w:numFmt w:val="decimal"/>
      <w:lvlText w:val="%1."/>
      <w:lvlJc w:val="left"/>
      <w:pPr>
        <w:ind w:left="1495" w:hanging="360"/>
      </w:pPr>
      <w:rPr>
        <w:b w:val="0"/>
        <w:i w:val="0"/>
        <w:sz w:val="28"/>
        <w:szCs w:val="28"/>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409511A"/>
    <w:multiLevelType w:val="hybridMultilevel"/>
    <w:tmpl w:val="2556C874"/>
    <w:lvl w:ilvl="0" w:tplc="94948BD0">
      <w:start w:val="1"/>
      <w:numFmt w:val="decimal"/>
      <w:lvlText w:val="%1."/>
      <w:lvlJc w:val="left"/>
      <w:pPr>
        <w:tabs>
          <w:tab w:val="num" w:pos="720"/>
        </w:tabs>
        <w:ind w:left="720" w:hanging="360"/>
      </w:pPr>
      <w:rPr>
        <w:rFonts w:cs="Times New Roman"/>
        <w:sz w:val="28"/>
        <w:szCs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F301AEB"/>
    <w:multiLevelType w:val="multilevel"/>
    <w:tmpl w:val="B79C8E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8BD2510"/>
    <w:multiLevelType w:val="hybridMultilevel"/>
    <w:tmpl w:val="BE40528E"/>
    <w:lvl w:ilvl="0" w:tplc="0DAE2390">
      <w:start w:val="1"/>
      <w:numFmt w:val="decimal"/>
      <w:lvlText w:val="%1."/>
      <w:lvlJc w:val="left"/>
      <w:pPr>
        <w:ind w:left="720" w:hanging="360"/>
      </w:pPr>
      <w:rPr>
        <w:rFonts w:cs="Times New Roman" w:hint="default"/>
        <w:color w:val="110C09"/>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60D21FDB"/>
    <w:multiLevelType w:val="hybridMultilevel"/>
    <w:tmpl w:val="1E7242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76E08B9"/>
    <w:multiLevelType w:val="hybridMultilevel"/>
    <w:tmpl w:val="6C882AB6"/>
    <w:lvl w:ilvl="0" w:tplc="71043E82">
      <w:start w:val="1"/>
      <w:numFmt w:val="bullet"/>
      <w:lvlText w:val="-"/>
      <w:lvlJc w:val="left"/>
      <w:pPr>
        <w:ind w:left="1774" w:hanging="360"/>
      </w:pPr>
      <w:rPr>
        <w:rFonts w:ascii="Times New Roman" w:eastAsia="Times New Roman" w:hAnsi="Times New Roman" w:cs="Times New Roman" w:hint="default"/>
      </w:rPr>
    </w:lvl>
    <w:lvl w:ilvl="1" w:tplc="04190003" w:tentative="1">
      <w:start w:val="1"/>
      <w:numFmt w:val="bullet"/>
      <w:lvlText w:val="o"/>
      <w:lvlJc w:val="left"/>
      <w:pPr>
        <w:ind w:left="2494" w:hanging="360"/>
      </w:pPr>
      <w:rPr>
        <w:rFonts w:ascii="Courier New" w:hAnsi="Courier New" w:cs="Courier New" w:hint="default"/>
      </w:rPr>
    </w:lvl>
    <w:lvl w:ilvl="2" w:tplc="04190005" w:tentative="1">
      <w:start w:val="1"/>
      <w:numFmt w:val="bullet"/>
      <w:lvlText w:val=""/>
      <w:lvlJc w:val="left"/>
      <w:pPr>
        <w:ind w:left="3214" w:hanging="360"/>
      </w:pPr>
      <w:rPr>
        <w:rFonts w:ascii="Wingdings" w:hAnsi="Wingdings" w:hint="default"/>
      </w:rPr>
    </w:lvl>
    <w:lvl w:ilvl="3" w:tplc="04190001" w:tentative="1">
      <w:start w:val="1"/>
      <w:numFmt w:val="bullet"/>
      <w:lvlText w:val=""/>
      <w:lvlJc w:val="left"/>
      <w:pPr>
        <w:ind w:left="3934" w:hanging="360"/>
      </w:pPr>
      <w:rPr>
        <w:rFonts w:ascii="Symbol" w:hAnsi="Symbol" w:hint="default"/>
      </w:rPr>
    </w:lvl>
    <w:lvl w:ilvl="4" w:tplc="04190003" w:tentative="1">
      <w:start w:val="1"/>
      <w:numFmt w:val="bullet"/>
      <w:lvlText w:val="o"/>
      <w:lvlJc w:val="left"/>
      <w:pPr>
        <w:ind w:left="4654" w:hanging="360"/>
      </w:pPr>
      <w:rPr>
        <w:rFonts w:ascii="Courier New" w:hAnsi="Courier New" w:cs="Courier New" w:hint="default"/>
      </w:rPr>
    </w:lvl>
    <w:lvl w:ilvl="5" w:tplc="04190005" w:tentative="1">
      <w:start w:val="1"/>
      <w:numFmt w:val="bullet"/>
      <w:lvlText w:val=""/>
      <w:lvlJc w:val="left"/>
      <w:pPr>
        <w:ind w:left="5374" w:hanging="360"/>
      </w:pPr>
      <w:rPr>
        <w:rFonts w:ascii="Wingdings" w:hAnsi="Wingdings" w:hint="default"/>
      </w:rPr>
    </w:lvl>
    <w:lvl w:ilvl="6" w:tplc="04190001" w:tentative="1">
      <w:start w:val="1"/>
      <w:numFmt w:val="bullet"/>
      <w:lvlText w:val=""/>
      <w:lvlJc w:val="left"/>
      <w:pPr>
        <w:ind w:left="6094" w:hanging="360"/>
      </w:pPr>
      <w:rPr>
        <w:rFonts w:ascii="Symbol" w:hAnsi="Symbol" w:hint="default"/>
      </w:rPr>
    </w:lvl>
    <w:lvl w:ilvl="7" w:tplc="04190003" w:tentative="1">
      <w:start w:val="1"/>
      <w:numFmt w:val="bullet"/>
      <w:lvlText w:val="o"/>
      <w:lvlJc w:val="left"/>
      <w:pPr>
        <w:ind w:left="6814" w:hanging="360"/>
      </w:pPr>
      <w:rPr>
        <w:rFonts w:ascii="Courier New" w:hAnsi="Courier New" w:cs="Courier New" w:hint="default"/>
      </w:rPr>
    </w:lvl>
    <w:lvl w:ilvl="8" w:tplc="04190005" w:tentative="1">
      <w:start w:val="1"/>
      <w:numFmt w:val="bullet"/>
      <w:lvlText w:val=""/>
      <w:lvlJc w:val="left"/>
      <w:pPr>
        <w:ind w:left="7534" w:hanging="360"/>
      </w:pPr>
      <w:rPr>
        <w:rFonts w:ascii="Wingdings" w:hAnsi="Wingdings" w:hint="default"/>
      </w:rPr>
    </w:lvl>
  </w:abstractNum>
  <w:abstractNum w:abstractNumId="18" w15:restartNumberingAfterBreak="0">
    <w:nsid w:val="7F256FAC"/>
    <w:multiLevelType w:val="hybridMultilevel"/>
    <w:tmpl w:val="F888365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FE7065D"/>
    <w:multiLevelType w:val="hybridMultilevel"/>
    <w:tmpl w:val="8FEA96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
  </w:num>
  <w:num w:numId="3">
    <w:abstractNumId w:val="4"/>
  </w:num>
  <w:num w:numId="4">
    <w:abstractNumId w:val="8"/>
  </w:num>
  <w:num w:numId="5">
    <w:abstractNumId w:val="3"/>
  </w:num>
  <w:num w:numId="6">
    <w:abstractNumId w:val="17"/>
  </w:num>
  <w:num w:numId="7">
    <w:abstractNumId w:val="6"/>
  </w:num>
  <w:num w:numId="8">
    <w:abstractNumId w:val="14"/>
  </w:num>
  <w:num w:numId="9">
    <w:abstractNumId w:val="9"/>
  </w:num>
  <w:num w:numId="10">
    <w:abstractNumId w:val="7"/>
  </w:num>
  <w:num w:numId="11">
    <w:abstractNumId w:val="0"/>
  </w:num>
  <w:num w:numId="12">
    <w:abstractNumId w:val="15"/>
  </w:num>
  <w:num w:numId="13">
    <w:abstractNumId w:val="13"/>
  </w:num>
  <w:num w:numId="14">
    <w:abstractNumId w:val="12"/>
  </w:num>
  <w:num w:numId="15">
    <w:abstractNumId w:val="16"/>
  </w:num>
  <w:num w:numId="16">
    <w:abstractNumId w:val="11"/>
  </w:num>
  <w:num w:numId="17">
    <w:abstractNumId w:val="19"/>
  </w:num>
  <w:num w:numId="18">
    <w:abstractNumId w:val="10"/>
  </w:num>
  <w:num w:numId="19">
    <w:abstractNumId w:val="2"/>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17B"/>
    <w:rsid w:val="00005754"/>
    <w:rsid w:val="00005F8F"/>
    <w:rsid w:val="00014E01"/>
    <w:rsid w:val="00015256"/>
    <w:rsid w:val="000337E1"/>
    <w:rsid w:val="0003712A"/>
    <w:rsid w:val="00042096"/>
    <w:rsid w:val="00065B03"/>
    <w:rsid w:val="00067BD2"/>
    <w:rsid w:val="00072F70"/>
    <w:rsid w:val="000737E6"/>
    <w:rsid w:val="000817FF"/>
    <w:rsid w:val="00084587"/>
    <w:rsid w:val="000905E0"/>
    <w:rsid w:val="000906BF"/>
    <w:rsid w:val="0009518D"/>
    <w:rsid w:val="0009596B"/>
    <w:rsid w:val="00097ABC"/>
    <w:rsid w:val="000B5DF6"/>
    <w:rsid w:val="000B6DDC"/>
    <w:rsid w:val="000C1A2F"/>
    <w:rsid w:val="000C2338"/>
    <w:rsid w:val="000C5226"/>
    <w:rsid w:val="000C6ABB"/>
    <w:rsid w:val="000D1971"/>
    <w:rsid w:val="000D495E"/>
    <w:rsid w:val="000D5686"/>
    <w:rsid w:val="000E0994"/>
    <w:rsid w:val="000E699C"/>
    <w:rsid w:val="000E6FB8"/>
    <w:rsid w:val="000F3F1C"/>
    <w:rsid w:val="001013D7"/>
    <w:rsid w:val="001062EE"/>
    <w:rsid w:val="0011184F"/>
    <w:rsid w:val="001174CC"/>
    <w:rsid w:val="00122C61"/>
    <w:rsid w:val="00126974"/>
    <w:rsid w:val="00133E3F"/>
    <w:rsid w:val="001473B4"/>
    <w:rsid w:val="0014797D"/>
    <w:rsid w:val="00150FDA"/>
    <w:rsid w:val="00151EDB"/>
    <w:rsid w:val="0016277E"/>
    <w:rsid w:val="00172638"/>
    <w:rsid w:val="001733E7"/>
    <w:rsid w:val="001A4A21"/>
    <w:rsid w:val="001B1A4E"/>
    <w:rsid w:val="001B567E"/>
    <w:rsid w:val="001B7151"/>
    <w:rsid w:val="001C5630"/>
    <w:rsid w:val="001C7A6D"/>
    <w:rsid w:val="001E75A4"/>
    <w:rsid w:val="00244374"/>
    <w:rsid w:val="00246894"/>
    <w:rsid w:val="00247382"/>
    <w:rsid w:val="00250C95"/>
    <w:rsid w:val="00250E2C"/>
    <w:rsid w:val="00262E2E"/>
    <w:rsid w:val="00263EEB"/>
    <w:rsid w:val="00264F3B"/>
    <w:rsid w:val="00267C06"/>
    <w:rsid w:val="00270657"/>
    <w:rsid w:val="00277037"/>
    <w:rsid w:val="002803D2"/>
    <w:rsid w:val="00280D07"/>
    <w:rsid w:val="00290497"/>
    <w:rsid w:val="00297468"/>
    <w:rsid w:val="002A6FDE"/>
    <w:rsid w:val="002B33FD"/>
    <w:rsid w:val="002C4C01"/>
    <w:rsid w:val="002C755C"/>
    <w:rsid w:val="002D0787"/>
    <w:rsid w:val="002D5AE2"/>
    <w:rsid w:val="002D6409"/>
    <w:rsid w:val="002E63EC"/>
    <w:rsid w:val="002F147B"/>
    <w:rsid w:val="002F2D0C"/>
    <w:rsid w:val="0030498B"/>
    <w:rsid w:val="00304E83"/>
    <w:rsid w:val="0030517B"/>
    <w:rsid w:val="00305833"/>
    <w:rsid w:val="003236D6"/>
    <w:rsid w:val="00327200"/>
    <w:rsid w:val="003336C6"/>
    <w:rsid w:val="0033398C"/>
    <w:rsid w:val="00342FEB"/>
    <w:rsid w:val="00344078"/>
    <w:rsid w:val="003564E7"/>
    <w:rsid w:val="003652BC"/>
    <w:rsid w:val="00376F11"/>
    <w:rsid w:val="00393EA1"/>
    <w:rsid w:val="00396FF0"/>
    <w:rsid w:val="003A25E3"/>
    <w:rsid w:val="003A3228"/>
    <w:rsid w:val="003A6425"/>
    <w:rsid w:val="003A6E92"/>
    <w:rsid w:val="003B58F0"/>
    <w:rsid w:val="003B7FCB"/>
    <w:rsid w:val="003C1E4C"/>
    <w:rsid w:val="003C4020"/>
    <w:rsid w:val="003C7159"/>
    <w:rsid w:val="003D1332"/>
    <w:rsid w:val="003D4803"/>
    <w:rsid w:val="003F1F3D"/>
    <w:rsid w:val="003F7735"/>
    <w:rsid w:val="00400041"/>
    <w:rsid w:val="004021F0"/>
    <w:rsid w:val="004025F6"/>
    <w:rsid w:val="00417675"/>
    <w:rsid w:val="0042173A"/>
    <w:rsid w:val="00425DEA"/>
    <w:rsid w:val="0042749C"/>
    <w:rsid w:val="00432A0D"/>
    <w:rsid w:val="0043343C"/>
    <w:rsid w:val="0043432D"/>
    <w:rsid w:val="0046780B"/>
    <w:rsid w:val="004713FC"/>
    <w:rsid w:val="00472CB8"/>
    <w:rsid w:val="00476E2A"/>
    <w:rsid w:val="004778B3"/>
    <w:rsid w:val="004808B1"/>
    <w:rsid w:val="00482B79"/>
    <w:rsid w:val="004916A1"/>
    <w:rsid w:val="0049240C"/>
    <w:rsid w:val="004A0205"/>
    <w:rsid w:val="004B2A21"/>
    <w:rsid w:val="004B4CBA"/>
    <w:rsid w:val="004B63B8"/>
    <w:rsid w:val="004C1414"/>
    <w:rsid w:val="004C5F7A"/>
    <w:rsid w:val="004C75A9"/>
    <w:rsid w:val="004D0CF5"/>
    <w:rsid w:val="004D3F29"/>
    <w:rsid w:val="004D5E40"/>
    <w:rsid w:val="004E3904"/>
    <w:rsid w:val="005001AD"/>
    <w:rsid w:val="005003B6"/>
    <w:rsid w:val="00506730"/>
    <w:rsid w:val="00514F48"/>
    <w:rsid w:val="005279F5"/>
    <w:rsid w:val="00536D58"/>
    <w:rsid w:val="00537B9F"/>
    <w:rsid w:val="00541021"/>
    <w:rsid w:val="00550434"/>
    <w:rsid w:val="0055519F"/>
    <w:rsid w:val="00556FBB"/>
    <w:rsid w:val="005734C4"/>
    <w:rsid w:val="00591877"/>
    <w:rsid w:val="00596D4B"/>
    <w:rsid w:val="00597D48"/>
    <w:rsid w:val="005A01B4"/>
    <w:rsid w:val="005A3701"/>
    <w:rsid w:val="005A5079"/>
    <w:rsid w:val="005B77D6"/>
    <w:rsid w:val="005C0170"/>
    <w:rsid w:val="005D14C9"/>
    <w:rsid w:val="005D6DAC"/>
    <w:rsid w:val="005E229C"/>
    <w:rsid w:val="005E760B"/>
    <w:rsid w:val="005F3AB1"/>
    <w:rsid w:val="00605BB4"/>
    <w:rsid w:val="00606F5D"/>
    <w:rsid w:val="006071EA"/>
    <w:rsid w:val="006147E7"/>
    <w:rsid w:val="00615507"/>
    <w:rsid w:val="00616635"/>
    <w:rsid w:val="0061787E"/>
    <w:rsid w:val="006179C3"/>
    <w:rsid w:val="006253E6"/>
    <w:rsid w:val="00630AC5"/>
    <w:rsid w:val="00635F98"/>
    <w:rsid w:val="006509D4"/>
    <w:rsid w:val="0066110C"/>
    <w:rsid w:val="006631C9"/>
    <w:rsid w:val="006638C3"/>
    <w:rsid w:val="00666948"/>
    <w:rsid w:val="006A453A"/>
    <w:rsid w:val="006A45FB"/>
    <w:rsid w:val="006A5EAB"/>
    <w:rsid w:val="006A757A"/>
    <w:rsid w:val="006B23DA"/>
    <w:rsid w:val="006B4EB6"/>
    <w:rsid w:val="006B6396"/>
    <w:rsid w:val="006B6C8C"/>
    <w:rsid w:val="006C3AA8"/>
    <w:rsid w:val="006C5235"/>
    <w:rsid w:val="006C576E"/>
    <w:rsid w:val="006D2681"/>
    <w:rsid w:val="006D382D"/>
    <w:rsid w:val="006D3F87"/>
    <w:rsid w:val="006D7CC4"/>
    <w:rsid w:val="006E22EE"/>
    <w:rsid w:val="006F51BD"/>
    <w:rsid w:val="006F583B"/>
    <w:rsid w:val="00712C84"/>
    <w:rsid w:val="007139F7"/>
    <w:rsid w:val="00716654"/>
    <w:rsid w:val="00725115"/>
    <w:rsid w:val="00727F19"/>
    <w:rsid w:val="007303A4"/>
    <w:rsid w:val="00734253"/>
    <w:rsid w:val="00735EFC"/>
    <w:rsid w:val="00740A63"/>
    <w:rsid w:val="007416E3"/>
    <w:rsid w:val="00741F7C"/>
    <w:rsid w:val="0075103F"/>
    <w:rsid w:val="00751472"/>
    <w:rsid w:val="00765B5C"/>
    <w:rsid w:val="00770C95"/>
    <w:rsid w:val="00783205"/>
    <w:rsid w:val="00792DB2"/>
    <w:rsid w:val="00793BD4"/>
    <w:rsid w:val="007A7590"/>
    <w:rsid w:val="007B7DDF"/>
    <w:rsid w:val="007C08DC"/>
    <w:rsid w:val="007C4300"/>
    <w:rsid w:val="007C5094"/>
    <w:rsid w:val="007D13E8"/>
    <w:rsid w:val="007D6B9B"/>
    <w:rsid w:val="007E37DA"/>
    <w:rsid w:val="007F04D1"/>
    <w:rsid w:val="00801EEF"/>
    <w:rsid w:val="00803C75"/>
    <w:rsid w:val="0080771D"/>
    <w:rsid w:val="00812EE8"/>
    <w:rsid w:val="008317E6"/>
    <w:rsid w:val="00836EF4"/>
    <w:rsid w:val="00860850"/>
    <w:rsid w:val="008634E4"/>
    <w:rsid w:val="008652C5"/>
    <w:rsid w:val="0087139E"/>
    <w:rsid w:val="00882365"/>
    <w:rsid w:val="008B2675"/>
    <w:rsid w:val="008B65D0"/>
    <w:rsid w:val="008B68C4"/>
    <w:rsid w:val="008C0E8F"/>
    <w:rsid w:val="008D025C"/>
    <w:rsid w:val="008D1A57"/>
    <w:rsid w:val="008D527F"/>
    <w:rsid w:val="008D6962"/>
    <w:rsid w:val="008E3418"/>
    <w:rsid w:val="008E66D5"/>
    <w:rsid w:val="008F06F1"/>
    <w:rsid w:val="008F1873"/>
    <w:rsid w:val="008F2712"/>
    <w:rsid w:val="008F5DE6"/>
    <w:rsid w:val="0090257C"/>
    <w:rsid w:val="009030F9"/>
    <w:rsid w:val="00905A6D"/>
    <w:rsid w:val="0091601B"/>
    <w:rsid w:val="00922F57"/>
    <w:rsid w:val="0092425C"/>
    <w:rsid w:val="00924E52"/>
    <w:rsid w:val="00932579"/>
    <w:rsid w:val="009360C2"/>
    <w:rsid w:val="00945C6C"/>
    <w:rsid w:val="0095113A"/>
    <w:rsid w:val="00953FC1"/>
    <w:rsid w:val="0095796A"/>
    <w:rsid w:val="009612E7"/>
    <w:rsid w:val="00973529"/>
    <w:rsid w:val="00981D29"/>
    <w:rsid w:val="00985DEC"/>
    <w:rsid w:val="00985FE4"/>
    <w:rsid w:val="00993FAA"/>
    <w:rsid w:val="009A4DD8"/>
    <w:rsid w:val="009A789C"/>
    <w:rsid w:val="009B1E15"/>
    <w:rsid w:val="009B67B6"/>
    <w:rsid w:val="009C0600"/>
    <w:rsid w:val="009C26CF"/>
    <w:rsid w:val="009C2EE8"/>
    <w:rsid w:val="009C31D5"/>
    <w:rsid w:val="009D1D17"/>
    <w:rsid w:val="009D34FA"/>
    <w:rsid w:val="009D4B01"/>
    <w:rsid w:val="009F6A43"/>
    <w:rsid w:val="00A0087E"/>
    <w:rsid w:val="00A105BE"/>
    <w:rsid w:val="00A24D19"/>
    <w:rsid w:val="00A37BCD"/>
    <w:rsid w:val="00A43557"/>
    <w:rsid w:val="00A46C15"/>
    <w:rsid w:val="00A6190F"/>
    <w:rsid w:val="00A630AC"/>
    <w:rsid w:val="00A73DE6"/>
    <w:rsid w:val="00A74681"/>
    <w:rsid w:val="00A77B45"/>
    <w:rsid w:val="00A8018C"/>
    <w:rsid w:val="00A84137"/>
    <w:rsid w:val="00A85273"/>
    <w:rsid w:val="00A854CB"/>
    <w:rsid w:val="00A870A8"/>
    <w:rsid w:val="00A94D98"/>
    <w:rsid w:val="00AC01F7"/>
    <w:rsid w:val="00AD2774"/>
    <w:rsid w:val="00AD6672"/>
    <w:rsid w:val="00AF3716"/>
    <w:rsid w:val="00AF4A69"/>
    <w:rsid w:val="00B0179E"/>
    <w:rsid w:val="00B030BA"/>
    <w:rsid w:val="00B13A5F"/>
    <w:rsid w:val="00B30E3A"/>
    <w:rsid w:val="00B351B8"/>
    <w:rsid w:val="00B435B1"/>
    <w:rsid w:val="00B46B4A"/>
    <w:rsid w:val="00B4770F"/>
    <w:rsid w:val="00B544CA"/>
    <w:rsid w:val="00B5758E"/>
    <w:rsid w:val="00B63A48"/>
    <w:rsid w:val="00B7572A"/>
    <w:rsid w:val="00B83B4E"/>
    <w:rsid w:val="00B85909"/>
    <w:rsid w:val="00B86260"/>
    <w:rsid w:val="00B93F9C"/>
    <w:rsid w:val="00BA5DDC"/>
    <w:rsid w:val="00BB39E8"/>
    <w:rsid w:val="00BD1681"/>
    <w:rsid w:val="00BE51DF"/>
    <w:rsid w:val="00BE7808"/>
    <w:rsid w:val="00BF2713"/>
    <w:rsid w:val="00BF604D"/>
    <w:rsid w:val="00C006AF"/>
    <w:rsid w:val="00C05B9D"/>
    <w:rsid w:val="00C07C1C"/>
    <w:rsid w:val="00C12C89"/>
    <w:rsid w:val="00C131EE"/>
    <w:rsid w:val="00C20783"/>
    <w:rsid w:val="00C32A94"/>
    <w:rsid w:val="00C4351D"/>
    <w:rsid w:val="00C47116"/>
    <w:rsid w:val="00C474A5"/>
    <w:rsid w:val="00C612ED"/>
    <w:rsid w:val="00C7469C"/>
    <w:rsid w:val="00C76B4A"/>
    <w:rsid w:val="00C77E20"/>
    <w:rsid w:val="00C844DD"/>
    <w:rsid w:val="00C96113"/>
    <w:rsid w:val="00CB4E9E"/>
    <w:rsid w:val="00CB6C08"/>
    <w:rsid w:val="00CC39FB"/>
    <w:rsid w:val="00CC4DB8"/>
    <w:rsid w:val="00CD32C1"/>
    <w:rsid w:val="00CE35E2"/>
    <w:rsid w:val="00D014B1"/>
    <w:rsid w:val="00D031C6"/>
    <w:rsid w:val="00D06AB3"/>
    <w:rsid w:val="00D10E54"/>
    <w:rsid w:val="00D13B7F"/>
    <w:rsid w:val="00D3171A"/>
    <w:rsid w:val="00D31875"/>
    <w:rsid w:val="00D53F66"/>
    <w:rsid w:val="00D55EE9"/>
    <w:rsid w:val="00D65158"/>
    <w:rsid w:val="00D73F02"/>
    <w:rsid w:val="00D758D5"/>
    <w:rsid w:val="00D96DA9"/>
    <w:rsid w:val="00DA29C8"/>
    <w:rsid w:val="00DA3D34"/>
    <w:rsid w:val="00DB77F1"/>
    <w:rsid w:val="00DC0151"/>
    <w:rsid w:val="00DC5C24"/>
    <w:rsid w:val="00DE51B0"/>
    <w:rsid w:val="00DE6032"/>
    <w:rsid w:val="00DF09B9"/>
    <w:rsid w:val="00E13E6C"/>
    <w:rsid w:val="00E1448E"/>
    <w:rsid w:val="00E16F39"/>
    <w:rsid w:val="00E45759"/>
    <w:rsid w:val="00E4651D"/>
    <w:rsid w:val="00E5419E"/>
    <w:rsid w:val="00E56627"/>
    <w:rsid w:val="00E6030B"/>
    <w:rsid w:val="00E61D0F"/>
    <w:rsid w:val="00E65F6A"/>
    <w:rsid w:val="00E724F1"/>
    <w:rsid w:val="00E73DB2"/>
    <w:rsid w:val="00E74185"/>
    <w:rsid w:val="00E745BE"/>
    <w:rsid w:val="00E80214"/>
    <w:rsid w:val="00E879AB"/>
    <w:rsid w:val="00E939D3"/>
    <w:rsid w:val="00EA09EA"/>
    <w:rsid w:val="00EA1E2C"/>
    <w:rsid w:val="00EA533F"/>
    <w:rsid w:val="00EC149D"/>
    <w:rsid w:val="00EE78C9"/>
    <w:rsid w:val="00EF2891"/>
    <w:rsid w:val="00EF4C56"/>
    <w:rsid w:val="00EF5D25"/>
    <w:rsid w:val="00F0178A"/>
    <w:rsid w:val="00F03FBC"/>
    <w:rsid w:val="00F12A79"/>
    <w:rsid w:val="00F16863"/>
    <w:rsid w:val="00F17177"/>
    <w:rsid w:val="00F27423"/>
    <w:rsid w:val="00F323FA"/>
    <w:rsid w:val="00F3718A"/>
    <w:rsid w:val="00F41B42"/>
    <w:rsid w:val="00F433C8"/>
    <w:rsid w:val="00F4664E"/>
    <w:rsid w:val="00F46CA5"/>
    <w:rsid w:val="00F6274A"/>
    <w:rsid w:val="00F6347F"/>
    <w:rsid w:val="00F66EC0"/>
    <w:rsid w:val="00F77D41"/>
    <w:rsid w:val="00FA2E4F"/>
    <w:rsid w:val="00FA3469"/>
    <w:rsid w:val="00FA646B"/>
    <w:rsid w:val="00FC1256"/>
    <w:rsid w:val="00FC37AF"/>
    <w:rsid w:val="00FC65A6"/>
    <w:rsid w:val="00FE0058"/>
    <w:rsid w:val="00FE03AF"/>
    <w:rsid w:val="00FE21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92D30"/>
  <w15:docId w15:val="{ED01F2CB-D86B-43B0-800D-3252FEDB6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517B"/>
    <w:pPr>
      <w:spacing w:after="200" w:line="276" w:lineRule="auto"/>
    </w:pPr>
    <w:rPr>
      <w:rFonts w:cstheme="minorBidi"/>
      <w:sz w:val="24"/>
      <w:szCs w:val="22"/>
    </w:rPr>
  </w:style>
  <w:style w:type="paragraph" w:styleId="1">
    <w:name w:val="heading 1"/>
    <w:basedOn w:val="a"/>
    <w:link w:val="10"/>
    <w:qFormat/>
    <w:rsid w:val="0030517B"/>
    <w:pPr>
      <w:spacing w:before="100" w:beforeAutospacing="1" w:after="100" w:afterAutospacing="1" w:line="240" w:lineRule="auto"/>
      <w:outlineLvl w:val="0"/>
    </w:pPr>
    <w:rPr>
      <w:rFonts w:eastAsia="Times New Roman" w:cs="Times New Roman"/>
      <w:b/>
      <w:bCs/>
      <w:kern w:val="36"/>
      <w:sz w:val="48"/>
      <w:szCs w:val="48"/>
      <w:lang w:val="ru-RU" w:eastAsia="ru-RU"/>
    </w:rPr>
  </w:style>
  <w:style w:type="paragraph" w:styleId="2">
    <w:name w:val="heading 2"/>
    <w:basedOn w:val="a"/>
    <w:next w:val="a"/>
    <w:link w:val="20"/>
    <w:rsid w:val="0030517B"/>
    <w:pPr>
      <w:keepNext/>
      <w:keepLines/>
      <w:pBdr>
        <w:top w:val="nil"/>
        <w:left w:val="nil"/>
        <w:bottom w:val="nil"/>
        <w:right w:val="nil"/>
        <w:between w:val="nil"/>
      </w:pBdr>
      <w:spacing w:before="360" w:after="80"/>
      <w:outlineLvl w:val="1"/>
    </w:pPr>
    <w:rPr>
      <w:rFonts w:eastAsia="Times New Roman" w:cs="Times New Roman"/>
      <w:b/>
      <w:color w:val="000000"/>
      <w:sz w:val="36"/>
      <w:szCs w:val="36"/>
      <w:lang w:val="en-GB" w:eastAsia="ru-RU"/>
    </w:rPr>
  </w:style>
  <w:style w:type="paragraph" w:styleId="3">
    <w:name w:val="heading 3"/>
    <w:basedOn w:val="a"/>
    <w:next w:val="a"/>
    <w:link w:val="30"/>
    <w:rsid w:val="0030517B"/>
    <w:pPr>
      <w:keepNext/>
      <w:keepLines/>
      <w:pBdr>
        <w:top w:val="nil"/>
        <w:left w:val="nil"/>
        <w:bottom w:val="nil"/>
        <w:right w:val="nil"/>
        <w:between w:val="nil"/>
      </w:pBdr>
      <w:spacing w:before="280" w:after="80"/>
      <w:outlineLvl w:val="2"/>
    </w:pPr>
    <w:rPr>
      <w:rFonts w:eastAsia="Times New Roman" w:cs="Times New Roman"/>
      <w:b/>
      <w:color w:val="000000"/>
      <w:sz w:val="28"/>
      <w:szCs w:val="28"/>
      <w:lang w:val="en-GB" w:eastAsia="ru-RU"/>
    </w:rPr>
  </w:style>
  <w:style w:type="paragraph" w:styleId="4">
    <w:name w:val="heading 4"/>
    <w:basedOn w:val="a"/>
    <w:next w:val="a"/>
    <w:link w:val="40"/>
    <w:rsid w:val="0030517B"/>
    <w:pPr>
      <w:keepNext/>
      <w:keepLines/>
      <w:pBdr>
        <w:top w:val="nil"/>
        <w:left w:val="nil"/>
        <w:bottom w:val="nil"/>
        <w:right w:val="nil"/>
        <w:between w:val="nil"/>
      </w:pBdr>
      <w:spacing w:before="240" w:after="40"/>
      <w:outlineLvl w:val="3"/>
    </w:pPr>
    <w:rPr>
      <w:rFonts w:eastAsia="Times New Roman" w:cs="Times New Roman"/>
      <w:b/>
      <w:color w:val="000000"/>
      <w:szCs w:val="24"/>
      <w:lang w:val="en-GB" w:eastAsia="ru-RU"/>
    </w:rPr>
  </w:style>
  <w:style w:type="paragraph" w:styleId="5">
    <w:name w:val="heading 5"/>
    <w:basedOn w:val="a"/>
    <w:next w:val="a"/>
    <w:link w:val="50"/>
    <w:rsid w:val="0030517B"/>
    <w:pPr>
      <w:keepNext/>
      <w:keepLines/>
      <w:pBdr>
        <w:top w:val="nil"/>
        <w:left w:val="nil"/>
        <w:bottom w:val="nil"/>
        <w:right w:val="nil"/>
        <w:between w:val="nil"/>
      </w:pBdr>
      <w:spacing w:before="220" w:after="40"/>
      <w:outlineLvl w:val="4"/>
    </w:pPr>
    <w:rPr>
      <w:rFonts w:eastAsia="Times New Roman" w:cs="Times New Roman"/>
      <w:b/>
      <w:color w:val="000000"/>
      <w:sz w:val="22"/>
      <w:lang w:val="en-GB" w:eastAsia="ru-RU"/>
    </w:rPr>
  </w:style>
  <w:style w:type="paragraph" w:styleId="6">
    <w:name w:val="heading 6"/>
    <w:basedOn w:val="a"/>
    <w:next w:val="a"/>
    <w:link w:val="60"/>
    <w:rsid w:val="0030517B"/>
    <w:pPr>
      <w:keepNext/>
      <w:keepLines/>
      <w:pBdr>
        <w:top w:val="nil"/>
        <w:left w:val="nil"/>
        <w:bottom w:val="nil"/>
        <w:right w:val="nil"/>
        <w:between w:val="nil"/>
      </w:pBdr>
      <w:spacing w:before="200" w:after="40"/>
      <w:outlineLvl w:val="5"/>
    </w:pPr>
    <w:rPr>
      <w:rFonts w:eastAsia="Times New Roman" w:cs="Times New Roman"/>
      <w:b/>
      <w:color w:val="000000"/>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0517B"/>
    <w:rPr>
      <w:rFonts w:eastAsia="Times New Roman"/>
      <w:b/>
      <w:bCs/>
      <w:kern w:val="36"/>
      <w:sz w:val="48"/>
      <w:szCs w:val="48"/>
      <w:lang w:val="ru-RU" w:eastAsia="ru-RU"/>
    </w:rPr>
  </w:style>
  <w:style w:type="character" w:customStyle="1" w:styleId="20">
    <w:name w:val="Заголовок 2 Знак"/>
    <w:basedOn w:val="a0"/>
    <w:link w:val="2"/>
    <w:rsid w:val="0030517B"/>
    <w:rPr>
      <w:rFonts w:eastAsia="Times New Roman"/>
      <w:b/>
      <w:color w:val="000000"/>
      <w:sz w:val="36"/>
      <w:szCs w:val="36"/>
      <w:lang w:val="en-GB" w:eastAsia="ru-RU"/>
    </w:rPr>
  </w:style>
  <w:style w:type="character" w:customStyle="1" w:styleId="30">
    <w:name w:val="Заголовок 3 Знак"/>
    <w:basedOn w:val="a0"/>
    <w:link w:val="3"/>
    <w:rsid w:val="0030517B"/>
    <w:rPr>
      <w:rFonts w:eastAsia="Times New Roman"/>
      <w:b/>
      <w:color w:val="000000"/>
      <w:lang w:val="en-GB" w:eastAsia="ru-RU"/>
    </w:rPr>
  </w:style>
  <w:style w:type="character" w:customStyle="1" w:styleId="40">
    <w:name w:val="Заголовок 4 Знак"/>
    <w:basedOn w:val="a0"/>
    <w:link w:val="4"/>
    <w:rsid w:val="0030517B"/>
    <w:rPr>
      <w:rFonts w:eastAsia="Times New Roman"/>
      <w:b/>
      <w:color w:val="000000"/>
      <w:sz w:val="24"/>
      <w:szCs w:val="24"/>
      <w:lang w:val="en-GB" w:eastAsia="ru-RU"/>
    </w:rPr>
  </w:style>
  <w:style w:type="character" w:customStyle="1" w:styleId="50">
    <w:name w:val="Заголовок 5 Знак"/>
    <w:basedOn w:val="a0"/>
    <w:link w:val="5"/>
    <w:rsid w:val="0030517B"/>
    <w:rPr>
      <w:rFonts w:eastAsia="Times New Roman"/>
      <w:b/>
      <w:color w:val="000000"/>
      <w:sz w:val="22"/>
      <w:szCs w:val="22"/>
      <w:lang w:val="en-GB" w:eastAsia="ru-RU"/>
    </w:rPr>
  </w:style>
  <w:style w:type="character" w:customStyle="1" w:styleId="60">
    <w:name w:val="Заголовок 6 Знак"/>
    <w:basedOn w:val="a0"/>
    <w:link w:val="6"/>
    <w:rsid w:val="0030517B"/>
    <w:rPr>
      <w:rFonts w:eastAsia="Times New Roman"/>
      <w:b/>
      <w:color w:val="000000"/>
      <w:sz w:val="20"/>
      <w:szCs w:val="20"/>
      <w:lang w:val="en-GB" w:eastAsia="ru-RU"/>
    </w:rPr>
  </w:style>
  <w:style w:type="numbering" w:customStyle="1" w:styleId="11">
    <w:name w:val="Нет списка1"/>
    <w:next w:val="a2"/>
    <w:uiPriority w:val="99"/>
    <w:semiHidden/>
    <w:unhideWhenUsed/>
    <w:rsid w:val="0030517B"/>
  </w:style>
  <w:style w:type="character" w:customStyle="1" w:styleId="BodyTextChar">
    <w:name w:val="Body Text Char"/>
    <w:uiPriority w:val="99"/>
    <w:locked/>
    <w:rsid w:val="0030517B"/>
    <w:rPr>
      <w:rFonts w:cs="Times New Roman"/>
      <w:sz w:val="28"/>
      <w:szCs w:val="28"/>
      <w:shd w:val="clear" w:color="auto" w:fill="FFFFFF"/>
    </w:rPr>
  </w:style>
  <w:style w:type="paragraph" w:styleId="a3">
    <w:name w:val="Body Text"/>
    <w:basedOn w:val="a"/>
    <w:link w:val="a4"/>
    <w:uiPriority w:val="99"/>
    <w:rsid w:val="0030517B"/>
    <w:pPr>
      <w:shd w:val="clear" w:color="auto" w:fill="FFFFFF"/>
      <w:spacing w:after="0" w:line="322" w:lineRule="exact"/>
      <w:ind w:hanging="1220"/>
      <w:jc w:val="center"/>
    </w:pPr>
    <w:rPr>
      <w:rFonts w:eastAsia="Calibri" w:cs="Times New Roman"/>
      <w:sz w:val="28"/>
      <w:szCs w:val="28"/>
      <w:lang w:val="ru-RU"/>
    </w:rPr>
  </w:style>
  <w:style w:type="character" w:customStyle="1" w:styleId="a4">
    <w:name w:val="Основной текст Знак"/>
    <w:basedOn w:val="a0"/>
    <w:link w:val="a3"/>
    <w:uiPriority w:val="99"/>
    <w:rsid w:val="0030517B"/>
    <w:rPr>
      <w:rFonts w:eastAsia="Calibri"/>
      <w:shd w:val="clear" w:color="auto" w:fill="FFFFFF"/>
      <w:lang w:val="ru-RU"/>
    </w:rPr>
  </w:style>
  <w:style w:type="character" w:customStyle="1" w:styleId="12">
    <w:name w:val="Основной текст Знак1"/>
    <w:uiPriority w:val="99"/>
    <w:semiHidden/>
    <w:rsid w:val="0030517B"/>
    <w:rPr>
      <w:rFonts w:cs="Times New Roman"/>
    </w:rPr>
  </w:style>
  <w:style w:type="character" w:styleId="a5">
    <w:name w:val="Hyperlink"/>
    <w:uiPriority w:val="99"/>
    <w:rsid w:val="0030517B"/>
    <w:rPr>
      <w:rFonts w:cs="Times New Roman"/>
      <w:color w:val="0000FF"/>
      <w:u w:val="single"/>
    </w:rPr>
  </w:style>
  <w:style w:type="paragraph" w:customStyle="1" w:styleId="pp-last">
    <w:name w:val="p p-last"/>
    <w:basedOn w:val="a"/>
    <w:uiPriority w:val="99"/>
    <w:rsid w:val="0030517B"/>
    <w:pPr>
      <w:spacing w:before="100" w:beforeAutospacing="1" w:after="100" w:afterAutospacing="1" w:line="240" w:lineRule="auto"/>
    </w:pPr>
    <w:rPr>
      <w:rFonts w:eastAsia="Times New Roman" w:cs="Times New Roman"/>
      <w:szCs w:val="24"/>
      <w:lang w:val="ru-RU" w:eastAsia="ru-RU"/>
    </w:rPr>
  </w:style>
  <w:style w:type="paragraph" w:styleId="a6">
    <w:name w:val="Normal (Web)"/>
    <w:basedOn w:val="a"/>
    <w:rsid w:val="0030517B"/>
    <w:pPr>
      <w:spacing w:before="100" w:beforeAutospacing="1" w:after="100" w:afterAutospacing="1" w:line="240" w:lineRule="auto"/>
    </w:pPr>
    <w:rPr>
      <w:rFonts w:eastAsia="Times New Roman" w:cs="Times New Roman"/>
      <w:szCs w:val="24"/>
      <w:lang w:val="ru-RU" w:eastAsia="ru-RU"/>
    </w:rPr>
  </w:style>
  <w:style w:type="character" w:customStyle="1" w:styleId="refauthors">
    <w:name w:val="refauthors"/>
    <w:rsid w:val="0030517B"/>
    <w:rPr>
      <w:rFonts w:cs="Times New Roman"/>
    </w:rPr>
  </w:style>
  <w:style w:type="paragraph" w:customStyle="1" w:styleId="pp-first">
    <w:name w:val="p p-first"/>
    <w:basedOn w:val="a"/>
    <w:uiPriority w:val="99"/>
    <w:rsid w:val="0030517B"/>
    <w:pPr>
      <w:spacing w:before="100" w:beforeAutospacing="1" w:after="100" w:afterAutospacing="1" w:line="240" w:lineRule="auto"/>
    </w:pPr>
    <w:rPr>
      <w:rFonts w:eastAsia="Times New Roman" w:cs="Times New Roman"/>
      <w:szCs w:val="24"/>
      <w:lang w:val="ru-RU" w:eastAsia="ru-RU"/>
    </w:rPr>
  </w:style>
  <w:style w:type="character" w:customStyle="1" w:styleId="132">
    <w:name w:val="Основной текст + 132"/>
    <w:aliases w:val="5 pt6"/>
    <w:uiPriority w:val="99"/>
    <w:rsid w:val="0030517B"/>
    <w:rPr>
      <w:rFonts w:ascii="Times New Roman" w:hAnsi="Times New Roman" w:cs="Times New Roman"/>
      <w:spacing w:val="0"/>
      <w:sz w:val="27"/>
      <w:szCs w:val="27"/>
      <w:shd w:val="clear" w:color="auto" w:fill="FFFFFF"/>
    </w:rPr>
  </w:style>
  <w:style w:type="paragraph" w:styleId="a7">
    <w:name w:val="List Paragraph"/>
    <w:basedOn w:val="a"/>
    <w:uiPriority w:val="34"/>
    <w:qFormat/>
    <w:rsid w:val="0030517B"/>
    <w:pPr>
      <w:ind w:left="720"/>
      <w:contextualSpacing/>
    </w:pPr>
    <w:rPr>
      <w:rFonts w:ascii="Calibri" w:eastAsia="Times New Roman" w:hAnsi="Calibri" w:cs="Times New Roman"/>
      <w:sz w:val="22"/>
      <w:lang w:val="ru-RU" w:eastAsia="ru-RU"/>
    </w:rPr>
  </w:style>
  <w:style w:type="character" w:customStyle="1" w:styleId="reference">
    <w:name w:val="reference"/>
    <w:rsid w:val="0030517B"/>
  </w:style>
  <w:style w:type="character" w:customStyle="1" w:styleId="reftitle">
    <w:name w:val="reftitle"/>
    <w:rsid w:val="0030517B"/>
  </w:style>
  <w:style w:type="character" w:customStyle="1" w:styleId="refseriestitle">
    <w:name w:val="refseriestitle"/>
    <w:rsid w:val="0030517B"/>
  </w:style>
  <w:style w:type="character" w:customStyle="1" w:styleId="refseriesdate">
    <w:name w:val="refseriesdate"/>
    <w:rsid w:val="0030517B"/>
  </w:style>
  <w:style w:type="character" w:customStyle="1" w:styleId="refseriesvolume">
    <w:name w:val="refseriesvolume"/>
    <w:rsid w:val="0030517B"/>
  </w:style>
  <w:style w:type="character" w:customStyle="1" w:styleId="refpages">
    <w:name w:val="refpages"/>
    <w:rsid w:val="0030517B"/>
  </w:style>
  <w:style w:type="character" w:customStyle="1" w:styleId="autoren">
    <w:name w:val="autoren"/>
    <w:rsid w:val="0030517B"/>
  </w:style>
  <w:style w:type="character" w:customStyle="1" w:styleId="color">
    <w:name w:val="color"/>
    <w:rsid w:val="0030517B"/>
  </w:style>
  <w:style w:type="character" w:customStyle="1" w:styleId="cit">
    <w:name w:val="cit"/>
    <w:rsid w:val="0030517B"/>
  </w:style>
  <w:style w:type="character" w:customStyle="1" w:styleId="element-citation">
    <w:name w:val="element-citation"/>
    <w:rsid w:val="0030517B"/>
  </w:style>
  <w:style w:type="character" w:customStyle="1" w:styleId="ref-journal">
    <w:name w:val="ref-journal"/>
    <w:rsid w:val="0030517B"/>
  </w:style>
  <w:style w:type="character" w:customStyle="1" w:styleId="ref-vol">
    <w:name w:val="ref-vol"/>
    <w:rsid w:val="0030517B"/>
  </w:style>
  <w:style w:type="character" w:styleId="a8">
    <w:name w:val="Strong"/>
    <w:qFormat/>
    <w:rsid w:val="0030517B"/>
    <w:rPr>
      <w:b/>
      <w:bCs/>
    </w:rPr>
  </w:style>
  <w:style w:type="table" w:styleId="a9">
    <w:name w:val="Table Grid"/>
    <w:basedOn w:val="a1"/>
    <w:rsid w:val="0030517B"/>
    <w:pPr>
      <w:spacing w:after="0" w:line="240" w:lineRule="auto"/>
    </w:pPr>
    <w:rPr>
      <w:rFonts w:eastAsia="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Нет списка2"/>
    <w:next w:val="a2"/>
    <w:uiPriority w:val="99"/>
    <w:semiHidden/>
    <w:unhideWhenUsed/>
    <w:rsid w:val="0030517B"/>
  </w:style>
  <w:style w:type="paragraph" w:styleId="aa">
    <w:name w:val="Balloon Text"/>
    <w:basedOn w:val="a"/>
    <w:link w:val="ab"/>
    <w:uiPriority w:val="99"/>
    <w:semiHidden/>
    <w:rsid w:val="0030517B"/>
    <w:pPr>
      <w:spacing w:after="0" w:line="240" w:lineRule="auto"/>
    </w:pPr>
    <w:rPr>
      <w:rFonts w:ascii="Tahoma" w:eastAsia="Times New Roman" w:hAnsi="Tahoma" w:cs="Tahoma"/>
      <w:sz w:val="16"/>
      <w:szCs w:val="16"/>
      <w:lang w:val="ru-RU"/>
    </w:rPr>
  </w:style>
  <w:style w:type="character" w:customStyle="1" w:styleId="ab">
    <w:name w:val="Текст выноски Знак"/>
    <w:basedOn w:val="a0"/>
    <w:link w:val="aa"/>
    <w:uiPriority w:val="99"/>
    <w:semiHidden/>
    <w:rsid w:val="0030517B"/>
    <w:rPr>
      <w:rFonts w:ascii="Tahoma" w:eastAsia="Times New Roman" w:hAnsi="Tahoma" w:cs="Tahoma"/>
      <w:sz w:val="16"/>
      <w:szCs w:val="16"/>
      <w:lang w:val="ru-RU"/>
    </w:rPr>
  </w:style>
  <w:style w:type="numbering" w:customStyle="1" w:styleId="31">
    <w:name w:val="Нет списка3"/>
    <w:next w:val="a2"/>
    <w:uiPriority w:val="99"/>
    <w:semiHidden/>
    <w:unhideWhenUsed/>
    <w:rsid w:val="0030517B"/>
  </w:style>
  <w:style w:type="paragraph" w:customStyle="1" w:styleId="13">
    <w:name w:val="Без интервала1"/>
    <w:basedOn w:val="a"/>
    <w:link w:val="NoSpacingChar"/>
    <w:uiPriority w:val="99"/>
    <w:rsid w:val="0030517B"/>
    <w:pPr>
      <w:spacing w:after="0" w:line="240" w:lineRule="auto"/>
    </w:pPr>
    <w:rPr>
      <w:rFonts w:eastAsia="SimSun" w:cs="Times New Roman"/>
      <w:szCs w:val="24"/>
      <w:lang w:val="ru-RU" w:eastAsia="zh-CN"/>
    </w:rPr>
  </w:style>
  <w:style w:type="character" w:customStyle="1" w:styleId="NoSpacingChar">
    <w:name w:val="No Spacing Char"/>
    <w:link w:val="13"/>
    <w:uiPriority w:val="99"/>
    <w:locked/>
    <w:rsid w:val="0030517B"/>
    <w:rPr>
      <w:rFonts w:eastAsia="SimSun"/>
      <w:sz w:val="24"/>
      <w:szCs w:val="24"/>
      <w:lang w:val="ru-RU" w:eastAsia="zh-CN"/>
    </w:rPr>
  </w:style>
  <w:style w:type="paragraph" w:styleId="ac">
    <w:name w:val="No Spacing"/>
    <w:uiPriority w:val="1"/>
    <w:qFormat/>
    <w:rsid w:val="0030517B"/>
    <w:pPr>
      <w:spacing w:after="0" w:line="240" w:lineRule="auto"/>
    </w:pPr>
  </w:style>
  <w:style w:type="numbering" w:customStyle="1" w:styleId="41">
    <w:name w:val="Нет списка4"/>
    <w:next w:val="a2"/>
    <w:uiPriority w:val="99"/>
    <w:semiHidden/>
    <w:unhideWhenUsed/>
    <w:rsid w:val="0030517B"/>
  </w:style>
  <w:style w:type="table" w:customStyle="1" w:styleId="TableNormal">
    <w:name w:val="Table Normal"/>
    <w:rsid w:val="0030517B"/>
    <w:pPr>
      <w:pBdr>
        <w:top w:val="nil"/>
        <w:left w:val="nil"/>
        <w:bottom w:val="nil"/>
        <w:right w:val="nil"/>
        <w:between w:val="nil"/>
      </w:pBdr>
      <w:spacing w:after="200" w:line="276" w:lineRule="auto"/>
    </w:pPr>
    <w:rPr>
      <w:rFonts w:eastAsia="Times New Roman"/>
      <w:color w:val="000000"/>
      <w:lang w:val="en-GB" w:eastAsia="ru-RU"/>
    </w:rPr>
    <w:tblPr>
      <w:tblCellMar>
        <w:top w:w="0" w:type="dxa"/>
        <w:left w:w="0" w:type="dxa"/>
        <w:bottom w:w="0" w:type="dxa"/>
        <w:right w:w="0" w:type="dxa"/>
      </w:tblCellMar>
    </w:tblPr>
  </w:style>
  <w:style w:type="paragraph" w:styleId="ad">
    <w:name w:val="Title"/>
    <w:basedOn w:val="a"/>
    <w:next w:val="a"/>
    <w:link w:val="ae"/>
    <w:rsid w:val="0030517B"/>
    <w:pPr>
      <w:keepNext/>
      <w:keepLines/>
      <w:pBdr>
        <w:top w:val="nil"/>
        <w:left w:val="nil"/>
        <w:bottom w:val="nil"/>
        <w:right w:val="nil"/>
        <w:between w:val="nil"/>
      </w:pBdr>
      <w:spacing w:before="480" w:after="120"/>
    </w:pPr>
    <w:rPr>
      <w:rFonts w:eastAsia="Times New Roman" w:cs="Times New Roman"/>
      <w:b/>
      <w:color w:val="000000"/>
      <w:sz w:val="72"/>
      <w:szCs w:val="72"/>
      <w:lang w:val="en-GB" w:eastAsia="ru-RU"/>
    </w:rPr>
  </w:style>
  <w:style w:type="character" w:customStyle="1" w:styleId="ae">
    <w:name w:val="Заголовок Знак"/>
    <w:basedOn w:val="a0"/>
    <w:link w:val="ad"/>
    <w:rsid w:val="0030517B"/>
    <w:rPr>
      <w:rFonts w:eastAsia="Times New Roman"/>
      <w:b/>
      <w:color w:val="000000"/>
      <w:sz w:val="72"/>
      <w:szCs w:val="72"/>
      <w:lang w:val="en-GB" w:eastAsia="ru-RU"/>
    </w:rPr>
  </w:style>
  <w:style w:type="paragraph" w:styleId="af">
    <w:name w:val="Subtitle"/>
    <w:basedOn w:val="a"/>
    <w:next w:val="a"/>
    <w:link w:val="af0"/>
    <w:rsid w:val="0030517B"/>
    <w:pPr>
      <w:keepNext/>
      <w:keepLines/>
      <w:pBdr>
        <w:top w:val="nil"/>
        <w:left w:val="nil"/>
        <w:bottom w:val="nil"/>
        <w:right w:val="nil"/>
        <w:between w:val="nil"/>
      </w:pBdr>
      <w:spacing w:before="360" w:after="80"/>
    </w:pPr>
    <w:rPr>
      <w:rFonts w:ascii="Georgia" w:eastAsia="Georgia" w:hAnsi="Georgia" w:cs="Georgia"/>
      <w:i/>
      <w:color w:val="666666"/>
      <w:sz w:val="48"/>
      <w:szCs w:val="48"/>
      <w:lang w:val="en-GB" w:eastAsia="ru-RU"/>
    </w:rPr>
  </w:style>
  <w:style w:type="character" w:customStyle="1" w:styleId="af0">
    <w:name w:val="Подзаголовок Знак"/>
    <w:basedOn w:val="a0"/>
    <w:link w:val="af"/>
    <w:rsid w:val="0030517B"/>
    <w:rPr>
      <w:rFonts w:ascii="Georgia" w:eastAsia="Georgia" w:hAnsi="Georgia" w:cs="Georgia"/>
      <w:i/>
      <w:color w:val="666666"/>
      <w:sz w:val="48"/>
      <w:szCs w:val="48"/>
      <w:lang w:val="en-GB" w:eastAsia="ru-RU"/>
    </w:rPr>
  </w:style>
  <w:style w:type="character" w:customStyle="1" w:styleId="highlight">
    <w:name w:val="highlight"/>
    <w:basedOn w:val="a0"/>
    <w:rsid w:val="0030517B"/>
  </w:style>
  <w:style w:type="paragraph" w:styleId="af1">
    <w:name w:val="header"/>
    <w:basedOn w:val="a"/>
    <w:link w:val="af2"/>
    <w:uiPriority w:val="99"/>
    <w:unhideWhenUsed/>
    <w:rsid w:val="0030517B"/>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30517B"/>
    <w:rPr>
      <w:rFonts w:cstheme="minorBidi"/>
      <w:sz w:val="24"/>
      <w:szCs w:val="22"/>
    </w:rPr>
  </w:style>
  <w:style w:type="paragraph" w:styleId="af3">
    <w:name w:val="footer"/>
    <w:basedOn w:val="a"/>
    <w:link w:val="af4"/>
    <w:uiPriority w:val="99"/>
    <w:unhideWhenUsed/>
    <w:rsid w:val="0030517B"/>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30517B"/>
    <w:rPr>
      <w:rFonts w:cstheme="minorBidi"/>
      <w:sz w:val="24"/>
      <w:szCs w:val="22"/>
    </w:rPr>
  </w:style>
  <w:style w:type="paragraph" w:customStyle="1" w:styleId="Style1">
    <w:name w:val="Style1"/>
    <w:basedOn w:val="a"/>
    <w:rsid w:val="0016277E"/>
    <w:pPr>
      <w:widowControl w:val="0"/>
      <w:autoSpaceDE w:val="0"/>
      <w:autoSpaceDN w:val="0"/>
      <w:adjustRightInd w:val="0"/>
      <w:spacing w:after="0" w:line="240" w:lineRule="auto"/>
      <w:jc w:val="center"/>
    </w:pPr>
    <w:rPr>
      <w:rFonts w:eastAsia="Times New Roman" w:cs="Times New Roman"/>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mc/articles/PMC3267057/" TargetMode="External"/><Relationship Id="rId299" Type="http://schemas.openxmlformats.org/officeDocument/2006/relationships/hyperlink" Target="https://www.ncbi.nlm.nih.gov/pubmed/?term=Bayer%20A%5BAuthor%5D&amp;cauthor=true&amp;cauthor_uid=28552640" TargetMode="External"/><Relationship Id="rId303" Type="http://schemas.openxmlformats.org/officeDocument/2006/relationships/hyperlink" Target="https://www.ncbi.nlm.nih.gov/pubmed/28552640" TargetMode="External"/><Relationship Id="rId21" Type="http://schemas.openxmlformats.org/officeDocument/2006/relationships/chart" Target="charts/chart3.xml"/><Relationship Id="rId42" Type="http://schemas.openxmlformats.org/officeDocument/2006/relationships/image" Target="media/image17.emf"/><Relationship Id="rId63" Type="http://schemas.openxmlformats.org/officeDocument/2006/relationships/hyperlink" Target="https://www.ncbi.nlm.nih.gov/pubmed/?term=Virgin%20F%5BAuthor%5D&amp;cauthor=true&amp;cauthor_uid=27034873" TargetMode="External"/><Relationship Id="rId84" Type="http://schemas.openxmlformats.org/officeDocument/2006/relationships/hyperlink" Target="https://www.ncbi.nlm.nih.gov/pmc/articles/PMC4587576/" TargetMode="External"/><Relationship Id="rId138" Type="http://schemas.openxmlformats.org/officeDocument/2006/relationships/hyperlink" Target="https://www.ncbi.nlm.nih.gov/pubmed/?term=Piccioni%20M%5BAuthor%5D&amp;cauthor=true&amp;cauthor_uid=26927898" TargetMode="External"/><Relationship Id="rId159" Type="http://schemas.openxmlformats.org/officeDocument/2006/relationships/hyperlink" Target="https://www.ncbi.nlm.nih.gov/pubmed/?term=Wang%20AY%5BAuthor%5D&amp;cauthor=true&amp;cauthor_uid=29623203" TargetMode="External"/><Relationship Id="rId324" Type="http://schemas.openxmlformats.org/officeDocument/2006/relationships/hyperlink" Target="https://www.ncbi.nlm.nih.gov/pmc/articles/PMC5142469/" TargetMode="External"/><Relationship Id="rId345" Type="http://schemas.openxmlformats.org/officeDocument/2006/relationships/hyperlink" Target="https://www.ncbi.nlm.nih.gov/pubmed/?term=Krzyszczyk%20P%5BAuthor%5D&amp;cauthor=true&amp;cauthor_uid=29765329" TargetMode="External"/><Relationship Id="rId170" Type="http://schemas.openxmlformats.org/officeDocument/2006/relationships/hyperlink" Target="https://www.ncbi.nlm.nih.gov/pubmed/27959277" TargetMode="External"/><Relationship Id="rId191" Type="http://schemas.openxmlformats.org/officeDocument/2006/relationships/hyperlink" Target="https://www.ncbi.nlm.nih.gov/pubmed/?term=Takumi%20S%5BAuthor%5D&amp;cauthor=true&amp;cauthor_uid=28209294" TargetMode="External"/><Relationship Id="rId205" Type="http://schemas.openxmlformats.org/officeDocument/2006/relationships/hyperlink" Target="https://www.ncbi.nlm.nih.gov/pubmed/?term=Ma%20B%5BAuthor%5D&amp;cauthor=true&amp;cauthor_uid=28316164" TargetMode="External"/><Relationship Id="rId226" Type="http://schemas.openxmlformats.org/officeDocument/2006/relationships/hyperlink" Target="https://www.ncbi.nlm.nih.gov/pubmed/?term=Jablonka%20EM%5BAuthor%5D&amp;cauthor=true&amp;cauthor_uid=23027220" TargetMode="External"/><Relationship Id="rId247" Type="http://schemas.openxmlformats.org/officeDocument/2006/relationships/hyperlink" Target="https://www.ncbi.nlm.nih.gov/pubmed/?term=Singh%20S%5BAuthor%5D&amp;cauthor=true&amp;cauthor_uid=24163562" TargetMode="External"/><Relationship Id="rId107" Type="http://schemas.openxmlformats.org/officeDocument/2006/relationships/hyperlink" Target="https://www.ncbi.nlm.nih.gov/pubmed/?term=Carone%20L%5BAuthor%5D&amp;cauthor=true&amp;cauthor_uid=24046795" TargetMode="External"/><Relationship Id="rId268" Type="http://schemas.openxmlformats.org/officeDocument/2006/relationships/hyperlink" Target="https://www.ncbi.nlm.nih.gov/pubmed/?term=Anitua%20E%5BAuthor%5D&amp;cauthor=true&amp;cauthor_uid=14691563" TargetMode="External"/><Relationship Id="rId289" Type="http://schemas.openxmlformats.org/officeDocument/2006/relationships/hyperlink" Target="https://www.ncbi.nlm.nih.gov/pubmed/?term=Niu%20Z%5BAuthor%5D&amp;cauthor=true&amp;cauthor_uid=24993354" TargetMode="External"/><Relationship Id="rId11" Type="http://schemas.openxmlformats.org/officeDocument/2006/relationships/hyperlink" Target="https://www.ncbi.nlm.nih.gov/pubmed/?term=Bayer%20A%5BAuthor%5D&amp;cauthor=true&amp;cauthor_uid=28552640" TargetMode="External"/><Relationship Id="rId32" Type="http://schemas.openxmlformats.org/officeDocument/2006/relationships/image" Target="media/image13.jpeg"/><Relationship Id="rId53" Type="http://schemas.openxmlformats.org/officeDocument/2006/relationships/hyperlink" Target="https://www.ncbi.nlm.nih.gov/pubmed/?term=Muller%20S%5BAuthor%5D&amp;cauthor=true&amp;cauthor_uid=25421295" TargetMode="External"/><Relationship Id="rId74" Type="http://schemas.openxmlformats.org/officeDocument/2006/relationships/hyperlink" Target="https://www.ncbi.nlm.nih.gov/pubmed/?term=HE%20Y%5BAuthor%5D&amp;cauthor=true&amp;cauthor_uid=26893692" TargetMode="External"/><Relationship Id="rId128" Type="http://schemas.openxmlformats.org/officeDocument/2006/relationships/hyperlink" Target="https://www.ncbi.nlm.nih.gov/pubmed/?term=Goff%20CJ%5BAuthor%5D&amp;cauthor=true&amp;cauthor_uid=23128685" TargetMode="External"/><Relationship Id="rId149" Type="http://schemas.openxmlformats.org/officeDocument/2006/relationships/hyperlink" Target="https://www.ncbi.nlm.nih.gov/pubmed/29305009" TargetMode="External"/><Relationship Id="rId314" Type="http://schemas.openxmlformats.org/officeDocument/2006/relationships/hyperlink" Target="https://www.ncbi.nlm.nih.gov/pubmed/?term=Soffer%20E%5BAuthor%5D&amp;cauthor=true&amp;cauthor_uid=12738942" TargetMode="External"/><Relationship Id="rId335" Type="http://schemas.openxmlformats.org/officeDocument/2006/relationships/hyperlink" Target="https://www.ncbi.nlm.nih.gov/pmc/articles/PMC4863483/" TargetMode="External"/><Relationship Id="rId5" Type="http://schemas.openxmlformats.org/officeDocument/2006/relationships/webSettings" Target="webSettings.xml"/><Relationship Id="rId95" Type="http://schemas.openxmlformats.org/officeDocument/2006/relationships/hyperlink" Target="https://www.ncbi.nlm.nih.gov/pubmed/?term=Chavan%20S%5BAuthor%5D&amp;cauthor=true&amp;cauthor_uid=24959062" TargetMode="External"/><Relationship Id="rId160" Type="http://schemas.openxmlformats.org/officeDocument/2006/relationships/hyperlink" Target="https://www.ncbi.nlm.nih.gov/pmc/articles/PMC5881962/" TargetMode="External"/><Relationship Id="rId181" Type="http://schemas.openxmlformats.org/officeDocument/2006/relationships/hyperlink" Target="https://www.ncbi.nlm.nih.gov/pubmed/?term=Sunaga%20A%5BAuthor%5D&amp;cauthor=true&amp;cauthor_uid=28507865" TargetMode="External"/><Relationship Id="rId216" Type="http://schemas.openxmlformats.org/officeDocument/2006/relationships/hyperlink" Target="https://www.ncbi.nlm.nih.gov/pubmed/?term=Liu%20DQ%5BAuthor%5D&amp;cauthor=true&amp;cauthor_uid=28180922" TargetMode="External"/><Relationship Id="rId237" Type="http://schemas.openxmlformats.org/officeDocument/2006/relationships/hyperlink" Target="https://www.ncbi.nlm.nih.gov/pubmed/?term=Dougall%20GM%5BAuthor%5D&amp;cauthor=true&amp;cauthor_uid=28293527" TargetMode="External"/><Relationship Id="rId258" Type="http://schemas.openxmlformats.org/officeDocument/2006/relationships/hyperlink" Target="https://www.ncbi.nlm.nih.gov/pubmed/21740376" TargetMode="External"/><Relationship Id="rId279" Type="http://schemas.openxmlformats.org/officeDocument/2006/relationships/hyperlink" Target="https://www.ncbi.nlm.nih.gov/pubmed/2045423/" TargetMode="External"/><Relationship Id="rId22" Type="http://schemas.openxmlformats.org/officeDocument/2006/relationships/chart" Target="charts/chart4.xml"/><Relationship Id="rId43" Type="http://schemas.openxmlformats.org/officeDocument/2006/relationships/image" Target="media/image18.emf"/><Relationship Id="rId64" Type="http://schemas.openxmlformats.org/officeDocument/2006/relationships/hyperlink" Target="https://www.ncbi.nlm.nih.gov/pubmed/?term=Wootten%20C%5BAuthor%5D&amp;cauthor=true&amp;cauthor_uid=27034873" TargetMode="External"/><Relationship Id="rId118" Type="http://schemas.openxmlformats.org/officeDocument/2006/relationships/hyperlink" Target="https://www.ncbi.nlm.nih.gov/pubmed/?term=Al-Ashaa%20Y%5BAuthor%5D&amp;cauthor=true&amp;cauthor_uid=21857866" TargetMode="External"/><Relationship Id="rId139" Type="http://schemas.openxmlformats.org/officeDocument/2006/relationships/hyperlink" Target="https://www.ncbi.nlm.nih.gov/pubmed/?term=Bottazzoli%20M%5BAuthor%5D&amp;cauthor=true&amp;cauthor_uid=26927898" TargetMode="External"/><Relationship Id="rId290" Type="http://schemas.openxmlformats.org/officeDocument/2006/relationships/hyperlink" Target="https://www.ncbi.nlm.nih.gov/pubmed/?term=Xue%20Y%5BAuthor%5D&amp;cauthor=true&amp;cauthor_uid=24993354" TargetMode="External"/><Relationship Id="rId304" Type="http://schemas.openxmlformats.org/officeDocument/2006/relationships/hyperlink" Target="https://www.ncbi.nlm.nih.gov/pubmed/?term=Ding%20Y%5BAuthor%5D&amp;cauthor=true&amp;cauthor_uid=28650409" TargetMode="External"/><Relationship Id="rId325" Type="http://schemas.openxmlformats.org/officeDocument/2006/relationships/hyperlink" Target="https://www.ncbi.nlm.nih.gov/pubmed/?term=Bilginaylar%20K%5BAuthor%5D&amp;cauthor=true&amp;cauthor_uid=28458932" TargetMode="External"/><Relationship Id="rId346" Type="http://schemas.openxmlformats.org/officeDocument/2006/relationships/hyperlink" Target="https://www.ncbi.nlm.nih.gov/pubmed/?term=Krzyszczyk%20P%5BAuthor%5D&amp;cauthor=true&amp;cauthor_uid=29765329" TargetMode="External"/><Relationship Id="rId85" Type="http://schemas.openxmlformats.org/officeDocument/2006/relationships/hyperlink" Target="https://www.ncbi.nlm.nih.gov/pubmed/?term=Horvath%20D%5BAuthor%5D&amp;cauthor=true&amp;cauthor_uid=26863817" TargetMode="External"/><Relationship Id="rId150" Type="http://schemas.openxmlformats.org/officeDocument/2006/relationships/hyperlink" Target="https://www.ncbi.nlm.nih.gov/pubmed/?term=Narayana%20Moorthy%20S%5BAuthor%5D&amp;cauthor=true&amp;cauthor_uid=22211034" TargetMode="External"/><Relationship Id="rId171" Type="http://schemas.openxmlformats.org/officeDocument/2006/relationships/hyperlink" Target="https://www.ncbi.nlm.nih.gov/pubmed/?term=Ogawa%20R%5BAuthor%5D&amp;cauthor=true&amp;cauthor_uid=28287424" TargetMode="External"/><Relationship Id="rId192" Type="http://schemas.openxmlformats.org/officeDocument/2006/relationships/hyperlink" Target="https://www.ncbi.nlm.nih.gov/pubmed/?term=Shirai%20K%5BAuthor%5D&amp;cauthor=true&amp;cauthor_uid=28209294" TargetMode="External"/><Relationship Id="rId206" Type="http://schemas.openxmlformats.org/officeDocument/2006/relationships/hyperlink" Target="https://www.ncbi.nlm.nih.gov/pubmed/?term=Xia%20ZF%5BAuthor%5D&amp;cauthor=true&amp;cauthor_uid=28316164" TargetMode="External"/><Relationship Id="rId227" Type="http://schemas.openxmlformats.org/officeDocument/2006/relationships/hyperlink" Target="https://www.ncbi.nlm.nih.gov/pubmed/?term=Sherris%20DA%5BAuthor%5D&amp;cauthor=true&amp;cauthor_uid=23027220" TargetMode="External"/><Relationship Id="rId248" Type="http://schemas.openxmlformats.org/officeDocument/2006/relationships/hyperlink" Target="https://www.ncbi.nlm.nih.gov/pubmed/?term=Singh%20R%5BAuthor%5D&amp;cauthor=true&amp;cauthor_uid=24163562" TargetMode="External"/><Relationship Id="rId269" Type="http://schemas.openxmlformats.org/officeDocument/2006/relationships/hyperlink" Target="https://www.ncbi.nlm.nih.gov/pubmed/?term=Andia%20I%5BAuthor%5D&amp;cauthor=true&amp;cauthor_uid=14691563" TargetMode="External"/><Relationship Id="rId12" Type="http://schemas.openxmlformats.org/officeDocument/2006/relationships/hyperlink" Target="https://www.ncbi.nlm.nih.gov/pubmed/?term=Doiphode%20AM%5BAuthor%5D&amp;cauthor=true&amp;cauthor_uid=27195227" TargetMode="External"/><Relationship Id="rId33" Type="http://schemas.openxmlformats.org/officeDocument/2006/relationships/chart" Target="charts/chart5.xml"/><Relationship Id="rId108" Type="http://schemas.openxmlformats.org/officeDocument/2006/relationships/hyperlink" Target="https://www.ncbi.nlm.nih.gov/pmc/articles/PMC3774901/" TargetMode="External"/><Relationship Id="rId129" Type="http://schemas.openxmlformats.org/officeDocument/2006/relationships/hyperlink" Target="https://www.ncbi.nlm.nih.gov/pubmed/?term=Allred%20C%5BAuthor%5D&amp;cauthor=true&amp;cauthor_uid=23128685" TargetMode="External"/><Relationship Id="rId280" Type="http://schemas.openxmlformats.org/officeDocument/2006/relationships/hyperlink" Target="https://www.ncbi.nlm.nih.gov/pubmed/?term=Bansal%20M%5BAuthor%5D&amp;cauthor=true&amp;cauthor_uid=27761092" TargetMode="External"/><Relationship Id="rId315" Type="http://schemas.openxmlformats.org/officeDocument/2006/relationships/hyperlink" Target="https://www.ncbi.nlm.nih.gov/pubmed/?term=Ouhayoun%20JP%5BAuthor%5D&amp;cauthor=true&amp;cauthor_uid=12738942" TargetMode="External"/><Relationship Id="rId336" Type="http://schemas.openxmlformats.org/officeDocument/2006/relationships/hyperlink" Target="https://www.ncbi.nlm.nih.gov/pubmed/?term=Cortese%20A%5BAuthor%5D&amp;cauthor=true&amp;cauthor_uid=27255572" TargetMode="External"/><Relationship Id="rId54" Type="http://schemas.openxmlformats.org/officeDocument/2006/relationships/hyperlink" Target="https://www.ncbi.nlm.nih.gov/pubmed/?term=Aiken%20A%5BAuthor%5D&amp;cauthor=true&amp;cauthor_uid=25421295" TargetMode="External"/><Relationship Id="rId75" Type="http://schemas.openxmlformats.org/officeDocument/2006/relationships/hyperlink" Target="https://www.ncbi.nlm.nih.gov/pmc/articles/PMC4733956/" TargetMode="External"/><Relationship Id="rId96" Type="http://schemas.openxmlformats.org/officeDocument/2006/relationships/hyperlink" Target="https://www.ncbi.nlm.nih.gov/pubmed/?term=Deshmukh%20R%5BAuthor%5D&amp;cauthor=true&amp;cauthor_uid=24959062" TargetMode="External"/><Relationship Id="rId140" Type="http://schemas.openxmlformats.org/officeDocument/2006/relationships/hyperlink" Target="https://www.ncbi.nlm.nih.gov/pubmed/?term=Nassif%20N%5BAuthor%5D&amp;cauthor=true&amp;cauthor_uid=26927898" TargetMode="External"/><Relationship Id="rId161" Type="http://schemas.openxmlformats.org/officeDocument/2006/relationships/hyperlink" Target="https://www.ncbi.nlm.nih.gov/pubmed/?term=Patigaroo%20SA%5BAuthor%5D&amp;cauthor=true&amp;cauthor_uid=28239589" TargetMode="External"/><Relationship Id="rId182" Type="http://schemas.openxmlformats.org/officeDocument/2006/relationships/hyperlink" Target="https://www.ncbi.nlm.nih.gov/pubmed/?term=Kamochi%20H%5BAuthor%5D&amp;cauthor=true&amp;cauthor_uid=28507865" TargetMode="External"/><Relationship Id="rId217" Type="http://schemas.openxmlformats.org/officeDocument/2006/relationships/hyperlink" Target="https://www.ncbi.nlm.nih.gov/pubmed/?term=Liu%20DQ%5BAuthor%5D&amp;cauthor=true&amp;cauthor_uid=28180922" TargetMode="External"/><Relationship Id="rId6" Type="http://schemas.openxmlformats.org/officeDocument/2006/relationships/footnotes" Target="footnotes.xml"/><Relationship Id="rId238" Type="http://schemas.openxmlformats.org/officeDocument/2006/relationships/hyperlink" Target="https://www.ncbi.nlm.nih.gov/pubmed/?term=Tafuro%20EM%5BAuthor%5D&amp;cauthor=true&amp;cauthor_uid=28293527" TargetMode="External"/><Relationship Id="rId259" Type="http://schemas.openxmlformats.org/officeDocument/2006/relationships/hyperlink" Target="https://www.ncbi.nlm.nih.gov/pubmed/?term=Tamimi%20FM%5BAuthor%5D&amp;cauthor=true&amp;cauthor_uid=17517290" TargetMode="External"/><Relationship Id="rId23" Type="http://schemas.openxmlformats.org/officeDocument/2006/relationships/image" Target="media/image4.jpeg"/><Relationship Id="rId119" Type="http://schemas.openxmlformats.org/officeDocument/2006/relationships/hyperlink" Target="https://www.ncbi.nlm.nih.gov/pubmed/?term=Hefny%20A%5BAuthor%5D&amp;cauthor=true&amp;cauthor_uid=21857866" TargetMode="External"/><Relationship Id="rId270" Type="http://schemas.openxmlformats.org/officeDocument/2006/relationships/hyperlink" Target="https://www.ncbi.nlm.nih.gov/pubmed/?term=Ardanza%20B%5BAuthor%5D&amp;cauthor=true&amp;cauthor_uid=14691563" TargetMode="External"/><Relationship Id="rId291" Type="http://schemas.openxmlformats.org/officeDocument/2006/relationships/hyperlink" Target="https://www.ncbi.nlm.nih.gov/pubmed/24993354" TargetMode="External"/><Relationship Id="rId305" Type="http://schemas.openxmlformats.org/officeDocument/2006/relationships/hyperlink" Target="https://www.ncbi.nlm.nih.gov/pubmed/?term=Cui%20L%5BAuthor%5D&amp;cauthor=true&amp;cauthor_uid=28650409" TargetMode="External"/><Relationship Id="rId326" Type="http://schemas.openxmlformats.org/officeDocument/2006/relationships/hyperlink" Target="https://www.ncbi.nlm.nih.gov/pubmed/?term=Bilginaylar%20K%5BAuthor%5D&amp;cauthor=true&amp;cauthor_uid=28458932" TargetMode="External"/><Relationship Id="rId347" Type="http://schemas.openxmlformats.org/officeDocument/2006/relationships/hyperlink" Target="https://www.ncbi.nlm.nih.gov/pubmed/?term=Schloss%20R%5BAuthor%5D&amp;cauthor=true&amp;cauthor_uid=29765329" TargetMode="External"/><Relationship Id="rId44" Type="http://schemas.openxmlformats.org/officeDocument/2006/relationships/image" Target="media/image19.emf"/><Relationship Id="rId65" Type="http://schemas.openxmlformats.org/officeDocument/2006/relationships/hyperlink" Target="https://www.ncbi.nlm.nih.gov/pmc/articles/PMC4789415/" TargetMode="External"/><Relationship Id="rId86" Type="http://schemas.openxmlformats.org/officeDocument/2006/relationships/hyperlink" Target="https://www.ncbi.nlm.nih.gov/pubmed/?term=Horvath%20D%5BAuthor%5D&amp;cauthor=true&amp;cauthor_uid=26863817" TargetMode="External"/><Relationship Id="rId130" Type="http://schemas.openxmlformats.org/officeDocument/2006/relationships/hyperlink" Target="https://www.ncbi.nlm.nih.gov/pubmed/?term=Glade%20RS%5BAuthor%5D&amp;cauthor=true&amp;cauthor_uid=23128685" TargetMode="External"/><Relationship Id="rId151" Type="http://schemas.openxmlformats.org/officeDocument/2006/relationships/hyperlink" Target="https://www.ncbi.nlm.nih.gov/pubmed/?term=Narayana%20Moorthy%20S%5BAuthor%5D&amp;cauthor=true&amp;cauthor_uid=22211034" TargetMode="External"/><Relationship Id="rId172" Type="http://schemas.openxmlformats.org/officeDocument/2006/relationships/hyperlink" Target="https://www.ncbi.nlm.nih.gov/pubmed/?term=Ogawa%20R%5BAuthor%5D&amp;cauthor=true&amp;cauthor_uid=28287424" TargetMode="External"/><Relationship Id="rId193" Type="http://schemas.openxmlformats.org/officeDocument/2006/relationships/hyperlink" Target="https://www.ncbi.nlm.nih.gov/pubmed/28209294" TargetMode="External"/><Relationship Id="rId207" Type="http://schemas.openxmlformats.org/officeDocument/2006/relationships/hyperlink" Target="https://www.ncbi.nlm.nih.gov/pubmed/28316164" TargetMode="External"/><Relationship Id="rId228" Type="http://schemas.openxmlformats.org/officeDocument/2006/relationships/hyperlink" Target="https://www.ncbi.nlm.nih.gov/pubmed/?term=Gassner%20HG%5BAuthor%5D&amp;cauthor=true&amp;cauthor_uid=23027220" TargetMode="External"/><Relationship Id="rId249" Type="http://schemas.openxmlformats.org/officeDocument/2006/relationships/hyperlink" Target="https://www.ncbi.nlm.nih.gov/pmc/articles/PMC3800395/" TargetMode="External"/><Relationship Id="rId13" Type="http://schemas.openxmlformats.org/officeDocument/2006/relationships/hyperlink" Target="https://www.ncbi.nlm.nih.gov/pubmed/?term=Cortese%20A%5BAuthor%5D&amp;cauthor=true&amp;cauthor_uid=27255572" TargetMode="External"/><Relationship Id="rId109" Type="http://schemas.openxmlformats.org/officeDocument/2006/relationships/hyperlink" Target="https://www.ncbi.nlm.nih.gov/pubmed/?term=Nahata%20V%5BAuthor%5D&amp;cauthor=true&amp;cauthor_uid=27904209" TargetMode="External"/><Relationship Id="rId260" Type="http://schemas.openxmlformats.org/officeDocument/2006/relationships/hyperlink" Target="https://www.ncbi.nlm.nih.gov/pubmed/?term=Montalvo%20S%5BAuthor%5D&amp;cauthor=true&amp;cauthor_uid=17517290" TargetMode="External"/><Relationship Id="rId281" Type="http://schemas.openxmlformats.org/officeDocument/2006/relationships/hyperlink" Target="https://www.ncbi.nlm.nih.gov/pubmed/?term=Kumar%20A%5BAuthor%5D&amp;cauthor=true&amp;cauthor_uid=27761092" TargetMode="External"/><Relationship Id="rId316" Type="http://schemas.openxmlformats.org/officeDocument/2006/relationships/hyperlink" Target="https://www.ncbi.nlm.nih.gov/pubmed/?term=Anagnostou%20F%5BAuthor%5D&amp;cauthor=true&amp;cauthor_uid=12738942" TargetMode="External"/><Relationship Id="rId337" Type="http://schemas.openxmlformats.org/officeDocument/2006/relationships/hyperlink" Target="https://www.ncbi.nlm.nih.gov/pubmed/?term=Caggiano%20M%5BAuthor%5D&amp;cauthor=true&amp;cauthor_uid=27255572" TargetMode="External"/><Relationship Id="rId34" Type="http://schemas.openxmlformats.org/officeDocument/2006/relationships/chart" Target="charts/chart6.xml"/><Relationship Id="rId55" Type="http://schemas.openxmlformats.org/officeDocument/2006/relationships/hyperlink" Target="https://www.ncbi.nlm.nih.gov/pubmed/?term=Magliocca%20K%5BAuthor%5D&amp;cauthor=true&amp;cauthor_uid=25421295" TargetMode="External"/><Relationship Id="rId76" Type="http://schemas.openxmlformats.org/officeDocument/2006/relationships/hyperlink" Target="https://www.ncbi.nlm.nih.gov/pubmed/?term=Bu%C5%82a%20G%5BAuthor%5D&amp;cauthor=true&amp;cauthor_uid=23241572" TargetMode="External"/><Relationship Id="rId97" Type="http://schemas.openxmlformats.org/officeDocument/2006/relationships/hyperlink" Target="https://www.ncbi.nlm.nih.gov/pubmed/?term=Karande%20P%5BAuthor%5D&amp;cauthor=true&amp;cauthor_uid=24959062" TargetMode="External"/><Relationship Id="rId120" Type="http://schemas.openxmlformats.org/officeDocument/2006/relationships/hyperlink" Target="https://www.ncbi.nlm.nih.gov/pubmed/?term=Joshi%20S%5BAuthor%5D&amp;cauthor=true&amp;cauthor_uid=21857866" TargetMode="External"/><Relationship Id="rId141" Type="http://schemas.openxmlformats.org/officeDocument/2006/relationships/hyperlink" Target="https://www.ncbi.nlm.nih.gov/pubmed/?term=Huang%20LD%5BAuthor%5D&amp;cauthor=true&amp;cauthor_uid=26261619" TargetMode="External"/><Relationship Id="rId7" Type="http://schemas.openxmlformats.org/officeDocument/2006/relationships/endnotes" Target="endnotes.xml"/><Relationship Id="rId162" Type="http://schemas.openxmlformats.org/officeDocument/2006/relationships/hyperlink" Target="https://www.ncbi.nlm.nih.gov/pubmed/?term=Patigaroo%20SA%5BAuthor%5D&amp;cauthor=true&amp;cauthor_uid=28239589" TargetMode="External"/><Relationship Id="rId183" Type="http://schemas.openxmlformats.org/officeDocument/2006/relationships/hyperlink" Target="https://www.ncbi.nlm.nih.gov/pubmed/?term=Sarukawa%20S%5BAuthor%5D&amp;cauthor=true&amp;cauthor_uid=28507865" TargetMode="External"/><Relationship Id="rId218" Type="http://schemas.openxmlformats.org/officeDocument/2006/relationships/hyperlink" Target="https://www.ncbi.nlm.nih.gov/pubmed/?term=Li%20XJ%5BAuthor%5D&amp;cauthor=true&amp;cauthor_uid=28180922" TargetMode="External"/><Relationship Id="rId239" Type="http://schemas.openxmlformats.org/officeDocument/2006/relationships/hyperlink" Target="https://www.ncbi.nlm.nih.gov/pmc/articles/PMC5222672/" TargetMode="External"/><Relationship Id="rId250" Type="http://schemas.openxmlformats.org/officeDocument/2006/relationships/hyperlink" Target="https://www.ncbi.nlm.nih.gov/pubmed/?term=Kumar%20KR%5BAuthor%5D&amp;cauthor=true&amp;cauthor_uid=27829743" TargetMode="External"/><Relationship Id="rId271" Type="http://schemas.openxmlformats.org/officeDocument/2006/relationships/hyperlink" Target="https://www.ncbi.nlm.nih.gov/pubmed/14691563" TargetMode="External"/><Relationship Id="rId292" Type="http://schemas.openxmlformats.org/officeDocument/2006/relationships/hyperlink" Target="https://www.ncbi.nlm.nih.gov/pubmed/?term=Castro%20AB%5BAuthor%5D&amp;cauthor=true&amp;cauthor_uid=27783851" TargetMode="External"/><Relationship Id="rId306" Type="http://schemas.openxmlformats.org/officeDocument/2006/relationships/hyperlink" Target="https://www.ncbi.nlm.nih.gov/pubmed/?term=Zhao%20Q%5BAuthor%5D&amp;cauthor=true&amp;cauthor_uid=28650409" TargetMode="External"/><Relationship Id="rId24" Type="http://schemas.openxmlformats.org/officeDocument/2006/relationships/image" Target="media/image5.jpeg"/><Relationship Id="rId45" Type="http://schemas.openxmlformats.org/officeDocument/2006/relationships/image" Target="media/image20.emf"/><Relationship Id="rId66" Type="http://schemas.openxmlformats.org/officeDocument/2006/relationships/hyperlink" Target="https://www.ncbi.nlm.nih.gov/pubmed/?term=McLean%20T%5BAuthor%5D&amp;cauthor=true&amp;cauthor_uid=26004639" TargetMode="External"/><Relationship Id="rId87" Type="http://schemas.openxmlformats.org/officeDocument/2006/relationships/hyperlink" Target="https://www.ncbi.nlm.nih.gov/pubmed/?term=Redl%20P%5BAuthor%5D&amp;cauthor=true&amp;cauthor_uid=26863817" TargetMode="External"/><Relationship Id="rId110" Type="http://schemas.openxmlformats.org/officeDocument/2006/relationships/hyperlink" Target="https://www.ncbi.nlm.nih.gov/pubmed/?term=Nahata%20V%5BAuthor%5D&amp;cauthor=true&amp;cauthor_uid=27904209" TargetMode="External"/><Relationship Id="rId131" Type="http://schemas.openxmlformats.org/officeDocument/2006/relationships/hyperlink" Target="https://www.ncbi.nlm.nih.gov/pubmed/23128685" TargetMode="External"/><Relationship Id="rId327" Type="http://schemas.openxmlformats.org/officeDocument/2006/relationships/hyperlink" Target="https://www.ncbi.nlm.nih.gov/pmc/articles/PMC5385223/" TargetMode="External"/><Relationship Id="rId348" Type="http://schemas.openxmlformats.org/officeDocument/2006/relationships/hyperlink" Target="https://www.ncbi.nlm.nih.gov/pubmed/?term=Palmer%20A%5BAuthor%5D&amp;cauthor=true&amp;cauthor_uid=29765329" TargetMode="External"/><Relationship Id="rId152" Type="http://schemas.openxmlformats.org/officeDocument/2006/relationships/hyperlink" Target="https://www.ncbi.nlm.nih.gov/pubmed/?term=Arcot%20R%5BAuthor%5D&amp;cauthor=true&amp;cauthor_uid=22211034" TargetMode="External"/><Relationship Id="rId173" Type="http://schemas.openxmlformats.org/officeDocument/2006/relationships/hyperlink" Target="https://www.ncbi.nlm.nih.gov/pmc/articles/PMC5372622/" TargetMode="External"/><Relationship Id="rId194" Type="http://schemas.openxmlformats.org/officeDocument/2006/relationships/hyperlink" Target="https://www.ncbi.nlm.nih.gov/pubmed/?term=Zhai%20XX%5BAuthor%5D&amp;cauthor=true&amp;cauthor_uid=28393182" TargetMode="External"/><Relationship Id="rId208" Type="http://schemas.openxmlformats.org/officeDocument/2006/relationships/hyperlink" Target="https://www.ncbi.nlm.nih.gov/pubmed/?term=Goldberg%20DJ%5BAuthor%5D&amp;cauthor=true&amp;cauthor_uid=28210394" TargetMode="External"/><Relationship Id="rId229" Type="http://schemas.openxmlformats.org/officeDocument/2006/relationships/hyperlink" Target="https://www.ncbi.nlm.nih.gov/pubmed/23027220" TargetMode="External"/><Relationship Id="rId240" Type="http://schemas.openxmlformats.org/officeDocument/2006/relationships/hyperlink" Target="https://www.ncbi.nlm.nih.gov/pubmed/?term=Saluja%20H%5BAuthor%5D&amp;cauthor=true&amp;cauthor_uid=23482459" TargetMode="External"/><Relationship Id="rId261" Type="http://schemas.openxmlformats.org/officeDocument/2006/relationships/hyperlink" Target="https://www.ncbi.nlm.nih.gov/pubmed/?term=Tresguerres%20I%5BAuthor%5D&amp;cauthor=true&amp;cauthor_uid=17517290" TargetMode="External"/><Relationship Id="rId14" Type="http://schemas.openxmlformats.org/officeDocument/2006/relationships/hyperlink" Target="http://uk.wikipedia.org/wiki/%D0%93%D0%B5%D0%BC%D0%B0%D1%82%D0%BE%D0%BA%D1%81%D0%B8%D0%BB%D1%96%D0%BD" TargetMode="External"/><Relationship Id="rId35" Type="http://schemas.openxmlformats.org/officeDocument/2006/relationships/chart" Target="charts/chart7.xml"/><Relationship Id="rId56" Type="http://schemas.openxmlformats.org/officeDocument/2006/relationships/hyperlink" Target="https://www.ncbi.nlm.nih.gov/pubmed/?term=Chen%20AY%5BAuthor%5D&amp;cauthor=true&amp;cauthor_uid=25421295" TargetMode="External"/><Relationship Id="rId77" Type="http://schemas.openxmlformats.org/officeDocument/2006/relationships/hyperlink" Target="https://www.ncbi.nlm.nih.gov/pubmed/?term=Waler%20J%5BAuthor%5D&amp;cauthor=true&amp;cauthor_uid=23241572" TargetMode="External"/><Relationship Id="rId100" Type="http://schemas.openxmlformats.org/officeDocument/2006/relationships/hyperlink" Target="https://www.ncbi.nlm.nih.gov/pubmed/?term=Nakazawa%20T%5BAuthor%5D&amp;cauthor=true&amp;cauthor_uid=26496296" TargetMode="External"/><Relationship Id="rId282" Type="http://schemas.openxmlformats.org/officeDocument/2006/relationships/hyperlink" Target="https://www.ncbi.nlm.nih.gov/pubmed/?term=Puri%20K%5BAuthor%5D&amp;cauthor=true&amp;cauthor_uid=27761092" TargetMode="External"/><Relationship Id="rId317" Type="http://schemas.openxmlformats.org/officeDocument/2006/relationships/hyperlink" Target="https://www.ncbi.nlm.nih.gov/pubmed/12738942" TargetMode="External"/><Relationship Id="rId338" Type="http://schemas.openxmlformats.org/officeDocument/2006/relationships/hyperlink" Target="https://www.ncbi.nlm.nih.gov/pubmed/?term=Carlino%20F%5BAuthor%5D&amp;cauthor=true&amp;cauthor_uid=27255572" TargetMode="External"/><Relationship Id="rId8" Type="http://schemas.openxmlformats.org/officeDocument/2006/relationships/header" Target="header1.xml"/><Relationship Id="rId98" Type="http://schemas.openxmlformats.org/officeDocument/2006/relationships/hyperlink" Target="https://www.ncbi.nlm.nih.gov/pubmed/?term=Ingale%20Y%5BAuthor%5D&amp;cauthor=true&amp;cauthor_uid=24959062" TargetMode="External"/><Relationship Id="rId121" Type="http://schemas.openxmlformats.org/officeDocument/2006/relationships/hyperlink" Target="https://www.ncbi.nlm.nih.gov/pmc/articles/PMC3158521/" TargetMode="External"/><Relationship Id="rId142" Type="http://schemas.openxmlformats.org/officeDocument/2006/relationships/hyperlink" Target="https://www.ncbi.nlm.nih.gov/pubmed/?term=Gao%20SQ%5BAuthor%5D&amp;cauthor=true&amp;cauthor_uid=26261619" TargetMode="External"/><Relationship Id="rId163" Type="http://schemas.openxmlformats.org/officeDocument/2006/relationships/hyperlink" Target="https://www.ncbi.nlm.nih.gov/pubmed/?term=Dar%20NH%5BAuthor%5D&amp;cauthor=true&amp;cauthor_uid=28239589" TargetMode="External"/><Relationship Id="rId184" Type="http://schemas.openxmlformats.org/officeDocument/2006/relationships/hyperlink" Target="https://www.ncbi.nlm.nih.gov/pmc/articles/PMC5426884/" TargetMode="External"/><Relationship Id="rId219" Type="http://schemas.openxmlformats.org/officeDocument/2006/relationships/hyperlink" Target="https://www.ncbi.nlm.nih.gov/pubmed/?term=Weng%20XJ%5BAuthor%5D&amp;cauthor=true&amp;cauthor_uid=28180922" TargetMode="External"/><Relationship Id="rId230" Type="http://schemas.openxmlformats.org/officeDocument/2006/relationships/hyperlink" Target="https://www.ncbi.nlm.nih.gov/pubmed/?term=Poetschke%20J%5BAuthor%5D&amp;cauthor=true&amp;cauthor_uid=28401348" TargetMode="External"/><Relationship Id="rId251" Type="http://schemas.openxmlformats.org/officeDocument/2006/relationships/hyperlink" Target="https://www.ncbi.nlm.nih.gov/pubmed/?term=Genmorgan%20K%5BAuthor%5D&amp;cauthor=true&amp;cauthor_uid=27829743" TargetMode="External"/><Relationship Id="rId25" Type="http://schemas.openxmlformats.org/officeDocument/2006/relationships/image" Target="media/image6.jpeg"/><Relationship Id="rId46" Type="http://schemas.openxmlformats.org/officeDocument/2006/relationships/image" Target="media/image21.emf"/><Relationship Id="rId67" Type="http://schemas.openxmlformats.org/officeDocument/2006/relationships/hyperlink" Target="https://www.ncbi.nlm.nih.gov/pubmed/?term=Iseli%20C%5BAuthor%5D&amp;cauthor=true&amp;cauthor_uid=26004639" TargetMode="External"/><Relationship Id="rId272" Type="http://schemas.openxmlformats.org/officeDocument/2006/relationships/hyperlink" Target="https://www.ncbi.nlm.nih.gov/pubmed/?term=Marenzi%20G%5BAuthor%5D&amp;cauthor=true&amp;cauthor_uid=26273612" TargetMode="External"/><Relationship Id="rId293" Type="http://schemas.openxmlformats.org/officeDocument/2006/relationships/hyperlink" Target="https://www.ncbi.nlm.nih.gov/pubmed/?term=Meschi%20N%5BAuthor%5D&amp;cauthor=true&amp;cauthor_uid=27783851" TargetMode="External"/><Relationship Id="rId307" Type="http://schemas.openxmlformats.org/officeDocument/2006/relationships/hyperlink" Target="https://www.ncbi.nlm.nih.gov/pubmed/28650409" TargetMode="External"/><Relationship Id="rId328" Type="http://schemas.openxmlformats.org/officeDocument/2006/relationships/hyperlink" Target="https://www.ncbi.nlm.nih.gov/pubmed/?term=Hoaglin%20DR%5BAuthor%5D&amp;cauthor=true&amp;cauthor_uid=23653648" TargetMode="External"/><Relationship Id="rId349" Type="http://schemas.openxmlformats.org/officeDocument/2006/relationships/hyperlink" Target="https://www.ncbi.nlm.nih.gov/pubmed/?term=Berthiaume%20F%5BAuthor%5D&amp;cauthor=true&amp;cauthor_uid=29765329" TargetMode="External"/><Relationship Id="rId20" Type="http://schemas.openxmlformats.org/officeDocument/2006/relationships/chart" Target="charts/chart2.xml"/><Relationship Id="rId41" Type="http://schemas.openxmlformats.org/officeDocument/2006/relationships/image" Target="media/image16.emf"/><Relationship Id="rId62" Type="http://schemas.openxmlformats.org/officeDocument/2006/relationships/hyperlink" Target="https://www.ncbi.nlm.nih.gov/pubmed/?term=Quintanilla-Dieck%20L%5BAuthor%5D&amp;cauthor=true&amp;cauthor_uid=27034873" TargetMode="External"/><Relationship Id="rId83" Type="http://schemas.openxmlformats.org/officeDocument/2006/relationships/hyperlink" Target="https://www.ncbi.nlm.nih.gov/pubmed/?term=Ruturi%20J%5BAuthor%5D&amp;cauthor=true&amp;cauthor_uid=26416666" TargetMode="External"/><Relationship Id="rId88" Type="http://schemas.openxmlformats.org/officeDocument/2006/relationships/hyperlink" Target="https://www.ncbi.nlm.nih.gov/pubmed/?term=Heged%C5%B1s%20C%5BAuthor%5D&amp;cauthor=true&amp;cauthor_uid=26863817" TargetMode="External"/><Relationship Id="rId111" Type="http://schemas.openxmlformats.org/officeDocument/2006/relationships/hyperlink" Target="https://www.ncbi.nlm.nih.gov/pmc/articles/PMC5122306/" TargetMode="External"/><Relationship Id="rId132" Type="http://schemas.openxmlformats.org/officeDocument/2006/relationships/hyperlink" Target="https://www.ncbi.nlm.nih.gov/pubmed/23128685" TargetMode="External"/><Relationship Id="rId153" Type="http://schemas.openxmlformats.org/officeDocument/2006/relationships/hyperlink" Target="https://www.ncbi.nlm.nih.gov/pmc/articles/PMC3077189/" TargetMode="External"/><Relationship Id="rId174" Type="http://schemas.openxmlformats.org/officeDocument/2006/relationships/hyperlink" Target="https://www.ncbi.nlm.nih.gov/pubmed/?term=Mescher%20AL%5BAuthor%5D&amp;cauthor=true&amp;cauthor_uid=28616244" TargetMode="External"/><Relationship Id="rId179" Type="http://schemas.openxmlformats.org/officeDocument/2006/relationships/hyperlink" Target="https://www.ncbi.nlm.nih.gov/pubmed/?term=Liu%20JQ%5BAuthor%5D&amp;cauthor=true&amp;cauthor_uid=27909731" TargetMode="External"/><Relationship Id="rId195" Type="http://schemas.openxmlformats.org/officeDocument/2006/relationships/hyperlink" Target="https://www.ncbi.nlm.nih.gov/pubmed/?term=Tang%20ZM%5BAuthor%5D&amp;cauthor=true&amp;cauthor_uid=28393182" TargetMode="External"/><Relationship Id="rId209" Type="http://schemas.openxmlformats.org/officeDocument/2006/relationships/hyperlink" Target="https://www.ncbi.nlm.nih.gov/pubmed/?term=Goldberg%20DJ%5BAuthor%5D&amp;cauthor=true&amp;cauthor_uid=28210394" TargetMode="External"/><Relationship Id="rId190" Type="http://schemas.openxmlformats.org/officeDocument/2006/relationships/hyperlink" Target="https://www.ncbi.nlm.nih.gov/pubmed/?term=Horigome%20T%5BAuthor%5D&amp;cauthor=true&amp;cauthor_uid=28209294" TargetMode="External"/><Relationship Id="rId204" Type="http://schemas.openxmlformats.org/officeDocument/2006/relationships/hyperlink" Target="https://www.ncbi.nlm.nih.gov/pubmed/?term=Jin%20J%5BAuthor%5D&amp;cauthor=true&amp;cauthor_uid=28316164" TargetMode="External"/><Relationship Id="rId220" Type="http://schemas.openxmlformats.org/officeDocument/2006/relationships/hyperlink" Target="https://www.ncbi.nlm.nih.gov/pubmed/28180922" TargetMode="External"/><Relationship Id="rId225" Type="http://schemas.openxmlformats.org/officeDocument/2006/relationships/hyperlink" Target="https://www.ncbi.nlm.nih.gov/pubmed/?term=Jablonka%20EM%5BAuthor%5D&amp;cauthor=true&amp;cauthor_uid=23027220" TargetMode="External"/><Relationship Id="rId241" Type="http://schemas.openxmlformats.org/officeDocument/2006/relationships/hyperlink" Target="https://www.ncbi.nlm.nih.gov/pubmed/?term=Saluja%20H%5BAuthor%5D&amp;cauthor=true&amp;cauthor_uid=23482459" TargetMode="External"/><Relationship Id="rId246" Type="http://schemas.openxmlformats.org/officeDocument/2006/relationships/hyperlink" Target="https://www.ncbi.nlm.nih.gov/pubmed/?term=Singh%20A%5BAuthor%5D&amp;cauthor=true&amp;cauthor_uid=24163562" TargetMode="External"/><Relationship Id="rId267" Type="http://schemas.openxmlformats.org/officeDocument/2006/relationships/hyperlink" Target="https://www.ncbi.nlm.nih.gov/pubmed/27063116" TargetMode="External"/><Relationship Id="rId288" Type="http://schemas.openxmlformats.org/officeDocument/2006/relationships/hyperlink" Target="https://www.ncbi.nlm.nih.gov/pubmed/?term=Chen%20Y%5BAuthor%5D&amp;cauthor=true&amp;cauthor_uid=24993354" TargetMode="External"/><Relationship Id="rId15" Type="http://schemas.openxmlformats.org/officeDocument/2006/relationships/hyperlink" Target="http://uk.wikipedia.org/wiki/%D0%95%D0%BE%D0%B7%D0%B8%D0%BD" TargetMode="External"/><Relationship Id="rId36" Type="http://schemas.openxmlformats.org/officeDocument/2006/relationships/chart" Target="charts/chart8.xml"/><Relationship Id="rId57" Type="http://schemas.openxmlformats.org/officeDocument/2006/relationships/hyperlink" Target="https://www.ncbi.nlm.nih.gov/pmc/articles/PMC4542795/" TargetMode="External"/><Relationship Id="rId106" Type="http://schemas.openxmlformats.org/officeDocument/2006/relationships/hyperlink" Target="https://www.ncbi.nlm.nih.gov/pubmed/?term=Quiligotti%20C%5BAuthor%5D&amp;cauthor=true&amp;cauthor_uid=24046795" TargetMode="External"/><Relationship Id="rId127" Type="http://schemas.openxmlformats.org/officeDocument/2006/relationships/hyperlink" Target="https://www.ncbi.nlm.nih.gov/pubmed/?term=Goff%20CJ%5BAuthor%5D&amp;cauthor=true&amp;cauthor_uid=23128685" TargetMode="External"/><Relationship Id="rId262" Type="http://schemas.openxmlformats.org/officeDocument/2006/relationships/hyperlink" Target="https://www.ncbi.nlm.nih.gov/pubmed/?term=Blanco%20Jerez%20L%5BAuthor%5D&amp;cauthor=true&amp;cauthor_uid=17517290" TargetMode="External"/><Relationship Id="rId283" Type="http://schemas.openxmlformats.org/officeDocument/2006/relationships/hyperlink" Target="https://www.ncbi.nlm.nih.gov/pmc/articles/PMC5064686/" TargetMode="External"/><Relationship Id="rId313" Type="http://schemas.openxmlformats.org/officeDocument/2006/relationships/hyperlink" Target="https://www.ncbi.nlm.nih.gov/pubmed/?term=Soffer%20E%5BAuthor%5D&amp;cauthor=true&amp;cauthor_uid=12738942" TargetMode="External"/><Relationship Id="rId318" Type="http://schemas.openxmlformats.org/officeDocument/2006/relationships/hyperlink" Target="https://www.ncbi.nlm.nih.gov/pubmed/?term=Agarwal%20SK%5BAuthor%5D&amp;cauthor=true&amp;cauthor_uid=27011751" TargetMode="External"/><Relationship Id="rId339" Type="http://schemas.openxmlformats.org/officeDocument/2006/relationships/hyperlink" Target="https://www.ncbi.nlm.nih.gov/pubmed/?term=Pantaleo%20G%5BAuthor%5D&amp;cauthor=true&amp;cauthor_uid=27255572" TargetMode="External"/><Relationship Id="rId10" Type="http://schemas.openxmlformats.org/officeDocument/2006/relationships/hyperlink" Target="https://www.ncbi.nlm.nih.gov/pubmed/?term=Ogawa%20R%5BAuthor%5D&amp;cauthor=true&amp;cauthor_uid=27959277" TargetMode="External"/><Relationship Id="rId31" Type="http://schemas.openxmlformats.org/officeDocument/2006/relationships/image" Target="media/image12.jpeg"/><Relationship Id="rId52" Type="http://schemas.openxmlformats.org/officeDocument/2006/relationships/hyperlink" Target="https://www.ncbi.nlm.nih.gov/pmc/articles/PMC4718085/" TargetMode="External"/><Relationship Id="rId73" Type="http://schemas.openxmlformats.org/officeDocument/2006/relationships/hyperlink" Target="https://www.ncbi.nlm.nih.gov/pubmed/?term=ZHANG%20C%5BAuthor%5D&amp;cauthor=true&amp;cauthor_uid=26893692" TargetMode="External"/><Relationship Id="rId78" Type="http://schemas.openxmlformats.org/officeDocument/2006/relationships/hyperlink" Target="https://www.ncbi.nlm.nih.gov/pubmed/?term=Niemiec%20A%5BAuthor%5D&amp;cauthor=true&amp;cauthor_uid=23241572" TargetMode="External"/><Relationship Id="rId94" Type="http://schemas.openxmlformats.org/officeDocument/2006/relationships/hyperlink" Target="https://www.ncbi.nlm.nih.gov/pmc/articles/PMC4729717/" TargetMode="External"/><Relationship Id="rId99" Type="http://schemas.openxmlformats.org/officeDocument/2006/relationships/hyperlink" Target="https://www.ncbi.nlm.nih.gov/pmc/articles/PMC4065440/" TargetMode="External"/><Relationship Id="rId101" Type="http://schemas.openxmlformats.org/officeDocument/2006/relationships/hyperlink" Target="https://www.ncbi.nlm.nih.gov/pubmed/?term=Kondo%20T%5BAuthor%5D&amp;cauthor=true&amp;cauthor_uid=26496296" TargetMode="External"/><Relationship Id="rId122" Type="http://schemas.openxmlformats.org/officeDocument/2006/relationships/hyperlink" Target="https://www.ncbi.nlm.nih.gov/pubmed/?term=Gr%C3%B8nlund%20S%5BAuthor%5D&amp;cauthor=true&amp;cauthor_uid=28894805" TargetMode="External"/><Relationship Id="rId143" Type="http://schemas.openxmlformats.org/officeDocument/2006/relationships/hyperlink" Target="https://www.ncbi.nlm.nih.gov/pubmed/?term=Dai%20RJ%5BAuthor%5D&amp;cauthor=true&amp;cauthor_uid=26261619" TargetMode="External"/><Relationship Id="rId148" Type="http://schemas.openxmlformats.org/officeDocument/2006/relationships/hyperlink" Target="https://www.ncbi.nlm.nih.gov/pubmed/?term=Jones%20MO%5BAuthor%5D&amp;cauthor=true&amp;cauthor_uid=29305009" TargetMode="External"/><Relationship Id="rId164" Type="http://schemas.openxmlformats.org/officeDocument/2006/relationships/hyperlink" Target="https://www.ncbi.nlm.nih.gov/pubmed/?term=Jallu%20AS%5BAuthor%5D&amp;cauthor=true&amp;cauthor_uid=28239589" TargetMode="External"/><Relationship Id="rId169" Type="http://schemas.openxmlformats.org/officeDocument/2006/relationships/hyperlink" Target="https://www.ncbi.nlm.nih.gov/pubmed/?term=Akaishi%20S%5BAuthor%5D&amp;cauthor=true&amp;cauthor_uid=27959277" TargetMode="External"/><Relationship Id="rId185" Type="http://schemas.openxmlformats.org/officeDocument/2006/relationships/hyperlink" Target="https://www.ncbi.nlm.nih.gov/pubmed/?term=Lebo%20PB%5BAuthor%5D&amp;cauthor=true&amp;cauthor_uid=28561172" TargetMode="External"/><Relationship Id="rId334" Type="http://schemas.openxmlformats.org/officeDocument/2006/relationships/hyperlink" Target="https://www.ncbi.nlm.nih.gov/pubmed/?term=Mahindra%20U%5BAuthor%5D&amp;cauthor=true&amp;cauthor_uid=27195227" TargetMode="External"/><Relationship Id="rId35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cbi.nlm.nih.gov/pubmed/?term=Piccioni%20M%5BAuthor%5D&amp;cauthor=true&amp;cauthor_uid=26927898" TargetMode="External"/><Relationship Id="rId180" Type="http://schemas.openxmlformats.org/officeDocument/2006/relationships/hyperlink" Target="https://www.ncbi.nlm.nih.gov/pmc/articles/PMC5179176/" TargetMode="External"/><Relationship Id="rId210" Type="http://schemas.openxmlformats.org/officeDocument/2006/relationships/hyperlink" Target="https://www.ncbi.nlm.nih.gov/pmc/articles/PMC5300722/" TargetMode="External"/><Relationship Id="rId215" Type="http://schemas.openxmlformats.org/officeDocument/2006/relationships/hyperlink" Target="https://www.ncbi.nlm.nih.gov/pmc/articles/PMC5371876/" TargetMode="External"/><Relationship Id="rId236" Type="http://schemas.openxmlformats.org/officeDocument/2006/relationships/hyperlink" Target="https://www.ncbi.nlm.nih.gov/pmc/articles/PMC5353774/" TargetMode="External"/><Relationship Id="rId257" Type="http://schemas.openxmlformats.org/officeDocument/2006/relationships/hyperlink" Target="https://www.ncbi.nlm.nih.gov/pubmed/?term=Wiczkowski%20A%5BAuthor%5D&amp;cauthor=true&amp;cauthor_uid=21740376" TargetMode="External"/><Relationship Id="rId278" Type="http://schemas.openxmlformats.org/officeDocument/2006/relationships/hyperlink" Target="https://www.ncbi.nlm.nih.gov/pubmed/?term=Altrock%20BW%5BAuthor%5D&amp;cauthor=true&amp;cauthor_uid=2045423" TargetMode="External"/><Relationship Id="rId26" Type="http://schemas.openxmlformats.org/officeDocument/2006/relationships/image" Target="media/image7.jpeg"/><Relationship Id="rId231" Type="http://schemas.openxmlformats.org/officeDocument/2006/relationships/hyperlink" Target="https://www.ncbi.nlm.nih.gov/pubmed/?term=Dornseifer%20U%5BAuthor%5D&amp;cauthor=true&amp;cauthor_uid=28401348" TargetMode="External"/><Relationship Id="rId252" Type="http://schemas.openxmlformats.org/officeDocument/2006/relationships/hyperlink" Target="https://www.ncbi.nlm.nih.gov/pubmed/?term=Abdul%20Rahman%20SM%5BAuthor%5D&amp;cauthor=true&amp;cauthor_uid=27829743" TargetMode="External"/><Relationship Id="rId273" Type="http://schemas.openxmlformats.org/officeDocument/2006/relationships/hyperlink" Target="https://www.ncbi.nlm.nih.gov/pubmed/?term=Riccitiello%20F%5BAuthor%5D&amp;cauthor=true&amp;cauthor_uid=26273612" TargetMode="External"/><Relationship Id="rId294" Type="http://schemas.openxmlformats.org/officeDocument/2006/relationships/hyperlink" Target="https://www.ncbi.nlm.nih.gov/pubmed/?term=Temmerman%20A%5BAuthor%5D&amp;cauthor=true&amp;cauthor_uid=27783851" TargetMode="External"/><Relationship Id="rId308" Type="http://schemas.openxmlformats.org/officeDocument/2006/relationships/hyperlink" Target="https://www.ncbi.nlm.nih.gov/pubmed/?term=Cieslik-Bielecka%20A%5BAuthor%5D&amp;cauthor=true&amp;cauthor_uid=21740368" TargetMode="External"/><Relationship Id="rId329" Type="http://schemas.openxmlformats.org/officeDocument/2006/relationships/hyperlink" Target="https://www.ncbi.nlm.nih.gov/pubmed/?term=Hoaglin%20DR%5BAuthor%5D&amp;cauthor=true&amp;cauthor_uid=23653648" TargetMode="External"/><Relationship Id="rId47" Type="http://schemas.openxmlformats.org/officeDocument/2006/relationships/header" Target="header2.xml"/><Relationship Id="rId68" Type="http://schemas.openxmlformats.org/officeDocument/2006/relationships/hyperlink" Target="https://www.ncbi.nlm.nih.gov/pubmed/?term=Amott%20D%5BAuthor%5D&amp;cauthor=true&amp;cauthor_uid=26004639" TargetMode="External"/><Relationship Id="rId89" Type="http://schemas.openxmlformats.org/officeDocument/2006/relationships/hyperlink" Target="https://www.ncbi.nlm.nih.gov/pubmed/26863817" TargetMode="External"/><Relationship Id="rId112" Type="http://schemas.openxmlformats.org/officeDocument/2006/relationships/hyperlink" Target="https://www.ncbi.nlm.nih.gov/pubmed/?term=Guzik%20K%5BAuthor%5D&amp;cauthor=true&amp;cauthor_uid=21755330" TargetMode="External"/><Relationship Id="rId133" Type="http://schemas.openxmlformats.org/officeDocument/2006/relationships/hyperlink" Target="https://www.ncbi.nlm.nih.gov/pubmed/23128685" TargetMode="External"/><Relationship Id="rId154" Type="http://schemas.openxmlformats.org/officeDocument/2006/relationships/hyperlink" Target="https://www.ncbi.nlm.nih.gov/pubmed/?term=Ramchandani%20R%5BAuthor%5D&amp;cauthor=true&amp;cauthor_uid=29217911" TargetMode="External"/><Relationship Id="rId175" Type="http://schemas.openxmlformats.org/officeDocument/2006/relationships/hyperlink" Target="https://www.ncbi.nlm.nih.gov/pubmed/?term=Mescher%20AL%5BAuthor%5D&amp;cauthor=true&amp;cauthor_uid=28616244" TargetMode="External"/><Relationship Id="rId340" Type="http://schemas.openxmlformats.org/officeDocument/2006/relationships/hyperlink" Target="https://www.ncbi.nlm.nih.gov/pubmed/27255572" TargetMode="External"/><Relationship Id="rId196" Type="http://schemas.openxmlformats.org/officeDocument/2006/relationships/hyperlink" Target="https://www.ncbi.nlm.nih.gov/pubmed/?term=Ding%20JC%5BAuthor%5D&amp;cauthor=true&amp;cauthor_uid=28393182" TargetMode="External"/><Relationship Id="rId200" Type="http://schemas.openxmlformats.org/officeDocument/2006/relationships/hyperlink" Target="https://www.ncbi.nlm.nih.gov/pubmed/?term=Liu%20D%5BAuthor%5D&amp;cauthor=true&amp;cauthor_uid=28656236" TargetMode="External"/><Relationship Id="rId16" Type="http://schemas.openxmlformats.org/officeDocument/2006/relationships/image" Target="media/image1.jpeg"/><Relationship Id="rId221" Type="http://schemas.openxmlformats.org/officeDocument/2006/relationships/hyperlink" Target="https://www.ncbi.nlm.nih.gov/pubmed/?term=Li%20YH%5BAuthor%5D&amp;cauthor=true&amp;cauthor_uid=28427139" TargetMode="External"/><Relationship Id="rId242" Type="http://schemas.openxmlformats.org/officeDocument/2006/relationships/hyperlink" Target="https://www.ncbi.nlm.nih.gov/pubmed/?term=Dehane%20V%5BAuthor%5D&amp;cauthor=true&amp;cauthor_uid=23482459" TargetMode="External"/><Relationship Id="rId263" Type="http://schemas.openxmlformats.org/officeDocument/2006/relationships/hyperlink" Target="https://www.ncbi.nlm.nih.gov/pubmed/17517290" TargetMode="External"/><Relationship Id="rId284" Type="http://schemas.openxmlformats.org/officeDocument/2006/relationships/hyperlink" Target="https://www.ncbi.nlm.nih.gov/pubmed/?term=Miron%20RJ%5BAuthor%5D&amp;cauthor=true&amp;cauthor_uid=27672729" TargetMode="External"/><Relationship Id="rId319" Type="http://schemas.openxmlformats.org/officeDocument/2006/relationships/hyperlink" Target="https://www.ncbi.nlm.nih.gov/pubmed/?term=Jhingran%20R%5BAuthor%5D&amp;cauthor=true&amp;cauthor_uid=27011751" TargetMode="External"/><Relationship Id="rId37" Type="http://schemas.openxmlformats.org/officeDocument/2006/relationships/chart" Target="charts/chart9.xml"/><Relationship Id="rId58" Type="http://schemas.openxmlformats.org/officeDocument/2006/relationships/hyperlink" Target="https://www.ncbi.nlm.nih.gov/pubmed/?term=Panchbhai%20AS%5BAuthor%5D&amp;cauthor=true&amp;cauthor_uid=22116133" TargetMode="External"/><Relationship Id="rId79" Type="http://schemas.openxmlformats.org/officeDocument/2006/relationships/hyperlink" Target="https://www.ncbi.nlm.nih.gov/pubmed/23241572" TargetMode="External"/><Relationship Id="rId102" Type="http://schemas.openxmlformats.org/officeDocument/2006/relationships/hyperlink" Target="https://www.ncbi.nlm.nih.gov/pubmed/?term=Oishi%20N%5BAuthor%5D&amp;cauthor=true&amp;cauthor_uid=26496296" TargetMode="External"/><Relationship Id="rId123" Type="http://schemas.openxmlformats.org/officeDocument/2006/relationships/hyperlink" Target="https://www.ncbi.nlm.nih.gov/pubmed/?term=Mey%20K%5BAuthor%5D&amp;cauthor=true&amp;cauthor_uid=28894805" TargetMode="External"/><Relationship Id="rId144" Type="http://schemas.openxmlformats.org/officeDocument/2006/relationships/hyperlink" Target="https://www.ncbi.nlm.nih.gov/pmc/articles/PMC4525953/" TargetMode="External"/><Relationship Id="rId330" Type="http://schemas.openxmlformats.org/officeDocument/2006/relationships/hyperlink" Target="https://www.ncbi.nlm.nih.gov/pubmed/?term=Lines%20GK%5BAuthor%5D&amp;cauthor=true&amp;cauthor_uid=23653648" TargetMode="External"/><Relationship Id="rId90" Type="http://schemas.openxmlformats.org/officeDocument/2006/relationships/hyperlink" Target="https://www.ncbi.nlm.nih.gov/pubmed/?term=Adams%20A%5BAuthor%5D&amp;cauthor=true&amp;cauthor_uid=26661849" TargetMode="External"/><Relationship Id="rId165" Type="http://schemas.openxmlformats.org/officeDocument/2006/relationships/hyperlink" Target="https://www.ncbi.nlm.nih.gov/pubmed/?term=Ahmad%20R%5BAuthor%5D&amp;cauthor=true&amp;cauthor_uid=28239589" TargetMode="External"/><Relationship Id="rId186" Type="http://schemas.openxmlformats.org/officeDocument/2006/relationships/hyperlink" Target="https://www.ncbi.nlm.nih.gov/pubmed/?term=Lebo%20PB%5BAuthor%5D&amp;cauthor=true&amp;cauthor_uid=28561172" TargetMode="External"/><Relationship Id="rId351" Type="http://schemas.openxmlformats.org/officeDocument/2006/relationships/theme" Target="theme/theme1.xml"/><Relationship Id="rId211" Type="http://schemas.openxmlformats.org/officeDocument/2006/relationships/hyperlink" Target="https://www.ncbi.nlm.nih.gov/pubmed/?term=Moore%20AL%5BAuthor%5D&amp;cauthor=true&amp;cauthor_uid=28117733" TargetMode="External"/><Relationship Id="rId232" Type="http://schemas.openxmlformats.org/officeDocument/2006/relationships/hyperlink" Target="https://www.ncbi.nlm.nih.gov/pubmed/?term=Clementoni%20MT%5BAuthor%5D&amp;cauthor=true&amp;cauthor_uid=28401348" TargetMode="External"/><Relationship Id="rId253" Type="http://schemas.openxmlformats.org/officeDocument/2006/relationships/hyperlink" Target="https://www.ncbi.nlm.nih.gov/pmc/articles/PMC5074036/" TargetMode="External"/><Relationship Id="rId274" Type="http://schemas.openxmlformats.org/officeDocument/2006/relationships/hyperlink" Target="https://www.ncbi.nlm.nih.gov/pubmed/?term=Tia%20M%5BAuthor%5D&amp;cauthor=true&amp;cauthor_uid=26273612" TargetMode="External"/><Relationship Id="rId295" Type="http://schemas.openxmlformats.org/officeDocument/2006/relationships/hyperlink" Target="https://www.ncbi.nlm.nih.gov/pmc/articles/PMC5248642/" TargetMode="External"/><Relationship Id="rId309" Type="http://schemas.openxmlformats.org/officeDocument/2006/relationships/hyperlink" Target="https://www.ncbi.nlm.nih.gov/pubmed/?term=Choukroun%20J%5BAuthor%5D&amp;cauthor=true&amp;cauthor_uid=21740368" TargetMode="External"/><Relationship Id="rId27" Type="http://schemas.openxmlformats.org/officeDocument/2006/relationships/image" Target="media/image8.jpeg"/><Relationship Id="rId48" Type="http://schemas.openxmlformats.org/officeDocument/2006/relationships/hyperlink" Target="https://www.ncbi.nlm.nih.gov/pubmed/?term=Nasreldin%20MH%5BAuthor%5D&amp;cauthor=true&amp;cauthor_uid=26819565" TargetMode="External"/><Relationship Id="rId69" Type="http://schemas.openxmlformats.org/officeDocument/2006/relationships/hyperlink" Target="https://www.ncbi.nlm.nih.gov/pubmed/?term=Taylor%20M%5BAuthor%5D&amp;cauthor=true&amp;cauthor_uid=26004639" TargetMode="External"/><Relationship Id="rId113" Type="http://schemas.openxmlformats.org/officeDocument/2006/relationships/hyperlink" Target="https://www.ncbi.nlm.nih.gov/pmc/articles/PMC3275742/" TargetMode="External"/><Relationship Id="rId134" Type="http://schemas.openxmlformats.org/officeDocument/2006/relationships/hyperlink" Target="https://www.ncbi.nlm.nih.gov/pubmed/?term=Chen%20J%5BAuthor%5D&amp;cauthor=true&amp;cauthor_uid=24292216" TargetMode="External"/><Relationship Id="rId320" Type="http://schemas.openxmlformats.org/officeDocument/2006/relationships/hyperlink" Target="https://www.ncbi.nlm.nih.gov/pubmed/?term=Bains%20VK%5BAuthor%5D&amp;cauthor=true&amp;cauthor_uid=27011751" TargetMode="External"/><Relationship Id="rId80" Type="http://schemas.openxmlformats.org/officeDocument/2006/relationships/hyperlink" Target="https://www.ncbi.nlm.nih.gov/pubmed/?term=Kotecha%20V%5BAuthor%5D&amp;cauthor=true&amp;cauthor_uid=26416666" TargetMode="External"/><Relationship Id="rId155" Type="http://schemas.openxmlformats.org/officeDocument/2006/relationships/hyperlink" Target="https://www.ncbi.nlm.nih.gov/pubmed/?term=Chumber%20S%5BAuthor%5D&amp;cauthor=true&amp;cauthor_uid=29217911" TargetMode="External"/><Relationship Id="rId176" Type="http://schemas.openxmlformats.org/officeDocument/2006/relationships/hyperlink" Target="https://www.ncbi.nlm.nih.gov/pmc/articles/PMC5469729/" TargetMode="External"/><Relationship Id="rId197" Type="http://schemas.openxmlformats.org/officeDocument/2006/relationships/hyperlink" Target="https://www.ncbi.nlm.nih.gov/pubmed/?term=Lu%20XL%5BAuthor%5D&amp;cauthor=true&amp;cauthor_uid=28393182" TargetMode="External"/><Relationship Id="rId341" Type="http://schemas.openxmlformats.org/officeDocument/2006/relationships/hyperlink" Target="http://www.ncbi.nlm.nih.gov/pubmed?term=Li%20W%5BAuthor%5D&amp;cauthor=true&amp;cauthor_uid=22547061" TargetMode="External"/><Relationship Id="rId201" Type="http://schemas.openxmlformats.org/officeDocument/2006/relationships/hyperlink" Target="https://www.ncbi.nlm.nih.gov/pubmed/?term=Yu%20M%5BAuthor%5D&amp;cauthor=true&amp;cauthor_uid=28656236" TargetMode="External"/><Relationship Id="rId222" Type="http://schemas.openxmlformats.org/officeDocument/2006/relationships/hyperlink" Target="https://www.ncbi.nlm.nih.gov/pubmed/?term=Liu%20JQ%5BAuthor%5D&amp;cauthor=true&amp;cauthor_uid=28427139" TargetMode="External"/><Relationship Id="rId243" Type="http://schemas.openxmlformats.org/officeDocument/2006/relationships/hyperlink" Target="https://www.ncbi.nlm.nih.gov/pubmed/?term=Mahindra%20U%5BAuthor%5D&amp;cauthor=true&amp;cauthor_uid=23482459" TargetMode="External"/><Relationship Id="rId264" Type="http://schemas.openxmlformats.org/officeDocument/2006/relationships/hyperlink" Target="https://www.ncbi.nlm.nih.gov/pubmed/?term=Gao%20J%5BAuthor%5D&amp;cauthor=true&amp;cauthor_uid=27063116" TargetMode="External"/><Relationship Id="rId285" Type="http://schemas.openxmlformats.org/officeDocument/2006/relationships/hyperlink" Target="https://www.ncbi.nlm.nih.gov/pubmed/?term=Fujioka-Kobayashi%20M%5BAuthor%5D&amp;cauthor=true&amp;cauthor_uid=27672729" TargetMode="External"/><Relationship Id="rId17" Type="http://schemas.openxmlformats.org/officeDocument/2006/relationships/image" Target="media/image2.jpeg"/><Relationship Id="rId38" Type="http://schemas.openxmlformats.org/officeDocument/2006/relationships/chart" Target="charts/chart10.xml"/><Relationship Id="rId59" Type="http://schemas.openxmlformats.org/officeDocument/2006/relationships/hyperlink" Target="https://www.ncbi.nlm.nih.gov/pubmed/?term=Panchbhai%20AS%5BAuthor%5D&amp;cauthor=true&amp;cauthor_uid=22116133" TargetMode="External"/><Relationship Id="rId103" Type="http://schemas.openxmlformats.org/officeDocument/2006/relationships/hyperlink" Target="https://www.ncbi.nlm.nih.gov/pmc/articles/PMC4620827/" TargetMode="External"/><Relationship Id="rId124" Type="http://schemas.openxmlformats.org/officeDocument/2006/relationships/hyperlink" Target="https://www.ncbi.nlm.nih.gov/pubmed/?term=Andersen%20E%5BAuthor%5D&amp;cauthor=true&amp;cauthor_uid=28894805" TargetMode="External"/><Relationship Id="rId310" Type="http://schemas.openxmlformats.org/officeDocument/2006/relationships/hyperlink" Target="https://www.ncbi.nlm.nih.gov/pubmed/?term=Odin%20G%5BAuthor%5D&amp;cauthor=true&amp;cauthor_uid=21740368" TargetMode="External"/><Relationship Id="rId70" Type="http://schemas.openxmlformats.org/officeDocument/2006/relationships/hyperlink" Target="https://www.ncbi.nlm.nih.gov/pubmed/26004639" TargetMode="External"/><Relationship Id="rId91" Type="http://schemas.openxmlformats.org/officeDocument/2006/relationships/hyperlink" Target="https://www.ncbi.nlm.nih.gov/pubmed/?term=Mankad%20K%5BAuthor%5D&amp;cauthor=true&amp;cauthor_uid=26661849" TargetMode="External"/><Relationship Id="rId145" Type="http://schemas.openxmlformats.org/officeDocument/2006/relationships/hyperlink" Target="https://www.ncbi.nlm.nih.gov/pubmed/?term=Povey%20HG%5BAuthor%5D&amp;cauthor=true&amp;cauthor_uid=29305009" TargetMode="External"/><Relationship Id="rId166" Type="http://schemas.openxmlformats.org/officeDocument/2006/relationships/hyperlink" Target="https://www.ncbi.nlm.nih.gov/pmc/articles/PMC5305636/" TargetMode="External"/><Relationship Id="rId187" Type="http://schemas.openxmlformats.org/officeDocument/2006/relationships/hyperlink" Target="https://www.ncbi.nlm.nih.gov/pubmed/?term=Grohmann%20M%5BAuthor%5D&amp;cauthor=true&amp;cauthor_uid=28561172" TargetMode="External"/><Relationship Id="rId331" Type="http://schemas.openxmlformats.org/officeDocument/2006/relationships/hyperlink" Target="https://www.ncbi.nlm.nih.gov/pmc/articles/PMC3638712/" TargetMode="External"/><Relationship Id="rId1" Type="http://schemas.openxmlformats.org/officeDocument/2006/relationships/customXml" Target="../customXml/item1.xml"/><Relationship Id="rId212" Type="http://schemas.openxmlformats.org/officeDocument/2006/relationships/hyperlink" Target="https://www.ncbi.nlm.nih.gov/pubmed/?term=Moore%20AL%5BAuthor%5D&amp;cauthor=true&amp;cauthor_uid=28117733" TargetMode="External"/><Relationship Id="rId233" Type="http://schemas.openxmlformats.org/officeDocument/2006/relationships/hyperlink" Target="https://www.ncbi.nlm.nih.gov/pubmed/28401348" TargetMode="External"/><Relationship Id="rId254" Type="http://schemas.openxmlformats.org/officeDocument/2006/relationships/hyperlink" Target="https://www.ncbi.nlm.nih.gov/pubmed/?term=Bielecki%20T%5BAuthor%5D&amp;cauthor=true&amp;cauthor_uid=21740376" TargetMode="External"/><Relationship Id="rId28" Type="http://schemas.openxmlformats.org/officeDocument/2006/relationships/image" Target="media/image9.jpeg"/><Relationship Id="rId49" Type="http://schemas.openxmlformats.org/officeDocument/2006/relationships/hyperlink" Target="https://www.ncbi.nlm.nih.gov/pubmed/?term=Nasreldin%20MH%5BAuthor%5D&amp;cauthor=true&amp;cauthor_uid=26819565" TargetMode="External"/><Relationship Id="rId114" Type="http://schemas.openxmlformats.org/officeDocument/2006/relationships/hyperlink" Target="https://www.ncbi.nlm.nih.gov/pubmed/?term=Cho%20JS%5BAuthor%5D&amp;cauthor=true&amp;cauthor_uid=22319730" TargetMode="External"/><Relationship Id="rId275" Type="http://schemas.openxmlformats.org/officeDocument/2006/relationships/hyperlink" Target="https://www.ncbi.nlm.nih.gov/pmc/articles/PMC4529911/" TargetMode="External"/><Relationship Id="rId296" Type="http://schemas.openxmlformats.org/officeDocument/2006/relationships/hyperlink" Target="https://www.ncbi.nlm.nih.gov/pubmed/?term=Yelamali%20T%5BAuthor%5D&amp;cauthor=true&amp;cauthor_uid=26028867" TargetMode="External"/><Relationship Id="rId300" Type="http://schemas.openxmlformats.org/officeDocument/2006/relationships/hyperlink" Target="https://www.ncbi.nlm.nih.gov/pubmed/?term=Bayer%20A%5BAuthor%5D&amp;cauthor=true&amp;cauthor_uid=28552640" TargetMode="External"/><Relationship Id="rId60" Type="http://schemas.openxmlformats.org/officeDocument/2006/relationships/hyperlink" Target="https://www.ncbi.nlm.nih.gov/pubmed/?term=Choudhary%20MS%5BAuthor%5D&amp;cauthor=true&amp;cauthor_uid=22116133" TargetMode="External"/><Relationship Id="rId81" Type="http://schemas.openxmlformats.org/officeDocument/2006/relationships/hyperlink" Target="https://www.ncbi.nlm.nih.gov/pubmed/?term=Kotecha%20V%5BAuthor%5D&amp;cauthor=true&amp;cauthor_uid=26416666" TargetMode="External"/><Relationship Id="rId135" Type="http://schemas.openxmlformats.org/officeDocument/2006/relationships/hyperlink" Target="https://www.ncbi.nlm.nih.gov/pubmed/?term=Chen%20W%5BAuthor%5D&amp;cauthor=true&amp;cauthor_uid=24292216" TargetMode="External"/><Relationship Id="rId156" Type="http://schemas.openxmlformats.org/officeDocument/2006/relationships/hyperlink" Target="https://www.ncbi.nlm.nih.gov/pubmed/29217911" TargetMode="External"/><Relationship Id="rId177" Type="http://schemas.openxmlformats.org/officeDocument/2006/relationships/hyperlink" Target="https://www.ncbi.nlm.nih.gov/pubmed/?term=Zhao%20B%5BAuthor%5D&amp;cauthor=true&amp;cauthor_uid=27909731" TargetMode="External"/><Relationship Id="rId198" Type="http://schemas.openxmlformats.org/officeDocument/2006/relationships/hyperlink" Target="https://www.ncbi.nlm.nih.gov/pmc/articles/PMC5436288/" TargetMode="External"/><Relationship Id="rId321" Type="http://schemas.openxmlformats.org/officeDocument/2006/relationships/hyperlink" Target="https://www.ncbi.nlm.nih.gov/pmc/articles/PMC4784142/" TargetMode="External"/><Relationship Id="rId342" Type="http://schemas.openxmlformats.org/officeDocument/2006/relationships/hyperlink" Target="http://www.ncbi.nlm.nih.gov/pubmed?term=Liu%20H%5BAuthor%5D&amp;cauthor=true&amp;cauthor_uid=22547061" TargetMode="External"/><Relationship Id="rId202" Type="http://schemas.openxmlformats.org/officeDocument/2006/relationships/hyperlink" Target="https://www.ncbi.nlm.nih.gov/pubmed/28656236" TargetMode="External"/><Relationship Id="rId223" Type="http://schemas.openxmlformats.org/officeDocument/2006/relationships/hyperlink" Target="https://www.ncbi.nlm.nih.gov/pubmed/?term=Xiao%20D%5BAuthor%5D&amp;cauthor=true&amp;cauthor_uid=28427139" TargetMode="External"/><Relationship Id="rId244" Type="http://schemas.openxmlformats.org/officeDocument/2006/relationships/hyperlink" Target="https://www.ncbi.nlm.nih.gov/pmc/articles/PMC3591032/" TargetMode="External"/><Relationship Id="rId18" Type="http://schemas.openxmlformats.org/officeDocument/2006/relationships/image" Target="media/image3.jpeg"/><Relationship Id="rId39" Type="http://schemas.openxmlformats.org/officeDocument/2006/relationships/image" Target="media/image14.emf"/><Relationship Id="rId265" Type="http://schemas.openxmlformats.org/officeDocument/2006/relationships/hyperlink" Target="https://www.ncbi.nlm.nih.gov/pubmed/?term=Wang%20MG%5BAuthor%5D&amp;cauthor=true&amp;cauthor_uid=27063116" TargetMode="External"/><Relationship Id="rId286" Type="http://schemas.openxmlformats.org/officeDocument/2006/relationships/hyperlink" Target="https://www.ncbi.nlm.nih.gov/pubmed/?term=Bishara%20M%5BAuthor%5D&amp;cauthor=true&amp;cauthor_uid=27672729" TargetMode="External"/><Relationship Id="rId50" Type="http://schemas.openxmlformats.org/officeDocument/2006/relationships/hyperlink" Target="https://www.ncbi.nlm.nih.gov/pubmed/?term=Ibrahim%20EA%5BAuthor%5D&amp;cauthor=true&amp;cauthor_uid=26819565" TargetMode="External"/><Relationship Id="rId104" Type="http://schemas.openxmlformats.org/officeDocument/2006/relationships/hyperlink" Target="https://www.ncbi.nlm.nih.gov/pubmed/?term=Valentino%20M%5BAuthor%5D&amp;cauthor=true&amp;cauthor_uid=24046795" TargetMode="External"/><Relationship Id="rId125" Type="http://schemas.openxmlformats.org/officeDocument/2006/relationships/hyperlink" Target="https://www.ncbi.nlm.nih.gov/pubmed/?term=Rasmussen%20ER%5BAuthor%5D&amp;cauthor=true&amp;cauthor_uid=28894805" TargetMode="External"/><Relationship Id="rId146" Type="http://schemas.openxmlformats.org/officeDocument/2006/relationships/hyperlink" Target="https://www.ncbi.nlm.nih.gov/pubmed/?term=Povey%20HG%5BAuthor%5D&amp;cauthor=true&amp;cauthor_uid=29305009" TargetMode="External"/><Relationship Id="rId167" Type="http://schemas.openxmlformats.org/officeDocument/2006/relationships/hyperlink" Target="https://www.ncbi.nlm.nih.gov/pubmed/?term=Ogawa%20R%5BAuthor%5D&amp;cauthor=true&amp;cauthor_uid=27959277" TargetMode="External"/><Relationship Id="rId188" Type="http://schemas.openxmlformats.org/officeDocument/2006/relationships/hyperlink" Target="https://www.ncbi.nlm.nih.gov/pubmed/?term=Kamolz%20L%5BAuthor%5D&amp;cauthor=true&amp;cauthor_uid=28561172" TargetMode="External"/><Relationship Id="rId311" Type="http://schemas.openxmlformats.org/officeDocument/2006/relationships/hyperlink" Target="https://www.ncbi.nlm.nih.gov/pubmed/?term=Dohan%20Ehrenfest%20DM%5BAuthor%5D&amp;cauthor=true&amp;cauthor_uid=21740368" TargetMode="External"/><Relationship Id="rId332" Type="http://schemas.openxmlformats.org/officeDocument/2006/relationships/hyperlink" Target="https://www.ncbi.nlm.nih.gov/pubmed/?term=Doiphode%20AM%5BAuthor%5D&amp;cauthor=true&amp;cauthor_uid=27195227" TargetMode="External"/><Relationship Id="rId71" Type="http://schemas.openxmlformats.org/officeDocument/2006/relationships/hyperlink" Target="https://www.ncbi.nlm.nih.gov/pubmed/?term=LIU%20Z%5BAuthor%5D&amp;cauthor=true&amp;cauthor_uid=26893692" TargetMode="External"/><Relationship Id="rId92" Type="http://schemas.openxmlformats.org/officeDocument/2006/relationships/hyperlink" Target="https://www.ncbi.nlm.nih.gov/pubmed/?term=Offiah%20C%5BAuthor%5D&amp;cauthor=true&amp;cauthor_uid=26661849" TargetMode="External"/><Relationship Id="rId213" Type="http://schemas.openxmlformats.org/officeDocument/2006/relationships/hyperlink" Target="https://www.ncbi.nlm.nih.gov/pubmed/?term=Marshall%20CD%5BAuthor%5D&amp;cauthor=true&amp;cauthor_uid=28117733" TargetMode="External"/><Relationship Id="rId234" Type="http://schemas.openxmlformats.org/officeDocument/2006/relationships/hyperlink" Target="https://www.ncbi.nlm.nih.gov/pubmed/?term=Faghihi%20G%5BAuthor%5D&amp;cauthor=true&amp;cauthor_uid=28349023" TargetMode="External"/><Relationship Id="rId2" Type="http://schemas.openxmlformats.org/officeDocument/2006/relationships/numbering" Target="numbering.xml"/><Relationship Id="rId29" Type="http://schemas.openxmlformats.org/officeDocument/2006/relationships/image" Target="media/image10.jpeg"/><Relationship Id="rId255" Type="http://schemas.openxmlformats.org/officeDocument/2006/relationships/hyperlink" Target="https://www.ncbi.nlm.nih.gov/pubmed/?term=Dohan%20Ehrenfest%20DM%5BAuthor%5D&amp;cauthor=true&amp;cauthor_uid=21740376" TargetMode="External"/><Relationship Id="rId276" Type="http://schemas.openxmlformats.org/officeDocument/2006/relationships/hyperlink" Target="https://www.ncbi.nlm.nih.gov/pubmed/?term=Pierce%20GF%5BAuthor%5D&amp;cauthor=true&amp;cauthor_uid=2045423" TargetMode="External"/><Relationship Id="rId297" Type="http://schemas.openxmlformats.org/officeDocument/2006/relationships/hyperlink" Target="https://www.ncbi.nlm.nih.gov/pubmed/?term=Yelamali%20T%5BAuthor%5D&amp;cauthor=true&amp;cauthor_uid=26028867" TargetMode="External"/><Relationship Id="rId40" Type="http://schemas.openxmlformats.org/officeDocument/2006/relationships/image" Target="media/image15.emf"/><Relationship Id="rId115" Type="http://schemas.openxmlformats.org/officeDocument/2006/relationships/hyperlink" Target="https://www.ncbi.nlm.nih.gov/pubmed/?term=Shin%20SH%5BAuthor%5D&amp;cauthor=true&amp;cauthor_uid=22319730" TargetMode="External"/><Relationship Id="rId136" Type="http://schemas.openxmlformats.org/officeDocument/2006/relationships/hyperlink" Target="https://www.ncbi.nlm.nih.gov/pubmed/?term=Zhang%20J%5BAuthor%5D&amp;cauthor=true&amp;cauthor_uid=24292216" TargetMode="External"/><Relationship Id="rId157" Type="http://schemas.openxmlformats.org/officeDocument/2006/relationships/hyperlink" Target="https://www.ncbi.nlm.nih.gov/pubmed/?term=Huang%20Q%5BAuthor%5D&amp;cauthor=true&amp;cauthor_uid=29623203" TargetMode="External"/><Relationship Id="rId178" Type="http://schemas.openxmlformats.org/officeDocument/2006/relationships/hyperlink" Target="https://www.ncbi.nlm.nih.gov/pubmed/?term=Guan%20H%5BAuthor%5D&amp;cauthor=true&amp;cauthor_uid=27909731" TargetMode="External"/><Relationship Id="rId301" Type="http://schemas.openxmlformats.org/officeDocument/2006/relationships/hyperlink" Target="https://www.ncbi.nlm.nih.gov/pubmed/?term=Lammel%20J%5BAuthor%5D&amp;cauthor=true&amp;cauthor_uid=28552640" TargetMode="External"/><Relationship Id="rId322" Type="http://schemas.openxmlformats.org/officeDocument/2006/relationships/hyperlink" Target="https://www.ncbi.nlm.nih.gov/pubmed/?term=Hersant%20B%5BAuthor%5D&amp;cauthor=true&amp;cauthor_uid=27975003" TargetMode="External"/><Relationship Id="rId343" Type="http://schemas.openxmlformats.org/officeDocument/2006/relationships/hyperlink" Target="http://www.ncbi.nlm.nih.gov/pubmed?term=Zhou%20JS%5BAuthor%5D&amp;cauthor=true&amp;cauthor_uid=22547061" TargetMode="External"/><Relationship Id="rId61" Type="http://schemas.openxmlformats.org/officeDocument/2006/relationships/hyperlink" Target="https://www.ncbi.nlm.nih.gov/pmc/articles/PMC3528200/" TargetMode="External"/><Relationship Id="rId82" Type="http://schemas.openxmlformats.org/officeDocument/2006/relationships/hyperlink" Target="https://www.ncbi.nlm.nih.gov/pubmed/?term=Muturi%20A%5BAuthor%5D&amp;cauthor=true&amp;cauthor_uid=26416666" TargetMode="External"/><Relationship Id="rId199" Type="http://schemas.openxmlformats.org/officeDocument/2006/relationships/hyperlink" Target="https://www.ncbi.nlm.nih.gov/pubmed/?term=Xie%20Q%5BAuthor%5D&amp;cauthor=true&amp;cauthor_uid=28656236" TargetMode="External"/><Relationship Id="rId203" Type="http://schemas.openxmlformats.org/officeDocument/2006/relationships/hyperlink" Target="https://www.ncbi.nlm.nih.gov/pubmed/?term=Jin%20J%5BAuthor%5D&amp;cauthor=true&amp;cauthor_uid=28316164" TargetMode="External"/><Relationship Id="rId19" Type="http://schemas.openxmlformats.org/officeDocument/2006/relationships/chart" Target="charts/chart1.xml"/><Relationship Id="rId224" Type="http://schemas.openxmlformats.org/officeDocument/2006/relationships/hyperlink" Target="https://www.ncbi.nlm.nih.gov/pubmed/28427139" TargetMode="External"/><Relationship Id="rId245" Type="http://schemas.openxmlformats.org/officeDocument/2006/relationships/hyperlink" Target="https://www.ncbi.nlm.nih.gov/pubmed/?term=Singh%20S%5BAuthor%5D&amp;cauthor=true&amp;cauthor_uid=24163562" TargetMode="External"/><Relationship Id="rId266" Type="http://schemas.openxmlformats.org/officeDocument/2006/relationships/hyperlink" Target="https://www.ncbi.nlm.nih.gov/pubmed/?term=Yang%20S%5BAuthor%5D&amp;cauthor=true&amp;cauthor_uid=27063116" TargetMode="External"/><Relationship Id="rId287" Type="http://schemas.openxmlformats.org/officeDocument/2006/relationships/hyperlink" Target="https://www.ncbi.nlm.nih.gov/pubmed/27672729" TargetMode="External"/><Relationship Id="rId30" Type="http://schemas.openxmlformats.org/officeDocument/2006/relationships/image" Target="media/image11.jpeg"/><Relationship Id="rId105" Type="http://schemas.openxmlformats.org/officeDocument/2006/relationships/hyperlink" Target="https://www.ncbi.nlm.nih.gov/pubmed/?term=Valentino%20M%5BAuthor%5D&amp;cauthor=true&amp;cauthor_uid=24046795" TargetMode="External"/><Relationship Id="rId126" Type="http://schemas.openxmlformats.org/officeDocument/2006/relationships/hyperlink" Target="https://www.ncbi.nlm.nih.gov/pubmed/28894805" TargetMode="External"/><Relationship Id="rId147" Type="http://schemas.openxmlformats.org/officeDocument/2006/relationships/hyperlink" Target="https://www.ncbi.nlm.nih.gov/pubmed/?term=Selvachandran%20H%5BAuthor%5D&amp;cauthor=true&amp;cauthor_uid=29305009" TargetMode="External"/><Relationship Id="rId168" Type="http://schemas.openxmlformats.org/officeDocument/2006/relationships/hyperlink" Target="https://www.ncbi.nlm.nih.gov/pubmed/?term=Ogawa%20R%5BAuthor%5D&amp;cauthor=true&amp;cauthor_uid=27959277" TargetMode="External"/><Relationship Id="rId312" Type="http://schemas.openxmlformats.org/officeDocument/2006/relationships/hyperlink" Target="https://www.ncbi.nlm.nih.gov/pubmed/21740368" TargetMode="External"/><Relationship Id="rId333" Type="http://schemas.openxmlformats.org/officeDocument/2006/relationships/hyperlink" Target="https://www.ncbi.nlm.nih.gov/pubmed/?term=Hegde%20P%5BAuthor%5D&amp;cauthor=true&amp;cauthor_uid=27195227" TargetMode="External"/><Relationship Id="rId51" Type="http://schemas.openxmlformats.org/officeDocument/2006/relationships/hyperlink" Target="https://www.ncbi.nlm.nih.gov/pubmed/?term=Saad%20El-Din%20SA%5BAuthor%5D&amp;cauthor=true&amp;cauthor_uid=26819565" TargetMode="External"/><Relationship Id="rId72" Type="http://schemas.openxmlformats.org/officeDocument/2006/relationships/hyperlink" Target="https://www.ncbi.nlm.nih.gov/pubmed/?term=TIAN%20Z%5BAuthor%5D&amp;cauthor=true&amp;cauthor_uid=26893692" TargetMode="External"/><Relationship Id="rId93" Type="http://schemas.openxmlformats.org/officeDocument/2006/relationships/hyperlink" Target="https://www.ncbi.nlm.nih.gov/pubmed/?term=Childs%20L%5BAuthor%5D&amp;cauthor=true&amp;cauthor_uid=26661849" TargetMode="External"/><Relationship Id="rId189" Type="http://schemas.openxmlformats.org/officeDocument/2006/relationships/hyperlink" Target="https://www.ncbi.nlm.nih.gov/pubmed/28561172" TargetMode="External"/><Relationship Id="rId3" Type="http://schemas.openxmlformats.org/officeDocument/2006/relationships/styles" Target="styles.xml"/><Relationship Id="rId214" Type="http://schemas.openxmlformats.org/officeDocument/2006/relationships/hyperlink" Target="https://www.ncbi.nlm.nih.gov/pubmed/?term=Longaker%20MT%5BAuthor%5D&amp;cauthor=true&amp;cauthor_uid=28117733" TargetMode="External"/><Relationship Id="rId235" Type="http://schemas.openxmlformats.org/officeDocument/2006/relationships/hyperlink" Target="https://www.ncbi.nlm.nih.gov/pubmed/?term=Jaffary%20F%5BAuthor%5D&amp;cauthor=true&amp;cauthor_uid=28349023" TargetMode="External"/><Relationship Id="rId256" Type="http://schemas.openxmlformats.org/officeDocument/2006/relationships/hyperlink" Target="https://www.ncbi.nlm.nih.gov/pubmed/?term=Everts%20PA%5BAuthor%5D&amp;cauthor=true&amp;cauthor_uid=21740376" TargetMode="External"/><Relationship Id="rId277" Type="http://schemas.openxmlformats.org/officeDocument/2006/relationships/hyperlink" Target="https://www.ncbi.nlm.nih.gov/pubmed/?term=Mustoe%20TA%5BAuthor%5D&amp;cauthor=true&amp;cauthor_uid=2045423" TargetMode="External"/><Relationship Id="rId298" Type="http://schemas.openxmlformats.org/officeDocument/2006/relationships/hyperlink" Target="https://www.ncbi.nlm.nih.gov/pmc/articles/PMC4444657/" TargetMode="External"/><Relationship Id="rId116" Type="http://schemas.openxmlformats.org/officeDocument/2006/relationships/hyperlink" Target="https://www.ncbi.nlm.nih.gov/pubmed/?term=Kim%20HK%5BAuthor%5D&amp;cauthor=true&amp;cauthor_uid=22319730" TargetMode="External"/><Relationship Id="rId137" Type="http://schemas.openxmlformats.org/officeDocument/2006/relationships/hyperlink" Target="https://www.ncbi.nlm.nih.gov/pubmed/24292216" TargetMode="External"/><Relationship Id="rId158" Type="http://schemas.openxmlformats.org/officeDocument/2006/relationships/hyperlink" Target="https://www.ncbi.nlm.nih.gov/pubmed/?term=Shen%20Y%5BAuthor%5D&amp;cauthor=true&amp;cauthor_uid=29623203" TargetMode="External"/><Relationship Id="rId302" Type="http://schemas.openxmlformats.org/officeDocument/2006/relationships/hyperlink" Target="https://www.ncbi.nlm.nih.gov/pubmed/?term=Lippross%20S%5BAuthor%5D&amp;cauthor=true&amp;cauthor_uid=28552640" TargetMode="External"/><Relationship Id="rId323" Type="http://schemas.openxmlformats.org/officeDocument/2006/relationships/hyperlink" Target="https://www.ncbi.nlm.nih.gov/pubmed/?term=SidAhmed-Mezi%20M%5BAuthor%5D&amp;cauthor=true&amp;cauthor_uid=27975003" TargetMode="External"/><Relationship Id="rId344" Type="http://schemas.openxmlformats.org/officeDocument/2006/relationships/hyperlink" Target="http://www.ncbi.nlm.nih.gov/pubmed/22547061?dopt=Abstrac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D:\Davyd\&#1057;&#1090;&#1072;&#1090;&#1080;&#1089;&#1090;&#1080;&#1082;&#1072;_Oxana.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D:\Davyd\&#1057;&#1090;&#1072;&#1090;&#1080;&#1089;&#1090;&#1080;&#1082;&#1072;_Oxana%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avyd\&#1057;&#1090;&#1072;&#1090;&#1080;&#1089;&#1090;&#1080;&#1082;&#1072;_Oxana%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avyd\&#1057;&#1090;&#1072;&#1090;&#1080;&#1089;&#1090;&#1080;&#1082;&#1072;_Oxan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avyd\&#1057;&#1090;&#1072;&#1090;&#1080;&#1089;&#1090;&#1080;&#1082;&#1072;_Oxan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Davyd\&#1057;&#1090;&#1072;&#1090;&#1080;&#1089;&#1090;&#1080;&#1082;&#1072;_Oxan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line3DChart>
        <c:grouping val="standard"/>
        <c:varyColors val="0"/>
        <c:ser>
          <c:idx val="0"/>
          <c:order val="0"/>
          <c:tx>
            <c:strRef>
              <c:f>Лист1!$B$1</c:f>
              <c:strCache>
                <c:ptCount val="1"/>
                <c:pt idx="0">
                  <c:v>1 група</c:v>
                </c:pt>
              </c:strCache>
            </c:strRef>
          </c:tx>
          <c:spPr>
            <a:solidFill>
              <a:schemeClr val="accent1"/>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Лист1!$B$2:$B$5</c:f>
              <c:numCache>
                <c:formatCode>General</c:formatCode>
                <c:ptCount val="4"/>
                <c:pt idx="0">
                  <c:v>25.6</c:v>
                </c:pt>
                <c:pt idx="1">
                  <c:v>29.9</c:v>
                </c:pt>
                <c:pt idx="2">
                  <c:v>30.2</c:v>
                </c:pt>
              </c:numCache>
            </c:numRef>
          </c:val>
          <c:smooth val="0"/>
          <c:extLst>
            <c:ext xmlns:c16="http://schemas.microsoft.com/office/drawing/2014/chart" uri="{C3380CC4-5D6E-409C-BE32-E72D297353CC}">
              <c16:uniqueId val="{00000000-7246-44B5-83AA-CF744094C516}"/>
            </c:ext>
          </c:extLst>
        </c:ser>
        <c:ser>
          <c:idx val="1"/>
          <c:order val="1"/>
          <c:tx>
            <c:strRef>
              <c:f>Лист1!$C$1</c:f>
              <c:strCache>
                <c:ptCount val="1"/>
                <c:pt idx="0">
                  <c:v>2 група</c:v>
                </c:pt>
              </c:strCache>
            </c:strRef>
          </c:tx>
          <c:spPr>
            <a:solidFill>
              <a:schemeClr val="accent2"/>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Лист1!$C$2:$C$5</c:f>
              <c:numCache>
                <c:formatCode>General</c:formatCode>
                <c:ptCount val="4"/>
                <c:pt idx="0">
                  <c:v>26.3</c:v>
                </c:pt>
                <c:pt idx="1">
                  <c:v>30.1</c:v>
                </c:pt>
                <c:pt idx="2">
                  <c:v>30.8</c:v>
                </c:pt>
              </c:numCache>
            </c:numRef>
          </c:val>
          <c:smooth val="0"/>
          <c:extLst>
            <c:ext xmlns:c16="http://schemas.microsoft.com/office/drawing/2014/chart" uri="{C3380CC4-5D6E-409C-BE32-E72D297353CC}">
              <c16:uniqueId val="{00000001-7246-44B5-83AA-CF744094C516}"/>
            </c:ext>
          </c:extLst>
        </c:ser>
        <c:ser>
          <c:idx val="2"/>
          <c:order val="2"/>
          <c:tx>
            <c:strRef>
              <c:f>Лист1!$D$1</c:f>
              <c:strCache>
                <c:ptCount val="1"/>
                <c:pt idx="0">
                  <c:v>Контрольна група </c:v>
                </c:pt>
              </c:strCache>
            </c:strRef>
          </c:tx>
          <c:spPr>
            <a:solidFill>
              <a:schemeClr val="accent3"/>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Лист1!$D$2:$D$5</c:f>
              <c:numCache>
                <c:formatCode>General</c:formatCode>
                <c:ptCount val="4"/>
                <c:pt idx="0">
                  <c:v>24.9</c:v>
                </c:pt>
                <c:pt idx="1">
                  <c:v>29.8</c:v>
                </c:pt>
                <c:pt idx="2">
                  <c:v>28.7</c:v>
                </c:pt>
              </c:numCache>
            </c:numRef>
          </c:val>
          <c:smooth val="0"/>
          <c:extLst>
            <c:ext xmlns:c16="http://schemas.microsoft.com/office/drawing/2014/chart" uri="{C3380CC4-5D6E-409C-BE32-E72D297353CC}">
              <c16:uniqueId val="{00000002-7246-44B5-83AA-CF744094C516}"/>
            </c:ext>
          </c:extLst>
        </c:ser>
        <c:dLbls>
          <c:showLegendKey val="0"/>
          <c:showVal val="0"/>
          <c:showCatName val="0"/>
          <c:showSerName val="0"/>
          <c:showPercent val="0"/>
          <c:showBubbleSize val="0"/>
        </c:dLbls>
        <c:axId val="130226688"/>
        <c:axId val="129146880"/>
        <c:axId val="174370816"/>
      </c:line3DChart>
      <c:catAx>
        <c:axId val="130226688"/>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Ділянка рубця</a:t>
                </a:r>
              </a:p>
            </c:rich>
          </c:tx>
          <c:layout>
            <c:manualLayout>
              <c:xMode val="edge"/>
              <c:yMode val="edge"/>
              <c:x val="0.22794801691455238"/>
              <c:y val="0.65254776292498362"/>
            </c:manualLayout>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uk-UA" sz="900" b="0" i="0" u="none" strike="noStrike" kern="1200" cap="none" spc="0" normalizeH="0" baseline="0">
                <a:solidFill>
                  <a:schemeClr val="dk1">
                    <a:lumMod val="65000"/>
                    <a:lumOff val="35000"/>
                  </a:schemeClr>
                </a:solidFill>
                <a:latin typeface="+mn-lt"/>
                <a:ea typeface="+mn-ea"/>
                <a:cs typeface="+mn-cs"/>
              </a:defRPr>
            </a:pPr>
            <a:endParaRPr lang="ru-RU"/>
          </a:p>
        </c:txPr>
        <c:crossAx val="129146880"/>
        <c:crosses val="autoZero"/>
        <c:auto val="1"/>
        <c:lblAlgn val="ctr"/>
        <c:lblOffset val="100"/>
        <c:noMultiLvlLbl val="0"/>
      </c:catAx>
      <c:valAx>
        <c:axId val="129146880"/>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Температура, </a:t>
                </a:r>
                <a:r>
                  <a:rPr lang="uk-UA">
                    <a:latin typeface="Times New Roman" panose="02020603050405020304" pitchFamily="18" charset="0"/>
                    <a:cs typeface="Times New Roman" panose="02020603050405020304" pitchFamily="18" charset="0"/>
                  </a:rPr>
                  <a:t>°С</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30226688"/>
        <c:crosses val="autoZero"/>
        <c:crossBetween val="between"/>
      </c:valAx>
      <c:serAx>
        <c:axId val="17437081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29146880"/>
        <c:crosses val="autoZero"/>
      </c:ser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lang="uk-UA" sz="800" b="0" i="0" u="none" strike="noStrike" kern="1200" baseline="0">
                <a:solidFill>
                  <a:schemeClr val="dk1">
                    <a:lumMod val="65000"/>
                    <a:lumOff val="35000"/>
                  </a:schemeClr>
                </a:solidFill>
                <a:latin typeface="+mn-lt"/>
                <a:ea typeface="+mn-ea"/>
                <a:cs typeface="+mn-cs"/>
              </a:defRPr>
            </a:pPr>
            <a:endParaRPr lang="ru-RU"/>
          </a:p>
        </c:txPr>
      </c:dTable>
      <c:spPr>
        <a:solidFill>
          <a:schemeClr val="lt1"/>
        </a:solid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5.1233179185935077E-2"/>
          <c:y val="2.9845483024299402E-2"/>
          <c:w val="0.82113043161271504"/>
          <c:h val="0.85980060960121962"/>
        </c:manualLayout>
      </c:layout>
      <c:bar3DChart>
        <c:barDir val="col"/>
        <c:grouping val="clustered"/>
        <c:varyColors val="1"/>
        <c:ser>
          <c:idx val="0"/>
          <c:order val="0"/>
          <c:tx>
            <c:strRef>
              <c:f>Лист2!$D$76</c:f>
              <c:strCache>
                <c:ptCount val="1"/>
                <c:pt idx="0">
                  <c:v>інтактна група</c:v>
                </c:pt>
              </c:strCache>
            </c:strRef>
          </c:tx>
          <c:invertIfNegative val="1"/>
          <c:cat>
            <c:strRef>
              <c:f>Лист2!$C$77:$C$80</c:f>
              <c:strCache>
                <c:ptCount val="4"/>
                <c:pt idx="0">
                  <c:v>3 міс</c:v>
                </c:pt>
                <c:pt idx="1">
                  <c:v>6 міс</c:v>
                </c:pt>
                <c:pt idx="2">
                  <c:v>9 міс</c:v>
                </c:pt>
                <c:pt idx="3">
                  <c:v>12 міс</c:v>
                </c:pt>
              </c:strCache>
            </c:strRef>
          </c:cat>
          <c:val>
            <c:numRef>
              <c:f>Лист2!$D$77:$D$80</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0E5E-4BEA-A6A1-CDAF29934E03}"/>
            </c:ext>
          </c:extLst>
        </c:ser>
        <c:ser>
          <c:idx val="1"/>
          <c:order val="1"/>
          <c:tx>
            <c:strRef>
              <c:f>Лист2!$E$76</c:f>
              <c:strCache>
                <c:ptCount val="1"/>
                <c:pt idx="0">
                  <c:v>група порівняння</c:v>
                </c:pt>
              </c:strCache>
            </c:strRef>
          </c:tx>
          <c:spPr>
            <a:solidFill>
              <a:srgbClr val="FF0000"/>
            </a:solidFill>
          </c:spPr>
          <c:invertIfNegative val="1"/>
          <c:dLbls>
            <c:dLbl>
              <c:idx val="0"/>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0E5E-4BEA-A6A1-CDAF29934E03}"/>
                </c:ext>
              </c:extLst>
            </c:dLbl>
            <c:dLbl>
              <c:idx val="1"/>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0E5E-4BEA-A6A1-CDAF29934E03}"/>
                </c:ext>
              </c:extLst>
            </c:dLbl>
            <c:dLbl>
              <c:idx val="2"/>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0E5E-4BEA-A6A1-CDAF29934E03}"/>
                </c:ext>
              </c:extLst>
            </c:dLbl>
            <c:dLbl>
              <c:idx val="3"/>
              <c:delete val="1"/>
              <c:extLst>
                <c:ext xmlns:c15="http://schemas.microsoft.com/office/drawing/2012/chart" uri="{CE6537A1-D6FC-4f65-9D91-7224C49458BB}"/>
                <c:ext xmlns:c16="http://schemas.microsoft.com/office/drawing/2014/chart" uri="{C3380CC4-5D6E-409C-BE32-E72D297353CC}">
                  <c16:uniqueId val="{00000004-0E5E-4BEA-A6A1-CDAF29934E03}"/>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Лист2!$C$77:$C$80</c:f>
              <c:strCache>
                <c:ptCount val="4"/>
                <c:pt idx="0">
                  <c:v>3 міс</c:v>
                </c:pt>
                <c:pt idx="1">
                  <c:v>6 міс</c:v>
                </c:pt>
                <c:pt idx="2">
                  <c:v>9 міс</c:v>
                </c:pt>
                <c:pt idx="3">
                  <c:v>12 міс</c:v>
                </c:pt>
              </c:strCache>
            </c:strRef>
          </c:cat>
          <c:val>
            <c:numRef>
              <c:f>Лист2!$E$77:$E$80</c:f>
              <c:numCache>
                <c:formatCode>General</c:formatCode>
                <c:ptCount val="4"/>
                <c:pt idx="0">
                  <c:v>189</c:v>
                </c:pt>
                <c:pt idx="1">
                  <c:v>151</c:v>
                </c:pt>
                <c:pt idx="2">
                  <c:v>108</c:v>
                </c:pt>
                <c:pt idx="3">
                  <c:v>104.6</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5-0E5E-4BEA-A6A1-CDAF29934E03}"/>
            </c:ext>
          </c:extLst>
        </c:ser>
        <c:ser>
          <c:idx val="2"/>
          <c:order val="2"/>
          <c:tx>
            <c:strRef>
              <c:f>Лист2!$F$76</c:f>
              <c:strCache>
                <c:ptCount val="1"/>
                <c:pt idx="0">
                  <c:v>PRF-згусток</c:v>
                </c:pt>
              </c:strCache>
            </c:strRef>
          </c:tx>
          <c:spPr>
            <a:solidFill>
              <a:srgbClr val="92D050"/>
            </a:solidFill>
          </c:spPr>
          <c:invertIfNegative val="1"/>
          <c:dLbls>
            <c:dLbl>
              <c:idx val="0"/>
              <c:layout>
                <c:manualLayout>
                  <c:x val="4.96031746031746E-3"/>
                  <c:y val="-5.3763440860215336E-3"/>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0E5E-4BEA-A6A1-CDAF29934E03}"/>
                </c:ext>
              </c:extLst>
            </c:dLbl>
            <c:dLbl>
              <c:idx val="1"/>
              <c:layout>
                <c:manualLayout>
                  <c:x val="9.9206349206349773E-3"/>
                  <c:y val="-2.6881720430107655E-3"/>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0E5E-4BEA-A6A1-CDAF29934E03}"/>
                </c:ext>
              </c:extLst>
            </c:dLbl>
            <c:dLbl>
              <c:idx val="2"/>
              <c:delete val="1"/>
              <c:extLst>
                <c:ext xmlns:c15="http://schemas.microsoft.com/office/drawing/2012/chart" uri="{CE6537A1-D6FC-4f65-9D91-7224C49458BB}"/>
                <c:ext xmlns:c16="http://schemas.microsoft.com/office/drawing/2014/chart" uri="{C3380CC4-5D6E-409C-BE32-E72D297353CC}">
                  <c16:uniqueId val="{00000008-0E5E-4BEA-A6A1-CDAF29934E03}"/>
                </c:ext>
              </c:extLst>
            </c:dLbl>
            <c:dLbl>
              <c:idx val="3"/>
              <c:delete val="1"/>
              <c:extLst>
                <c:ext xmlns:c15="http://schemas.microsoft.com/office/drawing/2012/chart" uri="{CE6537A1-D6FC-4f65-9D91-7224C49458BB}"/>
                <c:ext xmlns:c16="http://schemas.microsoft.com/office/drawing/2014/chart" uri="{C3380CC4-5D6E-409C-BE32-E72D297353CC}">
                  <c16:uniqueId val="{00000009-0E5E-4BEA-A6A1-CDAF29934E03}"/>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Лист2!$C$77:$C$80</c:f>
              <c:strCache>
                <c:ptCount val="4"/>
                <c:pt idx="0">
                  <c:v>3 міс</c:v>
                </c:pt>
                <c:pt idx="1">
                  <c:v>6 міс</c:v>
                </c:pt>
                <c:pt idx="2">
                  <c:v>9 міс</c:v>
                </c:pt>
                <c:pt idx="3">
                  <c:v>12 міс</c:v>
                </c:pt>
              </c:strCache>
            </c:strRef>
          </c:cat>
          <c:val>
            <c:numRef>
              <c:f>Лист2!$F$77:$F$80</c:f>
              <c:numCache>
                <c:formatCode>General</c:formatCode>
                <c:ptCount val="4"/>
                <c:pt idx="0">
                  <c:v>155.4</c:v>
                </c:pt>
                <c:pt idx="1">
                  <c:v>116.6</c:v>
                </c:pt>
                <c:pt idx="2">
                  <c:v>103.8</c:v>
                </c:pt>
                <c:pt idx="3">
                  <c:v>102.1</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A-0E5E-4BEA-A6A1-CDAF29934E03}"/>
            </c:ext>
          </c:extLst>
        </c:ser>
        <c:ser>
          <c:idx val="3"/>
          <c:order val="3"/>
          <c:tx>
            <c:strRef>
              <c:f>Лист2!$G$76</c:f>
              <c:strCache>
                <c:ptCount val="1"/>
                <c:pt idx="0">
                  <c:v>PRF-згусток і Біоцерулін</c:v>
                </c:pt>
              </c:strCache>
            </c:strRef>
          </c:tx>
          <c:spPr>
            <a:solidFill>
              <a:srgbClr val="FFFF00"/>
            </a:solidFill>
          </c:spPr>
          <c:invertIfNegative val="1"/>
          <c:dLbls>
            <c:dLbl>
              <c:idx val="0"/>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0E5E-4BEA-A6A1-CDAF29934E03}"/>
                </c:ext>
              </c:extLst>
            </c:dLbl>
            <c:dLbl>
              <c:idx val="1"/>
              <c:layout>
                <c:manualLayout>
                  <c:x val="1.7103153393907063E-2"/>
                  <c:y val="0"/>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0E5E-4BEA-A6A1-CDAF29934E03}"/>
                </c:ext>
              </c:extLst>
            </c:dLbl>
            <c:dLbl>
              <c:idx val="2"/>
              <c:delete val="1"/>
              <c:extLst>
                <c:ext xmlns:c15="http://schemas.microsoft.com/office/drawing/2012/chart" uri="{CE6537A1-D6FC-4f65-9D91-7224C49458BB}"/>
                <c:ext xmlns:c16="http://schemas.microsoft.com/office/drawing/2014/chart" uri="{C3380CC4-5D6E-409C-BE32-E72D297353CC}">
                  <c16:uniqueId val="{0000000D-0E5E-4BEA-A6A1-CDAF29934E03}"/>
                </c:ext>
              </c:extLst>
            </c:dLbl>
            <c:dLbl>
              <c:idx val="3"/>
              <c:delete val="1"/>
              <c:extLst>
                <c:ext xmlns:c15="http://schemas.microsoft.com/office/drawing/2012/chart" uri="{CE6537A1-D6FC-4f65-9D91-7224C49458BB}"/>
                <c:ext xmlns:c16="http://schemas.microsoft.com/office/drawing/2014/chart" uri="{C3380CC4-5D6E-409C-BE32-E72D297353CC}">
                  <c16:uniqueId val="{0000000E-0E5E-4BEA-A6A1-CDAF29934E03}"/>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Лист2!$C$77:$C$80</c:f>
              <c:strCache>
                <c:ptCount val="4"/>
                <c:pt idx="0">
                  <c:v>3 міс</c:v>
                </c:pt>
                <c:pt idx="1">
                  <c:v>6 міс</c:v>
                </c:pt>
                <c:pt idx="2">
                  <c:v>9 міс</c:v>
                </c:pt>
                <c:pt idx="3">
                  <c:v>12 міс</c:v>
                </c:pt>
              </c:strCache>
            </c:strRef>
          </c:cat>
          <c:val>
            <c:numRef>
              <c:f>Лист2!$G$77:$G$80</c:f>
              <c:numCache>
                <c:formatCode>General</c:formatCode>
                <c:ptCount val="4"/>
                <c:pt idx="0">
                  <c:v>122.6</c:v>
                </c:pt>
                <c:pt idx="1">
                  <c:v>109.2</c:v>
                </c:pt>
                <c:pt idx="2">
                  <c:v>107.8</c:v>
                </c:pt>
                <c:pt idx="3">
                  <c:v>100</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F-0E5E-4BEA-A6A1-CDAF29934E03}"/>
            </c:ext>
          </c:extLst>
        </c:ser>
        <c:dLbls>
          <c:showLegendKey val="0"/>
          <c:showVal val="0"/>
          <c:showCatName val="0"/>
          <c:showSerName val="0"/>
          <c:showPercent val="0"/>
          <c:showBubbleSize val="0"/>
        </c:dLbls>
        <c:gapWidth val="150"/>
        <c:shape val="box"/>
        <c:axId val="130225664"/>
        <c:axId val="283384000"/>
        <c:axId val="0"/>
      </c:bar3DChart>
      <c:catAx>
        <c:axId val="130225664"/>
        <c:scaling>
          <c:orientation val="minMax"/>
        </c:scaling>
        <c:delete val="1"/>
        <c:axPos val="b"/>
        <c:numFmt formatCode="General" sourceLinked="0"/>
        <c:majorTickMark val="cross"/>
        <c:minorTickMark val="cross"/>
        <c:tickLblPos val="nextTo"/>
        <c:crossAx val="283384000"/>
        <c:crosses val="autoZero"/>
        <c:auto val="1"/>
        <c:lblAlgn val="ctr"/>
        <c:lblOffset val="100"/>
        <c:noMultiLvlLbl val="1"/>
      </c:catAx>
      <c:valAx>
        <c:axId val="283384000"/>
        <c:scaling>
          <c:orientation val="minMax"/>
        </c:scaling>
        <c:delete val="1"/>
        <c:axPos val="l"/>
        <c:majorGridlines/>
        <c:numFmt formatCode="General" sourceLinked="1"/>
        <c:majorTickMark val="cross"/>
        <c:minorTickMark val="cross"/>
        <c:tickLblPos val="nextTo"/>
        <c:crossAx val="130225664"/>
        <c:crosses val="autoZero"/>
        <c:crossBetween val="between"/>
      </c:valAx>
    </c:plotArea>
    <c:legend>
      <c:legendPos val="r"/>
      <c:layout>
        <c:manualLayout>
          <c:xMode val="edge"/>
          <c:yMode val="edge"/>
          <c:x val="0.72341692724005358"/>
          <c:y val="1.6473461650627054E-2"/>
          <c:w val="0.27462479536396961"/>
          <c:h val="0.37689427079190957"/>
        </c:manualLayout>
      </c:layout>
      <c:overlay val="1"/>
      <c:txPr>
        <a:bodyPr/>
        <a:lstStyle/>
        <a:p>
          <a:pPr>
            <a:defRPr lang="uk-UA"/>
          </a:pPr>
          <a:endParaRPr lang="ru-RU"/>
        </a:p>
      </c:txPr>
    </c:legend>
    <c:plotVisOnly val="1"/>
    <c:dispBlanksAs val="zero"/>
    <c:showDLblsOverMax val="1"/>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line3DChart>
        <c:grouping val="standard"/>
        <c:varyColors val="0"/>
        <c:ser>
          <c:idx val="0"/>
          <c:order val="0"/>
          <c:tx>
            <c:strRef>
              <c:f>Лист1!$B$1</c:f>
              <c:strCache>
                <c:ptCount val="1"/>
                <c:pt idx="0">
                  <c:v>1 група</c:v>
                </c:pt>
              </c:strCache>
            </c:strRef>
          </c:tx>
          <c:spPr>
            <a:solidFill>
              <a:schemeClr val="accent1"/>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Лист1!$B$2:$B$5</c:f>
              <c:numCache>
                <c:formatCode>General</c:formatCode>
                <c:ptCount val="4"/>
                <c:pt idx="0">
                  <c:v>28.1</c:v>
                </c:pt>
                <c:pt idx="1">
                  <c:v>31.1</c:v>
                </c:pt>
                <c:pt idx="2">
                  <c:v>31.3</c:v>
                </c:pt>
              </c:numCache>
            </c:numRef>
          </c:val>
          <c:smooth val="0"/>
          <c:extLst>
            <c:ext xmlns:c16="http://schemas.microsoft.com/office/drawing/2014/chart" uri="{C3380CC4-5D6E-409C-BE32-E72D297353CC}">
              <c16:uniqueId val="{00000000-7078-44AD-A7F4-84525EDADD4C}"/>
            </c:ext>
          </c:extLst>
        </c:ser>
        <c:ser>
          <c:idx val="1"/>
          <c:order val="1"/>
          <c:tx>
            <c:strRef>
              <c:f>Лист1!$C$1</c:f>
              <c:strCache>
                <c:ptCount val="1"/>
                <c:pt idx="0">
                  <c:v>2 група</c:v>
                </c:pt>
              </c:strCache>
            </c:strRef>
          </c:tx>
          <c:spPr>
            <a:solidFill>
              <a:schemeClr val="accent2"/>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Лист1!$C$2:$C$5</c:f>
              <c:numCache>
                <c:formatCode>General</c:formatCode>
                <c:ptCount val="4"/>
                <c:pt idx="0">
                  <c:v>28.9</c:v>
                </c:pt>
                <c:pt idx="1">
                  <c:v>31.4</c:v>
                </c:pt>
                <c:pt idx="2">
                  <c:v>31.7</c:v>
                </c:pt>
              </c:numCache>
            </c:numRef>
          </c:val>
          <c:smooth val="0"/>
          <c:extLst>
            <c:ext xmlns:c16="http://schemas.microsoft.com/office/drawing/2014/chart" uri="{C3380CC4-5D6E-409C-BE32-E72D297353CC}">
              <c16:uniqueId val="{00000001-7078-44AD-A7F4-84525EDADD4C}"/>
            </c:ext>
          </c:extLst>
        </c:ser>
        <c:ser>
          <c:idx val="2"/>
          <c:order val="2"/>
          <c:tx>
            <c:strRef>
              <c:f>Лист1!$D$1</c:f>
              <c:strCache>
                <c:ptCount val="1"/>
                <c:pt idx="0">
                  <c:v>Контрольна група </c:v>
                </c:pt>
              </c:strCache>
            </c:strRef>
          </c:tx>
          <c:spPr>
            <a:solidFill>
              <a:schemeClr val="accent3"/>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Лист1!$D$2:$D$5</c:f>
              <c:numCache>
                <c:formatCode>General</c:formatCode>
                <c:ptCount val="4"/>
                <c:pt idx="0">
                  <c:v>26.8</c:v>
                </c:pt>
                <c:pt idx="1">
                  <c:v>30.6</c:v>
                </c:pt>
                <c:pt idx="2">
                  <c:v>30.1</c:v>
                </c:pt>
              </c:numCache>
            </c:numRef>
          </c:val>
          <c:smooth val="0"/>
          <c:extLst>
            <c:ext xmlns:c16="http://schemas.microsoft.com/office/drawing/2014/chart" uri="{C3380CC4-5D6E-409C-BE32-E72D297353CC}">
              <c16:uniqueId val="{00000002-7078-44AD-A7F4-84525EDADD4C}"/>
            </c:ext>
          </c:extLst>
        </c:ser>
        <c:dLbls>
          <c:showLegendKey val="0"/>
          <c:showVal val="0"/>
          <c:showCatName val="0"/>
          <c:showSerName val="0"/>
          <c:showPercent val="0"/>
          <c:showBubbleSize val="0"/>
        </c:dLbls>
        <c:axId val="203959296"/>
        <c:axId val="43997952"/>
        <c:axId val="174372096"/>
      </c:line3DChart>
      <c:catAx>
        <c:axId val="203959296"/>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Ділянка рубця</a:t>
                </a:r>
              </a:p>
            </c:rich>
          </c:tx>
          <c:layout>
            <c:manualLayout>
              <c:xMode val="edge"/>
              <c:yMode val="edge"/>
              <c:x val="0.2279480169145523"/>
              <c:y val="0.65254776292498362"/>
            </c:manualLayout>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uk-UA" sz="900" b="0" i="0" u="none" strike="noStrike" kern="1200" cap="none" spc="0" normalizeH="0" baseline="0">
                <a:solidFill>
                  <a:schemeClr val="dk1">
                    <a:lumMod val="65000"/>
                    <a:lumOff val="35000"/>
                  </a:schemeClr>
                </a:solidFill>
                <a:latin typeface="+mn-lt"/>
                <a:ea typeface="+mn-ea"/>
                <a:cs typeface="+mn-cs"/>
              </a:defRPr>
            </a:pPr>
            <a:endParaRPr lang="ru-RU"/>
          </a:p>
        </c:txPr>
        <c:crossAx val="43997952"/>
        <c:crosses val="autoZero"/>
        <c:auto val="1"/>
        <c:lblAlgn val="ctr"/>
        <c:lblOffset val="100"/>
        <c:noMultiLvlLbl val="0"/>
      </c:catAx>
      <c:valAx>
        <c:axId val="43997952"/>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Температура, </a:t>
                </a:r>
                <a:r>
                  <a:rPr lang="uk-UA" sz="900" b="1" i="0" u="none" strike="noStrike" baseline="0">
                    <a:effectLst/>
                  </a:rPr>
                  <a:t>°С</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203959296"/>
        <c:crosses val="autoZero"/>
        <c:crossBetween val="between"/>
      </c:valAx>
      <c:serAx>
        <c:axId val="17437209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43997952"/>
        <c:crosses val="autoZero"/>
      </c:ser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lang="uk-UA" sz="800" b="0" i="0" u="none" strike="noStrike" kern="1200" baseline="0">
                <a:solidFill>
                  <a:schemeClr val="dk1">
                    <a:lumMod val="65000"/>
                    <a:lumOff val="35000"/>
                  </a:schemeClr>
                </a:solidFill>
                <a:latin typeface="+mn-lt"/>
                <a:ea typeface="+mn-ea"/>
                <a:cs typeface="+mn-cs"/>
              </a:defRPr>
            </a:pPr>
            <a:endParaRPr lang="ru-RU"/>
          </a:p>
        </c:txPr>
      </c:dTable>
      <c:spPr>
        <a:solidFill>
          <a:schemeClr val="lt1"/>
        </a:solid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line3DChart>
        <c:grouping val="standard"/>
        <c:varyColors val="0"/>
        <c:ser>
          <c:idx val="0"/>
          <c:order val="0"/>
          <c:tx>
            <c:strRef>
              <c:f>Лист1!$B$1</c:f>
              <c:strCache>
                <c:ptCount val="1"/>
                <c:pt idx="0">
                  <c:v>1 група</c:v>
                </c:pt>
              </c:strCache>
            </c:strRef>
          </c:tx>
          <c:spPr>
            <a:solidFill>
              <a:schemeClr val="accent1"/>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Лист1!$B$2:$B$5</c:f>
              <c:numCache>
                <c:formatCode>General</c:formatCode>
                <c:ptCount val="4"/>
                <c:pt idx="0">
                  <c:v>29.2</c:v>
                </c:pt>
                <c:pt idx="1">
                  <c:v>32.1</c:v>
                </c:pt>
                <c:pt idx="2">
                  <c:v>32.4</c:v>
                </c:pt>
              </c:numCache>
            </c:numRef>
          </c:val>
          <c:smooth val="0"/>
          <c:extLst>
            <c:ext xmlns:c16="http://schemas.microsoft.com/office/drawing/2014/chart" uri="{C3380CC4-5D6E-409C-BE32-E72D297353CC}">
              <c16:uniqueId val="{00000000-C548-43CE-B8F6-D8A72EDA928A}"/>
            </c:ext>
          </c:extLst>
        </c:ser>
        <c:ser>
          <c:idx val="1"/>
          <c:order val="1"/>
          <c:tx>
            <c:strRef>
              <c:f>Лист1!$C$1</c:f>
              <c:strCache>
                <c:ptCount val="1"/>
                <c:pt idx="0">
                  <c:v>2 група</c:v>
                </c:pt>
              </c:strCache>
            </c:strRef>
          </c:tx>
          <c:spPr>
            <a:solidFill>
              <a:schemeClr val="accent2"/>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Лист1!$C$2:$C$5</c:f>
              <c:numCache>
                <c:formatCode>General</c:formatCode>
                <c:ptCount val="4"/>
                <c:pt idx="0">
                  <c:v>30.4</c:v>
                </c:pt>
                <c:pt idx="1">
                  <c:v>32.9</c:v>
                </c:pt>
                <c:pt idx="2">
                  <c:v>31.7</c:v>
                </c:pt>
              </c:numCache>
            </c:numRef>
          </c:val>
          <c:smooth val="0"/>
          <c:extLst>
            <c:ext xmlns:c16="http://schemas.microsoft.com/office/drawing/2014/chart" uri="{C3380CC4-5D6E-409C-BE32-E72D297353CC}">
              <c16:uniqueId val="{00000001-C548-43CE-B8F6-D8A72EDA928A}"/>
            </c:ext>
          </c:extLst>
        </c:ser>
        <c:ser>
          <c:idx val="2"/>
          <c:order val="2"/>
          <c:tx>
            <c:strRef>
              <c:f>Лист1!$D$1</c:f>
              <c:strCache>
                <c:ptCount val="1"/>
                <c:pt idx="0">
                  <c:v>Контрольна група </c:v>
                </c:pt>
              </c:strCache>
            </c:strRef>
          </c:tx>
          <c:spPr>
            <a:solidFill>
              <a:schemeClr val="accent3"/>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Лист1!$D$2:$D$5</c:f>
              <c:numCache>
                <c:formatCode>General</c:formatCode>
                <c:ptCount val="4"/>
                <c:pt idx="0">
                  <c:v>28.1</c:v>
                </c:pt>
                <c:pt idx="1">
                  <c:v>31.1</c:v>
                </c:pt>
                <c:pt idx="2">
                  <c:v>31.7</c:v>
                </c:pt>
              </c:numCache>
            </c:numRef>
          </c:val>
          <c:smooth val="0"/>
          <c:extLst>
            <c:ext xmlns:c16="http://schemas.microsoft.com/office/drawing/2014/chart" uri="{C3380CC4-5D6E-409C-BE32-E72D297353CC}">
              <c16:uniqueId val="{00000002-C548-43CE-B8F6-D8A72EDA928A}"/>
            </c:ext>
          </c:extLst>
        </c:ser>
        <c:dLbls>
          <c:showLegendKey val="0"/>
          <c:showVal val="0"/>
          <c:showCatName val="0"/>
          <c:showSerName val="0"/>
          <c:showPercent val="0"/>
          <c:showBubbleSize val="0"/>
        </c:dLbls>
        <c:axId val="219371520"/>
        <c:axId val="129150336"/>
        <c:axId val="174372736"/>
      </c:line3DChart>
      <c:catAx>
        <c:axId val="219371520"/>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Ділянка рубця</a:t>
                </a:r>
              </a:p>
            </c:rich>
          </c:tx>
          <c:layout>
            <c:manualLayout>
              <c:xMode val="edge"/>
              <c:yMode val="edge"/>
              <c:x val="0.2279480169145523"/>
              <c:y val="0.65254776292498362"/>
            </c:manualLayout>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uk-UA" sz="900" b="0" i="0" u="none" strike="noStrike" kern="1200" cap="none" spc="0" normalizeH="0" baseline="0">
                <a:solidFill>
                  <a:schemeClr val="dk1">
                    <a:lumMod val="65000"/>
                    <a:lumOff val="35000"/>
                  </a:schemeClr>
                </a:solidFill>
                <a:latin typeface="+mn-lt"/>
                <a:ea typeface="+mn-ea"/>
                <a:cs typeface="+mn-cs"/>
              </a:defRPr>
            </a:pPr>
            <a:endParaRPr lang="ru-RU"/>
          </a:p>
        </c:txPr>
        <c:crossAx val="129150336"/>
        <c:crosses val="autoZero"/>
        <c:auto val="1"/>
        <c:lblAlgn val="ctr"/>
        <c:lblOffset val="100"/>
        <c:noMultiLvlLbl val="0"/>
      </c:catAx>
      <c:valAx>
        <c:axId val="129150336"/>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Температура, </a:t>
                </a:r>
                <a:r>
                  <a:rPr lang="uk-UA" sz="900" b="1" i="0" u="none" strike="noStrike" baseline="0">
                    <a:effectLst/>
                  </a:rPr>
                  <a:t>°С</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219371520"/>
        <c:crosses val="autoZero"/>
        <c:crossBetween val="between"/>
      </c:valAx>
      <c:serAx>
        <c:axId val="174372736"/>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29150336"/>
        <c:crosses val="autoZero"/>
      </c:ser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lang="uk-UA" sz="800" b="0" i="0" u="none" strike="noStrike" kern="1200" baseline="0">
                <a:solidFill>
                  <a:schemeClr val="dk1">
                    <a:lumMod val="65000"/>
                    <a:lumOff val="35000"/>
                  </a:schemeClr>
                </a:solidFill>
                <a:latin typeface="+mn-lt"/>
                <a:ea typeface="+mn-ea"/>
                <a:cs typeface="+mn-cs"/>
              </a:defRPr>
            </a:pPr>
            <a:endParaRPr lang="ru-RU"/>
          </a:p>
        </c:txPr>
      </c:dTable>
      <c:spPr>
        <a:solidFill>
          <a:schemeClr val="lt1"/>
        </a:solid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pattFill prst="ltDnDiag">
          <a:fgClr>
            <a:schemeClr val="dk1">
              <a:lumMod val="15000"/>
              <a:lumOff val="85000"/>
            </a:schemeClr>
          </a:fgClr>
          <a:bgClr>
            <a:schemeClr val="lt1"/>
          </a:bgClr>
        </a:pattFill>
        <a:ln>
          <a:noFill/>
        </a:ln>
        <a:effectLst/>
        <a:sp3d/>
      </c:spPr>
    </c:floor>
    <c:sideWall>
      <c:thickness val="0"/>
      <c:spPr>
        <a:pattFill prst="ltDnDiag">
          <a:fgClr>
            <a:schemeClr val="dk1">
              <a:lumMod val="15000"/>
              <a:lumOff val="85000"/>
            </a:schemeClr>
          </a:fgClr>
          <a:bgClr>
            <a:schemeClr val="lt1"/>
          </a:bgClr>
        </a:pattFill>
        <a:ln>
          <a:noFill/>
        </a:ln>
        <a:effectLst/>
        <a:sp3d/>
      </c:spPr>
    </c:sideWall>
    <c:backWall>
      <c:thickness val="0"/>
      <c:spPr>
        <a:pattFill prst="ltDnDiag">
          <a:fgClr>
            <a:schemeClr val="dk1">
              <a:lumMod val="15000"/>
              <a:lumOff val="85000"/>
            </a:schemeClr>
          </a:fgClr>
          <a:bgClr>
            <a:schemeClr val="lt1"/>
          </a:bgClr>
        </a:pattFill>
        <a:ln>
          <a:noFill/>
        </a:ln>
        <a:effectLst/>
        <a:sp3d/>
      </c:spPr>
    </c:backWall>
    <c:plotArea>
      <c:layout/>
      <c:line3DChart>
        <c:grouping val="standard"/>
        <c:varyColors val="0"/>
        <c:ser>
          <c:idx val="0"/>
          <c:order val="0"/>
          <c:tx>
            <c:strRef>
              <c:f>Лист1!$B$1</c:f>
              <c:strCache>
                <c:ptCount val="1"/>
                <c:pt idx="0">
                  <c:v>1 група</c:v>
                </c:pt>
              </c:strCache>
            </c:strRef>
          </c:tx>
          <c:spPr>
            <a:solidFill>
              <a:schemeClr val="accent1"/>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Лист1!$B$2:$B$5</c:f>
              <c:numCache>
                <c:formatCode>General</c:formatCode>
                <c:ptCount val="4"/>
                <c:pt idx="0">
                  <c:v>30.2</c:v>
                </c:pt>
                <c:pt idx="1">
                  <c:v>33.6</c:v>
                </c:pt>
                <c:pt idx="2">
                  <c:v>33.800000000000004</c:v>
                </c:pt>
              </c:numCache>
            </c:numRef>
          </c:val>
          <c:smooth val="0"/>
          <c:extLst>
            <c:ext xmlns:c16="http://schemas.microsoft.com/office/drawing/2014/chart" uri="{C3380CC4-5D6E-409C-BE32-E72D297353CC}">
              <c16:uniqueId val="{00000000-4973-41CA-A6B7-8275B4C25F48}"/>
            </c:ext>
          </c:extLst>
        </c:ser>
        <c:ser>
          <c:idx val="1"/>
          <c:order val="1"/>
          <c:tx>
            <c:strRef>
              <c:f>Лист1!$C$1</c:f>
              <c:strCache>
                <c:ptCount val="1"/>
                <c:pt idx="0">
                  <c:v>2 група</c:v>
                </c:pt>
              </c:strCache>
            </c:strRef>
          </c:tx>
          <c:spPr>
            <a:solidFill>
              <a:schemeClr val="accent2"/>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Лист1!$C$2:$C$5</c:f>
              <c:numCache>
                <c:formatCode>General</c:formatCode>
                <c:ptCount val="4"/>
                <c:pt idx="0">
                  <c:v>33.9</c:v>
                </c:pt>
                <c:pt idx="1">
                  <c:v>34.4</c:v>
                </c:pt>
                <c:pt idx="2">
                  <c:v>34.6</c:v>
                </c:pt>
              </c:numCache>
            </c:numRef>
          </c:val>
          <c:smooth val="0"/>
          <c:extLst>
            <c:ext xmlns:c16="http://schemas.microsoft.com/office/drawing/2014/chart" uri="{C3380CC4-5D6E-409C-BE32-E72D297353CC}">
              <c16:uniqueId val="{00000001-4973-41CA-A6B7-8275B4C25F48}"/>
            </c:ext>
          </c:extLst>
        </c:ser>
        <c:ser>
          <c:idx val="2"/>
          <c:order val="2"/>
          <c:tx>
            <c:strRef>
              <c:f>Лист1!$D$1</c:f>
              <c:strCache>
                <c:ptCount val="1"/>
                <c:pt idx="0">
                  <c:v>Контрольна група </c:v>
                </c:pt>
              </c:strCache>
            </c:strRef>
          </c:tx>
          <c:spPr>
            <a:solidFill>
              <a:schemeClr val="accent3"/>
            </a:solidFill>
            <a:ln>
              <a:noFill/>
            </a:ln>
            <a:effectLst/>
            <a:sp3d/>
          </c:spPr>
          <c:cat>
            <c:strRef>
              <c:f>Лист1!$A$2:$A$5</c:f>
              <c:strCache>
                <c:ptCount val="3"/>
                <c:pt idx="0">
                  <c:v>Центральна частина</c:v>
                </c:pt>
                <c:pt idx="1">
                  <c:v>Медіальний край</c:v>
                </c:pt>
                <c:pt idx="2">
                  <c:v>Латеральний край</c:v>
                </c:pt>
              </c:strCache>
            </c:strRef>
          </c:cat>
          <c:val>
            <c:numRef>
              <c:f>Лист1!$D$2:$D$5</c:f>
              <c:numCache>
                <c:formatCode>General</c:formatCode>
                <c:ptCount val="4"/>
                <c:pt idx="0">
                  <c:v>29.7</c:v>
                </c:pt>
                <c:pt idx="1">
                  <c:v>32.300000000000004</c:v>
                </c:pt>
                <c:pt idx="2">
                  <c:v>32.9</c:v>
                </c:pt>
              </c:numCache>
            </c:numRef>
          </c:val>
          <c:smooth val="0"/>
          <c:extLst>
            <c:ext xmlns:c16="http://schemas.microsoft.com/office/drawing/2014/chart" uri="{C3380CC4-5D6E-409C-BE32-E72D297353CC}">
              <c16:uniqueId val="{00000002-4973-41CA-A6B7-8275B4C25F48}"/>
            </c:ext>
          </c:extLst>
        </c:ser>
        <c:dLbls>
          <c:showLegendKey val="0"/>
          <c:showVal val="0"/>
          <c:showCatName val="0"/>
          <c:showSerName val="0"/>
          <c:showPercent val="0"/>
          <c:showBubbleSize val="0"/>
        </c:dLbls>
        <c:axId val="241476608"/>
        <c:axId val="129152064"/>
        <c:axId val="174376192"/>
      </c:line3DChart>
      <c:catAx>
        <c:axId val="241476608"/>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Ділянка рубця</a:t>
                </a:r>
              </a:p>
            </c:rich>
          </c:tx>
          <c:layout>
            <c:manualLayout>
              <c:xMode val="edge"/>
              <c:yMode val="edge"/>
              <c:x val="0.2279480169145523"/>
              <c:y val="0.65254776292498362"/>
            </c:manualLayout>
          </c:layout>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uk-UA" sz="900" b="0" i="0" u="none" strike="noStrike" kern="1200" cap="none" spc="0" normalizeH="0" baseline="0">
                <a:solidFill>
                  <a:schemeClr val="dk1">
                    <a:lumMod val="65000"/>
                    <a:lumOff val="35000"/>
                  </a:schemeClr>
                </a:solidFill>
                <a:latin typeface="+mn-lt"/>
                <a:ea typeface="+mn-ea"/>
                <a:cs typeface="+mn-cs"/>
              </a:defRPr>
            </a:pPr>
            <a:endParaRPr lang="ru-RU"/>
          </a:p>
        </c:txPr>
        <c:crossAx val="129152064"/>
        <c:crosses val="autoZero"/>
        <c:auto val="1"/>
        <c:lblAlgn val="ctr"/>
        <c:lblOffset val="100"/>
        <c:noMultiLvlLbl val="0"/>
      </c:catAx>
      <c:valAx>
        <c:axId val="129152064"/>
        <c:scaling>
          <c:orientation val="minMax"/>
        </c:scaling>
        <c:delete val="0"/>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lang="uk-UA" sz="900" b="1" i="0" u="none" strike="noStrike" kern="1200" baseline="0">
                    <a:solidFill>
                      <a:schemeClr val="dk1">
                        <a:lumMod val="65000"/>
                        <a:lumOff val="35000"/>
                      </a:schemeClr>
                    </a:solidFill>
                    <a:latin typeface="+mn-lt"/>
                    <a:ea typeface="+mn-ea"/>
                    <a:cs typeface="+mn-cs"/>
                  </a:defRPr>
                </a:pPr>
                <a:r>
                  <a:rPr lang="uk-UA"/>
                  <a:t>Температура, </a:t>
                </a:r>
                <a:r>
                  <a:rPr lang="uk-UA" sz="900" b="1" i="0" u="none" strike="noStrike" baseline="0">
                    <a:effectLst/>
                  </a:rPr>
                  <a:t>°С</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241476608"/>
        <c:crosses val="autoZero"/>
        <c:crossBetween val="between"/>
      </c:valAx>
      <c:serAx>
        <c:axId val="174376192"/>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crossAx val="129152064"/>
        <c:crosses val="autoZero"/>
      </c:ser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lang="uk-UA" sz="800" b="0" i="0" u="none" strike="noStrike" kern="1200" baseline="0">
                <a:solidFill>
                  <a:schemeClr val="dk1">
                    <a:lumMod val="65000"/>
                    <a:lumOff val="35000"/>
                  </a:schemeClr>
                </a:solidFill>
                <a:latin typeface="+mn-lt"/>
                <a:ea typeface="+mn-ea"/>
                <a:cs typeface="+mn-cs"/>
              </a:defRPr>
            </a:pPr>
            <a:endParaRPr lang="ru-RU"/>
          </a:p>
        </c:txPr>
      </c:dTable>
      <c:spPr>
        <a:solidFill>
          <a:schemeClr val="lt1"/>
        </a:solidFill>
        <a:ln>
          <a:noFill/>
        </a:ln>
        <a:effectLst/>
      </c:spPr>
    </c:plotArea>
    <c:legend>
      <c:legendPos val="b"/>
      <c:overlay val="0"/>
      <c:spPr>
        <a:noFill/>
        <a:ln>
          <a:noFill/>
        </a:ln>
        <a:effectLst/>
      </c:spPr>
      <c:txPr>
        <a:bodyPr rot="0" spcFirstLastPara="1" vertOverflow="ellipsis" vert="horz" wrap="square" anchor="ctr" anchorCtr="1"/>
        <a:lstStyle/>
        <a:p>
          <a:pPr>
            <a:defRPr lang="uk-UA"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Лист2!$D$172</c:f>
              <c:strCache>
                <c:ptCount val="1"/>
                <c:pt idx="0">
                  <c:v>3 група</c:v>
                </c:pt>
              </c:strCache>
            </c:strRef>
          </c:tx>
          <c:spPr>
            <a:solidFill>
              <a:srgbClr val="00B0F0"/>
            </a:solidFill>
          </c:spPr>
          <c:invertIfNegative val="1"/>
          <c:dLbls>
            <c:dLbl>
              <c:idx val="0"/>
              <c:layout>
                <c:manualLayout>
                  <c:x val="5.5741360089186176E-2"/>
                  <c:y val="0"/>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0-A727-4342-983D-D00C20ED5E71}"/>
                </c:ext>
              </c:extLst>
            </c:dLbl>
            <c:dLbl>
              <c:idx val="1"/>
              <c:layout>
                <c:manualLayout>
                  <c:x val="5.5741360089186176E-2"/>
                  <c:y val="-0.14432989690721648"/>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A727-4342-983D-D00C20ED5E71}"/>
                </c:ext>
              </c:extLst>
            </c:dLbl>
            <c:dLbl>
              <c:idx val="2"/>
              <c:layout>
                <c:manualLayout>
                  <c:x val="4.4593088071349006E-2"/>
                  <c:y val="-0.23024082041291241"/>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A727-4342-983D-D00C20ED5E71}"/>
                </c:ext>
              </c:extLst>
            </c:dLbl>
            <c:dLbl>
              <c:idx val="3"/>
              <c:layout>
                <c:manualLayout>
                  <c:x val="8.918617614269804E-2"/>
                  <c:y val="-0.13745704467353953"/>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A727-4342-983D-D00C20ED5E71}"/>
                </c:ext>
              </c:extLst>
            </c:dLbl>
            <c:spPr>
              <a:noFill/>
              <a:ln>
                <a:noFill/>
              </a:ln>
              <a:effectLst/>
            </c:spPr>
            <c:txPr>
              <a:bodyPr/>
              <a:lstStyle/>
              <a:p>
                <a:pPr>
                  <a:defRPr lang="uk-UA" sz="1200" b="0">
                    <a:solidFill>
                      <a:sysClr val="windowText" lastClr="000000"/>
                    </a:solidFill>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Лист2!$C$173:$C$176</c:f>
              <c:strCache>
                <c:ptCount val="4"/>
                <c:pt idx="0">
                  <c:v>3 міс</c:v>
                </c:pt>
                <c:pt idx="1">
                  <c:v>6 міс</c:v>
                </c:pt>
                <c:pt idx="2">
                  <c:v>9 міс</c:v>
                </c:pt>
                <c:pt idx="3">
                  <c:v>12 міс</c:v>
                </c:pt>
              </c:strCache>
            </c:strRef>
          </c:cat>
          <c:val>
            <c:numRef>
              <c:f>Лист2!$D$173:$D$176</c:f>
              <c:numCache>
                <c:formatCode>General</c:formatCode>
                <c:ptCount val="4"/>
                <c:pt idx="0">
                  <c:v>29.9</c:v>
                </c:pt>
                <c:pt idx="1">
                  <c:v>20.100000000000001</c:v>
                </c:pt>
                <c:pt idx="2">
                  <c:v>17.100000000000001</c:v>
                </c:pt>
                <c:pt idx="3">
                  <c:v>14.9</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4-A727-4342-983D-D00C20ED5E71}"/>
            </c:ext>
          </c:extLst>
        </c:ser>
        <c:ser>
          <c:idx val="1"/>
          <c:order val="1"/>
          <c:tx>
            <c:strRef>
              <c:f>Лист2!$E$172</c:f>
              <c:strCache>
                <c:ptCount val="1"/>
                <c:pt idx="0">
                  <c:v>1 група</c:v>
                </c:pt>
              </c:strCache>
            </c:strRef>
          </c:tx>
          <c:spPr>
            <a:solidFill>
              <a:srgbClr val="FF0000"/>
            </a:solidFill>
          </c:spPr>
          <c:invertIfNegative val="1"/>
          <c:dLbls>
            <c:dLbl>
              <c:idx val="0"/>
              <c:layout>
                <c:manualLayout>
                  <c:x val="1.2956398844793231E-2"/>
                  <c:y val="-8.5910652920962227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5-A727-4342-983D-D00C20ED5E71}"/>
                </c:ext>
              </c:extLst>
            </c:dLbl>
            <c:dLbl>
              <c:idx val="1"/>
              <c:layout>
                <c:manualLayout>
                  <c:x val="-4.8808363837463484E-3"/>
                  <c:y val="-9.2783505154639206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A727-4342-983D-D00C20ED5E71}"/>
                </c:ext>
              </c:extLst>
            </c:dLbl>
            <c:dLbl>
              <c:idx val="2"/>
              <c:layout>
                <c:manualLayout>
                  <c:x val="-1.0665823962640123E-2"/>
                  <c:y val="-0.17211353735422263"/>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A727-4342-983D-D00C20ED5E71}"/>
                </c:ext>
              </c:extLst>
            </c:dLbl>
            <c:dLbl>
              <c:idx val="3"/>
              <c:layout>
                <c:manualLayout>
                  <c:x val="3.8145173324906294E-2"/>
                  <c:y val="-6.4999864707633193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8-A727-4342-983D-D00C20ED5E71}"/>
                </c:ext>
              </c:extLst>
            </c:dLbl>
            <c:spPr>
              <a:noFill/>
              <a:ln>
                <a:noFill/>
              </a:ln>
              <a:effectLst/>
            </c:spPr>
            <c:txPr>
              <a:bodyPr/>
              <a:lstStyle/>
              <a:p>
                <a:pPr>
                  <a:defRPr lang="uk-UA" sz="1200" b="0">
                    <a:solidFill>
                      <a:sysClr val="windowText" lastClr="000000"/>
                    </a:solidFill>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Лист2!$C$173:$C$176</c:f>
              <c:strCache>
                <c:ptCount val="4"/>
                <c:pt idx="0">
                  <c:v>3 міс</c:v>
                </c:pt>
                <c:pt idx="1">
                  <c:v>6 міс</c:v>
                </c:pt>
                <c:pt idx="2">
                  <c:v>9 міс</c:v>
                </c:pt>
                <c:pt idx="3">
                  <c:v>12 міс</c:v>
                </c:pt>
              </c:strCache>
            </c:strRef>
          </c:cat>
          <c:val>
            <c:numRef>
              <c:f>Лист2!$E$173:$E$176</c:f>
              <c:numCache>
                <c:formatCode>General</c:formatCode>
                <c:ptCount val="4"/>
                <c:pt idx="0">
                  <c:v>22</c:v>
                </c:pt>
                <c:pt idx="1">
                  <c:v>17.899999999999999</c:v>
                </c:pt>
                <c:pt idx="2">
                  <c:v>15</c:v>
                </c:pt>
                <c:pt idx="3">
                  <c:v>14.4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9-A727-4342-983D-D00C20ED5E71}"/>
            </c:ext>
          </c:extLst>
        </c:ser>
        <c:ser>
          <c:idx val="2"/>
          <c:order val="2"/>
          <c:tx>
            <c:strRef>
              <c:f>Лист2!$F$172</c:f>
              <c:strCache>
                <c:ptCount val="1"/>
                <c:pt idx="0">
                  <c:v>2 група</c:v>
                </c:pt>
              </c:strCache>
            </c:strRef>
          </c:tx>
          <c:spPr>
            <a:solidFill>
              <a:srgbClr val="00B050"/>
            </a:solidFill>
          </c:spPr>
          <c:invertIfNegative val="1"/>
          <c:dLbls>
            <c:dLbl>
              <c:idx val="0"/>
              <c:layout>
                <c:manualLayout>
                  <c:x val="-4.534607923173483E-2"/>
                  <c:y val="-8.90548475255028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A-A727-4342-983D-D00C20ED5E71}"/>
                </c:ext>
              </c:extLst>
            </c:dLbl>
            <c:dLbl>
              <c:idx val="1"/>
              <c:layout>
                <c:manualLayout>
                  <c:x val="-5.1041002817791586E-2"/>
                  <c:y val="-7.2164948453608324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A727-4342-983D-D00C20ED5E71}"/>
                </c:ext>
              </c:extLst>
            </c:dLbl>
            <c:dLbl>
              <c:idx val="2"/>
              <c:layout>
                <c:manualLayout>
                  <c:x val="-5.5258912033989062E-2"/>
                  <c:y val="-0.10280055199285655"/>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A727-4342-983D-D00C20ED5E71}"/>
                </c:ext>
              </c:extLst>
            </c:dLbl>
            <c:dLbl>
              <c:idx val="3"/>
              <c:layout>
                <c:manualLayout>
                  <c:x val="0"/>
                  <c:y val="-1.0309278350515465E-2"/>
                </c:manualLayout>
              </c:layout>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D-A727-4342-983D-D00C20ED5E71}"/>
                </c:ext>
              </c:extLst>
            </c:dLbl>
            <c:spPr>
              <a:noFill/>
              <a:ln>
                <a:noFill/>
              </a:ln>
              <a:effectLst/>
            </c:spPr>
            <c:txPr>
              <a:bodyPr/>
              <a:lstStyle/>
              <a:p>
                <a:pPr>
                  <a:defRPr lang="uk-UA" sz="1200" b="0">
                    <a:solidFill>
                      <a:sysClr val="windowText" lastClr="000000"/>
                    </a:solidFill>
                  </a:defRPr>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Лист2!$C$173:$C$176</c:f>
              <c:strCache>
                <c:ptCount val="4"/>
                <c:pt idx="0">
                  <c:v>3 міс</c:v>
                </c:pt>
                <c:pt idx="1">
                  <c:v>6 міс</c:v>
                </c:pt>
                <c:pt idx="2">
                  <c:v>9 міс</c:v>
                </c:pt>
                <c:pt idx="3">
                  <c:v>12 міс</c:v>
                </c:pt>
              </c:strCache>
            </c:strRef>
          </c:cat>
          <c:val>
            <c:numRef>
              <c:f>Лист2!$F$173:$F$176</c:f>
              <c:numCache>
                <c:formatCode>General</c:formatCode>
                <c:ptCount val="4"/>
                <c:pt idx="0">
                  <c:v>18.100000000000001</c:v>
                </c:pt>
                <c:pt idx="1">
                  <c:v>15.1</c:v>
                </c:pt>
                <c:pt idx="2">
                  <c:v>14</c:v>
                </c:pt>
                <c:pt idx="3">
                  <c:v>13.4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E-A727-4342-983D-D00C20ED5E71}"/>
            </c:ext>
          </c:extLst>
        </c:ser>
        <c:dLbls>
          <c:showLegendKey val="0"/>
          <c:showVal val="0"/>
          <c:showCatName val="0"/>
          <c:showSerName val="0"/>
          <c:showPercent val="0"/>
          <c:showBubbleSize val="0"/>
        </c:dLbls>
        <c:gapWidth val="150"/>
        <c:shape val="box"/>
        <c:axId val="218864640"/>
        <c:axId val="129153792"/>
        <c:axId val="0"/>
      </c:bar3DChart>
      <c:catAx>
        <c:axId val="218864640"/>
        <c:scaling>
          <c:orientation val="minMax"/>
        </c:scaling>
        <c:delete val="1"/>
        <c:axPos val="b"/>
        <c:numFmt formatCode="General" sourceLinked="0"/>
        <c:majorTickMark val="none"/>
        <c:minorTickMark val="cross"/>
        <c:tickLblPos val="nextTo"/>
        <c:crossAx val="129153792"/>
        <c:crosses val="autoZero"/>
        <c:auto val="1"/>
        <c:lblAlgn val="ctr"/>
        <c:lblOffset val="100"/>
        <c:noMultiLvlLbl val="1"/>
      </c:catAx>
      <c:valAx>
        <c:axId val="129153792"/>
        <c:scaling>
          <c:orientation val="minMax"/>
        </c:scaling>
        <c:delete val="1"/>
        <c:axPos val="l"/>
        <c:majorGridlines/>
        <c:title>
          <c:tx>
            <c:rich>
              <a:bodyPr/>
              <a:lstStyle/>
              <a:p>
                <a:pPr>
                  <a:defRPr lang="uk-UA"/>
                </a:pPr>
                <a:r>
                  <a:rPr lang="en-US"/>
                  <a:t>%</a:t>
                </a:r>
              </a:p>
            </c:rich>
          </c:tx>
          <c:overlay val="1"/>
        </c:title>
        <c:numFmt formatCode="General" sourceLinked="1"/>
        <c:majorTickMark val="cross"/>
        <c:minorTickMark val="cross"/>
        <c:tickLblPos val="nextTo"/>
        <c:crossAx val="218864640"/>
        <c:crosses val="autoZero"/>
        <c:crossBetween val="between"/>
      </c:valAx>
    </c:plotArea>
    <c:legend>
      <c:legendPos val="r"/>
      <c:layout>
        <c:manualLayout>
          <c:xMode val="edge"/>
          <c:yMode val="edge"/>
          <c:x val="0.87392539334989705"/>
          <c:y val="1.2900242183791892E-3"/>
          <c:w val="0.10600777745591181"/>
          <c:h val="0.18642178748275046"/>
        </c:manualLayout>
      </c:layout>
      <c:overlay val="1"/>
      <c:txPr>
        <a:bodyPr/>
        <a:lstStyle/>
        <a:p>
          <a:pPr>
            <a:defRPr lang="uk-UA"/>
          </a:pPr>
          <a:endParaRPr lang="ru-RU"/>
        </a:p>
      </c:txPr>
    </c:legend>
    <c:plotVisOnly val="1"/>
    <c:dispBlanksAs val="zero"/>
    <c:showDLblsOverMax val="1"/>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6.904150350190183E-2"/>
          <c:y val="4.7204590497616404E-2"/>
          <c:w val="0.75240571532836475"/>
          <c:h val="0.8675417804917247"/>
        </c:manualLayout>
      </c:layout>
      <c:bar3DChart>
        <c:barDir val="col"/>
        <c:grouping val="clustered"/>
        <c:varyColors val="1"/>
        <c:ser>
          <c:idx val="0"/>
          <c:order val="0"/>
          <c:tx>
            <c:strRef>
              <c:f>Лист2!$D$179</c:f>
              <c:strCache>
                <c:ptCount val="1"/>
                <c:pt idx="0">
                  <c:v>інтактна група</c:v>
                </c:pt>
              </c:strCache>
            </c:strRef>
          </c:tx>
          <c:invertIfNegative val="1"/>
          <c:cat>
            <c:strRef>
              <c:f>Лист2!$C$180:$C$183</c:f>
              <c:strCache>
                <c:ptCount val="4"/>
                <c:pt idx="0">
                  <c:v>3 міс</c:v>
                </c:pt>
                <c:pt idx="1">
                  <c:v>6 міс</c:v>
                </c:pt>
                <c:pt idx="2">
                  <c:v>9 міс</c:v>
                </c:pt>
                <c:pt idx="3">
                  <c:v>12 міс</c:v>
                </c:pt>
              </c:strCache>
            </c:strRef>
          </c:cat>
          <c:val>
            <c:numRef>
              <c:f>Лист2!$D$180:$D$183</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3CBA-42FA-B90B-FA02D68D68E6}"/>
            </c:ext>
          </c:extLst>
        </c:ser>
        <c:ser>
          <c:idx val="1"/>
          <c:order val="1"/>
          <c:tx>
            <c:strRef>
              <c:f>Лист2!$E$179</c:f>
              <c:strCache>
                <c:ptCount val="1"/>
                <c:pt idx="0">
                  <c:v>група порівняння</c:v>
                </c:pt>
              </c:strCache>
            </c:strRef>
          </c:tx>
          <c:spPr>
            <a:solidFill>
              <a:srgbClr val="FF0000"/>
            </a:solidFill>
          </c:spPr>
          <c:invertIfNegative val="1"/>
          <c:dLbls>
            <c:dLbl>
              <c:idx val="0"/>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3CBA-42FA-B90B-FA02D68D68E6}"/>
                </c:ext>
              </c:extLst>
            </c:dLbl>
            <c:dLbl>
              <c:idx val="1"/>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3CBA-42FA-B90B-FA02D68D68E6}"/>
                </c:ext>
              </c:extLst>
            </c:dLbl>
            <c:dLbl>
              <c:idx val="2"/>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3CBA-42FA-B90B-FA02D68D68E6}"/>
                </c:ext>
              </c:extLst>
            </c:dLbl>
            <c:dLbl>
              <c:idx val="3"/>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4-3CBA-42FA-B90B-FA02D68D68E6}"/>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Лист2!$C$180:$C$183</c:f>
              <c:strCache>
                <c:ptCount val="4"/>
                <c:pt idx="0">
                  <c:v>3 міс</c:v>
                </c:pt>
                <c:pt idx="1">
                  <c:v>6 міс</c:v>
                </c:pt>
                <c:pt idx="2">
                  <c:v>9 міс</c:v>
                </c:pt>
                <c:pt idx="3">
                  <c:v>12 міс</c:v>
                </c:pt>
              </c:strCache>
            </c:strRef>
          </c:cat>
          <c:val>
            <c:numRef>
              <c:f>Лист2!$E$180:$E$183</c:f>
              <c:numCache>
                <c:formatCode>General</c:formatCode>
                <c:ptCount val="4"/>
                <c:pt idx="0">
                  <c:v>219.7</c:v>
                </c:pt>
                <c:pt idx="1">
                  <c:v>147.6</c:v>
                </c:pt>
                <c:pt idx="2">
                  <c:v>125.4</c:v>
                </c:pt>
                <c:pt idx="3">
                  <c:v>109.4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5-3CBA-42FA-B90B-FA02D68D68E6}"/>
            </c:ext>
          </c:extLst>
        </c:ser>
        <c:ser>
          <c:idx val="2"/>
          <c:order val="2"/>
          <c:tx>
            <c:strRef>
              <c:f>Лист2!$F$179</c:f>
              <c:strCache>
                <c:ptCount val="1"/>
                <c:pt idx="0">
                  <c:v>PRF-згусток</c:v>
                </c:pt>
              </c:strCache>
            </c:strRef>
          </c:tx>
          <c:spPr>
            <a:solidFill>
              <a:srgbClr val="00B050"/>
            </a:solidFill>
          </c:spPr>
          <c:invertIfNegative val="1"/>
          <c:dLbls>
            <c:dLbl>
              <c:idx val="0"/>
              <c:layout>
                <c:manualLayout>
                  <c:x val="2.0053475935828881E-2"/>
                  <c:y val="8.5034013605442566E-3"/>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3CBA-42FA-B90B-FA02D68D68E6}"/>
                </c:ext>
              </c:extLst>
            </c:dLbl>
            <c:dLbl>
              <c:idx val="1"/>
              <c:layout>
                <c:manualLayout>
                  <c:x val="1.3368983957219251E-2"/>
                  <c:y val="0"/>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3CBA-42FA-B90B-FA02D68D68E6}"/>
                </c:ext>
              </c:extLst>
            </c:dLbl>
            <c:dLbl>
              <c:idx val="2"/>
              <c:layout>
                <c:manualLayout>
                  <c:x val="1.7825311942959002E-2"/>
                  <c:y val="0"/>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8-3CBA-42FA-B90B-FA02D68D68E6}"/>
                </c:ext>
              </c:extLst>
            </c:dLbl>
            <c:dLbl>
              <c:idx val="3"/>
              <c:delete val="1"/>
              <c:extLst>
                <c:ext xmlns:c15="http://schemas.microsoft.com/office/drawing/2012/chart" uri="{CE6537A1-D6FC-4f65-9D91-7224C49458BB}"/>
                <c:ext xmlns:c16="http://schemas.microsoft.com/office/drawing/2014/chart" uri="{C3380CC4-5D6E-409C-BE32-E72D297353CC}">
                  <c16:uniqueId val="{00000009-3CBA-42FA-B90B-FA02D68D68E6}"/>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Лист2!$C$180:$C$183</c:f>
              <c:strCache>
                <c:ptCount val="4"/>
                <c:pt idx="0">
                  <c:v>3 міс</c:v>
                </c:pt>
                <c:pt idx="1">
                  <c:v>6 міс</c:v>
                </c:pt>
                <c:pt idx="2">
                  <c:v>9 міс</c:v>
                </c:pt>
                <c:pt idx="3">
                  <c:v>12 міс</c:v>
                </c:pt>
              </c:strCache>
            </c:strRef>
          </c:cat>
          <c:val>
            <c:numRef>
              <c:f>Лист2!$F$180:$F$183</c:f>
              <c:numCache>
                <c:formatCode>General</c:formatCode>
                <c:ptCount val="4"/>
                <c:pt idx="0">
                  <c:v>161.30000000000001</c:v>
                </c:pt>
                <c:pt idx="1">
                  <c:v>131.5</c:v>
                </c:pt>
                <c:pt idx="2">
                  <c:v>110.2</c:v>
                </c:pt>
                <c:pt idx="3">
                  <c:v>105.5</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A-3CBA-42FA-B90B-FA02D68D68E6}"/>
            </c:ext>
          </c:extLst>
        </c:ser>
        <c:ser>
          <c:idx val="3"/>
          <c:order val="3"/>
          <c:tx>
            <c:strRef>
              <c:f>Лист2!$G$179</c:f>
              <c:strCache>
                <c:ptCount val="1"/>
                <c:pt idx="0">
                  <c:v>PRF-згусток і Біоцерулін</c:v>
                </c:pt>
              </c:strCache>
            </c:strRef>
          </c:tx>
          <c:spPr>
            <a:solidFill>
              <a:srgbClr val="FFFF00"/>
            </a:solidFill>
          </c:spPr>
          <c:invertIfNegative val="1"/>
          <c:dLbls>
            <c:dLbl>
              <c:idx val="0"/>
              <c:layout>
                <c:manualLayout>
                  <c:x val="8.9126559714795047E-3"/>
                  <c:y val="4.2517006802721439E-3"/>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3CBA-42FA-B90B-FA02D68D68E6}"/>
                </c:ext>
              </c:extLst>
            </c:dLbl>
            <c:dLbl>
              <c:idx val="1"/>
              <c:layout>
                <c:manualLayout>
                  <c:x val="8.9126559714795047E-3"/>
                  <c:y val="0"/>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3CBA-42FA-B90B-FA02D68D68E6}"/>
                </c:ext>
              </c:extLst>
            </c:dLbl>
            <c:dLbl>
              <c:idx val="2"/>
              <c:delete val="1"/>
              <c:extLst>
                <c:ext xmlns:c15="http://schemas.microsoft.com/office/drawing/2012/chart" uri="{CE6537A1-D6FC-4f65-9D91-7224C49458BB}"/>
                <c:ext xmlns:c16="http://schemas.microsoft.com/office/drawing/2014/chart" uri="{C3380CC4-5D6E-409C-BE32-E72D297353CC}">
                  <c16:uniqueId val="{0000000D-3CBA-42FA-B90B-FA02D68D68E6}"/>
                </c:ext>
              </c:extLst>
            </c:dLbl>
            <c:dLbl>
              <c:idx val="3"/>
              <c:delete val="1"/>
              <c:extLst>
                <c:ext xmlns:c15="http://schemas.microsoft.com/office/drawing/2012/chart" uri="{CE6537A1-D6FC-4f65-9D91-7224C49458BB}"/>
                <c:ext xmlns:c16="http://schemas.microsoft.com/office/drawing/2014/chart" uri="{C3380CC4-5D6E-409C-BE32-E72D297353CC}">
                  <c16:uniqueId val="{0000000E-3CBA-42FA-B90B-FA02D68D68E6}"/>
                </c:ext>
              </c:extLst>
            </c:dLbl>
            <c:spPr>
              <a:noFill/>
              <a:ln>
                <a:noFill/>
              </a:ln>
              <a:effectLst/>
            </c:spPr>
            <c:txPr>
              <a:bodyPr/>
              <a:lstStyle/>
              <a:p>
                <a:pPr>
                  <a:defRPr lang="uk-UA"/>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Лист2!$C$180:$C$183</c:f>
              <c:strCache>
                <c:ptCount val="4"/>
                <c:pt idx="0">
                  <c:v>3 міс</c:v>
                </c:pt>
                <c:pt idx="1">
                  <c:v>6 міс</c:v>
                </c:pt>
                <c:pt idx="2">
                  <c:v>9 міс</c:v>
                </c:pt>
                <c:pt idx="3">
                  <c:v>12 міс</c:v>
                </c:pt>
              </c:strCache>
            </c:strRef>
          </c:cat>
          <c:val>
            <c:numRef>
              <c:f>Лист2!$G$180:$G$183</c:f>
              <c:numCache>
                <c:formatCode>General</c:formatCode>
                <c:ptCount val="4"/>
                <c:pt idx="0">
                  <c:v>133.1</c:v>
                </c:pt>
                <c:pt idx="1">
                  <c:v>110.1</c:v>
                </c:pt>
                <c:pt idx="2">
                  <c:v>103.5</c:v>
                </c:pt>
                <c:pt idx="3">
                  <c:v>98.4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F-3CBA-42FA-B90B-FA02D68D68E6}"/>
            </c:ext>
          </c:extLst>
        </c:ser>
        <c:dLbls>
          <c:showLegendKey val="0"/>
          <c:showVal val="0"/>
          <c:showCatName val="0"/>
          <c:showSerName val="0"/>
          <c:showPercent val="0"/>
          <c:showBubbleSize val="0"/>
        </c:dLbls>
        <c:gapWidth val="150"/>
        <c:shape val="box"/>
        <c:axId val="125603328"/>
        <c:axId val="283377664"/>
        <c:axId val="0"/>
      </c:bar3DChart>
      <c:catAx>
        <c:axId val="125603328"/>
        <c:scaling>
          <c:orientation val="minMax"/>
        </c:scaling>
        <c:delete val="1"/>
        <c:axPos val="b"/>
        <c:numFmt formatCode="General" sourceLinked="0"/>
        <c:majorTickMark val="cross"/>
        <c:minorTickMark val="cross"/>
        <c:tickLblPos val="nextTo"/>
        <c:crossAx val="283377664"/>
        <c:crosses val="autoZero"/>
        <c:auto val="1"/>
        <c:lblAlgn val="ctr"/>
        <c:lblOffset val="100"/>
        <c:noMultiLvlLbl val="1"/>
      </c:catAx>
      <c:valAx>
        <c:axId val="283377664"/>
        <c:scaling>
          <c:orientation val="minMax"/>
        </c:scaling>
        <c:delete val="1"/>
        <c:axPos val="l"/>
        <c:majorGridlines/>
        <c:numFmt formatCode="General" sourceLinked="1"/>
        <c:majorTickMark val="cross"/>
        <c:minorTickMark val="cross"/>
        <c:tickLblPos val="nextTo"/>
        <c:crossAx val="125603328"/>
        <c:crosses val="autoZero"/>
        <c:crossBetween val="between"/>
      </c:valAx>
    </c:plotArea>
    <c:legend>
      <c:legendPos val="r"/>
      <c:layout>
        <c:manualLayout>
          <c:xMode val="edge"/>
          <c:yMode val="edge"/>
          <c:x val="0.6717990716152491"/>
          <c:y val="8.0614380439287536E-2"/>
          <c:w val="0.2829418770542525"/>
          <c:h val="0.34622358060505598"/>
        </c:manualLayout>
      </c:layout>
      <c:overlay val="1"/>
      <c:txPr>
        <a:bodyPr/>
        <a:lstStyle/>
        <a:p>
          <a:pPr>
            <a:defRPr lang="uk-UA"/>
          </a:pPr>
          <a:endParaRPr lang="ru-RU"/>
        </a:p>
      </c:txPr>
    </c:legend>
    <c:plotVisOnly val="1"/>
    <c:dispBlanksAs val="zero"/>
    <c:showDLblsOverMax val="1"/>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9.372784769828367E-2"/>
          <c:y val="5.1400554097404488E-2"/>
          <c:w val="0.88880499607360464"/>
          <c:h val="0.85133492807069999"/>
        </c:manualLayout>
      </c:layout>
      <c:bar3DChart>
        <c:barDir val="col"/>
        <c:grouping val="clustered"/>
        <c:varyColors val="1"/>
        <c:ser>
          <c:idx val="0"/>
          <c:order val="0"/>
          <c:tx>
            <c:strRef>
              <c:f>Лист2!$D$83</c:f>
              <c:strCache>
                <c:ptCount val="1"/>
                <c:pt idx="0">
                  <c:v>інтактна група</c:v>
                </c:pt>
              </c:strCache>
            </c:strRef>
          </c:tx>
          <c:invertIfNegative val="1"/>
          <c:cat>
            <c:strRef>
              <c:f>Лист2!$C$84:$C$87</c:f>
              <c:strCache>
                <c:ptCount val="4"/>
                <c:pt idx="0">
                  <c:v>3 міс</c:v>
                </c:pt>
                <c:pt idx="1">
                  <c:v>6 міс</c:v>
                </c:pt>
                <c:pt idx="2">
                  <c:v>9 міс</c:v>
                </c:pt>
                <c:pt idx="3">
                  <c:v>12 міс</c:v>
                </c:pt>
              </c:strCache>
            </c:strRef>
          </c:cat>
          <c:val>
            <c:numRef>
              <c:f>Лист2!$D$84:$D$87</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28EC-4A7B-9ADE-61721E2F97D7}"/>
            </c:ext>
          </c:extLst>
        </c:ser>
        <c:ser>
          <c:idx val="1"/>
          <c:order val="1"/>
          <c:tx>
            <c:strRef>
              <c:f>Лист2!$E$83</c:f>
              <c:strCache>
                <c:ptCount val="1"/>
                <c:pt idx="0">
                  <c:v>група порівняння</c:v>
                </c:pt>
              </c:strCache>
            </c:strRef>
          </c:tx>
          <c:spPr>
            <a:solidFill>
              <a:srgbClr val="FF0000"/>
            </a:solidFill>
          </c:spPr>
          <c:invertIfNegative val="1"/>
          <c:dLbls>
            <c:dLbl>
              <c:idx val="0"/>
              <c:layout>
                <c:manualLayout>
                  <c:x val="1.3477088948787115E-2"/>
                  <c:y val="8.4388185654008484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28EC-4A7B-9ADE-61721E2F97D7}"/>
                </c:ext>
              </c:extLst>
            </c:dLbl>
            <c:dLbl>
              <c:idx val="1"/>
              <c:layout>
                <c:manualLayout>
                  <c:x val="8.9847259658580505E-3"/>
                  <c:y val="1.687763713080168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28EC-4A7B-9ADE-61721E2F97D7}"/>
                </c:ext>
              </c:extLst>
            </c:dLbl>
            <c:dLbl>
              <c:idx val="2"/>
              <c:layout>
                <c:manualLayout>
                  <c:x val="1.1230907457322551E-2"/>
                  <c:y val="1.265822784810126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28EC-4A7B-9ADE-61721E2F97D7}"/>
                </c:ext>
              </c:extLst>
            </c:dLbl>
            <c:dLbl>
              <c:idx val="3"/>
              <c:delete val="1"/>
              <c:extLst>
                <c:ext xmlns:c15="http://schemas.microsoft.com/office/drawing/2012/chart" uri="{CE6537A1-D6FC-4f65-9D91-7224C49458BB}"/>
                <c:ext xmlns:c16="http://schemas.microsoft.com/office/drawing/2014/chart" uri="{C3380CC4-5D6E-409C-BE32-E72D297353CC}">
                  <c16:uniqueId val="{00000004-28EC-4A7B-9ADE-61721E2F97D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Лист2!$C$84:$C$87</c:f>
              <c:strCache>
                <c:ptCount val="4"/>
                <c:pt idx="0">
                  <c:v>3 міс</c:v>
                </c:pt>
                <c:pt idx="1">
                  <c:v>6 міс</c:v>
                </c:pt>
                <c:pt idx="2">
                  <c:v>9 міс</c:v>
                </c:pt>
                <c:pt idx="3">
                  <c:v>12 міс</c:v>
                </c:pt>
              </c:strCache>
            </c:strRef>
          </c:cat>
          <c:val>
            <c:numRef>
              <c:f>Лист2!$E$84:$E$87</c:f>
              <c:numCache>
                <c:formatCode>General</c:formatCode>
                <c:ptCount val="4"/>
                <c:pt idx="0">
                  <c:v>203.2</c:v>
                </c:pt>
                <c:pt idx="1">
                  <c:v>141</c:v>
                </c:pt>
                <c:pt idx="2">
                  <c:v>113.7</c:v>
                </c:pt>
                <c:pt idx="3">
                  <c:v>107.8</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5-28EC-4A7B-9ADE-61721E2F97D7}"/>
            </c:ext>
          </c:extLst>
        </c:ser>
        <c:ser>
          <c:idx val="2"/>
          <c:order val="2"/>
          <c:tx>
            <c:strRef>
              <c:f>Лист2!$F$83</c:f>
              <c:strCache>
                <c:ptCount val="1"/>
                <c:pt idx="0">
                  <c:v>PRF-згусток</c:v>
                </c:pt>
              </c:strCache>
            </c:strRef>
          </c:tx>
          <c:spPr>
            <a:solidFill>
              <a:srgbClr val="00B050"/>
            </a:solidFill>
          </c:spPr>
          <c:invertIfNegative val="1"/>
          <c:dLbls>
            <c:dLbl>
              <c:idx val="0"/>
              <c:layout>
                <c:manualLayout>
                  <c:x val="6.7385444743935539E-3"/>
                  <c:y val="0"/>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28EC-4A7B-9ADE-61721E2F97D7}"/>
                </c:ext>
              </c:extLst>
            </c:dLbl>
            <c:dLbl>
              <c:idx val="1"/>
              <c:layout>
                <c:manualLayout>
                  <c:x val="1.1002752014488797E-2"/>
                  <c:y val="1.7287949765772949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28EC-4A7B-9ADE-61721E2F97D7}"/>
                </c:ext>
              </c:extLst>
            </c:dLbl>
            <c:dLbl>
              <c:idx val="2"/>
              <c:delete val="1"/>
              <c:extLst>
                <c:ext xmlns:c15="http://schemas.microsoft.com/office/drawing/2012/chart" uri="{CE6537A1-D6FC-4f65-9D91-7224C49458BB}"/>
                <c:ext xmlns:c16="http://schemas.microsoft.com/office/drawing/2014/chart" uri="{C3380CC4-5D6E-409C-BE32-E72D297353CC}">
                  <c16:uniqueId val="{00000008-28EC-4A7B-9ADE-61721E2F97D7}"/>
                </c:ext>
              </c:extLst>
            </c:dLbl>
            <c:dLbl>
              <c:idx val="3"/>
              <c:delete val="1"/>
              <c:extLst>
                <c:ext xmlns:c15="http://schemas.microsoft.com/office/drawing/2012/chart" uri="{CE6537A1-D6FC-4f65-9D91-7224C49458BB}"/>
                <c:ext xmlns:c16="http://schemas.microsoft.com/office/drawing/2014/chart" uri="{C3380CC4-5D6E-409C-BE32-E72D297353CC}">
                  <c16:uniqueId val="{00000009-28EC-4A7B-9ADE-61721E2F97D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Лист2!$C$84:$C$87</c:f>
              <c:strCache>
                <c:ptCount val="4"/>
                <c:pt idx="0">
                  <c:v>3 міс</c:v>
                </c:pt>
                <c:pt idx="1">
                  <c:v>6 міс</c:v>
                </c:pt>
                <c:pt idx="2">
                  <c:v>9 міс</c:v>
                </c:pt>
                <c:pt idx="3">
                  <c:v>12 міс</c:v>
                </c:pt>
              </c:strCache>
            </c:strRef>
          </c:cat>
          <c:val>
            <c:numRef>
              <c:f>Лист2!$F$84:$F$87</c:f>
              <c:numCache>
                <c:formatCode>General</c:formatCode>
                <c:ptCount val="4"/>
                <c:pt idx="0">
                  <c:v>149</c:v>
                </c:pt>
                <c:pt idx="1">
                  <c:v>119.6</c:v>
                </c:pt>
                <c:pt idx="2">
                  <c:v>108</c:v>
                </c:pt>
                <c:pt idx="3">
                  <c:v>104.6</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A-28EC-4A7B-9ADE-61721E2F97D7}"/>
            </c:ext>
          </c:extLst>
        </c:ser>
        <c:ser>
          <c:idx val="3"/>
          <c:order val="3"/>
          <c:tx>
            <c:strRef>
              <c:f>Лист2!$G$83</c:f>
              <c:strCache>
                <c:ptCount val="1"/>
                <c:pt idx="0">
                  <c:v>PRF-згусток і Біоцерулін</c:v>
                </c:pt>
              </c:strCache>
            </c:strRef>
          </c:tx>
          <c:spPr>
            <a:solidFill>
              <a:srgbClr val="FFFF00"/>
            </a:solidFill>
          </c:spPr>
          <c:invertIfNegative val="1"/>
          <c:dLbls>
            <c:dLbl>
              <c:idx val="0"/>
              <c:layout>
                <c:manualLayout>
                  <c:x val="1.5723270440251583E-2"/>
                  <c:y val="1.265822784810126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28EC-4A7B-9ADE-61721E2F97D7}"/>
                </c:ext>
              </c:extLst>
            </c:dLbl>
            <c:dLbl>
              <c:idx val="1"/>
              <c:layout>
                <c:manualLayout>
                  <c:x val="1.3477088948787115E-2"/>
                  <c:y val="1.265822784810126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28EC-4A7B-9ADE-61721E2F97D7}"/>
                </c:ext>
              </c:extLst>
            </c:dLbl>
            <c:dLbl>
              <c:idx val="2"/>
              <c:delete val="1"/>
              <c:extLst>
                <c:ext xmlns:c15="http://schemas.microsoft.com/office/drawing/2012/chart" uri="{CE6537A1-D6FC-4f65-9D91-7224C49458BB}"/>
                <c:ext xmlns:c16="http://schemas.microsoft.com/office/drawing/2014/chart" uri="{C3380CC4-5D6E-409C-BE32-E72D297353CC}">
                  <c16:uniqueId val="{0000000D-28EC-4A7B-9ADE-61721E2F97D7}"/>
                </c:ext>
              </c:extLst>
            </c:dLbl>
            <c:dLbl>
              <c:idx val="3"/>
              <c:delete val="1"/>
              <c:extLst>
                <c:ext xmlns:c15="http://schemas.microsoft.com/office/drawing/2012/chart" uri="{CE6537A1-D6FC-4f65-9D91-7224C49458BB}"/>
                <c:ext xmlns:c16="http://schemas.microsoft.com/office/drawing/2014/chart" uri="{C3380CC4-5D6E-409C-BE32-E72D297353CC}">
                  <c16:uniqueId val="{0000000E-28EC-4A7B-9ADE-61721E2F97D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Лист2!$C$84:$C$87</c:f>
              <c:strCache>
                <c:ptCount val="4"/>
                <c:pt idx="0">
                  <c:v>3 міс</c:v>
                </c:pt>
                <c:pt idx="1">
                  <c:v>6 міс</c:v>
                </c:pt>
                <c:pt idx="2">
                  <c:v>9 міс</c:v>
                </c:pt>
                <c:pt idx="3">
                  <c:v>12 міс</c:v>
                </c:pt>
              </c:strCache>
            </c:strRef>
          </c:cat>
          <c:val>
            <c:numRef>
              <c:f>Лист2!$G$84:$G$87</c:f>
              <c:numCache>
                <c:formatCode>General</c:formatCode>
                <c:ptCount val="4"/>
                <c:pt idx="0">
                  <c:v>123.9</c:v>
                </c:pt>
                <c:pt idx="1">
                  <c:v>113.2</c:v>
                </c:pt>
                <c:pt idx="2">
                  <c:v>103.8</c:v>
                </c:pt>
                <c:pt idx="3">
                  <c:v>102.1</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F-28EC-4A7B-9ADE-61721E2F97D7}"/>
            </c:ext>
          </c:extLst>
        </c:ser>
        <c:dLbls>
          <c:showLegendKey val="0"/>
          <c:showVal val="0"/>
          <c:showCatName val="0"/>
          <c:showSerName val="0"/>
          <c:showPercent val="0"/>
          <c:showBubbleSize val="0"/>
        </c:dLbls>
        <c:gapWidth val="150"/>
        <c:shape val="box"/>
        <c:axId val="241478144"/>
        <c:axId val="283379392"/>
        <c:axId val="0"/>
      </c:bar3DChart>
      <c:catAx>
        <c:axId val="241478144"/>
        <c:scaling>
          <c:orientation val="minMax"/>
        </c:scaling>
        <c:delete val="1"/>
        <c:axPos val="b"/>
        <c:numFmt formatCode="General" sourceLinked="0"/>
        <c:majorTickMark val="none"/>
        <c:minorTickMark val="cross"/>
        <c:tickLblPos val="nextTo"/>
        <c:crossAx val="283379392"/>
        <c:crosses val="autoZero"/>
        <c:auto val="1"/>
        <c:lblAlgn val="ctr"/>
        <c:lblOffset val="100"/>
        <c:noMultiLvlLbl val="1"/>
      </c:catAx>
      <c:valAx>
        <c:axId val="283379392"/>
        <c:scaling>
          <c:orientation val="minMax"/>
        </c:scaling>
        <c:delete val="1"/>
        <c:axPos val="l"/>
        <c:majorGridlines/>
        <c:title>
          <c:tx>
            <c:rich>
              <a:bodyPr/>
              <a:lstStyle/>
              <a:p>
                <a:pPr>
                  <a:defRPr lang="uk-UA"/>
                </a:pPr>
                <a:r>
                  <a:rPr lang="ru-RU"/>
                  <a:t>% від</a:t>
                </a:r>
                <a:r>
                  <a:rPr lang="en-US"/>
                  <a:t> </a:t>
                </a:r>
                <a:r>
                  <a:rPr lang="uk-UA"/>
                  <a:t>рівня</a:t>
                </a:r>
                <a:r>
                  <a:rPr lang="ru-RU"/>
                  <a:t> інтактної групи</a:t>
                </a:r>
              </a:p>
            </c:rich>
          </c:tx>
          <c:layout>
            <c:manualLayout>
              <c:xMode val="edge"/>
              <c:yMode val="edge"/>
              <c:x val="8.4035486130271883E-3"/>
              <c:y val="0.26815608491976561"/>
            </c:manualLayout>
          </c:layout>
          <c:overlay val="1"/>
        </c:title>
        <c:numFmt formatCode="General" sourceLinked="1"/>
        <c:majorTickMark val="cross"/>
        <c:minorTickMark val="cross"/>
        <c:tickLblPos val="nextTo"/>
        <c:crossAx val="241478144"/>
        <c:crosses val="autoZero"/>
        <c:crossBetween val="between"/>
      </c:valAx>
    </c:plotArea>
    <c:legend>
      <c:legendPos val="r"/>
      <c:layout>
        <c:manualLayout>
          <c:xMode val="edge"/>
          <c:yMode val="edge"/>
          <c:x val="0.64668197725284582"/>
          <c:y val="6.8676727909011637E-2"/>
          <c:w val="0.26300887193788497"/>
          <c:h val="0.30519685039370081"/>
        </c:manualLayout>
      </c:layout>
      <c:overlay val="1"/>
      <c:txPr>
        <a:bodyPr/>
        <a:lstStyle/>
        <a:p>
          <a:pPr>
            <a:defRPr lang="uk-UA"/>
          </a:pPr>
          <a:endParaRPr lang="ru-RU"/>
        </a:p>
      </c:txPr>
    </c:legend>
    <c:plotVisOnly val="1"/>
    <c:dispBlanksAs val="zero"/>
    <c:showDLblsOverMax val="1"/>
  </c:chart>
  <c:spPr>
    <a:noFill/>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0.11997462817147862"/>
          <c:y val="5.1400554097404488E-2"/>
          <c:w val="0.83781846019247663"/>
          <c:h val="0.79558253135024515"/>
        </c:manualLayout>
      </c:layout>
      <c:bar3DChart>
        <c:barDir val="col"/>
        <c:grouping val="clustered"/>
        <c:varyColors val="1"/>
        <c:ser>
          <c:idx val="0"/>
          <c:order val="0"/>
          <c:tx>
            <c:strRef>
              <c:f>Лист2!$V$77</c:f>
              <c:strCache>
                <c:ptCount val="1"/>
                <c:pt idx="0">
                  <c:v>інтактна група</c:v>
                </c:pt>
              </c:strCache>
            </c:strRef>
          </c:tx>
          <c:spPr>
            <a:solidFill>
              <a:srgbClr val="0070C0"/>
            </a:solidFill>
          </c:spPr>
          <c:invertIfNegative val="1"/>
          <c:cat>
            <c:strRef>
              <c:f>Лист2!$U$78:$U$81</c:f>
              <c:strCache>
                <c:ptCount val="4"/>
                <c:pt idx="0">
                  <c:v>3 міс</c:v>
                </c:pt>
                <c:pt idx="1">
                  <c:v>6 міс</c:v>
                </c:pt>
                <c:pt idx="2">
                  <c:v>9 міс</c:v>
                </c:pt>
                <c:pt idx="3">
                  <c:v>12 міс</c:v>
                </c:pt>
              </c:strCache>
            </c:strRef>
          </c:cat>
          <c:val>
            <c:numRef>
              <c:f>Лист2!$V$78:$V$81</c:f>
              <c:numCache>
                <c:formatCode>General</c:formatCode>
                <c:ptCount val="4"/>
                <c:pt idx="0">
                  <c:v>100</c:v>
                </c:pt>
                <c:pt idx="1">
                  <c:v>100</c:v>
                </c:pt>
                <c:pt idx="2">
                  <c:v>100</c:v>
                </c:pt>
                <c:pt idx="3">
                  <c:v>100</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0-7D3C-474D-9A5D-5CB5889A0407}"/>
            </c:ext>
          </c:extLst>
        </c:ser>
        <c:ser>
          <c:idx val="1"/>
          <c:order val="1"/>
          <c:tx>
            <c:strRef>
              <c:f>Лист2!$W$77</c:f>
              <c:strCache>
                <c:ptCount val="1"/>
                <c:pt idx="0">
                  <c:v>група порівняння</c:v>
                </c:pt>
              </c:strCache>
            </c:strRef>
          </c:tx>
          <c:spPr>
            <a:solidFill>
              <a:srgbClr val="FF0000"/>
            </a:solidFill>
          </c:spPr>
          <c:invertIfNegative val="1"/>
          <c:dLbls>
            <c:dLbl>
              <c:idx val="0"/>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7D3C-474D-9A5D-5CB5889A0407}"/>
                </c:ext>
              </c:extLst>
            </c:dLbl>
            <c:dLbl>
              <c:idx val="1"/>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7D3C-474D-9A5D-5CB5889A0407}"/>
                </c:ext>
              </c:extLst>
            </c:dLbl>
            <c:dLbl>
              <c:idx val="2"/>
              <c:layout>
                <c:manualLayout>
                  <c:x val="6.6755674232310842E-3"/>
                  <c:y val="4.3859649122807015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7D3C-474D-9A5D-5CB5889A0407}"/>
                </c:ext>
              </c:extLst>
            </c:dLbl>
            <c:dLbl>
              <c:idx val="3"/>
              <c:layout>
                <c:manualLayout>
                  <c:x val="6.6755674232309931E-3"/>
                  <c:y val="4.3859649122807015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4-7D3C-474D-9A5D-5CB5889A040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Лист2!$U$78:$U$81</c:f>
              <c:strCache>
                <c:ptCount val="4"/>
                <c:pt idx="0">
                  <c:v>3 міс</c:v>
                </c:pt>
                <c:pt idx="1">
                  <c:v>6 міс</c:v>
                </c:pt>
                <c:pt idx="2">
                  <c:v>9 міс</c:v>
                </c:pt>
                <c:pt idx="3">
                  <c:v>12 міс</c:v>
                </c:pt>
              </c:strCache>
            </c:strRef>
          </c:cat>
          <c:val>
            <c:numRef>
              <c:f>Лист2!$W$78:$W$81</c:f>
              <c:numCache>
                <c:formatCode>General</c:formatCode>
                <c:ptCount val="4"/>
                <c:pt idx="0">
                  <c:v>222.5</c:v>
                </c:pt>
                <c:pt idx="1">
                  <c:v>160.4</c:v>
                </c:pt>
                <c:pt idx="2">
                  <c:v>128.69999999999999</c:v>
                </c:pt>
                <c:pt idx="3">
                  <c:v>113.4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5-7D3C-474D-9A5D-5CB5889A0407}"/>
            </c:ext>
          </c:extLst>
        </c:ser>
        <c:ser>
          <c:idx val="2"/>
          <c:order val="2"/>
          <c:tx>
            <c:strRef>
              <c:f>Лист2!$X$77</c:f>
              <c:strCache>
                <c:ptCount val="1"/>
                <c:pt idx="0">
                  <c:v>PRF-згусток</c:v>
                </c:pt>
              </c:strCache>
            </c:strRef>
          </c:tx>
          <c:spPr>
            <a:solidFill>
              <a:srgbClr val="00B050"/>
            </a:solidFill>
          </c:spPr>
          <c:invertIfNegative val="1"/>
          <c:dLbls>
            <c:dLbl>
              <c:idx val="0"/>
              <c:layout>
                <c:manualLayout>
                  <c:x val="8.9007565643080353E-3"/>
                  <c:y val="4.3859649122807015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7D3C-474D-9A5D-5CB5889A0407}"/>
                </c:ext>
              </c:extLst>
            </c:dLbl>
            <c:dLbl>
              <c:idx val="1"/>
              <c:layout>
                <c:manualLayout>
                  <c:x val="1.1125945705384957E-2"/>
                  <c:y val="1.3157894736842111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7D3C-474D-9A5D-5CB5889A0407}"/>
                </c:ext>
              </c:extLst>
            </c:dLbl>
            <c:dLbl>
              <c:idx val="2"/>
              <c:layout>
                <c:manualLayout>
                  <c:x val="6.6755674232309931E-3"/>
                  <c:y val="4.3859649122807015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8-7D3C-474D-9A5D-5CB5889A0407}"/>
                </c:ext>
              </c:extLst>
            </c:dLbl>
            <c:dLbl>
              <c:idx val="3"/>
              <c:delete val="1"/>
              <c:extLst>
                <c:ext xmlns:c15="http://schemas.microsoft.com/office/drawing/2012/chart" uri="{CE6537A1-D6FC-4f65-9D91-7224C49458BB}"/>
                <c:ext xmlns:c16="http://schemas.microsoft.com/office/drawing/2014/chart" uri="{C3380CC4-5D6E-409C-BE32-E72D297353CC}">
                  <c16:uniqueId val="{00000009-7D3C-474D-9A5D-5CB5889A040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Лист2!$U$78:$U$81</c:f>
              <c:strCache>
                <c:ptCount val="4"/>
                <c:pt idx="0">
                  <c:v>3 міс</c:v>
                </c:pt>
                <c:pt idx="1">
                  <c:v>6 міс</c:v>
                </c:pt>
                <c:pt idx="2">
                  <c:v>9 міс</c:v>
                </c:pt>
                <c:pt idx="3">
                  <c:v>12 міс</c:v>
                </c:pt>
              </c:strCache>
            </c:strRef>
          </c:cat>
          <c:val>
            <c:numRef>
              <c:f>Лист2!$X$78:$X$81</c:f>
              <c:numCache>
                <c:formatCode>General</c:formatCode>
                <c:ptCount val="4"/>
                <c:pt idx="0" formatCode="0.00">
                  <c:v>187</c:v>
                </c:pt>
                <c:pt idx="1">
                  <c:v>128.80000000000001</c:v>
                </c:pt>
                <c:pt idx="2">
                  <c:v>110.9</c:v>
                </c:pt>
                <c:pt idx="3" formatCode="0.00">
                  <c:v>106.5</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A-7D3C-474D-9A5D-5CB5889A0407}"/>
            </c:ext>
          </c:extLst>
        </c:ser>
        <c:ser>
          <c:idx val="3"/>
          <c:order val="3"/>
          <c:tx>
            <c:strRef>
              <c:f>Лист2!$Y$77</c:f>
              <c:strCache>
                <c:ptCount val="1"/>
                <c:pt idx="0">
                  <c:v>PRF-згусток і Біоцерулін</c:v>
                </c:pt>
              </c:strCache>
            </c:strRef>
          </c:tx>
          <c:spPr>
            <a:solidFill>
              <a:srgbClr val="FFFF00"/>
            </a:solidFill>
          </c:spPr>
          <c:invertIfNegative val="1"/>
          <c:dLbls>
            <c:dLbl>
              <c:idx val="0"/>
              <c:layout>
                <c:manualLayout>
                  <c:x val="6.6755674232310443E-3"/>
                  <c:y val="1.3157894736842065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7D3C-474D-9A5D-5CB5889A0407}"/>
                </c:ext>
              </c:extLst>
            </c:dLbl>
            <c:dLbl>
              <c:idx val="1"/>
              <c:layout>
                <c:manualLayout>
                  <c:x val="1.3351134846461993E-2"/>
                  <c:y val="8.771929824561403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7D3C-474D-9A5D-5CB5889A0407}"/>
                </c:ext>
              </c:extLst>
            </c:dLbl>
            <c:dLbl>
              <c:idx val="2"/>
              <c:layout>
                <c:manualLayout>
                  <c:x val="1.0864037505734017E-2"/>
                  <c:y val="1.6945397942422245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D-7D3C-474D-9A5D-5CB5889A0407}"/>
                </c:ext>
              </c:extLst>
            </c:dLbl>
            <c:dLbl>
              <c:idx val="3"/>
              <c:delete val="1"/>
              <c:extLst>
                <c:ext xmlns:c15="http://schemas.microsoft.com/office/drawing/2012/chart" uri="{CE6537A1-D6FC-4f65-9D91-7224C49458BB}"/>
                <c:ext xmlns:c16="http://schemas.microsoft.com/office/drawing/2014/chart" uri="{C3380CC4-5D6E-409C-BE32-E72D297353CC}">
                  <c16:uniqueId val="{0000000E-7D3C-474D-9A5D-5CB5889A040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Лист2!$U$78:$U$81</c:f>
              <c:strCache>
                <c:ptCount val="4"/>
                <c:pt idx="0">
                  <c:v>3 міс</c:v>
                </c:pt>
                <c:pt idx="1">
                  <c:v>6 міс</c:v>
                </c:pt>
                <c:pt idx="2">
                  <c:v>9 міс</c:v>
                </c:pt>
                <c:pt idx="3">
                  <c:v>12 міс</c:v>
                </c:pt>
              </c:strCache>
            </c:strRef>
          </c:cat>
          <c:val>
            <c:numRef>
              <c:f>Лист2!$Y$78:$Y$81</c:f>
              <c:numCache>
                <c:formatCode>General</c:formatCode>
                <c:ptCount val="4"/>
                <c:pt idx="0" formatCode="0.00">
                  <c:v>136.69999999999999</c:v>
                </c:pt>
                <c:pt idx="1">
                  <c:v>119.8</c:v>
                </c:pt>
                <c:pt idx="2">
                  <c:v>112</c:v>
                </c:pt>
                <c:pt idx="3" formatCode="0.00">
                  <c:v>109.3</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F-7D3C-474D-9A5D-5CB5889A0407}"/>
            </c:ext>
          </c:extLst>
        </c:ser>
        <c:dLbls>
          <c:showLegendKey val="0"/>
          <c:showVal val="0"/>
          <c:showCatName val="0"/>
          <c:showSerName val="0"/>
          <c:showPercent val="0"/>
          <c:showBubbleSize val="0"/>
        </c:dLbls>
        <c:gapWidth val="150"/>
        <c:shape val="box"/>
        <c:axId val="130224640"/>
        <c:axId val="283381120"/>
        <c:axId val="0"/>
      </c:bar3DChart>
      <c:catAx>
        <c:axId val="130224640"/>
        <c:scaling>
          <c:orientation val="minMax"/>
        </c:scaling>
        <c:delete val="1"/>
        <c:axPos val="b"/>
        <c:numFmt formatCode="General" sourceLinked="0"/>
        <c:majorTickMark val="none"/>
        <c:minorTickMark val="cross"/>
        <c:tickLblPos val="nextTo"/>
        <c:crossAx val="283381120"/>
        <c:crosses val="autoZero"/>
        <c:auto val="1"/>
        <c:lblAlgn val="ctr"/>
        <c:lblOffset val="100"/>
        <c:noMultiLvlLbl val="1"/>
      </c:catAx>
      <c:valAx>
        <c:axId val="283381120"/>
        <c:scaling>
          <c:orientation val="minMax"/>
        </c:scaling>
        <c:delete val="1"/>
        <c:axPos val="l"/>
        <c:majorGridlines/>
        <c:title>
          <c:tx>
            <c:rich>
              <a:bodyPr/>
              <a:lstStyle/>
              <a:p>
                <a:pPr>
                  <a:defRPr lang="uk-UA"/>
                </a:pPr>
                <a:r>
                  <a:rPr lang="ru-RU"/>
                  <a:t>% від рівня інтактної групи</a:t>
                </a:r>
              </a:p>
            </c:rich>
          </c:tx>
          <c:overlay val="1"/>
        </c:title>
        <c:numFmt formatCode="General" sourceLinked="1"/>
        <c:majorTickMark val="cross"/>
        <c:minorTickMark val="cross"/>
        <c:tickLblPos val="nextTo"/>
        <c:crossAx val="130224640"/>
        <c:crosses val="autoZero"/>
        <c:crossBetween val="between"/>
      </c:valAx>
    </c:plotArea>
    <c:legend>
      <c:legendPos val="r"/>
      <c:layout>
        <c:manualLayout>
          <c:xMode val="edge"/>
          <c:yMode val="edge"/>
          <c:x val="0.64390419947506561"/>
          <c:y val="6.4047098279381764E-2"/>
          <c:w val="0.25343891298405891"/>
          <c:h val="0.29619841745825998"/>
        </c:manualLayout>
      </c:layout>
      <c:overlay val="1"/>
      <c:txPr>
        <a:bodyPr/>
        <a:lstStyle/>
        <a:p>
          <a:pPr>
            <a:defRPr lang="uk-UA"/>
          </a:pPr>
          <a:endParaRPr lang="ru-RU"/>
        </a:p>
      </c:txPr>
    </c:legend>
    <c:plotVisOnly val="1"/>
    <c:dispBlanksAs val="zero"/>
    <c:showDLblsOverMax val="1"/>
  </c:chart>
  <c:spPr>
    <a:noFill/>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0.11400363945332521"/>
          <c:y val="5.1400554097404488E-2"/>
          <c:w val="0.77810522778855773"/>
          <c:h val="0.85576771653543549"/>
        </c:manualLayout>
      </c:layout>
      <c:bar3DChart>
        <c:barDir val="col"/>
        <c:grouping val="clustered"/>
        <c:varyColors val="1"/>
        <c:ser>
          <c:idx val="0"/>
          <c:order val="0"/>
          <c:tx>
            <c:strRef>
              <c:f>Лист2!$V$89</c:f>
              <c:strCache>
                <c:ptCount val="1"/>
                <c:pt idx="0">
                  <c:v>інтактна група</c:v>
                </c:pt>
              </c:strCache>
            </c:strRef>
          </c:tx>
          <c:invertIfNegative val="1"/>
          <c:cat>
            <c:strRef>
              <c:f>Лист2!$U$90:$U$93</c:f>
              <c:strCache>
                <c:ptCount val="4"/>
                <c:pt idx="0">
                  <c:v>3 міс</c:v>
                </c:pt>
                <c:pt idx="1">
                  <c:v>6 міс</c:v>
                </c:pt>
                <c:pt idx="2">
                  <c:v>9 міс</c:v>
                </c:pt>
                <c:pt idx="3">
                  <c:v>12 міс</c:v>
                </c:pt>
              </c:strCache>
            </c:strRef>
          </c:cat>
          <c:val>
            <c:numRef>
              <c:f>Лист2!$V$90:$V$93</c:f>
              <c:numCache>
                <c:formatCode>General</c:formatCode>
                <c:ptCount val="4"/>
                <c:pt idx="0">
                  <c:v>100</c:v>
                </c:pt>
                <c:pt idx="1">
                  <c:v>100</c:v>
                </c:pt>
                <c:pt idx="2">
                  <c:v>100</c:v>
                </c:pt>
                <c:pt idx="3">
                  <c:v>100</c:v>
                </c:pt>
              </c:numCache>
            </c:numRef>
          </c:val>
          <c:extLst>
            <c:ext xmlns:c16="http://schemas.microsoft.com/office/drawing/2014/chart" uri="{C3380CC4-5D6E-409C-BE32-E72D297353CC}">
              <c16:uniqueId val="{00000000-1840-4A9B-9268-D478B59D7C97}"/>
            </c:ext>
          </c:extLst>
        </c:ser>
        <c:ser>
          <c:idx val="1"/>
          <c:order val="1"/>
          <c:tx>
            <c:strRef>
              <c:f>Лист2!$W$89</c:f>
              <c:strCache>
                <c:ptCount val="1"/>
                <c:pt idx="0">
                  <c:v>група порівняння</c:v>
                </c:pt>
              </c:strCache>
            </c:strRef>
          </c:tx>
          <c:spPr>
            <a:solidFill>
              <a:srgbClr val="FF0000"/>
            </a:solidFill>
          </c:spPr>
          <c:invertIfNegative val="1"/>
          <c:dLbls>
            <c:dLbl>
              <c:idx val="0"/>
              <c:layout>
                <c:manualLayout>
                  <c:x val="5.7537399309551436E-3"/>
                  <c:y val="1.64203612479475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1-1840-4A9B-9268-D478B59D7C97}"/>
                </c:ext>
              </c:extLst>
            </c:dLbl>
            <c:dLbl>
              <c:idx val="1"/>
              <c:layout>
                <c:manualLayout>
                  <c:x val="5.7537399309551436E-3"/>
                  <c:y val="1.2315270935960593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2-1840-4A9B-9268-D478B59D7C97}"/>
                </c:ext>
              </c:extLst>
            </c:dLbl>
            <c:dLbl>
              <c:idx val="2"/>
              <c:layout>
                <c:manualLayout>
                  <c:x val="5.7537399309551436E-3"/>
                  <c:y val="8.2101806239737209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3-1840-4A9B-9268-D478B59D7C97}"/>
                </c:ext>
              </c:extLst>
            </c:dLbl>
            <c:dLbl>
              <c:idx val="3"/>
              <c:delete val="1"/>
              <c:extLst>
                <c:ext xmlns:c15="http://schemas.microsoft.com/office/drawing/2012/chart" uri="{CE6537A1-D6FC-4f65-9D91-7224C49458BB}"/>
                <c:ext xmlns:c16="http://schemas.microsoft.com/office/drawing/2014/chart" uri="{C3380CC4-5D6E-409C-BE32-E72D297353CC}">
                  <c16:uniqueId val="{00000004-1840-4A9B-9268-D478B59D7C9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Лист2!$U$90:$U$93</c:f>
              <c:strCache>
                <c:ptCount val="4"/>
                <c:pt idx="0">
                  <c:v>3 міс</c:v>
                </c:pt>
                <c:pt idx="1">
                  <c:v>6 міс</c:v>
                </c:pt>
                <c:pt idx="2">
                  <c:v>9 міс</c:v>
                </c:pt>
                <c:pt idx="3">
                  <c:v>12 міс</c:v>
                </c:pt>
              </c:strCache>
            </c:strRef>
          </c:cat>
          <c:val>
            <c:numRef>
              <c:f>Лист2!$W$90:$W$93</c:f>
              <c:numCache>
                <c:formatCode>General</c:formatCode>
                <c:ptCount val="4"/>
                <c:pt idx="0">
                  <c:v>207.2</c:v>
                </c:pt>
                <c:pt idx="1">
                  <c:v>156</c:v>
                </c:pt>
                <c:pt idx="2">
                  <c:v>122.4</c:v>
                </c:pt>
                <c:pt idx="3">
                  <c:v>110.1</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5-1840-4A9B-9268-D478B59D7C97}"/>
            </c:ext>
          </c:extLst>
        </c:ser>
        <c:ser>
          <c:idx val="2"/>
          <c:order val="2"/>
          <c:tx>
            <c:strRef>
              <c:f>Лист2!$X$89</c:f>
              <c:strCache>
                <c:ptCount val="1"/>
                <c:pt idx="0">
                  <c:v>PRF-згусток</c:v>
                </c:pt>
              </c:strCache>
            </c:strRef>
          </c:tx>
          <c:spPr>
            <a:solidFill>
              <a:srgbClr val="00B050"/>
            </a:solidFill>
          </c:spPr>
          <c:invertIfNegative val="1"/>
          <c:dLbls>
            <c:dLbl>
              <c:idx val="0"/>
              <c:layout>
                <c:manualLayout>
                  <c:x val="9.5895665515919101E-3"/>
                  <c:y val="1.2315270935960555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6-1840-4A9B-9268-D478B59D7C97}"/>
                </c:ext>
              </c:extLst>
            </c:dLbl>
            <c:dLbl>
              <c:idx val="1"/>
              <c:layout>
                <c:manualLayout>
                  <c:x val="7.6716532412735268E-3"/>
                  <c:y val="1.2315270935960593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7-1840-4A9B-9268-D478B59D7C97}"/>
                </c:ext>
              </c:extLst>
            </c:dLbl>
            <c:dLbl>
              <c:idx val="2"/>
              <c:layout>
                <c:manualLayout>
                  <c:x val="6.0386473429951959E-3"/>
                  <c:y val="0"/>
                </c:manualLayout>
              </c:layout>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8-1840-4A9B-9268-D478B59D7C97}"/>
                </c:ext>
              </c:extLst>
            </c:dLbl>
            <c:dLbl>
              <c:idx val="3"/>
              <c:delete val="1"/>
              <c:extLst>
                <c:ext xmlns:c15="http://schemas.microsoft.com/office/drawing/2012/chart" uri="{CE6537A1-D6FC-4f65-9D91-7224C49458BB}"/>
                <c:ext xmlns:c16="http://schemas.microsoft.com/office/drawing/2014/chart" uri="{C3380CC4-5D6E-409C-BE32-E72D297353CC}">
                  <c16:uniqueId val="{00000009-1840-4A9B-9268-D478B59D7C9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Лист2!$U$90:$U$93</c:f>
              <c:strCache>
                <c:ptCount val="4"/>
                <c:pt idx="0">
                  <c:v>3 міс</c:v>
                </c:pt>
                <c:pt idx="1">
                  <c:v>6 міс</c:v>
                </c:pt>
                <c:pt idx="2">
                  <c:v>9 міс</c:v>
                </c:pt>
                <c:pt idx="3">
                  <c:v>12 міс</c:v>
                </c:pt>
              </c:strCache>
            </c:strRef>
          </c:cat>
          <c:val>
            <c:numRef>
              <c:f>Лист2!$X$90:$X$93</c:f>
              <c:numCache>
                <c:formatCode>General</c:formatCode>
                <c:ptCount val="4"/>
                <c:pt idx="0" formatCode="0.00">
                  <c:v>172.4</c:v>
                </c:pt>
                <c:pt idx="1">
                  <c:v>122</c:v>
                </c:pt>
                <c:pt idx="2">
                  <c:v>105.6</c:v>
                </c:pt>
                <c:pt idx="3" formatCode="0.00">
                  <c:v>100.4</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A-1840-4A9B-9268-D478B59D7C97}"/>
            </c:ext>
          </c:extLst>
        </c:ser>
        <c:ser>
          <c:idx val="3"/>
          <c:order val="3"/>
          <c:tx>
            <c:strRef>
              <c:f>Лист2!$Y$89</c:f>
              <c:strCache>
                <c:ptCount val="1"/>
                <c:pt idx="0">
                  <c:v>PRF-згусток і Біоцерулін</c:v>
                </c:pt>
              </c:strCache>
            </c:strRef>
          </c:tx>
          <c:spPr>
            <a:solidFill>
              <a:srgbClr val="FFFF00"/>
            </a:solidFill>
          </c:spPr>
          <c:invertIfNegative val="1"/>
          <c:dLbls>
            <c:dLbl>
              <c:idx val="0"/>
              <c:layout>
                <c:manualLayout>
                  <c:x val="1.1507479861910332E-2"/>
                  <c:y val="4.1050903119868639E-3"/>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B-1840-4A9B-9268-D478B59D7C97}"/>
                </c:ext>
              </c:extLst>
            </c:dLbl>
            <c:dLbl>
              <c:idx val="1"/>
              <c:layout>
                <c:manualLayout>
                  <c:x val="7.6716532412735268E-3"/>
                  <c:y val="1.642036124794756E-2"/>
                </c:manualLayout>
              </c:layout>
              <c:tx>
                <c:rich>
                  <a:bodyPr/>
                  <a:lstStyle/>
                  <a:p>
                    <a:r>
                      <a:rPr lang="en-US" sz="1200" b="1"/>
                      <a:t>*</a:t>
                    </a:r>
                    <a:endParaRPr lang="en-US"/>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C-1840-4A9B-9268-D478B59D7C97}"/>
                </c:ext>
              </c:extLst>
            </c:dLbl>
            <c:dLbl>
              <c:idx val="2"/>
              <c:tx>
                <c:rich>
                  <a:bodyPr/>
                  <a:lstStyle/>
                  <a:p>
                    <a:r>
                      <a:rPr lang="en-US"/>
                      <a:t>*</a:t>
                    </a:r>
                  </a:p>
                </c:rich>
              </c:tx>
              <c:showLegendKey val="1"/>
              <c:showVal val="1"/>
              <c:showCatName val="1"/>
              <c:showSerName val="1"/>
              <c:showPercent val="1"/>
              <c:showBubbleSize val="1"/>
              <c:extLst>
                <c:ext xmlns:c15="http://schemas.microsoft.com/office/drawing/2012/chart" uri="{CE6537A1-D6FC-4f65-9D91-7224C49458BB}"/>
                <c:ext xmlns:c16="http://schemas.microsoft.com/office/drawing/2014/chart" uri="{C3380CC4-5D6E-409C-BE32-E72D297353CC}">
                  <c16:uniqueId val="{0000000D-1840-4A9B-9268-D478B59D7C97}"/>
                </c:ext>
              </c:extLst>
            </c:dLbl>
            <c:dLbl>
              <c:idx val="3"/>
              <c:delete val="1"/>
              <c:extLst>
                <c:ext xmlns:c15="http://schemas.microsoft.com/office/drawing/2012/chart" uri="{CE6537A1-D6FC-4f65-9D91-7224C49458BB}"/>
                <c:ext xmlns:c16="http://schemas.microsoft.com/office/drawing/2014/chart" uri="{C3380CC4-5D6E-409C-BE32-E72D297353CC}">
                  <c16:uniqueId val="{0000000E-1840-4A9B-9268-D478B59D7C97}"/>
                </c:ext>
              </c:extLst>
            </c:dLbl>
            <c:spPr>
              <a:noFill/>
              <a:ln>
                <a:noFill/>
              </a:ln>
              <a:effectLst/>
            </c:spPr>
            <c:txPr>
              <a:bodyPr/>
              <a:lstStyle/>
              <a:p>
                <a:pPr>
                  <a:defRPr lang="uk-UA" sz="1200" b="1"/>
                </a:pPr>
                <a:endParaRPr lang="ru-RU"/>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Лист2!$U$90:$U$93</c:f>
              <c:strCache>
                <c:ptCount val="4"/>
                <c:pt idx="0">
                  <c:v>3 міс</c:v>
                </c:pt>
                <c:pt idx="1">
                  <c:v>6 міс</c:v>
                </c:pt>
                <c:pt idx="2">
                  <c:v>9 міс</c:v>
                </c:pt>
                <c:pt idx="3">
                  <c:v>12 міс</c:v>
                </c:pt>
              </c:strCache>
            </c:strRef>
          </c:cat>
          <c:val>
            <c:numRef>
              <c:f>Лист2!$Y$90:$Y$93</c:f>
              <c:numCache>
                <c:formatCode>General</c:formatCode>
                <c:ptCount val="4"/>
                <c:pt idx="0" formatCode="0.00">
                  <c:v>145.80000000000001</c:v>
                </c:pt>
                <c:pt idx="1">
                  <c:v>118.8</c:v>
                </c:pt>
                <c:pt idx="2">
                  <c:v>108.4</c:v>
                </c:pt>
                <c:pt idx="3" formatCode="0.00">
                  <c:v>110.8</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F-1840-4A9B-9268-D478B59D7C97}"/>
            </c:ext>
          </c:extLst>
        </c:ser>
        <c:dLbls>
          <c:showLegendKey val="0"/>
          <c:showVal val="0"/>
          <c:showCatName val="0"/>
          <c:showSerName val="0"/>
          <c:showPercent val="0"/>
          <c:showBubbleSize val="0"/>
        </c:dLbls>
        <c:gapWidth val="150"/>
        <c:shape val="box"/>
        <c:axId val="242461184"/>
        <c:axId val="283382848"/>
        <c:axId val="0"/>
      </c:bar3DChart>
      <c:catAx>
        <c:axId val="242461184"/>
        <c:scaling>
          <c:orientation val="minMax"/>
        </c:scaling>
        <c:delete val="1"/>
        <c:axPos val="b"/>
        <c:numFmt formatCode="General" sourceLinked="0"/>
        <c:majorTickMark val="none"/>
        <c:minorTickMark val="cross"/>
        <c:tickLblPos val="nextTo"/>
        <c:crossAx val="283382848"/>
        <c:crosses val="autoZero"/>
        <c:auto val="1"/>
        <c:lblAlgn val="ctr"/>
        <c:lblOffset val="100"/>
        <c:noMultiLvlLbl val="1"/>
      </c:catAx>
      <c:valAx>
        <c:axId val="283382848"/>
        <c:scaling>
          <c:orientation val="minMax"/>
        </c:scaling>
        <c:delete val="1"/>
        <c:axPos val="l"/>
        <c:majorGridlines/>
        <c:title>
          <c:tx>
            <c:rich>
              <a:bodyPr/>
              <a:lstStyle/>
              <a:p>
                <a:pPr>
                  <a:defRPr lang="uk-UA"/>
                </a:pPr>
                <a:r>
                  <a:rPr lang="ru-RU"/>
                  <a:t>% від рівня інтактної групи</a:t>
                </a:r>
              </a:p>
            </c:rich>
          </c:tx>
          <c:overlay val="1"/>
        </c:title>
        <c:numFmt formatCode="General" sourceLinked="1"/>
        <c:majorTickMark val="cross"/>
        <c:minorTickMark val="cross"/>
        <c:tickLblPos val="nextTo"/>
        <c:crossAx val="242461184"/>
        <c:crosses val="autoZero"/>
        <c:crossBetween val="between"/>
      </c:valAx>
    </c:plotArea>
    <c:legend>
      <c:legendPos val="r"/>
      <c:layout>
        <c:manualLayout>
          <c:xMode val="edge"/>
          <c:yMode val="edge"/>
          <c:x val="0.63688963698378753"/>
          <c:y val="5.0158209390492856E-2"/>
          <c:w val="0.28276259398734716"/>
          <c:h val="0.29692797021062239"/>
        </c:manualLayout>
      </c:layout>
      <c:overlay val="1"/>
      <c:txPr>
        <a:bodyPr/>
        <a:lstStyle/>
        <a:p>
          <a:pPr>
            <a:defRPr lang="uk-UA"/>
          </a:pPr>
          <a:endParaRPr lang="ru-RU"/>
        </a:p>
      </c:txPr>
    </c:legend>
    <c:plotVisOnly val="1"/>
    <c:dispBlanksAs val="zero"/>
    <c:showDLblsOverMax val="1"/>
  </c:chart>
  <c:spPr>
    <a:no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FA5AE-479D-4E56-979E-354DEC5FD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51042</Words>
  <Characters>290945</Characters>
  <Application>Microsoft Office Word</Application>
  <DocSecurity>0</DocSecurity>
  <Lines>2424</Lines>
  <Paragraphs>682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Давид Соломонович</dc:creator>
  <cp:keywords/>
  <dc:description/>
  <cp:lastModifiedBy>Пользователь Windows</cp:lastModifiedBy>
  <cp:revision>5</cp:revision>
  <cp:lastPrinted>2018-12-27T10:14:00Z</cp:lastPrinted>
  <dcterms:created xsi:type="dcterms:W3CDTF">2019-03-20T06:22:00Z</dcterms:created>
  <dcterms:modified xsi:type="dcterms:W3CDTF">2019-03-20T06:47:00Z</dcterms:modified>
</cp:coreProperties>
</file>