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139F7" w:rsidRPr="007139F7" w:rsidRDefault="0087139E" w:rsidP="007139F7">
      <w:pPr>
        <w:spacing w:after="160" w:line="360" w:lineRule="auto"/>
        <w:jc w:val="center"/>
        <w:rPr>
          <w:rFonts w:eastAsia="Calibri" w:cs="Times New Roman"/>
          <w:sz w:val="28"/>
          <w:szCs w:val="28"/>
        </w:rPr>
      </w:pPr>
      <w:r>
        <w:rPr>
          <w:noProof/>
          <w:lang w:val="ru-RU" w:eastAsia="ru-RU"/>
        </w:rPr>
        <mc:AlternateContent>
          <mc:Choice Requires="wps">
            <w:drawing>
              <wp:anchor distT="0" distB="0" distL="114300" distR="114300" simplePos="0" relativeHeight="251663360" behindDoc="0" locked="0" layoutInCell="1" allowOverlap="1">
                <wp:simplePos x="0" y="0"/>
                <wp:positionH relativeFrom="column">
                  <wp:posOffset>5967095</wp:posOffset>
                </wp:positionH>
                <wp:positionV relativeFrom="paragraph">
                  <wp:posOffset>-524510</wp:posOffset>
                </wp:positionV>
                <wp:extent cx="428625" cy="2028825"/>
                <wp:effectExtent l="0" t="0" r="0" b="0"/>
                <wp:wrapNone/>
                <wp:docPr id="33" name="Поле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8625" cy="2028825"/>
                        </a:xfrm>
                        <a:prstGeom prst="rect">
                          <a:avLst/>
                        </a:prstGeom>
                        <a:solidFill>
                          <a:sysClr val="window" lastClr="FFFFFF"/>
                        </a:solidFill>
                        <a:ln w="6350">
                          <a:noFill/>
                        </a:ln>
                        <a:effectLst/>
                      </wps:spPr>
                      <wps:txbx>
                        <w:txbxContent>
                          <w:p w:rsidR="00536D58" w:rsidRDefault="00536D58" w:rsidP="007139F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Поле 33" o:spid="_x0000_s1026" type="#_x0000_t202" style="position:absolute;left:0;text-align:left;margin-left:469.85pt;margin-top:-41.3pt;width:33.75pt;height:159.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" fillcolor="window" stroked="f" strokeweight=".5pt">
                <v:path arrowok="t"/>
                <v:textbox>
                  <w:txbxContent>
                    <w:p w:rsidR="00536D58" w:rsidRDefault="00536D58" w:rsidP="007139F7"/>
                  </w:txbxContent>
                </v:textbox>
              </v:shape>
            </w:pict>
          </mc:Fallback>
        </mc:AlternateContent>
      </w:r>
      <w:r w:rsidR="007139F7" w:rsidRPr="007139F7">
        <w:rPr>
          <w:rFonts w:eastAsia="Calibri" w:cs="Times New Roman"/>
          <w:sz w:val="28"/>
          <w:szCs w:val="28"/>
        </w:rPr>
        <w:t>МІНІСТЕРСТВО ОХОРОНИ ЗДОРОВ’Я УКРАЇНИ</w:t>
      </w:r>
      <w:r w:rsidR="007139F7" w:rsidRPr="007139F7">
        <w:rPr>
          <w:rFonts w:eastAsia="Calibri" w:cs="Times New Roman"/>
          <w:sz w:val="28"/>
          <w:szCs w:val="28"/>
        </w:rPr>
        <w:br/>
        <w:t>ХАРКІВСЬКИЙ НАЦІОНАЛЬНИЙ МЕДИЧНИЙ УНІВЕРСИТЕТ</w:t>
      </w:r>
    </w:p>
    <w:p w:rsidR="007139F7" w:rsidRPr="007139F7" w:rsidRDefault="007139F7" w:rsidP="007139F7">
      <w:pPr>
        <w:spacing w:after="160" w:line="360" w:lineRule="auto"/>
        <w:jc w:val="center"/>
        <w:rPr>
          <w:rFonts w:eastAsia="Calibri" w:cs="Times New Roman"/>
          <w:sz w:val="28"/>
          <w:szCs w:val="28"/>
        </w:rPr>
      </w:pPr>
      <w:r w:rsidRPr="007139F7">
        <w:rPr>
          <w:rFonts w:eastAsia="Calibri" w:cs="Times New Roman"/>
          <w:sz w:val="28"/>
          <w:szCs w:val="28"/>
        </w:rPr>
        <w:t>Кваліфікаційна наукова</w:t>
      </w:r>
    </w:p>
    <w:p w:rsidR="007139F7" w:rsidRPr="007139F7" w:rsidRDefault="007139F7" w:rsidP="007139F7">
      <w:pPr>
        <w:tabs>
          <w:tab w:val="center" w:pos="4818"/>
          <w:tab w:val="right" w:pos="9637"/>
        </w:tabs>
        <w:spacing w:after="160" w:line="360" w:lineRule="auto"/>
        <w:rPr>
          <w:rFonts w:eastAsia="Calibri" w:cs="Times New Roman"/>
          <w:sz w:val="28"/>
          <w:szCs w:val="28"/>
        </w:rPr>
      </w:pPr>
      <w:r w:rsidRPr="007139F7">
        <w:rPr>
          <w:rFonts w:eastAsia="Calibri" w:cs="Times New Roman"/>
          <w:sz w:val="28"/>
          <w:szCs w:val="28"/>
        </w:rPr>
        <w:tab/>
        <w:t>праця на правах рукопису</w:t>
      </w:r>
      <w:r w:rsidRPr="007139F7">
        <w:rPr>
          <w:rFonts w:eastAsia="Calibri" w:cs="Times New Roman"/>
          <w:sz w:val="28"/>
          <w:szCs w:val="28"/>
        </w:rPr>
        <w:tab/>
      </w:r>
    </w:p>
    <w:p w:rsidR="007139F7" w:rsidRPr="007139F7" w:rsidRDefault="007139F7" w:rsidP="007139F7">
      <w:pPr>
        <w:spacing w:after="160" w:line="360" w:lineRule="auto"/>
        <w:jc w:val="center"/>
        <w:rPr>
          <w:rFonts w:eastAsia="Calibri" w:cs="Times New Roman"/>
          <w:sz w:val="28"/>
          <w:szCs w:val="28"/>
        </w:rPr>
      </w:pPr>
    </w:p>
    <w:p w:rsidR="007139F7" w:rsidRPr="007139F7" w:rsidRDefault="007139F7" w:rsidP="007139F7">
      <w:pPr>
        <w:spacing w:after="160" w:line="360" w:lineRule="auto"/>
        <w:jc w:val="center"/>
        <w:rPr>
          <w:rFonts w:eastAsia="Calibri" w:cs="Times New Roman"/>
          <w:sz w:val="28"/>
          <w:szCs w:val="28"/>
        </w:rPr>
      </w:pPr>
      <w:r w:rsidRPr="007139F7">
        <w:rPr>
          <w:rFonts w:eastAsia="Calibri" w:cs="Times New Roman"/>
          <w:sz w:val="28"/>
          <w:szCs w:val="28"/>
        </w:rPr>
        <w:t>КРИНИЧКО ЛЕОНІД РОМАНОВИЧ</w:t>
      </w:r>
    </w:p>
    <w:p w:rsidR="007139F7" w:rsidRPr="007139F7" w:rsidRDefault="007139F7" w:rsidP="007139F7">
      <w:pPr>
        <w:spacing w:after="160" w:line="360" w:lineRule="auto"/>
        <w:jc w:val="center"/>
        <w:rPr>
          <w:rFonts w:eastAsia="Calibri" w:cs="Times New Roman"/>
          <w:sz w:val="28"/>
          <w:szCs w:val="28"/>
        </w:rPr>
      </w:pPr>
      <w:r w:rsidRPr="007139F7">
        <w:rPr>
          <w:rFonts w:eastAsia="Calibri" w:cs="Times New Roman"/>
          <w:sz w:val="28"/>
          <w:szCs w:val="28"/>
        </w:rPr>
        <w:t>УДК: 351.77:616.314–053.2+577.118</w:t>
      </w:r>
    </w:p>
    <w:p w:rsidR="007139F7" w:rsidRPr="007139F7" w:rsidRDefault="007139F7" w:rsidP="007139F7">
      <w:pPr>
        <w:spacing w:after="160" w:line="360" w:lineRule="auto"/>
        <w:jc w:val="center"/>
        <w:rPr>
          <w:rFonts w:eastAsia="Calibri" w:cs="Times New Roman"/>
          <w:sz w:val="28"/>
          <w:szCs w:val="28"/>
        </w:rPr>
      </w:pPr>
    </w:p>
    <w:p w:rsidR="007139F7" w:rsidRPr="007139F7" w:rsidRDefault="007139F7" w:rsidP="007139F7">
      <w:pPr>
        <w:spacing w:after="160" w:line="360" w:lineRule="auto"/>
        <w:jc w:val="center"/>
        <w:rPr>
          <w:rFonts w:eastAsia="Calibri" w:cs="Times New Roman"/>
          <w:sz w:val="28"/>
          <w:szCs w:val="28"/>
        </w:rPr>
      </w:pPr>
      <w:r w:rsidRPr="007139F7">
        <w:rPr>
          <w:rFonts w:eastAsia="Calibri" w:cs="Times New Roman"/>
          <w:sz w:val="28"/>
          <w:szCs w:val="28"/>
        </w:rPr>
        <w:t>ДИСЕРТАЦІЯ</w:t>
      </w:r>
    </w:p>
    <w:p w:rsidR="007139F7" w:rsidRPr="007139F7" w:rsidRDefault="007139F7" w:rsidP="007139F7">
      <w:pPr>
        <w:spacing w:after="160" w:line="360" w:lineRule="auto"/>
        <w:jc w:val="center"/>
        <w:rPr>
          <w:rFonts w:eastAsia="Calibri" w:cs="Times New Roman"/>
          <w:sz w:val="28"/>
          <w:szCs w:val="28"/>
        </w:rPr>
      </w:pPr>
      <w:r w:rsidRPr="007139F7">
        <w:rPr>
          <w:rFonts w:eastAsia="Calibri" w:cs="Times New Roman"/>
          <w:sz w:val="28"/>
          <w:szCs w:val="28"/>
        </w:rPr>
        <w:t>ВДОСКОНАЛЕННЯ ІНТРА- ТА ПІСЛЯОПЕРАЦІЙНОЇ ПРОФІЛАКТИКИ УТВОРЕННЯ ПАТОЛОГІЧНИХ РУБЦІВ ШКІРИ ПРИ ХІРУРГІЧНОМУ ЛІКУВАННІ КІСТ ШИЇ ЕМБРІОНАЛЬНОГО ПОХОДЖЕННЯ</w:t>
      </w:r>
    </w:p>
    <w:p w:rsidR="007139F7" w:rsidRPr="007139F7" w:rsidRDefault="007139F7" w:rsidP="007139F7">
      <w:pPr>
        <w:spacing w:after="160" w:line="360" w:lineRule="auto"/>
        <w:jc w:val="center"/>
        <w:rPr>
          <w:rFonts w:eastAsia="Calibri" w:cs="Times New Roman"/>
          <w:sz w:val="28"/>
          <w:szCs w:val="28"/>
        </w:rPr>
      </w:pPr>
      <w:r w:rsidRPr="007139F7">
        <w:rPr>
          <w:rFonts w:eastAsia="Calibri" w:cs="Times New Roman"/>
          <w:sz w:val="28"/>
          <w:szCs w:val="28"/>
        </w:rPr>
        <w:t>14.01.22 — стоматологія</w:t>
      </w:r>
    </w:p>
    <w:p w:rsidR="007139F7" w:rsidRPr="007139F7" w:rsidRDefault="007139F7" w:rsidP="007139F7">
      <w:pPr>
        <w:spacing w:after="160" w:line="360" w:lineRule="auto"/>
        <w:jc w:val="center"/>
        <w:rPr>
          <w:rFonts w:eastAsia="Calibri" w:cs="Times New Roman"/>
          <w:sz w:val="28"/>
          <w:szCs w:val="28"/>
        </w:rPr>
      </w:pPr>
      <w:r w:rsidRPr="007139F7">
        <w:rPr>
          <w:rFonts w:eastAsia="Calibri" w:cs="Times New Roman"/>
          <w:sz w:val="28"/>
          <w:szCs w:val="28"/>
        </w:rPr>
        <w:t>Охорона здоров’я</w:t>
      </w:r>
    </w:p>
    <w:p w:rsidR="007139F7" w:rsidRPr="007139F7" w:rsidRDefault="007139F7" w:rsidP="007139F7">
      <w:pPr>
        <w:spacing w:after="160" w:line="360" w:lineRule="auto"/>
        <w:jc w:val="center"/>
        <w:rPr>
          <w:rFonts w:eastAsia="Calibri" w:cs="Times New Roman"/>
          <w:sz w:val="28"/>
          <w:szCs w:val="28"/>
        </w:rPr>
      </w:pPr>
    </w:p>
    <w:p w:rsidR="007139F7" w:rsidRPr="007139F7" w:rsidRDefault="007139F7" w:rsidP="007139F7">
      <w:pPr>
        <w:spacing w:after="160" w:line="360" w:lineRule="auto"/>
        <w:jc w:val="center"/>
        <w:rPr>
          <w:rFonts w:eastAsia="Calibri" w:cs="Times New Roman"/>
          <w:sz w:val="28"/>
          <w:szCs w:val="28"/>
        </w:rPr>
      </w:pPr>
      <w:r w:rsidRPr="007139F7">
        <w:rPr>
          <w:rFonts w:eastAsia="Calibri" w:cs="Times New Roman"/>
          <w:sz w:val="28"/>
          <w:szCs w:val="28"/>
        </w:rPr>
        <w:t>Подається на здобуття наукового ступеня</w:t>
      </w:r>
    </w:p>
    <w:p w:rsidR="007139F7" w:rsidRPr="007139F7" w:rsidRDefault="007139F7" w:rsidP="007139F7">
      <w:pPr>
        <w:spacing w:after="160" w:line="360" w:lineRule="auto"/>
        <w:jc w:val="center"/>
        <w:rPr>
          <w:rFonts w:eastAsia="Calibri" w:cs="Times New Roman"/>
          <w:sz w:val="28"/>
          <w:szCs w:val="28"/>
        </w:rPr>
      </w:pPr>
      <w:r w:rsidRPr="007139F7">
        <w:rPr>
          <w:rFonts w:eastAsia="Calibri" w:cs="Times New Roman"/>
          <w:sz w:val="28"/>
          <w:szCs w:val="28"/>
        </w:rPr>
        <w:t>кандидата медичних наук (доктора філософії)</w:t>
      </w:r>
    </w:p>
    <w:p w:rsidR="007139F7" w:rsidRPr="007139F7" w:rsidRDefault="007139F7" w:rsidP="007139F7">
      <w:pPr>
        <w:spacing w:after="160" w:line="360" w:lineRule="auto"/>
        <w:jc w:val="center"/>
        <w:rPr>
          <w:rFonts w:eastAsia="Calibri" w:cs="Times New Roman"/>
          <w:sz w:val="28"/>
          <w:szCs w:val="28"/>
        </w:rPr>
      </w:pPr>
      <w:r w:rsidRPr="007139F7">
        <w:rPr>
          <w:rFonts w:eastAsia="Calibri" w:cs="Times New Roman"/>
          <w:sz w:val="28"/>
          <w:szCs w:val="28"/>
        </w:rPr>
        <w:t>Дисертація містить результати власних досліджень. Використання ідей, результатів і текстів інших авторів мають посилання на відповідне джерело.</w:t>
      </w:r>
    </w:p>
    <w:p w:rsidR="007139F7" w:rsidRPr="007139F7" w:rsidRDefault="007139F7" w:rsidP="007139F7">
      <w:pPr>
        <w:spacing w:after="160" w:line="360" w:lineRule="auto"/>
        <w:jc w:val="center"/>
        <w:rPr>
          <w:rFonts w:eastAsia="Calibri" w:cs="Times New Roman"/>
          <w:sz w:val="28"/>
          <w:szCs w:val="28"/>
        </w:rPr>
      </w:pPr>
      <w:r w:rsidRPr="007139F7">
        <w:rPr>
          <w:rFonts w:eastAsia="Calibri" w:cs="Times New Roman"/>
          <w:sz w:val="28"/>
          <w:szCs w:val="28"/>
        </w:rPr>
        <w:t>___________________________</w:t>
      </w:r>
    </w:p>
    <w:p w:rsidR="007139F7" w:rsidRPr="007139F7" w:rsidRDefault="007139F7" w:rsidP="007139F7">
      <w:pPr>
        <w:spacing w:after="160" w:line="360" w:lineRule="auto"/>
        <w:jc w:val="center"/>
        <w:rPr>
          <w:rFonts w:eastAsia="Calibri" w:cs="Times New Roman"/>
          <w:sz w:val="28"/>
          <w:szCs w:val="28"/>
        </w:rPr>
      </w:pPr>
      <w:r w:rsidRPr="007139F7">
        <w:rPr>
          <w:rFonts w:eastAsia="Calibri" w:cs="Times New Roman"/>
          <w:sz w:val="28"/>
          <w:szCs w:val="28"/>
        </w:rPr>
        <w:t xml:space="preserve">Науковий керівник: Григоров Сергій Миколайович, </w:t>
      </w:r>
      <w:r w:rsidRPr="007139F7">
        <w:rPr>
          <w:rFonts w:eastAsia="Calibri" w:cs="Times New Roman"/>
          <w:sz w:val="28"/>
          <w:szCs w:val="28"/>
        </w:rPr>
        <w:br/>
        <w:t>доктор медичних наук, професор</w:t>
      </w:r>
    </w:p>
    <w:p w:rsidR="007139F7" w:rsidRPr="007139F7" w:rsidRDefault="007139F7" w:rsidP="007139F7">
      <w:pPr>
        <w:spacing w:after="160" w:line="360" w:lineRule="auto"/>
        <w:jc w:val="center"/>
        <w:rPr>
          <w:rFonts w:eastAsia="Calibri" w:cs="Times New Roman"/>
          <w:sz w:val="28"/>
          <w:szCs w:val="28"/>
        </w:rPr>
      </w:pPr>
    </w:p>
    <w:p w:rsidR="007139F7" w:rsidRPr="007139F7" w:rsidRDefault="007139F7" w:rsidP="007139F7">
      <w:pPr>
        <w:spacing w:after="160" w:line="360" w:lineRule="auto"/>
        <w:jc w:val="center"/>
        <w:rPr>
          <w:rFonts w:eastAsia="Calibri" w:cs="Times New Roman"/>
          <w:sz w:val="28"/>
          <w:szCs w:val="28"/>
        </w:rPr>
      </w:pPr>
      <w:r w:rsidRPr="007139F7">
        <w:rPr>
          <w:rFonts w:eastAsia="Calibri" w:cs="Times New Roman"/>
          <w:sz w:val="28"/>
          <w:szCs w:val="28"/>
        </w:rPr>
        <w:t>Харків, 2019</w:t>
      </w:r>
    </w:p>
    <w:p w:rsidR="007139F7" w:rsidRPr="007139F7" w:rsidRDefault="007139F7" w:rsidP="007139F7">
      <w:pPr>
        <w:spacing w:after="160" w:line="259" w:lineRule="auto"/>
        <w:jc w:val="center"/>
        <w:rPr>
          <w:rFonts w:eastAsia="Calibri" w:cs="Times New Roman"/>
          <w:b/>
          <w:sz w:val="28"/>
          <w:szCs w:val="28"/>
        </w:rPr>
        <w:sectPr w:rsidR="007139F7" w:rsidRPr="007139F7" w:rsidSect="00E1448E">
          <w:headerReference w:type="default" r:id="rId8"/>
          <w:pgSz w:w="11906" w:h="16838"/>
          <w:pgMar w:top="1134" w:right="851" w:bottom="1134" w:left="1418" w:header="709" w:footer="709" w:gutter="0"/>
          <w:cols w:space="708"/>
          <w:docGrid w:linePitch="360"/>
        </w:sectPr>
      </w:pPr>
    </w:p>
    <w:p w:rsidR="007139F7" w:rsidRPr="007139F7" w:rsidRDefault="007139F7" w:rsidP="007139F7">
      <w:pPr>
        <w:spacing w:after="160" w:line="259" w:lineRule="auto"/>
        <w:jc w:val="center"/>
        <w:rPr>
          <w:rFonts w:eastAsia="Calibri" w:cs="Times New Roman"/>
          <w:b/>
          <w:sz w:val="28"/>
          <w:szCs w:val="28"/>
        </w:rPr>
      </w:pPr>
      <w:bookmarkStart w:id="0" w:name="_Toc504823684"/>
      <w:r w:rsidRPr="007139F7">
        <w:rPr>
          <w:rFonts w:eastAsia="Calibri" w:cs="Times New Roman"/>
          <w:b/>
          <w:sz w:val="28"/>
          <w:szCs w:val="28"/>
        </w:rPr>
        <w:lastRenderedPageBreak/>
        <w:t>АНОТАЦІЯ</w:t>
      </w:r>
      <w:bookmarkEnd w:id="0"/>
    </w:p>
    <w:p w:rsidR="007139F7" w:rsidRPr="007139F7" w:rsidRDefault="007139F7" w:rsidP="007139F7">
      <w:pPr>
        <w:spacing w:after="160" w:line="259" w:lineRule="auto"/>
        <w:rPr>
          <w:rFonts w:eastAsia="Calibri" w:cs="Times New Roman"/>
          <w:sz w:val="28"/>
          <w:szCs w:val="28"/>
        </w:rPr>
      </w:pPr>
    </w:p>
    <w:p w:rsidR="007139F7" w:rsidRPr="007139F7" w:rsidRDefault="007139F7" w:rsidP="007139F7">
      <w:pPr>
        <w:spacing w:after="160" w:line="259" w:lineRule="auto"/>
        <w:rPr>
          <w:rFonts w:eastAsia="Calibri" w:cs="Times New Roman"/>
          <w:sz w:val="28"/>
          <w:szCs w:val="28"/>
        </w:rPr>
      </w:pPr>
    </w:p>
    <w:p w:rsidR="007139F7" w:rsidRPr="007139F7" w:rsidRDefault="007139F7" w:rsidP="007139F7">
      <w:pPr>
        <w:spacing w:after="160" w:line="360" w:lineRule="auto"/>
        <w:ind w:firstLine="709"/>
        <w:jc w:val="both"/>
        <w:rPr>
          <w:rFonts w:eastAsia="Calibri" w:cs="Times New Roman"/>
          <w:sz w:val="28"/>
          <w:szCs w:val="28"/>
        </w:rPr>
      </w:pPr>
      <w:r w:rsidRPr="007139F7">
        <w:rPr>
          <w:rFonts w:eastAsia="Calibri" w:cs="Times New Roman"/>
          <w:i/>
          <w:sz w:val="28"/>
          <w:szCs w:val="28"/>
        </w:rPr>
        <w:t>Криничко Л.Р.</w:t>
      </w:r>
      <w:r w:rsidRPr="007139F7">
        <w:rPr>
          <w:rFonts w:eastAsia="Calibri" w:cs="Times New Roman"/>
          <w:sz w:val="28"/>
          <w:szCs w:val="28"/>
        </w:rPr>
        <w:t xml:space="preserve"> Вдосконалення інтра- та післяопераційної профілактики утворення патологічних рубців шкіри при хірургічному лікуванні кіст шиї ембріонального походження</w:t>
      </w:r>
    </w:p>
    <w:p w:rsidR="007139F7" w:rsidRPr="007139F7" w:rsidRDefault="007139F7" w:rsidP="007139F7">
      <w:pPr>
        <w:spacing w:after="160" w:line="360" w:lineRule="auto"/>
        <w:ind w:firstLine="709"/>
        <w:jc w:val="both"/>
        <w:rPr>
          <w:rFonts w:eastAsia="Calibri" w:cs="Times New Roman"/>
          <w:b/>
          <w:sz w:val="28"/>
          <w:szCs w:val="28"/>
        </w:rPr>
      </w:pPr>
      <w:r w:rsidRPr="007139F7">
        <w:rPr>
          <w:rFonts w:eastAsia="Calibri" w:cs="Times New Roman"/>
          <w:sz w:val="28"/>
          <w:szCs w:val="28"/>
        </w:rPr>
        <w:t xml:space="preserve"> Дисертація на здобуття наукового ступеня кандидата медичних наук (доктора філософії) за спеціальністю 14.01.22 – стоматологія (охорона здоров'я). –</w:t>
      </w:r>
      <w:r w:rsidRPr="007139F7">
        <w:rPr>
          <w:rFonts w:eastAsia="Calibri" w:cs="Times New Roman"/>
          <w:b/>
          <w:sz w:val="28"/>
          <w:szCs w:val="28"/>
        </w:rPr>
        <w:t xml:space="preserve"> </w:t>
      </w:r>
      <w:r w:rsidRPr="007139F7">
        <w:rPr>
          <w:rFonts w:eastAsia="Calibri" w:cs="Times New Roman"/>
          <w:sz w:val="28"/>
          <w:szCs w:val="28"/>
        </w:rPr>
        <w:t>Харківський національний медичний університет, м. Харків, 201</w:t>
      </w:r>
      <w:r w:rsidR="00A0087E">
        <w:rPr>
          <w:rFonts w:eastAsia="Calibri" w:cs="Times New Roman"/>
          <w:sz w:val="28"/>
          <w:szCs w:val="28"/>
        </w:rPr>
        <w:t>9</w:t>
      </w:r>
      <w:r w:rsidRPr="007139F7">
        <w:rPr>
          <w:rFonts w:eastAsia="Calibri" w:cs="Times New Roman"/>
          <w:sz w:val="28"/>
          <w:szCs w:val="28"/>
        </w:rPr>
        <w:t>.</w:t>
      </w:r>
    </w:p>
    <w:p w:rsidR="007139F7" w:rsidRPr="007139F7" w:rsidRDefault="007139F7" w:rsidP="007139F7">
      <w:pPr>
        <w:spacing w:after="160" w:line="360" w:lineRule="auto"/>
        <w:ind w:firstLine="709"/>
        <w:jc w:val="both"/>
        <w:rPr>
          <w:rFonts w:eastAsia="Calibri" w:cs="Times New Roman"/>
          <w:b/>
          <w:sz w:val="28"/>
          <w:szCs w:val="28"/>
        </w:rPr>
      </w:pPr>
      <w:r w:rsidRPr="007139F7">
        <w:rPr>
          <w:rFonts w:eastAsia="Calibri" w:cs="Times New Roman"/>
          <w:sz w:val="28"/>
          <w:szCs w:val="28"/>
        </w:rPr>
        <w:t>В дисертаційній роботі представлено вирішення актуальної задачі сучасної хірургічної стоматології, а саме підвищенню ефективності профілактики утворення післяопераційних патологічних рубців шкіри у хворих на кісти шиї ембріонального походження шляхом інтраопераційного застосування PRF-згустків в комбінації з антиоксидантами в післяопераційному періоді.</w:t>
      </w:r>
    </w:p>
    <w:p w:rsidR="007139F7" w:rsidRPr="007139F7" w:rsidRDefault="007139F7" w:rsidP="007139F7">
      <w:pPr>
        <w:spacing w:after="160" w:line="360" w:lineRule="auto"/>
        <w:ind w:firstLine="708"/>
        <w:jc w:val="both"/>
        <w:rPr>
          <w:rFonts w:eastAsia="Calibri" w:cs="Times New Roman"/>
          <w:sz w:val="28"/>
          <w:szCs w:val="28"/>
        </w:rPr>
      </w:pPr>
      <w:r w:rsidRPr="007139F7">
        <w:rPr>
          <w:rFonts w:eastAsia="Calibri" w:cs="Times New Roman"/>
          <w:sz w:val="28"/>
          <w:szCs w:val="28"/>
        </w:rPr>
        <w:t>На мікроскопічному рівні досліджено фіброархітектоніку післяопераційних рубцевозмінених тканин шкіри за умов застосування класичної та авторської методик профілактики.</w:t>
      </w:r>
    </w:p>
    <w:p w:rsidR="007139F7" w:rsidRPr="007139F7" w:rsidRDefault="007139F7" w:rsidP="007139F7">
      <w:pPr>
        <w:spacing w:after="160" w:line="360" w:lineRule="auto"/>
        <w:ind w:firstLine="709"/>
        <w:jc w:val="both"/>
        <w:rPr>
          <w:rFonts w:eastAsia="Calibri" w:cs="Times New Roman"/>
          <w:sz w:val="28"/>
          <w:szCs w:val="28"/>
        </w:rPr>
      </w:pPr>
      <w:r w:rsidRPr="007139F7">
        <w:rPr>
          <w:rFonts w:eastAsia="Calibri" w:cs="Times New Roman"/>
          <w:sz w:val="28"/>
          <w:szCs w:val="28"/>
        </w:rPr>
        <w:t>Доповнено наукові дані щодо патогенетичних аспектів профілактики утворення патологічних рубців монотерапією та комбінованого застосування фібринових мембран, отриманих із збагаченої тромбоцитами плазми крові та церулоплазміну.</w:t>
      </w:r>
    </w:p>
    <w:p w:rsidR="007139F7" w:rsidRPr="007139F7" w:rsidRDefault="007139F7" w:rsidP="007139F7">
      <w:pPr>
        <w:spacing w:after="160" w:line="360" w:lineRule="auto"/>
        <w:ind w:firstLine="709"/>
        <w:jc w:val="both"/>
        <w:rPr>
          <w:rFonts w:eastAsia="Calibri" w:cs="Times New Roman"/>
          <w:sz w:val="28"/>
          <w:szCs w:val="28"/>
        </w:rPr>
      </w:pPr>
      <w:r w:rsidRPr="007139F7">
        <w:rPr>
          <w:rFonts w:eastAsia="Calibri" w:cs="Times New Roman"/>
          <w:sz w:val="28"/>
          <w:szCs w:val="28"/>
        </w:rPr>
        <w:t>Проведено аналіз впливу на показники продукції активних форм оксигену, пероксидного окиснення ліпідів, вільнорадикального окислення білків, регенераторних процесів, запалення, мікробного обсіменіння та неспецифічного імунітету в залежності від обраної методики інтра- та післяопераційної профілактики.</w:t>
      </w:r>
    </w:p>
    <w:p w:rsidR="007139F7" w:rsidRPr="007139F7" w:rsidRDefault="007139F7" w:rsidP="007139F7">
      <w:pPr>
        <w:spacing w:after="160" w:line="360" w:lineRule="auto"/>
        <w:ind w:firstLine="708"/>
        <w:jc w:val="both"/>
        <w:rPr>
          <w:rFonts w:eastAsia="Calibri" w:cs="Times New Roman"/>
          <w:sz w:val="28"/>
          <w:szCs w:val="28"/>
        </w:rPr>
      </w:pPr>
      <w:r w:rsidRPr="007139F7">
        <w:rPr>
          <w:rFonts w:eastAsia="Calibri" w:cs="Times New Roman"/>
          <w:sz w:val="28"/>
          <w:szCs w:val="28"/>
        </w:rPr>
        <w:lastRenderedPageBreak/>
        <w:t>Вивчено впив на механізм та якість формування післяопераційного рубця фібринових мембран, отриманих із збагаченої тромбоцитами плазми крові та церулоплазміну при монотерапії та їх комбінованому застосуванні.</w:t>
      </w:r>
    </w:p>
    <w:p w:rsidR="007139F7" w:rsidRPr="007139F7" w:rsidRDefault="007139F7" w:rsidP="007139F7">
      <w:pPr>
        <w:spacing w:after="160" w:line="360" w:lineRule="auto"/>
        <w:ind w:firstLine="708"/>
        <w:jc w:val="both"/>
        <w:rPr>
          <w:rFonts w:eastAsia="Calibri" w:cs="Times New Roman"/>
          <w:sz w:val="28"/>
          <w:szCs w:val="28"/>
        </w:rPr>
      </w:pPr>
      <w:r w:rsidRPr="007139F7">
        <w:rPr>
          <w:rFonts w:eastAsia="Calibri" w:cs="Times New Roman"/>
          <w:sz w:val="28"/>
          <w:szCs w:val="28"/>
        </w:rPr>
        <w:t>Розроблено алгоритми інтра- та постопераційної профілактики утворення патологічних рубців шкіри при хірургічному лікування хворих на кісти шиї ембріонального походження. Вивчення механізму утворення патологічних рубців у різних ділянках шкіри шиї дозволяє більш широко застосовувати нові методики інтра- та післяопераційної профілактики.</w:t>
      </w:r>
    </w:p>
    <w:p w:rsidR="007139F7" w:rsidRPr="007139F7" w:rsidRDefault="007139F7" w:rsidP="007139F7">
      <w:pPr>
        <w:spacing w:after="160" w:line="360" w:lineRule="auto"/>
        <w:ind w:firstLine="709"/>
        <w:jc w:val="both"/>
        <w:rPr>
          <w:rFonts w:eastAsia="Calibri" w:cs="Times New Roman"/>
          <w:sz w:val="28"/>
          <w:szCs w:val="28"/>
        </w:rPr>
      </w:pPr>
      <w:r w:rsidRPr="007139F7">
        <w:rPr>
          <w:rFonts w:eastAsia="Calibri" w:cs="Times New Roman"/>
          <w:sz w:val="28"/>
          <w:szCs w:val="28"/>
        </w:rPr>
        <w:t>Створена морфологічна, імуногістохімічна та біохімічна доказова база ефективності комбінованого застосування фібринових мембран, отриманих із збагаченої тромбоцитами плазми крові та церулоплазміну.</w:t>
      </w:r>
    </w:p>
    <w:p w:rsidR="007139F7" w:rsidRPr="007139F7" w:rsidRDefault="007139F7" w:rsidP="007139F7">
      <w:pPr>
        <w:spacing w:after="160" w:line="360" w:lineRule="auto"/>
        <w:ind w:firstLine="709"/>
        <w:jc w:val="both"/>
        <w:rPr>
          <w:rFonts w:eastAsia="Calibri" w:cs="Times New Roman"/>
          <w:sz w:val="28"/>
          <w:szCs w:val="28"/>
        </w:rPr>
      </w:pPr>
      <w:r w:rsidRPr="007139F7">
        <w:rPr>
          <w:rFonts w:eastAsia="Calibri" w:cs="Times New Roman"/>
          <w:sz w:val="28"/>
          <w:szCs w:val="28"/>
        </w:rPr>
        <w:t>Розроблений спосіб інтра- та післяопераційної профілактики утворення патологічних рубцевозмінених тканин шкіри при лікування хворих на кісти шиї ембріонального походження дозволяє підвищити їх ефективність з отриманням оптимального функціонального та косметичного результату.</w:t>
      </w:r>
    </w:p>
    <w:p w:rsidR="007139F7" w:rsidRPr="007139F7" w:rsidRDefault="007139F7" w:rsidP="007139F7">
      <w:pPr>
        <w:spacing w:after="160" w:line="360" w:lineRule="auto"/>
        <w:ind w:firstLine="708"/>
        <w:jc w:val="both"/>
        <w:rPr>
          <w:rFonts w:eastAsia="Calibri" w:cs="Times New Roman"/>
          <w:sz w:val="28"/>
          <w:szCs w:val="28"/>
        </w:rPr>
      </w:pPr>
      <w:r w:rsidRPr="007139F7">
        <w:rPr>
          <w:rFonts w:eastAsia="Calibri" w:cs="Times New Roman"/>
          <w:sz w:val="28"/>
          <w:szCs w:val="28"/>
        </w:rPr>
        <w:t xml:space="preserve">Доведено, що в групі де пацієнтам проводилася комбінована профілактика PRF-згустком та церулоплазміном, отримані найкращі функціональні та естетичні результати. При аналізі динаміки змін показника П1 в 2 групі хворих на 3 місяць спостереження вірогідність утворення нормотрофічного рубця встановлено у 70% із всіх пацієнтів, на 12 місяць ознак келоїдизації не виявлено, а у 85% спостерігався нормотрофічний рубець. </w:t>
      </w:r>
    </w:p>
    <w:p w:rsidR="007139F7" w:rsidRPr="007139F7" w:rsidRDefault="007139F7" w:rsidP="007139F7">
      <w:pPr>
        <w:spacing w:after="160" w:line="360" w:lineRule="auto"/>
        <w:ind w:firstLine="708"/>
        <w:jc w:val="both"/>
        <w:rPr>
          <w:rFonts w:eastAsia="Calibri" w:cs="Times New Roman"/>
          <w:sz w:val="28"/>
          <w:szCs w:val="28"/>
        </w:rPr>
      </w:pPr>
      <w:r w:rsidRPr="007139F7">
        <w:rPr>
          <w:rFonts w:eastAsia="Calibri" w:cs="Times New Roman"/>
          <w:sz w:val="28"/>
          <w:szCs w:val="28"/>
        </w:rPr>
        <w:t xml:space="preserve">Ефективність запропонованої методики нами підтверджена при дослідженні динаміки клінічних змін показників П2 та П3 на 6 місяць та їх невеликі зміни протягом всього подальшого періоду спостереження, а при аналізі показника П4 – 9 місяць післяопераційного періоду: на напруженість рубця скаржилися 15% пацієнтів, скарг на біль, печію та свербіж не відзначався. Зміни показника П5 свідчать про збільшення кількості пацієнтів з ознакою малої площі рубцевозмінених тканин протягом всього періоду </w:t>
      </w:r>
      <w:r w:rsidRPr="007139F7">
        <w:rPr>
          <w:rFonts w:eastAsia="Calibri" w:cs="Times New Roman"/>
          <w:sz w:val="28"/>
          <w:szCs w:val="28"/>
        </w:rPr>
        <w:lastRenderedPageBreak/>
        <w:t>спостереження з повною відсутністю пацієнтів з ознаками великої площі, що підкреслює перевагу проведеної авторської методики профілактики над класичною. При аналізі цифрових термометричних показників пацієнтів 2 групи слід звернути увагу на найвищі показники температури в усіх ділянках рубцевозмінених тканин в середньому на 0,8±0,5 °С (p&lt;0.05), що пов’язано із застосуванням пацієнтам цієї групи церулоплазміну, який суттєво покращує реґіонарну мікроциркуляцію.</w:t>
      </w:r>
    </w:p>
    <w:p w:rsidR="007139F7" w:rsidRPr="007139F7" w:rsidRDefault="007139F7" w:rsidP="007139F7">
      <w:pPr>
        <w:spacing w:after="160" w:line="360" w:lineRule="auto"/>
        <w:ind w:firstLine="708"/>
        <w:jc w:val="both"/>
        <w:rPr>
          <w:rFonts w:eastAsia="Calibri" w:cs="Times New Roman"/>
          <w:sz w:val="28"/>
          <w:szCs w:val="28"/>
        </w:rPr>
      </w:pPr>
      <w:r w:rsidRPr="007139F7">
        <w:rPr>
          <w:rFonts w:eastAsia="Calibri" w:cs="Times New Roman"/>
          <w:sz w:val="28"/>
          <w:szCs w:val="28"/>
        </w:rPr>
        <w:t>Встановлено, що при поєднаному застосуванні PRF-згустка та церулоплазміна морфологічна картина візуалізує ефективність проведеної профілактики на 6 місяць післяопераційного періоду: сполучнотканинні сосочки не відрізняються від таких в інтактній дермі, розташовані між ними епітеліальні пласти характеризуються мономорфною картиною і відносно однаковими розмірами. Пучки колагенових волокон розташовуються переважно перпендикулярно до покривного епітелію, а в середніх і базальних відділах – паралельно. Реакція з антитілами до білку Кі - 67, виявляла проліферативну активність в 20% епітеліальних клітин базального шару епідермісу і відсутність такої в клітинах сполучнотканинного рубця. На 12 місяць пучки колагенових волокон післяопераційного рубця за тинкторіальними характеристиками і метричними показниками практично не відрізнялися від таких в незміненій дермі, що є доказом ефективності запропонованого методу профілактики.</w:t>
      </w:r>
    </w:p>
    <w:p w:rsidR="007139F7" w:rsidRPr="007139F7" w:rsidRDefault="007139F7" w:rsidP="007139F7">
      <w:pPr>
        <w:spacing w:after="160" w:line="360" w:lineRule="auto"/>
        <w:ind w:firstLine="708"/>
        <w:jc w:val="both"/>
        <w:rPr>
          <w:rFonts w:eastAsia="Calibri" w:cs="Times New Roman"/>
          <w:sz w:val="28"/>
          <w:szCs w:val="28"/>
        </w:rPr>
      </w:pPr>
      <w:r w:rsidRPr="007139F7">
        <w:rPr>
          <w:rFonts w:eastAsia="Calibri" w:cs="Times New Roman"/>
          <w:sz w:val="28"/>
          <w:szCs w:val="28"/>
        </w:rPr>
        <w:t>Доведено, що у пацієнтів, яким під час оперативного втручання введено PRF-згусток, а на післяопераційному етапі було засто</w:t>
      </w:r>
      <w:r w:rsidR="00BE51DF">
        <w:rPr>
          <w:rFonts w:eastAsia="Calibri" w:cs="Times New Roman"/>
          <w:sz w:val="28"/>
          <w:szCs w:val="28"/>
        </w:rPr>
        <w:t>совано церулоплазмін</w:t>
      </w:r>
      <w:r w:rsidRPr="007139F7">
        <w:rPr>
          <w:rFonts w:eastAsia="Calibri" w:cs="Times New Roman"/>
          <w:sz w:val="28"/>
          <w:szCs w:val="28"/>
        </w:rPr>
        <w:t xml:space="preserve">, концентрація ДК через 3 місяці спостереження була достовірно зменшувалася на 38,6 % , через 6 – на 25,3 % і через 9– на 13,0 %, стосовно даних третьої групи. Концентрація ТБК-АП через 3 місяці спостереження достовірно зменшується на 35,1 %, через 6– на 27,7 % і через 9 – 8,7 на %. Вміст 2,4-динітрофенілгідразонів, що визначалися при 370 нм через 3 місяці спостереження є меншим на 43,3 %, через 6 – на 38,6 % і через 9 – на 21,8 %, </w:t>
      </w:r>
      <w:r w:rsidRPr="007139F7">
        <w:rPr>
          <w:rFonts w:eastAsia="Calibri" w:cs="Times New Roman"/>
          <w:sz w:val="28"/>
          <w:szCs w:val="28"/>
        </w:rPr>
        <w:lastRenderedPageBreak/>
        <w:t xml:space="preserve">стосовно даних 3-ої групи. Також в цій групі встановлені найнижчі показники ОМБ: у 3 місяці даний показник перевищував показник інтактної групи на 60,0 %, через 6– на 20,0 % і через 9– на 6,5 %. </w:t>
      </w:r>
    </w:p>
    <w:p w:rsidR="007139F7" w:rsidRPr="007139F7" w:rsidRDefault="007139F7" w:rsidP="007139F7">
      <w:pPr>
        <w:spacing w:after="160" w:line="360" w:lineRule="auto"/>
        <w:ind w:firstLine="708"/>
        <w:jc w:val="both"/>
        <w:rPr>
          <w:rFonts w:eastAsia="Calibri" w:cs="Times New Roman"/>
          <w:sz w:val="28"/>
          <w:szCs w:val="28"/>
        </w:rPr>
      </w:pPr>
      <w:r w:rsidRPr="007139F7">
        <w:rPr>
          <w:rFonts w:eastAsia="Calibri" w:cs="Times New Roman"/>
          <w:sz w:val="28"/>
          <w:szCs w:val="28"/>
        </w:rPr>
        <w:t>Встановлено, що у пацієнтів 2 групи активність СОД через 3 місяці спостереження був достовірно меншою на 24,6 %, через 6 – на 16,7 % і через 9 – на 14,7 %, стосовно даних 3-ої групи. У пацієнтів 1-ої і 3-ої груп через 12 місяців спостереження активність СОД практично не відрізнялася. У пацієнтів 1 групи відсоток АФО через 3 місяці спостереження був достовірно меншим на 26,6 % , через 6 – на 10,9 % і через 9 – на 12,2 %, стосовно даних пацієнтів контрольної групи. В 2 групі концентрація ГПЛ через 3 місяці спостереження фіксувалася достовірно меншою на 39,0 % , через 6 – на 19,7 % і через 9 – на 9,2 %, стосовно даних 3-ої групи, що свідчить про ефективність застосування авторської методики.</w:t>
      </w:r>
    </w:p>
    <w:p w:rsidR="007139F7" w:rsidRPr="007139F7" w:rsidRDefault="007139F7" w:rsidP="007139F7">
      <w:pPr>
        <w:spacing w:after="160" w:line="360" w:lineRule="auto"/>
        <w:ind w:firstLine="708"/>
        <w:jc w:val="both"/>
        <w:rPr>
          <w:rFonts w:eastAsia="Calibri" w:cs="Times New Roman"/>
          <w:sz w:val="28"/>
          <w:szCs w:val="28"/>
        </w:rPr>
      </w:pPr>
      <w:r w:rsidRPr="007139F7">
        <w:rPr>
          <w:rFonts w:eastAsia="Calibri" w:cs="Times New Roman"/>
          <w:sz w:val="28"/>
          <w:szCs w:val="28"/>
        </w:rPr>
        <w:t>Аналіз отриманих клінічних, морфологічних та біохімічних даних доводить, що комбіноване застосування PRF-згустку на інтраопераційному етапі профілактики та церулоплазміну на післяопераційному, на відміну від монотерапії фібриновими мембранами, отриманих із збагаченої тромбоцитами плазми крові приводить до кращого як функціонального, так і естетичного результату, що суттєво покращує якість життя пацієнтів у ранньому та пізньому післяопераційному періодах.</w:t>
      </w:r>
    </w:p>
    <w:p w:rsidR="007139F7" w:rsidRPr="007139F7" w:rsidRDefault="007139F7" w:rsidP="007139F7">
      <w:pPr>
        <w:spacing w:after="160" w:line="360" w:lineRule="auto"/>
        <w:ind w:firstLine="708"/>
        <w:jc w:val="both"/>
        <w:rPr>
          <w:rFonts w:eastAsia="Calibri" w:cs="Times New Roman"/>
          <w:sz w:val="28"/>
          <w:szCs w:val="28"/>
        </w:rPr>
      </w:pPr>
      <w:r w:rsidRPr="007139F7">
        <w:rPr>
          <w:rFonts w:eastAsia="Calibri" w:cs="Times New Roman"/>
          <w:sz w:val="28"/>
          <w:szCs w:val="28"/>
        </w:rPr>
        <w:t>Для інтра- та постопераційної профілактики утворення патологічних рубцевозмінених тканин у хворих на кісти ембріонального походження рекомендується застосування фібринових мембран (PRF-згустків), отриманих із збагаченої тромбоцитами плазми крові в комбінації з церулоплазміном.</w:t>
      </w:r>
    </w:p>
    <w:p w:rsidR="007139F7" w:rsidRPr="007139F7" w:rsidRDefault="007139F7" w:rsidP="007139F7">
      <w:pPr>
        <w:spacing w:after="160" w:line="360" w:lineRule="auto"/>
        <w:ind w:firstLine="708"/>
        <w:jc w:val="both"/>
        <w:rPr>
          <w:rFonts w:eastAsia="Calibri" w:cs="Times New Roman"/>
          <w:sz w:val="28"/>
          <w:szCs w:val="28"/>
        </w:rPr>
      </w:pPr>
      <w:r w:rsidRPr="007139F7">
        <w:rPr>
          <w:rFonts w:eastAsia="Calibri" w:cs="Times New Roman"/>
          <w:sz w:val="28"/>
          <w:szCs w:val="28"/>
        </w:rPr>
        <w:t>На етапі інтраопераційної профілактики під час проведення оперативного втручання рекомендується введення PRF-мембран в глибокі (в ділянці тіла під’язикової кістки при видаленні серединних кіст та судинно-</w:t>
      </w:r>
      <w:r w:rsidRPr="007139F7">
        <w:rPr>
          <w:rFonts w:eastAsia="Calibri" w:cs="Times New Roman"/>
          <w:sz w:val="28"/>
          <w:szCs w:val="28"/>
        </w:rPr>
        <w:lastRenderedPageBreak/>
        <w:t>нервового пучка – при видалення бічних кіст) та поверхневі шари операційної рани (під шар гіподерми).</w:t>
      </w:r>
    </w:p>
    <w:p w:rsidR="007139F7" w:rsidRPr="007139F7" w:rsidRDefault="007139F7" w:rsidP="007139F7">
      <w:pPr>
        <w:spacing w:after="160" w:line="360" w:lineRule="auto"/>
        <w:ind w:firstLine="708"/>
        <w:jc w:val="both"/>
        <w:rPr>
          <w:rFonts w:eastAsia="Calibri" w:cs="Times New Roman"/>
          <w:sz w:val="28"/>
          <w:szCs w:val="28"/>
        </w:rPr>
      </w:pPr>
      <w:r w:rsidRPr="007139F7">
        <w:rPr>
          <w:rFonts w:eastAsia="Calibri" w:cs="Times New Roman"/>
          <w:sz w:val="28"/>
          <w:szCs w:val="28"/>
        </w:rPr>
        <w:t>На етапі постопераційної профілактики церулоплазмін застосовується у вигляді розчину (рН 6,5-7,5), який готують із ліофілізованого порошку. Вводиться внутрішньорубцево із розрахунку 0,2 мл препарату на кожний 1 см рубцевозміненої тканини на 3-й місяць післяопераційного періоду. На 9 місяць препарат уводиться в рубцевозмінені тканини шляхом електрофорезу в тій же концентрації. Для введення вміст одного флакона розводиться у 10 мл ізотонічного розчину натрію хлориду.</w:t>
      </w:r>
    </w:p>
    <w:p w:rsidR="007139F7" w:rsidRPr="007139F7" w:rsidRDefault="007139F7" w:rsidP="007139F7">
      <w:pPr>
        <w:spacing w:after="160" w:line="360" w:lineRule="auto"/>
        <w:ind w:firstLine="708"/>
        <w:jc w:val="both"/>
        <w:rPr>
          <w:rFonts w:eastAsia="Calibri" w:cs="Times New Roman"/>
          <w:sz w:val="28"/>
          <w:szCs w:val="28"/>
        </w:rPr>
      </w:pPr>
      <w:r w:rsidRPr="007139F7">
        <w:rPr>
          <w:rFonts w:eastAsia="Calibri" w:cs="Times New Roman"/>
          <w:sz w:val="28"/>
          <w:szCs w:val="28"/>
        </w:rPr>
        <w:t>Для контролю динаміки рубцювання операційних ран рекомендуємо на 3, 6, 9 та 12 місяць післяопераційного періоду проводити клінічну оцінку стану рубцевозмінених тканин враховуючі наступні параметри: тип, консистенція, колір, чутливість та площа рубця.</w:t>
      </w:r>
    </w:p>
    <w:p w:rsidR="007139F7" w:rsidRPr="007139F7" w:rsidRDefault="007139F7" w:rsidP="007139F7">
      <w:pPr>
        <w:spacing w:after="160" w:line="360" w:lineRule="auto"/>
        <w:ind w:firstLine="709"/>
        <w:jc w:val="both"/>
        <w:rPr>
          <w:rFonts w:eastAsia="Calibri" w:cs="Times New Roman"/>
          <w:sz w:val="28"/>
          <w:szCs w:val="28"/>
        </w:rPr>
      </w:pPr>
      <w:r w:rsidRPr="007139F7">
        <w:rPr>
          <w:rFonts w:eastAsia="Calibri" w:cs="Times New Roman"/>
          <w:b/>
          <w:sz w:val="28"/>
          <w:szCs w:val="28"/>
        </w:rPr>
        <w:t xml:space="preserve">Ключові слова: </w:t>
      </w:r>
      <w:r w:rsidRPr="007139F7">
        <w:rPr>
          <w:rFonts w:eastAsia="Calibri" w:cs="Times New Roman"/>
          <w:sz w:val="28"/>
          <w:szCs w:val="28"/>
        </w:rPr>
        <w:t>серединна кіста шиї, бічна кіста шиї, нормотрофічний рубець, патологічний рубець, збагачена тромбоцитами плазма крові, церулоплазмін, профілактика.</w:t>
      </w:r>
    </w:p>
    <w:p w:rsidR="007139F7" w:rsidRPr="007139F7" w:rsidRDefault="007139F7" w:rsidP="007139F7">
      <w:pPr>
        <w:spacing w:after="160" w:line="259" w:lineRule="auto"/>
        <w:rPr>
          <w:rFonts w:eastAsia="Calibri" w:cs="Times New Roman"/>
          <w:b/>
          <w:sz w:val="28"/>
          <w:szCs w:val="28"/>
        </w:rPr>
      </w:pPr>
      <w:r w:rsidRPr="007139F7">
        <w:rPr>
          <w:rFonts w:eastAsia="Calibri" w:cs="Times New Roman"/>
          <w:b/>
          <w:sz w:val="28"/>
          <w:szCs w:val="28"/>
        </w:rPr>
        <w:br w:type="page"/>
      </w:r>
    </w:p>
    <w:p w:rsidR="007139F7" w:rsidRPr="007139F7" w:rsidRDefault="007139F7" w:rsidP="007139F7">
      <w:pPr>
        <w:spacing w:after="160" w:line="360" w:lineRule="auto"/>
        <w:jc w:val="center"/>
        <w:rPr>
          <w:rFonts w:eastAsia="Calibri" w:cs="Times New Roman"/>
          <w:b/>
          <w:sz w:val="28"/>
          <w:szCs w:val="28"/>
        </w:rPr>
      </w:pPr>
      <w:r w:rsidRPr="007139F7">
        <w:rPr>
          <w:rFonts w:eastAsia="Calibri" w:cs="Times New Roman"/>
          <w:b/>
          <w:sz w:val="28"/>
          <w:szCs w:val="28"/>
        </w:rPr>
        <w:lastRenderedPageBreak/>
        <w:t>ANNOTATION</w:t>
      </w:r>
    </w:p>
    <w:p w:rsidR="007139F7" w:rsidRPr="007139F7" w:rsidRDefault="007139F7" w:rsidP="007139F7">
      <w:pPr>
        <w:spacing w:after="160" w:line="360" w:lineRule="auto"/>
        <w:jc w:val="center"/>
        <w:rPr>
          <w:rFonts w:eastAsia="Calibri" w:cs="Times New Roman"/>
          <w:b/>
          <w:sz w:val="28"/>
          <w:szCs w:val="28"/>
        </w:rPr>
      </w:pPr>
    </w:p>
    <w:p w:rsidR="007139F7" w:rsidRPr="008B2675" w:rsidRDefault="007139F7" w:rsidP="007139F7">
      <w:pPr>
        <w:shd w:val="clear" w:color="auto" w:fill="FFFFFF"/>
        <w:spacing w:after="160" w:line="360" w:lineRule="auto"/>
        <w:ind w:firstLine="709"/>
        <w:jc w:val="both"/>
        <w:rPr>
          <w:rFonts w:eastAsia="Calibri" w:cs="Times New Roman"/>
          <w:sz w:val="28"/>
          <w:szCs w:val="28"/>
        </w:rPr>
      </w:pPr>
      <w:r w:rsidRPr="008B2675">
        <w:rPr>
          <w:rFonts w:eastAsia="Calibri" w:cs="Times New Roman"/>
          <w:sz w:val="28"/>
          <w:szCs w:val="28"/>
        </w:rPr>
        <w:t>Krinichko L.R. The improvement of intra- and postoperative prevention of the formation of pathological scars at surgical treatment of neck cysts of embryonic origin.</w:t>
      </w:r>
    </w:p>
    <w:p w:rsidR="007139F7" w:rsidRPr="008B2675" w:rsidRDefault="007139F7" w:rsidP="007139F7">
      <w:pPr>
        <w:shd w:val="clear" w:color="auto" w:fill="FFFFFF"/>
        <w:spacing w:after="160" w:line="360" w:lineRule="auto"/>
        <w:ind w:firstLine="709"/>
        <w:jc w:val="both"/>
        <w:rPr>
          <w:rFonts w:eastAsia="Calibri" w:cs="Times New Roman"/>
          <w:sz w:val="28"/>
          <w:szCs w:val="28"/>
        </w:rPr>
      </w:pPr>
      <w:r w:rsidRPr="008B2675">
        <w:rPr>
          <w:rFonts w:eastAsia="Calibri" w:cs="Times New Roman"/>
          <w:sz w:val="28"/>
          <w:szCs w:val="28"/>
        </w:rPr>
        <w:t>Dissertation for the degree of a candidate of medical sciences (doctor of philosophy) in specialty 14.01.22 - stomatology (health care). - Kharkiv National Medical University, Kharkiv, 201</w:t>
      </w:r>
      <w:r w:rsidR="00A0087E" w:rsidRPr="008B2675">
        <w:rPr>
          <w:rFonts w:eastAsia="Calibri" w:cs="Times New Roman"/>
          <w:sz w:val="28"/>
          <w:szCs w:val="28"/>
        </w:rPr>
        <w:t>9</w:t>
      </w:r>
      <w:r w:rsidRPr="008B2675">
        <w:rPr>
          <w:rFonts w:eastAsia="Calibri" w:cs="Times New Roman"/>
          <w:sz w:val="28"/>
          <w:szCs w:val="28"/>
        </w:rPr>
        <w:t>.</w:t>
      </w:r>
    </w:p>
    <w:p w:rsidR="007139F7" w:rsidRPr="008B2675" w:rsidRDefault="007139F7" w:rsidP="007139F7">
      <w:pPr>
        <w:shd w:val="clear" w:color="auto" w:fill="FFFFFF"/>
        <w:spacing w:after="160" w:line="360" w:lineRule="auto"/>
        <w:ind w:firstLine="709"/>
        <w:jc w:val="both"/>
        <w:rPr>
          <w:rFonts w:eastAsia="Calibri" w:cs="Times New Roman"/>
          <w:sz w:val="28"/>
          <w:szCs w:val="28"/>
        </w:rPr>
      </w:pPr>
      <w:r w:rsidRPr="008B2675">
        <w:rPr>
          <w:rFonts w:eastAsia="Calibri" w:cs="Times New Roman"/>
          <w:sz w:val="28"/>
          <w:szCs w:val="28"/>
        </w:rPr>
        <w:t>It is presented in the dissertation the solution of the actual problem of modern stomatology, namely, the increase of the effectiveness of prevention of the formation of postoperative pathological scars of the skin at patients with neck cysts of embryonic origin by the intraoperative application of PRF-bundles in combination with antioxidants in the postoperative period.</w:t>
      </w:r>
    </w:p>
    <w:p w:rsidR="007139F7" w:rsidRPr="008B2675" w:rsidRDefault="007139F7" w:rsidP="007139F7">
      <w:pPr>
        <w:shd w:val="clear" w:color="auto" w:fill="FFFFFF"/>
        <w:spacing w:after="160" w:line="360" w:lineRule="auto"/>
        <w:ind w:firstLine="709"/>
        <w:jc w:val="both"/>
        <w:rPr>
          <w:rFonts w:eastAsia="Calibri" w:cs="Times New Roman"/>
          <w:sz w:val="28"/>
          <w:szCs w:val="28"/>
        </w:rPr>
      </w:pPr>
      <w:r w:rsidRPr="008B2675">
        <w:rPr>
          <w:rFonts w:eastAsia="Calibri" w:cs="Times New Roman"/>
          <w:sz w:val="28"/>
          <w:szCs w:val="28"/>
        </w:rPr>
        <w:t>The fibroarchitectonics of postoperative scar tissue of the skin was studied at the microscopic level under conditions of classical and authoritative methods of prevention.</w:t>
      </w:r>
    </w:p>
    <w:p w:rsidR="007139F7" w:rsidRPr="008B2675" w:rsidRDefault="007139F7" w:rsidP="007139F7">
      <w:pPr>
        <w:shd w:val="clear" w:color="auto" w:fill="FFFFFF"/>
        <w:spacing w:after="160" w:line="360" w:lineRule="auto"/>
        <w:ind w:firstLine="709"/>
        <w:jc w:val="both"/>
        <w:rPr>
          <w:rFonts w:eastAsia="Calibri" w:cs="Times New Roman"/>
          <w:sz w:val="28"/>
          <w:szCs w:val="28"/>
        </w:rPr>
      </w:pPr>
      <w:r w:rsidRPr="008B2675">
        <w:rPr>
          <w:rFonts w:eastAsia="Calibri" w:cs="Times New Roman"/>
          <w:sz w:val="28"/>
          <w:szCs w:val="28"/>
        </w:rPr>
        <w:t>It was supplemented the scientific data on the pathogenetic aspects of the prevention of pathological scar formation in monotherapy and the combined use of fibrin membranes derived from platelet-rich fibrin and ceruloplasmin.</w:t>
      </w:r>
    </w:p>
    <w:p w:rsidR="007139F7" w:rsidRPr="008B2675" w:rsidRDefault="007139F7" w:rsidP="007139F7">
      <w:pPr>
        <w:shd w:val="clear" w:color="auto" w:fill="FFFFFF"/>
        <w:spacing w:after="160" w:line="360" w:lineRule="auto"/>
        <w:ind w:firstLine="709"/>
        <w:jc w:val="both"/>
        <w:rPr>
          <w:rFonts w:eastAsia="Calibri" w:cs="Times New Roman"/>
          <w:sz w:val="28"/>
          <w:szCs w:val="28"/>
        </w:rPr>
      </w:pPr>
      <w:r w:rsidRPr="008B2675">
        <w:rPr>
          <w:rFonts w:eastAsia="Calibri" w:cs="Times New Roman"/>
          <w:sz w:val="28"/>
          <w:szCs w:val="28"/>
        </w:rPr>
        <w:t>It was carried out the analysis of the influence on the indices of active forms of oxygen, lipid peroxide oxidation, free radical protein oxidation, regenerative processes, inflammation, microbial contamination and nonspecific immunity, depending on the chosen method of intra-and postoperative prophylaxis.</w:t>
      </w:r>
    </w:p>
    <w:p w:rsidR="007139F7" w:rsidRPr="008B2675" w:rsidRDefault="007139F7" w:rsidP="007139F7">
      <w:pPr>
        <w:shd w:val="clear" w:color="auto" w:fill="FFFFFF"/>
        <w:spacing w:after="160" w:line="360" w:lineRule="auto"/>
        <w:ind w:firstLine="709"/>
        <w:jc w:val="both"/>
        <w:rPr>
          <w:rFonts w:eastAsia="Calibri" w:cs="Times New Roman"/>
          <w:sz w:val="28"/>
          <w:szCs w:val="28"/>
        </w:rPr>
      </w:pPr>
      <w:r w:rsidRPr="008B2675">
        <w:rPr>
          <w:rFonts w:eastAsia="Calibri" w:cs="Times New Roman"/>
          <w:sz w:val="28"/>
          <w:szCs w:val="28"/>
        </w:rPr>
        <w:t>It was studied the effect of influence of fibrin membranes obtained from platelet-rich fibrin of blood plasma and ceruloplasmin in monotherapy and their combined use on the mechanism and quality of the formation of postoperative scars.</w:t>
      </w:r>
    </w:p>
    <w:p w:rsidR="007139F7" w:rsidRPr="008B2675" w:rsidRDefault="007139F7" w:rsidP="007139F7">
      <w:pPr>
        <w:shd w:val="clear" w:color="auto" w:fill="FFFFFF"/>
        <w:spacing w:after="160" w:line="360" w:lineRule="auto"/>
        <w:ind w:firstLine="709"/>
        <w:jc w:val="both"/>
        <w:rPr>
          <w:rFonts w:eastAsia="Calibri" w:cs="Times New Roman"/>
          <w:sz w:val="28"/>
          <w:szCs w:val="28"/>
        </w:rPr>
      </w:pPr>
      <w:r w:rsidRPr="008B2675">
        <w:rPr>
          <w:rFonts w:eastAsia="Calibri" w:cs="Times New Roman"/>
          <w:sz w:val="28"/>
          <w:szCs w:val="28"/>
        </w:rPr>
        <w:lastRenderedPageBreak/>
        <w:t>It was developed the algorithm of intra- and postoperative prevention of the formation of pathological scars of the skin in the surgical treatment of patients with neck cysts of embryonic origin. The study of the mechanism of the formation of pathological scarring in different parts of the skin of the neck allows for the wider use of new methods of intra- and postoperative prophylaxis.</w:t>
      </w:r>
    </w:p>
    <w:p w:rsidR="007139F7" w:rsidRPr="008B2675" w:rsidRDefault="007139F7" w:rsidP="007139F7">
      <w:pPr>
        <w:shd w:val="clear" w:color="auto" w:fill="FFFFFF"/>
        <w:spacing w:after="160" w:line="360" w:lineRule="auto"/>
        <w:ind w:firstLine="709"/>
        <w:jc w:val="both"/>
        <w:rPr>
          <w:rFonts w:eastAsia="Calibri" w:cs="Times New Roman"/>
          <w:sz w:val="28"/>
          <w:szCs w:val="28"/>
        </w:rPr>
      </w:pPr>
      <w:r w:rsidRPr="008B2675">
        <w:rPr>
          <w:rFonts w:eastAsia="Calibri" w:cs="Times New Roman"/>
          <w:sz w:val="28"/>
          <w:szCs w:val="28"/>
        </w:rPr>
        <w:t>The morphological, immunohistochemical and biochemical evidence base of the effectiveness of combined use of fibrin membranes derived from platelet-rich fibrin and ceruloplasmin was created.</w:t>
      </w:r>
    </w:p>
    <w:p w:rsidR="007139F7" w:rsidRPr="008B2675" w:rsidRDefault="007139F7" w:rsidP="007139F7">
      <w:pPr>
        <w:shd w:val="clear" w:color="auto" w:fill="FFFFFF"/>
        <w:spacing w:after="160" w:line="360" w:lineRule="auto"/>
        <w:ind w:firstLine="709"/>
        <w:jc w:val="both"/>
        <w:rPr>
          <w:rFonts w:eastAsia="Calibri" w:cs="Times New Roman"/>
          <w:sz w:val="28"/>
          <w:szCs w:val="28"/>
        </w:rPr>
      </w:pPr>
      <w:r w:rsidRPr="008B2675">
        <w:rPr>
          <w:rFonts w:eastAsia="Calibri" w:cs="Times New Roman"/>
          <w:sz w:val="28"/>
          <w:szCs w:val="28"/>
        </w:rPr>
        <w:t>The developed method of intra- and postoperative prevention of the formation of pathologic scar tissue of the skin in the treatment of patients with cysts of the embryonic origin allows to increase its quality with the obtaining of optimal functional and cosmetic result.</w:t>
      </w:r>
    </w:p>
    <w:p w:rsidR="007139F7" w:rsidRPr="008B2675" w:rsidRDefault="007139F7" w:rsidP="007139F7">
      <w:pPr>
        <w:shd w:val="clear" w:color="auto" w:fill="FFFFFF"/>
        <w:spacing w:after="160" w:line="360" w:lineRule="auto"/>
        <w:ind w:firstLine="709"/>
        <w:jc w:val="both"/>
        <w:rPr>
          <w:rFonts w:eastAsia="Calibri" w:cs="Times New Roman"/>
          <w:sz w:val="28"/>
          <w:szCs w:val="28"/>
        </w:rPr>
      </w:pPr>
      <w:r w:rsidRPr="008B2675">
        <w:rPr>
          <w:rFonts w:eastAsia="Calibri" w:cs="Times New Roman"/>
          <w:sz w:val="28"/>
          <w:szCs w:val="28"/>
        </w:rPr>
        <w:t>It was proved that in the group where patients get the combined prevention with PRF-clot and ceruloplasmin, the best functional and aesthetic results were obtained. During the analyze of the dynamics of changes in the index P1 in 2 groups of patients on 3 months of observation, the probability of formation of normotrophic scar was established in 14 (70%) patients, on 12 months no signs of keloidization were detected, and in 17 (85%) (p &lt;0.01) patients there was a normophytic scar.</w:t>
      </w:r>
    </w:p>
    <w:p w:rsidR="007139F7" w:rsidRPr="008B2675" w:rsidRDefault="007139F7" w:rsidP="007139F7">
      <w:pPr>
        <w:shd w:val="clear" w:color="auto" w:fill="FFFFFF"/>
        <w:spacing w:after="160" w:line="360" w:lineRule="auto"/>
        <w:ind w:firstLine="709"/>
        <w:jc w:val="both"/>
        <w:rPr>
          <w:rFonts w:eastAsia="Calibri" w:cs="Times New Roman"/>
          <w:sz w:val="28"/>
          <w:szCs w:val="28"/>
        </w:rPr>
      </w:pPr>
      <w:r w:rsidRPr="008B2675">
        <w:rPr>
          <w:rFonts w:eastAsia="Calibri" w:cs="Times New Roman"/>
          <w:sz w:val="28"/>
          <w:szCs w:val="28"/>
        </w:rPr>
        <w:t xml:space="preserve">The effectiveness of the proposed method was confirmed by the study of the dynamics of clinical changes of the parameters P2 and P3 on 6 months and their small changes throughout the subsequent follow-up period, and in the analysis of P4 - 9 months postoperative period: 3 patients (15%) complainted on tension of scar; it was no complains on pain, heartburn and itching. Changes in the P5 index indicated an increase in the number of patients with a sign of a small area throughout the observation period with a complete absence of patients with signs of a large area, which underlines the advantage of the author's methodology of prevention over the classical. During the analyzis of the digital thermometric parameters of patients in 2 groups, attention should be paid to the highest temperature indices in all areas of </w:t>
      </w:r>
      <w:r w:rsidRPr="008B2675">
        <w:rPr>
          <w:rFonts w:eastAsia="Calibri" w:cs="Times New Roman"/>
          <w:sz w:val="28"/>
          <w:szCs w:val="28"/>
        </w:rPr>
        <w:lastRenderedPageBreak/>
        <w:t>scar tissue in an average of 0.8 ± 0.5 ° C (p &lt;0.05), which is associated with the use of patients in this group of ceruloplasmin, which substantially improves microcirculation at the injection site.</w:t>
      </w:r>
    </w:p>
    <w:p w:rsidR="007139F7" w:rsidRPr="008B2675" w:rsidRDefault="007139F7" w:rsidP="007139F7">
      <w:pPr>
        <w:shd w:val="clear" w:color="auto" w:fill="FFFFFF"/>
        <w:spacing w:after="160" w:line="360" w:lineRule="auto"/>
        <w:ind w:firstLine="709"/>
        <w:jc w:val="both"/>
        <w:rPr>
          <w:rFonts w:eastAsia="Calibri" w:cs="Times New Roman"/>
          <w:sz w:val="28"/>
          <w:szCs w:val="28"/>
        </w:rPr>
      </w:pPr>
      <w:r w:rsidRPr="008B2675">
        <w:rPr>
          <w:rFonts w:eastAsia="Calibri" w:cs="Times New Roman"/>
          <w:sz w:val="28"/>
          <w:szCs w:val="28"/>
        </w:rPr>
        <w:t>It was established that at the combined use of PRF-clot and ceruloplasmin application, the morphological picture visualizes the effectiveness of the prophylaxis performed at 6 months post-operative period: connective tissue papilla does not visually differ from those in intact dermis, the epithelial lay between them is characterized by a monomorphic pattern and relatively similar sizes. Bundles of collagen fibers are located predominantly perpendicular to the capillary epithelium, in the middle and basal sections - in parallel. A reaction with antibodies to the Ki</w:t>
      </w:r>
      <w:r w:rsidRPr="008B2675">
        <w:rPr>
          <w:rFonts w:eastAsia="Calibri" w:cs="Times New Roman"/>
          <w:sz w:val="28"/>
          <w:szCs w:val="28"/>
        </w:rPr>
        <w:noBreakHyphen/>
        <w:t>67 protein was performed, detecting proliferative activity in 20% of the epithelial cells of the basal layer of the epidermis and practically complete absence of such in the cells of the connective tissue scar. At 12 months, the bundles of collagen fibers of postoperative scar under tinctorial characteristics and metric indices practically was not different from those in the unchanged dermis, which is evidence of the effectiveness of the proposed method of prevention.</w:t>
      </w:r>
    </w:p>
    <w:p w:rsidR="007139F7" w:rsidRPr="008B2675" w:rsidRDefault="007139F7" w:rsidP="007139F7">
      <w:pPr>
        <w:shd w:val="clear" w:color="auto" w:fill="FFFFFF"/>
        <w:spacing w:after="160" w:line="360" w:lineRule="auto"/>
        <w:ind w:firstLine="709"/>
        <w:jc w:val="both"/>
        <w:rPr>
          <w:rFonts w:eastAsia="Calibri" w:cs="Times New Roman"/>
          <w:sz w:val="28"/>
          <w:szCs w:val="28"/>
        </w:rPr>
      </w:pPr>
      <w:r w:rsidRPr="008B2675">
        <w:rPr>
          <w:rFonts w:eastAsia="Calibri" w:cs="Times New Roman"/>
          <w:sz w:val="28"/>
          <w:szCs w:val="28"/>
        </w:rPr>
        <w:t>It has been proved that in patients who received a PRF-clot during the surgery, and at the postoperative stage the drug "Biocerulin" was used, the concentration of DC after 3 months of observation was significantly reduced on 38.6%, after 6 months - on 25.3 % and in 9 months - on 13.0%, in relation to data of the third group. The concentration of TBK-AP in 3 months of observation was significantly reduced on 35.1%, after 6 months - on 27.7% and 9 months later - on 8.7%. The content of 2,4-dinitrophenylhydrazones, determined at 370 nm after 3 months of observation, is significantly lower on 43.3%, after 6 months - on 38.6%, and after 9 months - on 21.8%, in comparison to the data of the 3rd groups. Also, in this group the lowest indicators of OMB were established: for 3 months this indicator exceeds the indicator of intact group on 60.0%, in 6 months - on 20.0% and in 9 months - on 6.5%.</w:t>
      </w:r>
    </w:p>
    <w:p w:rsidR="007139F7" w:rsidRPr="008B2675" w:rsidRDefault="007139F7" w:rsidP="007139F7">
      <w:pPr>
        <w:shd w:val="clear" w:color="auto" w:fill="FFFFFF"/>
        <w:spacing w:after="160" w:line="360" w:lineRule="auto"/>
        <w:ind w:firstLine="709"/>
        <w:jc w:val="both"/>
        <w:rPr>
          <w:rFonts w:eastAsia="Calibri" w:cs="Times New Roman"/>
          <w:sz w:val="28"/>
          <w:szCs w:val="28"/>
        </w:rPr>
      </w:pPr>
      <w:r w:rsidRPr="008B2675">
        <w:rPr>
          <w:rFonts w:eastAsia="Calibri" w:cs="Times New Roman"/>
          <w:sz w:val="28"/>
          <w:szCs w:val="28"/>
        </w:rPr>
        <w:lastRenderedPageBreak/>
        <w:t>It was established that in patients of 2 groups the activity of SOD after 3 months of observation was significantly lower on 24.6%, after 6 months - on 16.7%, and after 9 months - on 14.7%, in comparison to the data of the third group. In patients in the 1st and 3rd groups, after 12 months of observation, SOD activity practically was not different. In patients of 1 group, the percentage of AFP after 3 months of observation was significantly lower on 26.6%, after 6 months - on 10.9% and 9 months later - on 12.2%, in comparison  to the data of patients of the control group. In 2 group , the concentration of HPL after 3 months of observation was fixed significantly lower on 39.0%, after 6 months - on 19.7% and 9 months later - on 9.2%, comparatively to data of the third group, indicating the effectiveness of the application author's technique.</w:t>
      </w:r>
    </w:p>
    <w:p w:rsidR="007139F7" w:rsidRPr="008B2675" w:rsidRDefault="007139F7" w:rsidP="007139F7">
      <w:pPr>
        <w:shd w:val="clear" w:color="auto" w:fill="FFFFFF"/>
        <w:spacing w:after="160" w:line="360" w:lineRule="auto"/>
        <w:ind w:firstLine="709"/>
        <w:jc w:val="both"/>
        <w:rPr>
          <w:rFonts w:eastAsia="Calibri" w:cs="Times New Roman"/>
          <w:sz w:val="28"/>
          <w:szCs w:val="28"/>
        </w:rPr>
      </w:pPr>
      <w:r w:rsidRPr="008B2675">
        <w:rPr>
          <w:rFonts w:eastAsia="Calibri" w:cs="Times New Roman"/>
          <w:sz w:val="28"/>
          <w:szCs w:val="28"/>
        </w:rPr>
        <w:t>An analysis of the clinical, morphological and biochemical obtained data shows that the combined use of PRF-clot at the intraoperative stage of prophylaxis and ceruloplasmin at the postoperative, in contrast to monotherapy with fibrin membranes, obtained from platelet-rich fibrin results in a better both functional and aesthetic result substantially improves the quality of life of patients in the early and late postoperative periods.</w:t>
      </w:r>
    </w:p>
    <w:p w:rsidR="007139F7" w:rsidRPr="008B2675" w:rsidRDefault="007139F7" w:rsidP="007139F7">
      <w:pPr>
        <w:shd w:val="clear" w:color="auto" w:fill="FFFFFF"/>
        <w:spacing w:after="160" w:line="360" w:lineRule="auto"/>
        <w:ind w:firstLine="709"/>
        <w:jc w:val="both"/>
        <w:rPr>
          <w:rFonts w:eastAsia="Calibri" w:cs="Times New Roman"/>
          <w:sz w:val="28"/>
          <w:szCs w:val="28"/>
        </w:rPr>
      </w:pPr>
      <w:r w:rsidRPr="008B2675">
        <w:rPr>
          <w:rFonts w:eastAsia="Calibri" w:cs="Times New Roman"/>
          <w:sz w:val="28"/>
          <w:szCs w:val="28"/>
        </w:rPr>
        <w:t>The use of fibrin membranes (PRF-bundles) obtained from blood platelet-rich fibrin in combination with ceruloplasmin is recommended for intra- and postoperative prophylaxis of the formation of pathological scar tissue in patients with cysts of embryonic origin.</w:t>
      </w:r>
    </w:p>
    <w:p w:rsidR="007139F7" w:rsidRPr="008B2675" w:rsidRDefault="007139F7" w:rsidP="007139F7">
      <w:pPr>
        <w:shd w:val="clear" w:color="auto" w:fill="FFFFFF"/>
        <w:spacing w:after="160" w:line="360" w:lineRule="auto"/>
        <w:ind w:firstLine="709"/>
        <w:jc w:val="both"/>
        <w:rPr>
          <w:rFonts w:eastAsia="Calibri" w:cs="Times New Roman"/>
          <w:sz w:val="28"/>
          <w:szCs w:val="28"/>
        </w:rPr>
      </w:pPr>
      <w:r w:rsidRPr="008B2675">
        <w:rPr>
          <w:rFonts w:eastAsia="Calibri" w:cs="Times New Roman"/>
          <w:sz w:val="28"/>
          <w:szCs w:val="28"/>
        </w:rPr>
        <w:t>At the stage of intraoperative prophylaxis during the surgical intervention, it is recommended to introduce PRF membranes into deep (in the area of the body of the hyoid bone at removing of medial cysts and in the area of the vascular nerve beam – in case of removing of lateral cysts) and into the superficial layers of the surgical wound (under the layer of hypodermis).</w:t>
      </w:r>
    </w:p>
    <w:p w:rsidR="007139F7" w:rsidRPr="008B2675" w:rsidRDefault="007139F7" w:rsidP="007139F7">
      <w:pPr>
        <w:shd w:val="clear" w:color="auto" w:fill="FFFFFF"/>
        <w:spacing w:after="160" w:line="360" w:lineRule="auto"/>
        <w:ind w:firstLine="709"/>
        <w:jc w:val="both"/>
        <w:rPr>
          <w:rFonts w:eastAsia="Calibri" w:cs="Times New Roman"/>
          <w:sz w:val="28"/>
          <w:szCs w:val="28"/>
        </w:rPr>
      </w:pPr>
      <w:r w:rsidRPr="008B2675">
        <w:rPr>
          <w:rFonts w:eastAsia="Calibri" w:cs="Times New Roman"/>
          <w:sz w:val="28"/>
          <w:szCs w:val="28"/>
        </w:rPr>
        <w:t xml:space="preserve">At the stage of postoperative prophylaxis ceruloplasmin was used in the form of a solution (pH 6.5-7.5), which was prepared from the freeze-dried powder. It is </w:t>
      </w:r>
      <w:r w:rsidRPr="008B2675">
        <w:rPr>
          <w:rFonts w:eastAsia="Calibri" w:cs="Times New Roman"/>
          <w:sz w:val="28"/>
          <w:szCs w:val="28"/>
        </w:rPr>
        <w:lastRenderedPageBreak/>
        <w:t>injected intraperitoneally from the calculation of 0.2 ml of the drug for every 1 cm of scarred hemorrhagic tissue for the 3rd month of the postoperative period. At 9 months, the drug is introduced into the scarred tissues by electrophoresis at the same concentration. To enter the content of one vial is diluted in 10 ml of isotonic sodium chloride solution.</w:t>
      </w:r>
    </w:p>
    <w:p w:rsidR="007139F7" w:rsidRPr="008B2675" w:rsidRDefault="007139F7" w:rsidP="007139F7">
      <w:pPr>
        <w:shd w:val="clear" w:color="auto" w:fill="FFFFFF"/>
        <w:spacing w:after="160" w:line="360" w:lineRule="auto"/>
        <w:ind w:firstLine="709"/>
        <w:jc w:val="both"/>
        <w:rPr>
          <w:rFonts w:eastAsia="Calibri" w:cs="Times New Roman"/>
          <w:sz w:val="28"/>
          <w:szCs w:val="28"/>
        </w:rPr>
      </w:pPr>
      <w:r w:rsidRPr="008B2675">
        <w:rPr>
          <w:rFonts w:eastAsia="Calibri" w:cs="Times New Roman"/>
          <w:sz w:val="28"/>
          <w:szCs w:val="28"/>
        </w:rPr>
        <w:t>In order to control the dynamics of scarring of surgical wounds, we recommend to conduct a clinical evaluation of the condition of the scar tissue, taking into account the following parameters: type, consistency, color, sensitivity and area of the scar at the 3, 6, 9, and 12 months of the postoperative period.</w:t>
      </w:r>
    </w:p>
    <w:p w:rsidR="007139F7" w:rsidRPr="008B2675" w:rsidRDefault="007139F7" w:rsidP="007139F7">
      <w:pPr>
        <w:shd w:val="clear" w:color="auto" w:fill="FFFFFF"/>
        <w:spacing w:after="160" w:line="360" w:lineRule="auto"/>
        <w:ind w:firstLine="709"/>
        <w:jc w:val="both"/>
        <w:rPr>
          <w:rFonts w:eastAsia="Calibri" w:cs="Times New Roman"/>
          <w:sz w:val="28"/>
          <w:szCs w:val="28"/>
        </w:rPr>
      </w:pPr>
      <w:r w:rsidRPr="008B2675">
        <w:rPr>
          <w:rFonts w:eastAsia="Calibri" w:cs="Times New Roman"/>
          <w:b/>
          <w:sz w:val="28"/>
          <w:szCs w:val="28"/>
        </w:rPr>
        <w:t>Key words</w:t>
      </w:r>
      <w:r w:rsidRPr="008B2675">
        <w:rPr>
          <w:rFonts w:eastAsia="Calibri" w:cs="Times New Roman"/>
          <w:sz w:val="28"/>
          <w:szCs w:val="28"/>
        </w:rPr>
        <w:t>: medial cyst of the neck, lateral cyst of the neck, normotrophic scar, pathological scar, platelet-rich plasma, ceruloplasmin, prophylaxis.</w:t>
      </w:r>
    </w:p>
    <w:p w:rsidR="007139F7" w:rsidRPr="007139F7" w:rsidRDefault="007139F7" w:rsidP="007139F7">
      <w:pPr>
        <w:spacing w:after="160" w:line="259" w:lineRule="auto"/>
        <w:ind w:firstLine="709"/>
        <w:rPr>
          <w:rFonts w:eastAsia="Calibri" w:cs="Times New Roman"/>
          <w:sz w:val="28"/>
          <w:szCs w:val="28"/>
        </w:rPr>
      </w:pPr>
    </w:p>
    <w:p w:rsidR="007139F7" w:rsidRPr="00BE51DF" w:rsidRDefault="007139F7" w:rsidP="007139F7">
      <w:pPr>
        <w:spacing w:after="160" w:line="360" w:lineRule="auto"/>
        <w:ind w:firstLine="709"/>
        <w:jc w:val="both"/>
        <w:rPr>
          <w:rFonts w:eastAsia="Calibri" w:cs="Times New Roman"/>
          <w:b/>
          <w:sz w:val="28"/>
          <w:szCs w:val="28"/>
        </w:rPr>
      </w:pPr>
      <w:r w:rsidRPr="00BE51DF">
        <w:rPr>
          <w:rFonts w:eastAsia="Calibri" w:cs="Times New Roman"/>
          <w:b/>
          <w:sz w:val="28"/>
          <w:szCs w:val="28"/>
        </w:rPr>
        <w:t>СПИСОК ОПУБЛІКОВАНИХ ПРАЦЬ ЗА ТЕМОЮ ДИСЕРТАЦІЇ</w:t>
      </w:r>
    </w:p>
    <w:p w:rsidR="008D6962" w:rsidRPr="00F4664E" w:rsidRDefault="000C1A2F" w:rsidP="007139F7">
      <w:pPr>
        <w:numPr>
          <w:ilvl w:val="0"/>
          <w:numId w:val="1"/>
        </w:numPr>
        <w:spacing w:after="0" w:line="360" w:lineRule="auto"/>
        <w:contextualSpacing/>
        <w:jc w:val="both"/>
        <w:rPr>
          <w:rFonts w:eastAsia="Times New Roman" w:cs="Times New Roman"/>
          <w:sz w:val="28"/>
          <w:szCs w:val="28"/>
          <w:lang w:eastAsia="uk-UA"/>
        </w:rPr>
      </w:pPr>
      <w:r w:rsidRPr="00F4664E">
        <w:rPr>
          <w:rFonts w:eastAsia="Calibri" w:cs="Times New Roman"/>
          <w:b/>
          <w:sz w:val="28"/>
          <w:szCs w:val="28"/>
          <w:lang w:val="en-US"/>
        </w:rPr>
        <w:t>Krinichko L.R.</w:t>
      </w:r>
      <w:r w:rsidRPr="00F4664E">
        <w:rPr>
          <w:rFonts w:eastAsia="Calibri" w:cs="Times New Roman"/>
          <w:sz w:val="28"/>
          <w:szCs w:val="28"/>
          <w:lang w:val="en-US"/>
        </w:rPr>
        <w:t xml:space="preserve"> </w:t>
      </w:r>
      <w:r w:rsidR="00A870A8" w:rsidRPr="00F4664E">
        <w:rPr>
          <w:rFonts w:eastAsia="Calibri" w:cs="Times New Roman"/>
          <w:sz w:val="28"/>
          <w:szCs w:val="28"/>
          <w:lang w:val="en-US"/>
        </w:rPr>
        <w:t>Dynamics of changes of proteins free-radial oxidation, regenerator processes, microbial distribution and non-specific immunity in the gomogenates of scar tissues at different stages of the postoperative period</w:t>
      </w:r>
      <w:r w:rsidRPr="00F4664E">
        <w:rPr>
          <w:rFonts w:eastAsia="Calibri" w:cs="Times New Roman"/>
          <w:sz w:val="28"/>
          <w:szCs w:val="28"/>
          <w:lang w:val="en-US"/>
        </w:rPr>
        <w:t xml:space="preserve"> / </w:t>
      </w:r>
      <w:r w:rsidRPr="00F4664E">
        <w:rPr>
          <w:rFonts w:eastAsia="Calibri" w:cs="Times New Roman"/>
          <w:b/>
          <w:sz w:val="28"/>
          <w:szCs w:val="28"/>
          <w:lang w:val="en-US"/>
        </w:rPr>
        <w:t>L.R. Krinichko</w:t>
      </w:r>
      <w:r w:rsidRPr="00F4664E">
        <w:rPr>
          <w:rFonts w:eastAsia="Calibri" w:cs="Times New Roman"/>
          <w:sz w:val="28"/>
          <w:szCs w:val="28"/>
          <w:lang w:val="en-US"/>
        </w:rPr>
        <w:t xml:space="preserve">, S.M. Grigorov // </w:t>
      </w:r>
      <w:r w:rsidR="00812EE8" w:rsidRPr="00F4664E">
        <w:rPr>
          <w:rFonts w:eastAsia="Calibri" w:cs="Times New Roman"/>
          <w:sz w:val="28"/>
          <w:szCs w:val="28"/>
        </w:rPr>
        <w:t>Проблеми екології та медицини. – 2018. – Т. 22 (№3-4). – С. </w:t>
      </w:r>
      <w:r w:rsidR="00262E2E" w:rsidRPr="00F4664E">
        <w:rPr>
          <w:rFonts w:eastAsia="Calibri" w:cs="Times New Roman"/>
          <w:sz w:val="28"/>
          <w:szCs w:val="28"/>
        </w:rPr>
        <w:t>3-6.</w:t>
      </w:r>
    </w:p>
    <w:p w:rsidR="002D0787" w:rsidRPr="00F4664E" w:rsidRDefault="00262E2E" w:rsidP="007139F7">
      <w:pPr>
        <w:numPr>
          <w:ilvl w:val="0"/>
          <w:numId w:val="1"/>
        </w:numPr>
        <w:spacing w:after="0" w:line="360" w:lineRule="auto"/>
        <w:contextualSpacing/>
        <w:jc w:val="both"/>
        <w:rPr>
          <w:rFonts w:eastAsia="Times New Roman" w:cs="Times New Roman"/>
          <w:sz w:val="28"/>
          <w:szCs w:val="28"/>
          <w:lang w:eastAsia="uk-UA"/>
        </w:rPr>
      </w:pPr>
      <w:r w:rsidRPr="00F4664E">
        <w:rPr>
          <w:rFonts w:eastAsia="Calibri" w:cs="Times New Roman"/>
          <w:sz w:val="28"/>
          <w:szCs w:val="28"/>
        </w:rPr>
        <w:t xml:space="preserve">Визначення розбіжностей продукції активних форм оксисену та вмісту </w:t>
      </w:r>
      <w:r w:rsidR="000C6ABB" w:rsidRPr="00F4664E">
        <w:rPr>
          <w:rFonts w:eastAsia="Calibri" w:cs="Times New Roman"/>
          <w:sz w:val="28"/>
          <w:szCs w:val="28"/>
        </w:rPr>
        <w:t xml:space="preserve">гідропероксидів </w:t>
      </w:r>
      <w:r w:rsidR="007416E3" w:rsidRPr="00F4664E">
        <w:rPr>
          <w:rFonts w:eastAsia="Calibri" w:cs="Times New Roman"/>
          <w:sz w:val="28"/>
          <w:szCs w:val="28"/>
        </w:rPr>
        <w:t xml:space="preserve">ліпідів а гомогенатах рубцевозмінених тканин в різні терміни післяопераційного періоду </w:t>
      </w:r>
      <w:r w:rsidR="006D7CC4" w:rsidRPr="00F4664E">
        <w:rPr>
          <w:rFonts w:eastAsia="Calibri" w:cs="Times New Roman"/>
          <w:sz w:val="28"/>
          <w:szCs w:val="28"/>
        </w:rPr>
        <w:t xml:space="preserve">/ </w:t>
      </w:r>
      <w:r w:rsidR="006D7CC4" w:rsidRPr="00F4664E">
        <w:rPr>
          <w:rFonts w:eastAsia="Calibri" w:cs="Times New Roman"/>
          <w:b/>
          <w:sz w:val="28"/>
          <w:szCs w:val="28"/>
        </w:rPr>
        <w:t>Л.Р. Криничко</w:t>
      </w:r>
      <w:r w:rsidR="006D7CC4" w:rsidRPr="00F4664E">
        <w:rPr>
          <w:rFonts w:eastAsia="Calibri" w:cs="Times New Roman"/>
          <w:sz w:val="28"/>
          <w:szCs w:val="28"/>
        </w:rPr>
        <w:t>, К.П. Локес, С.О. Ставицький</w:t>
      </w:r>
      <w:r w:rsidR="00F4664E" w:rsidRPr="00F4664E">
        <w:rPr>
          <w:rFonts w:eastAsia="Calibri" w:cs="Times New Roman"/>
          <w:sz w:val="28"/>
          <w:szCs w:val="28"/>
        </w:rPr>
        <w:t>,</w:t>
      </w:r>
      <w:r w:rsidR="006D7CC4" w:rsidRPr="00F4664E">
        <w:rPr>
          <w:rFonts w:eastAsia="Calibri" w:cs="Times New Roman"/>
          <w:sz w:val="28"/>
          <w:szCs w:val="28"/>
        </w:rPr>
        <w:t xml:space="preserve"> </w:t>
      </w:r>
      <w:r w:rsidR="00F4664E" w:rsidRPr="00F4664E">
        <w:rPr>
          <w:sz w:val="28"/>
          <w:szCs w:val="28"/>
        </w:rPr>
        <w:t xml:space="preserve">Григоров С.М., Волошина Л. І. </w:t>
      </w:r>
      <w:r w:rsidR="006D7CC4" w:rsidRPr="00F4664E">
        <w:rPr>
          <w:rFonts w:eastAsia="Times New Roman" w:cs="Times New Roman"/>
          <w:sz w:val="28"/>
          <w:szCs w:val="28"/>
          <w:lang w:eastAsia="uk-UA"/>
        </w:rPr>
        <w:t xml:space="preserve">// </w:t>
      </w:r>
      <w:r w:rsidR="00072F70" w:rsidRPr="00F4664E">
        <w:rPr>
          <w:rFonts w:eastAsia="Times New Roman" w:cs="Times New Roman"/>
          <w:sz w:val="28"/>
          <w:szCs w:val="28"/>
          <w:lang w:eastAsia="uk-UA"/>
        </w:rPr>
        <w:t>Вісник проблем біології і медицини. – 2018. – Bип. 4 (146</w:t>
      </w:r>
      <w:r w:rsidR="002D0787" w:rsidRPr="00F4664E">
        <w:rPr>
          <w:rFonts w:eastAsia="Times New Roman" w:cs="Times New Roman"/>
          <w:sz w:val="28"/>
          <w:szCs w:val="28"/>
          <w:lang w:eastAsia="uk-UA"/>
        </w:rPr>
        <w:t>). – С. 95-</w:t>
      </w:r>
      <w:r w:rsidR="00072F70" w:rsidRPr="00F4664E">
        <w:rPr>
          <w:rFonts w:eastAsia="Times New Roman" w:cs="Times New Roman"/>
          <w:sz w:val="28"/>
          <w:szCs w:val="28"/>
          <w:lang w:eastAsia="uk-UA"/>
        </w:rPr>
        <w:t>9</w:t>
      </w:r>
      <w:r w:rsidR="002D0787" w:rsidRPr="00F4664E">
        <w:rPr>
          <w:rFonts w:eastAsia="Times New Roman" w:cs="Times New Roman"/>
          <w:sz w:val="28"/>
          <w:szCs w:val="28"/>
          <w:lang w:eastAsia="uk-UA"/>
        </w:rPr>
        <w:t>8.</w:t>
      </w:r>
    </w:p>
    <w:p w:rsidR="00932579" w:rsidRPr="00F4664E" w:rsidRDefault="002D0787" w:rsidP="007139F7">
      <w:pPr>
        <w:numPr>
          <w:ilvl w:val="0"/>
          <w:numId w:val="1"/>
        </w:numPr>
        <w:spacing w:after="0" w:line="360" w:lineRule="auto"/>
        <w:contextualSpacing/>
        <w:jc w:val="both"/>
        <w:rPr>
          <w:rFonts w:eastAsia="Times New Roman" w:cs="Times New Roman"/>
          <w:sz w:val="28"/>
          <w:szCs w:val="20"/>
          <w:lang w:eastAsia="uk-UA"/>
        </w:rPr>
      </w:pPr>
      <w:r w:rsidRPr="00F4664E">
        <w:rPr>
          <w:rFonts w:eastAsia="Times New Roman" w:cs="Times New Roman"/>
          <w:b/>
          <w:sz w:val="28"/>
          <w:szCs w:val="20"/>
          <w:lang w:eastAsia="uk-UA"/>
        </w:rPr>
        <w:t>Криничко Л.Р.</w:t>
      </w:r>
      <w:r w:rsidRPr="00F4664E">
        <w:rPr>
          <w:rFonts w:eastAsia="Times New Roman" w:cs="Times New Roman"/>
          <w:sz w:val="28"/>
          <w:szCs w:val="20"/>
          <w:lang w:eastAsia="uk-UA"/>
        </w:rPr>
        <w:t xml:space="preserve"> Особливості морфологічної будови рубцевозмінених тканин шкіри при хірургічному </w:t>
      </w:r>
      <w:r w:rsidR="003A6425" w:rsidRPr="00F4664E">
        <w:rPr>
          <w:rFonts w:eastAsia="Times New Roman" w:cs="Times New Roman"/>
          <w:sz w:val="28"/>
          <w:szCs w:val="20"/>
          <w:lang w:eastAsia="uk-UA"/>
        </w:rPr>
        <w:t>лікуванні</w:t>
      </w:r>
      <w:r w:rsidR="00541021" w:rsidRPr="00F4664E">
        <w:rPr>
          <w:rFonts w:eastAsia="Times New Roman" w:cs="Times New Roman"/>
          <w:sz w:val="28"/>
          <w:szCs w:val="20"/>
          <w:lang w:eastAsia="uk-UA"/>
        </w:rPr>
        <w:t xml:space="preserve"> кіст шиї ембріонального походження на 6, 9 та 12 місяць післяопераційного періоду / </w:t>
      </w:r>
      <w:r w:rsidR="00541021" w:rsidRPr="00F4664E">
        <w:rPr>
          <w:rFonts w:eastAsia="Times New Roman" w:cs="Times New Roman"/>
          <w:b/>
          <w:sz w:val="28"/>
          <w:szCs w:val="20"/>
          <w:lang w:eastAsia="uk-UA"/>
        </w:rPr>
        <w:t>Л.Р. Криничко</w:t>
      </w:r>
      <w:r w:rsidR="00541021" w:rsidRPr="00F4664E">
        <w:rPr>
          <w:rFonts w:eastAsia="Times New Roman" w:cs="Times New Roman"/>
          <w:sz w:val="28"/>
          <w:szCs w:val="20"/>
          <w:lang w:eastAsia="uk-UA"/>
        </w:rPr>
        <w:t xml:space="preserve"> // </w:t>
      </w:r>
      <w:r w:rsidR="00932579" w:rsidRPr="00F4664E">
        <w:rPr>
          <w:rFonts w:eastAsia="Times New Roman" w:cs="Times New Roman"/>
          <w:sz w:val="28"/>
          <w:szCs w:val="20"/>
          <w:lang w:eastAsia="uk-UA"/>
        </w:rPr>
        <w:t xml:space="preserve">Актуальні проблеми сучасної медицини : Вісник УМСА. – 2018. – Т. 18., Вип. </w:t>
      </w:r>
      <w:r w:rsidR="000E6FB8" w:rsidRPr="00F4664E">
        <w:rPr>
          <w:rFonts w:eastAsia="Times New Roman" w:cs="Times New Roman"/>
          <w:sz w:val="28"/>
          <w:szCs w:val="20"/>
          <w:lang w:eastAsia="uk-UA"/>
        </w:rPr>
        <w:t>3 (63). – С. 219</w:t>
      </w:r>
      <w:r w:rsidR="00932579" w:rsidRPr="00F4664E">
        <w:rPr>
          <w:rFonts w:eastAsia="Times New Roman" w:cs="Times New Roman"/>
          <w:sz w:val="28"/>
          <w:szCs w:val="20"/>
          <w:lang w:eastAsia="uk-UA"/>
        </w:rPr>
        <w:t>-2</w:t>
      </w:r>
      <w:r w:rsidR="000E6FB8" w:rsidRPr="00F4664E">
        <w:rPr>
          <w:rFonts w:eastAsia="Times New Roman" w:cs="Times New Roman"/>
          <w:sz w:val="28"/>
          <w:szCs w:val="20"/>
          <w:lang w:eastAsia="uk-UA"/>
        </w:rPr>
        <w:t>22</w:t>
      </w:r>
      <w:r w:rsidR="00932579" w:rsidRPr="00F4664E">
        <w:rPr>
          <w:rFonts w:eastAsia="Times New Roman" w:cs="Times New Roman"/>
          <w:sz w:val="28"/>
          <w:szCs w:val="20"/>
          <w:lang w:eastAsia="uk-UA"/>
        </w:rPr>
        <w:t>.</w:t>
      </w:r>
    </w:p>
    <w:p w:rsidR="007139F7" w:rsidRPr="00F4664E" w:rsidRDefault="007139F7" w:rsidP="007139F7">
      <w:pPr>
        <w:numPr>
          <w:ilvl w:val="0"/>
          <w:numId w:val="1"/>
        </w:numPr>
        <w:spacing w:after="0" w:line="360" w:lineRule="auto"/>
        <w:contextualSpacing/>
        <w:jc w:val="both"/>
        <w:rPr>
          <w:rFonts w:eastAsia="Times New Roman" w:cs="Times New Roman"/>
          <w:sz w:val="28"/>
          <w:szCs w:val="20"/>
          <w:lang w:eastAsia="uk-UA"/>
        </w:rPr>
      </w:pPr>
      <w:r w:rsidRPr="00F4664E">
        <w:rPr>
          <w:rFonts w:eastAsia="Times New Roman" w:cs="Times New Roman"/>
          <w:sz w:val="28"/>
          <w:szCs w:val="20"/>
          <w:lang w:eastAsia="uk-UA"/>
        </w:rPr>
        <w:lastRenderedPageBreak/>
        <w:t xml:space="preserve">Аналіз динаміки клінічних змін рубцевозмінених тканин після хірургічного лікування бранхіогенних кіст у хронологічному аспекті / </w:t>
      </w:r>
      <w:r w:rsidRPr="00F4664E">
        <w:rPr>
          <w:rFonts w:eastAsia="Times New Roman" w:cs="Times New Roman"/>
          <w:sz w:val="28"/>
          <w:szCs w:val="28"/>
          <w:lang w:eastAsia="uk-UA"/>
        </w:rPr>
        <w:t xml:space="preserve">С.М. Григоров, </w:t>
      </w:r>
      <w:r w:rsidRPr="00F4664E">
        <w:rPr>
          <w:rFonts w:eastAsia="Times New Roman" w:cs="Times New Roman"/>
          <w:b/>
          <w:sz w:val="28"/>
          <w:szCs w:val="28"/>
          <w:lang w:eastAsia="uk-UA"/>
        </w:rPr>
        <w:t>Л.Р. Криничко</w:t>
      </w:r>
      <w:r w:rsidRPr="00F4664E">
        <w:rPr>
          <w:rFonts w:eastAsia="Times New Roman" w:cs="Times New Roman"/>
          <w:sz w:val="28"/>
          <w:szCs w:val="28"/>
          <w:lang w:eastAsia="uk-UA"/>
        </w:rPr>
        <w:t>, С.О. Ставицький</w:t>
      </w:r>
      <w:r w:rsidR="00F4664E" w:rsidRPr="00F4664E">
        <w:rPr>
          <w:rFonts w:eastAsia="Times New Roman" w:cs="Times New Roman"/>
          <w:sz w:val="28"/>
          <w:szCs w:val="28"/>
          <w:lang w:eastAsia="uk-UA"/>
        </w:rPr>
        <w:t>,</w:t>
      </w:r>
      <w:r w:rsidRPr="00F4664E">
        <w:rPr>
          <w:rFonts w:eastAsia="Times New Roman" w:cs="Times New Roman"/>
          <w:sz w:val="28"/>
          <w:szCs w:val="28"/>
          <w:lang w:eastAsia="uk-UA"/>
        </w:rPr>
        <w:t xml:space="preserve"> </w:t>
      </w:r>
      <w:r w:rsidR="00F4664E" w:rsidRPr="00F4664E">
        <w:rPr>
          <w:sz w:val="28"/>
          <w:szCs w:val="28"/>
        </w:rPr>
        <w:t>Бойко І. В., Труфанова В.П</w:t>
      </w:r>
      <w:r w:rsidR="00F4664E" w:rsidRPr="00F4664E">
        <w:t>.</w:t>
      </w:r>
      <w:r w:rsidRPr="00F4664E">
        <w:rPr>
          <w:rFonts w:eastAsia="Times New Roman" w:cs="Times New Roman"/>
          <w:sz w:val="28"/>
          <w:szCs w:val="20"/>
          <w:lang w:eastAsia="uk-UA"/>
        </w:rPr>
        <w:t>// Клінічна хірургія. – 2018. – Т. 85 (№6). – С. 33-35.</w:t>
      </w:r>
    </w:p>
    <w:p w:rsidR="007139F7" w:rsidRPr="00F4664E" w:rsidRDefault="007139F7" w:rsidP="007139F7">
      <w:pPr>
        <w:numPr>
          <w:ilvl w:val="0"/>
          <w:numId w:val="1"/>
        </w:numPr>
        <w:spacing w:after="0" w:line="360" w:lineRule="auto"/>
        <w:contextualSpacing/>
        <w:jc w:val="both"/>
        <w:rPr>
          <w:rFonts w:eastAsia="Times New Roman" w:cs="Times New Roman"/>
          <w:sz w:val="28"/>
          <w:szCs w:val="20"/>
          <w:lang w:eastAsia="uk-UA"/>
        </w:rPr>
      </w:pPr>
      <w:r w:rsidRPr="00F4664E">
        <w:rPr>
          <w:rFonts w:eastAsia="Times New Roman" w:cs="Times New Roman"/>
          <w:sz w:val="28"/>
          <w:szCs w:val="20"/>
          <w:lang w:eastAsia="uk-UA"/>
        </w:rPr>
        <w:t xml:space="preserve">The Dynamics of Changes of Indicators of Products of Peroxide Lipid Oxidation in the Homogenates of Scarring Tissues in Different Terms of the Postoperative Period / </w:t>
      </w:r>
      <w:r w:rsidRPr="00F4664E">
        <w:rPr>
          <w:rFonts w:eastAsia="Times New Roman" w:cs="Times New Roman"/>
          <w:b/>
          <w:sz w:val="28"/>
          <w:szCs w:val="20"/>
          <w:lang w:eastAsia="uk-UA"/>
        </w:rPr>
        <w:t>L.R. Krynychko</w:t>
      </w:r>
      <w:r w:rsidRPr="00F4664E">
        <w:rPr>
          <w:rFonts w:eastAsia="Times New Roman" w:cs="Times New Roman"/>
          <w:sz w:val="28"/>
          <w:szCs w:val="20"/>
          <w:lang w:eastAsia="uk-UA"/>
        </w:rPr>
        <w:t>, S.M. Grygorov, K.P. Lokes, O.O. Rozkolupa // Intermedical journal. – 2018. – Vol. 1 (11). – P. 50-54.</w:t>
      </w:r>
    </w:p>
    <w:p w:rsidR="007139F7" w:rsidRPr="00F4664E" w:rsidRDefault="007139F7" w:rsidP="007139F7">
      <w:pPr>
        <w:numPr>
          <w:ilvl w:val="0"/>
          <w:numId w:val="1"/>
        </w:numPr>
        <w:spacing w:after="0" w:line="360" w:lineRule="auto"/>
        <w:contextualSpacing/>
        <w:jc w:val="both"/>
        <w:rPr>
          <w:rFonts w:eastAsia="Times New Roman" w:cs="Times New Roman"/>
          <w:sz w:val="28"/>
          <w:szCs w:val="28"/>
          <w:lang w:eastAsia="uk-UA"/>
        </w:rPr>
      </w:pPr>
      <w:r w:rsidRPr="00F4664E">
        <w:rPr>
          <w:rFonts w:eastAsia="Times New Roman" w:cs="Times New Roman"/>
          <w:sz w:val="28"/>
          <w:szCs w:val="28"/>
          <w:lang w:eastAsia="uk-UA"/>
        </w:rPr>
        <w:t xml:space="preserve">Гістотопографічні особливості регенеративних процесів, що відбуваються в шкірі шиї на 3-й місяць післяопераційного періоду / </w:t>
      </w:r>
      <w:r w:rsidRPr="00F4664E">
        <w:rPr>
          <w:rFonts w:eastAsia="Times New Roman" w:cs="Times New Roman"/>
          <w:b/>
          <w:sz w:val="28"/>
          <w:szCs w:val="28"/>
          <w:lang w:eastAsia="uk-UA"/>
        </w:rPr>
        <w:t>Л.Р. Криничко</w:t>
      </w:r>
      <w:r w:rsidRPr="00F4664E">
        <w:rPr>
          <w:rFonts w:eastAsia="Times New Roman" w:cs="Times New Roman"/>
          <w:sz w:val="28"/>
          <w:szCs w:val="28"/>
          <w:lang w:eastAsia="uk-UA"/>
        </w:rPr>
        <w:t>, С.М. Григоров, С.О. Ставицький</w:t>
      </w:r>
      <w:r w:rsidR="00F4664E" w:rsidRPr="00F4664E">
        <w:rPr>
          <w:rFonts w:eastAsia="Times New Roman" w:cs="Times New Roman"/>
          <w:sz w:val="28"/>
          <w:szCs w:val="28"/>
          <w:lang w:eastAsia="uk-UA"/>
        </w:rPr>
        <w:t>,</w:t>
      </w:r>
      <w:r w:rsidRPr="00F4664E">
        <w:rPr>
          <w:rFonts w:eastAsia="Times New Roman" w:cs="Times New Roman"/>
          <w:sz w:val="28"/>
          <w:szCs w:val="28"/>
          <w:lang w:eastAsia="uk-UA"/>
        </w:rPr>
        <w:t xml:space="preserve"> </w:t>
      </w:r>
      <w:r w:rsidR="00F4664E" w:rsidRPr="00F4664E">
        <w:rPr>
          <w:sz w:val="28"/>
          <w:szCs w:val="28"/>
        </w:rPr>
        <w:t xml:space="preserve">К.П.Локес, О.О. Розколупа </w:t>
      </w:r>
      <w:r w:rsidRPr="00F4664E">
        <w:rPr>
          <w:rFonts w:eastAsia="Times New Roman" w:cs="Times New Roman"/>
          <w:sz w:val="28"/>
          <w:szCs w:val="28"/>
          <w:lang w:eastAsia="uk-UA"/>
        </w:rPr>
        <w:t>// Вісник проблем біології і медицини. – 2018. – Bип. 2(144). – С. 315-319.</w:t>
      </w:r>
    </w:p>
    <w:p w:rsidR="007139F7" w:rsidRPr="009C0600" w:rsidRDefault="007139F7" w:rsidP="007139F7">
      <w:pPr>
        <w:numPr>
          <w:ilvl w:val="0"/>
          <w:numId w:val="1"/>
        </w:numPr>
        <w:spacing w:after="0" w:line="360" w:lineRule="auto"/>
        <w:contextualSpacing/>
        <w:jc w:val="both"/>
        <w:rPr>
          <w:rFonts w:eastAsia="Times New Roman" w:cs="Times New Roman"/>
          <w:sz w:val="28"/>
          <w:szCs w:val="20"/>
          <w:lang w:eastAsia="uk-UA"/>
        </w:rPr>
      </w:pPr>
      <w:r w:rsidRPr="009C0600">
        <w:rPr>
          <w:rFonts w:eastAsia="Times New Roman" w:cs="Times New Roman"/>
          <w:sz w:val="28"/>
          <w:szCs w:val="20"/>
          <w:lang w:eastAsia="uk-UA"/>
        </w:rPr>
        <w:t xml:space="preserve">Сучасний погляд на експериментальне і клінічне обґрунтування використання PRF у процесі репаративної регенерації шкіри / </w:t>
      </w:r>
      <w:r w:rsidRPr="009C0600">
        <w:rPr>
          <w:rFonts w:eastAsia="Times New Roman" w:cs="Times New Roman"/>
          <w:b/>
          <w:sz w:val="28"/>
          <w:szCs w:val="20"/>
          <w:lang w:eastAsia="uk-UA"/>
        </w:rPr>
        <w:t>Л.Р. Криничко</w:t>
      </w:r>
      <w:r w:rsidRPr="009C0600">
        <w:rPr>
          <w:rFonts w:eastAsia="Times New Roman" w:cs="Times New Roman"/>
          <w:sz w:val="28"/>
          <w:szCs w:val="20"/>
          <w:lang w:eastAsia="uk-UA"/>
        </w:rPr>
        <w:t>, С.М. Григоров, Д.В. Стебловський</w:t>
      </w:r>
      <w:r w:rsidR="00F4664E" w:rsidRPr="009C0600">
        <w:rPr>
          <w:rFonts w:eastAsia="Times New Roman" w:cs="Times New Roman"/>
          <w:sz w:val="28"/>
          <w:szCs w:val="20"/>
          <w:lang w:eastAsia="uk-UA"/>
        </w:rPr>
        <w:t>,</w:t>
      </w:r>
      <w:r w:rsidRPr="009C0600">
        <w:rPr>
          <w:rFonts w:eastAsia="Times New Roman" w:cs="Times New Roman"/>
          <w:sz w:val="28"/>
          <w:szCs w:val="20"/>
          <w:lang w:eastAsia="uk-UA"/>
        </w:rPr>
        <w:t xml:space="preserve"> </w:t>
      </w:r>
      <w:r w:rsidR="00F4664E" w:rsidRPr="009C0600">
        <w:t>С.О. Ставицький, В.Д. Ахмеров</w:t>
      </w:r>
      <w:r w:rsidR="00F4664E" w:rsidRPr="009C0600">
        <w:rPr>
          <w:rFonts w:eastAsia="Times New Roman" w:cs="Times New Roman"/>
          <w:sz w:val="28"/>
          <w:szCs w:val="20"/>
          <w:lang w:eastAsia="uk-UA"/>
        </w:rPr>
        <w:t xml:space="preserve"> </w:t>
      </w:r>
      <w:r w:rsidRPr="009C0600">
        <w:rPr>
          <w:rFonts w:eastAsia="Times New Roman" w:cs="Times New Roman"/>
          <w:sz w:val="28"/>
          <w:szCs w:val="20"/>
          <w:lang w:eastAsia="uk-UA"/>
        </w:rPr>
        <w:t>// Український стоматологічний альманах. – 2018. - №2. – С. 45-48.</w:t>
      </w:r>
    </w:p>
    <w:p w:rsidR="007139F7" w:rsidRPr="009C0600" w:rsidRDefault="007139F7" w:rsidP="007139F7">
      <w:pPr>
        <w:numPr>
          <w:ilvl w:val="0"/>
          <w:numId w:val="1"/>
        </w:numPr>
        <w:spacing w:after="0" w:line="360" w:lineRule="auto"/>
        <w:contextualSpacing/>
        <w:jc w:val="both"/>
        <w:rPr>
          <w:rFonts w:eastAsia="Times New Roman" w:cs="Times New Roman"/>
          <w:sz w:val="28"/>
          <w:szCs w:val="20"/>
          <w:lang w:eastAsia="uk-UA"/>
        </w:rPr>
      </w:pPr>
      <w:r w:rsidRPr="009C0600">
        <w:rPr>
          <w:rFonts w:eastAsia="Times New Roman" w:cs="Times New Roman"/>
          <w:sz w:val="28"/>
          <w:szCs w:val="20"/>
          <w:lang w:eastAsia="uk-UA"/>
        </w:rPr>
        <w:t xml:space="preserve">Динаміка змін показників рубцевозмінених тканин на 3 місяць післяопераційного періоду / </w:t>
      </w:r>
      <w:r w:rsidRPr="009C0600">
        <w:rPr>
          <w:rFonts w:eastAsia="Times New Roman" w:cs="Times New Roman"/>
          <w:b/>
          <w:sz w:val="28"/>
          <w:szCs w:val="20"/>
          <w:lang w:eastAsia="uk-UA"/>
        </w:rPr>
        <w:t>Л.Р. Криничко</w:t>
      </w:r>
      <w:r w:rsidRPr="009C0600">
        <w:rPr>
          <w:rFonts w:eastAsia="Times New Roman" w:cs="Times New Roman"/>
          <w:sz w:val="28"/>
          <w:szCs w:val="20"/>
          <w:lang w:eastAsia="uk-UA"/>
        </w:rPr>
        <w:t xml:space="preserve">, </w:t>
      </w:r>
      <w:r w:rsidR="009C0600" w:rsidRPr="009C0600">
        <w:rPr>
          <w:rFonts w:eastAsia="Times New Roman" w:cs="Times New Roman"/>
          <w:sz w:val="28"/>
          <w:szCs w:val="20"/>
          <w:lang w:eastAsia="uk-UA"/>
        </w:rPr>
        <w:t xml:space="preserve">С.М. Григоров, С.О. Ставицький, </w:t>
      </w:r>
      <w:r w:rsidR="009C0600" w:rsidRPr="009C0600">
        <w:t>І.В. Бойко, В.Д.</w:t>
      </w:r>
      <w:r w:rsidR="009C0600" w:rsidRPr="009C0600">
        <w:rPr>
          <w:rFonts w:eastAsia="Times New Roman" w:cs="Times New Roman"/>
          <w:sz w:val="28"/>
          <w:szCs w:val="20"/>
          <w:lang w:eastAsia="uk-UA"/>
        </w:rPr>
        <w:t xml:space="preserve"> </w:t>
      </w:r>
      <w:r w:rsidR="009C0600" w:rsidRPr="009C0600">
        <w:t xml:space="preserve">Ахмеров  </w:t>
      </w:r>
      <w:r w:rsidRPr="009C0600">
        <w:rPr>
          <w:rFonts w:eastAsia="Times New Roman" w:cs="Times New Roman"/>
          <w:sz w:val="28"/>
          <w:szCs w:val="20"/>
          <w:lang w:eastAsia="uk-UA"/>
        </w:rPr>
        <w:t>// Актуальні проблеми сучасної медицини : Вісник УМСА. – 2018. – Т. 18., Вип. 2 (62). – С. 197-200.</w:t>
      </w:r>
    </w:p>
    <w:p w:rsidR="007139F7" w:rsidRPr="009C0600" w:rsidRDefault="007139F7" w:rsidP="007139F7">
      <w:pPr>
        <w:numPr>
          <w:ilvl w:val="0"/>
          <w:numId w:val="1"/>
        </w:numPr>
        <w:spacing w:after="0" w:line="360" w:lineRule="auto"/>
        <w:contextualSpacing/>
        <w:jc w:val="both"/>
        <w:rPr>
          <w:rFonts w:eastAsia="Times New Roman" w:cs="Times New Roman"/>
          <w:snapToGrid w:val="0"/>
          <w:sz w:val="28"/>
          <w:szCs w:val="20"/>
          <w:lang w:eastAsia="uk-UA"/>
        </w:rPr>
      </w:pPr>
      <w:r w:rsidRPr="009C0600">
        <w:rPr>
          <w:rFonts w:eastAsia="Times New Roman" w:cs="Times New Roman"/>
          <w:snapToGrid w:val="0"/>
          <w:sz w:val="28"/>
          <w:szCs w:val="20"/>
          <w:lang w:eastAsia="uk-UA"/>
        </w:rPr>
        <w:t xml:space="preserve">Особливості оптимізації профілактики виникнення ускладнень у хворих після хірургічного лікування кіст ембріонального походження в анатомічному аспекті. Стоматологія Придніпров’я / </w:t>
      </w:r>
      <w:r w:rsidRPr="009C0600">
        <w:rPr>
          <w:rFonts w:eastAsia="Times New Roman" w:cs="Times New Roman"/>
          <w:sz w:val="28"/>
          <w:szCs w:val="20"/>
          <w:lang w:eastAsia="uk-UA"/>
        </w:rPr>
        <w:t xml:space="preserve">С.М. Григоров, </w:t>
      </w:r>
      <w:r w:rsidRPr="009C0600">
        <w:rPr>
          <w:rFonts w:eastAsia="Times New Roman" w:cs="Times New Roman"/>
          <w:b/>
          <w:sz w:val="28"/>
          <w:szCs w:val="20"/>
          <w:lang w:eastAsia="uk-UA"/>
        </w:rPr>
        <w:t>Л.Р. Криничко</w:t>
      </w:r>
      <w:r w:rsidR="009C0600" w:rsidRPr="009C0600">
        <w:rPr>
          <w:rFonts w:eastAsia="Times New Roman" w:cs="Times New Roman"/>
          <w:sz w:val="28"/>
          <w:szCs w:val="20"/>
          <w:lang w:eastAsia="uk-UA"/>
        </w:rPr>
        <w:t xml:space="preserve">, С.О. Ставицький, </w:t>
      </w:r>
      <w:r w:rsidR="009C0600" w:rsidRPr="009C0600">
        <w:t xml:space="preserve">І.В. Яценко, Ф. Р. Криничко </w:t>
      </w:r>
      <w:r w:rsidRPr="009C0600">
        <w:rPr>
          <w:rFonts w:eastAsia="Times New Roman" w:cs="Times New Roman"/>
          <w:snapToGrid w:val="0"/>
          <w:sz w:val="28"/>
          <w:szCs w:val="20"/>
          <w:lang w:eastAsia="uk-UA"/>
        </w:rPr>
        <w:t>// Зб. наук. праць Третьої (ІІІ) міжрегіон. наук.-практ. конф. – Дніпропетровськ, Запоріжжя, 2015. – С. 51-52.</w:t>
      </w:r>
    </w:p>
    <w:p w:rsidR="007139F7" w:rsidRPr="009C0600" w:rsidRDefault="007139F7" w:rsidP="007139F7">
      <w:pPr>
        <w:numPr>
          <w:ilvl w:val="0"/>
          <w:numId w:val="1"/>
        </w:numPr>
        <w:spacing w:after="0" w:line="360" w:lineRule="auto"/>
        <w:contextualSpacing/>
        <w:jc w:val="both"/>
        <w:rPr>
          <w:rFonts w:eastAsia="Times New Roman" w:cs="Times New Roman"/>
          <w:sz w:val="28"/>
          <w:szCs w:val="20"/>
          <w:lang w:eastAsia="uk-UA"/>
        </w:rPr>
      </w:pPr>
      <w:r w:rsidRPr="009C0600">
        <w:rPr>
          <w:rFonts w:eastAsia="Times New Roman" w:cs="Times New Roman"/>
          <w:sz w:val="28"/>
          <w:szCs w:val="20"/>
          <w:lang w:eastAsia="uk-UA"/>
        </w:rPr>
        <w:t xml:space="preserve">Современный подход к хирургическому лечению и послеоперационной реабилитации пациентов с жаберными кистами шеи / С.Н. Григоров, </w:t>
      </w:r>
      <w:r w:rsidRPr="009C0600">
        <w:rPr>
          <w:rFonts w:eastAsia="Times New Roman" w:cs="Times New Roman"/>
          <w:b/>
          <w:sz w:val="28"/>
          <w:szCs w:val="20"/>
          <w:lang w:eastAsia="uk-UA"/>
        </w:rPr>
        <w:lastRenderedPageBreak/>
        <w:t>Л.Р. Криничко</w:t>
      </w:r>
      <w:r w:rsidRPr="009C0600">
        <w:rPr>
          <w:rFonts w:eastAsia="Times New Roman" w:cs="Times New Roman"/>
          <w:sz w:val="28"/>
          <w:szCs w:val="20"/>
          <w:lang w:eastAsia="uk-UA"/>
        </w:rPr>
        <w:t>, С.А. Ставицкий, Е.П. Локес // Паринские чтения 2016. Обеспечение демографической безопасности при решении актуальных вопросов хирургической стоматологии и челюстно-лицевой хирургии : Сб. трудов нац. конгресса с междунар. уч. – Минск, 2016. – С. 327-329.</w:t>
      </w:r>
    </w:p>
    <w:p w:rsidR="007139F7" w:rsidRPr="009C0600" w:rsidRDefault="007139F7" w:rsidP="007139F7">
      <w:pPr>
        <w:numPr>
          <w:ilvl w:val="0"/>
          <w:numId w:val="1"/>
        </w:numPr>
        <w:spacing w:after="0" w:line="360" w:lineRule="auto"/>
        <w:contextualSpacing/>
        <w:jc w:val="both"/>
        <w:rPr>
          <w:rFonts w:eastAsia="Times New Roman" w:cs="Times New Roman"/>
          <w:sz w:val="28"/>
          <w:szCs w:val="20"/>
          <w:lang w:eastAsia="uk-UA"/>
        </w:rPr>
      </w:pPr>
      <w:r w:rsidRPr="009C0600">
        <w:rPr>
          <w:rFonts w:eastAsia="Times New Roman" w:cs="Times New Roman"/>
          <w:sz w:val="28"/>
          <w:szCs w:val="20"/>
          <w:lang w:eastAsia="uk-UA"/>
        </w:rPr>
        <w:t xml:space="preserve">Григоров С.М. Особливості васкуляризації інтактної шкіри, в аспекті регенеративних питань / С.М. Григоров, </w:t>
      </w:r>
      <w:r w:rsidRPr="009C0600">
        <w:rPr>
          <w:rFonts w:eastAsia="Times New Roman" w:cs="Times New Roman"/>
          <w:b/>
          <w:sz w:val="28"/>
          <w:szCs w:val="20"/>
          <w:lang w:eastAsia="uk-UA"/>
        </w:rPr>
        <w:t xml:space="preserve">Л.Р. Криничко, </w:t>
      </w:r>
      <w:r w:rsidRPr="009C0600">
        <w:rPr>
          <w:rFonts w:eastAsia="Times New Roman" w:cs="Times New Roman"/>
          <w:sz w:val="28"/>
          <w:szCs w:val="20"/>
          <w:lang w:eastAsia="uk-UA"/>
        </w:rPr>
        <w:t>С.О. Ставицький // Сучасна стоматологія та щелепно-лицева хірургія : Матер. міжнарод. наук.-прак. конф. присвяч. 25-річн. створення Нац. академії мед. наук України та 40-річчю відновлення дентальної імплантації в Україні. 11 травня 2018 р. – Київ, 2018. – С. 111-112.</w:t>
      </w:r>
    </w:p>
    <w:p w:rsidR="007139F7" w:rsidRPr="009C0600" w:rsidRDefault="007139F7" w:rsidP="007139F7">
      <w:pPr>
        <w:numPr>
          <w:ilvl w:val="0"/>
          <w:numId w:val="1"/>
        </w:numPr>
        <w:spacing w:after="0" w:line="360" w:lineRule="auto"/>
        <w:contextualSpacing/>
        <w:jc w:val="both"/>
        <w:rPr>
          <w:rFonts w:eastAsia="Times New Roman" w:cs="Times New Roman"/>
          <w:sz w:val="28"/>
          <w:szCs w:val="20"/>
          <w:lang w:eastAsia="uk-UA"/>
        </w:rPr>
      </w:pPr>
      <w:r w:rsidRPr="009C0600">
        <w:rPr>
          <w:rFonts w:eastAsia="Times New Roman" w:cs="Times New Roman"/>
          <w:sz w:val="28"/>
          <w:szCs w:val="20"/>
          <w:lang w:eastAsia="uk-UA"/>
        </w:rPr>
        <w:t xml:space="preserve">Использование RGB-метода в дифференциальной диагностике патологических рубцов головы и шеи / О.П. Буханченко, Е.С. Иваницкая, И.В. Бойко, </w:t>
      </w:r>
      <w:r w:rsidRPr="009C0600">
        <w:rPr>
          <w:rFonts w:eastAsia="Times New Roman" w:cs="Times New Roman"/>
          <w:b/>
          <w:sz w:val="28"/>
          <w:szCs w:val="20"/>
          <w:lang w:eastAsia="uk-UA"/>
        </w:rPr>
        <w:t>Л.Р. Криничко</w:t>
      </w:r>
      <w:r w:rsidRPr="009C0600">
        <w:rPr>
          <w:rFonts w:eastAsia="Times New Roman" w:cs="Times New Roman"/>
          <w:sz w:val="28"/>
          <w:szCs w:val="20"/>
          <w:lang w:eastAsia="uk-UA"/>
        </w:rPr>
        <w:t xml:space="preserve"> // Перспективные решения в прогнозировании, диагностике, лечении и реабилитации заболеваний черепно-челюстно-лицевой области и шеи : Сбор. Трудов Нац. конгресса с междунар. участием «Паринские чтения 2018», Минск, 3-4 мая 2018 г. – Минск : Изд. центр МГУ. – 2018. – С. 204-207.</w:t>
      </w:r>
    </w:p>
    <w:p w:rsidR="007139F7" w:rsidRPr="009C0600" w:rsidRDefault="007139F7" w:rsidP="007139F7">
      <w:pPr>
        <w:numPr>
          <w:ilvl w:val="0"/>
          <w:numId w:val="1"/>
        </w:numPr>
        <w:spacing w:after="0" w:line="360" w:lineRule="auto"/>
        <w:contextualSpacing/>
        <w:jc w:val="both"/>
        <w:rPr>
          <w:rFonts w:eastAsia="Times New Roman" w:cs="Times New Roman"/>
          <w:sz w:val="28"/>
          <w:szCs w:val="28"/>
          <w:shd w:val="clear" w:color="auto" w:fill="FFFFFF"/>
          <w:lang w:eastAsia="uk-UA"/>
        </w:rPr>
      </w:pPr>
      <w:r w:rsidRPr="009C0600">
        <w:rPr>
          <w:rFonts w:eastAsia="Times New Roman" w:cs="Times New Roman"/>
          <w:sz w:val="28"/>
          <w:szCs w:val="28"/>
          <w:shd w:val="clear" w:color="auto" w:fill="FFFFFF"/>
          <w:lang w:eastAsia="uk-UA"/>
        </w:rPr>
        <w:t>Патент 109267 UA, МПК A61K 31/00 (2016.01) A61P 17/02 (2006.01) Спосіб інтраопераційної профілактики виникнення келоїдних та гіпертрофічних рубців шкіри при лікуванні кист шиї ембріонального походження / Григоров С. М., Криничко Л. Р., Ставицький С. О., Яценко І. В. ; заявник ВДНЗУ УМСА. — № u 2015 00026 ; заявл. 04.01.2016 ; опубл. 25.08.2016, Бюл. № 16.</w:t>
      </w:r>
    </w:p>
    <w:p w:rsidR="007139F7" w:rsidRPr="001B1A4E" w:rsidRDefault="007139F7" w:rsidP="007139F7">
      <w:pPr>
        <w:rPr>
          <w:rFonts w:eastAsia="Times New Roman" w:cs="Times New Roman"/>
          <w:color w:val="FF0000"/>
          <w:sz w:val="28"/>
          <w:szCs w:val="28"/>
          <w:shd w:val="clear" w:color="auto" w:fill="FFFFFF"/>
          <w:lang w:eastAsia="uk-UA"/>
        </w:rPr>
      </w:pPr>
      <w:r w:rsidRPr="001B1A4E">
        <w:rPr>
          <w:rFonts w:eastAsia="Times New Roman" w:cs="Times New Roman"/>
          <w:color w:val="FF0000"/>
          <w:sz w:val="28"/>
          <w:szCs w:val="28"/>
          <w:shd w:val="clear" w:color="auto" w:fill="FFFFFF"/>
          <w:lang w:eastAsia="uk-UA"/>
        </w:rPr>
        <w:br w:type="page"/>
      </w:r>
    </w:p>
    <w:p w:rsidR="007139F7" w:rsidRPr="007139F7" w:rsidRDefault="007139F7" w:rsidP="007139F7">
      <w:pPr>
        <w:spacing w:after="160" w:line="240" w:lineRule="auto"/>
        <w:jc w:val="center"/>
        <w:rPr>
          <w:rFonts w:eastAsia="Calibri" w:cs="Times New Roman"/>
          <w:b/>
          <w:sz w:val="28"/>
          <w:szCs w:val="28"/>
        </w:rPr>
      </w:pPr>
      <w:r w:rsidRPr="007139F7">
        <w:rPr>
          <w:rFonts w:eastAsia="Calibri" w:cs="Times New Roman"/>
          <w:b/>
          <w:sz w:val="28"/>
          <w:szCs w:val="28"/>
        </w:rPr>
        <w:lastRenderedPageBreak/>
        <w:t>ЗМІСТ</w:t>
      </w:r>
    </w:p>
    <w:tbl>
      <w:tblPr>
        <w:tblW w:w="9753" w:type="dxa"/>
        <w:tblInd w:w="-147" w:type="dxa"/>
        <w:tblLayout w:type="fixed"/>
        <w:tblLook w:val="04A0" w:firstRow="1" w:lastRow="0" w:firstColumn="1" w:lastColumn="0" w:noHBand="0" w:noVBand="1"/>
      </w:tblPr>
      <w:tblGrid>
        <w:gridCol w:w="993"/>
        <w:gridCol w:w="9"/>
        <w:gridCol w:w="8071"/>
        <w:gridCol w:w="680"/>
      </w:tblGrid>
      <w:tr w:rsidR="007139F7" w:rsidRPr="007139F7" w:rsidTr="007139F7">
        <w:tc>
          <w:tcPr>
            <w:tcW w:w="9073" w:type="dxa"/>
            <w:gridSpan w:val="3"/>
            <w:shd w:val="clear" w:color="auto" w:fill="auto"/>
          </w:tcPr>
          <w:p w:rsidR="007139F7" w:rsidRPr="007139F7" w:rsidRDefault="007139F7" w:rsidP="007139F7">
            <w:pPr>
              <w:spacing w:after="160" w:line="360" w:lineRule="auto"/>
              <w:rPr>
                <w:rFonts w:eastAsia="Calibri" w:cs="Times New Roman"/>
                <w:szCs w:val="28"/>
              </w:rPr>
            </w:pPr>
            <w:r w:rsidRPr="007139F7">
              <w:rPr>
                <w:rFonts w:eastAsia="Calibri" w:cs="Times New Roman"/>
                <w:sz w:val="28"/>
                <w:szCs w:val="28"/>
              </w:rPr>
              <w:t>АНОТАЦІЯ…………………………………………………………………….</w:t>
            </w:r>
          </w:p>
        </w:tc>
        <w:tc>
          <w:tcPr>
            <w:tcW w:w="680" w:type="dxa"/>
            <w:shd w:val="clear" w:color="auto" w:fill="auto"/>
          </w:tcPr>
          <w:p w:rsidR="007139F7" w:rsidRPr="007139F7" w:rsidRDefault="007139F7" w:rsidP="007139F7">
            <w:pPr>
              <w:spacing w:after="160" w:line="360" w:lineRule="auto"/>
              <w:rPr>
                <w:rFonts w:eastAsia="Calibri" w:cs="Times New Roman"/>
                <w:szCs w:val="28"/>
              </w:rPr>
            </w:pPr>
            <w:r w:rsidRPr="007139F7">
              <w:rPr>
                <w:rFonts w:eastAsia="Calibri" w:cs="Times New Roman"/>
                <w:sz w:val="28"/>
                <w:szCs w:val="28"/>
              </w:rPr>
              <w:t xml:space="preserve">  2</w:t>
            </w:r>
          </w:p>
        </w:tc>
      </w:tr>
      <w:tr w:rsidR="007139F7" w:rsidRPr="007139F7" w:rsidTr="007139F7">
        <w:tc>
          <w:tcPr>
            <w:tcW w:w="9073" w:type="dxa"/>
            <w:gridSpan w:val="3"/>
            <w:shd w:val="clear" w:color="auto" w:fill="auto"/>
          </w:tcPr>
          <w:p w:rsidR="007139F7" w:rsidRPr="007139F7" w:rsidRDefault="007139F7" w:rsidP="007139F7">
            <w:pPr>
              <w:spacing w:after="160" w:line="360" w:lineRule="auto"/>
              <w:rPr>
                <w:rFonts w:eastAsia="Calibri" w:cs="Times New Roman"/>
                <w:szCs w:val="28"/>
              </w:rPr>
            </w:pPr>
            <w:r w:rsidRPr="007139F7">
              <w:rPr>
                <w:rFonts w:eastAsia="Calibri" w:cs="Times New Roman"/>
                <w:sz w:val="28"/>
                <w:szCs w:val="28"/>
              </w:rPr>
              <w:t>ЗМІСТ…………………………………………………………………………..</w:t>
            </w:r>
          </w:p>
        </w:tc>
        <w:tc>
          <w:tcPr>
            <w:tcW w:w="680" w:type="dxa"/>
            <w:shd w:val="clear" w:color="auto" w:fill="auto"/>
          </w:tcPr>
          <w:p w:rsidR="007139F7" w:rsidRPr="007139F7" w:rsidRDefault="007139F7" w:rsidP="007139F7">
            <w:pPr>
              <w:spacing w:after="160" w:line="360" w:lineRule="auto"/>
              <w:rPr>
                <w:rFonts w:eastAsia="Calibri" w:cs="Times New Roman"/>
                <w:szCs w:val="28"/>
              </w:rPr>
            </w:pPr>
            <w:r w:rsidRPr="007139F7">
              <w:rPr>
                <w:rFonts w:eastAsia="Calibri" w:cs="Times New Roman"/>
                <w:sz w:val="28"/>
                <w:szCs w:val="28"/>
              </w:rPr>
              <w:t>14</w:t>
            </w:r>
          </w:p>
        </w:tc>
      </w:tr>
      <w:tr w:rsidR="007139F7" w:rsidRPr="007139F7" w:rsidTr="007139F7">
        <w:tc>
          <w:tcPr>
            <w:tcW w:w="9073" w:type="dxa"/>
            <w:gridSpan w:val="3"/>
            <w:shd w:val="clear" w:color="auto" w:fill="auto"/>
          </w:tcPr>
          <w:p w:rsidR="007139F7" w:rsidRPr="007139F7" w:rsidRDefault="007139F7" w:rsidP="007139F7">
            <w:pPr>
              <w:spacing w:after="160" w:line="360" w:lineRule="auto"/>
              <w:rPr>
                <w:rFonts w:eastAsia="Calibri" w:cs="Times New Roman"/>
                <w:szCs w:val="28"/>
              </w:rPr>
            </w:pPr>
            <w:r w:rsidRPr="007139F7">
              <w:rPr>
                <w:rFonts w:eastAsia="Calibri" w:cs="Times New Roman"/>
                <w:sz w:val="28"/>
                <w:szCs w:val="28"/>
              </w:rPr>
              <w:t>ПЕРЕЛІК УМОВНИХ СКОРОЧЕНЬ.….………………………....…….........</w:t>
            </w:r>
          </w:p>
        </w:tc>
        <w:tc>
          <w:tcPr>
            <w:tcW w:w="680" w:type="dxa"/>
            <w:shd w:val="clear" w:color="auto" w:fill="auto"/>
          </w:tcPr>
          <w:p w:rsidR="007139F7" w:rsidRPr="007139F7" w:rsidRDefault="007139F7" w:rsidP="007139F7">
            <w:pPr>
              <w:spacing w:after="160" w:line="360" w:lineRule="auto"/>
              <w:rPr>
                <w:rFonts w:eastAsia="Calibri" w:cs="Times New Roman"/>
                <w:szCs w:val="28"/>
              </w:rPr>
            </w:pPr>
            <w:r w:rsidRPr="007139F7">
              <w:rPr>
                <w:rFonts w:eastAsia="Calibri" w:cs="Times New Roman"/>
                <w:sz w:val="28"/>
                <w:szCs w:val="28"/>
              </w:rPr>
              <w:t>17</w:t>
            </w:r>
          </w:p>
        </w:tc>
      </w:tr>
      <w:tr w:rsidR="007139F7" w:rsidRPr="007139F7" w:rsidTr="007139F7">
        <w:tc>
          <w:tcPr>
            <w:tcW w:w="9073" w:type="dxa"/>
            <w:gridSpan w:val="3"/>
            <w:shd w:val="clear" w:color="auto" w:fill="auto"/>
          </w:tcPr>
          <w:p w:rsidR="007139F7" w:rsidRPr="007139F7" w:rsidRDefault="007139F7" w:rsidP="007139F7">
            <w:pPr>
              <w:spacing w:after="160" w:line="360" w:lineRule="auto"/>
              <w:rPr>
                <w:rFonts w:eastAsia="Calibri" w:cs="Times New Roman"/>
                <w:szCs w:val="28"/>
              </w:rPr>
            </w:pPr>
            <w:r w:rsidRPr="007139F7">
              <w:rPr>
                <w:rFonts w:eastAsia="Calibri" w:cs="Times New Roman"/>
                <w:sz w:val="28"/>
                <w:szCs w:val="28"/>
              </w:rPr>
              <w:t>ВСТУП.................................................................................................................</w:t>
            </w:r>
          </w:p>
        </w:tc>
        <w:tc>
          <w:tcPr>
            <w:tcW w:w="680" w:type="dxa"/>
            <w:shd w:val="clear" w:color="auto" w:fill="auto"/>
          </w:tcPr>
          <w:p w:rsidR="007139F7" w:rsidRPr="007139F7" w:rsidRDefault="007139F7" w:rsidP="007139F7">
            <w:pPr>
              <w:spacing w:after="160" w:line="360" w:lineRule="auto"/>
              <w:rPr>
                <w:rFonts w:eastAsia="Calibri" w:cs="Times New Roman"/>
                <w:szCs w:val="28"/>
              </w:rPr>
            </w:pPr>
            <w:r w:rsidRPr="007139F7">
              <w:rPr>
                <w:rFonts w:eastAsia="Calibri" w:cs="Times New Roman"/>
                <w:sz w:val="28"/>
                <w:szCs w:val="28"/>
              </w:rPr>
              <w:t>18</w:t>
            </w:r>
          </w:p>
        </w:tc>
      </w:tr>
      <w:tr w:rsidR="007139F7" w:rsidRPr="007139F7" w:rsidTr="007139F7">
        <w:tc>
          <w:tcPr>
            <w:tcW w:w="9073" w:type="dxa"/>
            <w:gridSpan w:val="3"/>
            <w:shd w:val="clear" w:color="auto" w:fill="auto"/>
          </w:tcPr>
          <w:p w:rsidR="007139F7" w:rsidRPr="007139F7" w:rsidRDefault="007139F7" w:rsidP="007139F7">
            <w:pPr>
              <w:shd w:val="clear" w:color="auto" w:fill="FFFFFF"/>
              <w:spacing w:after="0" w:line="360" w:lineRule="auto"/>
              <w:jc w:val="both"/>
              <w:rPr>
                <w:rFonts w:eastAsia="Times New Roman" w:cs="Times New Roman"/>
                <w:color w:val="000000"/>
                <w:szCs w:val="28"/>
                <w:lang w:eastAsia="ru-RU"/>
              </w:rPr>
            </w:pPr>
            <w:r w:rsidRPr="007139F7">
              <w:rPr>
                <w:rFonts w:eastAsia="Times New Roman" w:cs="Times New Roman"/>
                <w:color w:val="000000"/>
                <w:sz w:val="28"/>
                <w:szCs w:val="28"/>
                <w:lang w:eastAsia="ru-RU"/>
              </w:rPr>
              <w:t>РОЗДІЛ 1. СУЧАСНІ УЯВЛЕННЯ ПРО ЕТІОЛОГІЮ, ПАТОГЕНЕЗ КІСТ ШИЇ ЕМБРІОНАЛЬНОГО ПОХОДЖЕННЯ, МЕХАНІЗМИ ФОРМУВАННЯ ТА ПРОФІЛАКТИКУ ПАТОЛОГІЧНИХ РУБЦЕВОЗМІНЕНИХ ТКАНИН</w:t>
            </w:r>
          </w:p>
          <w:p w:rsidR="007139F7" w:rsidRPr="007139F7" w:rsidRDefault="007139F7" w:rsidP="007139F7">
            <w:pPr>
              <w:spacing w:after="160" w:line="360" w:lineRule="auto"/>
              <w:jc w:val="both"/>
              <w:rPr>
                <w:rFonts w:eastAsia="Calibri" w:cs="Times New Roman"/>
                <w:b/>
                <w:szCs w:val="28"/>
              </w:rPr>
            </w:pPr>
            <w:r w:rsidRPr="007139F7">
              <w:rPr>
                <w:rFonts w:eastAsia="Times New Roman" w:cs="Times New Roman"/>
                <w:color w:val="000000"/>
                <w:sz w:val="28"/>
                <w:szCs w:val="28"/>
                <w:lang w:eastAsia="ru-RU"/>
              </w:rPr>
              <w:t>(ОГЛЯД ЛІТЕРАТУРИ)……………………………………………………….</w:t>
            </w:r>
          </w:p>
        </w:tc>
        <w:tc>
          <w:tcPr>
            <w:tcW w:w="680" w:type="dxa"/>
            <w:shd w:val="clear" w:color="auto" w:fill="auto"/>
            <w:vAlign w:val="bottom"/>
          </w:tcPr>
          <w:p w:rsidR="007139F7" w:rsidRPr="007139F7" w:rsidRDefault="007139F7" w:rsidP="007139F7">
            <w:pPr>
              <w:spacing w:after="160" w:line="360" w:lineRule="auto"/>
              <w:rPr>
                <w:rFonts w:eastAsia="Calibri" w:cs="Times New Roman"/>
                <w:szCs w:val="28"/>
              </w:rPr>
            </w:pPr>
          </w:p>
          <w:p w:rsidR="007139F7" w:rsidRPr="007139F7" w:rsidRDefault="007139F7" w:rsidP="007139F7">
            <w:pPr>
              <w:spacing w:line="360" w:lineRule="auto"/>
              <w:rPr>
                <w:rFonts w:eastAsia="Calibri" w:cs="Times New Roman"/>
                <w:szCs w:val="28"/>
              </w:rPr>
            </w:pPr>
          </w:p>
          <w:p w:rsidR="007139F7" w:rsidRPr="007139F7" w:rsidRDefault="00AF3716" w:rsidP="007139F7">
            <w:pPr>
              <w:spacing w:line="360" w:lineRule="auto"/>
              <w:rPr>
                <w:rFonts w:eastAsia="Calibri" w:cs="Times New Roman"/>
                <w:szCs w:val="28"/>
              </w:rPr>
            </w:pPr>
            <w:r>
              <w:rPr>
                <w:rFonts w:eastAsia="Calibri" w:cs="Times New Roman"/>
                <w:sz w:val="28"/>
                <w:szCs w:val="28"/>
              </w:rPr>
              <w:t>25</w:t>
            </w:r>
          </w:p>
        </w:tc>
      </w:tr>
      <w:tr w:rsidR="007139F7" w:rsidRPr="007139F7" w:rsidTr="007139F7">
        <w:tc>
          <w:tcPr>
            <w:tcW w:w="993" w:type="dxa"/>
            <w:shd w:val="clear" w:color="auto" w:fill="auto"/>
            <w:vAlign w:val="center"/>
          </w:tcPr>
          <w:p w:rsidR="007139F7" w:rsidRPr="007139F7" w:rsidRDefault="007139F7" w:rsidP="007139F7">
            <w:pPr>
              <w:spacing w:after="0" w:line="360" w:lineRule="auto"/>
              <w:rPr>
                <w:rFonts w:eastAsia="Calibri" w:cs="Times New Roman"/>
                <w:szCs w:val="28"/>
              </w:rPr>
            </w:pPr>
            <w:r w:rsidRPr="007139F7">
              <w:rPr>
                <w:rFonts w:eastAsia="Calibri" w:cs="Times New Roman"/>
                <w:sz w:val="28"/>
                <w:szCs w:val="28"/>
              </w:rPr>
              <w:t>1.1</w:t>
            </w:r>
          </w:p>
          <w:p w:rsidR="007139F7" w:rsidRPr="007139F7" w:rsidRDefault="007139F7" w:rsidP="007139F7">
            <w:pPr>
              <w:spacing w:after="0" w:line="360" w:lineRule="auto"/>
              <w:rPr>
                <w:rFonts w:eastAsia="Calibri" w:cs="Times New Roman"/>
                <w:szCs w:val="28"/>
              </w:rPr>
            </w:pPr>
          </w:p>
        </w:tc>
        <w:tc>
          <w:tcPr>
            <w:tcW w:w="8080" w:type="dxa"/>
            <w:gridSpan w:val="2"/>
            <w:shd w:val="clear" w:color="auto" w:fill="auto"/>
          </w:tcPr>
          <w:p w:rsidR="007139F7" w:rsidRPr="007139F7" w:rsidRDefault="007139F7" w:rsidP="007139F7">
            <w:pPr>
              <w:spacing w:after="0" w:line="360" w:lineRule="auto"/>
              <w:rPr>
                <w:rFonts w:eastAsia="Calibri" w:cs="Times New Roman"/>
                <w:szCs w:val="28"/>
              </w:rPr>
            </w:pPr>
            <w:r w:rsidRPr="007139F7">
              <w:rPr>
                <w:rFonts w:eastAsia="Calibri" w:cs="Times New Roman"/>
                <w:sz w:val="28"/>
                <w:szCs w:val="28"/>
              </w:rPr>
              <w:t>Кісти шиї ембріонального походження. Етіопатогенез, класифікації, клінічні прояви, лікування………………………..….</w:t>
            </w:r>
          </w:p>
        </w:tc>
        <w:tc>
          <w:tcPr>
            <w:tcW w:w="680" w:type="dxa"/>
            <w:shd w:val="clear" w:color="auto" w:fill="auto"/>
            <w:vAlign w:val="center"/>
          </w:tcPr>
          <w:p w:rsidR="007139F7" w:rsidRPr="007139F7" w:rsidRDefault="00AF3716" w:rsidP="007139F7">
            <w:pPr>
              <w:spacing w:after="0" w:line="360" w:lineRule="auto"/>
              <w:rPr>
                <w:rFonts w:eastAsia="Calibri" w:cs="Times New Roman"/>
                <w:szCs w:val="28"/>
              </w:rPr>
            </w:pPr>
            <w:r>
              <w:rPr>
                <w:rFonts w:eastAsia="Calibri" w:cs="Times New Roman"/>
                <w:sz w:val="28"/>
                <w:szCs w:val="28"/>
              </w:rPr>
              <w:t>25</w:t>
            </w:r>
          </w:p>
        </w:tc>
      </w:tr>
      <w:tr w:rsidR="007139F7" w:rsidRPr="007139F7" w:rsidTr="007139F7">
        <w:tc>
          <w:tcPr>
            <w:tcW w:w="993" w:type="dxa"/>
            <w:shd w:val="clear" w:color="auto" w:fill="auto"/>
          </w:tcPr>
          <w:p w:rsidR="007139F7" w:rsidRPr="007139F7" w:rsidRDefault="007139F7" w:rsidP="007139F7">
            <w:pPr>
              <w:spacing w:after="0" w:line="360" w:lineRule="auto"/>
              <w:rPr>
                <w:rFonts w:eastAsia="Calibri" w:cs="Times New Roman"/>
                <w:szCs w:val="28"/>
              </w:rPr>
            </w:pPr>
            <w:r w:rsidRPr="007139F7">
              <w:rPr>
                <w:rFonts w:eastAsia="Calibri" w:cs="Times New Roman"/>
                <w:sz w:val="28"/>
                <w:szCs w:val="28"/>
              </w:rPr>
              <w:t>1.2</w:t>
            </w:r>
          </w:p>
        </w:tc>
        <w:tc>
          <w:tcPr>
            <w:tcW w:w="8080" w:type="dxa"/>
            <w:gridSpan w:val="2"/>
            <w:shd w:val="clear" w:color="auto" w:fill="auto"/>
          </w:tcPr>
          <w:p w:rsidR="007139F7" w:rsidRPr="007139F7" w:rsidRDefault="007139F7" w:rsidP="007139F7">
            <w:pPr>
              <w:spacing w:after="0" w:line="360" w:lineRule="auto"/>
              <w:rPr>
                <w:rFonts w:eastAsia="Calibri" w:cs="Times New Roman"/>
                <w:szCs w:val="28"/>
              </w:rPr>
            </w:pPr>
            <w:r w:rsidRPr="007139F7">
              <w:rPr>
                <w:rFonts w:eastAsia="Calibri" w:cs="Times New Roman"/>
                <w:sz w:val="28"/>
                <w:szCs w:val="28"/>
              </w:rPr>
              <w:t>Види рубцевої тканини, механізми їх формування………………..</w:t>
            </w:r>
          </w:p>
        </w:tc>
        <w:tc>
          <w:tcPr>
            <w:tcW w:w="680" w:type="dxa"/>
            <w:shd w:val="clear" w:color="auto" w:fill="auto"/>
          </w:tcPr>
          <w:p w:rsidR="007139F7" w:rsidRPr="007139F7" w:rsidRDefault="00AF3716" w:rsidP="007139F7">
            <w:pPr>
              <w:spacing w:after="0" w:line="360" w:lineRule="auto"/>
              <w:rPr>
                <w:rFonts w:eastAsia="Calibri" w:cs="Times New Roman"/>
                <w:szCs w:val="28"/>
              </w:rPr>
            </w:pPr>
            <w:r>
              <w:rPr>
                <w:rFonts w:eastAsia="Calibri" w:cs="Times New Roman"/>
                <w:sz w:val="28"/>
                <w:szCs w:val="28"/>
              </w:rPr>
              <w:t>30</w:t>
            </w:r>
          </w:p>
        </w:tc>
      </w:tr>
      <w:tr w:rsidR="007139F7" w:rsidRPr="007139F7" w:rsidTr="007139F7">
        <w:trPr>
          <w:trHeight w:val="523"/>
        </w:trPr>
        <w:tc>
          <w:tcPr>
            <w:tcW w:w="993" w:type="dxa"/>
            <w:shd w:val="clear" w:color="auto" w:fill="auto"/>
          </w:tcPr>
          <w:p w:rsidR="007139F7" w:rsidRPr="007139F7" w:rsidRDefault="007139F7" w:rsidP="007139F7">
            <w:pPr>
              <w:spacing w:after="0" w:line="360" w:lineRule="auto"/>
              <w:rPr>
                <w:rFonts w:eastAsia="Calibri" w:cs="Times New Roman"/>
                <w:szCs w:val="28"/>
              </w:rPr>
            </w:pPr>
            <w:r w:rsidRPr="007139F7">
              <w:rPr>
                <w:rFonts w:eastAsia="Calibri" w:cs="Times New Roman"/>
                <w:sz w:val="28"/>
                <w:szCs w:val="28"/>
              </w:rPr>
              <w:t>1.3</w:t>
            </w:r>
          </w:p>
        </w:tc>
        <w:tc>
          <w:tcPr>
            <w:tcW w:w="8080" w:type="dxa"/>
            <w:gridSpan w:val="2"/>
            <w:shd w:val="clear" w:color="auto" w:fill="auto"/>
          </w:tcPr>
          <w:p w:rsidR="007139F7" w:rsidRPr="007139F7" w:rsidRDefault="007139F7" w:rsidP="007139F7">
            <w:pPr>
              <w:spacing w:after="0" w:line="360" w:lineRule="auto"/>
              <w:rPr>
                <w:rFonts w:eastAsia="Calibri" w:cs="Times New Roman"/>
                <w:szCs w:val="28"/>
              </w:rPr>
            </w:pPr>
            <w:r w:rsidRPr="007139F7">
              <w:rPr>
                <w:rFonts w:eastAsia="Calibri" w:cs="Times New Roman"/>
                <w:sz w:val="28"/>
                <w:szCs w:val="28"/>
              </w:rPr>
              <w:t>Механізми корекції патологічних рубців шкіри…………………...</w:t>
            </w:r>
          </w:p>
        </w:tc>
        <w:tc>
          <w:tcPr>
            <w:tcW w:w="680" w:type="dxa"/>
            <w:shd w:val="clear" w:color="auto" w:fill="auto"/>
          </w:tcPr>
          <w:p w:rsidR="007139F7" w:rsidRPr="007139F7" w:rsidRDefault="00AF3716" w:rsidP="007139F7">
            <w:pPr>
              <w:spacing w:after="0" w:line="360" w:lineRule="auto"/>
              <w:rPr>
                <w:rFonts w:eastAsia="Calibri" w:cs="Times New Roman"/>
                <w:szCs w:val="28"/>
              </w:rPr>
            </w:pPr>
            <w:r>
              <w:rPr>
                <w:rFonts w:eastAsia="Calibri" w:cs="Times New Roman"/>
                <w:sz w:val="28"/>
                <w:szCs w:val="28"/>
              </w:rPr>
              <w:t>38</w:t>
            </w:r>
          </w:p>
        </w:tc>
      </w:tr>
      <w:tr w:rsidR="007139F7" w:rsidRPr="007139F7" w:rsidTr="007139F7">
        <w:tc>
          <w:tcPr>
            <w:tcW w:w="993" w:type="dxa"/>
            <w:shd w:val="clear" w:color="auto" w:fill="auto"/>
          </w:tcPr>
          <w:p w:rsidR="007139F7" w:rsidRPr="007139F7" w:rsidRDefault="007139F7" w:rsidP="007139F7">
            <w:pPr>
              <w:spacing w:after="0" w:line="360" w:lineRule="auto"/>
              <w:rPr>
                <w:rFonts w:eastAsia="Calibri" w:cs="Times New Roman"/>
                <w:szCs w:val="28"/>
              </w:rPr>
            </w:pPr>
            <w:r w:rsidRPr="007139F7">
              <w:rPr>
                <w:rFonts w:eastAsia="Calibri" w:cs="Times New Roman"/>
                <w:sz w:val="28"/>
                <w:szCs w:val="28"/>
              </w:rPr>
              <w:t>1.4</w:t>
            </w:r>
          </w:p>
        </w:tc>
        <w:tc>
          <w:tcPr>
            <w:tcW w:w="8080" w:type="dxa"/>
            <w:gridSpan w:val="2"/>
            <w:shd w:val="clear" w:color="auto" w:fill="auto"/>
          </w:tcPr>
          <w:p w:rsidR="007139F7" w:rsidRPr="007139F7" w:rsidRDefault="007139F7" w:rsidP="007139F7">
            <w:pPr>
              <w:spacing w:after="0" w:line="360" w:lineRule="auto"/>
              <w:rPr>
                <w:rFonts w:eastAsia="Calibri" w:cs="Times New Roman"/>
                <w:szCs w:val="28"/>
              </w:rPr>
            </w:pPr>
            <w:r w:rsidRPr="007139F7">
              <w:rPr>
                <w:rFonts w:eastAsia="Calibri" w:cs="Times New Roman"/>
                <w:sz w:val="28"/>
                <w:szCs w:val="28"/>
              </w:rPr>
              <w:t>Експериментальне та клінічне обгрунтування використання PRF у процесах репаративної регенерації……………………………….</w:t>
            </w:r>
          </w:p>
        </w:tc>
        <w:tc>
          <w:tcPr>
            <w:tcW w:w="680" w:type="dxa"/>
            <w:shd w:val="clear" w:color="auto" w:fill="auto"/>
          </w:tcPr>
          <w:p w:rsidR="007139F7" w:rsidRPr="007139F7" w:rsidRDefault="007139F7" w:rsidP="007139F7">
            <w:pPr>
              <w:spacing w:after="0" w:line="360" w:lineRule="auto"/>
              <w:rPr>
                <w:rFonts w:eastAsia="Calibri" w:cs="Times New Roman"/>
                <w:szCs w:val="28"/>
              </w:rPr>
            </w:pPr>
          </w:p>
          <w:p w:rsidR="007139F7" w:rsidRPr="007139F7" w:rsidRDefault="00AF3716" w:rsidP="007139F7">
            <w:pPr>
              <w:spacing w:after="0" w:line="360" w:lineRule="auto"/>
              <w:rPr>
                <w:rFonts w:eastAsia="Calibri" w:cs="Times New Roman"/>
                <w:szCs w:val="28"/>
              </w:rPr>
            </w:pPr>
            <w:r>
              <w:rPr>
                <w:rFonts w:eastAsia="Calibri" w:cs="Times New Roman"/>
                <w:sz w:val="28"/>
                <w:szCs w:val="28"/>
              </w:rPr>
              <w:t>41</w:t>
            </w:r>
          </w:p>
        </w:tc>
      </w:tr>
      <w:tr w:rsidR="007139F7" w:rsidRPr="007139F7" w:rsidTr="007139F7">
        <w:tc>
          <w:tcPr>
            <w:tcW w:w="9073" w:type="dxa"/>
            <w:gridSpan w:val="3"/>
            <w:shd w:val="clear" w:color="auto" w:fill="auto"/>
          </w:tcPr>
          <w:p w:rsidR="007139F7" w:rsidRPr="007139F7" w:rsidRDefault="007139F7" w:rsidP="007139F7">
            <w:pPr>
              <w:spacing w:before="240" w:line="360" w:lineRule="auto"/>
              <w:rPr>
                <w:rFonts w:eastAsia="Calibri" w:cs="Times New Roman"/>
                <w:szCs w:val="28"/>
              </w:rPr>
            </w:pPr>
            <w:r w:rsidRPr="007139F7">
              <w:rPr>
                <w:rFonts w:eastAsia="Calibri" w:cs="Times New Roman"/>
                <w:sz w:val="28"/>
                <w:szCs w:val="28"/>
              </w:rPr>
              <w:t>РОЗДІЛ 2.  МАТЕРІАЛ ТА МЕТОДИ ДОСЛІДЖЕННЯ ………………….</w:t>
            </w:r>
          </w:p>
        </w:tc>
        <w:tc>
          <w:tcPr>
            <w:tcW w:w="680" w:type="dxa"/>
            <w:shd w:val="clear" w:color="auto" w:fill="auto"/>
          </w:tcPr>
          <w:p w:rsidR="007139F7" w:rsidRPr="007139F7" w:rsidRDefault="007139F7" w:rsidP="007139F7">
            <w:pPr>
              <w:spacing w:after="0" w:line="360" w:lineRule="auto"/>
              <w:rPr>
                <w:rFonts w:eastAsia="Calibri" w:cs="Times New Roman"/>
                <w:szCs w:val="28"/>
              </w:rPr>
            </w:pPr>
          </w:p>
          <w:p w:rsidR="007139F7" w:rsidRPr="007139F7" w:rsidRDefault="00AF3716" w:rsidP="007139F7">
            <w:pPr>
              <w:spacing w:after="0" w:line="360" w:lineRule="auto"/>
              <w:rPr>
                <w:rFonts w:eastAsia="Calibri" w:cs="Times New Roman"/>
                <w:szCs w:val="28"/>
              </w:rPr>
            </w:pPr>
            <w:r>
              <w:rPr>
                <w:rFonts w:eastAsia="Calibri" w:cs="Times New Roman"/>
                <w:sz w:val="28"/>
                <w:szCs w:val="28"/>
              </w:rPr>
              <w:t>50</w:t>
            </w:r>
          </w:p>
        </w:tc>
      </w:tr>
      <w:tr w:rsidR="007139F7" w:rsidRPr="007139F7" w:rsidTr="007139F7">
        <w:trPr>
          <w:trHeight w:val="533"/>
        </w:trPr>
        <w:tc>
          <w:tcPr>
            <w:tcW w:w="993" w:type="dxa"/>
            <w:shd w:val="clear" w:color="auto" w:fill="auto"/>
          </w:tcPr>
          <w:p w:rsidR="007139F7" w:rsidRPr="007139F7" w:rsidRDefault="007139F7" w:rsidP="007139F7">
            <w:pPr>
              <w:spacing w:after="0" w:line="360" w:lineRule="auto"/>
              <w:rPr>
                <w:rFonts w:eastAsia="Calibri" w:cs="Times New Roman"/>
                <w:szCs w:val="28"/>
              </w:rPr>
            </w:pPr>
            <w:r w:rsidRPr="007139F7">
              <w:rPr>
                <w:rFonts w:eastAsia="Calibri" w:cs="Times New Roman"/>
                <w:sz w:val="28"/>
                <w:szCs w:val="28"/>
              </w:rPr>
              <w:t>2.1</w:t>
            </w:r>
          </w:p>
        </w:tc>
        <w:tc>
          <w:tcPr>
            <w:tcW w:w="8080" w:type="dxa"/>
            <w:gridSpan w:val="2"/>
            <w:shd w:val="clear" w:color="auto" w:fill="auto"/>
          </w:tcPr>
          <w:p w:rsidR="007139F7" w:rsidRPr="007139F7" w:rsidRDefault="007139F7" w:rsidP="007139F7">
            <w:pPr>
              <w:spacing w:after="0" w:line="360" w:lineRule="auto"/>
              <w:rPr>
                <w:rFonts w:eastAsia="Calibri" w:cs="Times New Roman"/>
                <w:szCs w:val="28"/>
              </w:rPr>
            </w:pPr>
            <w:r w:rsidRPr="007139F7">
              <w:rPr>
                <w:rFonts w:eastAsia="Calibri" w:cs="Times New Roman"/>
                <w:sz w:val="28"/>
                <w:szCs w:val="28"/>
              </w:rPr>
              <w:t>Загальна характеристика контингенту хворих……………………..</w:t>
            </w:r>
          </w:p>
        </w:tc>
        <w:tc>
          <w:tcPr>
            <w:tcW w:w="680" w:type="dxa"/>
            <w:shd w:val="clear" w:color="auto" w:fill="auto"/>
          </w:tcPr>
          <w:p w:rsidR="007139F7" w:rsidRPr="007139F7" w:rsidRDefault="00AF3716" w:rsidP="007139F7">
            <w:pPr>
              <w:spacing w:after="0" w:line="360" w:lineRule="auto"/>
              <w:rPr>
                <w:rFonts w:eastAsia="Calibri" w:cs="Times New Roman"/>
                <w:szCs w:val="28"/>
              </w:rPr>
            </w:pPr>
            <w:r>
              <w:rPr>
                <w:rFonts w:eastAsia="Calibri" w:cs="Times New Roman"/>
                <w:sz w:val="28"/>
                <w:szCs w:val="28"/>
              </w:rPr>
              <w:t>50</w:t>
            </w:r>
          </w:p>
        </w:tc>
      </w:tr>
      <w:tr w:rsidR="007139F7" w:rsidRPr="007139F7" w:rsidTr="007139F7">
        <w:tc>
          <w:tcPr>
            <w:tcW w:w="993" w:type="dxa"/>
            <w:shd w:val="clear" w:color="auto" w:fill="auto"/>
          </w:tcPr>
          <w:p w:rsidR="007139F7" w:rsidRPr="007139F7" w:rsidRDefault="007139F7" w:rsidP="007139F7">
            <w:pPr>
              <w:spacing w:after="0" w:line="360" w:lineRule="auto"/>
              <w:rPr>
                <w:rFonts w:eastAsia="Calibri" w:cs="Times New Roman"/>
                <w:szCs w:val="28"/>
              </w:rPr>
            </w:pPr>
            <w:r w:rsidRPr="007139F7">
              <w:rPr>
                <w:rFonts w:eastAsia="Calibri" w:cs="Times New Roman"/>
                <w:sz w:val="28"/>
                <w:szCs w:val="28"/>
              </w:rPr>
              <w:t>2.2</w:t>
            </w:r>
          </w:p>
        </w:tc>
        <w:tc>
          <w:tcPr>
            <w:tcW w:w="8080" w:type="dxa"/>
            <w:gridSpan w:val="2"/>
            <w:shd w:val="clear" w:color="auto" w:fill="auto"/>
          </w:tcPr>
          <w:p w:rsidR="007139F7" w:rsidRPr="007139F7" w:rsidRDefault="007139F7" w:rsidP="007139F7">
            <w:pPr>
              <w:spacing w:after="0" w:line="360" w:lineRule="auto"/>
              <w:rPr>
                <w:rFonts w:eastAsia="Calibri" w:cs="Times New Roman"/>
                <w:szCs w:val="28"/>
              </w:rPr>
            </w:pPr>
            <w:r w:rsidRPr="007139F7">
              <w:rPr>
                <w:rFonts w:eastAsia="Calibri" w:cs="Times New Roman"/>
                <w:sz w:val="28"/>
                <w:szCs w:val="28"/>
              </w:rPr>
              <w:t>Клінічні дослідження………………………………………………...</w:t>
            </w:r>
          </w:p>
        </w:tc>
        <w:tc>
          <w:tcPr>
            <w:tcW w:w="680" w:type="dxa"/>
            <w:shd w:val="clear" w:color="auto" w:fill="auto"/>
          </w:tcPr>
          <w:p w:rsidR="007139F7" w:rsidRPr="007139F7" w:rsidRDefault="00AF3716" w:rsidP="007139F7">
            <w:pPr>
              <w:spacing w:after="0" w:line="360" w:lineRule="auto"/>
              <w:rPr>
                <w:rFonts w:eastAsia="Calibri" w:cs="Times New Roman"/>
                <w:szCs w:val="28"/>
              </w:rPr>
            </w:pPr>
            <w:r>
              <w:rPr>
                <w:rFonts w:eastAsia="Calibri" w:cs="Times New Roman"/>
                <w:sz w:val="28"/>
                <w:szCs w:val="28"/>
              </w:rPr>
              <w:t>52</w:t>
            </w:r>
          </w:p>
        </w:tc>
      </w:tr>
      <w:tr w:rsidR="007139F7" w:rsidRPr="007139F7" w:rsidTr="007139F7">
        <w:trPr>
          <w:trHeight w:val="1002"/>
        </w:trPr>
        <w:tc>
          <w:tcPr>
            <w:tcW w:w="993" w:type="dxa"/>
            <w:shd w:val="clear" w:color="auto" w:fill="auto"/>
          </w:tcPr>
          <w:p w:rsidR="007139F7" w:rsidRPr="007139F7" w:rsidRDefault="007139F7" w:rsidP="007139F7">
            <w:pPr>
              <w:spacing w:after="0" w:line="360" w:lineRule="auto"/>
              <w:rPr>
                <w:rFonts w:eastAsia="Calibri" w:cs="Times New Roman"/>
                <w:szCs w:val="28"/>
              </w:rPr>
            </w:pPr>
            <w:r w:rsidRPr="007139F7">
              <w:rPr>
                <w:rFonts w:eastAsia="Calibri" w:cs="Times New Roman"/>
                <w:sz w:val="28"/>
                <w:szCs w:val="28"/>
              </w:rPr>
              <w:t>2.3</w:t>
            </w:r>
          </w:p>
        </w:tc>
        <w:tc>
          <w:tcPr>
            <w:tcW w:w="8080" w:type="dxa"/>
            <w:gridSpan w:val="2"/>
            <w:shd w:val="clear" w:color="auto" w:fill="auto"/>
          </w:tcPr>
          <w:p w:rsidR="007139F7" w:rsidRPr="007139F7" w:rsidRDefault="007139F7" w:rsidP="007139F7">
            <w:pPr>
              <w:spacing w:after="0" w:line="360" w:lineRule="auto"/>
              <w:jc w:val="both"/>
              <w:rPr>
                <w:rFonts w:eastAsia="Calibri" w:cs="Times New Roman"/>
                <w:szCs w:val="28"/>
              </w:rPr>
            </w:pPr>
            <w:r w:rsidRPr="007139F7">
              <w:rPr>
                <w:rFonts w:eastAsia="Calibri" w:cs="Times New Roman"/>
                <w:sz w:val="28"/>
                <w:szCs w:val="28"/>
              </w:rPr>
              <w:t>Опис складових використаних препаратів та методика їх введення з метою профілактики утворення післяопераційних патологічних рубців…………………………………………………………………</w:t>
            </w:r>
          </w:p>
        </w:tc>
        <w:tc>
          <w:tcPr>
            <w:tcW w:w="680" w:type="dxa"/>
            <w:shd w:val="clear" w:color="auto" w:fill="auto"/>
          </w:tcPr>
          <w:p w:rsidR="007139F7" w:rsidRPr="007139F7" w:rsidRDefault="007139F7" w:rsidP="007139F7">
            <w:pPr>
              <w:spacing w:after="0" w:line="360" w:lineRule="auto"/>
              <w:rPr>
                <w:rFonts w:eastAsia="Calibri" w:cs="Times New Roman"/>
                <w:szCs w:val="28"/>
              </w:rPr>
            </w:pPr>
          </w:p>
          <w:p w:rsidR="007139F7" w:rsidRPr="007139F7" w:rsidRDefault="007139F7" w:rsidP="007139F7">
            <w:pPr>
              <w:spacing w:after="0" w:line="360" w:lineRule="auto"/>
              <w:rPr>
                <w:rFonts w:eastAsia="Calibri" w:cs="Times New Roman"/>
                <w:szCs w:val="28"/>
              </w:rPr>
            </w:pPr>
          </w:p>
          <w:p w:rsidR="007139F7" w:rsidRPr="007139F7" w:rsidRDefault="007139F7" w:rsidP="007139F7">
            <w:pPr>
              <w:spacing w:after="0" w:line="360" w:lineRule="auto"/>
              <w:rPr>
                <w:rFonts w:eastAsia="Calibri" w:cs="Times New Roman"/>
                <w:szCs w:val="28"/>
              </w:rPr>
            </w:pPr>
          </w:p>
          <w:p w:rsidR="007139F7" w:rsidRPr="007139F7" w:rsidRDefault="00AF3716" w:rsidP="007139F7">
            <w:pPr>
              <w:spacing w:after="0" w:line="360" w:lineRule="auto"/>
              <w:rPr>
                <w:rFonts w:eastAsia="Calibri" w:cs="Times New Roman"/>
                <w:szCs w:val="28"/>
              </w:rPr>
            </w:pPr>
            <w:r>
              <w:rPr>
                <w:rFonts w:eastAsia="Calibri" w:cs="Times New Roman"/>
                <w:sz w:val="28"/>
                <w:szCs w:val="28"/>
              </w:rPr>
              <w:t>53</w:t>
            </w:r>
          </w:p>
        </w:tc>
      </w:tr>
      <w:tr w:rsidR="007139F7" w:rsidRPr="007139F7" w:rsidTr="007139F7">
        <w:tc>
          <w:tcPr>
            <w:tcW w:w="993" w:type="dxa"/>
            <w:shd w:val="clear" w:color="auto" w:fill="auto"/>
          </w:tcPr>
          <w:p w:rsidR="007139F7" w:rsidRPr="007139F7" w:rsidRDefault="007139F7" w:rsidP="007139F7">
            <w:pPr>
              <w:spacing w:after="0" w:line="360" w:lineRule="auto"/>
              <w:rPr>
                <w:rFonts w:eastAsia="Calibri" w:cs="Times New Roman"/>
                <w:szCs w:val="28"/>
              </w:rPr>
            </w:pPr>
            <w:r w:rsidRPr="007139F7">
              <w:rPr>
                <w:rFonts w:eastAsia="Calibri" w:cs="Times New Roman"/>
                <w:sz w:val="28"/>
                <w:szCs w:val="28"/>
              </w:rPr>
              <w:t>2.4</w:t>
            </w:r>
          </w:p>
        </w:tc>
        <w:tc>
          <w:tcPr>
            <w:tcW w:w="8080" w:type="dxa"/>
            <w:gridSpan w:val="2"/>
            <w:shd w:val="clear" w:color="auto" w:fill="auto"/>
          </w:tcPr>
          <w:p w:rsidR="007139F7" w:rsidRPr="007139F7" w:rsidRDefault="007139F7" w:rsidP="007139F7">
            <w:pPr>
              <w:spacing w:after="0" w:line="360" w:lineRule="auto"/>
              <w:jc w:val="both"/>
              <w:rPr>
                <w:rFonts w:eastAsia="Calibri" w:cs="Times New Roman"/>
                <w:szCs w:val="28"/>
              </w:rPr>
            </w:pPr>
            <w:r w:rsidRPr="007139F7">
              <w:rPr>
                <w:rFonts w:eastAsia="Calibri" w:cs="Times New Roman"/>
                <w:sz w:val="28"/>
                <w:szCs w:val="28"/>
              </w:rPr>
              <w:t>Методики гістотопографічного та імуногістохімічного дослідження…………………………………………………………..</w:t>
            </w:r>
          </w:p>
        </w:tc>
        <w:tc>
          <w:tcPr>
            <w:tcW w:w="680" w:type="dxa"/>
            <w:shd w:val="clear" w:color="auto" w:fill="auto"/>
          </w:tcPr>
          <w:p w:rsidR="007139F7" w:rsidRPr="007139F7" w:rsidRDefault="007139F7" w:rsidP="007139F7">
            <w:pPr>
              <w:spacing w:after="0" w:line="360" w:lineRule="auto"/>
              <w:rPr>
                <w:rFonts w:eastAsia="Calibri" w:cs="Times New Roman"/>
                <w:szCs w:val="28"/>
              </w:rPr>
            </w:pPr>
          </w:p>
          <w:p w:rsidR="007139F7" w:rsidRPr="007139F7" w:rsidRDefault="007139F7" w:rsidP="007139F7">
            <w:pPr>
              <w:spacing w:after="0" w:line="360" w:lineRule="auto"/>
              <w:rPr>
                <w:rFonts w:eastAsia="Calibri" w:cs="Times New Roman"/>
                <w:szCs w:val="28"/>
              </w:rPr>
            </w:pPr>
            <w:r w:rsidRPr="007139F7">
              <w:rPr>
                <w:rFonts w:eastAsia="Calibri" w:cs="Times New Roman"/>
                <w:sz w:val="28"/>
                <w:szCs w:val="28"/>
              </w:rPr>
              <w:t>55</w:t>
            </w:r>
          </w:p>
        </w:tc>
      </w:tr>
      <w:tr w:rsidR="007139F7" w:rsidRPr="007139F7" w:rsidTr="007139F7">
        <w:tc>
          <w:tcPr>
            <w:tcW w:w="993" w:type="dxa"/>
            <w:shd w:val="clear" w:color="auto" w:fill="auto"/>
          </w:tcPr>
          <w:p w:rsidR="007139F7" w:rsidRPr="007139F7" w:rsidRDefault="007139F7" w:rsidP="007139F7">
            <w:pPr>
              <w:spacing w:after="0" w:line="360" w:lineRule="auto"/>
              <w:rPr>
                <w:rFonts w:eastAsia="Calibri" w:cs="Times New Roman"/>
                <w:szCs w:val="28"/>
              </w:rPr>
            </w:pPr>
            <w:r w:rsidRPr="007139F7">
              <w:rPr>
                <w:rFonts w:eastAsia="Calibri" w:cs="Times New Roman"/>
                <w:sz w:val="28"/>
                <w:szCs w:val="28"/>
              </w:rPr>
              <w:t>2.5</w:t>
            </w:r>
          </w:p>
        </w:tc>
        <w:tc>
          <w:tcPr>
            <w:tcW w:w="8080" w:type="dxa"/>
            <w:gridSpan w:val="2"/>
            <w:shd w:val="clear" w:color="auto" w:fill="auto"/>
          </w:tcPr>
          <w:p w:rsidR="007139F7" w:rsidRPr="007139F7" w:rsidRDefault="007139F7" w:rsidP="007139F7">
            <w:pPr>
              <w:spacing w:after="0" w:line="360" w:lineRule="auto"/>
              <w:rPr>
                <w:rFonts w:eastAsia="Calibri" w:cs="Times New Roman"/>
                <w:szCs w:val="28"/>
              </w:rPr>
            </w:pPr>
            <w:r w:rsidRPr="007139F7">
              <w:rPr>
                <w:rFonts w:eastAsia="Calibri" w:cs="Times New Roman"/>
                <w:sz w:val="28"/>
                <w:szCs w:val="28"/>
              </w:rPr>
              <w:t>Методики біохімічних досліджень………………………………….</w:t>
            </w:r>
          </w:p>
        </w:tc>
        <w:tc>
          <w:tcPr>
            <w:tcW w:w="680" w:type="dxa"/>
            <w:shd w:val="clear" w:color="auto" w:fill="auto"/>
          </w:tcPr>
          <w:p w:rsidR="007139F7" w:rsidRPr="007139F7" w:rsidRDefault="00AF3716" w:rsidP="007139F7">
            <w:pPr>
              <w:spacing w:after="0" w:line="360" w:lineRule="auto"/>
              <w:rPr>
                <w:rFonts w:eastAsia="Calibri" w:cs="Times New Roman"/>
                <w:szCs w:val="28"/>
              </w:rPr>
            </w:pPr>
            <w:r>
              <w:rPr>
                <w:rFonts w:eastAsia="Calibri" w:cs="Times New Roman"/>
                <w:sz w:val="28"/>
                <w:szCs w:val="28"/>
              </w:rPr>
              <w:t>57</w:t>
            </w:r>
          </w:p>
        </w:tc>
      </w:tr>
      <w:tr w:rsidR="007139F7" w:rsidRPr="007139F7" w:rsidTr="007139F7">
        <w:tc>
          <w:tcPr>
            <w:tcW w:w="993" w:type="dxa"/>
            <w:shd w:val="clear" w:color="auto" w:fill="auto"/>
          </w:tcPr>
          <w:p w:rsidR="007139F7" w:rsidRPr="007139F7" w:rsidRDefault="007139F7" w:rsidP="007139F7">
            <w:pPr>
              <w:spacing w:after="0" w:line="360" w:lineRule="auto"/>
              <w:rPr>
                <w:rFonts w:eastAsia="Calibri" w:cs="Times New Roman"/>
                <w:szCs w:val="28"/>
              </w:rPr>
            </w:pPr>
            <w:r w:rsidRPr="007139F7">
              <w:rPr>
                <w:rFonts w:eastAsia="Calibri" w:cs="Times New Roman"/>
                <w:sz w:val="28"/>
                <w:szCs w:val="28"/>
              </w:rPr>
              <w:t>2.6</w:t>
            </w:r>
          </w:p>
        </w:tc>
        <w:tc>
          <w:tcPr>
            <w:tcW w:w="8080" w:type="dxa"/>
            <w:gridSpan w:val="2"/>
            <w:shd w:val="clear" w:color="auto" w:fill="auto"/>
          </w:tcPr>
          <w:p w:rsidR="007139F7" w:rsidRPr="007139F7" w:rsidRDefault="007139F7" w:rsidP="007139F7">
            <w:pPr>
              <w:spacing w:after="0" w:line="360" w:lineRule="auto"/>
              <w:rPr>
                <w:rFonts w:eastAsia="Calibri" w:cs="Times New Roman"/>
                <w:bCs/>
                <w:szCs w:val="28"/>
              </w:rPr>
            </w:pPr>
            <w:r w:rsidRPr="007139F7">
              <w:rPr>
                <w:rFonts w:eastAsia="Calibri" w:cs="Times New Roman"/>
                <w:bCs/>
                <w:sz w:val="28"/>
                <w:szCs w:val="28"/>
              </w:rPr>
              <w:t>Статистична обробка результатів власних досліджень……………</w:t>
            </w:r>
          </w:p>
        </w:tc>
        <w:tc>
          <w:tcPr>
            <w:tcW w:w="680" w:type="dxa"/>
            <w:shd w:val="clear" w:color="auto" w:fill="auto"/>
          </w:tcPr>
          <w:p w:rsidR="007139F7" w:rsidRPr="007139F7" w:rsidRDefault="007139F7" w:rsidP="007139F7">
            <w:pPr>
              <w:spacing w:after="0" w:line="360" w:lineRule="auto"/>
              <w:rPr>
                <w:rFonts w:eastAsia="Calibri" w:cs="Times New Roman"/>
                <w:szCs w:val="28"/>
              </w:rPr>
            </w:pPr>
            <w:r w:rsidRPr="007139F7">
              <w:rPr>
                <w:rFonts w:eastAsia="Calibri" w:cs="Times New Roman"/>
                <w:sz w:val="28"/>
                <w:szCs w:val="28"/>
              </w:rPr>
              <w:t>59</w:t>
            </w:r>
          </w:p>
        </w:tc>
      </w:tr>
      <w:tr w:rsidR="007139F7" w:rsidRPr="007139F7" w:rsidTr="007139F7">
        <w:tc>
          <w:tcPr>
            <w:tcW w:w="9073" w:type="dxa"/>
            <w:gridSpan w:val="3"/>
            <w:shd w:val="clear" w:color="auto" w:fill="auto"/>
          </w:tcPr>
          <w:p w:rsidR="007139F7" w:rsidRPr="007139F7" w:rsidRDefault="007139F7" w:rsidP="007139F7">
            <w:pPr>
              <w:spacing w:before="240" w:after="160" w:line="360" w:lineRule="auto"/>
              <w:rPr>
                <w:rFonts w:eastAsia="Calibri" w:cs="Times New Roman"/>
                <w:b/>
                <w:szCs w:val="28"/>
              </w:rPr>
            </w:pPr>
            <w:r w:rsidRPr="007139F7">
              <w:rPr>
                <w:rFonts w:eastAsia="Calibri" w:cs="Times New Roman"/>
                <w:sz w:val="28"/>
                <w:szCs w:val="28"/>
              </w:rPr>
              <w:lastRenderedPageBreak/>
              <w:t xml:space="preserve">РОЗДІЛ 3. </w:t>
            </w:r>
            <w:r w:rsidRPr="007139F7">
              <w:rPr>
                <w:rFonts w:eastAsia="Calibri" w:cs="Times New Roman"/>
                <w:b/>
                <w:sz w:val="28"/>
                <w:szCs w:val="28"/>
              </w:rPr>
              <w:t xml:space="preserve"> </w:t>
            </w:r>
            <w:r w:rsidRPr="007139F7">
              <w:rPr>
                <w:rFonts w:eastAsia="Calibri" w:cs="Times New Roman"/>
                <w:sz w:val="28"/>
                <w:szCs w:val="28"/>
              </w:rPr>
              <w:t>АНАЛІЗ ДИНАМІКИ КЛІНІЧНИХ ЗМІН У РУБЦЕВОЗМІНЕНИХ ТКАНИНАХ У РІЗНІ ТЕРМІНИ ПІСЛЯОПЕРАЦІЙНОГО ПЕРІОДУ…………………………………………</w:t>
            </w:r>
          </w:p>
        </w:tc>
        <w:tc>
          <w:tcPr>
            <w:tcW w:w="680" w:type="dxa"/>
            <w:shd w:val="clear" w:color="auto" w:fill="auto"/>
          </w:tcPr>
          <w:p w:rsidR="007139F7" w:rsidRPr="007139F7" w:rsidRDefault="007139F7" w:rsidP="007139F7">
            <w:pPr>
              <w:spacing w:before="240" w:after="160" w:line="360" w:lineRule="auto"/>
              <w:rPr>
                <w:rFonts w:eastAsia="Calibri" w:cs="Times New Roman"/>
                <w:szCs w:val="28"/>
              </w:rPr>
            </w:pPr>
          </w:p>
          <w:p w:rsidR="007139F7" w:rsidRPr="007139F7" w:rsidRDefault="007139F7" w:rsidP="007139F7">
            <w:pPr>
              <w:spacing w:before="240" w:after="160" w:line="360" w:lineRule="auto"/>
              <w:rPr>
                <w:rFonts w:eastAsia="Calibri" w:cs="Times New Roman"/>
                <w:szCs w:val="28"/>
              </w:rPr>
            </w:pPr>
            <w:r w:rsidRPr="007139F7">
              <w:rPr>
                <w:rFonts w:eastAsia="Calibri" w:cs="Times New Roman"/>
                <w:sz w:val="28"/>
                <w:szCs w:val="28"/>
              </w:rPr>
              <w:t>61</w:t>
            </w:r>
          </w:p>
        </w:tc>
      </w:tr>
      <w:tr w:rsidR="007139F7" w:rsidRPr="007139F7" w:rsidTr="007139F7">
        <w:tc>
          <w:tcPr>
            <w:tcW w:w="1002" w:type="dxa"/>
            <w:gridSpan w:val="2"/>
            <w:shd w:val="clear" w:color="auto" w:fill="auto"/>
          </w:tcPr>
          <w:p w:rsidR="007139F7" w:rsidRPr="007139F7" w:rsidRDefault="007139F7" w:rsidP="007139F7">
            <w:pPr>
              <w:spacing w:after="0" w:line="360" w:lineRule="auto"/>
              <w:rPr>
                <w:rFonts w:eastAsia="Calibri" w:cs="Times New Roman"/>
                <w:szCs w:val="28"/>
              </w:rPr>
            </w:pPr>
            <w:r w:rsidRPr="007139F7">
              <w:rPr>
                <w:rFonts w:eastAsia="Calibri" w:cs="Times New Roman"/>
                <w:sz w:val="28"/>
                <w:szCs w:val="28"/>
              </w:rPr>
              <w:t>3.1</w:t>
            </w:r>
          </w:p>
          <w:p w:rsidR="007139F7" w:rsidRPr="007139F7" w:rsidRDefault="007139F7" w:rsidP="007139F7">
            <w:pPr>
              <w:spacing w:after="0" w:line="360" w:lineRule="auto"/>
              <w:rPr>
                <w:rFonts w:eastAsia="Calibri" w:cs="Times New Roman"/>
                <w:szCs w:val="28"/>
              </w:rPr>
            </w:pPr>
          </w:p>
        </w:tc>
        <w:tc>
          <w:tcPr>
            <w:tcW w:w="8071" w:type="dxa"/>
            <w:shd w:val="clear" w:color="auto" w:fill="auto"/>
          </w:tcPr>
          <w:p w:rsidR="007139F7" w:rsidRPr="007139F7" w:rsidRDefault="007139F7" w:rsidP="007139F7">
            <w:pPr>
              <w:spacing w:after="0" w:line="360" w:lineRule="auto"/>
              <w:rPr>
                <w:rFonts w:eastAsia="Calibri" w:cs="Times New Roman"/>
                <w:szCs w:val="28"/>
              </w:rPr>
            </w:pPr>
            <w:r w:rsidRPr="007139F7">
              <w:rPr>
                <w:rFonts w:eastAsia="Calibri" w:cs="Times New Roman"/>
                <w:sz w:val="28"/>
                <w:szCs w:val="28"/>
              </w:rPr>
              <w:t>Опис авторської методики інтраопераційної профілактики утворення патологічних рубцевозмінених тканин шкіри після хірургічного лікування кіст шиї ембріонального походження……</w:t>
            </w:r>
          </w:p>
        </w:tc>
        <w:tc>
          <w:tcPr>
            <w:tcW w:w="680" w:type="dxa"/>
            <w:shd w:val="clear" w:color="auto" w:fill="auto"/>
          </w:tcPr>
          <w:p w:rsidR="007139F7" w:rsidRPr="007139F7" w:rsidRDefault="007139F7" w:rsidP="007139F7">
            <w:pPr>
              <w:spacing w:after="0" w:line="360" w:lineRule="auto"/>
              <w:rPr>
                <w:rFonts w:eastAsia="Calibri" w:cs="Times New Roman"/>
                <w:szCs w:val="28"/>
              </w:rPr>
            </w:pPr>
          </w:p>
          <w:p w:rsidR="007139F7" w:rsidRPr="007139F7" w:rsidRDefault="007139F7" w:rsidP="007139F7">
            <w:pPr>
              <w:spacing w:after="0" w:line="360" w:lineRule="auto"/>
              <w:rPr>
                <w:rFonts w:eastAsia="Calibri" w:cs="Times New Roman"/>
                <w:szCs w:val="28"/>
              </w:rPr>
            </w:pPr>
          </w:p>
          <w:p w:rsidR="007139F7" w:rsidRPr="007139F7" w:rsidRDefault="007139F7" w:rsidP="007139F7">
            <w:pPr>
              <w:spacing w:after="0" w:line="360" w:lineRule="auto"/>
              <w:rPr>
                <w:rFonts w:eastAsia="Calibri" w:cs="Times New Roman"/>
                <w:szCs w:val="28"/>
              </w:rPr>
            </w:pPr>
            <w:r w:rsidRPr="007139F7">
              <w:rPr>
                <w:rFonts w:eastAsia="Calibri" w:cs="Times New Roman"/>
                <w:sz w:val="28"/>
                <w:szCs w:val="28"/>
              </w:rPr>
              <w:t>61</w:t>
            </w:r>
          </w:p>
        </w:tc>
      </w:tr>
      <w:tr w:rsidR="007139F7" w:rsidRPr="007139F7" w:rsidTr="007139F7">
        <w:tc>
          <w:tcPr>
            <w:tcW w:w="1002" w:type="dxa"/>
            <w:gridSpan w:val="2"/>
            <w:shd w:val="clear" w:color="auto" w:fill="auto"/>
          </w:tcPr>
          <w:p w:rsidR="007139F7" w:rsidRPr="007139F7" w:rsidRDefault="007139F7" w:rsidP="007139F7">
            <w:pPr>
              <w:spacing w:after="0" w:line="360" w:lineRule="auto"/>
              <w:rPr>
                <w:rFonts w:eastAsia="Calibri" w:cs="Times New Roman"/>
                <w:szCs w:val="28"/>
              </w:rPr>
            </w:pPr>
            <w:r w:rsidRPr="007139F7">
              <w:rPr>
                <w:rFonts w:eastAsia="Calibri" w:cs="Times New Roman"/>
                <w:sz w:val="28"/>
                <w:szCs w:val="28"/>
              </w:rPr>
              <w:t>3.2</w:t>
            </w:r>
          </w:p>
          <w:p w:rsidR="007139F7" w:rsidRPr="007139F7" w:rsidRDefault="007139F7" w:rsidP="007139F7">
            <w:pPr>
              <w:spacing w:after="0" w:line="360" w:lineRule="auto"/>
              <w:rPr>
                <w:rFonts w:eastAsia="Calibri" w:cs="Times New Roman"/>
                <w:szCs w:val="28"/>
              </w:rPr>
            </w:pPr>
          </w:p>
        </w:tc>
        <w:tc>
          <w:tcPr>
            <w:tcW w:w="8071" w:type="dxa"/>
            <w:shd w:val="clear" w:color="auto" w:fill="auto"/>
          </w:tcPr>
          <w:p w:rsidR="007139F7" w:rsidRPr="007139F7" w:rsidRDefault="007139F7" w:rsidP="007139F7">
            <w:pPr>
              <w:spacing w:after="0" w:line="360" w:lineRule="auto"/>
              <w:jc w:val="both"/>
              <w:rPr>
                <w:rFonts w:eastAsia="Calibri" w:cs="Times New Roman"/>
                <w:szCs w:val="28"/>
              </w:rPr>
            </w:pPr>
            <w:r w:rsidRPr="007139F7">
              <w:rPr>
                <w:rFonts w:eastAsia="Calibri" w:cs="Times New Roman"/>
                <w:sz w:val="28"/>
                <w:szCs w:val="28"/>
              </w:rPr>
              <w:t>Зміни клінічних показників рубцевозмінених тканин на 3 місяць післяопераційного періоду…………………………………………..</w:t>
            </w:r>
          </w:p>
        </w:tc>
        <w:tc>
          <w:tcPr>
            <w:tcW w:w="680" w:type="dxa"/>
            <w:shd w:val="clear" w:color="auto" w:fill="auto"/>
          </w:tcPr>
          <w:p w:rsidR="007139F7" w:rsidRPr="007139F7" w:rsidRDefault="007139F7" w:rsidP="007139F7">
            <w:pPr>
              <w:spacing w:after="0" w:line="360" w:lineRule="auto"/>
              <w:rPr>
                <w:rFonts w:eastAsia="Calibri" w:cs="Times New Roman"/>
                <w:szCs w:val="28"/>
              </w:rPr>
            </w:pPr>
          </w:p>
          <w:p w:rsidR="007139F7" w:rsidRPr="007139F7" w:rsidRDefault="007139F7" w:rsidP="007139F7">
            <w:pPr>
              <w:spacing w:after="0" w:line="360" w:lineRule="auto"/>
              <w:rPr>
                <w:rFonts w:eastAsia="Calibri" w:cs="Times New Roman"/>
                <w:szCs w:val="28"/>
              </w:rPr>
            </w:pPr>
            <w:r w:rsidRPr="007139F7">
              <w:rPr>
                <w:rFonts w:eastAsia="Calibri" w:cs="Times New Roman"/>
                <w:sz w:val="28"/>
                <w:szCs w:val="28"/>
              </w:rPr>
              <w:t>64</w:t>
            </w:r>
          </w:p>
        </w:tc>
      </w:tr>
      <w:tr w:rsidR="007139F7" w:rsidRPr="007139F7" w:rsidTr="007139F7">
        <w:tc>
          <w:tcPr>
            <w:tcW w:w="1002" w:type="dxa"/>
            <w:gridSpan w:val="2"/>
            <w:shd w:val="clear" w:color="auto" w:fill="auto"/>
          </w:tcPr>
          <w:p w:rsidR="007139F7" w:rsidRPr="007139F7" w:rsidRDefault="007139F7" w:rsidP="007139F7">
            <w:pPr>
              <w:spacing w:after="0" w:line="360" w:lineRule="auto"/>
              <w:rPr>
                <w:rFonts w:eastAsia="Calibri" w:cs="Times New Roman"/>
                <w:szCs w:val="28"/>
              </w:rPr>
            </w:pPr>
          </w:p>
          <w:p w:rsidR="007139F7" w:rsidRPr="007139F7" w:rsidRDefault="007139F7" w:rsidP="007139F7">
            <w:pPr>
              <w:spacing w:after="0" w:line="360" w:lineRule="auto"/>
              <w:rPr>
                <w:rFonts w:eastAsia="Calibri" w:cs="Times New Roman"/>
                <w:szCs w:val="28"/>
              </w:rPr>
            </w:pPr>
            <w:r w:rsidRPr="007139F7">
              <w:rPr>
                <w:rFonts w:eastAsia="Calibri" w:cs="Times New Roman"/>
                <w:sz w:val="28"/>
                <w:szCs w:val="28"/>
              </w:rPr>
              <w:t>3.3</w:t>
            </w:r>
          </w:p>
        </w:tc>
        <w:tc>
          <w:tcPr>
            <w:tcW w:w="8071" w:type="dxa"/>
            <w:shd w:val="clear" w:color="auto" w:fill="auto"/>
          </w:tcPr>
          <w:p w:rsidR="007139F7" w:rsidRPr="007139F7" w:rsidRDefault="007139F7" w:rsidP="007139F7">
            <w:pPr>
              <w:spacing w:after="0" w:line="360" w:lineRule="auto"/>
              <w:jc w:val="both"/>
              <w:rPr>
                <w:rFonts w:eastAsia="Calibri" w:cs="Times New Roman"/>
                <w:szCs w:val="28"/>
              </w:rPr>
            </w:pPr>
          </w:p>
          <w:p w:rsidR="007139F7" w:rsidRPr="007139F7" w:rsidRDefault="007139F7" w:rsidP="007139F7">
            <w:pPr>
              <w:spacing w:after="0" w:line="360" w:lineRule="auto"/>
              <w:jc w:val="both"/>
              <w:rPr>
                <w:rFonts w:eastAsia="Calibri" w:cs="Times New Roman"/>
                <w:szCs w:val="28"/>
              </w:rPr>
            </w:pPr>
            <w:r w:rsidRPr="007139F7">
              <w:rPr>
                <w:rFonts w:eastAsia="Calibri" w:cs="Times New Roman"/>
                <w:sz w:val="28"/>
                <w:szCs w:val="28"/>
              </w:rPr>
              <w:t>Зміни клінічних показників рубцевозмінених тканин на 6 місяць післяопераційного періоду…………………………………………..</w:t>
            </w:r>
          </w:p>
        </w:tc>
        <w:tc>
          <w:tcPr>
            <w:tcW w:w="680" w:type="dxa"/>
            <w:shd w:val="clear" w:color="auto" w:fill="auto"/>
          </w:tcPr>
          <w:p w:rsidR="007139F7" w:rsidRPr="007139F7" w:rsidRDefault="007139F7" w:rsidP="007139F7">
            <w:pPr>
              <w:spacing w:after="0" w:line="360" w:lineRule="auto"/>
              <w:rPr>
                <w:rFonts w:eastAsia="Calibri" w:cs="Times New Roman"/>
                <w:szCs w:val="28"/>
              </w:rPr>
            </w:pPr>
          </w:p>
          <w:p w:rsidR="007139F7" w:rsidRPr="007139F7" w:rsidRDefault="007139F7" w:rsidP="007139F7">
            <w:pPr>
              <w:spacing w:after="0" w:line="360" w:lineRule="auto"/>
              <w:rPr>
                <w:rFonts w:eastAsia="Calibri" w:cs="Times New Roman"/>
                <w:szCs w:val="28"/>
              </w:rPr>
            </w:pPr>
            <w:r w:rsidRPr="007139F7">
              <w:rPr>
                <w:rFonts w:eastAsia="Calibri" w:cs="Times New Roman"/>
                <w:sz w:val="28"/>
                <w:szCs w:val="28"/>
              </w:rPr>
              <w:t>68</w:t>
            </w:r>
          </w:p>
        </w:tc>
      </w:tr>
      <w:tr w:rsidR="007139F7" w:rsidRPr="007139F7" w:rsidTr="007139F7">
        <w:tc>
          <w:tcPr>
            <w:tcW w:w="1002" w:type="dxa"/>
            <w:gridSpan w:val="2"/>
            <w:shd w:val="clear" w:color="auto" w:fill="auto"/>
          </w:tcPr>
          <w:p w:rsidR="007139F7" w:rsidRPr="007139F7" w:rsidRDefault="007139F7" w:rsidP="007139F7">
            <w:pPr>
              <w:spacing w:after="0" w:line="360" w:lineRule="auto"/>
              <w:rPr>
                <w:rFonts w:eastAsia="Calibri" w:cs="Times New Roman"/>
                <w:szCs w:val="28"/>
              </w:rPr>
            </w:pPr>
            <w:r w:rsidRPr="007139F7">
              <w:rPr>
                <w:rFonts w:eastAsia="Calibri" w:cs="Times New Roman"/>
                <w:sz w:val="28"/>
                <w:szCs w:val="28"/>
              </w:rPr>
              <w:t>3.4</w:t>
            </w:r>
          </w:p>
          <w:p w:rsidR="007139F7" w:rsidRPr="007139F7" w:rsidRDefault="007139F7" w:rsidP="007139F7">
            <w:pPr>
              <w:spacing w:after="0" w:line="360" w:lineRule="auto"/>
              <w:rPr>
                <w:rFonts w:eastAsia="Calibri" w:cs="Times New Roman"/>
                <w:szCs w:val="28"/>
              </w:rPr>
            </w:pPr>
          </w:p>
        </w:tc>
        <w:tc>
          <w:tcPr>
            <w:tcW w:w="8071" w:type="dxa"/>
            <w:shd w:val="clear" w:color="auto" w:fill="auto"/>
          </w:tcPr>
          <w:p w:rsidR="007139F7" w:rsidRPr="007139F7" w:rsidRDefault="007139F7" w:rsidP="007139F7">
            <w:pPr>
              <w:spacing w:after="0" w:line="360" w:lineRule="auto"/>
              <w:jc w:val="both"/>
              <w:rPr>
                <w:rFonts w:eastAsia="Calibri" w:cs="Times New Roman"/>
                <w:szCs w:val="28"/>
              </w:rPr>
            </w:pPr>
            <w:r w:rsidRPr="007139F7">
              <w:rPr>
                <w:rFonts w:eastAsia="Calibri" w:cs="Times New Roman"/>
                <w:sz w:val="28"/>
                <w:szCs w:val="28"/>
              </w:rPr>
              <w:t>Зміни клінічних показників рубцевозмінених тканин на 9 місяць післяопераційного періоду………………………………………….</w:t>
            </w:r>
          </w:p>
        </w:tc>
        <w:tc>
          <w:tcPr>
            <w:tcW w:w="680" w:type="dxa"/>
            <w:shd w:val="clear" w:color="auto" w:fill="auto"/>
          </w:tcPr>
          <w:p w:rsidR="007139F7" w:rsidRPr="007139F7" w:rsidRDefault="007139F7" w:rsidP="007139F7">
            <w:pPr>
              <w:spacing w:after="0" w:line="360" w:lineRule="auto"/>
              <w:rPr>
                <w:rFonts w:eastAsia="Calibri" w:cs="Times New Roman"/>
                <w:szCs w:val="28"/>
              </w:rPr>
            </w:pPr>
          </w:p>
          <w:p w:rsidR="007139F7" w:rsidRPr="007139F7" w:rsidRDefault="007139F7" w:rsidP="007139F7">
            <w:pPr>
              <w:spacing w:after="0" w:line="360" w:lineRule="auto"/>
              <w:rPr>
                <w:rFonts w:eastAsia="Calibri" w:cs="Times New Roman"/>
                <w:szCs w:val="28"/>
              </w:rPr>
            </w:pPr>
            <w:r w:rsidRPr="007139F7">
              <w:rPr>
                <w:rFonts w:eastAsia="Calibri" w:cs="Times New Roman"/>
                <w:sz w:val="28"/>
                <w:szCs w:val="28"/>
              </w:rPr>
              <w:t>71</w:t>
            </w:r>
          </w:p>
        </w:tc>
      </w:tr>
      <w:tr w:rsidR="007139F7" w:rsidRPr="007139F7" w:rsidTr="007139F7">
        <w:tc>
          <w:tcPr>
            <w:tcW w:w="1002" w:type="dxa"/>
            <w:gridSpan w:val="2"/>
            <w:shd w:val="clear" w:color="auto" w:fill="auto"/>
          </w:tcPr>
          <w:p w:rsidR="007139F7" w:rsidRPr="007139F7" w:rsidRDefault="007139F7" w:rsidP="007139F7">
            <w:pPr>
              <w:spacing w:after="160" w:line="360" w:lineRule="auto"/>
              <w:rPr>
                <w:rFonts w:eastAsia="Calibri" w:cs="Times New Roman"/>
                <w:szCs w:val="28"/>
              </w:rPr>
            </w:pPr>
            <w:r w:rsidRPr="007139F7">
              <w:rPr>
                <w:rFonts w:eastAsia="Calibri" w:cs="Times New Roman"/>
                <w:sz w:val="28"/>
                <w:szCs w:val="28"/>
              </w:rPr>
              <w:t>3.5</w:t>
            </w:r>
          </w:p>
        </w:tc>
        <w:tc>
          <w:tcPr>
            <w:tcW w:w="8071" w:type="dxa"/>
            <w:shd w:val="clear" w:color="auto" w:fill="auto"/>
          </w:tcPr>
          <w:p w:rsidR="007139F7" w:rsidRPr="007139F7" w:rsidRDefault="007139F7" w:rsidP="007139F7">
            <w:pPr>
              <w:spacing w:after="160" w:line="360" w:lineRule="auto"/>
              <w:rPr>
                <w:rFonts w:eastAsia="Calibri" w:cs="Times New Roman"/>
                <w:szCs w:val="28"/>
              </w:rPr>
            </w:pPr>
            <w:r w:rsidRPr="007139F7">
              <w:rPr>
                <w:rFonts w:eastAsia="Calibri" w:cs="Times New Roman"/>
                <w:sz w:val="28"/>
                <w:szCs w:val="28"/>
              </w:rPr>
              <w:t>Зміни клінічних показників рубцевозмінених тканин на 12 місяць після операційного періоду…………………………………</w:t>
            </w:r>
          </w:p>
        </w:tc>
        <w:tc>
          <w:tcPr>
            <w:tcW w:w="680" w:type="dxa"/>
            <w:shd w:val="clear" w:color="auto" w:fill="auto"/>
          </w:tcPr>
          <w:p w:rsidR="007139F7" w:rsidRPr="007139F7" w:rsidRDefault="007139F7" w:rsidP="007139F7">
            <w:pPr>
              <w:spacing w:after="0" w:line="360" w:lineRule="auto"/>
              <w:rPr>
                <w:rFonts w:eastAsia="Calibri" w:cs="Times New Roman"/>
                <w:szCs w:val="28"/>
              </w:rPr>
            </w:pPr>
          </w:p>
          <w:p w:rsidR="007139F7" w:rsidRPr="007139F7" w:rsidRDefault="007139F7" w:rsidP="007139F7">
            <w:pPr>
              <w:spacing w:after="0" w:line="360" w:lineRule="auto"/>
              <w:rPr>
                <w:rFonts w:eastAsia="Calibri" w:cs="Times New Roman"/>
                <w:szCs w:val="28"/>
              </w:rPr>
            </w:pPr>
            <w:r w:rsidRPr="007139F7">
              <w:rPr>
                <w:rFonts w:eastAsia="Calibri" w:cs="Times New Roman"/>
                <w:sz w:val="28"/>
                <w:szCs w:val="28"/>
              </w:rPr>
              <w:t>75</w:t>
            </w:r>
          </w:p>
        </w:tc>
      </w:tr>
      <w:tr w:rsidR="007139F7" w:rsidRPr="007139F7" w:rsidTr="007139F7">
        <w:tc>
          <w:tcPr>
            <w:tcW w:w="9073" w:type="dxa"/>
            <w:gridSpan w:val="3"/>
            <w:shd w:val="clear" w:color="auto" w:fill="auto"/>
          </w:tcPr>
          <w:p w:rsidR="007139F7" w:rsidRPr="007139F7" w:rsidRDefault="007139F7" w:rsidP="007139F7">
            <w:pPr>
              <w:spacing w:before="240" w:after="160" w:line="360" w:lineRule="auto"/>
              <w:jc w:val="both"/>
              <w:rPr>
                <w:rFonts w:eastAsia="Calibri" w:cs="Times New Roman"/>
                <w:b/>
                <w:szCs w:val="28"/>
              </w:rPr>
            </w:pPr>
            <w:r w:rsidRPr="007139F7">
              <w:rPr>
                <w:rFonts w:eastAsia="Calibri" w:cs="Times New Roman"/>
                <w:sz w:val="28"/>
                <w:szCs w:val="28"/>
              </w:rPr>
              <w:t>РОЗДІ 4. ОСОБЛИВОСТІ ГІСТОТОПОГРАФІЇ РУБЦІВ ШКІРИ НА РІЗНИХ ЕТАПАХ ПІСЛЯОПЕРАЦІЙНОГО ПЕРІОДУ…………………...</w:t>
            </w:r>
          </w:p>
        </w:tc>
        <w:tc>
          <w:tcPr>
            <w:tcW w:w="680" w:type="dxa"/>
            <w:shd w:val="clear" w:color="auto" w:fill="auto"/>
          </w:tcPr>
          <w:p w:rsidR="007139F7" w:rsidRPr="007139F7" w:rsidRDefault="007139F7" w:rsidP="007139F7">
            <w:pPr>
              <w:spacing w:after="160" w:line="360" w:lineRule="auto"/>
              <w:rPr>
                <w:rFonts w:eastAsia="Calibri" w:cs="Times New Roman"/>
                <w:szCs w:val="28"/>
              </w:rPr>
            </w:pPr>
          </w:p>
          <w:p w:rsidR="007139F7" w:rsidRPr="007139F7" w:rsidRDefault="00E4651D" w:rsidP="007139F7">
            <w:pPr>
              <w:spacing w:after="160" w:line="360" w:lineRule="auto"/>
              <w:rPr>
                <w:rFonts w:eastAsia="Calibri" w:cs="Times New Roman"/>
                <w:szCs w:val="28"/>
              </w:rPr>
            </w:pPr>
            <w:r>
              <w:rPr>
                <w:rFonts w:eastAsia="Calibri" w:cs="Times New Roman"/>
                <w:sz w:val="28"/>
                <w:szCs w:val="28"/>
              </w:rPr>
              <w:t>80</w:t>
            </w:r>
          </w:p>
        </w:tc>
      </w:tr>
      <w:tr w:rsidR="007139F7" w:rsidRPr="007139F7" w:rsidTr="007139F7">
        <w:tc>
          <w:tcPr>
            <w:tcW w:w="993" w:type="dxa"/>
            <w:shd w:val="clear" w:color="auto" w:fill="auto"/>
          </w:tcPr>
          <w:p w:rsidR="007139F7" w:rsidRPr="007139F7" w:rsidRDefault="007139F7" w:rsidP="007139F7">
            <w:pPr>
              <w:spacing w:after="0" w:line="360" w:lineRule="auto"/>
              <w:rPr>
                <w:rFonts w:eastAsia="Calibri" w:cs="Times New Roman"/>
                <w:szCs w:val="28"/>
              </w:rPr>
            </w:pPr>
            <w:r w:rsidRPr="007139F7">
              <w:rPr>
                <w:rFonts w:eastAsia="Calibri" w:cs="Times New Roman"/>
                <w:sz w:val="28"/>
                <w:szCs w:val="28"/>
              </w:rPr>
              <w:t>4.1</w:t>
            </w:r>
          </w:p>
          <w:p w:rsidR="007139F7" w:rsidRPr="007139F7" w:rsidRDefault="007139F7" w:rsidP="007139F7">
            <w:pPr>
              <w:spacing w:after="0" w:line="360" w:lineRule="auto"/>
              <w:rPr>
                <w:rFonts w:eastAsia="Calibri" w:cs="Times New Roman"/>
                <w:szCs w:val="28"/>
              </w:rPr>
            </w:pPr>
          </w:p>
        </w:tc>
        <w:tc>
          <w:tcPr>
            <w:tcW w:w="8080" w:type="dxa"/>
            <w:gridSpan w:val="2"/>
            <w:shd w:val="clear" w:color="auto" w:fill="auto"/>
          </w:tcPr>
          <w:p w:rsidR="007139F7" w:rsidRPr="007139F7" w:rsidRDefault="007139F7" w:rsidP="007139F7">
            <w:pPr>
              <w:spacing w:after="0" w:line="360" w:lineRule="auto"/>
              <w:rPr>
                <w:rFonts w:eastAsia="Calibri" w:cs="Times New Roman"/>
                <w:szCs w:val="28"/>
              </w:rPr>
            </w:pPr>
            <w:r w:rsidRPr="007139F7">
              <w:rPr>
                <w:rFonts w:eastAsia="Calibri" w:cs="Times New Roman"/>
                <w:sz w:val="28"/>
                <w:szCs w:val="28"/>
              </w:rPr>
              <w:t>Особливості морфологічної будови рубцевозмінених тканин на 3 місяць післяопераційного періоду…………………………………..</w:t>
            </w:r>
          </w:p>
        </w:tc>
        <w:tc>
          <w:tcPr>
            <w:tcW w:w="680" w:type="dxa"/>
            <w:shd w:val="clear" w:color="auto" w:fill="auto"/>
          </w:tcPr>
          <w:p w:rsidR="007139F7" w:rsidRPr="007139F7" w:rsidRDefault="007139F7" w:rsidP="007139F7">
            <w:pPr>
              <w:spacing w:after="0" w:line="360" w:lineRule="auto"/>
              <w:rPr>
                <w:rFonts w:eastAsia="Calibri" w:cs="Times New Roman"/>
                <w:szCs w:val="28"/>
              </w:rPr>
            </w:pPr>
          </w:p>
          <w:p w:rsidR="007139F7" w:rsidRPr="007139F7" w:rsidRDefault="00E4651D" w:rsidP="007139F7">
            <w:pPr>
              <w:spacing w:after="0" w:line="360" w:lineRule="auto"/>
              <w:rPr>
                <w:rFonts w:eastAsia="Calibri" w:cs="Times New Roman"/>
                <w:szCs w:val="28"/>
              </w:rPr>
            </w:pPr>
            <w:r>
              <w:rPr>
                <w:rFonts w:eastAsia="Calibri" w:cs="Times New Roman"/>
                <w:sz w:val="28"/>
                <w:szCs w:val="28"/>
              </w:rPr>
              <w:t>80</w:t>
            </w:r>
          </w:p>
        </w:tc>
      </w:tr>
      <w:tr w:rsidR="007139F7" w:rsidRPr="007139F7" w:rsidTr="007139F7">
        <w:tc>
          <w:tcPr>
            <w:tcW w:w="993" w:type="dxa"/>
            <w:shd w:val="clear" w:color="auto" w:fill="auto"/>
          </w:tcPr>
          <w:p w:rsidR="007139F7" w:rsidRPr="007139F7" w:rsidRDefault="007139F7" w:rsidP="007139F7">
            <w:pPr>
              <w:spacing w:after="0" w:line="360" w:lineRule="auto"/>
              <w:rPr>
                <w:rFonts w:eastAsia="Calibri" w:cs="Times New Roman"/>
                <w:szCs w:val="28"/>
              </w:rPr>
            </w:pPr>
            <w:r w:rsidRPr="007139F7">
              <w:rPr>
                <w:rFonts w:eastAsia="Calibri" w:cs="Times New Roman"/>
                <w:sz w:val="28"/>
                <w:szCs w:val="28"/>
              </w:rPr>
              <w:t>4.2</w:t>
            </w:r>
          </w:p>
        </w:tc>
        <w:tc>
          <w:tcPr>
            <w:tcW w:w="8080" w:type="dxa"/>
            <w:gridSpan w:val="2"/>
            <w:shd w:val="clear" w:color="auto" w:fill="auto"/>
          </w:tcPr>
          <w:p w:rsidR="007139F7" w:rsidRPr="007139F7" w:rsidRDefault="007139F7" w:rsidP="007139F7">
            <w:pPr>
              <w:spacing w:after="0" w:line="360" w:lineRule="auto"/>
              <w:rPr>
                <w:rFonts w:eastAsia="Calibri" w:cs="Times New Roman"/>
                <w:szCs w:val="28"/>
              </w:rPr>
            </w:pPr>
            <w:r w:rsidRPr="007139F7">
              <w:rPr>
                <w:rFonts w:eastAsia="Calibri" w:cs="Times New Roman"/>
                <w:sz w:val="28"/>
                <w:szCs w:val="28"/>
              </w:rPr>
              <w:t>Особливості морфологічної будови рубцевозмінених тканин на 6 місяць післяопераційного періоду………………………………….</w:t>
            </w:r>
          </w:p>
        </w:tc>
        <w:tc>
          <w:tcPr>
            <w:tcW w:w="680" w:type="dxa"/>
            <w:shd w:val="clear" w:color="auto" w:fill="auto"/>
          </w:tcPr>
          <w:p w:rsidR="007139F7" w:rsidRPr="007139F7" w:rsidRDefault="007139F7" w:rsidP="007139F7">
            <w:pPr>
              <w:spacing w:after="0" w:line="360" w:lineRule="auto"/>
              <w:rPr>
                <w:rFonts w:eastAsia="Calibri" w:cs="Times New Roman"/>
                <w:szCs w:val="28"/>
              </w:rPr>
            </w:pPr>
          </w:p>
          <w:p w:rsidR="007139F7" w:rsidRPr="007139F7" w:rsidRDefault="00E4651D" w:rsidP="007139F7">
            <w:pPr>
              <w:spacing w:after="0" w:line="360" w:lineRule="auto"/>
              <w:rPr>
                <w:rFonts w:eastAsia="Calibri" w:cs="Times New Roman"/>
                <w:szCs w:val="28"/>
              </w:rPr>
            </w:pPr>
            <w:r>
              <w:rPr>
                <w:rFonts w:eastAsia="Calibri" w:cs="Times New Roman"/>
                <w:sz w:val="28"/>
                <w:szCs w:val="28"/>
              </w:rPr>
              <w:t>93</w:t>
            </w:r>
          </w:p>
        </w:tc>
      </w:tr>
      <w:tr w:rsidR="007139F7" w:rsidRPr="007139F7" w:rsidTr="007139F7">
        <w:tc>
          <w:tcPr>
            <w:tcW w:w="993" w:type="dxa"/>
            <w:shd w:val="clear" w:color="auto" w:fill="auto"/>
          </w:tcPr>
          <w:p w:rsidR="007139F7" w:rsidRPr="007139F7" w:rsidRDefault="007139F7" w:rsidP="007139F7">
            <w:pPr>
              <w:spacing w:after="0" w:line="360" w:lineRule="auto"/>
              <w:rPr>
                <w:rFonts w:eastAsia="Calibri" w:cs="Times New Roman"/>
                <w:szCs w:val="28"/>
              </w:rPr>
            </w:pPr>
            <w:r w:rsidRPr="007139F7">
              <w:rPr>
                <w:rFonts w:eastAsia="Calibri" w:cs="Times New Roman"/>
                <w:sz w:val="28"/>
                <w:szCs w:val="28"/>
              </w:rPr>
              <w:t>4.3</w:t>
            </w:r>
          </w:p>
          <w:p w:rsidR="007139F7" w:rsidRPr="007139F7" w:rsidRDefault="007139F7" w:rsidP="007139F7">
            <w:pPr>
              <w:spacing w:after="0" w:line="360" w:lineRule="auto"/>
              <w:rPr>
                <w:rFonts w:eastAsia="Calibri" w:cs="Times New Roman"/>
                <w:szCs w:val="28"/>
              </w:rPr>
            </w:pPr>
          </w:p>
        </w:tc>
        <w:tc>
          <w:tcPr>
            <w:tcW w:w="8080" w:type="dxa"/>
            <w:gridSpan w:val="2"/>
            <w:shd w:val="clear" w:color="auto" w:fill="auto"/>
          </w:tcPr>
          <w:p w:rsidR="007139F7" w:rsidRPr="007139F7" w:rsidRDefault="007139F7" w:rsidP="007139F7">
            <w:pPr>
              <w:spacing w:after="0" w:line="360" w:lineRule="auto"/>
              <w:rPr>
                <w:rFonts w:eastAsia="Calibri" w:cs="Times New Roman"/>
                <w:szCs w:val="28"/>
              </w:rPr>
            </w:pPr>
            <w:r w:rsidRPr="007139F7">
              <w:rPr>
                <w:rFonts w:eastAsia="Calibri" w:cs="Times New Roman"/>
                <w:sz w:val="28"/>
                <w:szCs w:val="28"/>
              </w:rPr>
              <w:t>Особливості морфологічної будови рубцевозмінених тканин на 9 місяць післяопераційного періоду..…………………………………</w:t>
            </w:r>
          </w:p>
        </w:tc>
        <w:tc>
          <w:tcPr>
            <w:tcW w:w="680" w:type="dxa"/>
            <w:shd w:val="clear" w:color="auto" w:fill="auto"/>
          </w:tcPr>
          <w:p w:rsidR="007139F7" w:rsidRPr="007139F7" w:rsidRDefault="007139F7" w:rsidP="007139F7">
            <w:pPr>
              <w:spacing w:after="0" w:line="360" w:lineRule="auto"/>
              <w:rPr>
                <w:rFonts w:eastAsia="Calibri" w:cs="Times New Roman"/>
                <w:szCs w:val="28"/>
              </w:rPr>
            </w:pPr>
          </w:p>
          <w:p w:rsidR="007139F7" w:rsidRPr="007139F7" w:rsidRDefault="00E4651D" w:rsidP="007139F7">
            <w:pPr>
              <w:spacing w:after="0" w:line="360" w:lineRule="auto"/>
              <w:rPr>
                <w:rFonts w:eastAsia="Calibri" w:cs="Times New Roman"/>
                <w:szCs w:val="28"/>
              </w:rPr>
            </w:pPr>
            <w:r>
              <w:rPr>
                <w:rFonts w:eastAsia="Calibri" w:cs="Times New Roman"/>
                <w:sz w:val="28"/>
                <w:szCs w:val="28"/>
              </w:rPr>
              <w:t>101</w:t>
            </w:r>
          </w:p>
        </w:tc>
      </w:tr>
      <w:tr w:rsidR="007139F7" w:rsidRPr="007139F7" w:rsidTr="007139F7">
        <w:tc>
          <w:tcPr>
            <w:tcW w:w="993" w:type="dxa"/>
            <w:shd w:val="clear" w:color="auto" w:fill="auto"/>
          </w:tcPr>
          <w:p w:rsidR="007139F7" w:rsidRPr="007139F7" w:rsidRDefault="007139F7" w:rsidP="007139F7">
            <w:pPr>
              <w:spacing w:after="0" w:line="360" w:lineRule="auto"/>
              <w:rPr>
                <w:rFonts w:eastAsia="Calibri" w:cs="Times New Roman"/>
                <w:szCs w:val="28"/>
              </w:rPr>
            </w:pPr>
            <w:r w:rsidRPr="007139F7">
              <w:rPr>
                <w:rFonts w:eastAsia="Calibri" w:cs="Times New Roman"/>
                <w:sz w:val="28"/>
                <w:szCs w:val="28"/>
              </w:rPr>
              <w:t>4.4</w:t>
            </w:r>
          </w:p>
          <w:p w:rsidR="007139F7" w:rsidRPr="007139F7" w:rsidRDefault="007139F7" w:rsidP="007139F7">
            <w:pPr>
              <w:spacing w:after="0" w:line="360" w:lineRule="auto"/>
              <w:rPr>
                <w:rFonts w:eastAsia="Calibri" w:cs="Times New Roman"/>
                <w:szCs w:val="28"/>
              </w:rPr>
            </w:pPr>
          </w:p>
        </w:tc>
        <w:tc>
          <w:tcPr>
            <w:tcW w:w="8080" w:type="dxa"/>
            <w:gridSpan w:val="2"/>
            <w:shd w:val="clear" w:color="auto" w:fill="auto"/>
          </w:tcPr>
          <w:p w:rsidR="007139F7" w:rsidRPr="007139F7" w:rsidRDefault="007139F7" w:rsidP="007139F7">
            <w:pPr>
              <w:spacing w:after="0" w:line="360" w:lineRule="auto"/>
              <w:rPr>
                <w:rFonts w:eastAsia="Calibri" w:cs="Times New Roman"/>
                <w:szCs w:val="28"/>
              </w:rPr>
            </w:pPr>
            <w:r w:rsidRPr="007139F7">
              <w:rPr>
                <w:rFonts w:eastAsia="Calibri" w:cs="Times New Roman"/>
                <w:sz w:val="28"/>
                <w:szCs w:val="28"/>
              </w:rPr>
              <w:t>Особливості морфологічної будови рубцевозмінених тканин на 12 місяць післяопераційного періоду……………………………….</w:t>
            </w:r>
          </w:p>
        </w:tc>
        <w:tc>
          <w:tcPr>
            <w:tcW w:w="680" w:type="dxa"/>
            <w:shd w:val="clear" w:color="auto" w:fill="auto"/>
          </w:tcPr>
          <w:p w:rsidR="007139F7" w:rsidRPr="007139F7" w:rsidRDefault="007139F7" w:rsidP="007139F7">
            <w:pPr>
              <w:spacing w:after="0" w:line="360" w:lineRule="auto"/>
              <w:rPr>
                <w:rFonts w:eastAsia="Calibri" w:cs="Times New Roman"/>
                <w:szCs w:val="28"/>
              </w:rPr>
            </w:pPr>
          </w:p>
          <w:p w:rsidR="007139F7" w:rsidRPr="007139F7" w:rsidRDefault="00E4651D" w:rsidP="007139F7">
            <w:pPr>
              <w:spacing w:after="0" w:line="360" w:lineRule="auto"/>
              <w:rPr>
                <w:rFonts w:eastAsia="Calibri" w:cs="Times New Roman"/>
                <w:szCs w:val="28"/>
              </w:rPr>
            </w:pPr>
            <w:r>
              <w:rPr>
                <w:rFonts w:eastAsia="Calibri" w:cs="Times New Roman"/>
                <w:sz w:val="28"/>
                <w:szCs w:val="28"/>
              </w:rPr>
              <w:t>105</w:t>
            </w:r>
          </w:p>
        </w:tc>
      </w:tr>
      <w:tr w:rsidR="007139F7" w:rsidRPr="007139F7" w:rsidTr="007139F7">
        <w:tc>
          <w:tcPr>
            <w:tcW w:w="9073" w:type="dxa"/>
            <w:gridSpan w:val="3"/>
            <w:shd w:val="clear" w:color="auto" w:fill="auto"/>
          </w:tcPr>
          <w:p w:rsidR="007139F7" w:rsidRPr="007139F7" w:rsidRDefault="007139F7" w:rsidP="007139F7">
            <w:pPr>
              <w:spacing w:before="240" w:after="0" w:line="360" w:lineRule="auto"/>
              <w:jc w:val="both"/>
              <w:rPr>
                <w:rFonts w:eastAsia="Calibri" w:cs="Times New Roman"/>
                <w:szCs w:val="28"/>
              </w:rPr>
            </w:pPr>
            <w:r w:rsidRPr="007139F7">
              <w:rPr>
                <w:rFonts w:eastAsia="Calibri" w:cs="Times New Roman"/>
                <w:sz w:val="28"/>
                <w:szCs w:val="28"/>
              </w:rPr>
              <w:lastRenderedPageBreak/>
              <w:t xml:space="preserve">РОЗДІЛ 5. </w:t>
            </w:r>
            <w:r w:rsidR="00E4651D" w:rsidRPr="00E4651D">
              <w:rPr>
                <w:rFonts w:eastAsia="Times New Roman" w:cs="Times New Roman"/>
                <w:sz w:val="28"/>
                <w:szCs w:val="28"/>
              </w:rPr>
              <w:t>РЕЗУЛЬТАТИ ПОРІВНЯННЯ ЗМІН БІОХІМІЧНИХ ПОКАЗНИКІВ У ГОМОГЕНАТАХ РУБЦЕВОЗМІНЕНИХ ТКАНИН В РІЗНІ ТЕРМІНИ ПІСЛЯОПЕРАЦІЙНОГО ПЕРІОДУ</w:t>
            </w:r>
            <w:r w:rsidR="00E4651D" w:rsidRPr="007139F7">
              <w:rPr>
                <w:rFonts w:eastAsia="Calibri" w:cs="Times New Roman"/>
                <w:sz w:val="28"/>
                <w:szCs w:val="28"/>
              </w:rPr>
              <w:t xml:space="preserve"> </w:t>
            </w:r>
            <w:r w:rsidRPr="007139F7">
              <w:rPr>
                <w:rFonts w:eastAsia="Calibri" w:cs="Times New Roman"/>
                <w:sz w:val="28"/>
                <w:szCs w:val="28"/>
              </w:rPr>
              <w:t>…..</w:t>
            </w:r>
          </w:p>
        </w:tc>
        <w:tc>
          <w:tcPr>
            <w:tcW w:w="680" w:type="dxa"/>
            <w:shd w:val="clear" w:color="auto" w:fill="auto"/>
          </w:tcPr>
          <w:p w:rsidR="007139F7" w:rsidRPr="007139F7" w:rsidRDefault="007139F7" w:rsidP="007139F7">
            <w:pPr>
              <w:spacing w:before="240" w:after="0" w:line="360" w:lineRule="auto"/>
              <w:jc w:val="both"/>
              <w:rPr>
                <w:rFonts w:eastAsia="Calibri" w:cs="Times New Roman"/>
                <w:szCs w:val="28"/>
              </w:rPr>
            </w:pPr>
          </w:p>
          <w:p w:rsidR="007139F7" w:rsidRPr="007139F7" w:rsidRDefault="00E4651D" w:rsidP="007139F7">
            <w:pPr>
              <w:spacing w:before="240" w:after="0" w:line="360" w:lineRule="auto"/>
              <w:jc w:val="both"/>
              <w:rPr>
                <w:rFonts w:eastAsia="Calibri" w:cs="Times New Roman"/>
                <w:szCs w:val="28"/>
              </w:rPr>
            </w:pPr>
            <w:r>
              <w:rPr>
                <w:rFonts w:eastAsia="Calibri" w:cs="Times New Roman"/>
                <w:sz w:val="28"/>
                <w:szCs w:val="28"/>
              </w:rPr>
              <w:t>110</w:t>
            </w:r>
          </w:p>
        </w:tc>
      </w:tr>
      <w:tr w:rsidR="007139F7" w:rsidRPr="007139F7" w:rsidTr="007139F7">
        <w:tc>
          <w:tcPr>
            <w:tcW w:w="993" w:type="dxa"/>
            <w:shd w:val="clear" w:color="auto" w:fill="auto"/>
          </w:tcPr>
          <w:p w:rsidR="007139F7" w:rsidRPr="007139F7" w:rsidRDefault="007139F7" w:rsidP="007139F7">
            <w:pPr>
              <w:spacing w:after="0" w:line="360" w:lineRule="auto"/>
              <w:rPr>
                <w:rFonts w:eastAsia="Calibri" w:cs="Times New Roman"/>
                <w:szCs w:val="28"/>
              </w:rPr>
            </w:pPr>
            <w:r w:rsidRPr="007139F7">
              <w:rPr>
                <w:rFonts w:eastAsia="Calibri" w:cs="Times New Roman"/>
                <w:sz w:val="28"/>
                <w:szCs w:val="28"/>
              </w:rPr>
              <w:t>5.1</w:t>
            </w:r>
          </w:p>
        </w:tc>
        <w:tc>
          <w:tcPr>
            <w:tcW w:w="8080" w:type="dxa"/>
            <w:gridSpan w:val="2"/>
            <w:shd w:val="clear" w:color="auto" w:fill="auto"/>
          </w:tcPr>
          <w:p w:rsidR="007139F7" w:rsidRPr="007139F7" w:rsidRDefault="007139F7" w:rsidP="007139F7">
            <w:pPr>
              <w:spacing w:after="0" w:line="360" w:lineRule="auto"/>
              <w:jc w:val="both"/>
              <w:rPr>
                <w:rFonts w:eastAsia="Calibri" w:cs="Times New Roman"/>
                <w:szCs w:val="28"/>
              </w:rPr>
            </w:pPr>
            <w:r w:rsidRPr="007139F7">
              <w:rPr>
                <w:rFonts w:eastAsia="Calibri" w:cs="Times New Roman"/>
                <w:sz w:val="28"/>
                <w:szCs w:val="28"/>
              </w:rPr>
              <w:t>Динаміка змін показників продукції активних форм оксигену………………………………………………………………</w:t>
            </w:r>
          </w:p>
        </w:tc>
        <w:tc>
          <w:tcPr>
            <w:tcW w:w="680" w:type="dxa"/>
            <w:shd w:val="clear" w:color="auto" w:fill="auto"/>
          </w:tcPr>
          <w:p w:rsidR="007139F7" w:rsidRPr="007139F7" w:rsidRDefault="007139F7" w:rsidP="007139F7">
            <w:pPr>
              <w:spacing w:after="0" w:line="360" w:lineRule="auto"/>
              <w:rPr>
                <w:rFonts w:eastAsia="Calibri" w:cs="Times New Roman"/>
                <w:szCs w:val="28"/>
              </w:rPr>
            </w:pPr>
          </w:p>
          <w:p w:rsidR="007139F7" w:rsidRPr="007139F7" w:rsidRDefault="007139F7" w:rsidP="00E4651D">
            <w:pPr>
              <w:spacing w:after="0" w:line="360" w:lineRule="auto"/>
              <w:rPr>
                <w:rFonts w:eastAsia="Calibri" w:cs="Times New Roman"/>
                <w:szCs w:val="28"/>
              </w:rPr>
            </w:pPr>
            <w:r w:rsidRPr="007139F7">
              <w:rPr>
                <w:rFonts w:eastAsia="Calibri" w:cs="Times New Roman"/>
                <w:sz w:val="28"/>
                <w:szCs w:val="28"/>
              </w:rPr>
              <w:t>11</w:t>
            </w:r>
            <w:r w:rsidR="00E4651D">
              <w:rPr>
                <w:rFonts w:eastAsia="Calibri" w:cs="Times New Roman"/>
                <w:sz w:val="28"/>
                <w:szCs w:val="28"/>
              </w:rPr>
              <w:t>0</w:t>
            </w:r>
          </w:p>
        </w:tc>
      </w:tr>
      <w:tr w:rsidR="007139F7" w:rsidRPr="007139F7" w:rsidTr="007139F7">
        <w:tc>
          <w:tcPr>
            <w:tcW w:w="993" w:type="dxa"/>
            <w:shd w:val="clear" w:color="auto" w:fill="auto"/>
          </w:tcPr>
          <w:p w:rsidR="007139F7" w:rsidRPr="007139F7" w:rsidRDefault="007139F7" w:rsidP="007139F7">
            <w:pPr>
              <w:spacing w:after="0" w:line="360" w:lineRule="auto"/>
              <w:rPr>
                <w:rFonts w:eastAsia="Calibri" w:cs="Times New Roman"/>
                <w:szCs w:val="28"/>
              </w:rPr>
            </w:pPr>
            <w:r w:rsidRPr="007139F7">
              <w:rPr>
                <w:rFonts w:eastAsia="Calibri" w:cs="Times New Roman"/>
                <w:sz w:val="28"/>
                <w:szCs w:val="28"/>
              </w:rPr>
              <w:t>5.2</w:t>
            </w:r>
          </w:p>
        </w:tc>
        <w:tc>
          <w:tcPr>
            <w:tcW w:w="8080" w:type="dxa"/>
            <w:gridSpan w:val="2"/>
            <w:shd w:val="clear" w:color="auto" w:fill="auto"/>
          </w:tcPr>
          <w:p w:rsidR="007139F7" w:rsidRPr="007139F7" w:rsidRDefault="007139F7" w:rsidP="007139F7">
            <w:pPr>
              <w:spacing w:after="0" w:line="360" w:lineRule="auto"/>
              <w:jc w:val="both"/>
              <w:rPr>
                <w:rFonts w:eastAsia="Calibri" w:cs="Times New Roman"/>
                <w:szCs w:val="28"/>
              </w:rPr>
            </w:pPr>
            <w:r w:rsidRPr="007139F7">
              <w:rPr>
                <w:rFonts w:eastAsia="Calibri" w:cs="Times New Roman"/>
                <w:sz w:val="28"/>
                <w:szCs w:val="28"/>
              </w:rPr>
              <w:t>Динаміка змін показників пероксидного окиснення ліпідів………</w:t>
            </w:r>
          </w:p>
        </w:tc>
        <w:tc>
          <w:tcPr>
            <w:tcW w:w="680" w:type="dxa"/>
            <w:shd w:val="clear" w:color="auto" w:fill="auto"/>
          </w:tcPr>
          <w:p w:rsidR="007139F7" w:rsidRPr="007139F7" w:rsidRDefault="00E4651D" w:rsidP="007139F7">
            <w:pPr>
              <w:spacing w:after="0" w:line="360" w:lineRule="auto"/>
              <w:rPr>
                <w:rFonts w:eastAsia="Calibri" w:cs="Times New Roman"/>
                <w:szCs w:val="28"/>
              </w:rPr>
            </w:pPr>
            <w:r>
              <w:rPr>
                <w:rFonts w:eastAsia="Calibri" w:cs="Times New Roman"/>
                <w:sz w:val="28"/>
                <w:szCs w:val="28"/>
              </w:rPr>
              <w:t>112</w:t>
            </w:r>
          </w:p>
        </w:tc>
      </w:tr>
      <w:tr w:rsidR="007139F7" w:rsidRPr="007139F7" w:rsidTr="007139F7">
        <w:tc>
          <w:tcPr>
            <w:tcW w:w="993" w:type="dxa"/>
            <w:shd w:val="clear" w:color="auto" w:fill="auto"/>
          </w:tcPr>
          <w:p w:rsidR="007139F7" w:rsidRPr="007139F7" w:rsidRDefault="007139F7" w:rsidP="007139F7">
            <w:pPr>
              <w:spacing w:after="0" w:line="360" w:lineRule="auto"/>
              <w:rPr>
                <w:rFonts w:eastAsia="Calibri" w:cs="Times New Roman"/>
                <w:szCs w:val="28"/>
              </w:rPr>
            </w:pPr>
            <w:r w:rsidRPr="007139F7">
              <w:rPr>
                <w:rFonts w:eastAsia="Calibri" w:cs="Times New Roman"/>
                <w:sz w:val="28"/>
                <w:szCs w:val="28"/>
              </w:rPr>
              <w:t>5.3</w:t>
            </w:r>
          </w:p>
        </w:tc>
        <w:tc>
          <w:tcPr>
            <w:tcW w:w="8080" w:type="dxa"/>
            <w:gridSpan w:val="2"/>
            <w:shd w:val="clear" w:color="auto" w:fill="auto"/>
          </w:tcPr>
          <w:p w:rsidR="007139F7" w:rsidRPr="007139F7" w:rsidRDefault="007139F7" w:rsidP="007139F7">
            <w:pPr>
              <w:spacing w:after="0" w:line="360" w:lineRule="auto"/>
              <w:jc w:val="both"/>
              <w:rPr>
                <w:rFonts w:eastAsia="Calibri" w:cs="Times New Roman"/>
                <w:szCs w:val="28"/>
              </w:rPr>
            </w:pPr>
            <w:r w:rsidRPr="007139F7">
              <w:rPr>
                <w:rFonts w:eastAsia="Calibri" w:cs="Times New Roman"/>
                <w:sz w:val="28"/>
                <w:szCs w:val="28"/>
              </w:rPr>
              <w:t>Динаміка змін показників вільнорадикального окислення білків…………………………………………………………………</w:t>
            </w:r>
          </w:p>
        </w:tc>
        <w:tc>
          <w:tcPr>
            <w:tcW w:w="680" w:type="dxa"/>
            <w:shd w:val="clear" w:color="auto" w:fill="auto"/>
          </w:tcPr>
          <w:p w:rsidR="007139F7" w:rsidRPr="007139F7" w:rsidRDefault="007139F7" w:rsidP="007139F7">
            <w:pPr>
              <w:spacing w:after="0" w:line="360" w:lineRule="auto"/>
              <w:rPr>
                <w:rFonts w:eastAsia="Calibri" w:cs="Times New Roman"/>
                <w:szCs w:val="28"/>
              </w:rPr>
            </w:pPr>
          </w:p>
          <w:p w:rsidR="007139F7" w:rsidRPr="007139F7" w:rsidRDefault="00E4651D" w:rsidP="007139F7">
            <w:pPr>
              <w:spacing w:after="0" w:line="360" w:lineRule="auto"/>
              <w:rPr>
                <w:rFonts w:eastAsia="Calibri" w:cs="Times New Roman"/>
                <w:szCs w:val="28"/>
              </w:rPr>
            </w:pPr>
            <w:r>
              <w:rPr>
                <w:rFonts w:eastAsia="Calibri" w:cs="Times New Roman"/>
                <w:sz w:val="28"/>
                <w:szCs w:val="28"/>
              </w:rPr>
              <w:t>120</w:t>
            </w:r>
          </w:p>
        </w:tc>
      </w:tr>
      <w:tr w:rsidR="007139F7" w:rsidRPr="007139F7" w:rsidTr="007139F7">
        <w:tc>
          <w:tcPr>
            <w:tcW w:w="993" w:type="dxa"/>
            <w:shd w:val="clear" w:color="auto" w:fill="auto"/>
          </w:tcPr>
          <w:p w:rsidR="007139F7" w:rsidRPr="007139F7" w:rsidRDefault="007139F7" w:rsidP="007139F7">
            <w:pPr>
              <w:spacing w:after="0" w:line="360" w:lineRule="auto"/>
              <w:rPr>
                <w:rFonts w:eastAsia="Calibri" w:cs="Times New Roman"/>
                <w:szCs w:val="28"/>
              </w:rPr>
            </w:pPr>
            <w:r w:rsidRPr="007139F7">
              <w:rPr>
                <w:rFonts w:eastAsia="Calibri" w:cs="Times New Roman"/>
                <w:sz w:val="28"/>
                <w:szCs w:val="28"/>
              </w:rPr>
              <w:t>5.4</w:t>
            </w:r>
          </w:p>
        </w:tc>
        <w:tc>
          <w:tcPr>
            <w:tcW w:w="8080" w:type="dxa"/>
            <w:gridSpan w:val="2"/>
            <w:shd w:val="clear" w:color="auto" w:fill="auto"/>
          </w:tcPr>
          <w:p w:rsidR="007139F7" w:rsidRPr="007139F7" w:rsidRDefault="007139F7" w:rsidP="007139F7">
            <w:pPr>
              <w:spacing w:after="0" w:line="360" w:lineRule="auto"/>
              <w:rPr>
                <w:rFonts w:eastAsia="Calibri" w:cs="Times New Roman"/>
                <w:szCs w:val="28"/>
              </w:rPr>
            </w:pPr>
            <w:r w:rsidRPr="007139F7">
              <w:rPr>
                <w:rFonts w:eastAsia="Calibri" w:cs="Times New Roman"/>
                <w:sz w:val="28"/>
                <w:szCs w:val="28"/>
              </w:rPr>
              <w:t>Динаміка змін показників регенераторних  процесів…………….</w:t>
            </w:r>
          </w:p>
        </w:tc>
        <w:tc>
          <w:tcPr>
            <w:tcW w:w="680" w:type="dxa"/>
            <w:shd w:val="clear" w:color="auto" w:fill="auto"/>
          </w:tcPr>
          <w:p w:rsidR="007139F7" w:rsidRPr="007139F7" w:rsidRDefault="00263EEB" w:rsidP="007139F7">
            <w:pPr>
              <w:spacing w:after="0" w:line="360" w:lineRule="auto"/>
              <w:rPr>
                <w:rFonts w:eastAsia="Calibri" w:cs="Times New Roman"/>
                <w:szCs w:val="28"/>
              </w:rPr>
            </w:pPr>
            <w:r>
              <w:rPr>
                <w:rFonts w:eastAsia="Calibri" w:cs="Times New Roman"/>
                <w:sz w:val="28"/>
                <w:szCs w:val="28"/>
              </w:rPr>
              <w:t>126</w:t>
            </w:r>
          </w:p>
        </w:tc>
      </w:tr>
      <w:tr w:rsidR="007139F7" w:rsidRPr="007139F7" w:rsidTr="007139F7">
        <w:tc>
          <w:tcPr>
            <w:tcW w:w="993" w:type="dxa"/>
            <w:shd w:val="clear" w:color="auto" w:fill="auto"/>
          </w:tcPr>
          <w:p w:rsidR="007139F7" w:rsidRPr="007139F7" w:rsidRDefault="007139F7" w:rsidP="007139F7">
            <w:pPr>
              <w:spacing w:after="0" w:line="360" w:lineRule="auto"/>
              <w:rPr>
                <w:rFonts w:eastAsia="Calibri" w:cs="Times New Roman"/>
                <w:szCs w:val="28"/>
              </w:rPr>
            </w:pPr>
            <w:r w:rsidRPr="007139F7">
              <w:rPr>
                <w:rFonts w:eastAsia="Calibri" w:cs="Times New Roman"/>
                <w:sz w:val="28"/>
                <w:szCs w:val="28"/>
              </w:rPr>
              <w:t>5.5</w:t>
            </w:r>
          </w:p>
        </w:tc>
        <w:tc>
          <w:tcPr>
            <w:tcW w:w="8080" w:type="dxa"/>
            <w:gridSpan w:val="2"/>
            <w:shd w:val="clear" w:color="auto" w:fill="auto"/>
          </w:tcPr>
          <w:p w:rsidR="007139F7" w:rsidRPr="007139F7" w:rsidRDefault="007139F7" w:rsidP="007139F7">
            <w:pPr>
              <w:spacing w:after="0" w:line="360" w:lineRule="auto"/>
              <w:jc w:val="both"/>
              <w:rPr>
                <w:rFonts w:eastAsia="Calibri" w:cs="Times New Roman"/>
                <w:szCs w:val="28"/>
              </w:rPr>
            </w:pPr>
            <w:r w:rsidRPr="007139F7">
              <w:rPr>
                <w:rFonts w:eastAsia="Calibri" w:cs="Times New Roman"/>
                <w:sz w:val="28"/>
                <w:szCs w:val="28"/>
              </w:rPr>
              <w:t>Динаміка змін показників запалення, мікробного обсіменіння та неспецифічного імунітету…………………………………………</w:t>
            </w:r>
          </w:p>
        </w:tc>
        <w:tc>
          <w:tcPr>
            <w:tcW w:w="680" w:type="dxa"/>
            <w:shd w:val="clear" w:color="auto" w:fill="auto"/>
          </w:tcPr>
          <w:p w:rsidR="007139F7" w:rsidRPr="007139F7" w:rsidRDefault="007139F7" w:rsidP="007139F7">
            <w:pPr>
              <w:spacing w:after="0" w:line="360" w:lineRule="auto"/>
              <w:rPr>
                <w:rFonts w:eastAsia="Calibri" w:cs="Times New Roman"/>
                <w:szCs w:val="28"/>
              </w:rPr>
            </w:pPr>
          </w:p>
          <w:p w:rsidR="007139F7" w:rsidRPr="007139F7" w:rsidRDefault="00263EEB" w:rsidP="007139F7">
            <w:pPr>
              <w:spacing w:after="0" w:line="360" w:lineRule="auto"/>
              <w:rPr>
                <w:rFonts w:eastAsia="Calibri" w:cs="Times New Roman"/>
                <w:szCs w:val="28"/>
              </w:rPr>
            </w:pPr>
            <w:r>
              <w:rPr>
                <w:rFonts w:eastAsia="Calibri" w:cs="Times New Roman"/>
                <w:sz w:val="28"/>
                <w:szCs w:val="28"/>
              </w:rPr>
              <w:t>136</w:t>
            </w:r>
          </w:p>
        </w:tc>
      </w:tr>
      <w:tr w:rsidR="007139F7" w:rsidRPr="007139F7" w:rsidTr="007139F7">
        <w:tc>
          <w:tcPr>
            <w:tcW w:w="9073" w:type="dxa"/>
            <w:gridSpan w:val="3"/>
            <w:shd w:val="clear" w:color="auto" w:fill="auto"/>
          </w:tcPr>
          <w:p w:rsidR="007139F7" w:rsidRPr="007139F7" w:rsidRDefault="007139F7" w:rsidP="007139F7">
            <w:pPr>
              <w:spacing w:before="240" w:line="360" w:lineRule="auto"/>
              <w:rPr>
                <w:rFonts w:eastAsia="Calibri" w:cs="Times New Roman"/>
                <w:szCs w:val="28"/>
              </w:rPr>
            </w:pPr>
            <w:r w:rsidRPr="007139F7">
              <w:rPr>
                <w:rFonts w:eastAsia="Calibri" w:cs="Times New Roman"/>
                <w:sz w:val="28"/>
                <w:szCs w:val="28"/>
              </w:rPr>
              <w:t>РОЗДІЛ 6. АНАЛІЗ І УЗАГАЛЬНЕННЯ РЕЗУЛЬТАТІВ ДОСЛІДЖЕННЯ………………………………………………………………</w:t>
            </w:r>
          </w:p>
        </w:tc>
        <w:tc>
          <w:tcPr>
            <w:tcW w:w="680" w:type="dxa"/>
            <w:shd w:val="clear" w:color="auto" w:fill="auto"/>
            <w:vAlign w:val="center"/>
          </w:tcPr>
          <w:p w:rsidR="007139F7" w:rsidRPr="007139F7" w:rsidRDefault="007139F7" w:rsidP="007139F7">
            <w:pPr>
              <w:spacing w:after="0" w:line="360" w:lineRule="auto"/>
              <w:rPr>
                <w:rFonts w:eastAsia="Calibri" w:cs="Times New Roman"/>
                <w:szCs w:val="28"/>
              </w:rPr>
            </w:pPr>
          </w:p>
          <w:p w:rsidR="007139F7" w:rsidRPr="007139F7" w:rsidRDefault="007139F7" w:rsidP="007139F7">
            <w:pPr>
              <w:spacing w:after="0" w:line="360" w:lineRule="auto"/>
              <w:rPr>
                <w:rFonts w:eastAsia="Calibri" w:cs="Times New Roman"/>
                <w:szCs w:val="28"/>
              </w:rPr>
            </w:pPr>
            <w:r w:rsidRPr="007139F7">
              <w:rPr>
                <w:rFonts w:eastAsia="Calibri" w:cs="Times New Roman"/>
                <w:sz w:val="28"/>
                <w:szCs w:val="28"/>
              </w:rPr>
              <w:t>142</w:t>
            </w:r>
          </w:p>
        </w:tc>
      </w:tr>
      <w:tr w:rsidR="007139F7" w:rsidRPr="007139F7" w:rsidTr="007139F7">
        <w:tc>
          <w:tcPr>
            <w:tcW w:w="9073" w:type="dxa"/>
            <w:gridSpan w:val="3"/>
            <w:shd w:val="clear" w:color="auto" w:fill="auto"/>
          </w:tcPr>
          <w:p w:rsidR="007139F7" w:rsidRPr="007139F7" w:rsidRDefault="007139F7" w:rsidP="007139F7">
            <w:pPr>
              <w:spacing w:after="160" w:line="360" w:lineRule="auto"/>
              <w:rPr>
                <w:rFonts w:eastAsia="Calibri" w:cs="Times New Roman"/>
                <w:szCs w:val="28"/>
              </w:rPr>
            </w:pPr>
            <w:r w:rsidRPr="007139F7">
              <w:rPr>
                <w:rFonts w:eastAsia="Calibri" w:cs="Times New Roman"/>
                <w:sz w:val="28"/>
                <w:szCs w:val="28"/>
              </w:rPr>
              <w:t>ВИСНОВКИ........................................................................................................</w:t>
            </w:r>
          </w:p>
        </w:tc>
        <w:tc>
          <w:tcPr>
            <w:tcW w:w="680" w:type="dxa"/>
            <w:shd w:val="clear" w:color="auto" w:fill="auto"/>
          </w:tcPr>
          <w:p w:rsidR="007139F7" w:rsidRPr="007139F7" w:rsidRDefault="00D758D5" w:rsidP="007139F7">
            <w:pPr>
              <w:spacing w:after="160" w:line="360" w:lineRule="auto"/>
              <w:rPr>
                <w:rFonts w:eastAsia="Calibri" w:cs="Times New Roman"/>
                <w:szCs w:val="28"/>
              </w:rPr>
            </w:pPr>
            <w:r>
              <w:rPr>
                <w:rFonts w:eastAsia="Calibri" w:cs="Times New Roman"/>
                <w:sz w:val="28"/>
                <w:szCs w:val="28"/>
              </w:rPr>
              <w:t>164</w:t>
            </w:r>
          </w:p>
        </w:tc>
      </w:tr>
      <w:tr w:rsidR="007139F7" w:rsidRPr="007139F7" w:rsidTr="007139F7">
        <w:tc>
          <w:tcPr>
            <w:tcW w:w="9073" w:type="dxa"/>
            <w:gridSpan w:val="3"/>
            <w:shd w:val="clear" w:color="auto" w:fill="auto"/>
          </w:tcPr>
          <w:p w:rsidR="007139F7" w:rsidRPr="007139F7" w:rsidRDefault="007139F7" w:rsidP="007139F7">
            <w:pPr>
              <w:spacing w:after="160" w:line="360" w:lineRule="auto"/>
              <w:rPr>
                <w:rFonts w:eastAsia="Calibri" w:cs="Times New Roman"/>
                <w:szCs w:val="28"/>
              </w:rPr>
            </w:pPr>
            <w:r w:rsidRPr="007139F7">
              <w:rPr>
                <w:rFonts w:eastAsia="Calibri" w:cs="Times New Roman"/>
                <w:sz w:val="28"/>
                <w:szCs w:val="28"/>
              </w:rPr>
              <w:t>ПРАКТИЧНІ РЕКОМЕНДАЦІЇ........................................................................</w:t>
            </w:r>
          </w:p>
        </w:tc>
        <w:tc>
          <w:tcPr>
            <w:tcW w:w="680" w:type="dxa"/>
            <w:shd w:val="clear" w:color="auto" w:fill="auto"/>
          </w:tcPr>
          <w:p w:rsidR="007139F7" w:rsidRPr="007139F7" w:rsidRDefault="007139F7" w:rsidP="007139F7">
            <w:pPr>
              <w:spacing w:after="160" w:line="360" w:lineRule="auto"/>
              <w:rPr>
                <w:rFonts w:eastAsia="Calibri" w:cs="Times New Roman"/>
                <w:szCs w:val="28"/>
              </w:rPr>
            </w:pPr>
            <w:r w:rsidRPr="007139F7">
              <w:rPr>
                <w:rFonts w:eastAsia="Calibri" w:cs="Times New Roman"/>
                <w:sz w:val="28"/>
                <w:szCs w:val="28"/>
              </w:rPr>
              <w:t>167</w:t>
            </w:r>
          </w:p>
        </w:tc>
      </w:tr>
      <w:tr w:rsidR="007139F7" w:rsidRPr="007139F7" w:rsidTr="007139F7">
        <w:tc>
          <w:tcPr>
            <w:tcW w:w="9073" w:type="dxa"/>
            <w:gridSpan w:val="3"/>
            <w:shd w:val="clear" w:color="auto" w:fill="auto"/>
          </w:tcPr>
          <w:p w:rsidR="007139F7" w:rsidRPr="007139F7" w:rsidRDefault="007139F7" w:rsidP="007139F7">
            <w:pPr>
              <w:spacing w:after="160" w:line="360" w:lineRule="auto"/>
              <w:rPr>
                <w:rFonts w:eastAsia="Calibri" w:cs="Times New Roman"/>
                <w:szCs w:val="28"/>
              </w:rPr>
            </w:pPr>
            <w:r w:rsidRPr="007139F7">
              <w:rPr>
                <w:rFonts w:eastAsia="Calibri" w:cs="Times New Roman"/>
                <w:sz w:val="28"/>
                <w:szCs w:val="28"/>
              </w:rPr>
              <w:t>СПИСОК ВИКОРИСТАНИХ ДЖЕРЕЛ...................................................</w:t>
            </w:r>
          </w:p>
        </w:tc>
        <w:tc>
          <w:tcPr>
            <w:tcW w:w="680" w:type="dxa"/>
            <w:shd w:val="clear" w:color="auto" w:fill="auto"/>
          </w:tcPr>
          <w:p w:rsidR="007139F7" w:rsidRPr="007139F7" w:rsidRDefault="007139F7" w:rsidP="007139F7">
            <w:pPr>
              <w:spacing w:after="160" w:line="360" w:lineRule="auto"/>
              <w:rPr>
                <w:rFonts w:eastAsia="Calibri" w:cs="Times New Roman"/>
                <w:szCs w:val="28"/>
              </w:rPr>
            </w:pPr>
            <w:r w:rsidRPr="007139F7">
              <w:rPr>
                <w:rFonts w:eastAsia="Calibri" w:cs="Times New Roman"/>
                <w:sz w:val="28"/>
                <w:szCs w:val="28"/>
              </w:rPr>
              <w:t>168</w:t>
            </w:r>
          </w:p>
        </w:tc>
      </w:tr>
      <w:tr w:rsidR="0016277E" w:rsidRPr="007139F7" w:rsidTr="007139F7">
        <w:tc>
          <w:tcPr>
            <w:tcW w:w="9073" w:type="dxa"/>
            <w:gridSpan w:val="3"/>
            <w:shd w:val="clear" w:color="auto" w:fill="auto"/>
          </w:tcPr>
          <w:p w:rsidR="0016277E" w:rsidRPr="007139F7" w:rsidRDefault="0016277E" w:rsidP="007139F7">
            <w:pPr>
              <w:spacing w:after="160" w:line="360" w:lineRule="auto"/>
              <w:rPr>
                <w:rFonts w:eastAsia="Calibri" w:cs="Times New Roman"/>
                <w:sz w:val="28"/>
                <w:szCs w:val="28"/>
              </w:rPr>
            </w:pPr>
            <w:r>
              <w:rPr>
                <w:rFonts w:eastAsia="Calibri" w:cs="Times New Roman"/>
                <w:sz w:val="28"/>
                <w:szCs w:val="28"/>
              </w:rPr>
              <w:t>Додаток А</w:t>
            </w:r>
          </w:p>
        </w:tc>
        <w:tc>
          <w:tcPr>
            <w:tcW w:w="680" w:type="dxa"/>
            <w:shd w:val="clear" w:color="auto" w:fill="auto"/>
          </w:tcPr>
          <w:p w:rsidR="0016277E" w:rsidRPr="007139F7" w:rsidRDefault="0016277E" w:rsidP="007139F7">
            <w:pPr>
              <w:spacing w:after="160" w:line="360" w:lineRule="auto"/>
              <w:rPr>
                <w:rFonts w:eastAsia="Calibri" w:cs="Times New Roman"/>
                <w:sz w:val="28"/>
                <w:szCs w:val="28"/>
              </w:rPr>
            </w:pPr>
            <w:r>
              <w:rPr>
                <w:rFonts w:eastAsia="Calibri" w:cs="Times New Roman"/>
                <w:sz w:val="28"/>
                <w:szCs w:val="28"/>
              </w:rPr>
              <w:t>193</w:t>
            </w:r>
          </w:p>
        </w:tc>
      </w:tr>
    </w:tbl>
    <w:p w:rsidR="007139F7" w:rsidRPr="007139F7" w:rsidRDefault="007139F7" w:rsidP="007139F7">
      <w:pPr>
        <w:rPr>
          <w:rFonts w:eastAsia="Calibri" w:cs="Times New Roman"/>
          <w:b/>
          <w:sz w:val="28"/>
          <w:szCs w:val="28"/>
        </w:rPr>
      </w:pPr>
      <w:r w:rsidRPr="007139F7">
        <w:rPr>
          <w:rFonts w:eastAsia="Calibri" w:cs="Times New Roman"/>
          <w:b/>
          <w:sz w:val="28"/>
          <w:szCs w:val="28"/>
        </w:rPr>
        <w:br w:type="page"/>
      </w:r>
    </w:p>
    <w:p w:rsidR="007139F7" w:rsidRPr="007139F7" w:rsidRDefault="007139F7" w:rsidP="007139F7">
      <w:pPr>
        <w:spacing w:after="160" w:line="259" w:lineRule="auto"/>
        <w:jc w:val="center"/>
        <w:rPr>
          <w:rFonts w:eastAsia="Calibri" w:cs="Times New Roman"/>
          <w:b/>
          <w:sz w:val="28"/>
          <w:szCs w:val="28"/>
        </w:rPr>
      </w:pPr>
      <w:r w:rsidRPr="007139F7">
        <w:rPr>
          <w:rFonts w:eastAsia="Calibri" w:cs="Times New Roman"/>
          <w:b/>
          <w:sz w:val="28"/>
          <w:szCs w:val="28"/>
        </w:rPr>
        <w:lastRenderedPageBreak/>
        <w:t>ПЕРЕЛІК УМОВНИХ СКОРОЧЕНЬ</w:t>
      </w:r>
    </w:p>
    <w:p w:rsidR="007139F7" w:rsidRPr="007139F7" w:rsidRDefault="007139F7" w:rsidP="007139F7">
      <w:pPr>
        <w:spacing w:after="160" w:line="259" w:lineRule="auto"/>
        <w:rPr>
          <w:rFonts w:eastAsia="Calibri" w:cs="Times New Roman"/>
          <w:sz w:val="28"/>
          <w:szCs w:val="28"/>
        </w:rPr>
      </w:pPr>
    </w:p>
    <w:p w:rsidR="007139F7" w:rsidRPr="007139F7" w:rsidRDefault="007139F7" w:rsidP="007139F7">
      <w:pPr>
        <w:spacing w:after="160" w:line="259" w:lineRule="auto"/>
        <w:rPr>
          <w:rFonts w:eastAsia="Calibri" w:cs="Times New Roman"/>
          <w:sz w:val="28"/>
          <w:szCs w:val="28"/>
        </w:rPr>
      </w:pPr>
      <w:r w:rsidRPr="007139F7">
        <w:rPr>
          <w:rFonts w:eastAsia="Calibri" w:cs="Times New Roman"/>
          <w:sz w:val="28"/>
          <w:szCs w:val="28"/>
        </w:rPr>
        <w:t>АО – антиоксидантна система</w:t>
      </w:r>
    </w:p>
    <w:p w:rsidR="007139F7" w:rsidRPr="007139F7" w:rsidRDefault="007139F7" w:rsidP="007139F7">
      <w:pPr>
        <w:spacing w:after="160" w:line="259" w:lineRule="auto"/>
        <w:rPr>
          <w:rFonts w:eastAsia="Calibri" w:cs="Times New Roman"/>
          <w:sz w:val="28"/>
          <w:szCs w:val="28"/>
        </w:rPr>
      </w:pPr>
      <w:r w:rsidRPr="007139F7">
        <w:rPr>
          <w:rFonts w:eastAsia="Calibri" w:cs="Times New Roman"/>
          <w:sz w:val="28"/>
          <w:szCs w:val="28"/>
        </w:rPr>
        <w:t>АФК – активні форми кисню</w:t>
      </w:r>
    </w:p>
    <w:p w:rsidR="007139F7" w:rsidRPr="007139F7" w:rsidRDefault="007139F7" w:rsidP="007139F7">
      <w:pPr>
        <w:spacing w:after="160" w:line="259" w:lineRule="auto"/>
        <w:rPr>
          <w:rFonts w:eastAsia="Calibri" w:cs="Times New Roman"/>
          <w:sz w:val="28"/>
          <w:szCs w:val="28"/>
        </w:rPr>
      </w:pPr>
      <w:r w:rsidRPr="007139F7">
        <w:rPr>
          <w:rFonts w:eastAsia="Calibri" w:cs="Times New Roman"/>
          <w:sz w:val="28"/>
          <w:szCs w:val="28"/>
        </w:rPr>
        <w:t>БГКШ – бранхіогенна кіста шиї</w:t>
      </w:r>
    </w:p>
    <w:p w:rsidR="007139F7" w:rsidRPr="007139F7" w:rsidRDefault="007139F7" w:rsidP="007139F7">
      <w:pPr>
        <w:spacing w:after="160" w:line="259" w:lineRule="auto"/>
        <w:rPr>
          <w:rFonts w:eastAsia="Calibri" w:cs="Times New Roman"/>
          <w:sz w:val="28"/>
          <w:szCs w:val="28"/>
        </w:rPr>
      </w:pPr>
      <w:r w:rsidRPr="007139F7">
        <w:rPr>
          <w:rFonts w:eastAsia="Calibri" w:cs="Times New Roman"/>
          <w:sz w:val="28"/>
          <w:szCs w:val="28"/>
        </w:rPr>
        <w:t>БКШ – бічна кіста шиї</w:t>
      </w:r>
    </w:p>
    <w:p w:rsidR="007139F7" w:rsidRPr="007139F7" w:rsidRDefault="007139F7" w:rsidP="007139F7">
      <w:pPr>
        <w:spacing w:after="160" w:line="259" w:lineRule="auto"/>
        <w:rPr>
          <w:rFonts w:eastAsia="Calibri" w:cs="Times New Roman"/>
          <w:sz w:val="28"/>
          <w:szCs w:val="28"/>
        </w:rPr>
      </w:pPr>
      <w:r w:rsidRPr="007139F7">
        <w:rPr>
          <w:rFonts w:eastAsia="Calibri" w:cs="Times New Roman"/>
          <w:sz w:val="28"/>
          <w:szCs w:val="28"/>
        </w:rPr>
        <w:t>ВРО – вільнорадикальне окиснення</w:t>
      </w:r>
    </w:p>
    <w:p w:rsidR="007139F7" w:rsidRPr="007139F7" w:rsidRDefault="007139F7" w:rsidP="007139F7">
      <w:pPr>
        <w:spacing w:after="160" w:line="259" w:lineRule="auto"/>
        <w:rPr>
          <w:rFonts w:eastAsia="Calibri" w:cs="Times New Roman"/>
          <w:sz w:val="28"/>
          <w:szCs w:val="28"/>
        </w:rPr>
      </w:pPr>
      <w:r w:rsidRPr="007139F7">
        <w:rPr>
          <w:rFonts w:eastAsia="Calibri" w:cs="Times New Roman"/>
          <w:sz w:val="28"/>
          <w:szCs w:val="28"/>
        </w:rPr>
        <w:t>ГПЛ – гідроперекиси ліпідів</w:t>
      </w:r>
    </w:p>
    <w:p w:rsidR="007139F7" w:rsidRPr="007139F7" w:rsidRDefault="007139F7" w:rsidP="007139F7">
      <w:pPr>
        <w:spacing w:after="160" w:line="259" w:lineRule="auto"/>
        <w:rPr>
          <w:rFonts w:eastAsia="Calibri" w:cs="Times New Roman"/>
          <w:sz w:val="28"/>
          <w:szCs w:val="28"/>
        </w:rPr>
      </w:pPr>
      <w:r w:rsidRPr="007139F7">
        <w:rPr>
          <w:rFonts w:eastAsia="Calibri" w:cs="Times New Roman"/>
          <w:sz w:val="28"/>
          <w:szCs w:val="28"/>
        </w:rPr>
        <w:t>ДК – дієнові кон’югати</w:t>
      </w:r>
    </w:p>
    <w:p w:rsidR="007139F7" w:rsidRPr="007139F7" w:rsidRDefault="007139F7" w:rsidP="007139F7">
      <w:pPr>
        <w:spacing w:after="160" w:line="259" w:lineRule="auto"/>
        <w:rPr>
          <w:rFonts w:eastAsia="Calibri" w:cs="Times New Roman"/>
          <w:sz w:val="28"/>
          <w:szCs w:val="28"/>
        </w:rPr>
      </w:pPr>
      <w:r w:rsidRPr="007139F7">
        <w:rPr>
          <w:rFonts w:eastAsia="Calibri" w:cs="Times New Roman"/>
          <w:sz w:val="28"/>
          <w:szCs w:val="28"/>
        </w:rPr>
        <w:t>ДНК – дезоксирибонуклеїнова кислота</w:t>
      </w:r>
    </w:p>
    <w:p w:rsidR="007139F7" w:rsidRPr="007139F7" w:rsidRDefault="007139F7" w:rsidP="007139F7">
      <w:pPr>
        <w:spacing w:after="160" w:line="259" w:lineRule="auto"/>
        <w:rPr>
          <w:rFonts w:eastAsia="Calibri" w:cs="Times New Roman"/>
          <w:sz w:val="28"/>
          <w:szCs w:val="28"/>
        </w:rPr>
      </w:pPr>
      <w:r w:rsidRPr="007139F7">
        <w:rPr>
          <w:rFonts w:eastAsia="Calibri" w:cs="Times New Roman"/>
          <w:sz w:val="28"/>
          <w:szCs w:val="28"/>
        </w:rPr>
        <w:t>ПОЛ – перикисне окиснення ліпідів</w:t>
      </w:r>
    </w:p>
    <w:p w:rsidR="007139F7" w:rsidRPr="007139F7" w:rsidRDefault="007139F7" w:rsidP="007139F7">
      <w:pPr>
        <w:spacing w:after="160" w:line="259" w:lineRule="auto"/>
        <w:rPr>
          <w:rFonts w:eastAsia="Calibri" w:cs="Times New Roman"/>
          <w:sz w:val="28"/>
          <w:szCs w:val="28"/>
        </w:rPr>
      </w:pPr>
      <w:r w:rsidRPr="007139F7">
        <w:rPr>
          <w:rFonts w:eastAsia="Calibri" w:cs="Times New Roman"/>
          <w:sz w:val="28"/>
          <w:szCs w:val="28"/>
        </w:rPr>
        <w:t>ОМБ – окислювальна модифікація білків</w:t>
      </w:r>
    </w:p>
    <w:p w:rsidR="007139F7" w:rsidRPr="007139F7" w:rsidRDefault="007139F7" w:rsidP="007139F7">
      <w:pPr>
        <w:spacing w:after="160" w:line="259" w:lineRule="auto"/>
        <w:rPr>
          <w:rFonts w:eastAsia="Calibri" w:cs="Times New Roman"/>
          <w:sz w:val="28"/>
          <w:szCs w:val="28"/>
        </w:rPr>
      </w:pPr>
      <w:r w:rsidRPr="007139F7">
        <w:rPr>
          <w:rFonts w:eastAsia="Calibri" w:cs="Times New Roman"/>
          <w:sz w:val="28"/>
          <w:szCs w:val="28"/>
        </w:rPr>
        <w:t>РНК – рибонуклеїнова кислота</w:t>
      </w:r>
    </w:p>
    <w:p w:rsidR="007139F7" w:rsidRPr="007139F7" w:rsidRDefault="007139F7" w:rsidP="007139F7">
      <w:pPr>
        <w:spacing w:after="160" w:line="259" w:lineRule="auto"/>
        <w:rPr>
          <w:rFonts w:eastAsia="Calibri" w:cs="Times New Roman"/>
          <w:sz w:val="28"/>
          <w:szCs w:val="28"/>
        </w:rPr>
      </w:pPr>
      <w:r w:rsidRPr="007139F7">
        <w:rPr>
          <w:rFonts w:eastAsia="Calibri" w:cs="Times New Roman"/>
          <w:sz w:val="28"/>
          <w:szCs w:val="28"/>
        </w:rPr>
        <w:t>СКШ – серединна кіста шиї</w:t>
      </w:r>
    </w:p>
    <w:p w:rsidR="007139F7" w:rsidRPr="007139F7" w:rsidRDefault="007139F7" w:rsidP="007139F7">
      <w:pPr>
        <w:spacing w:after="160" w:line="259" w:lineRule="auto"/>
        <w:rPr>
          <w:rFonts w:eastAsia="Calibri" w:cs="Times New Roman"/>
          <w:sz w:val="28"/>
          <w:szCs w:val="28"/>
        </w:rPr>
      </w:pPr>
      <w:r w:rsidRPr="007139F7">
        <w:rPr>
          <w:rFonts w:eastAsia="Calibri" w:cs="Times New Roman"/>
          <w:sz w:val="28"/>
          <w:szCs w:val="28"/>
        </w:rPr>
        <w:t>СОД – супероксиддисмутаза</w:t>
      </w:r>
    </w:p>
    <w:p w:rsidR="007139F7" w:rsidRPr="007139F7" w:rsidRDefault="007139F7" w:rsidP="007139F7">
      <w:pPr>
        <w:spacing w:after="160" w:line="259" w:lineRule="auto"/>
        <w:rPr>
          <w:rFonts w:eastAsia="Calibri" w:cs="Times New Roman"/>
          <w:sz w:val="28"/>
          <w:szCs w:val="28"/>
        </w:rPr>
      </w:pPr>
      <w:r w:rsidRPr="007139F7">
        <w:rPr>
          <w:rFonts w:eastAsia="Calibri" w:cs="Times New Roman"/>
          <w:sz w:val="28"/>
          <w:szCs w:val="28"/>
        </w:rPr>
        <w:t>ТГКШ – тиреоглосальна кіста шиї</w:t>
      </w:r>
    </w:p>
    <w:p w:rsidR="007139F7" w:rsidRPr="007139F7" w:rsidRDefault="007139F7" w:rsidP="007139F7">
      <w:pPr>
        <w:spacing w:after="160" w:line="259" w:lineRule="auto"/>
        <w:rPr>
          <w:rFonts w:eastAsia="Calibri" w:cs="Times New Roman"/>
          <w:sz w:val="28"/>
          <w:szCs w:val="28"/>
        </w:rPr>
      </w:pPr>
      <w:r w:rsidRPr="007139F7">
        <w:rPr>
          <w:rFonts w:eastAsia="Calibri" w:cs="Times New Roman"/>
          <w:sz w:val="28"/>
          <w:szCs w:val="28"/>
        </w:rPr>
        <w:t>ТК – трієнові кон’югати</w:t>
      </w:r>
    </w:p>
    <w:p w:rsidR="007139F7" w:rsidRPr="007139F7" w:rsidRDefault="007139F7" w:rsidP="007139F7">
      <w:pPr>
        <w:spacing w:after="160" w:line="259" w:lineRule="auto"/>
        <w:rPr>
          <w:rFonts w:eastAsia="Calibri" w:cs="Times New Roman"/>
          <w:sz w:val="28"/>
          <w:szCs w:val="28"/>
        </w:rPr>
      </w:pPr>
      <w:r w:rsidRPr="007139F7">
        <w:rPr>
          <w:rFonts w:eastAsia="Calibri" w:cs="Times New Roman"/>
          <w:sz w:val="28"/>
          <w:szCs w:val="28"/>
        </w:rPr>
        <w:t xml:space="preserve">ТБК-АП – тіобарбітурова кислота – активні продукти </w:t>
      </w:r>
    </w:p>
    <w:p w:rsidR="007139F7" w:rsidRPr="007139F7" w:rsidRDefault="007139F7" w:rsidP="007139F7">
      <w:pPr>
        <w:spacing w:after="160" w:line="259" w:lineRule="auto"/>
        <w:rPr>
          <w:rFonts w:eastAsia="Calibri" w:cs="Times New Roman"/>
          <w:sz w:val="28"/>
          <w:szCs w:val="28"/>
        </w:rPr>
      </w:pPr>
      <w:r w:rsidRPr="007139F7">
        <w:rPr>
          <w:rFonts w:eastAsia="Calibri" w:cs="Times New Roman"/>
          <w:sz w:val="28"/>
          <w:szCs w:val="28"/>
        </w:rPr>
        <w:t>NO – оксид азоту</w:t>
      </w:r>
    </w:p>
    <w:p w:rsidR="007139F7" w:rsidRPr="007139F7" w:rsidRDefault="007139F7" w:rsidP="007139F7">
      <w:pPr>
        <w:rPr>
          <w:rFonts w:eastAsia="Calibri" w:cs="Times New Roman"/>
          <w:b/>
          <w:sz w:val="28"/>
          <w:szCs w:val="28"/>
        </w:rPr>
      </w:pPr>
      <w:r w:rsidRPr="007139F7">
        <w:rPr>
          <w:rFonts w:eastAsia="Calibri" w:cs="Times New Roman"/>
          <w:b/>
          <w:sz w:val="28"/>
          <w:szCs w:val="28"/>
        </w:rPr>
        <w:br w:type="page"/>
      </w:r>
    </w:p>
    <w:p w:rsidR="007139F7" w:rsidRPr="007139F7" w:rsidRDefault="007139F7" w:rsidP="007139F7">
      <w:pPr>
        <w:suppressAutoHyphens/>
        <w:spacing w:after="0" w:line="360" w:lineRule="auto"/>
        <w:ind w:firstLine="709"/>
        <w:jc w:val="center"/>
        <w:rPr>
          <w:rFonts w:eastAsia="Times New Roman" w:cs="Times New Roman"/>
          <w:b/>
          <w:bCs/>
          <w:sz w:val="28"/>
          <w:szCs w:val="28"/>
          <w:lang w:eastAsia="ar-SA"/>
        </w:rPr>
      </w:pPr>
      <w:r w:rsidRPr="007139F7">
        <w:rPr>
          <w:rFonts w:eastAsia="Times New Roman" w:cs="Times New Roman"/>
          <w:b/>
          <w:bCs/>
          <w:sz w:val="28"/>
          <w:szCs w:val="28"/>
          <w:lang w:eastAsia="ar-SA"/>
        </w:rPr>
        <w:lastRenderedPageBreak/>
        <w:t>ВСТУП</w:t>
      </w:r>
    </w:p>
    <w:p w:rsidR="007139F7" w:rsidRPr="008B2675" w:rsidRDefault="007139F7" w:rsidP="007139F7">
      <w:pPr>
        <w:suppressAutoHyphens/>
        <w:spacing w:after="0" w:line="360" w:lineRule="auto"/>
        <w:rPr>
          <w:rFonts w:eastAsia="Times New Roman" w:cs="Times New Roman"/>
          <w:b/>
          <w:bCs/>
          <w:sz w:val="28"/>
          <w:szCs w:val="28"/>
          <w:lang w:val="ru-RU" w:eastAsia="ar-SA"/>
        </w:rPr>
      </w:pPr>
    </w:p>
    <w:p w:rsidR="007139F7" w:rsidRPr="007139F7" w:rsidRDefault="007139F7" w:rsidP="007139F7">
      <w:pPr>
        <w:suppressAutoHyphens/>
        <w:spacing w:after="0" w:line="360" w:lineRule="auto"/>
        <w:ind w:firstLine="709"/>
        <w:jc w:val="both"/>
        <w:rPr>
          <w:rFonts w:eastAsia="Times New Roman" w:cs="Times New Roman"/>
          <w:sz w:val="28"/>
          <w:szCs w:val="28"/>
          <w:lang w:eastAsia="ar-SA"/>
        </w:rPr>
      </w:pPr>
      <w:r w:rsidRPr="007139F7">
        <w:rPr>
          <w:rFonts w:eastAsia="Times New Roman" w:cs="Times New Roman"/>
          <w:b/>
          <w:sz w:val="28"/>
          <w:szCs w:val="28"/>
          <w:lang w:eastAsia="ar-SA"/>
        </w:rPr>
        <w:t>Актуальність теми.</w:t>
      </w:r>
      <w:r w:rsidRPr="007139F7">
        <w:rPr>
          <w:rFonts w:eastAsia="Times New Roman" w:cs="Times New Roman"/>
          <w:sz w:val="28"/>
          <w:szCs w:val="28"/>
          <w:lang w:eastAsia="ar-SA"/>
        </w:rPr>
        <w:t xml:space="preserve"> Не зважаючи на велику кількість наукових розробок та досягнень сучасної медицини стосовно встановлення причин виникнення післяопераційних патологічних рубців шкіри, ця тематика залишається актуальною для щелепно-лицевої хірургії внаслідок збільшення частоти їх виникнення та відсутності єдиної домінантної думки стосовно етіології та патогенезу. На особливу увагу заслуговують наслідки, що виникають після оперативних втручань з приводу кіст шиї ембріонального походження, оскільки, за даними багатьох авторів, вірогідність утворення атрофічних, гіпертрофічних та келоїдних рубів у ближньому та дальньому післяопераційному періодах варіює від 14% до 37% [1-3].</w:t>
      </w:r>
    </w:p>
    <w:p w:rsidR="007139F7" w:rsidRPr="007139F7" w:rsidRDefault="007139F7" w:rsidP="007139F7">
      <w:pPr>
        <w:suppressAutoHyphens/>
        <w:spacing w:after="0" w:line="360" w:lineRule="auto"/>
        <w:ind w:firstLine="709"/>
        <w:jc w:val="both"/>
        <w:rPr>
          <w:rFonts w:eastAsia="Times New Roman" w:cs="Times New Roman"/>
          <w:sz w:val="28"/>
          <w:szCs w:val="28"/>
          <w:lang w:eastAsia="ar-SA"/>
        </w:rPr>
      </w:pPr>
      <w:r w:rsidRPr="007139F7">
        <w:rPr>
          <w:rFonts w:eastAsia="Times New Roman" w:cs="Times New Roman"/>
          <w:sz w:val="28"/>
          <w:szCs w:val="28"/>
          <w:lang w:eastAsia="ar-SA"/>
        </w:rPr>
        <w:t>Як відомо, глибина розрізу тканин при хірургічному лікуванні тіреоглосальних та бранхіогенних кіст шиї досягає судинно-нервового пучка та тіла під’язикової кістки, що є досить травматичним , а це не завжди дозволяє досягти оптимального косметичного результату. Тому пошук нових методик інтраопераційної профілактики утворення патологічних рубців шкіри при проведенні оперативних втручань у різних шарах м’яких тканин є актуальною проблемою сучасної хірургічної стоматології та щелепно-лицевої хірургії [4].</w:t>
      </w:r>
    </w:p>
    <w:p w:rsidR="007139F7" w:rsidRPr="007139F7" w:rsidRDefault="007139F7" w:rsidP="007139F7">
      <w:pPr>
        <w:suppressAutoHyphens/>
        <w:spacing w:after="0" w:line="360" w:lineRule="auto"/>
        <w:ind w:firstLine="709"/>
        <w:jc w:val="both"/>
        <w:rPr>
          <w:rFonts w:eastAsia="Times New Roman" w:cs="Times New Roman"/>
          <w:sz w:val="28"/>
          <w:szCs w:val="28"/>
          <w:lang w:eastAsia="ar-SA"/>
        </w:rPr>
      </w:pPr>
      <w:r w:rsidRPr="007139F7">
        <w:rPr>
          <w:rFonts w:eastAsia="Times New Roman" w:cs="Times New Roman"/>
          <w:sz w:val="28"/>
          <w:szCs w:val="28"/>
          <w:lang w:eastAsia="ar-SA"/>
        </w:rPr>
        <w:t xml:space="preserve">Наукових робіт, що присвячені саме післяопераційній профілактиці та лікуванню патологічних рубців шкіри в літературі зустрічається досить значна кількість. Існує аргументована думка стосовно впливу глюкокортикоїдів на процеси утворення рубця. Так, за даними деяких дослідників, при нормотрофічних рубцях сумарний вміст гормонів в них складає 79% від їх оптимального рівня, а активні форми патологічних рубців становили при цьому 86%. У той час у пацієнтів, котрі мали келоїдні рубці різного ґенезу сумарний вміст гормонів становив 67,4%, а на їх частку, не зв'язану із білками, припадало лише 28,9% [3-5]. </w:t>
      </w:r>
    </w:p>
    <w:p w:rsidR="007139F7" w:rsidRPr="007139F7" w:rsidRDefault="007139F7" w:rsidP="007139F7">
      <w:pPr>
        <w:suppressAutoHyphens/>
        <w:spacing w:after="0" w:line="360" w:lineRule="auto"/>
        <w:ind w:firstLine="709"/>
        <w:jc w:val="both"/>
        <w:rPr>
          <w:rFonts w:eastAsia="Times New Roman" w:cs="Times New Roman"/>
          <w:sz w:val="28"/>
          <w:szCs w:val="28"/>
          <w:lang w:eastAsia="ar-SA"/>
        </w:rPr>
      </w:pPr>
      <w:r w:rsidRPr="007139F7">
        <w:rPr>
          <w:rFonts w:eastAsia="Times New Roman" w:cs="Times New Roman"/>
          <w:sz w:val="28"/>
          <w:szCs w:val="28"/>
          <w:lang w:eastAsia="ar-SA"/>
        </w:rPr>
        <w:t xml:space="preserve">Важливу роль при виборі методик лікування рубців відіграє анатомічна локалізація, оскільки вона в значній мірі визначає їх естетичний кінцевий </w:t>
      </w:r>
      <w:r w:rsidRPr="007139F7">
        <w:rPr>
          <w:rFonts w:eastAsia="Times New Roman" w:cs="Times New Roman"/>
          <w:sz w:val="28"/>
          <w:szCs w:val="28"/>
          <w:lang w:eastAsia="ar-SA"/>
        </w:rPr>
        <w:lastRenderedPageBreak/>
        <w:t>результат у кожному конкретному випадку. Але стосовно трактування важливості впливу чисельних факторів, що приймають участь у формуванні виду рубцеутворення, більшість науковців висвітлюють у своїх публікаціях переважно клінічні спостереження, без клініко-морфологічного обґрунтування перебігу раневого процесу [4-6].</w:t>
      </w:r>
    </w:p>
    <w:p w:rsidR="007139F7" w:rsidRPr="007139F7" w:rsidRDefault="007139F7" w:rsidP="007139F7">
      <w:pPr>
        <w:suppressAutoHyphens/>
        <w:spacing w:after="0" w:line="360" w:lineRule="auto"/>
        <w:ind w:firstLine="708"/>
        <w:jc w:val="both"/>
        <w:rPr>
          <w:rFonts w:eastAsia="Times New Roman" w:cs="Times New Roman"/>
          <w:sz w:val="28"/>
          <w:szCs w:val="28"/>
          <w:lang w:eastAsia="ar-SA"/>
        </w:rPr>
      </w:pPr>
      <w:r w:rsidRPr="007139F7">
        <w:rPr>
          <w:rFonts w:eastAsia="Times New Roman" w:cs="Times New Roman"/>
          <w:sz w:val="28"/>
          <w:szCs w:val="28"/>
          <w:lang w:eastAsia="ar-SA"/>
        </w:rPr>
        <w:t>Як свідчать літературні дані, існуючі класичні та традиційні методики не в повній мірі вирішують проблему як інтра- так і післяопераційної профілактики післяопераційних патологічних рубців шкіри, особливо коли мова йде про оперативні втручання в ділянках обличчя та шиї [1, 4, 5, 7].</w:t>
      </w:r>
    </w:p>
    <w:p w:rsidR="007139F7" w:rsidRPr="007139F7" w:rsidRDefault="007139F7" w:rsidP="007139F7">
      <w:pPr>
        <w:suppressAutoHyphens/>
        <w:spacing w:after="0" w:line="360" w:lineRule="auto"/>
        <w:ind w:firstLine="709"/>
        <w:jc w:val="both"/>
        <w:rPr>
          <w:rFonts w:eastAsia="Times New Roman" w:cs="Times New Roman"/>
          <w:sz w:val="28"/>
          <w:szCs w:val="28"/>
          <w:lang w:eastAsia="ar-SA"/>
        </w:rPr>
      </w:pPr>
      <w:r w:rsidRPr="007139F7">
        <w:rPr>
          <w:rFonts w:eastAsia="Times New Roman" w:cs="Times New Roman"/>
          <w:sz w:val="28"/>
          <w:szCs w:val="28"/>
          <w:lang w:eastAsia="ar-SA"/>
        </w:rPr>
        <w:t>Після проведення всебічного аналізу доступних вітчизняних і зарубіжних літературних джерел ми прийшли до висновку, що жодна із запропонованих на даний час схем профілактичних заходів різного спрямування не вирішують проблему утворення патологічних рубців шкіри після хірургічного лікування кіст шиї ембріонального походження, що й обумовило актуальність вибору даного напрямку наукового дослідження.</w:t>
      </w:r>
    </w:p>
    <w:p w:rsidR="007139F7" w:rsidRPr="007139F7" w:rsidRDefault="007139F7" w:rsidP="007139F7">
      <w:pPr>
        <w:suppressAutoHyphens/>
        <w:spacing w:after="0" w:line="360" w:lineRule="auto"/>
        <w:ind w:firstLine="709"/>
        <w:jc w:val="both"/>
        <w:rPr>
          <w:rFonts w:eastAsia="Times New Roman" w:cs="Times New Roman"/>
          <w:sz w:val="28"/>
          <w:szCs w:val="28"/>
          <w:lang w:eastAsia="ar-SA"/>
        </w:rPr>
      </w:pPr>
      <w:r w:rsidRPr="007139F7">
        <w:rPr>
          <w:rFonts w:eastAsia="Times New Roman" w:cs="Times New Roman"/>
          <w:b/>
          <w:sz w:val="28"/>
          <w:szCs w:val="28"/>
          <w:lang w:eastAsia="ar-SA"/>
        </w:rPr>
        <w:t xml:space="preserve">Зв’язок роботи з науковими програмами, планами, темами. </w:t>
      </w:r>
      <w:r w:rsidRPr="007139F7">
        <w:rPr>
          <w:rFonts w:eastAsia="Times New Roman" w:cs="Times New Roman"/>
          <w:sz w:val="28"/>
          <w:szCs w:val="28"/>
          <w:lang w:eastAsia="ar-SA"/>
        </w:rPr>
        <w:t xml:space="preserve">Дисертаційна робота є фрагментом комплексної теми кафедри хірургічної стоматології та щелепно-лицевої хірургії Харківського національного медичного університету «Характер, структура та лікування основних стоматологічних захворювань» (номер держреєстрації 0116U004975). </w:t>
      </w:r>
    </w:p>
    <w:p w:rsidR="007139F7" w:rsidRPr="007139F7" w:rsidRDefault="007139F7" w:rsidP="007139F7">
      <w:pPr>
        <w:suppressAutoHyphens/>
        <w:spacing w:after="0" w:line="360" w:lineRule="auto"/>
        <w:ind w:firstLine="709"/>
        <w:jc w:val="both"/>
        <w:rPr>
          <w:rFonts w:eastAsia="Times New Roman" w:cs="Times New Roman"/>
          <w:sz w:val="28"/>
          <w:szCs w:val="28"/>
          <w:lang w:eastAsia="ar-SA"/>
        </w:rPr>
      </w:pPr>
      <w:r w:rsidRPr="007139F7">
        <w:rPr>
          <w:rFonts w:eastAsia="Times New Roman" w:cs="Times New Roman"/>
          <w:sz w:val="28"/>
          <w:szCs w:val="28"/>
          <w:lang w:eastAsia="ar-SA"/>
        </w:rPr>
        <w:t>Автор є безпосереднім виконавцем фрагмента зазначеної науково-дослідної теми.</w:t>
      </w:r>
    </w:p>
    <w:p w:rsidR="001174CC" w:rsidRPr="00A5191B" w:rsidRDefault="007139F7" w:rsidP="001174CC">
      <w:pPr>
        <w:pStyle w:val="ac"/>
        <w:spacing w:line="360" w:lineRule="auto"/>
        <w:jc w:val="both"/>
      </w:pPr>
      <w:r w:rsidRPr="007139F7">
        <w:rPr>
          <w:rFonts w:eastAsia="Times New Roman"/>
          <w:b/>
          <w:lang w:eastAsia="ar-SA"/>
        </w:rPr>
        <w:t xml:space="preserve">Мета </w:t>
      </w:r>
      <w:r w:rsidRPr="001174CC">
        <w:rPr>
          <w:rFonts w:eastAsia="Times New Roman"/>
          <w:b/>
          <w:lang w:eastAsia="ar-SA"/>
        </w:rPr>
        <w:t>дослідження</w:t>
      </w:r>
      <w:r w:rsidRPr="001174CC">
        <w:rPr>
          <w:rFonts w:eastAsia="Times New Roman"/>
          <w:lang w:eastAsia="ar-SA"/>
        </w:rPr>
        <w:t xml:space="preserve"> –</w:t>
      </w:r>
      <w:r w:rsidRPr="00BE51DF">
        <w:rPr>
          <w:rFonts w:eastAsia="Times New Roman"/>
          <w:color w:val="FF0000"/>
          <w:lang w:eastAsia="ar-SA"/>
        </w:rPr>
        <w:t xml:space="preserve"> </w:t>
      </w:r>
      <w:r w:rsidR="001174CC" w:rsidRPr="00935A16">
        <w:t>вдосконалення комплексу лікувально-профілактичних заходів спрямованих на запобігання утворення патологічних рубців шкіри у пацієнтів з кістами шиї ембріонального походження шляхом інтраопераційного застосування PRF-згустку та антиоксиданту в післяопераційному періоді.</w:t>
      </w:r>
    </w:p>
    <w:p w:rsidR="008B2675" w:rsidRPr="00B435B1" w:rsidRDefault="008B2675" w:rsidP="007139F7">
      <w:pPr>
        <w:suppressAutoHyphens/>
        <w:spacing w:after="0" w:line="360" w:lineRule="auto"/>
        <w:ind w:firstLine="709"/>
        <w:jc w:val="both"/>
        <w:rPr>
          <w:rFonts w:eastAsia="Times New Roman" w:cs="Times New Roman"/>
          <w:b/>
          <w:sz w:val="28"/>
          <w:szCs w:val="28"/>
          <w:lang w:eastAsia="ar-SA"/>
        </w:rPr>
      </w:pPr>
    </w:p>
    <w:p w:rsidR="007139F7" w:rsidRPr="001174CC" w:rsidRDefault="007139F7" w:rsidP="007139F7">
      <w:pPr>
        <w:suppressAutoHyphens/>
        <w:spacing w:after="0" w:line="360" w:lineRule="auto"/>
        <w:ind w:firstLine="709"/>
        <w:jc w:val="both"/>
        <w:rPr>
          <w:rFonts w:eastAsia="Times New Roman" w:cs="Times New Roman"/>
          <w:sz w:val="28"/>
          <w:szCs w:val="28"/>
          <w:lang w:eastAsia="ar-SA"/>
        </w:rPr>
      </w:pPr>
      <w:r w:rsidRPr="001174CC">
        <w:rPr>
          <w:rFonts w:eastAsia="Times New Roman" w:cs="Times New Roman"/>
          <w:b/>
          <w:sz w:val="28"/>
          <w:szCs w:val="28"/>
          <w:lang w:eastAsia="ar-SA"/>
        </w:rPr>
        <w:t>Завдання дослідження:</w:t>
      </w:r>
    </w:p>
    <w:p w:rsidR="00277037" w:rsidRPr="00014285" w:rsidRDefault="00277037" w:rsidP="00770C95">
      <w:pPr>
        <w:pStyle w:val="ac"/>
        <w:numPr>
          <w:ilvl w:val="0"/>
          <w:numId w:val="19"/>
        </w:numPr>
        <w:spacing w:line="360" w:lineRule="auto"/>
        <w:jc w:val="both"/>
      </w:pPr>
      <w:r w:rsidRPr="001174CC">
        <w:lastRenderedPageBreak/>
        <w:t>Розробити авторську методику профілактики утворення післяопераційних рубців та дослідити відмінності клінічних проявів післяопераційних рубцевозмінених</w:t>
      </w:r>
      <w:r w:rsidRPr="00014285">
        <w:t xml:space="preserve"> тканин шкіри при застосування класичної методики їх профілактики в порівнянні з авторською.</w:t>
      </w:r>
    </w:p>
    <w:p w:rsidR="00277037" w:rsidRPr="00014285" w:rsidRDefault="00277037" w:rsidP="00770C95">
      <w:pPr>
        <w:pStyle w:val="ac"/>
        <w:numPr>
          <w:ilvl w:val="0"/>
          <w:numId w:val="19"/>
        </w:numPr>
        <w:spacing w:line="360" w:lineRule="auto"/>
        <w:jc w:val="both"/>
      </w:pPr>
      <w:r w:rsidRPr="00014285">
        <w:t xml:space="preserve">Вивчити особливості морфологічної будови післяопераційних рубців шкіри за умов застосування </w:t>
      </w:r>
      <w:r w:rsidRPr="00536D58">
        <w:t>за</w:t>
      </w:r>
      <w:r w:rsidRPr="00014285">
        <w:t>пропонованої авторської методики.</w:t>
      </w:r>
    </w:p>
    <w:p w:rsidR="00277037" w:rsidRPr="00014285" w:rsidRDefault="00277037" w:rsidP="00770C95">
      <w:pPr>
        <w:pStyle w:val="ac"/>
        <w:numPr>
          <w:ilvl w:val="0"/>
          <w:numId w:val="19"/>
        </w:numPr>
        <w:spacing w:line="360" w:lineRule="auto"/>
        <w:jc w:val="both"/>
      </w:pPr>
      <w:r w:rsidRPr="00014285">
        <w:t>Вивчити динаміку змін біохімічних показників в гомогенатах післяопераційних рубців шкіри при застосуванні авторської методики їх профілактики.</w:t>
      </w:r>
    </w:p>
    <w:p w:rsidR="00277037" w:rsidRDefault="00277037" w:rsidP="00770C95">
      <w:pPr>
        <w:pStyle w:val="ac"/>
        <w:numPr>
          <w:ilvl w:val="0"/>
          <w:numId w:val="19"/>
        </w:numPr>
        <w:spacing w:line="360" w:lineRule="auto"/>
        <w:jc w:val="both"/>
      </w:pPr>
      <w:r w:rsidRPr="00014285">
        <w:t xml:space="preserve">Дослідити біохімічні аспекти регенераторних процесів рубцевозмінених тканин шкіри при використанні авторської методики за умов інтра- та постопераційної профілактики. </w:t>
      </w:r>
    </w:p>
    <w:p w:rsidR="00277037" w:rsidRDefault="00277037" w:rsidP="00770C95">
      <w:pPr>
        <w:pStyle w:val="ac"/>
        <w:numPr>
          <w:ilvl w:val="0"/>
          <w:numId w:val="19"/>
        </w:numPr>
        <w:spacing w:line="360" w:lineRule="auto"/>
        <w:jc w:val="both"/>
      </w:pPr>
      <w:r w:rsidRPr="00014285">
        <w:t>Провести порівняльну оцінку впливу на якість формування рубців, які утворюються після екстирпації кіст шиї ембріонального походження, фібринових мембран, отриманих із збагаченої тромбоцитами плазми крові та церулоплазміну, за умов їх комбінованого застосування</w:t>
      </w:r>
    </w:p>
    <w:p w:rsidR="007139F7" w:rsidRPr="00277037" w:rsidRDefault="007139F7" w:rsidP="00770C95">
      <w:pPr>
        <w:pStyle w:val="ac"/>
        <w:spacing w:line="360" w:lineRule="auto"/>
        <w:ind w:left="360" w:firstLine="348"/>
        <w:jc w:val="both"/>
      </w:pPr>
      <w:r w:rsidRPr="00277037">
        <w:rPr>
          <w:rFonts w:eastAsia="Times New Roman"/>
          <w:i/>
          <w:lang w:eastAsia="ar-SA"/>
        </w:rPr>
        <w:t>Об’єкт дослідження:</w:t>
      </w:r>
      <w:r w:rsidRPr="00277037">
        <w:rPr>
          <w:rFonts w:eastAsia="Times New Roman"/>
          <w:lang w:eastAsia="ar-SA"/>
        </w:rPr>
        <w:t xml:space="preserve"> рубцевозмінені тканини шкіри різних ділянок шиї після оперативного лікування хворих на кісти ембріонального походження.</w:t>
      </w:r>
    </w:p>
    <w:p w:rsidR="007139F7" w:rsidRPr="001174CC" w:rsidRDefault="007139F7" w:rsidP="007139F7">
      <w:pPr>
        <w:suppressAutoHyphens/>
        <w:spacing w:after="0" w:line="360" w:lineRule="auto"/>
        <w:ind w:firstLine="708"/>
        <w:jc w:val="both"/>
        <w:rPr>
          <w:rFonts w:eastAsia="Times New Roman" w:cs="Times New Roman"/>
          <w:sz w:val="28"/>
          <w:szCs w:val="28"/>
          <w:lang w:eastAsia="ar-SA"/>
        </w:rPr>
      </w:pPr>
      <w:r w:rsidRPr="007139F7">
        <w:rPr>
          <w:rFonts w:eastAsia="Times New Roman" w:cs="Times New Roman"/>
          <w:i/>
          <w:sz w:val="28"/>
          <w:szCs w:val="28"/>
          <w:lang w:eastAsia="ar-SA"/>
        </w:rPr>
        <w:t xml:space="preserve">Предмет </w:t>
      </w:r>
      <w:r w:rsidRPr="001174CC">
        <w:rPr>
          <w:rFonts w:eastAsia="Times New Roman" w:cs="Times New Roman"/>
          <w:i/>
          <w:sz w:val="28"/>
          <w:szCs w:val="28"/>
          <w:lang w:eastAsia="ar-SA"/>
        </w:rPr>
        <w:t>дослідження:</w:t>
      </w:r>
      <w:r w:rsidRPr="001174CC">
        <w:rPr>
          <w:rFonts w:eastAsia="Times New Roman" w:cs="Times New Roman"/>
          <w:sz w:val="28"/>
          <w:szCs w:val="28"/>
          <w:lang w:eastAsia="ar-SA"/>
        </w:rPr>
        <w:t xml:space="preserve"> динаміка клінічних проявів, змін морфологічної структури та біохімічних констант в післяопераційних рубцях у пацієнтів в залежності від обраної методики лікувально-профілактичних заходів.</w:t>
      </w:r>
    </w:p>
    <w:p w:rsidR="007139F7" w:rsidRPr="007139F7" w:rsidRDefault="007139F7" w:rsidP="007139F7">
      <w:pPr>
        <w:suppressAutoHyphens/>
        <w:spacing w:after="0" w:line="360" w:lineRule="auto"/>
        <w:ind w:firstLine="709"/>
        <w:jc w:val="both"/>
        <w:rPr>
          <w:rFonts w:eastAsia="Times New Roman" w:cs="Times New Roman"/>
          <w:sz w:val="28"/>
          <w:szCs w:val="28"/>
          <w:lang w:eastAsia="ar-SA"/>
        </w:rPr>
      </w:pPr>
      <w:r w:rsidRPr="001174CC">
        <w:rPr>
          <w:rFonts w:eastAsia="Times New Roman" w:cs="Times New Roman"/>
          <w:b/>
          <w:sz w:val="28"/>
          <w:szCs w:val="28"/>
          <w:lang w:eastAsia="ar-SA"/>
        </w:rPr>
        <w:t xml:space="preserve">Методи дослідження. </w:t>
      </w:r>
      <w:r w:rsidRPr="001174CC">
        <w:rPr>
          <w:rFonts w:eastAsia="Times New Roman" w:cs="Times New Roman"/>
          <w:sz w:val="28"/>
          <w:szCs w:val="28"/>
          <w:lang w:eastAsia="ar-SA"/>
        </w:rPr>
        <w:t>Для досягнення поставленої</w:t>
      </w:r>
      <w:r w:rsidRPr="007139F7">
        <w:rPr>
          <w:rFonts w:eastAsia="Times New Roman" w:cs="Times New Roman"/>
          <w:sz w:val="28"/>
          <w:szCs w:val="28"/>
          <w:lang w:eastAsia="ar-SA"/>
        </w:rPr>
        <w:t xml:space="preserve"> мети були використані наступні методи:</w:t>
      </w:r>
    </w:p>
    <w:p w:rsidR="007139F7" w:rsidRPr="007139F7" w:rsidRDefault="007139F7" w:rsidP="007139F7">
      <w:pPr>
        <w:numPr>
          <w:ilvl w:val="0"/>
          <w:numId w:val="2"/>
        </w:numPr>
        <w:suppressAutoHyphens/>
        <w:spacing w:after="0" w:line="360" w:lineRule="auto"/>
        <w:jc w:val="both"/>
        <w:rPr>
          <w:rFonts w:eastAsia="Times New Roman" w:cs="Times New Roman"/>
          <w:sz w:val="28"/>
          <w:szCs w:val="28"/>
          <w:lang w:eastAsia="ar-SA"/>
        </w:rPr>
      </w:pPr>
      <w:r w:rsidRPr="007139F7">
        <w:rPr>
          <w:rFonts w:eastAsia="Times New Roman" w:cs="Times New Roman"/>
          <w:sz w:val="28"/>
          <w:szCs w:val="28"/>
          <w:lang w:eastAsia="ar-SA"/>
        </w:rPr>
        <w:t>клінічні – для вивчення динаміки клінічних змін у післяопераційних рубцях шкіри;</w:t>
      </w:r>
    </w:p>
    <w:p w:rsidR="007139F7" w:rsidRPr="007139F7" w:rsidRDefault="007139F7" w:rsidP="007139F7">
      <w:pPr>
        <w:numPr>
          <w:ilvl w:val="0"/>
          <w:numId w:val="2"/>
        </w:numPr>
        <w:suppressAutoHyphens/>
        <w:spacing w:after="0" w:line="360" w:lineRule="auto"/>
        <w:jc w:val="both"/>
        <w:rPr>
          <w:rFonts w:eastAsia="Times New Roman" w:cs="Times New Roman"/>
          <w:sz w:val="28"/>
          <w:szCs w:val="28"/>
          <w:lang w:eastAsia="ar-SA"/>
        </w:rPr>
      </w:pPr>
      <w:r w:rsidRPr="007139F7">
        <w:rPr>
          <w:rFonts w:eastAsia="Times New Roman" w:cs="Times New Roman"/>
          <w:sz w:val="28"/>
          <w:szCs w:val="28"/>
          <w:lang w:eastAsia="ar-SA"/>
        </w:rPr>
        <w:t>гісто</w:t>
      </w:r>
      <w:r w:rsidR="00536D58">
        <w:rPr>
          <w:rFonts w:eastAsia="Times New Roman" w:cs="Times New Roman"/>
          <w:sz w:val="28"/>
          <w:szCs w:val="28"/>
          <w:lang w:val="ru-RU" w:eastAsia="ar-SA"/>
        </w:rPr>
        <w:t>топографічні</w:t>
      </w:r>
      <w:r w:rsidRPr="007139F7">
        <w:rPr>
          <w:rFonts w:eastAsia="Times New Roman" w:cs="Times New Roman"/>
          <w:sz w:val="28"/>
          <w:szCs w:val="28"/>
          <w:lang w:eastAsia="ar-SA"/>
        </w:rPr>
        <w:t xml:space="preserve"> – для вивчення морфологічних особливостей будови післяопераційних рубцевозмінених тканин;</w:t>
      </w:r>
    </w:p>
    <w:p w:rsidR="007139F7" w:rsidRPr="007139F7" w:rsidRDefault="007139F7" w:rsidP="007139F7">
      <w:pPr>
        <w:numPr>
          <w:ilvl w:val="0"/>
          <w:numId w:val="2"/>
        </w:numPr>
        <w:suppressAutoHyphens/>
        <w:spacing w:after="0" w:line="360" w:lineRule="auto"/>
        <w:jc w:val="both"/>
        <w:rPr>
          <w:rFonts w:eastAsia="Times New Roman" w:cs="Times New Roman"/>
          <w:sz w:val="28"/>
          <w:szCs w:val="28"/>
          <w:lang w:eastAsia="ar-SA"/>
        </w:rPr>
      </w:pPr>
      <w:r w:rsidRPr="007139F7">
        <w:rPr>
          <w:rFonts w:eastAsia="Times New Roman" w:cs="Times New Roman"/>
          <w:sz w:val="28"/>
          <w:szCs w:val="28"/>
          <w:lang w:eastAsia="ar-SA"/>
        </w:rPr>
        <w:t>імуногістохімічні – для вивчення універсального маркера проліферативної активності Кі – 67;</w:t>
      </w:r>
    </w:p>
    <w:p w:rsidR="007139F7" w:rsidRPr="007139F7" w:rsidRDefault="007139F7" w:rsidP="007139F7">
      <w:pPr>
        <w:numPr>
          <w:ilvl w:val="0"/>
          <w:numId w:val="2"/>
        </w:numPr>
        <w:suppressAutoHyphens/>
        <w:spacing w:after="0" w:line="360" w:lineRule="auto"/>
        <w:jc w:val="both"/>
        <w:rPr>
          <w:rFonts w:eastAsia="Times New Roman" w:cs="Times New Roman"/>
          <w:sz w:val="28"/>
          <w:szCs w:val="28"/>
          <w:lang w:eastAsia="ar-SA"/>
        </w:rPr>
      </w:pPr>
      <w:r w:rsidRPr="007139F7">
        <w:rPr>
          <w:rFonts w:eastAsia="Times New Roman" w:cs="Times New Roman"/>
          <w:sz w:val="28"/>
          <w:szCs w:val="28"/>
          <w:lang w:eastAsia="ar-SA"/>
        </w:rPr>
        <w:lastRenderedPageBreak/>
        <w:t>біохімічні – для визначення вмісту показників активних форм оксигену, продуктів перекисного окислення ліпідів, маркерів регенераторних процесів та рівня неспецифічних факторів захисту;</w:t>
      </w:r>
    </w:p>
    <w:p w:rsidR="007139F7" w:rsidRPr="001174CC" w:rsidRDefault="007139F7" w:rsidP="001174CC">
      <w:pPr>
        <w:numPr>
          <w:ilvl w:val="0"/>
          <w:numId w:val="2"/>
        </w:numPr>
        <w:suppressAutoHyphens/>
        <w:spacing w:after="0" w:line="360" w:lineRule="auto"/>
        <w:jc w:val="both"/>
        <w:rPr>
          <w:rFonts w:eastAsia="Times New Roman" w:cs="Times New Roman"/>
          <w:sz w:val="28"/>
          <w:szCs w:val="28"/>
          <w:lang w:eastAsia="ar-SA"/>
        </w:rPr>
      </w:pPr>
      <w:r w:rsidRPr="007139F7">
        <w:rPr>
          <w:rFonts w:eastAsia="Times New Roman" w:cs="Times New Roman"/>
          <w:sz w:val="28"/>
          <w:szCs w:val="28"/>
          <w:lang w:eastAsia="ar-SA"/>
        </w:rPr>
        <w:t>статистичні методи обробки отриманих даних.</w:t>
      </w:r>
    </w:p>
    <w:p w:rsidR="001174CC" w:rsidRPr="001174CC" w:rsidRDefault="007139F7" w:rsidP="001174CC">
      <w:pPr>
        <w:pStyle w:val="ac"/>
        <w:spacing w:line="360" w:lineRule="auto"/>
        <w:ind w:firstLine="709"/>
        <w:jc w:val="both"/>
      </w:pPr>
      <w:r w:rsidRPr="001174CC">
        <w:rPr>
          <w:rFonts w:eastAsia="Times New Roman"/>
          <w:b/>
          <w:lang w:eastAsia="ar-SA"/>
        </w:rPr>
        <w:t>Наукова новизна отриманих результатів.</w:t>
      </w:r>
      <w:r w:rsidRPr="001174CC">
        <w:rPr>
          <w:rFonts w:eastAsia="Times New Roman"/>
          <w:lang w:eastAsia="ar-SA"/>
        </w:rPr>
        <w:t xml:space="preserve"> </w:t>
      </w:r>
      <w:r w:rsidR="001174CC" w:rsidRPr="001174CC">
        <w:t>Отримало подальший розвиток питання стосовно важливості клінічної оцінки виду формування рубця після планових оперативних втручань з приводу кіст шиї ембріонального походження, що дозволяє своєчасно спланувати застосування певного обсягу фармакологічних препаратів різних груп на етапах спостереження.</w:t>
      </w:r>
    </w:p>
    <w:p w:rsidR="001174CC" w:rsidRPr="001174CC" w:rsidRDefault="001174CC" w:rsidP="001174CC">
      <w:pPr>
        <w:pStyle w:val="ac"/>
        <w:spacing w:line="360" w:lineRule="auto"/>
        <w:ind w:firstLine="709"/>
        <w:jc w:val="both"/>
      </w:pPr>
      <w:r w:rsidRPr="001174CC">
        <w:t>Розроблено авторську методику утворення патологічних рубців шкіри при хірургічному лікування пацієнтів з кістами шиї ембріонального походження, який полягає в поетапному застосуванні PRF-згустку на інтраопераційному етапі профілактики та церулоплазміну в післяопераційному періоді</w:t>
      </w:r>
      <w:r>
        <w:t>.</w:t>
      </w:r>
      <w:r w:rsidRPr="001174CC">
        <w:t xml:space="preserve"> </w:t>
      </w:r>
    </w:p>
    <w:p w:rsidR="001174CC" w:rsidRPr="001174CC" w:rsidRDefault="001174CC" w:rsidP="001174CC">
      <w:pPr>
        <w:pStyle w:val="ac"/>
        <w:spacing w:line="360" w:lineRule="auto"/>
        <w:ind w:firstLine="708"/>
        <w:jc w:val="both"/>
      </w:pPr>
      <w:r w:rsidRPr="001174CC">
        <w:t>Вперше на мікроскопічному рівні досліджено архітектоніку післяопераційних рубцевозмінених тканин шкіри за умов застосування класичної та авторської методик профілактики при їх надмірному рості. Перевагу проведених заходів доведено вже на 6 місяць післяопераційного періоду: структура сосочків не відрізняється від інтактної дерми, а епітеліальні пласти характеризуються мономорфною картиною і однаковими розмірами. Реакція з антитілами до білку Кі-67 виявляє проліферативну активність в 20% епітеліальних клітин базального шару епідермісу і відсутність її в клітинах сполучнотканинного рубця.</w:t>
      </w:r>
    </w:p>
    <w:p w:rsidR="001174CC" w:rsidRPr="001174CC" w:rsidRDefault="001174CC" w:rsidP="001174CC">
      <w:pPr>
        <w:pStyle w:val="ac"/>
        <w:spacing w:line="360" w:lineRule="auto"/>
        <w:ind w:firstLine="708"/>
        <w:jc w:val="both"/>
      </w:pPr>
      <w:r w:rsidRPr="001174CC">
        <w:t xml:space="preserve">В роботі уточнено наукові дані щодо впливу активних форм оксигену, показників перекисного окиснення ліпідів, факторів неспецифічного імунітету та регенераторні процеси в залежності від складових компонентів, що входять до складу комплексу інтра- та післяопераційної профілактики. Встановлено, що при застосування авторської методики відсоток АФО через 3 місяці спостереження достовірно менший на 26,6 % , через 6 місяців – на 10,9 % і </w:t>
      </w:r>
      <w:r w:rsidRPr="001174CC">
        <w:lastRenderedPageBreak/>
        <w:t>через 9 місяців – на 12,2 %, стосовно даних пацієнтів контрольної групи</w:t>
      </w:r>
      <w:r w:rsidRPr="00536D58">
        <w:rPr>
          <w:lang w:val="ru-RU"/>
        </w:rPr>
        <w:t xml:space="preserve"> </w:t>
      </w:r>
      <w:r w:rsidRPr="001174CC">
        <w:rPr>
          <w:rFonts w:eastAsia="Calibri"/>
        </w:rPr>
        <w:t>(р&lt;0,05)</w:t>
      </w:r>
      <w:r w:rsidRPr="001174CC">
        <w:t>. Концентрація ДК в рубцях чер</w:t>
      </w:r>
      <w:r w:rsidR="000D495E">
        <w:t>ез 3 місяці зменшується на 38,6 %</w:t>
      </w:r>
      <w:r w:rsidRPr="001174CC">
        <w:t>, через 6– на 25,3 % і через 9– на 13,0 %, відносно групи контролю, ТБК-АП в них через 3 місяці знижується на 35,1 %, через 6 – на 27,7 % і через 9– 8,7 на %</w:t>
      </w:r>
      <w:r w:rsidRPr="00536D58">
        <w:rPr>
          <w:lang w:val="ru-RU"/>
        </w:rPr>
        <w:t xml:space="preserve"> </w:t>
      </w:r>
      <w:r w:rsidRPr="001174CC">
        <w:rPr>
          <w:rFonts w:eastAsia="Calibri"/>
        </w:rPr>
        <w:t>(р&lt;0,05).</w:t>
      </w:r>
      <w:r w:rsidRPr="001174CC">
        <w:t xml:space="preserve"> </w:t>
      </w:r>
    </w:p>
    <w:p w:rsidR="001174CC" w:rsidRPr="001174CC" w:rsidRDefault="001174CC" w:rsidP="001174CC">
      <w:pPr>
        <w:pStyle w:val="ac"/>
        <w:spacing w:line="360" w:lineRule="auto"/>
        <w:ind w:firstLine="708"/>
        <w:jc w:val="both"/>
      </w:pPr>
      <w:r w:rsidRPr="001174CC">
        <w:t xml:space="preserve">Вперше доведено біохімічні механізми, що впливають на оптимізацію регенеративних процесів та кисневодефіцитний стан на місцевому рівні, який має місце при формуванні рубцевозмінених тканин після планових оперативних втручань з приводу кіст шиї ембріонального походження в залежності від обраної методики лікувально-профілактичних заходів. Спостерігається зростання ДНК </w:t>
      </w:r>
      <w:r w:rsidRPr="001174CC">
        <w:rPr>
          <w:lang w:val="ru-RU"/>
        </w:rPr>
        <w:t xml:space="preserve">у гомогенатах рубцевозмінених тканин </w:t>
      </w:r>
      <w:r w:rsidRPr="001174CC">
        <w:t xml:space="preserve">через 3 місяці на 75,1 %, через 6 – на 31,9%, а через 9 – на 9,2% </w:t>
      </w:r>
      <w:r w:rsidRPr="001174CC">
        <w:rPr>
          <w:rFonts w:eastAsia="Calibri"/>
        </w:rPr>
        <w:t>(р&lt;0,05)</w:t>
      </w:r>
      <w:r w:rsidRPr="001174CC">
        <w:t>. Активність СОД через 3 місяці після оперативного втручання зменшується на 24,6 %, через 6 – на 16,7%, а через 9 – на 14,7%</w:t>
      </w:r>
      <w:r w:rsidRPr="00536D58">
        <w:rPr>
          <w:lang w:val="ru-RU"/>
        </w:rPr>
        <w:t xml:space="preserve"> </w:t>
      </w:r>
      <w:r w:rsidRPr="001174CC">
        <w:rPr>
          <w:rFonts w:eastAsia="Calibri"/>
        </w:rPr>
        <w:t>(р&lt;0,05)</w:t>
      </w:r>
      <w:r w:rsidRPr="001174CC">
        <w:t>.</w:t>
      </w:r>
    </w:p>
    <w:p w:rsidR="001174CC" w:rsidRPr="001174CC" w:rsidRDefault="001174CC" w:rsidP="001174CC">
      <w:pPr>
        <w:pStyle w:val="ac"/>
        <w:spacing w:line="360" w:lineRule="auto"/>
        <w:ind w:firstLine="708"/>
        <w:jc w:val="both"/>
      </w:pPr>
      <w:r w:rsidRPr="001174CC">
        <w:t>Доповнено наукові дані про вплив на якість формування післяопераційного рубця фібринових мембран, отриманих із збагаченої тромбоцитами плазми крові та церулоплазміну при монотерапії та їх комбінованому застосуванні. Доведено, що комбіноване застосування PRF-згустку та церулоплазміну, на відміну від монотерапії фібриновими мембранами, призводить до формування рубця з оптимальними функціональними і естетичними результатами, за рахунок прискорення швидкості зменшення площі рубцевозмінених тканин у цій групі пацієнтів у 1,2 рази.</w:t>
      </w:r>
    </w:p>
    <w:p w:rsidR="001174CC" w:rsidRPr="001174CC" w:rsidRDefault="007139F7" w:rsidP="001174CC">
      <w:pPr>
        <w:suppressAutoHyphens/>
        <w:spacing w:after="0" w:line="360" w:lineRule="auto"/>
        <w:ind w:firstLine="708"/>
        <w:jc w:val="both"/>
        <w:rPr>
          <w:sz w:val="28"/>
          <w:szCs w:val="28"/>
        </w:rPr>
      </w:pPr>
      <w:r w:rsidRPr="007139F7">
        <w:rPr>
          <w:rFonts w:eastAsia="Times New Roman" w:cs="Times New Roman"/>
          <w:b/>
          <w:sz w:val="28"/>
          <w:szCs w:val="28"/>
          <w:lang w:eastAsia="ar-SA"/>
        </w:rPr>
        <w:t xml:space="preserve">Практичне значення отриманих результатів. </w:t>
      </w:r>
      <w:r w:rsidR="001174CC" w:rsidRPr="001174CC">
        <w:rPr>
          <w:sz w:val="28"/>
          <w:szCs w:val="28"/>
        </w:rPr>
        <w:t>Створена морфологічна, імуногістохімічна та біохімічна доказова база ефективності комбінованого застосування фібринових мембран, отриманих із збагаченої тромбоцитами плазми крові та церулоплазміну після екстирпації кіст шиї ембріонального походження.</w:t>
      </w:r>
    </w:p>
    <w:p w:rsidR="001174CC" w:rsidRPr="001174CC" w:rsidRDefault="001174CC" w:rsidP="001174CC">
      <w:pPr>
        <w:pStyle w:val="ac"/>
        <w:spacing w:line="360" w:lineRule="auto"/>
        <w:ind w:firstLine="708"/>
        <w:jc w:val="both"/>
      </w:pPr>
      <w:r w:rsidRPr="001174CC">
        <w:t xml:space="preserve">Розроблено авторську методику інтра- та післяопераційної профілактики утворення патологічних рубцевозмінених тканин шкіри при </w:t>
      </w:r>
      <w:r w:rsidRPr="004B2A21">
        <w:lastRenderedPageBreak/>
        <w:t>лікуванні пацієнтів з серединними та бічними кістами шиї дозволяє</w:t>
      </w:r>
      <w:r w:rsidRPr="001174CC">
        <w:t xml:space="preserve"> підвищити її якість з отриманням оптимального варіанту функціонального та косметичного ефекту.</w:t>
      </w:r>
    </w:p>
    <w:p w:rsidR="001174CC" w:rsidRPr="001174CC" w:rsidRDefault="001174CC" w:rsidP="001174CC">
      <w:pPr>
        <w:suppressAutoHyphens/>
        <w:spacing w:after="0" w:line="360" w:lineRule="auto"/>
        <w:ind w:firstLine="709"/>
        <w:jc w:val="both"/>
        <w:rPr>
          <w:sz w:val="28"/>
          <w:szCs w:val="28"/>
        </w:rPr>
      </w:pPr>
      <w:r w:rsidRPr="001174CC">
        <w:rPr>
          <w:sz w:val="28"/>
          <w:szCs w:val="28"/>
        </w:rPr>
        <w:t>Результати дослідження впроваджені в клінічну практику: щелепно-лицевого відділення Полтавської обласної клінічної лікарні ім. М.В. Скліфосовського, Університетського стоматологічного центру Харківського національного медичного університету, відділення хірургічної стоматології ОКУ «Чернівецька обласна лікарня», щелепно-лицевого відділення Вінницької клінічної лікарні ім. М.І. Пірогова, щелепно-лицевого відділення міс</w:t>
      </w:r>
      <w:r w:rsidR="008F2712">
        <w:rPr>
          <w:sz w:val="28"/>
          <w:szCs w:val="28"/>
        </w:rPr>
        <w:t>ь</w:t>
      </w:r>
      <w:r w:rsidRPr="001174CC">
        <w:rPr>
          <w:sz w:val="28"/>
          <w:szCs w:val="28"/>
        </w:rPr>
        <w:t>кої клінічної лікарні швидкої медичної допомоги м. Вінниця, та використовуються в навчальному процесі на кафедрах хірургічної стоматології та щелепно-лицевої хірургії з пластичною та реконструктивною хірургією голови та шиї Української медичної стоматологічної академії, хірургічної стоматології Вінницького національного медичного університету ім. М.І. Пирогова, хірургічної стоматології та щелепно-лицевої хірургії ВДНЗУ «Буковинський державний медичний університет», хірургічної стоматології Івано-Франківського національного медичного університету</w:t>
      </w:r>
    </w:p>
    <w:p w:rsidR="007139F7" w:rsidRPr="007139F7" w:rsidRDefault="007139F7" w:rsidP="001174CC">
      <w:pPr>
        <w:suppressAutoHyphens/>
        <w:spacing w:after="0" w:line="360" w:lineRule="auto"/>
        <w:ind w:firstLine="709"/>
        <w:jc w:val="both"/>
        <w:rPr>
          <w:rFonts w:eastAsia="Times New Roman" w:cs="Times New Roman"/>
          <w:sz w:val="28"/>
          <w:szCs w:val="28"/>
          <w:lang w:eastAsia="ar-SA"/>
        </w:rPr>
      </w:pPr>
      <w:r w:rsidRPr="007139F7">
        <w:rPr>
          <w:rFonts w:eastAsia="Times New Roman" w:cs="Times New Roman"/>
          <w:b/>
          <w:sz w:val="28"/>
          <w:szCs w:val="28"/>
          <w:lang w:eastAsia="ar-SA"/>
        </w:rPr>
        <w:t xml:space="preserve">Особистий внесок здобувача. </w:t>
      </w:r>
      <w:r w:rsidRPr="007139F7">
        <w:rPr>
          <w:rFonts w:eastAsia="Times New Roman" w:cs="Times New Roman"/>
          <w:sz w:val="28"/>
          <w:szCs w:val="28"/>
          <w:lang w:eastAsia="ar-SA"/>
        </w:rPr>
        <w:t>Дисертаційна робота є самостійним науковим дослідженням. Автором особисто проведено моніторинг відомих фундаментальних та періодичних наукових видань із досліджуваної теми, систематизовано інформаційно-патентний пошук.</w:t>
      </w:r>
    </w:p>
    <w:p w:rsidR="007139F7" w:rsidRPr="007139F7" w:rsidRDefault="007139F7" w:rsidP="007139F7">
      <w:pPr>
        <w:suppressAutoHyphens/>
        <w:spacing w:after="0" w:line="360" w:lineRule="auto"/>
        <w:ind w:firstLine="709"/>
        <w:jc w:val="both"/>
        <w:rPr>
          <w:rFonts w:eastAsia="Times New Roman" w:cs="Times New Roman"/>
          <w:sz w:val="28"/>
          <w:szCs w:val="28"/>
          <w:lang w:eastAsia="ar-SA"/>
        </w:rPr>
      </w:pPr>
      <w:r w:rsidRPr="007139F7">
        <w:rPr>
          <w:rFonts w:eastAsia="Times New Roman" w:cs="Times New Roman"/>
          <w:sz w:val="28"/>
          <w:szCs w:val="28"/>
          <w:lang w:eastAsia="ar-SA"/>
        </w:rPr>
        <w:t xml:space="preserve">Дисертантом, за </w:t>
      </w:r>
      <w:r w:rsidRPr="007139F7">
        <w:rPr>
          <w:rFonts w:eastAsia="Times New Roman" w:cs="Times New Roman"/>
          <w:sz w:val="28"/>
          <w:szCs w:val="28"/>
          <w:lang w:val="ru-RU" w:eastAsia="ar-SA"/>
        </w:rPr>
        <w:t>консультативної підтримки</w:t>
      </w:r>
      <w:r w:rsidRPr="007139F7">
        <w:rPr>
          <w:rFonts w:eastAsia="Times New Roman" w:cs="Times New Roman"/>
          <w:sz w:val="28"/>
          <w:szCs w:val="28"/>
          <w:lang w:eastAsia="ar-SA"/>
        </w:rPr>
        <w:t xml:space="preserve"> наукового керівника, виконано узагальнення основних теоретичних та практичних положень проведеної наукової роботи, аргументовано вибір методик обстеження, лікувальних та профілактичних заходів, проведені клінічні методи дослідження. Запатентовані та впроваджені в клінічну практику та навчальний процес спосіб інтра- та постопераційної профілактики утворення патологічних післяопераційних рубців шкіри після хірургічного лікування хворих на кісти шиї ембріонального походження. За консультативної підтримки наукового керівника написано розділи дисертації: «Аналіз і узагальнення результатів </w:t>
      </w:r>
      <w:r w:rsidRPr="007139F7">
        <w:rPr>
          <w:rFonts w:eastAsia="Times New Roman" w:cs="Times New Roman"/>
          <w:sz w:val="28"/>
          <w:szCs w:val="28"/>
          <w:lang w:eastAsia="ar-SA"/>
        </w:rPr>
        <w:lastRenderedPageBreak/>
        <w:t>дослідження», «Висновки» та «Практичні рекомендації». У публікаціях, надрукованих у співавторстві, основні ідеї та матеріали належать дисертанту.</w:t>
      </w:r>
    </w:p>
    <w:p w:rsidR="007139F7" w:rsidRPr="007139F7" w:rsidRDefault="007139F7" w:rsidP="007139F7">
      <w:pPr>
        <w:suppressAutoHyphens/>
        <w:spacing w:after="0" w:line="360" w:lineRule="auto"/>
        <w:ind w:firstLine="709"/>
        <w:jc w:val="both"/>
        <w:rPr>
          <w:rFonts w:eastAsia="Calibri" w:cs="Times New Roman"/>
          <w:sz w:val="28"/>
          <w:szCs w:val="28"/>
          <w:lang w:eastAsia="ar-SA"/>
        </w:rPr>
      </w:pPr>
      <w:r w:rsidRPr="007139F7">
        <w:rPr>
          <w:rFonts w:eastAsia="Times New Roman" w:cs="Times New Roman"/>
          <w:b/>
          <w:sz w:val="28"/>
          <w:szCs w:val="28"/>
          <w:lang w:eastAsia="ar-SA"/>
        </w:rPr>
        <w:t>Апробація результатів дослідження.</w:t>
      </w:r>
      <w:r w:rsidRPr="007139F7">
        <w:rPr>
          <w:rFonts w:eastAsia="Times New Roman" w:cs="Times New Roman"/>
          <w:sz w:val="28"/>
          <w:szCs w:val="28"/>
          <w:lang w:eastAsia="ar-SA"/>
        </w:rPr>
        <w:t xml:space="preserve"> Основні положення дисертаційної роботи доповідались на: </w:t>
      </w:r>
      <w:r w:rsidRPr="007139F7">
        <w:rPr>
          <w:rFonts w:eastAsia="Calibri" w:cs="Times New Roman"/>
          <w:sz w:val="28"/>
          <w:szCs w:val="28"/>
          <w:lang w:eastAsia="ar-SA"/>
        </w:rPr>
        <w:t>третій (ІІІ) міжрегіонарній науково-практичній конференції «Стоматологія Придніпров’я» (Дніпропетровськ, Запоріжжя, 2015 р.); науково-практичній конференції за участі міжнародних спеціалістів «Індивідуальна анатомічна мінливість органів, систем, тканин людини та її значення для практичної медицини і стоматології» (Полтава, 2016 р.); Национальном конгрессе с международным участием «Паринские чтения 2016. Обеспечение демографической безопасности при решении актиуальных вопросов хирургической стоматологии и челюстно-лицевой хирургии» (Минск, 2016 г.); обласній науково-практичній конференції «Сучасні досягнення та перспективи розвитку хірургічної стоматології та щелепно-лицевої хірургії» (Полтава, 2017 р.); науково-практичній інтернет-конференції з міжнародною участю «Актуальні проблеми сучасної клінічної анатомії та оперативної хірургії» (Полтава, 2018 р.); национальном конгрессе с международным участием «Паринские чтения 2018. Перспективные решения в прогнозировании, диагностике, лечении и реабилитации заболеваний черепно-челюстно-лицевой области и шеи» (Минск, 2018 г.).</w:t>
      </w:r>
    </w:p>
    <w:p w:rsidR="001174CC" w:rsidRPr="00A5191B" w:rsidRDefault="007139F7" w:rsidP="001174CC">
      <w:pPr>
        <w:pStyle w:val="ac"/>
        <w:spacing w:line="360" w:lineRule="auto"/>
        <w:ind w:firstLine="708"/>
        <w:jc w:val="both"/>
      </w:pPr>
      <w:r w:rsidRPr="007139F7">
        <w:rPr>
          <w:rFonts w:eastAsia="SimSun"/>
          <w:b/>
          <w:lang w:eastAsia="zh-CN"/>
        </w:rPr>
        <w:t xml:space="preserve">Публікації. </w:t>
      </w:r>
      <w:r w:rsidR="001174CC" w:rsidRPr="00A5191B">
        <w:t>За матеріалами дисе</w:t>
      </w:r>
      <w:r w:rsidR="001174CC">
        <w:t>ртаційної роботи опубліковано 13 наукових праць, серед них 8</w:t>
      </w:r>
      <w:r w:rsidR="001174CC" w:rsidRPr="00A5191B">
        <w:t xml:space="preserve"> статей − в наукових фахових виданнях</w:t>
      </w:r>
      <w:r w:rsidR="001174CC">
        <w:t xml:space="preserve">, </w:t>
      </w:r>
      <w:r w:rsidR="001174CC" w:rsidRPr="00A5191B">
        <w:t>отримано 1 п</w:t>
      </w:r>
      <w:r w:rsidR="001174CC">
        <w:t>атент України на корисну модель,</w:t>
      </w:r>
      <w:r w:rsidR="001174CC" w:rsidRPr="00A5191B">
        <w:t xml:space="preserve">  </w:t>
      </w:r>
      <w:r w:rsidR="001174CC" w:rsidRPr="0075719C">
        <w:t>4</w:t>
      </w:r>
      <w:r w:rsidR="001174CC">
        <w:t xml:space="preserve"> </w:t>
      </w:r>
      <w:r w:rsidR="001174CC" w:rsidRPr="00A5191B">
        <w:t xml:space="preserve"> </w:t>
      </w:r>
      <w:r w:rsidR="001174CC">
        <w:t xml:space="preserve">роботи у матеріалах з'їздів та конференцій. </w:t>
      </w:r>
    </w:p>
    <w:p w:rsidR="007139F7" w:rsidRPr="007139F7" w:rsidRDefault="007139F7" w:rsidP="007139F7">
      <w:pPr>
        <w:suppressAutoHyphens/>
        <w:spacing w:after="0" w:line="360" w:lineRule="auto"/>
        <w:ind w:firstLine="709"/>
        <w:jc w:val="both"/>
        <w:rPr>
          <w:rFonts w:eastAsia="SimSun" w:cs="Times New Roman"/>
          <w:sz w:val="28"/>
          <w:szCs w:val="28"/>
          <w:lang w:eastAsia="zh-CN"/>
        </w:rPr>
      </w:pPr>
    </w:p>
    <w:p w:rsidR="007139F7" w:rsidRPr="007139F7" w:rsidRDefault="007139F7" w:rsidP="007139F7">
      <w:pPr>
        <w:rPr>
          <w:rFonts w:eastAsia="Calibri" w:cs="Times New Roman"/>
          <w:b/>
          <w:sz w:val="28"/>
          <w:szCs w:val="28"/>
        </w:rPr>
      </w:pPr>
      <w:r w:rsidRPr="007139F7">
        <w:rPr>
          <w:rFonts w:eastAsia="Calibri" w:cs="Times New Roman"/>
          <w:b/>
          <w:sz w:val="28"/>
          <w:szCs w:val="28"/>
        </w:rPr>
        <w:br w:type="page"/>
      </w:r>
    </w:p>
    <w:p w:rsidR="007139F7" w:rsidRPr="007139F7" w:rsidRDefault="007139F7" w:rsidP="007139F7">
      <w:pPr>
        <w:shd w:val="clear" w:color="auto" w:fill="FFFFFF"/>
        <w:spacing w:after="0" w:line="360" w:lineRule="auto"/>
        <w:jc w:val="center"/>
        <w:rPr>
          <w:rFonts w:eastAsia="Times New Roman" w:cs="Times New Roman"/>
          <w:b/>
          <w:color w:val="000000"/>
          <w:sz w:val="28"/>
          <w:szCs w:val="28"/>
          <w:lang w:eastAsia="ru-RU"/>
        </w:rPr>
      </w:pPr>
      <w:r w:rsidRPr="007139F7">
        <w:rPr>
          <w:rFonts w:eastAsia="Times New Roman" w:cs="Times New Roman"/>
          <w:b/>
          <w:color w:val="000000"/>
          <w:sz w:val="28"/>
          <w:szCs w:val="28"/>
          <w:lang w:eastAsia="ru-RU"/>
        </w:rPr>
        <w:lastRenderedPageBreak/>
        <w:t>РОЗДІЛ І</w:t>
      </w:r>
    </w:p>
    <w:p w:rsidR="007139F7" w:rsidRPr="007139F7" w:rsidRDefault="007139F7" w:rsidP="007139F7">
      <w:pPr>
        <w:shd w:val="clear" w:color="auto" w:fill="FFFFFF"/>
        <w:spacing w:after="0" w:line="360" w:lineRule="auto"/>
        <w:jc w:val="center"/>
        <w:rPr>
          <w:rFonts w:eastAsia="Times New Roman" w:cs="Times New Roman"/>
          <w:b/>
          <w:color w:val="000000"/>
          <w:sz w:val="28"/>
          <w:szCs w:val="28"/>
          <w:lang w:eastAsia="ru-RU"/>
        </w:rPr>
      </w:pPr>
    </w:p>
    <w:p w:rsidR="007139F7" w:rsidRPr="007139F7" w:rsidRDefault="007139F7" w:rsidP="007139F7">
      <w:pPr>
        <w:shd w:val="clear" w:color="auto" w:fill="FFFFFF"/>
        <w:spacing w:after="0" w:line="360" w:lineRule="auto"/>
        <w:jc w:val="center"/>
        <w:rPr>
          <w:rFonts w:eastAsia="Times New Roman" w:cs="Times New Roman"/>
          <w:b/>
          <w:color w:val="000000"/>
          <w:sz w:val="28"/>
          <w:szCs w:val="28"/>
          <w:lang w:eastAsia="ru-RU"/>
        </w:rPr>
      </w:pPr>
    </w:p>
    <w:p w:rsidR="007139F7" w:rsidRPr="007139F7" w:rsidRDefault="007139F7" w:rsidP="007139F7">
      <w:pPr>
        <w:shd w:val="clear" w:color="auto" w:fill="FFFFFF"/>
        <w:spacing w:after="0" w:line="360" w:lineRule="auto"/>
        <w:jc w:val="center"/>
        <w:rPr>
          <w:rFonts w:eastAsia="Times New Roman" w:cs="Times New Roman"/>
          <w:b/>
          <w:color w:val="000000"/>
          <w:sz w:val="28"/>
          <w:szCs w:val="28"/>
          <w:lang w:eastAsia="ru-RU"/>
        </w:rPr>
      </w:pPr>
      <w:r w:rsidRPr="007139F7">
        <w:rPr>
          <w:rFonts w:eastAsia="Times New Roman" w:cs="Times New Roman"/>
          <w:b/>
          <w:color w:val="000000"/>
          <w:sz w:val="28"/>
          <w:szCs w:val="28"/>
          <w:lang w:eastAsia="ru-RU"/>
        </w:rPr>
        <w:t>СУЧАСНІ УЯВЛЕННЯ ПРО ЕТІОЛОГІЮ, ПАТОГЕНЕЗ КІСТ ШИЇ ЕМБРІОНАЛЬНОГО ПОХОДЖЕННЯ, МЕХАНІЗМИ ФОРМУВАННЯ ТА ПРОФІЛАКТИКУ ПАТОЛОГІЧНИХ РУБЦЕВОЗМІНЕНИХ ТКАНИН</w:t>
      </w:r>
    </w:p>
    <w:p w:rsidR="007139F7" w:rsidRPr="007139F7" w:rsidRDefault="007139F7" w:rsidP="007139F7">
      <w:pPr>
        <w:shd w:val="clear" w:color="auto" w:fill="FFFFFF"/>
        <w:spacing w:after="0" w:line="360" w:lineRule="auto"/>
        <w:jc w:val="center"/>
        <w:rPr>
          <w:rFonts w:eastAsia="Times New Roman" w:cs="Times New Roman"/>
          <w:b/>
          <w:color w:val="000000"/>
          <w:sz w:val="28"/>
          <w:szCs w:val="28"/>
          <w:lang w:eastAsia="ru-RU"/>
        </w:rPr>
      </w:pPr>
      <w:r w:rsidRPr="007139F7">
        <w:rPr>
          <w:rFonts w:eastAsia="Times New Roman" w:cs="Times New Roman"/>
          <w:b/>
          <w:color w:val="000000"/>
          <w:sz w:val="28"/>
          <w:szCs w:val="28"/>
          <w:lang w:eastAsia="ru-RU"/>
        </w:rPr>
        <w:t>(ОГЛЯД ЛІТЕРАТУРИ)</w:t>
      </w:r>
    </w:p>
    <w:p w:rsidR="007139F7" w:rsidRPr="007139F7" w:rsidRDefault="007139F7" w:rsidP="007139F7">
      <w:pPr>
        <w:shd w:val="clear" w:color="auto" w:fill="FFFFFF"/>
        <w:spacing w:after="0" w:line="360" w:lineRule="auto"/>
        <w:jc w:val="center"/>
        <w:rPr>
          <w:rFonts w:eastAsia="Times New Roman" w:cs="Times New Roman"/>
          <w:color w:val="000000"/>
          <w:sz w:val="28"/>
          <w:szCs w:val="28"/>
          <w:lang w:eastAsia="ru-RU"/>
        </w:rPr>
      </w:pPr>
    </w:p>
    <w:p w:rsidR="007139F7" w:rsidRPr="007139F7" w:rsidRDefault="007139F7" w:rsidP="007139F7">
      <w:pPr>
        <w:shd w:val="clear" w:color="auto" w:fill="FFFFFF"/>
        <w:spacing w:after="0" w:line="360" w:lineRule="auto"/>
        <w:jc w:val="center"/>
        <w:rPr>
          <w:rFonts w:eastAsia="Times New Roman" w:cs="Times New Roman"/>
          <w:color w:val="000000"/>
          <w:sz w:val="28"/>
          <w:szCs w:val="28"/>
          <w:lang w:eastAsia="ru-RU"/>
        </w:rPr>
      </w:pPr>
    </w:p>
    <w:p w:rsidR="007139F7" w:rsidRPr="007139F7" w:rsidRDefault="007139F7" w:rsidP="007139F7">
      <w:pPr>
        <w:shd w:val="clear" w:color="auto" w:fill="FFFFFF"/>
        <w:spacing w:after="0" w:line="360" w:lineRule="auto"/>
        <w:ind w:firstLine="708"/>
        <w:jc w:val="both"/>
        <w:rPr>
          <w:rFonts w:eastAsia="Times New Roman" w:cs="Times New Roman"/>
          <w:b/>
          <w:color w:val="000000"/>
          <w:sz w:val="28"/>
          <w:szCs w:val="28"/>
          <w:lang w:eastAsia="ru-RU"/>
        </w:rPr>
      </w:pPr>
      <w:r w:rsidRPr="007139F7">
        <w:rPr>
          <w:rFonts w:eastAsia="Times New Roman" w:cs="Times New Roman"/>
          <w:b/>
          <w:color w:val="000000"/>
          <w:sz w:val="28"/>
          <w:szCs w:val="28"/>
          <w:lang w:eastAsia="ru-RU"/>
        </w:rPr>
        <w:t>1.1 Кісти шиї ембріонального походження. Етіопатогенез, класифікації, клінічні прояви, лікування</w:t>
      </w:r>
    </w:p>
    <w:p w:rsidR="007139F7" w:rsidRPr="007139F7" w:rsidRDefault="007139F7" w:rsidP="007139F7">
      <w:pPr>
        <w:shd w:val="clear" w:color="auto" w:fill="FFFFFF"/>
        <w:spacing w:after="0" w:line="360" w:lineRule="auto"/>
        <w:ind w:firstLine="709"/>
        <w:jc w:val="both"/>
        <w:rPr>
          <w:rFonts w:eastAsia="Times New Roman" w:cs="Times New Roman"/>
          <w:color w:val="000000"/>
          <w:sz w:val="28"/>
          <w:szCs w:val="28"/>
          <w:lang w:eastAsia="ru-RU"/>
        </w:rPr>
      </w:pPr>
    </w:p>
    <w:p w:rsidR="007139F7" w:rsidRPr="007139F7" w:rsidRDefault="007139F7" w:rsidP="007139F7">
      <w:pPr>
        <w:shd w:val="clear" w:color="auto" w:fill="FFFFFF"/>
        <w:spacing w:after="0" w:line="360" w:lineRule="auto"/>
        <w:ind w:firstLine="709"/>
        <w:jc w:val="both"/>
        <w:rPr>
          <w:rFonts w:eastAsia="Times New Roman" w:cs="Times New Roman"/>
          <w:color w:val="000000"/>
          <w:sz w:val="28"/>
          <w:szCs w:val="28"/>
          <w:lang w:eastAsia="ru-RU"/>
        </w:rPr>
      </w:pPr>
      <w:r w:rsidRPr="007139F7">
        <w:rPr>
          <w:rFonts w:eastAsia="Times New Roman" w:cs="Times New Roman"/>
          <w:color w:val="000000"/>
          <w:sz w:val="28"/>
          <w:szCs w:val="28"/>
          <w:lang w:eastAsia="ru-RU"/>
        </w:rPr>
        <w:t>На теперішній час не існує однієї загальноприйнятої класифікації вроджених кіст щелепно-лицевої ділянки. Найбільш часто вживаними в клінічній практиці є представлені нижче.</w:t>
      </w:r>
    </w:p>
    <w:p w:rsidR="007139F7" w:rsidRPr="007139F7" w:rsidRDefault="007139F7" w:rsidP="007139F7">
      <w:pPr>
        <w:shd w:val="clear" w:color="auto" w:fill="FFFFFF"/>
        <w:spacing w:after="0" w:line="360" w:lineRule="auto"/>
        <w:ind w:firstLine="709"/>
        <w:jc w:val="both"/>
        <w:rPr>
          <w:rFonts w:eastAsia="Times New Roman" w:cs="Times New Roman"/>
          <w:color w:val="000000"/>
          <w:sz w:val="28"/>
          <w:szCs w:val="28"/>
          <w:lang w:eastAsia="ru-RU"/>
        </w:rPr>
      </w:pPr>
      <w:r w:rsidRPr="007139F7">
        <w:rPr>
          <w:rFonts w:eastAsia="Times New Roman" w:cs="Times New Roman"/>
          <w:color w:val="000000"/>
          <w:sz w:val="28"/>
          <w:szCs w:val="28"/>
          <w:lang w:eastAsia="ru-RU"/>
        </w:rPr>
        <w:t>Згідно класифікації К.І. Черенової виділяють (1963):</w:t>
      </w:r>
    </w:p>
    <w:p w:rsidR="007139F7" w:rsidRPr="007139F7" w:rsidRDefault="007139F7" w:rsidP="007139F7">
      <w:pPr>
        <w:shd w:val="clear" w:color="auto" w:fill="FFFFFF"/>
        <w:spacing w:after="0" w:line="360" w:lineRule="auto"/>
        <w:ind w:firstLine="709"/>
        <w:jc w:val="both"/>
        <w:rPr>
          <w:rFonts w:eastAsia="Times New Roman" w:cs="Times New Roman"/>
          <w:color w:val="000000"/>
          <w:sz w:val="28"/>
          <w:szCs w:val="28"/>
          <w:lang w:eastAsia="ru-RU"/>
        </w:rPr>
      </w:pPr>
      <w:r w:rsidRPr="007139F7">
        <w:rPr>
          <w:rFonts w:eastAsia="Times New Roman" w:cs="Times New Roman"/>
          <w:color w:val="000000"/>
          <w:sz w:val="28"/>
          <w:szCs w:val="28"/>
          <w:lang w:eastAsia="ru-RU"/>
        </w:rPr>
        <w:t>1 група – ентодермальні кісти:</w:t>
      </w:r>
    </w:p>
    <w:p w:rsidR="007139F7" w:rsidRPr="007139F7" w:rsidRDefault="007139F7" w:rsidP="007139F7">
      <w:pPr>
        <w:numPr>
          <w:ilvl w:val="0"/>
          <w:numId w:val="6"/>
        </w:numPr>
        <w:shd w:val="clear" w:color="auto" w:fill="FFFFFF"/>
        <w:spacing w:after="0" w:line="360" w:lineRule="auto"/>
        <w:contextualSpacing/>
        <w:jc w:val="both"/>
        <w:rPr>
          <w:rFonts w:eastAsia="Times New Roman" w:cs="Times New Roman"/>
          <w:color w:val="000000"/>
          <w:sz w:val="28"/>
          <w:szCs w:val="28"/>
          <w:lang w:eastAsia="ru-RU"/>
        </w:rPr>
      </w:pPr>
      <w:r w:rsidRPr="007139F7">
        <w:rPr>
          <w:rFonts w:eastAsia="Times New Roman" w:cs="Times New Roman"/>
          <w:color w:val="000000"/>
          <w:sz w:val="28"/>
          <w:szCs w:val="28"/>
          <w:lang w:eastAsia="ru-RU"/>
        </w:rPr>
        <w:t>Бранхіогенні кісти;</w:t>
      </w:r>
    </w:p>
    <w:p w:rsidR="007139F7" w:rsidRPr="007139F7" w:rsidRDefault="007139F7" w:rsidP="007139F7">
      <w:pPr>
        <w:numPr>
          <w:ilvl w:val="0"/>
          <w:numId w:val="6"/>
        </w:numPr>
        <w:shd w:val="clear" w:color="auto" w:fill="FFFFFF"/>
        <w:spacing w:after="0" w:line="360" w:lineRule="auto"/>
        <w:contextualSpacing/>
        <w:jc w:val="both"/>
        <w:rPr>
          <w:rFonts w:eastAsia="Times New Roman" w:cs="Times New Roman"/>
          <w:color w:val="000000"/>
          <w:sz w:val="28"/>
          <w:szCs w:val="28"/>
          <w:lang w:eastAsia="ru-RU"/>
        </w:rPr>
      </w:pPr>
      <w:r w:rsidRPr="007139F7">
        <w:rPr>
          <w:rFonts w:eastAsia="Times New Roman" w:cs="Times New Roman"/>
          <w:color w:val="000000"/>
          <w:sz w:val="28"/>
          <w:szCs w:val="28"/>
          <w:lang w:eastAsia="ru-RU"/>
        </w:rPr>
        <w:t>Тимофарінгеальні кісти;</w:t>
      </w:r>
    </w:p>
    <w:p w:rsidR="007139F7" w:rsidRPr="007139F7" w:rsidRDefault="007139F7" w:rsidP="007139F7">
      <w:pPr>
        <w:numPr>
          <w:ilvl w:val="0"/>
          <w:numId w:val="6"/>
        </w:numPr>
        <w:shd w:val="clear" w:color="auto" w:fill="FFFFFF"/>
        <w:spacing w:after="0" w:line="360" w:lineRule="auto"/>
        <w:contextualSpacing/>
        <w:jc w:val="both"/>
        <w:rPr>
          <w:rFonts w:eastAsia="Times New Roman" w:cs="Times New Roman"/>
          <w:color w:val="000000"/>
          <w:sz w:val="28"/>
          <w:szCs w:val="28"/>
          <w:lang w:eastAsia="ru-RU"/>
        </w:rPr>
      </w:pPr>
      <w:r w:rsidRPr="007139F7">
        <w:rPr>
          <w:rFonts w:eastAsia="Times New Roman" w:cs="Times New Roman"/>
          <w:color w:val="000000"/>
          <w:sz w:val="28"/>
          <w:szCs w:val="28"/>
          <w:lang w:eastAsia="ru-RU"/>
        </w:rPr>
        <w:t>Тіреоглосальні кісти.</w:t>
      </w:r>
    </w:p>
    <w:p w:rsidR="007139F7" w:rsidRPr="007139F7" w:rsidRDefault="007139F7" w:rsidP="007139F7">
      <w:pPr>
        <w:shd w:val="clear" w:color="auto" w:fill="FFFFFF"/>
        <w:spacing w:after="0" w:line="360" w:lineRule="auto"/>
        <w:ind w:firstLine="709"/>
        <w:jc w:val="both"/>
        <w:rPr>
          <w:rFonts w:eastAsia="Calibri" w:cs="Times New Roman"/>
          <w:color w:val="000000"/>
          <w:sz w:val="28"/>
          <w:szCs w:val="28"/>
        </w:rPr>
      </w:pPr>
      <w:r w:rsidRPr="007139F7">
        <w:rPr>
          <w:rFonts w:eastAsia="Calibri" w:cs="Times New Roman"/>
          <w:color w:val="000000"/>
          <w:sz w:val="28"/>
          <w:szCs w:val="28"/>
        </w:rPr>
        <w:t>2 група – ектодермальні кісти:</w:t>
      </w:r>
    </w:p>
    <w:p w:rsidR="007139F7" w:rsidRPr="007139F7" w:rsidRDefault="007139F7" w:rsidP="007139F7">
      <w:pPr>
        <w:numPr>
          <w:ilvl w:val="0"/>
          <w:numId w:val="6"/>
        </w:numPr>
        <w:shd w:val="clear" w:color="auto" w:fill="FFFFFF"/>
        <w:spacing w:after="0" w:line="360" w:lineRule="auto"/>
        <w:contextualSpacing/>
        <w:jc w:val="both"/>
        <w:rPr>
          <w:rFonts w:eastAsia="Times New Roman" w:cs="Times New Roman"/>
          <w:color w:val="000000"/>
          <w:sz w:val="28"/>
          <w:szCs w:val="28"/>
          <w:lang w:eastAsia="ru-RU"/>
        </w:rPr>
      </w:pPr>
      <w:r w:rsidRPr="007139F7">
        <w:rPr>
          <w:rFonts w:eastAsia="Times New Roman" w:cs="Times New Roman"/>
          <w:color w:val="000000"/>
          <w:sz w:val="28"/>
          <w:szCs w:val="28"/>
          <w:lang w:eastAsia="ru-RU"/>
        </w:rPr>
        <w:t>Дермоїдні кісти обличчя, які розвиваються з клітин ектодерми при її проникненні у підлеглі тканини;</w:t>
      </w:r>
    </w:p>
    <w:p w:rsidR="007139F7" w:rsidRPr="007139F7" w:rsidRDefault="007139F7" w:rsidP="007139F7">
      <w:pPr>
        <w:numPr>
          <w:ilvl w:val="0"/>
          <w:numId w:val="6"/>
        </w:numPr>
        <w:shd w:val="clear" w:color="auto" w:fill="FFFFFF"/>
        <w:spacing w:after="0" w:line="360" w:lineRule="auto"/>
        <w:contextualSpacing/>
        <w:jc w:val="both"/>
        <w:rPr>
          <w:rFonts w:eastAsia="Times New Roman" w:cs="Times New Roman"/>
          <w:color w:val="000000"/>
          <w:sz w:val="28"/>
          <w:szCs w:val="28"/>
          <w:lang w:eastAsia="ru-RU"/>
        </w:rPr>
      </w:pPr>
      <w:r w:rsidRPr="007139F7">
        <w:rPr>
          <w:rFonts w:eastAsia="Times New Roman" w:cs="Times New Roman"/>
          <w:color w:val="000000"/>
          <w:sz w:val="28"/>
          <w:szCs w:val="28"/>
          <w:lang w:eastAsia="ru-RU"/>
        </w:rPr>
        <w:t>Дермоїдні та епідермоїдні кісти дна порожнини рота, які утворені із залишків епідермоїдних клітин при зрощенні І та ІІ зябрових дуг.</w:t>
      </w:r>
    </w:p>
    <w:p w:rsidR="007139F7" w:rsidRPr="007139F7" w:rsidRDefault="007139F7" w:rsidP="007139F7">
      <w:pPr>
        <w:shd w:val="clear" w:color="auto" w:fill="FFFFFF"/>
        <w:spacing w:after="0" w:line="360" w:lineRule="auto"/>
        <w:ind w:firstLine="709"/>
        <w:jc w:val="both"/>
        <w:rPr>
          <w:rFonts w:eastAsia="Times New Roman" w:cs="Times New Roman"/>
          <w:color w:val="000000"/>
          <w:sz w:val="28"/>
          <w:szCs w:val="28"/>
          <w:lang w:eastAsia="ru-RU"/>
        </w:rPr>
      </w:pPr>
      <w:r w:rsidRPr="007139F7">
        <w:rPr>
          <w:rFonts w:eastAsia="Times New Roman" w:cs="Times New Roman"/>
          <w:color w:val="000000"/>
          <w:sz w:val="28"/>
          <w:szCs w:val="28"/>
          <w:lang w:eastAsia="ru-RU"/>
        </w:rPr>
        <w:t>У 1965 році В.М. Безруков запропонував класифікацію вроджених кіст та нориць шиї, яка дотепер є зручною у практичному використанні:</w:t>
      </w:r>
    </w:p>
    <w:p w:rsidR="007139F7" w:rsidRPr="007139F7" w:rsidRDefault="007139F7" w:rsidP="007139F7">
      <w:pPr>
        <w:numPr>
          <w:ilvl w:val="0"/>
          <w:numId w:val="9"/>
        </w:numPr>
        <w:shd w:val="clear" w:color="auto" w:fill="FFFFFF"/>
        <w:spacing w:after="0" w:line="360" w:lineRule="auto"/>
        <w:contextualSpacing/>
        <w:jc w:val="both"/>
        <w:rPr>
          <w:rFonts w:eastAsia="Times New Roman" w:cs="Times New Roman"/>
          <w:color w:val="000000"/>
          <w:sz w:val="28"/>
          <w:szCs w:val="28"/>
          <w:lang w:eastAsia="ru-RU"/>
        </w:rPr>
      </w:pPr>
      <w:r w:rsidRPr="007139F7">
        <w:rPr>
          <w:rFonts w:eastAsia="Times New Roman" w:cs="Times New Roman"/>
          <w:color w:val="000000"/>
          <w:sz w:val="28"/>
          <w:szCs w:val="28"/>
          <w:lang w:eastAsia="ru-RU"/>
        </w:rPr>
        <w:t>Кісти та нориці привушної ділянки:</w:t>
      </w:r>
    </w:p>
    <w:p w:rsidR="007139F7" w:rsidRPr="007139F7" w:rsidRDefault="007139F7" w:rsidP="007139F7">
      <w:pPr>
        <w:numPr>
          <w:ilvl w:val="0"/>
          <w:numId w:val="6"/>
        </w:numPr>
        <w:shd w:val="clear" w:color="auto" w:fill="FFFFFF"/>
        <w:spacing w:after="0" w:line="360" w:lineRule="auto"/>
        <w:contextualSpacing/>
        <w:jc w:val="both"/>
        <w:rPr>
          <w:rFonts w:eastAsia="Times New Roman" w:cs="Times New Roman"/>
          <w:color w:val="000000"/>
          <w:sz w:val="28"/>
          <w:szCs w:val="28"/>
          <w:lang w:eastAsia="ru-RU"/>
        </w:rPr>
      </w:pPr>
      <w:r w:rsidRPr="007139F7">
        <w:rPr>
          <w:rFonts w:eastAsia="Times New Roman" w:cs="Times New Roman"/>
          <w:color w:val="000000"/>
          <w:sz w:val="28"/>
          <w:szCs w:val="28"/>
          <w:lang w:eastAsia="ru-RU"/>
        </w:rPr>
        <w:lastRenderedPageBreak/>
        <w:t>Кісти защелепної ділянки;</w:t>
      </w:r>
    </w:p>
    <w:p w:rsidR="007139F7" w:rsidRPr="007139F7" w:rsidRDefault="007139F7" w:rsidP="007139F7">
      <w:pPr>
        <w:numPr>
          <w:ilvl w:val="0"/>
          <w:numId w:val="6"/>
        </w:numPr>
        <w:shd w:val="clear" w:color="auto" w:fill="FFFFFF"/>
        <w:spacing w:after="0" w:line="360" w:lineRule="auto"/>
        <w:contextualSpacing/>
        <w:jc w:val="both"/>
        <w:rPr>
          <w:rFonts w:eastAsia="Times New Roman" w:cs="Times New Roman"/>
          <w:color w:val="000000"/>
          <w:sz w:val="28"/>
          <w:szCs w:val="28"/>
          <w:lang w:eastAsia="ru-RU"/>
        </w:rPr>
      </w:pPr>
      <w:r w:rsidRPr="007139F7">
        <w:rPr>
          <w:rFonts w:eastAsia="Times New Roman" w:cs="Times New Roman"/>
          <w:color w:val="000000"/>
          <w:sz w:val="28"/>
          <w:szCs w:val="28"/>
          <w:lang w:eastAsia="ru-RU"/>
        </w:rPr>
        <w:t>Нориці защелепної ділянки.</w:t>
      </w:r>
    </w:p>
    <w:p w:rsidR="007139F7" w:rsidRPr="007139F7" w:rsidRDefault="007139F7" w:rsidP="007139F7">
      <w:pPr>
        <w:numPr>
          <w:ilvl w:val="0"/>
          <w:numId w:val="9"/>
        </w:numPr>
        <w:shd w:val="clear" w:color="auto" w:fill="FFFFFF"/>
        <w:spacing w:after="0" w:line="360" w:lineRule="auto"/>
        <w:contextualSpacing/>
        <w:jc w:val="both"/>
        <w:rPr>
          <w:rFonts w:eastAsia="Times New Roman" w:cs="Times New Roman"/>
          <w:color w:val="000000"/>
          <w:sz w:val="28"/>
          <w:szCs w:val="28"/>
          <w:lang w:eastAsia="ru-RU"/>
        </w:rPr>
      </w:pPr>
      <w:r w:rsidRPr="007139F7">
        <w:rPr>
          <w:rFonts w:eastAsia="Times New Roman" w:cs="Times New Roman"/>
          <w:color w:val="000000"/>
          <w:sz w:val="28"/>
          <w:szCs w:val="28"/>
          <w:lang w:eastAsia="ru-RU"/>
        </w:rPr>
        <w:t>Серединні кісти та нориці:</w:t>
      </w:r>
    </w:p>
    <w:p w:rsidR="007139F7" w:rsidRPr="007139F7" w:rsidRDefault="007139F7" w:rsidP="007139F7">
      <w:pPr>
        <w:numPr>
          <w:ilvl w:val="0"/>
          <w:numId w:val="6"/>
        </w:numPr>
        <w:shd w:val="clear" w:color="auto" w:fill="FFFFFF"/>
        <w:spacing w:after="0" w:line="360" w:lineRule="auto"/>
        <w:contextualSpacing/>
        <w:jc w:val="both"/>
        <w:rPr>
          <w:rFonts w:eastAsia="Times New Roman" w:cs="Times New Roman"/>
          <w:color w:val="000000"/>
          <w:sz w:val="28"/>
          <w:szCs w:val="28"/>
          <w:lang w:eastAsia="ru-RU"/>
        </w:rPr>
      </w:pPr>
      <w:r w:rsidRPr="007139F7">
        <w:rPr>
          <w:rFonts w:eastAsia="Times New Roman" w:cs="Times New Roman"/>
          <w:color w:val="000000"/>
          <w:sz w:val="28"/>
          <w:szCs w:val="28"/>
          <w:lang w:eastAsia="ru-RU"/>
        </w:rPr>
        <w:t>Кісти кореня язика;</w:t>
      </w:r>
    </w:p>
    <w:p w:rsidR="007139F7" w:rsidRPr="007139F7" w:rsidRDefault="007139F7" w:rsidP="007139F7">
      <w:pPr>
        <w:numPr>
          <w:ilvl w:val="0"/>
          <w:numId w:val="6"/>
        </w:numPr>
        <w:shd w:val="clear" w:color="auto" w:fill="FFFFFF"/>
        <w:spacing w:after="0" w:line="360" w:lineRule="auto"/>
        <w:contextualSpacing/>
        <w:jc w:val="both"/>
        <w:rPr>
          <w:rFonts w:eastAsia="Times New Roman" w:cs="Times New Roman"/>
          <w:color w:val="000000"/>
          <w:sz w:val="28"/>
          <w:szCs w:val="28"/>
          <w:lang w:eastAsia="ru-RU"/>
        </w:rPr>
      </w:pPr>
      <w:r w:rsidRPr="007139F7">
        <w:rPr>
          <w:rFonts w:eastAsia="Times New Roman" w:cs="Times New Roman"/>
          <w:color w:val="000000"/>
          <w:sz w:val="28"/>
          <w:szCs w:val="28"/>
          <w:lang w:eastAsia="ru-RU"/>
        </w:rPr>
        <w:t>Кісти над під’язиковою кісткою;</w:t>
      </w:r>
    </w:p>
    <w:p w:rsidR="007139F7" w:rsidRPr="007139F7" w:rsidRDefault="007139F7" w:rsidP="007139F7">
      <w:pPr>
        <w:numPr>
          <w:ilvl w:val="0"/>
          <w:numId w:val="9"/>
        </w:numPr>
        <w:shd w:val="clear" w:color="auto" w:fill="FFFFFF"/>
        <w:spacing w:after="0" w:line="360" w:lineRule="auto"/>
        <w:contextualSpacing/>
        <w:jc w:val="both"/>
        <w:rPr>
          <w:rFonts w:eastAsia="Times New Roman" w:cs="Times New Roman"/>
          <w:color w:val="000000"/>
          <w:sz w:val="28"/>
          <w:szCs w:val="28"/>
          <w:lang w:eastAsia="ru-RU"/>
        </w:rPr>
      </w:pPr>
      <w:r w:rsidRPr="007139F7">
        <w:rPr>
          <w:rFonts w:eastAsia="Times New Roman" w:cs="Times New Roman"/>
          <w:color w:val="000000"/>
          <w:sz w:val="28"/>
          <w:szCs w:val="28"/>
          <w:lang w:eastAsia="ru-RU"/>
        </w:rPr>
        <w:t>Бічні кісти та нориці:</w:t>
      </w:r>
    </w:p>
    <w:p w:rsidR="007139F7" w:rsidRPr="007139F7" w:rsidRDefault="007139F7" w:rsidP="007139F7">
      <w:pPr>
        <w:numPr>
          <w:ilvl w:val="0"/>
          <w:numId w:val="6"/>
        </w:numPr>
        <w:shd w:val="clear" w:color="auto" w:fill="FFFFFF"/>
        <w:spacing w:after="0" w:line="360" w:lineRule="auto"/>
        <w:contextualSpacing/>
        <w:jc w:val="both"/>
        <w:rPr>
          <w:rFonts w:eastAsia="Times New Roman" w:cs="Times New Roman"/>
          <w:color w:val="000000"/>
          <w:sz w:val="28"/>
          <w:szCs w:val="28"/>
          <w:lang w:eastAsia="ru-RU"/>
        </w:rPr>
      </w:pPr>
      <w:r w:rsidRPr="007139F7">
        <w:rPr>
          <w:rFonts w:eastAsia="Times New Roman" w:cs="Times New Roman"/>
          <w:color w:val="000000"/>
          <w:sz w:val="28"/>
          <w:szCs w:val="28"/>
          <w:lang w:eastAsia="ru-RU"/>
        </w:rPr>
        <w:t>Кісти;</w:t>
      </w:r>
    </w:p>
    <w:p w:rsidR="007139F7" w:rsidRPr="007139F7" w:rsidRDefault="007139F7" w:rsidP="007139F7">
      <w:pPr>
        <w:numPr>
          <w:ilvl w:val="0"/>
          <w:numId w:val="6"/>
        </w:numPr>
        <w:shd w:val="clear" w:color="auto" w:fill="FFFFFF"/>
        <w:spacing w:after="0" w:line="360" w:lineRule="auto"/>
        <w:contextualSpacing/>
        <w:jc w:val="both"/>
        <w:rPr>
          <w:rFonts w:eastAsia="Times New Roman" w:cs="Times New Roman"/>
          <w:color w:val="000000"/>
          <w:sz w:val="28"/>
          <w:szCs w:val="28"/>
          <w:lang w:eastAsia="ru-RU"/>
        </w:rPr>
      </w:pPr>
      <w:r w:rsidRPr="007139F7">
        <w:rPr>
          <w:rFonts w:eastAsia="Times New Roman" w:cs="Times New Roman"/>
          <w:color w:val="000000"/>
          <w:sz w:val="28"/>
          <w:szCs w:val="28"/>
          <w:lang w:eastAsia="ru-RU"/>
        </w:rPr>
        <w:t>Нориці повні, неповні – зовнішні та внутрішні [1].</w:t>
      </w:r>
    </w:p>
    <w:p w:rsidR="007139F7" w:rsidRPr="007139F7" w:rsidRDefault="007139F7" w:rsidP="007139F7">
      <w:pPr>
        <w:shd w:val="clear" w:color="auto" w:fill="FFFFFF"/>
        <w:spacing w:after="0" w:line="360" w:lineRule="auto"/>
        <w:ind w:firstLine="709"/>
        <w:jc w:val="both"/>
        <w:rPr>
          <w:rFonts w:eastAsia="Times New Roman" w:cs="Times New Roman"/>
          <w:color w:val="000000"/>
          <w:sz w:val="28"/>
          <w:szCs w:val="28"/>
          <w:lang w:eastAsia="ru-RU"/>
        </w:rPr>
      </w:pPr>
    </w:p>
    <w:p w:rsidR="007139F7" w:rsidRPr="007139F7" w:rsidRDefault="007139F7" w:rsidP="007139F7">
      <w:pPr>
        <w:shd w:val="clear" w:color="auto" w:fill="FFFFFF"/>
        <w:spacing w:after="0" w:line="360" w:lineRule="auto"/>
        <w:ind w:firstLine="709"/>
        <w:jc w:val="both"/>
        <w:rPr>
          <w:rFonts w:eastAsia="Times New Roman" w:cs="Times New Roman"/>
          <w:color w:val="000000"/>
          <w:sz w:val="28"/>
          <w:szCs w:val="28"/>
          <w:lang w:eastAsia="ru-RU"/>
        </w:rPr>
      </w:pPr>
      <w:r w:rsidRPr="007139F7">
        <w:rPr>
          <w:rFonts w:eastAsia="Times New Roman" w:cs="Times New Roman"/>
          <w:color w:val="000000"/>
          <w:sz w:val="28"/>
          <w:szCs w:val="28"/>
          <w:lang w:eastAsia="ru-RU"/>
        </w:rPr>
        <w:t xml:space="preserve">Латеральні (бранхіальні) кісти шиї – пухлиноподібні утворення, які являють собою вади розвитку ектопованих залишків зябрового апарату [2, 3]. </w:t>
      </w:r>
    </w:p>
    <w:p w:rsidR="007139F7" w:rsidRPr="007139F7" w:rsidRDefault="007139F7" w:rsidP="007139F7">
      <w:pPr>
        <w:shd w:val="clear" w:color="auto" w:fill="FFFFFF"/>
        <w:spacing w:after="0" w:line="360" w:lineRule="auto"/>
        <w:ind w:firstLine="709"/>
        <w:jc w:val="both"/>
        <w:rPr>
          <w:rFonts w:eastAsia="Times New Roman" w:cs="Times New Roman"/>
          <w:color w:val="000000"/>
          <w:sz w:val="28"/>
          <w:szCs w:val="28"/>
          <w:lang w:eastAsia="ru-RU"/>
        </w:rPr>
      </w:pPr>
      <w:r w:rsidRPr="007139F7">
        <w:rPr>
          <w:rFonts w:eastAsia="Times New Roman" w:cs="Times New Roman"/>
          <w:color w:val="000000"/>
          <w:sz w:val="28"/>
          <w:szCs w:val="28"/>
          <w:lang w:eastAsia="ru-RU"/>
        </w:rPr>
        <w:t xml:space="preserve">Найчастіше бранхіальні кісти зустрічаються у віці від 20 до 40 років. Існують клінічні спостереження незрощення другої зябрової щілини у немовлят та дітей віком до 5 років, яке проявляється у вигляді фістул. Щодо виникнення даної патології в осіб літнього віку мають місце лише поодинокі клінічні випадки [4-6]. </w:t>
      </w:r>
      <w:r w:rsidRPr="007139F7">
        <w:rPr>
          <w:rFonts w:eastAsia="Times New Roman" w:cs="Times New Roman"/>
          <w:color w:val="000000"/>
          <w:sz w:val="28"/>
          <w:szCs w:val="28"/>
          <w:lang w:val="ru-RU" w:eastAsia="ru-RU"/>
        </w:rPr>
        <w:t xml:space="preserve">Близько 60% кіст виникають з лівого боку. </w:t>
      </w:r>
      <w:r w:rsidRPr="007139F7">
        <w:rPr>
          <w:rFonts w:eastAsia="Times New Roman" w:cs="Times New Roman"/>
          <w:color w:val="000000"/>
          <w:sz w:val="28"/>
          <w:szCs w:val="28"/>
          <w:lang w:eastAsia="ru-RU"/>
        </w:rPr>
        <w:t>Н</w:t>
      </w:r>
      <w:r w:rsidRPr="007139F7">
        <w:rPr>
          <w:rFonts w:eastAsia="Times New Roman" w:cs="Times New Roman"/>
          <w:color w:val="000000"/>
          <w:sz w:val="28"/>
          <w:szCs w:val="28"/>
          <w:lang w:val="ru-RU" w:eastAsia="ru-RU"/>
        </w:rPr>
        <w:t xml:space="preserve">емає </w:t>
      </w:r>
      <w:r w:rsidRPr="007139F7">
        <w:rPr>
          <w:rFonts w:eastAsia="Times New Roman" w:cs="Times New Roman"/>
          <w:color w:val="000000"/>
          <w:sz w:val="28"/>
          <w:szCs w:val="28"/>
          <w:lang w:eastAsia="ru-RU"/>
        </w:rPr>
        <w:t xml:space="preserve">статистично вірогідних даних щодо </w:t>
      </w:r>
      <w:r w:rsidRPr="007139F7">
        <w:rPr>
          <w:rFonts w:eastAsia="Times New Roman" w:cs="Times New Roman"/>
          <w:color w:val="000000"/>
          <w:sz w:val="28"/>
          <w:szCs w:val="28"/>
          <w:lang w:val="ru-RU" w:eastAsia="ru-RU"/>
        </w:rPr>
        <w:t xml:space="preserve">гендерної чи расової </w:t>
      </w:r>
      <w:r w:rsidRPr="007139F7">
        <w:rPr>
          <w:rFonts w:eastAsia="Times New Roman" w:cs="Times New Roman"/>
          <w:color w:val="000000"/>
          <w:sz w:val="28"/>
          <w:szCs w:val="28"/>
          <w:lang w:eastAsia="ru-RU"/>
        </w:rPr>
        <w:t>схильності</w:t>
      </w:r>
      <w:r w:rsidRPr="007139F7">
        <w:rPr>
          <w:rFonts w:eastAsia="Times New Roman" w:cs="Times New Roman"/>
          <w:color w:val="000000"/>
          <w:sz w:val="28"/>
          <w:szCs w:val="28"/>
          <w:lang w:val="ru-RU" w:eastAsia="ru-RU"/>
        </w:rPr>
        <w:t xml:space="preserve"> [7, 8].</w:t>
      </w:r>
    </w:p>
    <w:p w:rsidR="007139F7" w:rsidRPr="00D65158" w:rsidRDefault="007139F7" w:rsidP="007139F7">
      <w:pPr>
        <w:shd w:val="clear" w:color="auto" w:fill="FFFFFF"/>
        <w:spacing w:after="0" w:line="360" w:lineRule="auto"/>
        <w:ind w:firstLine="709"/>
        <w:jc w:val="both"/>
        <w:rPr>
          <w:rFonts w:eastAsia="Times New Roman" w:cs="Times New Roman"/>
          <w:color w:val="000000"/>
          <w:sz w:val="28"/>
          <w:szCs w:val="28"/>
          <w:lang w:eastAsia="ru-RU"/>
        </w:rPr>
      </w:pPr>
      <w:r w:rsidRPr="007139F7">
        <w:rPr>
          <w:rFonts w:eastAsia="Times New Roman" w:cs="Times New Roman"/>
          <w:color w:val="000000"/>
          <w:sz w:val="28"/>
          <w:szCs w:val="28"/>
          <w:lang w:eastAsia="ru-RU"/>
        </w:rPr>
        <w:t xml:space="preserve">Латеральні кісти шиї мають суперечливий патогенез. Деякі автори вважають їх синонімом лімфоепітеліальної кісти шиї. Згідно теорії </w:t>
      </w:r>
      <w:r w:rsidRPr="007139F7">
        <w:rPr>
          <w:rFonts w:eastAsia="Times New Roman" w:cs="Times New Roman"/>
          <w:color w:val="000000"/>
          <w:sz w:val="28"/>
          <w:szCs w:val="28"/>
          <w:lang w:val="en-US" w:eastAsia="ru-RU"/>
        </w:rPr>
        <w:t>Ascherson</w:t>
      </w:r>
      <w:r w:rsidRPr="007139F7">
        <w:rPr>
          <w:rFonts w:eastAsia="Times New Roman" w:cs="Times New Roman"/>
          <w:color w:val="000000"/>
          <w:sz w:val="28"/>
          <w:szCs w:val="28"/>
          <w:lang w:eastAsia="ru-RU"/>
        </w:rPr>
        <w:t xml:space="preserve"> (1932) у розвитку бічних кіст шиї провідну роль займає місце неповна облітерація зябрових щілин, яка залишається у стані спокою доки не буде стимуляції її подальшого росту [9, 10]. Згідно літературних джерел існує думка, що дані утворення походять від кістозного перетворення шийних лімфатичних вузлів [11]. Існують дані, що виникнення бічних кіст шиї може бути пов’язане із наявністю папіломовірусу людини та викликатися експресією гену </w:t>
      </w:r>
      <w:r w:rsidRPr="007139F7">
        <w:rPr>
          <w:rFonts w:eastAsia="Calibri" w:cs="Times New Roman"/>
          <w:color w:val="000000"/>
          <w:sz w:val="28"/>
          <w:szCs w:val="28"/>
          <w:lang w:val="en-US"/>
        </w:rPr>
        <w:t>p</w:t>
      </w:r>
      <w:r w:rsidRPr="007139F7">
        <w:rPr>
          <w:rFonts w:eastAsia="Calibri" w:cs="Times New Roman"/>
          <w:color w:val="000000"/>
          <w:sz w:val="28"/>
          <w:szCs w:val="28"/>
        </w:rPr>
        <w:t>16 (</w:t>
      </w:r>
      <w:r w:rsidRPr="007139F7">
        <w:rPr>
          <w:rFonts w:eastAsia="Calibri" w:cs="Times New Roman"/>
          <w:color w:val="000000"/>
          <w:sz w:val="28"/>
          <w:szCs w:val="28"/>
          <w:lang w:val="en-US"/>
        </w:rPr>
        <w:t>INK</w:t>
      </w:r>
      <w:r w:rsidRPr="007139F7">
        <w:rPr>
          <w:rFonts w:eastAsia="Calibri" w:cs="Times New Roman"/>
          <w:color w:val="000000"/>
          <w:sz w:val="28"/>
          <w:szCs w:val="28"/>
        </w:rPr>
        <w:t>4</w:t>
      </w:r>
      <w:r w:rsidRPr="007139F7">
        <w:rPr>
          <w:rFonts w:eastAsia="Calibri" w:cs="Times New Roman"/>
          <w:color w:val="000000"/>
          <w:sz w:val="28"/>
          <w:szCs w:val="28"/>
          <w:lang w:val="en-US"/>
        </w:rPr>
        <w:t>A</w:t>
      </w:r>
      <w:r w:rsidRPr="007139F7">
        <w:rPr>
          <w:rFonts w:eastAsia="Calibri" w:cs="Times New Roman"/>
          <w:color w:val="000000"/>
          <w:sz w:val="28"/>
          <w:szCs w:val="28"/>
        </w:rPr>
        <w:t>) [12]</w:t>
      </w:r>
      <w:r w:rsidR="00D65158" w:rsidRPr="00D65158">
        <w:rPr>
          <w:rFonts w:eastAsia="Calibri" w:cs="Times New Roman"/>
          <w:color w:val="000000"/>
          <w:sz w:val="28"/>
          <w:szCs w:val="28"/>
        </w:rPr>
        <w:t>.</w:t>
      </w:r>
    </w:p>
    <w:p w:rsidR="007139F7" w:rsidRPr="007139F7" w:rsidRDefault="007139F7" w:rsidP="007139F7">
      <w:pPr>
        <w:shd w:val="clear" w:color="auto" w:fill="FFFFFF"/>
        <w:spacing w:after="0" w:line="360" w:lineRule="auto"/>
        <w:ind w:firstLine="709"/>
        <w:jc w:val="both"/>
        <w:rPr>
          <w:rFonts w:eastAsia="Times New Roman" w:cs="Times New Roman"/>
          <w:color w:val="000000"/>
          <w:sz w:val="28"/>
          <w:szCs w:val="28"/>
          <w:lang w:eastAsia="ru-RU"/>
        </w:rPr>
      </w:pPr>
      <w:r w:rsidRPr="007139F7">
        <w:rPr>
          <w:rFonts w:eastAsia="Times New Roman" w:cs="Times New Roman"/>
          <w:color w:val="000000"/>
          <w:sz w:val="28"/>
          <w:szCs w:val="28"/>
          <w:lang w:eastAsia="ru-RU"/>
        </w:rPr>
        <w:t xml:space="preserve">Бранхіальні кісти можуть утворюватися з першої, другої, третьої та четвертої зябрових щілин. Переважна більшість даних кіст утворюється внаслідок незрощення другої зябрової щілини та частіше зустрічаються у передньому трикутнику шиї, попереду верхньої третини </w:t>
      </w:r>
      <w:r w:rsidRPr="007139F7">
        <w:rPr>
          <w:rFonts w:eastAsia="Times New Roman" w:cs="Times New Roman"/>
          <w:color w:val="000000"/>
          <w:sz w:val="28"/>
          <w:szCs w:val="28"/>
          <w:lang w:val="en-US" w:eastAsia="ru-RU"/>
        </w:rPr>
        <w:lastRenderedPageBreak/>
        <w:t>m</w:t>
      </w:r>
      <w:r w:rsidRPr="007139F7">
        <w:rPr>
          <w:rFonts w:eastAsia="Times New Roman" w:cs="Times New Roman"/>
          <w:color w:val="000000"/>
          <w:sz w:val="28"/>
          <w:szCs w:val="28"/>
          <w:lang w:eastAsia="ru-RU"/>
        </w:rPr>
        <w:t>.</w:t>
      </w:r>
      <w:r w:rsidRPr="007139F7">
        <w:rPr>
          <w:rFonts w:eastAsia="Times New Roman" w:cs="Times New Roman"/>
          <w:color w:val="000000"/>
          <w:sz w:val="28"/>
          <w:szCs w:val="28"/>
          <w:lang w:val="en-US" w:eastAsia="ru-RU"/>
        </w:rPr>
        <w:t>sternoclaidomastoideus</w:t>
      </w:r>
      <w:r w:rsidRPr="007139F7">
        <w:rPr>
          <w:rFonts w:eastAsia="Times New Roman" w:cs="Times New Roman"/>
          <w:color w:val="000000"/>
          <w:sz w:val="28"/>
          <w:szCs w:val="28"/>
          <w:lang w:eastAsia="ru-RU"/>
        </w:rPr>
        <w:t xml:space="preserve">, значно рідше має місце локалізація в ділянці нижньої третини кивального м’язу або у задньому трикутнику шиї [13-16]. </w:t>
      </w:r>
    </w:p>
    <w:p w:rsidR="007139F7" w:rsidRPr="007139F7" w:rsidRDefault="007139F7" w:rsidP="007139F7">
      <w:pPr>
        <w:spacing w:after="0" w:line="360" w:lineRule="auto"/>
        <w:ind w:firstLine="709"/>
        <w:jc w:val="both"/>
        <w:rPr>
          <w:rFonts w:eastAsia="Times New Roman" w:cs="Times New Roman"/>
          <w:color w:val="000000"/>
          <w:sz w:val="28"/>
          <w:szCs w:val="28"/>
          <w:lang w:eastAsia="ru-RU"/>
        </w:rPr>
      </w:pPr>
      <w:r w:rsidRPr="007139F7">
        <w:rPr>
          <w:rFonts w:eastAsia="Times New Roman" w:cs="Times New Roman"/>
          <w:color w:val="000000"/>
          <w:sz w:val="28"/>
          <w:szCs w:val="28"/>
          <w:lang w:eastAsia="ru-RU"/>
        </w:rPr>
        <w:t>Ураження другої зябрової щілини складає переважну більшість випадків аномалій розвитку зябрових щілин (близько 95%), значно меншу кількість (1-4%) сягають незрощення першої зябрової дуги, а патологія третьої та четвертої дуг є надзвичайно рідкісною [2, 3, 17].</w:t>
      </w:r>
    </w:p>
    <w:p w:rsidR="007139F7" w:rsidRPr="007139F7" w:rsidRDefault="007139F7" w:rsidP="007139F7">
      <w:pPr>
        <w:spacing w:after="0" w:line="360" w:lineRule="auto"/>
        <w:ind w:firstLine="709"/>
        <w:jc w:val="both"/>
        <w:rPr>
          <w:rFonts w:eastAsia="Times New Roman" w:cs="Times New Roman"/>
          <w:color w:val="000000"/>
          <w:sz w:val="28"/>
          <w:szCs w:val="28"/>
          <w:lang w:eastAsia="ru-RU"/>
        </w:rPr>
      </w:pPr>
      <w:r w:rsidRPr="007139F7">
        <w:rPr>
          <w:rFonts w:eastAsia="Times New Roman" w:cs="Times New Roman"/>
          <w:color w:val="000000"/>
          <w:sz w:val="28"/>
          <w:szCs w:val="28"/>
          <w:lang w:eastAsia="ru-RU"/>
        </w:rPr>
        <w:t xml:space="preserve">Згідно класифікації </w:t>
      </w:r>
      <w:r w:rsidRPr="007139F7">
        <w:rPr>
          <w:rFonts w:eastAsia="Times New Roman" w:cs="Times New Roman"/>
          <w:color w:val="000000"/>
          <w:sz w:val="28"/>
          <w:szCs w:val="28"/>
          <w:lang w:val="en-US" w:eastAsia="ru-RU"/>
        </w:rPr>
        <w:t>Bailey</w:t>
      </w:r>
      <w:r w:rsidRPr="007139F7">
        <w:rPr>
          <w:rFonts w:eastAsia="Times New Roman" w:cs="Times New Roman"/>
          <w:color w:val="000000"/>
          <w:sz w:val="28"/>
          <w:szCs w:val="28"/>
          <w:lang w:eastAsia="ru-RU"/>
        </w:rPr>
        <w:t>: виділяють чотири типи кіст та нориць, що виникли внаслідок незрощення другої зябрової щілини:</w:t>
      </w:r>
    </w:p>
    <w:p w:rsidR="007139F7" w:rsidRPr="007139F7" w:rsidRDefault="007139F7" w:rsidP="007139F7">
      <w:pPr>
        <w:spacing w:after="0" w:line="360" w:lineRule="auto"/>
        <w:ind w:firstLine="709"/>
        <w:jc w:val="both"/>
        <w:rPr>
          <w:rFonts w:eastAsia="Times New Roman" w:cs="Times New Roman"/>
          <w:color w:val="000000"/>
          <w:sz w:val="28"/>
          <w:szCs w:val="28"/>
          <w:lang w:eastAsia="ru-RU"/>
        </w:rPr>
      </w:pPr>
      <w:r w:rsidRPr="007139F7">
        <w:rPr>
          <w:rFonts w:eastAsia="Times New Roman" w:cs="Times New Roman"/>
          <w:color w:val="000000"/>
          <w:sz w:val="28"/>
          <w:szCs w:val="28"/>
          <w:lang w:eastAsia="ru-RU"/>
        </w:rPr>
        <w:t xml:space="preserve">І тип – найбільш поверхневі ураження, які локалізуються попереду </w:t>
      </w:r>
      <w:r w:rsidRPr="007139F7">
        <w:rPr>
          <w:rFonts w:eastAsia="Times New Roman" w:cs="Times New Roman"/>
          <w:color w:val="000000"/>
          <w:sz w:val="28"/>
          <w:szCs w:val="28"/>
          <w:lang w:val="en-US" w:eastAsia="ru-RU"/>
        </w:rPr>
        <w:t>m</w:t>
      </w:r>
      <w:r w:rsidRPr="007139F7">
        <w:rPr>
          <w:rFonts w:eastAsia="Times New Roman" w:cs="Times New Roman"/>
          <w:color w:val="000000"/>
          <w:sz w:val="28"/>
          <w:szCs w:val="28"/>
          <w:lang w:eastAsia="ru-RU"/>
        </w:rPr>
        <w:t>. </w:t>
      </w:r>
      <w:r w:rsidRPr="007139F7">
        <w:rPr>
          <w:rFonts w:eastAsia="Times New Roman" w:cs="Times New Roman"/>
          <w:color w:val="000000"/>
          <w:sz w:val="28"/>
          <w:szCs w:val="28"/>
          <w:lang w:val="en-US" w:eastAsia="ru-RU"/>
        </w:rPr>
        <w:t>Sternoclaidomastoideus</w:t>
      </w:r>
      <w:r w:rsidRPr="007139F7">
        <w:rPr>
          <w:rFonts w:eastAsia="Times New Roman" w:cs="Times New Roman"/>
          <w:color w:val="000000"/>
          <w:sz w:val="28"/>
          <w:szCs w:val="28"/>
          <w:lang w:eastAsia="ru-RU"/>
        </w:rPr>
        <w:t xml:space="preserve">, під </w:t>
      </w:r>
      <w:r w:rsidRPr="007139F7">
        <w:rPr>
          <w:rFonts w:eastAsia="Times New Roman" w:cs="Times New Roman"/>
          <w:color w:val="000000"/>
          <w:sz w:val="28"/>
          <w:szCs w:val="28"/>
          <w:lang w:val="en-US" w:eastAsia="ru-RU"/>
        </w:rPr>
        <w:t>m</w:t>
      </w:r>
      <w:r w:rsidRPr="007139F7">
        <w:rPr>
          <w:rFonts w:eastAsia="Times New Roman" w:cs="Times New Roman"/>
          <w:color w:val="000000"/>
          <w:sz w:val="28"/>
          <w:szCs w:val="28"/>
          <w:lang w:eastAsia="ru-RU"/>
        </w:rPr>
        <w:t xml:space="preserve">. </w:t>
      </w:r>
      <w:r w:rsidRPr="007139F7">
        <w:rPr>
          <w:rFonts w:eastAsia="Times New Roman" w:cs="Times New Roman"/>
          <w:color w:val="000000"/>
          <w:sz w:val="28"/>
          <w:szCs w:val="28"/>
          <w:lang w:val="en-US" w:eastAsia="ru-RU"/>
        </w:rPr>
        <w:t>Platisma</w:t>
      </w:r>
      <w:r w:rsidRPr="007139F7">
        <w:rPr>
          <w:rFonts w:eastAsia="Times New Roman" w:cs="Times New Roman"/>
          <w:color w:val="000000"/>
          <w:sz w:val="28"/>
          <w:szCs w:val="28"/>
          <w:lang w:eastAsia="ru-RU"/>
        </w:rPr>
        <w:t xml:space="preserve"> та не мають контакту з оболонкою сонних артерій;</w:t>
      </w:r>
    </w:p>
    <w:p w:rsidR="007139F7" w:rsidRPr="007139F7" w:rsidRDefault="007139F7" w:rsidP="007139F7">
      <w:pPr>
        <w:spacing w:after="0" w:line="360" w:lineRule="auto"/>
        <w:ind w:firstLine="709"/>
        <w:jc w:val="both"/>
        <w:rPr>
          <w:rFonts w:eastAsia="Times New Roman" w:cs="Times New Roman"/>
          <w:color w:val="000000"/>
          <w:sz w:val="28"/>
          <w:szCs w:val="28"/>
          <w:lang w:eastAsia="ru-RU"/>
        </w:rPr>
      </w:pPr>
      <w:r w:rsidRPr="007139F7">
        <w:rPr>
          <w:rFonts w:eastAsia="Times New Roman" w:cs="Times New Roman"/>
          <w:color w:val="000000"/>
          <w:sz w:val="28"/>
          <w:szCs w:val="28"/>
          <w:lang w:eastAsia="ru-RU"/>
        </w:rPr>
        <w:t xml:space="preserve">ІІ тип – найпоширеніший тип ураження, для якого характерне розташування попереду від </w:t>
      </w:r>
      <w:r w:rsidRPr="007139F7">
        <w:rPr>
          <w:rFonts w:eastAsia="Times New Roman" w:cs="Times New Roman"/>
          <w:color w:val="000000"/>
          <w:sz w:val="28"/>
          <w:szCs w:val="28"/>
          <w:lang w:val="en-US" w:eastAsia="ru-RU"/>
        </w:rPr>
        <w:t>m</w:t>
      </w:r>
      <w:r w:rsidRPr="007139F7">
        <w:rPr>
          <w:rFonts w:eastAsia="Times New Roman" w:cs="Times New Roman"/>
          <w:color w:val="000000"/>
          <w:sz w:val="28"/>
          <w:szCs w:val="28"/>
          <w:lang w:eastAsia="ru-RU"/>
        </w:rPr>
        <w:t xml:space="preserve">. </w:t>
      </w:r>
      <w:r w:rsidRPr="007139F7">
        <w:rPr>
          <w:rFonts w:eastAsia="Times New Roman" w:cs="Times New Roman"/>
          <w:color w:val="000000"/>
          <w:sz w:val="28"/>
          <w:szCs w:val="28"/>
          <w:lang w:val="en-US" w:eastAsia="ru-RU"/>
        </w:rPr>
        <w:t>Sternoclaidomastoideus</w:t>
      </w:r>
      <w:r w:rsidRPr="007139F7">
        <w:rPr>
          <w:rFonts w:eastAsia="Times New Roman" w:cs="Times New Roman"/>
          <w:color w:val="000000"/>
          <w:sz w:val="28"/>
          <w:szCs w:val="28"/>
          <w:lang w:eastAsia="ru-RU"/>
        </w:rPr>
        <w:t>, позаду від піднижньощелепної слинної залози у бічному або сонному трикутниках шиї.</w:t>
      </w:r>
    </w:p>
    <w:p w:rsidR="007139F7" w:rsidRPr="007139F7" w:rsidRDefault="007139F7" w:rsidP="007139F7">
      <w:pPr>
        <w:spacing w:after="0" w:line="360" w:lineRule="auto"/>
        <w:ind w:firstLine="709"/>
        <w:jc w:val="both"/>
        <w:rPr>
          <w:rFonts w:eastAsia="Times New Roman" w:cs="Times New Roman"/>
          <w:color w:val="000000"/>
          <w:sz w:val="28"/>
          <w:szCs w:val="28"/>
          <w:lang w:eastAsia="ru-RU"/>
        </w:rPr>
      </w:pPr>
      <w:r w:rsidRPr="007139F7">
        <w:rPr>
          <w:rFonts w:eastAsia="Times New Roman" w:cs="Times New Roman"/>
          <w:color w:val="000000"/>
          <w:sz w:val="28"/>
          <w:szCs w:val="28"/>
          <w:lang w:eastAsia="ru-RU"/>
        </w:rPr>
        <w:t>ІІІ тип – локалізується між біфуркацією зовнішньої та внутрішньої сонної артерії, латеральніше бічної стінки глотки;</w:t>
      </w:r>
    </w:p>
    <w:p w:rsidR="007139F7" w:rsidRPr="007139F7" w:rsidRDefault="007139F7" w:rsidP="007139F7">
      <w:pPr>
        <w:spacing w:after="0" w:line="360" w:lineRule="auto"/>
        <w:ind w:firstLine="709"/>
        <w:jc w:val="both"/>
        <w:rPr>
          <w:rFonts w:eastAsia="Times New Roman" w:cs="Times New Roman"/>
          <w:color w:val="000000"/>
          <w:sz w:val="28"/>
          <w:szCs w:val="28"/>
          <w:lang w:eastAsia="ru-RU"/>
        </w:rPr>
      </w:pPr>
      <w:r w:rsidRPr="007139F7">
        <w:rPr>
          <w:rFonts w:eastAsia="Times New Roman" w:cs="Times New Roman"/>
          <w:color w:val="000000"/>
          <w:sz w:val="28"/>
          <w:szCs w:val="28"/>
          <w:lang w:val="en-US" w:eastAsia="ru-RU"/>
        </w:rPr>
        <w:t>IV</w:t>
      </w:r>
      <w:r w:rsidRPr="007139F7">
        <w:rPr>
          <w:rFonts w:eastAsia="Times New Roman" w:cs="Times New Roman"/>
          <w:color w:val="000000"/>
          <w:sz w:val="28"/>
          <w:szCs w:val="28"/>
          <w:lang w:eastAsia="ru-RU"/>
        </w:rPr>
        <w:t xml:space="preserve"> тип – розташовується глибоко біля біфуркації сонної артерії у навкологлотковому просторі та відкривається у глотку [17]. </w:t>
      </w:r>
    </w:p>
    <w:p w:rsidR="007139F7" w:rsidRPr="007139F7" w:rsidRDefault="007139F7" w:rsidP="007139F7">
      <w:pPr>
        <w:spacing w:after="0" w:line="360" w:lineRule="auto"/>
        <w:ind w:firstLine="709"/>
        <w:jc w:val="both"/>
        <w:rPr>
          <w:rFonts w:eastAsia="Times New Roman" w:cs="Times New Roman"/>
          <w:color w:val="000000"/>
          <w:sz w:val="28"/>
          <w:szCs w:val="28"/>
          <w:lang w:eastAsia="ru-RU"/>
        </w:rPr>
      </w:pPr>
      <w:r w:rsidRPr="007139F7">
        <w:rPr>
          <w:rFonts w:eastAsia="Times New Roman" w:cs="Times New Roman"/>
          <w:color w:val="000000"/>
          <w:sz w:val="28"/>
          <w:szCs w:val="28"/>
          <w:lang w:eastAsia="ru-RU"/>
        </w:rPr>
        <w:t>Серед кіст першої зябрової дуги патогенетично виділяють два типи аномалій:</w:t>
      </w:r>
    </w:p>
    <w:p w:rsidR="007139F7" w:rsidRPr="007139F7" w:rsidRDefault="007139F7" w:rsidP="007139F7">
      <w:pPr>
        <w:spacing w:after="0" w:line="360" w:lineRule="auto"/>
        <w:ind w:firstLine="709"/>
        <w:jc w:val="both"/>
        <w:rPr>
          <w:rFonts w:eastAsia="Times New Roman" w:cs="Times New Roman"/>
          <w:color w:val="000000"/>
          <w:sz w:val="28"/>
          <w:szCs w:val="28"/>
          <w:lang w:eastAsia="ru-RU"/>
        </w:rPr>
      </w:pPr>
      <w:r w:rsidRPr="007139F7">
        <w:rPr>
          <w:rFonts w:eastAsia="Times New Roman" w:cs="Times New Roman"/>
          <w:color w:val="000000"/>
          <w:sz w:val="28"/>
          <w:szCs w:val="28"/>
          <w:lang w:eastAsia="ru-RU"/>
        </w:rPr>
        <w:t>І тип – суто ектодермального походження, що примикають до зовнішнього слухового проходу, є дублікатурою його мембрани і містять плескатоклітинний епітелій, але не мають у своєму вмісті додатків шкіри.</w:t>
      </w:r>
    </w:p>
    <w:p w:rsidR="007139F7" w:rsidRPr="007139F7" w:rsidRDefault="007139F7" w:rsidP="007139F7">
      <w:pPr>
        <w:spacing w:after="0" w:line="360" w:lineRule="auto"/>
        <w:ind w:firstLine="709"/>
        <w:jc w:val="both"/>
        <w:rPr>
          <w:rFonts w:eastAsia="Times New Roman" w:cs="Times New Roman"/>
          <w:color w:val="000000"/>
          <w:sz w:val="28"/>
          <w:szCs w:val="28"/>
          <w:lang w:eastAsia="ru-RU"/>
        </w:rPr>
      </w:pPr>
      <w:r w:rsidRPr="007139F7">
        <w:rPr>
          <w:rFonts w:eastAsia="Times New Roman" w:cs="Times New Roman"/>
          <w:color w:val="000000"/>
          <w:sz w:val="28"/>
          <w:szCs w:val="28"/>
          <w:lang w:eastAsia="ru-RU"/>
        </w:rPr>
        <w:t>ІІ тип – являють собою кісти в ділянці кута нижньої щелепи, екто- та мезодермального походження, тому окрім плескатоклітинного епітелію мають у своєму вмісті додатки шкіри (волосяні фолікули, сальні залози тощо) [17-19].</w:t>
      </w:r>
    </w:p>
    <w:p w:rsidR="007139F7" w:rsidRPr="007139F7" w:rsidRDefault="007139F7" w:rsidP="007139F7">
      <w:pPr>
        <w:spacing w:after="0" w:line="360" w:lineRule="auto"/>
        <w:ind w:firstLine="709"/>
        <w:jc w:val="both"/>
        <w:rPr>
          <w:rFonts w:eastAsia="Times New Roman" w:cs="Times New Roman"/>
          <w:color w:val="000000"/>
          <w:sz w:val="28"/>
          <w:szCs w:val="28"/>
          <w:lang w:eastAsia="ru-RU"/>
        </w:rPr>
      </w:pPr>
      <w:r w:rsidRPr="007139F7">
        <w:rPr>
          <w:rFonts w:eastAsia="Times New Roman" w:cs="Times New Roman"/>
          <w:color w:val="000000"/>
          <w:sz w:val="28"/>
          <w:szCs w:val="28"/>
          <w:lang w:eastAsia="ru-RU"/>
        </w:rPr>
        <w:t xml:space="preserve">Аномалії третьої та четвертої зябрових дуг можуть виглядати схоже на кісти другої зябрової щілини, але відрізняються анатомічно. Нориці даної локалізації відкриваються назовні у надключичній ділянці, а внутрішньо – </w:t>
      </w:r>
      <w:r w:rsidRPr="007139F7">
        <w:rPr>
          <w:rFonts w:eastAsia="Times New Roman" w:cs="Times New Roman"/>
          <w:color w:val="000000"/>
          <w:sz w:val="28"/>
          <w:szCs w:val="28"/>
          <w:lang w:eastAsia="ru-RU"/>
        </w:rPr>
        <w:lastRenderedPageBreak/>
        <w:t xml:space="preserve">нижче під’язикової кістки у глотку. Кісти третьої зябрової дуги локалізуються на задньо-бічній поверхні шиї позаду </w:t>
      </w:r>
      <w:r w:rsidRPr="007139F7">
        <w:rPr>
          <w:rFonts w:eastAsia="Times New Roman" w:cs="Times New Roman"/>
          <w:color w:val="000000"/>
          <w:sz w:val="28"/>
          <w:szCs w:val="28"/>
          <w:lang w:val="en-US" w:eastAsia="ru-RU"/>
        </w:rPr>
        <w:t>m</w:t>
      </w:r>
      <w:r w:rsidRPr="007139F7">
        <w:rPr>
          <w:rFonts w:eastAsia="Times New Roman" w:cs="Times New Roman"/>
          <w:color w:val="000000"/>
          <w:sz w:val="28"/>
          <w:szCs w:val="28"/>
          <w:lang w:eastAsia="ru-RU"/>
        </w:rPr>
        <w:t>. </w:t>
      </w:r>
      <w:r w:rsidRPr="007139F7">
        <w:rPr>
          <w:rFonts w:eastAsia="Times New Roman" w:cs="Times New Roman"/>
          <w:color w:val="000000"/>
          <w:sz w:val="28"/>
          <w:szCs w:val="28"/>
          <w:lang w:val="en-US" w:eastAsia="ru-RU"/>
        </w:rPr>
        <w:t>Sternoclaidomastoideus</w:t>
      </w:r>
      <w:r w:rsidRPr="007139F7">
        <w:rPr>
          <w:rFonts w:eastAsia="Times New Roman" w:cs="Times New Roman"/>
          <w:color w:val="000000"/>
          <w:sz w:val="28"/>
          <w:szCs w:val="28"/>
          <w:lang w:eastAsia="ru-RU"/>
        </w:rPr>
        <w:t xml:space="preserve">. </w:t>
      </w:r>
    </w:p>
    <w:p w:rsidR="007139F7" w:rsidRPr="007139F7" w:rsidRDefault="007139F7" w:rsidP="007139F7">
      <w:pPr>
        <w:spacing w:after="0" w:line="360" w:lineRule="auto"/>
        <w:ind w:firstLine="709"/>
        <w:jc w:val="both"/>
        <w:rPr>
          <w:rFonts w:eastAsia="Calibri" w:cs="Times New Roman"/>
          <w:sz w:val="28"/>
          <w:szCs w:val="28"/>
        </w:rPr>
      </w:pPr>
      <w:r w:rsidRPr="007139F7">
        <w:rPr>
          <w:rFonts w:eastAsia="Times New Roman" w:cs="Times New Roman"/>
          <w:color w:val="000000"/>
          <w:sz w:val="28"/>
          <w:szCs w:val="28"/>
          <w:lang w:eastAsia="ru-RU"/>
        </w:rPr>
        <w:t xml:space="preserve">Нориці четвертої зябрової щілини відкриваються від верхньої межі лівої долі щитоподібної залози до середостіння, що значно ускладнює їх хірургічне лікування [17, 19]. </w:t>
      </w:r>
    </w:p>
    <w:p w:rsidR="007139F7" w:rsidRPr="007139F7" w:rsidRDefault="007139F7" w:rsidP="007139F7">
      <w:pPr>
        <w:spacing w:after="0" w:line="360" w:lineRule="auto"/>
        <w:ind w:firstLine="709"/>
        <w:jc w:val="both"/>
        <w:rPr>
          <w:rFonts w:eastAsia="Times New Roman" w:cs="Times New Roman"/>
          <w:color w:val="000000"/>
          <w:sz w:val="28"/>
          <w:szCs w:val="28"/>
          <w:lang w:eastAsia="ru-RU"/>
        </w:rPr>
      </w:pPr>
      <w:r w:rsidRPr="007139F7">
        <w:rPr>
          <w:rFonts w:eastAsia="Times New Roman" w:cs="Times New Roman"/>
          <w:color w:val="000000"/>
          <w:sz w:val="28"/>
          <w:szCs w:val="28"/>
          <w:lang w:eastAsia="ru-RU"/>
        </w:rPr>
        <w:t>У випадку білатеральних кіст другої зябрової щілини це є однією з ознак бранхіо-ото-ренального синдрому, який передається за аутосомно-домінантним типом, пов’язаним із хромосомою 8</w:t>
      </w:r>
      <w:r w:rsidRPr="007139F7">
        <w:rPr>
          <w:rFonts w:eastAsia="Times New Roman" w:cs="Times New Roman"/>
          <w:color w:val="000000"/>
          <w:sz w:val="28"/>
          <w:szCs w:val="28"/>
          <w:lang w:val="en-US" w:eastAsia="ru-RU"/>
        </w:rPr>
        <w:t>q</w:t>
      </w:r>
      <w:r w:rsidRPr="007139F7">
        <w:rPr>
          <w:rFonts w:eastAsia="Times New Roman" w:cs="Times New Roman"/>
          <w:color w:val="000000"/>
          <w:sz w:val="28"/>
          <w:szCs w:val="28"/>
          <w:lang w:eastAsia="ru-RU"/>
        </w:rPr>
        <w:t xml:space="preserve"> 13.3. Іншими клінічними симптомами даної патології є порушення слуху, наявність периаурикулярних ямок та ниркові аномалії [20, 21].</w:t>
      </w:r>
    </w:p>
    <w:p w:rsidR="007139F7" w:rsidRPr="007139F7" w:rsidRDefault="007139F7" w:rsidP="007139F7">
      <w:pPr>
        <w:shd w:val="clear" w:color="auto" w:fill="FFFFFF"/>
        <w:spacing w:after="0" w:line="360" w:lineRule="auto"/>
        <w:ind w:firstLine="709"/>
        <w:jc w:val="both"/>
        <w:rPr>
          <w:rFonts w:eastAsia="Times New Roman" w:cs="Times New Roman"/>
          <w:color w:val="000000"/>
          <w:sz w:val="28"/>
          <w:szCs w:val="28"/>
          <w:lang w:eastAsia="ru-RU"/>
        </w:rPr>
      </w:pPr>
      <w:r w:rsidRPr="007139F7">
        <w:rPr>
          <w:rFonts w:eastAsia="Times New Roman" w:cs="Times New Roman"/>
          <w:color w:val="000000"/>
          <w:sz w:val="28"/>
          <w:szCs w:val="28"/>
          <w:lang w:eastAsia="ru-RU"/>
        </w:rPr>
        <w:t xml:space="preserve">Бічна кіста шиї являє собою безболісне пухлиноподібне утворення сферичної форми, щільної або м’якоеластичної консистенції, з гладкою поверхнею. У певних випадках ці ураження можуть сягати значних розмірів, які проявляються у вигляді деформації шиї, що ускладнює рухи голови, та компресією судинно-нервого пучка, яка супроводжується больовими відчуттями. Описані випадки вегетативної симптоматики через здавлення блукаючого нерву та яремної вени. </w:t>
      </w:r>
    </w:p>
    <w:p w:rsidR="007139F7" w:rsidRPr="007139F7" w:rsidRDefault="007139F7" w:rsidP="007139F7">
      <w:pPr>
        <w:spacing w:after="0" w:line="360" w:lineRule="auto"/>
        <w:ind w:firstLine="709"/>
        <w:jc w:val="both"/>
        <w:rPr>
          <w:rFonts w:eastAsia="Calibri" w:cs="Times New Roman"/>
          <w:sz w:val="28"/>
          <w:szCs w:val="28"/>
        </w:rPr>
      </w:pPr>
      <w:r w:rsidRPr="007139F7">
        <w:rPr>
          <w:rFonts w:eastAsia="Calibri" w:cs="Times New Roman"/>
          <w:sz w:val="28"/>
          <w:szCs w:val="28"/>
        </w:rPr>
        <w:t xml:space="preserve">Бічні кісти шиї схильні до частого нагноєння. У цьому разі кіста швидко збільшується у розмірі, внаслідок накопичення у її порожнині гнійного ексудату, з’являються ознаки запалення </w:t>
      </w:r>
      <w:r w:rsidRPr="007139F7">
        <w:rPr>
          <w:rFonts w:eastAsia="Times New Roman" w:cs="Times New Roman"/>
          <w:color w:val="000000"/>
          <w:sz w:val="28"/>
          <w:szCs w:val="28"/>
          <w:lang w:eastAsia="ru-RU"/>
        </w:rPr>
        <w:t>[22-26]</w:t>
      </w:r>
      <w:r w:rsidRPr="007139F7">
        <w:rPr>
          <w:rFonts w:eastAsia="Calibri" w:cs="Times New Roman"/>
          <w:sz w:val="28"/>
          <w:szCs w:val="28"/>
        </w:rPr>
        <w:t xml:space="preserve">. </w:t>
      </w:r>
      <w:r w:rsidRPr="007139F7">
        <w:rPr>
          <w:rFonts w:eastAsia="Times New Roman" w:cs="Times New Roman"/>
          <w:color w:val="000000"/>
          <w:sz w:val="28"/>
          <w:szCs w:val="28"/>
          <w:lang w:eastAsia="ru-RU"/>
        </w:rPr>
        <w:t>Нещодавні дослідження довели, що нейтрофіли, які були виявлені у вмісті кісти при її запаленні були апоптичними або некротичними, на різних стадіях дегенерації, що може свідчити про самостійне хронічне запалення у бранхіагенних кістах [27, 28].</w:t>
      </w:r>
    </w:p>
    <w:p w:rsidR="007139F7" w:rsidRPr="007139F7" w:rsidRDefault="007139F7" w:rsidP="007139F7">
      <w:pPr>
        <w:spacing w:after="0" w:line="360" w:lineRule="auto"/>
        <w:ind w:firstLine="709"/>
        <w:jc w:val="both"/>
        <w:rPr>
          <w:rFonts w:eastAsia="Calibri" w:cs="Times New Roman"/>
          <w:sz w:val="28"/>
          <w:szCs w:val="28"/>
        </w:rPr>
      </w:pPr>
      <w:r w:rsidRPr="007139F7">
        <w:rPr>
          <w:rFonts w:eastAsia="Times New Roman" w:cs="Times New Roman"/>
          <w:color w:val="000000"/>
          <w:sz w:val="28"/>
          <w:szCs w:val="28"/>
          <w:lang w:eastAsia="ru-RU"/>
        </w:rPr>
        <w:t>Згідно статистичних досліджень у пацієнтів старше 30 років у близько 3% випадків має місце малігнізація утворень другої зябрової щілини [29-32].</w:t>
      </w:r>
    </w:p>
    <w:p w:rsidR="007139F7" w:rsidRPr="007139F7" w:rsidRDefault="007139F7" w:rsidP="007139F7">
      <w:pPr>
        <w:spacing w:after="0" w:line="360" w:lineRule="auto"/>
        <w:ind w:firstLine="709"/>
        <w:jc w:val="both"/>
        <w:rPr>
          <w:rFonts w:eastAsia="Calibri" w:cs="Times New Roman"/>
          <w:sz w:val="28"/>
          <w:szCs w:val="28"/>
        </w:rPr>
      </w:pPr>
      <w:r w:rsidRPr="007139F7">
        <w:rPr>
          <w:rFonts w:eastAsia="Calibri" w:cs="Times New Roman"/>
          <w:sz w:val="28"/>
          <w:szCs w:val="28"/>
        </w:rPr>
        <w:t xml:space="preserve">Бічні кісти шиї підлягають хірургічному лікуванню, шляхом радикального виділення оболонки утворення, за необхідністю, обумовленою великими розмірами кісти, попередньо проводять відсмоктування кістозного вмісту. За радикального лікування рецидивування спостерігається досить рідко [21, 22, 33]. Альтернативним методом лікування кісти другої зябрової </w:t>
      </w:r>
      <w:r w:rsidRPr="007139F7">
        <w:rPr>
          <w:rFonts w:eastAsia="Calibri" w:cs="Times New Roman"/>
          <w:sz w:val="28"/>
          <w:szCs w:val="28"/>
        </w:rPr>
        <w:lastRenderedPageBreak/>
        <w:t xml:space="preserve">щілини є використання ендоскопічної оперативної техніки, яка значно покращує косметичний ефект та аналогічно радикальному втручанню не спричиняє розвитку рецидивів захворювання [34]. </w:t>
      </w:r>
    </w:p>
    <w:p w:rsidR="007139F7" w:rsidRPr="007139F7" w:rsidRDefault="00417675" w:rsidP="007139F7">
      <w:pPr>
        <w:spacing w:after="0" w:line="360" w:lineRule="auto"/>
        <w:ind w:firstLine="709"/>
        <w:jc w:val="both"/>
        <w:rPr>
          <w:rFonts w:eastAsia="Calibri" w:cs="Times New Roman"/>
          <w:sz w:val="28"/>
          <w:szCs w:val="28"/>
        </w:rPr>
      </w:pPr>
      <w:hyperlink r:id="rId9" w:history="1">
        <w:r w:rsidR="007139F7" w:rsidRPr="007139F7">
          <w:rPr>
            <w:rFonts w:eastAsia="Calibri" w:cs="Times New Roman"/>
            <w:sz w:val="28"/>
            <w:szCs w:val="28"/>
            <w:lang w:val="en-US"/>
          </w:rPr>
          <w:t>Piccioni</w:t>
        </w:r>
        <w:r w:rsidR="007139F7" w:rsidRPr="007139F7">
          <w:rPr>
            <w:rFonts w:eastAsia="Calibri" w:cs="Times New Roman"/>
            <w:sz w:val="28"/>
            <w:szCs w:val="28"/>
          </w:rPr>
          <w:t xml:space="preserve"> </w:t>
        </w:r>
        <w:r w:rsidR="007139F7" w:rsidRPr="007139F7">
          <w:rPr>
            <w:rFonts w:eastAsia="Calibri" w:cs="Times New Roman"/>
            <w:sz w:val="28"/>
            <w:szCs w:val="28"/>
            <w:lang w:val="en-US"/>
          </w:rPr>
          <w:t>M</w:t>
        </w:r>
      </w:hyperlink>
      <w:r w:rsidR="007139F7" w:rsidRPr="007139F7">
        <w:rPr>
          <w:rFonts w:eastAsia="Calibri" w:cs="Times New Roman"/>
          <w:sz w:val="28"/>
          <w:szCs w:val="28"/>
        </w:rPr>
        <w:t>. запропонував модифікацію радикального лікування кіст другої та першої зябрових дуг, яка базується на інтраопераціному введенні ін’єкції фібринового клею у поєднанні із метиленовим синім. Дана методика є простою у використанні та сприяє візуалізації можливих ушкоджень під час оперативного втручання, більш швидкому загоєнню післяопераційної рани, а також сприяє покращенню косметичного ефекту радикального лікування. Однак дана модифікація не має остаточної валідації</w:t>
      </w:r>
      <w:r w:rsidR="007139F7" w:rsidRPr="007139F7">
        <w:rPr>
          <w:rFonts w:eastAsia="Calibri" w:cs="Times New Roman"/>
          <w:sz w:val="28"/>
          <w:szCs w:val="28"/>
          <w:lang w:val="ru-RU"/>
        </w:rPr>
        <w:t xml:space="preserve"> [35]</w:t>
      </w:r>
      <w:r w:rsidR="007139F7" w:rsidRPr="007139F7">
        <w:rPr>
          <w:rFonts w:eastAsia="Calibri" w:cs="Times New Roman"/>
          <w:sz w:val="28"/>
          <w:szCs w:val="28"/>
        </w:rPr>
        <w:t>.</w:t>
      </w:r>
    </w:p>
    <w:p w:rsidR="007139F7" w:rsidRPr="007139F7" w:rsidRDefault="007139F7" w:rsidP="007139F7">
      <w:pPr>
        <w:spacing w:after="0" w:line="360" w:lineRule="auto"/>
        <w:ind w:firstLine="709"/>
        <w:jc w:val="both"/>
        <w:rPr>
          <w:rFonts w:eastAsia="Calibri" w:cs="Times New Roman"/>
          <w:sz w:val="28"/>
          <w:szCs w:val="28"/>
        </w:rPr>
      </w:pPr>
      <w:r w:rsidRPr="007139F7">
        <w:rPr>
          <w:rFonts w:eastAsia="Calibri" w:cs="Times New Roman"/>
          <w:sz w:val="28"/>
          <w:szCs w:val="28"/>
        </w:rPr>
        <w:t>Інша тактика застосовується у разі нагноєння бранхіагенної кісти. У даному випадку перевагу надають антибактеріальній терапії у поєднанні з пункцією утворення та його антисептичною обробкою. Оскільки порушення цілісності кістозної капсули ускладнює подальше радикальне лікування внаслідок рубцювання навколишніх м’яких тканин [21, 36].</w:t>
      </w:r>
    </w:p>
    <w:p w:rsidR="007139F7" w:rsidRPr="007139F7" w:rsidRDefault="007139F7" w:rsidP="007139F7">
      <w:pPr>
        <w:shd w:val="clear" w:color="auto" w:fill="FFFFFF"/>
        <w:spacing w:before="166" w:after="166" w:line="360" w:lineRule="auto"/>
        <w:ind w:firstLine="709"/>
        <w:jc w:val="both"/>
        <w:rPr>
          <w:rFonts w:eastAsia="Times New Roman" w:cs="Times New Roman"/>
          <w:color w:val="000000"/>
          <w:sz w:val="28"/>
          <w:szCs w:val="28"/>
          <w:lang w:eastAsia="ru-RU"/>
        </w:rPr>
      </w:pPr>
      <w:r w:rsidRPr="007139F7">
        <w:rPr>
          <w:rFonts w:eastAsia="Calibri" w:cs="Times New Roman"/>
          <w:sz w:val="28"/>
          <w:szCs w:val="28"/>
        </w:rPr>
        <w:t xml:space="preserve">Серединні (тіреоглосальні) кісти шиї є вродженими утвореннями, які виникають внаслідок незрощення щитоподібно-язикової протоки, яка утворюється на 3-5 тиждень та в нормі повністю зникає на 8-10 тижні внутрішньоутробного розбитку [37, 38]. </w:t>
      </w:r>
      <w:r w:rsidRPr="007139F7">
        <w:rPr>
          <w:rFonts w:eastAsia="Times New Roman" w:cs="Times New Roman"/>
          <w:color w:val="000000"/>
          <w:sz w:val="28"/>
          <w:szCs w:val="28"/>
          <w:lang w:eastAsia="ru-RU"/>
        </w:rPr>
        <w:t>Переважна більшість цих кіст містить у своєму складі ектоповану тканину щитоподібної залози [39].</w:t>
      </w:r>
    </w:p>
    <w:p w:rsidR="007139F7" w:rsidRPr="007139F7" w:rsidRDefault="007139F7" w:rsidP="007139F7">
      <w:pPr>
        <w:shd w:val="clear" w:color="auto" w:fill="FFFFFF"/>
        <w:spacing w:before="166" w:after="166" w:line="360" w:lineRule="auto"/>
        <w:ind w:firstLine="709"/>
        <w:jc w:val="both"/>
        <w:rPr>
          <w:rFonts w:eastAsia="Calibri" w:cs="Times New Roman"/>
          <w:sz w:val="28"/>
          <w:szCs w:val="28"/>
          <w:lang w:val="ru-RU"/>
        </w:rPr>
      </w:pPr>
      <w:r w:rsidRPr="007139F7">
        <w:rPr>
          <w:rFonts w:eastAsia="Times New Roman" w:cs="Times New Roman"/>
          <w:color w:val="000000"/>
          <w:sz w:val="28"/>
          <w:szCs w:val="28"/>
          <w:lang w:eastAsia="ru-RU"/>
        </w:rPr>
        <w:t>Тіреоглосальні кісти складають більше 70 % вроджених новоутворень у дітей, та близько 7% – у дорослих. Серед дорослого населення переважно вражаючи жінок віком від 20 до 30 років</w:t>
      </w:r>
      <w:r w:rsidRPr="007139F7">
        <w:rPr>
          <w:rFonts w:eastAsia="Times New Roman" w:cs="Times New Roman"/>
          <w:color w:val="000000"/>
          <w:sz w:val="28"/>
          <w:szCs w:val="28"/>
          <w:lang w:val="ru-RU" w:eastAsia="ru-RU"/>
        </w:rPr>
        <w:t xml:space="preserve"> [40-42]</w:t>
      </w:r>
      <w:r w:rsidRPr="007139F7">
        <w:rPr>
          <w:rFonts w:eastAsia="Times New Roman" w:cs="Times New Roman"/>
          <w:color w:val="000000"/>
          <w:sz w:val="28"/>
          <w:szCs w:val="28"/>
          <w:lang w:eastAsia="ru-RU"/>
        </w:rPr>
        <w:t>.</w:t>
      </w:r>
    </w:p>
    <w:p w:rsidR="007139F7" w:rsidRPr="007139F7" w:rsidRDefault="007139F7" w:rsidP="007139F7">
      <w:pPr>
        <w:shd w:val="clear" w:color="auto" w:fill="FFFFFF"/>
        <w:spacing w:before="166" w:after="166" w:line="360" w:lineRule="auto"/>
        <w:ind w:firstLine="709"/>
        <w:jc w:val="both"/>
        <w:rPr>
          <w:rFonts w:eastAsia="Calibri" w:cs="Times New Roman"/>
          <w:sz w:val="28"/>
          <w:szCs w:val="28"/>
        </w:rPr>
      </w:pPr>
      <w:r w:rsidRPr="007139F7">
        <w:rPr>
          <w:rFonts w:eastAsia="Times New Roman" w:cs="Times New Roman"/>
          <w:color w:val="000000"/>
          <w:sz w:val="28"/>
          <w:szCs w:val="28"/>
          <w:lang w:eastAsia="ru-RU"/>
        </w:rPr>
        <w:t xml:space="preserve">Серединні кісти шиї можуть утворюватися у будь-якому місці за ходом щитоязикової протоки. Переважна їх більшість розташовується у підпід’язиковій ділянці (80%), 8% - над під’язиковою кісткою, 5% - у надгрудинному просторі шиї та лише 1-2% локалізується в ділянці кореня язика [37]. Згідно даних інших літературних джерел тіреоглосальна кіста розташовується у 60% випадків між щитоподібним хрящем та під’язиковою </w:t>
      </w:r>
      <w:r w:rsidRPr="007139F7">
        <w:rPr>
          <w:rFonts w:eastAsia="Times New Roman" w:cs="Times New Roman"/>
          <w:color w:val="000000"/>
          <w:sz w:val="28"/>
          <w:szCs w:val="28"/>
          <w:lang w:eastAsia="ru-RU"/>
        </w:rPr>
        <w:lastRenderedPageBreak/>
        <w:t xml:space="preserve">кісткою, а також супрагіоїдно, супрастернально та інтралінгвально у 24%, 13% та 2% випадків відповідно [40]. Мають місце вкрай рідкісні локалізації даних утворень, а саме у межах під’язикової кістки [41] та ділянці середостіння [43]. </w:t>
      </w:r>
    </w:p>
    <w:p w:rsidR="007139F7" w:rsidRPr="007139F7" w:rsidRDefault="007139F7" w:rsidP="007139F7">
      <w:pPr>
        <w:shd w:val="clear" w:color="auto" w:fill="FFFFFF"/>
        <w:spacing w:before="166" w:after="166" w:line="360" w:lineRule="auto"/>
        <w:ind w:firstLine="709"/>
        <w:jc w:val="both"/>
        <w:rPr>
          <w:rFonts w:eastAsia="Times New Roman" w:cs="Times New Roman"/>
          <w:color w:val="000000"/>
          <w:sz w:val="28"/>
          <w:szCs w:val="28"/>
          <w:lang w:eastAsia="ru-RU"/>
        </w:rPr>
      </w:pPr>
      <w:r w:rsidRPr="007139F7">
        <w:rPr>
          <w:rFonts w:eastAsia="Times New Roman" w:cs="Times New Roman"/>
          <w:color w:val="000000"/>
          <w:sz w:val="28"/>
          <w:szCs w:val="28"/>
          <w:lang w:eastAsia="ru-RU"/>
        </w:rPr>
        <w:t>Внутрішня епітеліальна оболонка кісти тіреоглосальної протоки представлена плескатоклітинним, незроговілим стратифікуючим [37] або миготливим епітелієм, а подекуди – взагалі відсутнім [44].</w:t>
      </w:r>
    </w:p>
    <w:p w:rsidR="007139F7" w:rsidRPr="007139F7" w:rsidRDefault="007139F7" w:rsidP="007139F7">
      <w:pPr>
        <w:shd w:val="clear" w:color="auto" w:fill="FFFFFF"/>
        <w:spacing w:before="166" w:after="166" w:line="360" w:lineRule="auto"/>
        <w:ind w:firstLine="709"/>
        <w:jc w:val="both"/>
        <w:rPr>
          <w:rFonts w:eastAsia="Times New Roman" w:cs="Times New Roman"/>
          <w:color w:val="000000"/>
          <w:sz w:val="28"/>
          <w:szCs w:val="28"/>
          <w:lang w:eastAsia="ru-RU"/>
        </w:rPr>
      </w:pPr>
      <w:r w:rsidRPr="007139F7">
        <w:rPr>
          <w:rFonts w:eastAsia="Times New Roman" w:cs="Times New Roman"/>
          <w:color w:val="000000"/>
          <w:sz w:val="28"/>
          <w:szCs w:val="28"/>
          <w:lang w:eastAsia="ru-RU"/>
        </w:rPr>
        <w:t>Серединні кісти шиї більш схильні до нагноєння, ніж латеральні. Згідно літературних джерел у близько 1% випадків відбувається малігнізація тіреоглосальних кіст [45].</w:t>
      </w:r>
    </w:p>
    <w:p w:rsidR="007139F7" w:rsidRPr="00D65158" w:rsidRDefault="007139F7" w:rsidP="007139F7">
      <w:pPr>
        <w:shd w:val="clear" w:color="auto" w:fill="FFFFFF"/>
        <w:spacing w:before="166" w:after="166" w:line="360" w:lineRule="auto"/>
        <w:ind w:firstLine="709"/>
        <w:jc w:val="both"/>
        <w:rPr>
          <w:rFonts w:eastAsia="Calibri" w:cs="Times New Roman"/>
          <w:sz w:val="28"/>
          <w:szCs w:val="28"/>
        </w:rPr>
      </w:pPr>
      <w:r w:rsidRPr="007139F7">
        <w:rPr>
          <w:rFonts w:eastAsia="Times New Roman" w:cs="Times New Roman"/>
          <w:color w:val="000000"/>
          <w:sz w:val="28"/>
          <w:szCs w:val="28"/>
          <w:lang w:eastAsia="ru-RU"/>
        </w:rPr>
        <w:t xml:space="preserve">За даними літератури рецидиви після хірургічного лікування пацієнтів </w:t>
      </w:r>
      <w:r w:rsidRPr="00D65158">
        <w:rPr>
          <w:rFonts w:eastAsia="Times New Roman" w:cs="Times New Roman"/>
          <w:sz w:val="28"/>
          <w:szCs w:val="28"/>
          <w:lang w:eastAsia="ru-RU"/>
        </w:rPr>
        <w:t>з тіреоглосальними кістами шиї складають до 4% [46], причому переважна більшість авторів вважає, що резекція тіла під’язикової кістки знижує вірогідність рецидиву до 0% [47].</w:t>
      </w:r>
    </w:p>
    <w:p w:rsidR="007139F7" w:rsidRPr="00D65158" w:rsidRDefault="007139F7" w:rsidP="007139F7">
      <w:pPr>
        <w:shd w:val="clear" w:color="auto" w:fill="FFFFFF"/>
        <w:spacing w:before="166" w:after="166" w:line="360" w:lineRule="auto"/>
        <w:ind w:firstLine="709"/>
        <w:jc w:val="both"/>
        <w:rPr>
          <w:rFonts w:eastAsia="Calibri" w:cs="Times New Roman"/>
          <w:sz w:val="28"/>
          <w:szCs w:val="28"/>
        </w:rPr>
      </w:pPr>
      <w:r w:rsidRPr="00D65158">
        <w:rPr>
          <w:rFonts w:eastAsia="Calibri" w:cs="Times New Roman"/>
          <w:sz w:val="28"/>
          <w:szCs w:val="28"/>
        </w:rPr>
        <w:t>Таким чином, кісти шиї ембріонального походження є досить розповсюдженою патологією щелепно-лицевої локалізації, яка потребує хірургічного лікування. Тому має місце необхідність модифікації та оптимізації даного виду оперативних втручань, яке супроводжується формуванням рубцевозміненої тканини на відкритих ділянках шиї.</w:t>
      </w:r>
    </w:p>
    <w:p w:rsidR="007139F7" w:rsidRPr="007139F7" w:rsidRDefault="007139F7" w:rsidP="007139F7">
      <w:pPr>
        <w:spacing w:after="0" w:line="360" w:lineRule="auto"/>
        <w:ind w:left="23" w:right="23" w:firstLine="697"/>
        <w:jc w:val="both"/>
        <w:rPr>
          <w:rFonts w:eastAsia="Calibri" w:cs="Times New Roman"/>
          <w:sz w:val="28"/>
          <w:szCs w:val="28"/>
          <w:shd w:val="clear" w:color="auto" w:fill="FFFFFF"/>
        </w:rPr>
      </w:pPr>
    </w:p>
    <w:p w:rsidR="007139F7" w:rsidRPr="007139F7" w:rsidRDefault="007139F7" w:rsidP="007139F7">
      <w:pPr>
        <w:spacing w:after="0" w:line="360" w:lineRule="auto"/>
        <w:ind w:left="23" w:right="23" w:firstLine="685"/>
        <w:rPr>
          <w:rFonts w:eastAsia="Calibri" w:cs="Times New Roman"/>
          <w:b/>
          <w:sz w:val="28"/>
          <w:szCs w:val="28"/>
          <w:shd w:val="clear" w:color="auto" w:fill="FFFFFF"/>
        </w:rPr>
      </w:pPr>
      <w:r w:rsidRPr="007139F7">
        <w:rPr>
          <w:rFonts w:eastAsia="Calibri" w:cs="Times New Roman"/>
          <w:b/>
          <w:sz w:val="28"/>
          <w:szCs w:val="28"/>
          <w:shd w:val="clear" w:color="auto" w:fill="FFFFFF"/>
        </w:rPr>
        <w:t>1.2 Види рубцевої тканини, механізми їх формування</w:t>
      </w:r>
    </w:p>
    <w:p w:rsidR="007139F7" w:rsidRPr="007139F7" w:rsidRDefault="007139F7" w:rsidP="007139F7">
      <w:pPr>
        <w:spacing w:after="0" w:line="360" w:lineRule="auto"/>
        <w:ind w:left="23" w:right="23" w:firstLine="697"/>
        <w:jc w:val="both"/>
        <w:rPr>
          <w:rFonts w:eastAsia="Calibri" w:cs="Times New Roman"/>
          <w:sz w:val="28"/>
          <w:szCs w:val="28"/>
          <w:shd w:val="clear" w:color="auto" w:fill="FFFFFF"/>
        </w:rPr>
      </w:pPr>
    </w:p>
    <w:p w:rsidR="007139F7" w:rsidRPr="007139F7" w:rsidRDefault="007139F7" w:rsidP="007139F7">
      <w:pPr>
        <w:spacing w:after="0" w:line="360" w:lineRule="auto"/>
        <w:ind w:left="23" w:right="23" w:firstLine="697"/>
        <w:jc w:val="both"/>
        <w:rPr>
          <w:rFonts w:eastAsia="Calibri" w:cs="Times New Roman"/>
          <w:sz w:val="28"/>
          <w:szCs w:val="28"/>
          <w:shd w:val="clear" w:color="auto" w:fill="FFFFFF"/>
        </w:rPr>
      </w:pPr>
      <w:r w:rsidRPr="007139F7">
        <w:rPr>
          <w:rFonts w:eastAsia="Calibri" w:cs="Times New Roman"/>
          <w:sz w:val="28"/>
          <w:szCs w:val="28"/>
          <w:shd w:val="clear" w:color="auto" w:fill="FFFFFF"/>
        </w:rPr>
        <w:t>Рубець (</w:t>
      </w:r>
      <w:r w:rsidRPr="007139F7">
        <w:rPr>
          <w:rFonts w:eastAsia="Calibri" w:cs="Times New Roman"/>
          <w:sz w:val="28"/>
          <w:szCs w:val="28"/>
          <w:shd w:val="clear" w:color="auto" w:fill="FFFFFF"/>
          <w:lang w:val="ru-RU"/>
        </w:rPr>
        <w:t>Cicatrix</w:t>
      </w:r>
      <w:r w:rsidRPr="007139F7">
        <w:rPr>
          <w:rFonts w:eastAsia="Calibri" w:cs="Times New Roman"/>
          <w:sz w:val="28"/>
          <w:szCs w:val="28"/>
          <w:shd w:val="clear" w:color="auto" w:fill="FFFFFF"/>
        </w:rPr>
        <w:t xml:space="preserve">) – це вторинний морфологічний елемент шкіри, який являє собою щільне утворення, яке містить в собі гіалінізовану, багату на колагенові волокна сполучну тканину. Його формування виникає внаслідок процесів репаративної регенерації на місці запального процесу, що виникає в результаті ушкодження шкірних покривів. Рубцювання являє собою патофізіологічний процес регенерації шкіри, направлений на закриття її дефекту </w:t>
      </w:r>
      <w:r w:rsidRPr="007139F7">
        <w:rPr>
          <w:rFonts w:eastAsia="Calibri" w:cs="Times New Roman"/>
          <w:sz w:val="28"/>
          <w:szCs w:val="28"/>
          <w:shd w:val="clear" w:color="auto" w:fill="FFFFFF"/>
          <w:lang w:val="ru-RU"/>
        </w:rPr>
        <w:t>[48-51]</w:t>
      </w:r>
      <w:r w:rsidRPr="007139F7">
        <w:rPr>
          <w:rFonts w:eastAsia="Calibri" w:cs="Times New Roman"/>
          <w:sz w:val="28"/>
          <w:szCs w:val="28"/>
          <w:shd w:val="clear" w:color="auto" w:fill="FFFFFF"/>
        </w:rPr>
        <w:t>.</w:t>
      </w:r>
    </w:p>
    <w:p w:rsidR="007139F7" w:rsidRPr="007139F7" w:rsidRDefault="007139F7" w:rsidP="007139F7">
      <w:pPr>
        <w:spacing w:after="0" w:line="360" w:lineRule="auto"/>
        <w:ind w:left="23" w:right="23" w:firstLine="697"/>
        <w:jc w:val="both"/>
        <w:rPr>
          <w:rFonts w:eastAsia="Calibri" w:cs="Times New Roman"/>
          <w:sz w:val="28"/>
          <w:szCs w:val="28"/>
          <w:shd w:val="clear" w:color="auto" w:fill="FFFFFF"/>
        </w:rPr>
      </w:pPr>
      <w:r w:rsidRPr="007139F7">
        <w:rPr>
          <w:rFonts w:eastAsia="Calibri" w:cs="Times New Roman"/>
          <w:sz w:val="28"/>
          <w:szCs w:val="28"/>
          <w:shd w:val="clear" w:color="auto" w:fill="FFFFFF"/>
        </w:rPr>
        <w:lastRenderedPageBreak/>
        <w:t xml:space="preserve">Причинами утворення рубців можуть бути різноманітні фактори, такі, як травматичні або опікові ушкодження, оперативні втручання, гнійно-запальні захворювання тощо. </w:t>
      </w:r>
    </w:p>
    <w:p w:rsidR="007139F7" w:rsidRPr="007139F7" w:rsidRDefault="007139F7" w:rsidP="007139F7">
      <w:pPr>
        <w:spacing w:after="0" w:line="360" w:lineRule="auto"/>
        <w:ind w:left="23" w:right="23" w:firstLine="697"/>
        <w:jc w:val="both"/>
        <w:rPr>
          <w:rFonts w:eastAsia="Calibri" w:cs="Times New Roman"/>
          <w:sz w:val="28"/>
          <w:szCs w:val="28"/>
          <w:shd w:val="clear" w:color="auto" w:fill="FFFFFF"/>
        </w:rPr>
      </w:pPr>
      <w:r w:rsidRPr="007139F7">
        <w:rPr>
          <w:rFonts w:eastAsia="Calibri" w:cs="Times New Roman"/>
          <w:sz w:val="28"/>
          <w:szCs w:val="28"/>
          <w:shd w:val="clear" w:color="auto" w:fill="FFFFFF"/>
        </w:rPr>
        <w:t xml:space="preserve">При дефекті шкіри в межах епідермісу формування рубців не відбувається, оскільки дефект шкірних покривів заміщується внаслідок розмноження клітин росткового шару, тобто відбувається епітелізація. Процеси рубцювання відбуваються вже при ушкодженні базального шару епідермісу та більш глибоких шарів шкіри [52-54]. </w:t>
      </w:r>
    </w:p>
    <w:p w:rsidR="007139F7" w:rsidRPr="007139F7" w:rsidRDefault="007139F7" w:rsidP="007139F7">
      <w:pPr>
        <w:spacing w:after="0" w:line="360" w:lineRule="auto"/>
        <w:ind w:left="23" w:right="23" w:firstLine="697"/>
        <w:jc w:val="both"/>
        <w:rPr>
          <w:rFonts w:eastAsia="Calibri" w:cs="Times New Roman"/>
          <w:sz w:val="28"/>
          <w:szCs w:val="28"/>
          <w:lang w:eastAsia="de-DE"/>
        </w:rPr>
      </w:pPr>
      <w:r w:rsidRPr="007139F7">
        <w:rPr>
          <w:rFonts w:eastAsia="Calibri" w:cs="Times New Roman"/>
          <w:sz w:val="28"/>
          <w:szCs w:val="28"/>
          <w:lang w:val="en-US"/>
        </w:rPr>
        <w:t>Niessen</w:t>
      </w:r>
      <w:r w:rsidRPr="007139F7">
        <w:rPr>
          <w:rFonts w:eastAsia="Calibri" w:cs="Times New Roman"/>
          <w:sz w:val="28"/>
          <w:szCs w:val="28"/>
        </w:rPr>
        <w:t xml:space="preserve"> </w:t>
      </w:r>
      <w:r w:rsidRPr="007139F7">
        <w:rPr>
          <w:rFonts w:eastAsia="Calibri" w:cs="Times New Roman"/>
          <w:sz w:val="28"/>
          <w:szCs w:val="28"/>
          <w:lang w:val="en-US"/>
        </w:rPr>
        <w:t>F</w:t>
      </w:r>
      <w:r w:rsidRPr="007139F7">
        <w:rPr>
          <w:rFonts w:eastAsia="Calibri" w:cs="Times New Roman"/>
          <w:sz w:val="28"/>
          <w:szCs w:val="28"/>
        </w:rPr>
        <w:t>.</w:t>
      </w:r>
      <w:r w:rsidRPr="007139F7">
        <w:rPr>
          <w:rFonts w:eastAsia="Calibri" w:cs="Times New Roman"/>
          <w:sz w:val="28"/>
          <w:szCs w:val="28"/>
          <w:lang w:val="en-US"/>
        </w:rPr>
        <w:t>B</w:t>
      </w:r>
      <w:r w:rsidRPr="007139F7">
        <w:rPr>
          <w:rFonts w:eastAsia="Calibri" w:cs="Times New Roman"/>
          <w:sz w:val="28"/>
          <w:szCs w:val="28"/>
        </w:rPr>
        <w:t xml:space="preserve">. </w:t>
      </w:r>
      <w:r w:rsidRPr="007139F7">
        <w:rPr>
          <w:rFonts w:eastAsia="Calibri" w:cs="Times New Roman"/>
          <w:sz w:val="28"/>
          <w:szCs w:val="28"/>
          <w:lang w:val="de-DE" w:eastAsia="de-DE"/>
        </w:rPr>
        <w:t>et al.,</w:t>
      </w:r>
      <w:r w:rsidRPr="007139F7">
        <w:rPr>
          <w:rFonts w:eastAsia="Calibri" w:cs="Times New Roman"/>
          <w:sz w:val="28"/>
          <w:szCs w:val="28"/>
          <w:lang w:eastAsia="de-DE"/>
        </w:rPr>
        <w:t xml:space="preserve"> </w:t>
      </w:r>
      <w:r w:rsidRPr="007139F7">
        <w:rPr>
          <w:rFonts w:eastAsia="Calibri" w:cs="Times New Roman"/>
          <w:sz w:val="28"/>
          <w:szCs w:val="28"/>
          <w:lang w:val="de-DE" w:eastAsia="de-DE"/>
        </w:rPr>
        <w:t>1999</w:t>
      </w:r>
      <w:r w:rsidRPr="007139F7">
        <w:rPr>
          <w:rFonts w:eastAsia="Calibri" w:cs="Times New Roman"/>
          <w:sz w:val="28"/>
          <w:szCs w:val="28"/>
          <w:lang w:eastAsia="de-DE"/>
        </w:rPr>
        <w:t xml:space="preserve"> виділяють 3 фази у процесі загоєння рани: </w:t>
      </w:r>
    </w:p>
    <w:p w:rsidR="007139F7" w:rsidRPr="007139F7" w:rsidRDefault="007139F7" w:rsidP="007139F7">
      <w:pPr>
        <w:spacing w:after="0" w:line="360" w:lineRule="auto"/>
        <w:ind w:left="23" w:right="23" w:firstLine="697"/>
        <w:jc w:val="both"/>
        <w:rPr>
          <w:rFonts w:eastAsia="Calibri" w:cs="Times New Roman"/>
          <w:sz w:val="28"/>
          <w:szCs w:val="28"/>
          <w:lang w:eastAsia="de-DE"/>
        </w:rPr>
      </w:pPr>
      <w:r w:rsidRPr="007139F7">
        <w:rPr>
          <w:rFonts w:eastAsia="Calibri" w:cs="Times New Roman"/>
          <w:sz w:val="28"/>
          <w:szCs w:val="28"/>
          <w:lang w:eastAsia="de-DE"/>
        </w:rPr>
        <w:t xml:space="preserve">1. Запалення та травматичного набряку. Відбувається з часу пошкодження шкірних покривів та крововиливу в рану. Характеризується активацією внутрішнього та зовнішнього каскаду гемостазу, а пошкодження тромбоцитів ініціює каскад коагуляції (від моменту виникнення рани до 5-7 діб). </w:t>
      </w:r>
    </w:p>
    <w:p w:rsidR="007139F7" w:rsidRPr="007139F7" w:rsidRDefault="007139F7" w:rsidP="007139F7">
      <w:pPr>
        <w:spacing w:after="0" w:line="360" w:lineRule="auto"/>
        <w:ind w:left="23" w:right="23" w:firstLine="697"/>
        <w:jc w:val="both"/>
        <w:rPr>
          <w:rFonts w:eastAsia="Calibri" w:cs="Times New Roman"/>
          <w:sz w:val="28"/>
          <w:szCs w:val="28"/>
          <w:lang w:eastAsia="de-DE"/>
        </w:rPr>
      </w:pPr>
      <w:r w:rsidRPr="007139F7">
        <w:rPr>
          <w:rFonts w:eastAsia="Calibri" w:cs="Times New Roman"/>
          <w:sz w:val="28"/>
          <w:szCs w:val="28"/>
          <w:lang w:eastAsia="de-DE"/>
        </w:rPr>
        <w:t xml:space="preserve">2. Проліферації та утворення грануляційної тканини. У даній фазі відбувається формування екстракорпорального матриксу під впливом факторів росту та медіаторів запалення (1-4 тиждень). </w:t>
      </w:r>
    </w:p>
    <w:p w:rsidR="007139F7" w:rsidRPr="007139F7" w:rsidRDefault="007139F7" w:rsidP="007139F7">
      <w:pPr>
        <w:spacing w:after="0" w:line="360" w:lineRule="auto"/>
        <w:ind w:left="23" w:right="23" w:firstLine="697"/>
        <w:jc w:val="both"/>
        <w:rPr>
          <w:rFonts w:eastAsia="Calibri" w:cs="Times New Roman"/>
          <w:sz w:val="28"/>
          <w:szCs w:val="28"/>
          <w:lang w:eastAsia="de-DE"/>
        </w:rPr>
      </w:pPr>
      <w:r w:rsidRPr="007139F7">
        <w:rPr>
          <w:rFonts w:eastAsia="Calibri" w:cs="Times New Roman"/>
          <w:sz w:val="28"/>
          <w:szCs w:val="28"/>
          <w:lang w:eastAsia="de-DE"/>
        </w:rPr>
        <w:t>3. Епітелізація та організація рубця. Проявляється переходом колагену ІІІ типу в колаген І типу та загоєнням рани (до 6 місяців) [</w:t>
      </w:r>
      <w:r w:rsidRPr="007139F7">
        <w:rPr>
          <w:rFonts w:eastAsia="Calibri" w:cs="Times New Roman"/>
          <w:sz w:val="28"/>
          <w:szCs w:val="28"/>
          <w:lang w:val="ru-RU" w:eastAsia="de-DE"/>
        </w:rPr>
        <w:t>55</w:t>
      </w:r>
      <w:r w:rsidRPr="007139F7">
        <w:rPr>
          <w:rFonts w:eastAsia="Calibri" w:cs="Times New Roman"/>
          <w:sz w:val="28"/>
          <w:szCs w:val="28"/>
          <w:lang w:eastAsia="de-DE"/>
        </w:rPr>
        <w:t xml:space="preserve">]. </w:t>
      </w:r>
    </w:p>
    <w:p w:rsidR="007139F7" w:rsidRPr="007139F7" w:rsidRDefault="007139F7" w:rsidP="007139F7">
      <w:pPr>
        <w:spacing w:after="0" w:line="360" w:lineRule="auto"/>
        <w:ind w:left="23" w:right="23" w:firstLine="697"/>
        <w:jc w:val="both"/>
        <w:rPr>
          <w:rFonts w:eastAsia="Calibri" w:cs="Times New Roman"/>
          <w:sz w:val="28"/>
          <w:szCs w:val="28"/>
          <w:lang w:eastAsia="de-DE"/>
        </w:rPr>
      </w:pPr>
      <w:r w:rsidRPr="007139F7">
        <w:rPr>
          <w:rFonts w:eastAsia="Calibri" w:cs="Times New Roman"/>
          <w:sz w:val="28"/>
          <w:szCs w:val="28"/>
          <w:lang w:eastAsia="de-DE"/>
        </w:rPr>
        <w:t>Інші автори (Білоусов А.Е.) у процесі формування рубцевої тканини вказують на наявність 4 стадій:</w:t>
      </w:r>
    </w:p>
    <w:p w:rsidR="007139F7" w:rsidRPr="007139F7" w:rsidRDefault="007139F7" w:rsidP="007139F7">
      <w:pPr>
        <w:numPr>
          <w:ilvl w:val="0"/>
          <w:numId w:val="3"/>
        </w:numPr>
        <w:spacing w:after="0" w:line="360" w:lineRule="auto"/>
        <w:ind w:left="23" w:right="23" w:firstLine="697"/>
        <w:jc w:val="both"/>
        <w:rPr>
          <w:rFonts w:eastAsia="Calibri" w:cs="Times New Roman"/>
          <w:sz w:val="28"/>
          <w:szCs w:val="28"/>
          <w:lang w:eastAsia="de-DE"/>
        </w:rPr>
      </w:pPr>
      <w:r w:rsidRPr="007139F7">
        <w:rPr>
          <w:rFonts w:eastAsia="Calibri" w:cs="Times New Roman"/>
          <w:sz w:val="28"/>
          <w:szCs w:val="28"/>
          <w:lang w:eastAsia="de-DE"/>
        </w:rPr>
        <w:t>Стадія післяопераційного запалення та епітелізації рани. Вивільнення трансформуючих факторів росту внаслідок пошкодження тромбоцитів, синтез екстракорпорального матриксу та ангіогенез. Відбувається проліферація та диференціація кератиноцитів (1-10 діб після ушкодження).</w:t>
      </w:r>
    </w:p>
    <w:p w:rsidR="007139F7" w:rsidRPr="007139F7" w:rsidRDefault="007139F7" w:rsidP="007139F7">
      <w:pPr>
        <w:numPr>
          <w:ilvl w:val="0"/>
          <w:numId w:val="3"/>
        </w:numPr>
        <w:spacing w:after="0" w:line="360" w:lineRule="auto"/>
        <w:ind w:left="23" w:right="23" w:firstLine="697"/>
        <w:jc w:val="both"/>
        <w:rPr>
          <w:rFonts w:eastAsia="Calibri" w:cs="Times New Roman"/>
          <w:sz w:val="28"/>
          <w:szCs w:val="28"/>
          <w:lang w:eastAsia="de-DE"/>
        </w:rPr>
      </w:pPr>
      <w:r w:rsidRPr="007139F7">
        <w:rPr>
          <w:rFonts w:eastAsia="Calibri" w:cs="Times New Roman"/>
          <w:sz w:val="28"/>
          <w:szCs w:val="28"/>
          <w:lang w:eastAsia="de-DE"/>
        </w:rPr>
        <w:t>Стадія активного фібрилогенезу та утворення нещільного рубця. Проявляється утворенням грануляційної тканини в рані. Регресія кровоносних мікросудин та збільшення концентрації колагенових та еластичних волокон (10-30 діб після ушкодження).</w:t>
      </w:r>
    </w:p>
    <w:p w:rsidR="007139F7" w:rsidRPr="007139F7" w:rsidRDefault="007139F7" w:rsidP="007139F7">
      <w:pPr>
        <w:numPr>
          <w:ilvl w:val="0"/>
          <w:numId w:val="3"/>
        </w:numPr>
        <w:spacing w:after="0" w:line="360" w:lineRule="auto"/>
        <w:ind w:left="23" w:right="23" w:firstLine="697"/>
        <w:jc w:val="both"/>
        <w:rPr>
          <w:rFonts w:eastAsia="Calibri" w:cs="Times New Roman"/>
          <w:sz w:val="28"/>
          <w:szCs w:val="28"/>
          <w:lang w:eastAsia="de-DE"/>
        </w:rPr>
      </w:pPr>
      <w:r w:rsidRPr="007139F7">
        <w:rPr>
          <w:rFonts w:eastAsia="Calibri" w:cs="Times New Roman"/>
          <w:sz w:val="28"/>
          <w:szCs w:val="28"/>
          <w:lang w:eastAsia="de-DE"/>
        </w:rPr>
        <w:lastRenderedPageBreak/>
        <w:t>Стадія утворення щільного рубця. Характерною особливістю даної фази рубцеутворення є переважання колагену ІІІ типу над колагеном І типу. Відбувається збільшення колагенових та еластичних волокон (30-90 діб після ушкодження).</w:t>
      </w:r>
    </w:p>
    <w:p w:rsidR="007139F7" w:rsidRPr="007139F7" w:rsidRDefault="007139F7" w:rsidP="007139F7">
      <w:pPr>
        <w:numPr>
          <w:ilvl w:val="0"/>
          <w:numId w:val="3"/>
        </w:numPr>
        <w:spacing w:after="0" w:line="360" w:lineRule="auto"/>
        <w:ind w:left="23" w:right="23" w:firstLine="697"/>
        <w:jc w:val="both"/>
        <w:rPr>
          <w:rFonts w:eastAsia="Calibri" w:cs="Times New Roman"/>
          <w:sz w:val="28"/>
          <w:szCs w:val="28"/>
          <w:lang w:eastAsia="de-DE"/>
        </w:rPr>
      </w:pPr>
      <w:r w:rsidRPr="007139F7">
        <w:rPr>
          <w:rFonts w:eastAsia="Calibri" w:cs="Times New Roman"/>
          <w:sz w:val="28"/>
          <w:szCs w:val="28"/>
          <w:lang w:eastAsia="de-DE"/>
        </w:rPr>
        <w:t>Стадія завершальної рубцевої трансформації. Спостерігається зникнення кровоносних мікросудин та відбувається лізис надлишку колагенових волокон (до 3-12 місяців) [48, 49].</w:t>
      </w:r>
    </w:p>
    <w:p w:rsidR="007139F7" w:rsidRPr="007139F7" w:rsidRDefault="007139F7" w:rsidP="007139F7">
      <w:pPr>
        <w:spacing w:after="0" w:line="360" w:lineRule="auto"/>
        <w:ind w:left="23" w:right="23" w:firstLine="697"/>
        <w:jc w:val="both"/>
        <w:rPr>
          <w:rFonts w:eastAsia="Calibri" w:cs="Times New Roman"/>
          <w:sz w:val="28"/>
          <w:szCs w:val="28"/>
          <w:shd w:val="clear" w:color="auto" w:fill="FFFFFF"/>
        </w:rPr>
      </w:pPr>
      <w:r w:rsidRPr="007139F7">
        <w:rPr>
          <w:rFonts w:eastAsia="Calibri" w:cs="Times New Roman"/>
          <w:sz w:val="28"/>
          <w:szCs w:val="28"/>
          <w:shd w:val="clear" w:color="auto" w:fill="FFFFFF"/>
        </w:rPr>
        <w:t>За Н.М. Міхельсоном виділяють 4 стадії формування рубця, що відповідають вже наведеним даним:</w:t>
      </w:r>
    </w:p>
    <w:p w:rsidR="007139F7" w:rsidRPr="007139F7" w:rsidRDefault="007139F7" w:rsidP="007139F7">
      <w:pPr>
        <w:spacing w:after="0" w:line="360" w:lineRule="auto"/>
        <w:ind w:left="23" w:right="23" w:firstLine="697"/>
        <w:jc w:val="both"/>
        <w:rPr>
          <w:rFonts w:eastAsia="Calibri" w:cs="Times New Roman"/>
          <w:sz w:val="28"/>
          <w:szCs w:val="28"/>
          <w:shd w:val="clear" w:color="auto" w:fill="FFFFFF"/>
        </w:rPr>
      </w:pPr>
      <w:r w:rsidRPr="007139F7">
        <w:rPr>
          <w:rFonts w:eastAsia="Calibri" w:cs="Times New Roman"/>
          <w:sz w:val="28"/>
          <w:szCs w:val="28"/>
          <w:shd w:val="clear" w:color="auto" w:fill="FFFFFF"/>
        </w:rPr>
        <w:t>- епітелізація (2-2,5 тижні);</w:t>
      </w:r>
    </w:p>
    <w:p w:rsidR="007139F7" w:rsidRPr="007139F7" w:rsidRDefault="007139F7" w:rsidP="007139F7">
      <w:pPr>
        <w:spacing w:after="0" w:line="360" w:lineRule="auto"/>
        <w:ind w:left="23" w:right="23" w:firstLine="697"/>
        <w:jc w:val="both"/>
        <w:rPr>
          <w:rFonts w:eastAsia="Calibri" w:cs="Times New Roman"/>
          <w:sz w:val="28"/>
          <w:szCs w:val="28"/>
          <w:shd w:val="clear" w:color="auto" w:fill="FFFFFF"/>
        </w:rPr>
      </w:pPr>
      <w:r w:rsidRPr="007139F7">
        <w:rPr>
          <w:rFonts w:eastAsia="Calibri" w:cs="Times New Roman"/>
          <w:sz w:val="28"/>
          <w:szCs w:val="28"/>
          <w:shd w:val="clear" w:color="auto" w:fill="FFFFFF"/>
        </w:rPr>
        <w:t>- набухання (3-4 тижні);</w:t>
      </w:r>
    </w:p>
    <w:p w:rsidR="007139F7" w:rsidRPr="007139F7" w:rsidRDefault="007139F7" w:rsidP="007139F7">
      <w:pPr>
        <w:spacing w:after="0" w:line="360" w:lineRule="auto"/>
        <w:ind w:left="23" w:right="23" w:firstLine="697"/>
        <w:jc w:val="both"/>
        <w:rPr>
          <w:rFonts w:eastAsia="Calibri" w:cs="Times New Roman"/>
          <w:sz w:val="28"/>
          <w:szCs w:val="28"/>
          <w:shd w:val="clear" w:color="auto" w:fill="FFFFFF"/>
        </w:rPr>
      </w:pPr>
      <w:r w:rsidRPr="007139F7">
        <w:rPr>
          <w:rFonts w:eastAsia="Calibri" w:cs="Times New Roman"/>
          <w:sz w:val="28"/>
          <w:szCs w:val="28"/>
          <w:shd w:val="clear" w:color="auto" w:fill="FFFFFF"/>
        </w:rPr>
        <w:t>- ущільнення (2-3 тижні);</w:t>
      </w:r>
    </w:p>
    <w:p w:rsidR="007139F7" w:rsidRPr="007139F7" w:rsidRDefault="007139F7" w:rsidP="007139F7">
      <w:pPr>
        <w:spacing w:after="0" w:line="360" w:lineRule="auto"/>
        <w:ind w:left="23" w:right="23" w:firstLine="697"/>
        <w:jc w:val="both"/>
        <w:rPr>
          <w:rFonts w:eastAsia="Calibri" w:cs="Times New Roman"/>
          <w:sz w:val="28"/>
          <w:szCs w:val="28"/>
          <w:shd w:val="clear" w:color="auto" w:fill="FFFFFF"/>
        </w:rPr>
      </w:pPr>
      <w:r w:rsidRPr="007139F7">
        <w:rPr>
          <w:rFonts w:eastAsia="Calibri" w:cs="Times New Roman"/>
          <w:sz w:val="28"/>
          <w:szCs w:val="28"/>
          <w:shd w:val="clear" w:color="auto" w:fill="FFFFFF"/>
        </w:rPr>
        <w:t>- розм’якшення (3-4 тижні) [56].</w:t>
      </w:r>
    </w:p>
    <w:p w:rsidR="007139F7" w:rsidRPr="007139F7" w:rsidRDefault="007139F7" w:rsidP="007139F7">
      <w:pPr>
        <w:spacing w:after="0" w:line="360" w:lineRule="auto"/>
        <w:ind w:left="23" w:right="23" w:firstLine="697"/>
        <w:jc w:val="both"/>
        <w:rPr>
          <w:rFonts w:eastAsia="Calibri" w:cs="Times New Roman"/>
          <w:sz w:val="28"/>
          <w:szCs w:val="28"/>
          <w:shd w:val="clear" w:color="auto" w:fill="FFFFFF"/>
        </w:rPr>
      </w:pPr>
      <w:r w:rsidRPr="007139F7">
        <w:rPr>
          <w:rFonts w:eastAsia="Calibri" w:cs="Times New Roman"/>
          <w:sz w:val="28"/>
          <w:szCs w:val="28"/>
          <w:shd w:val="clear" w:color="auto" w:fill="FFFFFF"/>
        </w:rPr>
        <w:t>Згідно клінічних проявів не існує однієї загальноприйнятої класифікації рубців. Найбільш поширеним є розподіл на нормотрофічні, атрофічні, гіпертрофічні та келоїдні рубці [48, 49, 57].</w:t>
      </w:r>
    </w:p>
    <w:p w:rsidR="007139F7" w:rsidRPr="007139F7" w:rsidRDefault="007139F7" w:rsidP="007139F7">
      <w:pPr>
        <w:spacing w:after="0" w:line="360" w:lineRule="auto"/>
        <w:ind w:left="23" w:right="23" w:firstLine="697"/>
        <w:jc w:val="both"/>
        <w:rPr>
          <w:rFonts w:eastAsia="Calibri" w:cs="Times New Roman"/>
          <w:sz w:val="28"/>
          <w:szCs w:val="28"/>
          <w:shd w:val="clear" w:color="auto" w:fill="FFFFFF"/>
        </w:rPr>
      </w:pPr>
      <w:r w:rsidRPr="007139F7">
        <w:rPr>
          <w:rFonts w:eastAsia="Calibri" w:cs="Times New Roman"/>
          <w:sz w:val="28"/>
          <w:szCs w:val="28"/>
          <w:shd w:val="clear" w:color="auto" w:fill="FFFFFF"/>
        </w:rPr>
        <w:t>Згідно класифікації Московського центру дитячої щелепно-лицевої хірургії виділяють наступні форми рубцевої тканини:</w:t>
      </w:r>
    </w:p>
    <w:p w:rsidR="007139F7" w:rsidRPr="007139F7" w:rsidRDefault="007139F7" w:rsidP="007139F7">
      <w:pPr>
        <w:numPr>
          <w:ilvl w:val="0"/>
          <w:numId w:val="4"/>
        </w:numPr>
        <w:spacing w:after="0" w:line="360" w:lineRule="auto"/>
        <w:ind w:right="23"/>
        <w:jc w:val="both"/>
        <w:rPr>
          <w:rFonts w:eastAsia="Calibri" w:cs="Times New Roman"/>
          <w:sz w:val="28"/>
          <w:szCs w:val="28"/>
          <w:shd w:val="clear" w:color="auto" w:fill="FFFFFF"/>
        </w:rPr>
      </w:pPr>
      <w:r w:rsidRPr="007139F7">
        <w:rPr>
          <w:rFonts w:eastAsia="Calibri" w:cs="Times New Roman"/>
          <w:sz w:val="28"/>
          <w:szCs w:val="28"/>
          <w:shd w:val="clear" w:color="auto" w:fill="FFFFFF"/>
        </w:rPr>
        <w:t>патологічні рубці (гіпертрофічні та келоїдні);</w:t>
      </w:r>
    </w:p>
    <w:p w:rsidR="007139F7" w:rsidRPr="007139F7" w:rsidRDefault="007139F7" w:rsidP="007139F7">
      <w:pPr>
        <w:numPr>
          <w:ilvl w:val="0"/>
          <w:numId w:val="4"/>
        </w:numPr>
        <w:spacing w:after="0" w:line="360" w:lineRule="auto"/>
        <w:ind w:right="23"/>
        <w:jc w:val="both"/>
        <w:rPr>
          <w:rFonts w:eastAsia="Calibri" w:cs="Times New Roman"/>
          <w:sz w:val="28"/>
          <w:szCs w:val="28"/>
          <w:shd w:val="clear" w:color="auto" w:fill="FFFFFF"/>
        </w:rPr>
      </w:pPr>
      <w:r w:rsidRPr="007139F7">
        <w:rPr>
          <w:rFonts w:eastAsia="Calibri" w:cs="Times New Roman"/>
          <w:sz w:val="28"/>
          <w:szCs w:val="28"/>
          <w:shd w:val="clear" w:color="auto" w:fill="FFFFFF"/>
        </w:rPr>
        <w:t>нормотрофічні (атрофічні, деформуючі та ембріональні) [54, 58].</w:t>
      </w:r>
    </w:p>
    <w:p w:rsidR="007139F7" w:rsidRPr="007139F7" w:rsidRDefault="007139F7" w:rsidP="007139F7">
      <w:pPr>
        <w:spacing w:after="0" w:line="360" w:lineRule="auto"/>
        <w:ind w:right="23" w:firstLine="720"/>
        <w:jc w:val="both"/>
        <w:rPr>
          <w:rFonts w:eastAsia="Calibri" w:cs="Times New Roman"/>
          <w:sz w:val="28"/>
          <w:szCs w:val="28"/>
          <w:shd w:val="clear" w:color="auto" w:fill="FFFFFF"/>
        </w:rPr>
      </w:pPr>
      <w:r w:rsidRPr="007139F7">
        <w:rPr>
          <w:rFonts w:eastAsia="Calibri" w:cs="Times New Roman"/>
          <w:sz w:val="28"/>
          <w:szCs w:val="28"/>
          <w:shd w:val="clear" w:color="auto" w:fill="FFFFFF"/>
        </w:rPr>
        <w:t>Щодо ступеню зрілості виділяють незрілі (до 3 місяців), помірно зрілі (від 3 до 12 місяців) та зрілі рубці (більше 12 місяців).</w:t>
      </w:r>
    </w:p>
    <w:p w:rsidR="007139F7" w:rsidRPr="007139F7" w:rsidRDefault="007139F7" w:rsidP="007139F7">
      <w:pPr>
        <w:spacing w:after="0" w:line="360" w:lineRule="auto"/>
        <w:ind w:right="23" w:firstLine="720"/>
        <w:jc w:val="both"/>
        <w:rPr>
          <w:rFonts w:eastAsia="Calibri" w:cs="Times New Roman"/>
          <w:sz w:val="28"/>
          <w:szCs w:val="28"/>
          <w:shd w:val="clear" w:color="auto" w:fill="FFFFFF"/>
        </w:rPr>
      </w:pPr>
      <w:r w:rsidRPr="007139F7">
        <w:rPr>
          <w:rFonts w:eastAsia="Calibri" w:cs="Times New Roman"/>
          <w:sz w:val="28"/>
          <w:szCs w:val="28"/>
          <w:shd w:val="clear" w:color="auto" w:fill="FFFFFF"/>
        </w:rPr>
        <w:t>Також необхідно враховувати ступінь активності клінічних проявів рубцевої тканини, що розподіляє рубці на активні та неактивні [48].</w:t>
      </w:r>
    </w:p>
    <w:p w:rsidR="007139F7" w:rsidRPr="007139F7" w:rsidRDefault="007139F7" w:rsidP="007139F7">
      <w:pPr>
        <w:spacing w:after="0" w:line="360" w:lineRule="auto"/>
        <w:ind w:right="23" w:firstLine="720"/>
        <w:jc w:val="both"/>
        <w:rPr>
          <w:rFonts w:eastAsia="Calibri" w:cs="Times New Roman"/>
          <w:sz w:val="28"/>
          <w:szCs w:val="28"/>
          <w:shd w:val="clear" w:color="auto" w:fill="FFFFFF"/>
        </w:rPr>
      </w:pPr>
      <w:r w:rsidRPr="007139F7">
        <w:rPr>
          <w:rFonts w:eastAsia="Calibri" w:cs="Times New Roman"/>
          <w:sz w:val="28"/>
          <w:szCs w:val="28"/>
          <w:shd w:val="clear" w:color="auto" w:fill="FFFFFF"/>
        </w:rPr>
        <w:t>Нормотрофічний рубець – оптимальний результат загоєння рани, для якого характерні наближені до інтактної шкіри параметри еластичності, кольору та рельєфу.</w:t>
      </w:r>
    </w:p>
    <w:p w:rsidR="007139F7" w:rsidRPr="007139F7" w:rsidRDefault="007139F7" w:rsidP="007139F7">
      <w:pPr>
        <w:spacing w:after="0" w:line="360" w:lineRule="auto"/>
        <w:ind w:right="23" w:firstLine="720"/>
        <w:jc w:val="both"/>
        <w:rPr>
          <w:rFonts w:eastAsia="Calibri" w:cs="Times New Roman"/>
          <w:sz w:val="28"/>
          <w:szCs w:val="28"/>
          <w:shd w:val="clear" w:color="auto" w:fill="FFFFFF"/>
        </w:rPr>
      </w:pPr>
      <w:r w:rsidRPr="007139F7">
        <w:rPr>
          <w:rFonts w:eastAsia="Calibri" w:cs="Times New Roman"/>
          <w:sz w:val="28"/>
          <w:szCs w:val="28"/>
          <w:shd w:val="clear" w:color="auto" w:fill="FFFFFF"/>
        </w:rPr>
        <w:t>Атрофічний рубець – характеризується дещо нижчім розташуванням відносно поверхні шкіри та утворюється у місцях із дефіцитом підшкірно-жирової клітковини.</w:t>
      </w:r>
    </w:p>
    <w:p w:rsidR="007139F7" w:rsidRPr="007139F7" w:rsidRDefault="007139F7" w:rsidP="007139F7">
      <w:pPr>
        <w:spacing w:after="0" w:line="360" w:lineRule="auto"/>
        <w:ind w:right="23" w:firstLine="720"/>
        <w:jc w:val="both"/>
        <w:rPr>
          <w:rFonts w:eastAsia="Calibri" w:cs="Times New Roman"/>
          <w:sz w:val="28"/>
          <w:szCs w:val="28"/>
          <w:shd w:val="clear" w:color="auto" w:fill="FFFFFF"/>
        </w:rPr>
      </w:pPr>
      <w:r w:rsidRPr="007139F7">
        <w:rPr>
          <w:rFonts w:eastAsia="Calibri" w:cs="Times New Roman"/>
          <w:sz w:val="28"/>
          <w:szCs w:val="28"/>
          <w:shd w:val="clear" w:color="auto" w:fill="FFFFFF"/>
        </w:rPr>
        <w:lastRenderedPageBreak/>
        <w:t>Гіпертрофічний рубець – вид щільної патологічної рубцевої тканини, який підіймається на рівнем непошкодженого шкірного покриву, не виходячи за межі пошкодження, та обумовлюється надмірним вмістом неструктурованих колагенових волокон і відсутністю регресу капілярних судин.</w:t>
      </w:r>
    </w:p>
    <w:p w:rsidR="007139F7" w:rsidRPr="007139F7" w:rsidRDefault="007139F7" w:rsidP="007139F7">
      <w:pPr>
        <w:spacing w:after="0" w:line="360" w:lineRule="auto"/>
        <w:ind w:right="23" w:firstLine="720"/>
        <w:jc w:val="both"/>
        <w:rPr>
          <w:rFonts w:eastAsia="Calibri" w:cs="Times New Roman"/>
          <w:sz w:val="28"/>
          <w:szCs w:val="28"/>
          <w:shd w:val="clear" w:color="auto" w:fill="FFFFFF"/>
        </w:rPr>
      </w:pPr>
      <w:r w:rsidRPr="007139F7">
        <w:rPr>
          <w:rFonts w:eastAsia="Calibri" w:cs="Times New Roman"/>
          <w:sz w:val="28"/>
          <w:szCs w:val="28"/>
          <w:shd w:val="clear" w:color="auto" w:fill="FFFFFF"/>
        </w:rPr>
        <w:t>Келоїдний рубець – пухлиноподібне утворення незрілої сполучної тканини, яке виникає внаслідок неконтрольованої проліферації фібробластів. Його особливостями є швидкий ріст, наявність парестезій та больових відчуттів. Даний вид рубців завжди виходить за межі попереднього ушкодження тканини, є схильним до рецидивів після хірургічного лікування</w:t>
      </w:r>
      <w:r w:rsidRPr="007139F7">
        <w:rPr>
          <w:rFonts w:eastAsia="Calibri" w:cs="Times New Roman"/>
          <w:sz w:val="28"/>
          <w:szCs w:val="28"/>
          <w:shd w:val="clear" w:color="auto" w:fill="FFFFFF"/>
          <w:lang w:val="ru-RU"/>
        </w:rPr>
        <w:t xml:space="preserve"> [59, 60]</w:t>
      </w:r>
      <w:r w:rsidRPr="007139F7">
        <w:rPr>
          <w:rFonts w:eastAsia="Calibri" w:cs="Times New Roman"/>
          <w:sz w:val="28"/>
          <w:szCs w:val="28"/>
          <w:shd w:val="clear" w:color="auto" w:fill="FFFFFF"/>
        </w:rPr>
        <w:t>.</w:t>
      </w:r>
    </w:p>
    <w:p w:rsidR="007139F7" w:rsidRPr="007139F7" w:rsidRDefault="00417675" w:rsidP="007139F7">
      <w:pPr>
        <w:spacing w:after="0" w:line="360" w:lineRule="auto"/>
        <w:ind w:firstLine="720"/>
        <w:jc w:val="both"/>
        <w:rPr>
          <w:rFonts w:eastAsia="Times New Roman" w:cs="Times New Roman"/>
          <w:sz w:val="28"/>
          <w:szCs w:val="28"/>
          <w:lang w:eastAsia="ru-RU"/>
        </w:rPr>
      </w:pPr>
      <w:hyperlink r:id="rId10" w:history="1">
        <w:r w:rsidR="007139F7" w:rsidRPr="007139F7">
          <w:rPr>
            <w:rFonts w:eastAsia="Times New Roman" w:cs="Times New Roman"/>
            <w:sz w:val="28"/>
            <w:szCs w:val="28"/>
            <w:lang w:val="ru-RU" w:eastAsia="ru-RU"/>
          </w:rPr>
          <w:t>Ogawa</w:t>
        </w:r>
        <w:r w:rsidR="007139F7" w:rsidRPr="007139F7">
          <w:rPr>
            <w:rFonts w:eastAsia="Times New Roman" w:cs="Times New Roman"/>
            <w:sz w:val="28"/>
            <w:szCs w:val="28"/>
            <w:lang w:eastAsia="ru-RU"/>
          </w:rPr>
          <w:t xml:space="preserve"> </w:t>
        </w:r>
        <w:r w:rsidR="007139F7" w:rsidRPr="007139F7">
          <w:rPr>
            <w:rFonts w:eastAsia="Times New Roman" w:cs="Times New Roman"/>
            <w:sz w:val="28"/>
            <w:szCs w:val="28"/>
            <w:lang w:val="ru-RU" w:eastAsia="ru-RU"/>
          </w:rPr>
          <w:t>R</w:t>
        </w:r>
      </w:hyperlink>
      <w:r w:rsidR="007139F7" w:rsidRPr="007139F7">
        <w:rPr>
          <w:rFonts w:eastAsia="Times New Roman" w:cs="Times New Roman"/>
          <w:sz w:val="28"/>
          <w:szCs w:val="28"/>
          <w:lang w:eastAsia="ru-RU"/>
        </w:rPr>
        <w:t xml:space="preserve">. (2016) розділяє келоїдні рубці на первинні, які викликані вродженою ендотеліальною дисфункцією, та вторинні, які обумовлюються вторинною ендотеліальною дисфункцією внаслідок старіння, атеросклерозу, локального механічного впливу. Даний розподіл оснований на процесах формування патологічного рубця шляхом індукування ендотеліальної дисфункції (судинної гіперпроникності), на які під час стадії запалення впливають генетичні та системні фактори. Даний автор вважає, що первинні колоїди утворюються у молодому, а вторинні – у будь-якому віці та відрізняються за тяжкістю клінічного перебігу </w:t>
      </w:r>
      <w:r w:rsidR="007139F7" w:rsidRPr="007139F7">
        <w:rPr>
          <w:rFonts w:eastAsia="Times New Roman" w:cs="Times New Roman"/>
          <w:sz w:val="28"/>
          <w:szCs w:val="28"/>
          <w:lang w:val="ru-RU" w:eastAsia="ru-RU"/>
        </w:rPr>
        <w:t>[61, 62]</w:t>
      </w:r>
      <w:r w:rsidR="007139F7" w:rsidRPr="007139F7">
        <w:rPr>
          <w:rFonts w:eastAsia="Times New Roman" w:cs="Times New Roman"/>
          <w:sz w:val="28"/>
          <w:szCs w:val="28"/>
          <w:lang w:eastAsia="ru-RU"/>
        </w:rPr>
        <w:t xml:space="preserve">. </w:t>
      </w:r>
    </w:p>
    <w:p w:rsidR="007139F7" w:rsidRPr="007139F7" w:rsidRDefault="007139F7" w:rsidP="007139F7">
      <w:pPr>
        <w:spacing w:after="0" w:line="360" w:lineRule="auto"/>
        <w:ind w:right="23" w:firstLine="720"/>
        <w:jc w:val="both"/>
        <w:rPr>
          <w:rFonts w:eastAsia="Calibri" w:cs="Times New Roman"/>
          <w:sz w:val="28"/>
          <w:szCs w:val="28"/>
          <w:shd w:val="clear" w:color="auto" w:fill="FFFFFF"/>
        </w:rPr>
      </w:pPr>
      <w:r w:rsidRPr="007139F7">
        <w:rPr>
          <w:rFonts w:eastAsia="Calibri" w:cs="Times New Roman"/>
          <w:sz w:val="28"/>
          <w:szCs w:val="28"/>
          <w:shd w:val="clear" w:color="auto" w:fill="FFFFFF"/>
        </w:rPr>
        <w:t xml:space="preserve">Процес загоєння рани та рубцеутворення є суто індивідуальним та підлягає впливу різноманітних ендо- та екзогенних факторів. </w:t>
      </w:r>
    </w:p>
    <w:p w:rsidR="007139F7" w:rsidRPr="007139F7" w:rsidRDefault="007139F7" w:rsidP="007139F7">
      <w:pPr>
        <w:spacing w:after="0" w:line="360" w:lineRule="auto"/>
        <w:ind w:right="23" w:firstLine="720"/>
        <w:jc w:val="both"/>
        <w:rPr>
          <w:rFonts w:eastAsia="Calibri" w:cs="Times New Roman"/>
          <w:sz w:val="28"/>
          <w:szCs w:val="28"/>
          <w:shd w:val="clear" w:color="auto" w:fill="FFFFFF"/>
        </w:rPr>
      </w:pPr>
      <w:r w:rsidRPr="007139F7">
        <w:rPr>
          <w:rFonts w:eastAsia="Calibri" w:cs="Times New Roman"/>
          <w:sz w:val="28"/>
          <w:szCs w:val="28"/>
          <w:shd w:val="clear" w:color="auto" w:fill="FFFFFF"/>
        </w:rPr>
        <w:t xml:space="preserve">На характер формування рубцевої тканини впливають різноманітні фактори, такі як, глибина та площа утвореного дефекту, стан репаративних процесів організму. Якість утворення рубцевої тканини залежить від шляху загоєння рани. При загоєнні рани первинним натягом рубцева тканина має незначний об’єм, оскільки між клітинними елементами вже у перші дні після ушкодження проростають молоді сполучнотканинні фібробластичні тяжі. При загоєнні рани шляхом вторинного натягу рана проходить фазу формування грануляційної тканини, що спричиняє значне збільшення об’єму та зміну </w:t>
      </w:r>
      <w:r w:rsidRPr="007139F7">
        <w:rPr>
          <w:rFonts w:eastAsia="Calibri" w:cs="Times New Roman"/>
          <w:sz w:val="28"/>
          <w:szCs w:val="28"/>
          <w:shd w:val="clear" w:color="auto" w:fill="FFFFFF"/>
        </w:rPr>
        <w:lastRenderedPageBreak/>
        <w:t>кольору новоутвореного рубця. Це викликане проростанням волокнистих структур сполучної тканини між клітинами запального інфільтрату (лімфоцити, фібробласти, макрофаги, плазмоциди тощо) та новоутвореними судинами</w:t>
      </w:r>
      <w:r w:rsidRPr="007139F7">
        <w:rPr>
          <w:rFonts w:eastAsia="Calibri" w:cs="Times New Roman"/>
          <w:sz w:val="28"/>
          <w:szCs w:val="28"/>
          <w:shd w:val="clear" w:color="auto" w:fill="FFFFFF"/>
          <w:lang w:val="ru-RU"/>
        </w:rPr>
        <w:t xml:space="preserve"> [59, 62-65]</w:t>
      </w:r>
      <w:r w:rsidRPr="007139F7">
        <w:rPr>
          <w:rFonts w:eastAsia="Calibri" w:cs="Times New Roman"/>
          <w:sz w:val="28"/>
          <w:szCs w:val="28"/>
          <w:shd w:val="clear" w:color="auto" w:fill="FFFFFF"/>
        </w:rPr>
        <w:t>.</w:t>
      </w:r>
    </w:p>
    <w:p w:rsidR="007139F7" w:rsidRPr="007139F7" w:rsidRDefault="007139F7" w:rsidP="007139F7">
      <w:pPr>
        <w:shd w:val="clear" w:color="auto" w:fill="FFFFFF"/>
        <w:spacing w:after="0" w:line="360" w:lineRule="auto"/>
        <w:ind w:firstLine="720"/>
        <w:jc w:val="both"/>
        <w:rPr>
          <w:rFonts w:eastAsia="Calibri" w:cs="Times New Roman"/>
          <w:sz w:val="28"/>
          <w:szCs w:val="28"/>
        </w:rPr>
      </w:pPr>
      <w:r w:rsidRPr="007139F7">
        <w:rPr>
          <w:rFonts w:eastAsia="Calibri" w:cs="Times New Roman"/>
          <w:sz w:val="28"/>
          <w:szCs w:val="28"/>
        </w:rPr>
        <w:t>Згідно статистичних даних відомо, що у людей із темною шкірою у 15 разів частіше виникають келоїди, ніж у тих, що мають світлу шкіру, а в альбіносів взагалі відсутні келоїдні рубці. Також має місце генетична схильність до утворення даного типу рубцевої тканини [</w:t>
      </w:r>
      <w:r w:rsidRPr="007139F7">
        <w:rPr>
          <w:rFonts w:eastAsia="Calibri" w:cs="Times New Roman"/>
          <w:sz w:val="28"/>
          <w:szCs w:val="28"/>
          <w:lang w:val="ru-RU"/>
        </w:rPr>
        <w:t>66</w:t>
      </w:r>
      <w:r w:rsidRPr="007139F7">
        <w:rPr>
          <w:rFonts w:eastAsia="Calibri" w:cs="Times New Roman"/>
          <w:sz w:val="28"/>
          <w:szCs w:val="28"/>
        </w:rPr>
        <w:t>].</w:t>
      </w:r>
    </w:p>
    <w:p w:rsidR="007139F7" w:rsidRPr="007139F7" w:rsidRDefault="007139F7" w:rsidP="007139F7">
      <w:pPr>
        <w:shd w:val="clear" w:color="auto" w:fill="FFFFFF"/>
        <w:spacing w:after="0" w:line="360" w:lineRule="auto"/>
        <w:ind w:firstLine="720"/>
        <w:jc w:val="both"/>
        <w:rPr>
          <w:rFonts w:eastAsia="Calibri" w:cs="Times New Roman"/>
          <w:sz w:val="28"/>
          <w:szCs w:val="28"/>
        </w:rPr>
      </w:pPr>
      <w:r w:rsidRPr="007139F7">
        <w:rPr>
          <w:rFonts w:eastAsia="Calibri" w:cs="Times New Roman"/>
          <w:sz w:val="28"/>
          <w:szCs w:val="28"/>
        </w:rPr>
        <w:t>Окрім цього формуванню келоїдних рубців сприяє підлітковий вік та вагітність. Це може пояснюватися можливим вазодилатуючим ефектом статевих гормонів. Даний ефект підтверджується тим, що замісна терапія естрогеном та вагітність сприяєть збільшенню гемангіом, що вказує на пошкодження судин. Також встановлено, ризик розвитку келоїдних рубців збільшується за гіпертонічної хвороби [</w:t>
      </w:r>
      <w:r w:rsidRPr="007139F7">
        <w:rPr>
          <w:rFonts w:eastAsia="Calibri" w:cs="Times New Roman"/>
          <w:sz w:val="28"/>
          <w:szCs w:val="28"/>
          <w:lang w:val="ru-RU"/>
        </w:rPr>
        <w:t>61</w:t>
      </w:r>
      <w:r w:rsidRPr="007139F7">
        <w:rPr>
          <w:rFonts w:eastAsia="Calibri" w:cs="Times New Roman"/>
          <w:sz w:val="28"/>
          <w:szCs w:val="28"/>
        </w:rPr>
        <w:t xml:space="preserve">, </w:t>
      </w:r>
      <w:r w:rsidRPr="007139F7">
        <w:rPr>
          <w:rFonts w:eastAsia="Calibri" w:cs="Times New Roman"/>
          <w:sz w:val="28"/>
          <w:szCs w:val="28"/>
          <w:lang w:val="ru-RU"/>
        </w:rPr>
        <w:t>67, 68].</w:t>
      </w:r>
      <w:r w:rsidRPr="007139F7">
        <w:rPr>
          <w:rFonts w:eastAsia="Calibri" w:cs="Times New Roman"/>
          <w:sz w:val="28"/>
          <w:szCs w:val="28"/>
        </w:rPr>
        <w:t xml:space="preserve"> </w:t>
      </w:r>
    </w:p>
    <w:p w:rsidR="007139F7" w:rsidRPr="007139F7" w:rsidRDefault="007139F7" w:rsidP="007139F7">
      <w:pPr>
        <w:spacing w:after="0" w:line="360" w:lineRule="auto"/>
        <w:ind w:right="23" w:firstLine="720"/>
        <w:jc w:val="both"/>
        <w:rPr>
          <w:rFonts w:eastAsia="Calibri" w:cs="Times New Roman"/>
          <w:sz w:val="28"/>
          <w:szCs w:val="28"/>
          <w:shd w:val="clear" w:color="auto" w:fill="FFFFFF"/>
        </w:rPr>
      </w:pPr>
      <w:r w:rsidRPr="007139F7">
        <w:rPr>
          <w:rFonts w:eastAsia="Calibri" w:cs="Times New Roman"/>
          <w:sz w:val="28"/>
          <w:szCs w:val="28"/>
          <w:shd w:val="clear" w:color="auto" w:fill="FFFFFF"/>
        </w:rPr>
        <w:t xml:space="preserve">Також вагомим фактором, який впливає на процеси рубцеутворення є час загоєння рани. Згідно даних </w:t>
      </w:r>
      <w:r w:rsidRPr="007139F7">
        <w:rPr>
          <w:rFonts w:eastAsia="Calibri" w:cs="Times New Roman"/>
          <w:sz w:val="28"/>
          <w:szCs w:val="28"/>
          <w:lang w:eastAsia="ru-RU"/>
        </w:rPr>
        <w:t>Аганипа E.H., Ведерникова О.Л., 2008 п</w:t>
      </w:r>
      <w:r w:rsidRPr="007139F7">
        <w:rPr>
          <w:rFonts w:eastAsia="Calibri" w:cs="Times New Roman"/>
          <w:sz w:val="28"/>
          <w:szCs w:val="28"/>
          <w:shd w:val="clear" w:color="auto" w:fill="FFFFFF"/>
        </w:rPr>
        <w:t>ри повному загоєнні рани протягом 21 доби формування патологічних рубців має місце у 33% пацієнтів, а більш повільне загоєння рани збільшує даний показник до 78%</w:t>
      </w:r>
      <w:r w:rsidRPr="007139F7">
        <w:rPr>
          <w:rFonts w:eastAsia="Calibri" w:cs="Times New Roman"/>
          <w:sz w:val="28"/>
          <w:szCs w:val="28"/>
          <w:shd w:val="clear" w:color="auto" w:fill="FFFFFF"/>
          <w:lang w:val="ru-RU"/>
        </w:rPr>
        <w:t xml:space="preserve"> [69]</w:t>
      </w:r>
      <w:r w:rsidRPr="007139F7">
        <w:rPr>
          <w:rFonts w:eastAsia="Calibri" w:cs="Times New Roman"/>
          <w:sz w:val="28"/>
          <w:szCs w:val="28"/>
          <w:shd w:val="clear" w:color="auto" w:fill="FFFFFF"/>
        </w:rPr>
        <w:t>.</w:t>
      </w:r>
    </w:p>
    <w:p w:rsidR="007139F7" w:rsidRPr="007139F7" w:rsidRDefault="007139F7" w:rsidP="007139F7">
      <w:pPr>
        <w:shd w:val="clear" w:color="auto" w:fill="FFFFFF"/>
        <w:spacing w:after="0" w:line="360" w:lineRule="auto"/>
        <w:ind w:firstLine="720"/>
        <w:jc w:val="both"/>
        <w:rPr>
          <w:rFonts w:eastAsia="Calibri" w:cs="Times New Roman"/>
          <w:color w:val="000000"/>
          <w:sz w:val="28"/>
          <w:szCs w:val="28"/>
          <w:lang w:val="ru-RU"/>
        </w:rPr>
      </w:pPr>
      <w:r w:rsidRPr="007139F7">
        <w:rPr>
          <w:rFonts w:eastAsia="Calibri" w:cs="Times New Roman"/>
          <w:sz w:val="28"/>
          <w:szCs w:val="28"/>
        </w:rPr>
        <w:t xml:space="preserve">Відомим є той факт, що кисень відіграє вирішальну роль у процесі загоєння, вторинній епітелізації та інших процесах загоєння рани [70, 71]. Згідно літературних даних при келоїдному патогенезі вирішальну роль відіграє гіпоксія, оскільки призводить до аномально великої кількості закупорених мікросудин [72-75]. Встановлено, що гіпоксія збільшує експресію ендотеліального фактора росту (VEGF) у келоїдних фібробластах </w:t>
      </w:r>
      <w:r w:rsidRPr="007139F7">
        <w:rPr>
          <w:rFonts w:eastAsia="Calibri" w:cs="Times New Roman"/>
          <w:sz w:val="28"/>
          <w:szCs w:val="28"/>
          <w:lang w:val="ru-RU"/>
        </w:rPr>
        <w:t>[76]</w:t>
      </w:r>
      <w:r w:rsidRPr="007139F7">
        <w:rPr>
          <w:rFonts w:eastAsia="Calibri" w:cs="Times New Roman"/>
          <w:sz w:val="28"/>
          <w:szCs w:val="28"/>
        </w:rPr>
        <w:t xml:space="preserve">. Рівень індукованих факторів гіпоксії (HIF-1α) постійно вище у свіжо біопсійних келоїдних тканинах, ніж у пов'язаних з ними межах інтактної шкіри, що забезпечує безпосереднє підтвердження локального гіпоксичного стану в келоїдах [77]. Проте, немає достатньо даних, як саме гіпоксія впливає на </w:t>
      </w:r>
      <w:r w:rsidRPr="007139F7">
        <w:rPr>
          <w:rFonts w:eastAsia="Calibri" w:cs="Times New Roman"/>
          <w:sz w:val="28"/>
          <w:szCs w:val="28"/>
        </w:rPr>
        <w:lastRenderedPageBreak/>
        <w:t>процеси диференціювання фібробластів шкіри людини до міофібробластів</w:t>
      </w:r>
      <w:r w:rsidRPr="007139F7">
        <w:rPr>
          <w:rFonts w:eastAsia="Calibri" w:cs="Times New Roman"/>
          <w:sz w:val="28"/>
          <w:szCs w:val="28"/>
          <w:lang w:val="ru-RU"/>
        </w:rPr>
        <w:t xml:space="preserve"> [78]</w:t>
      </w:r>
      <w:r w:rsidRPr="007139F7">
        <w:rPr>
          <w:rFonts w:eastAsia="Calibri" w:cs="Times New Roman"/>
          <w:color w:val="000000"/>
          <w:sz w:val="28"/>
          <w:szCs w:val="28"/>
          <w:lang w:val="ru-RU"/>
        </w:rPr>
        <w:t>.</w:t>
      </w:r>
    </w:p>
    <w:p w:rsidR="007139F7" w:rsidRPr="007139F7" w:rsidRDefault="007139F7" w:rsidP="007139F7">
      <w:pPr>
        <w:shd w:val="clear" w:color="auto" w:fill="FFFFFF"/>
        <w:spacing w:after="0" w:line="360" w:lineRule="auto"/>
        <w:ind w:firstLine="720"/>
        <w:jc w:val="both"/>
        <w:rPr>
          <w:rFonts w:eastAsia="Calibri" w:cs="Times New Roman"/>
          <w:color w:val="000000"/>
          <w:sz w:val="28"/>
          <w:szCs w:val="28"/>
        </w:rPr>
      </w:pPr>
      <w:r w:rsidRPr="007139F7">
        <w:rPr>
          <w:rFonts w:eastAsia="Calibri" w:cs="Times New Roman"/>
          <w:sz w:val="28"/>
          <w:szCs w:val="28"/>
        </w:rPr>
        <w:t>Гіпоксію традиційно розглядають як важливий стимул росту</w:t>
      </w:r>
      <w:r w:rsidRPr="007139F7">
        <w:rPr>
          <w:rFonts w:eastAsia="Calibri" w:cs="Times New Roman"/>
          <w:sz w:val="28"/>
          <w:szCs w:val="28"/>
          <w:lang w:val="ru-RU"/>
        </w:rPr>
        <w:t xml:space="preserve"> </w:t>
      </w:r>
      <w:r w:rsidRPr="007139F7">
        <w:rPr>
          <w:rFonts w:eastAsia="Calibri" w:cs="Times New Roman"/>
          <w:sz w:val="28"/>
          <w:szCs w:val="28"/>
        </w:rPr>
        <w:t>фібробластів та ангіогенезу через активацію HIF-1α [79]. HIF-1α, який діє як ключовий фактор транскрипції у відповідь на гіпоксичний стрес, регулюючи гени, що беруть участь у підтримці кисневого гомеостазу, критично впливає на практично всі процеси загоєння і ремоделювання ран [80]. Він також пов'язаний з прогресуванням ракових пухлин, метастазуванням та фібротичними розладами, і виникає як важливий тригер і модулятор епітеліально-мезенхімального переходу (EMT) [81]. Оскільки, епідерміс є відносно гіпоксичною тканиною, то сигналізація гіпоксії та HIF-1α може відігравати важливу роль при формуванні келоїдів [82-84]</w:t>
      </w:r>
      <w:r w:rsidRPr="007139F7">
        <w:rPr>
          <w:rFonts w:eastAsia="Calibri" w:cs="Times New Roman"/>
          <w:color w:val="000000"/>
          <w:sz w:val="28"/>
          <w:szCs w:val="28"/>
        </w:rPr>
        <w:t>.</w:t>
      </w:r>
    </w:p>
    <w:p w:rsidR="007139F7" w:rsidRPr="007139F7" w:rsidRDefault="007139F7" w:rsidP="007139F7">
      <w:pPr>
        <w:shd w:val="clear" w:color="auto" w:fill="FFFFFF"/>
        <w:spacing w:after="0" w:line="360" w:lineRule="auto"/>
        <w:ind w:right="23" w:firstLine="720"/>
        <w:jc w:val="both"/>
        <w:rPr>
          <w:rFonts w:eastAsia="Times New Roman" w:cs="Times New Roman"/>
          <w:sz w:val="28"/>
          <w:szCs w:val="28"/>
          <w:lang w:eastAsia="ru-RU"/>
        </w:rPr>
      </w:pPr>
      <w:r w:rsidRPr="007139F7">
        <w:rPr>
          <w:rFonts w:eastAsia="Times New Roman" w:cs="Times New Roman"/>
          <w:sz w:val="28"/>
          <w:szCs w:val="28"/>
          <w:lang w:eastAsia="ru-RU"/>
        </w:rPr>
        <w:t>Гіпоксія сприяє процесам неконтрольованого колагеноутворення та синтезу міжклітинного матриксу через безпосередній вплив на структуру біомембран, що є специфічним для будови патологічної рубцевої тканини [51, 85].</w:t>
      </w:r>
    </w:p>
    <w:p w:rsidR="007139F7" w:rsidRPr="007139F7" w:rsidRDefault="007139F7" w:rsidP="007139F7">
      <w:pPr>
        <w:shd w:val="clear" w:color="auto" w:fill="FFFFFF"/>
        <w:spacing w:after="0" w:line="360" w:lineRule="auto"/>
        <w:ind w:right="23" w:firstLine="720"/>
        <w:jc w:val="both"/>
        <w:rPr>
          <w:rFonts w:eastAsia="Times New Roman" w:cs="Times New Roman"/>
          <w:sz w:val="28"/>
          <w:szCs w:val="28"/>
          <w:lang w:eastAsia="ru-RU"/>
        </w:rPr>
      </w:pPr>
      <w:r w:rsidRPr="007139F7">
        <w:rPr>
          <w:rFonts w:eastAsia="Times New Roman" w:cs="Times New Roman"/>
          <w:sz w:val="28"/>
          <w:szCs w:val="28"/>
          <w:lang w:eastAsia="ru-RU"/>
        </w:rPr>
        <w:t xml:space="preserve">При опіках має місце значне порушення мікроциркуляції та синтезуються функціонально активні фібробласти, які опосередковують характер формування рубцевої тканини через утворення фіброзу внаслідок надмірного синтезу колагену [86-88]. </w:t>
      </w:r>
    </w:p>
    <w:p w:rsidR="007139F7" w:rsidRPr="007139F7" w:rsidRDefault="007139F7" w:rsidP="007139F7">
      <w:pPr>
        <w:spacing w:after="0" w:line="360" w:lineRule="auto"/>
        <w:ind w:firstLine="720"/>
        <w:jc w:val="both"/>
        <w:rPr>
          <w:rFonts w:eastAsia="Calibri" w:cs="Times New Roman"/>
          <w:color w:val="000000"/>
          <w:sz w:val="28"/>
          <w:lang w:val="ru-RU"/>
        </w:rPr>
      </w:pPr>
      <w:r w:rsidRPr="007139F7">
        <w:rPr>
          <w:rFonts w:eastAsia="Calibri" w:cs="Times New Roman"/>
          <w:sz w:val="28"/>
          <w:szCs w:val="28"/>
        </w:rPr>
        <w:t xml:space="preserve">Трансформація фібробластів у міофібробласти є однією з ключових ланок у процесі загоєння рани. При завершенні періоду дозрівання рубцевої тканини міофібробласти піддаються апоптозу, проте їх збереження сприяє формуванню патологічного рубця. В даному процесі ключовим фіброгенним цитокіном як </w:t>
      </w:r>
      <w:r w:rsidRPr="007139F7">
        <w:rPr>
          <w:rFonts w:eastAsia="Calibri" w:cs="Times New Roman"/>
          <w:sz w:val="28"/>
          <w:szCs w:val="28"/>
          <w:lang w:val="ru-RU"/>
        </w:rPr>
        <w:t>in</w:t>
      </w:r>
      <w:r w:rsidRPr="007139F7">
        <w:rPr>
          <w:rFonts w:eastAsia="Calibri" w:cs="Times New Roman"/>
          <w:sz w:val="28"/>
          <w:szCs w:val="28"/>
        </w:rPr>
        <w:t xml:space="preserve"> </w:t>
      </w:r>
      <w:r w:rsidRPr="007139F7">
        <w:rPr>
          <w:rFonts w:eastAsia="Calibri" w:cs="Times New Roman"/>
          <w:sz w:val="28"/>
          <w:szCs w:val="28"/>
          <w:lang w:val="ru-RU"/>
        </w:rPr>
        <w:t>vitro</w:t>
      </w:r>
      <w:r w:rsidRPr="007139F7">
        <w:rPr>
          <w:rFonts w:eastAsia="Calibri" w:cs="Times New Roman"/>
          <w:sz w:val="28"/>
          <w:szCs w:val="28"/>
        </w:rPr>
        <w:t xml:space="preserve">, так і </w:t>
      </w:r>
      <w:r w:rsidRPr="007139F7">
        <w:rPr>
          <w:rFonts w:eastAsia="Calibri" w:cs="Times New Roman"/>
          <w:sz w:val="28"/>
          <w:szCs w:val="28"/>
          <w:lang w:val="ru-RU"/>
        </w:rPr>
        <w:t>in</w:t>
      </w:r>
      <w:r w:rsidRPr="007139F7">
        <w:rPr>
          <w:rFonts w:eastAsia="Calibri" w:cs="Times New Roman"/>
          <w:sz w:val="28"/>
          <w:szCs w:val="28"/>
        </w:rPr>
        <w:t xml:space="preserve"> </w:t>
      </w:r>
      <w:r w:rsidRPr="007139F7">
        <w:rPr>
          <w:rFonts w:eastAsia="Calibri" w:cs="Times New Roman"/>
          <w:sz w:val="28"/>
          <w:szCs w:val="28"/>
          <w:lang w:val="ru-RU"/>
        </w:rPr>
        <w:t>vivo</w:t>
      </w:r>
      <w:r w:rsidRPr="007139F7">
        <w:rPr>
          <w:rFonts w:eastAsia="Calibri" w:cs="Times New Roman"/>
          <w:sz w:val="28"/>
          <w:szCs w:val="28"/>
        </w:rPr>
        <w:t xml:space="preserve"> є </w:t>
      </w:r>
      <w:r w:rsidRPr="007139F7">
        <w:rPr>
          <w:rFonts w:eastAsia="Calibri" w:cs="Times New Roman"/>
          <w:sz w:val="28"/>
          <w:szCs w:val="28"/>
          <w:lang w:val="ru-RU"/>
        </w:rPr>
        <w:t>TGF</w:t>
      </w:r>
      <w:r w:rsidRPr="007139F7">
        <w:rPr>
          <w:rFonts w:eastAsia="Calibri" w:cs="Times New Roman"/>
          <w:sz w:val="28"/>
          <w:szCs w:val="28"/>
        </w:rPr>
        <w:t>-</w:t>
      </w:r>
      <w:r w:rsidRPr="007139F7">
        <w:rPr>
          <w:rFonts w:eastAsia="Calibri" w:cs="Times New Roman"/>
          <w:sz w:val="28"/>
          <w:szCs w:val="28"/>
          <w:lang w:val="ru-RU"/>
        </w:rPr>
        <w:t>β</w:t>
      </w:r>
      <w:r w:rsidRPr="007139F7">
        <w:rPr>
          <w:rFonts w:eastAsia="Calibri" w:cs="Times New Roman"/>
          <w:sz w:val="28"/>
          <w:szCs w:val="28"/>
        </w:rPr>
        <w:t>1 [89, 90]. На модулювання екстракорпорального матриксу мають вагомий вплив такі тканеві ферменти, як матриксні металопротеїнази, рівень яких значно знижений при формуванні патологічного рубця [</w:t>
      </w:r>
      <w:r w:rsidRPr="007139F7">
        <w:rPr>
          <w:rFonts w:eastAsia="Calibri" w:cs="Times New Roman"/>
          <w:sz w:val="28"/>
          <w:szCs w:val="28"/>
          <w:lang w:val="ru-RU"/>
        </w:rPr>
        <w:t>81-93].</w:t>
      </w:r>
      <w:r w:rsidRPr="007139F7">
        <w:rPr>
          <w:rFonts w:ascii="Arial" w:eastAsia="Calibri" w:hAnsi="Arial" w:cs="Arial"/>
          <w:color w:val="000000"/>
          <w:sz w:val="16"/>
          <w:szCs w:val="16"/>
        </w:rPr>
        <w:t xml:space="preserve"> </w:t>
      </w:r>
    </w:p>
    <w:p w:rsidR="007139F7" w:rsidRPr="007139F7" w:rsidRDefault="007139F7" w:rsidP="007139F7">
      <w:pPr>
        <w:spacing w:after="0" w:line="360" w:lineRule="auto"/>
        <w:ind w:firstLine="720"/>
        <w:jc w:val="both"/>
        <w:rPr>
          <w:rFonts w:eastAsia="Calibri" w:cs="Times New Roman"/>
          <w:sz w:val="28"/>
          <w:szCs w:val="28"/>
        </w:rPr>
      </w:pPr>
      <w:r w:rsidRPr="007139F7">
        <w:rPr>
          <w:rFonts w:eastAsia="Calibri" w:cs="Times New Roman"/>
          <w:sz w:val="28"/>
          <w:szCs w:val="28"/>
        </w:rPr>
        <w:t>Серед чинників, які впливають на рубцеутворення також можна виділити мікроРНК (</w:t>
      </w:r>
      <w:r w:rsidRPr="007139F7">
        <w:rPr>
          <w:rFonts w:eastAsia="Calibri" w:cs="Times New Roman"/>
          <w:sz w:val="28"/>
          <w:szCs w:val="28"/>
          <w:lang w:val="en-GB"/>
        </w:rPr>
        <w:t>miR</w:t>
      </w:r>
      <w:r w:rsidRPr="007139F7">
        <w:rPr>
          <w:rFonts w:eastAsia="Calibri" w:cs="Times New Roman"/>
          <w:sz w:val="28"/>
          <w:szCs w:val="28"/>
        </w:rPr>
        <w:t xml:space="preserve">), які являють собою некодируючі, одноланцюгові </w:t>
      </w:r>
      <w:r w:rsidRPr="007139F7">
        <w:rPr>
          <w:rFonts w:eastAsia="Calibri" w:cs="Times New Roman"/>
          <w:sz w:val="28"/>
          <w:szCs w:val="28"/>
        </w:rPr>
        <w:lastRenderedPageBreak/>
        <w:t xml:space="preserve">дрібні РНК довжиною 21-25 нуклеотидів, які є посередниками пост-транскрипційної репресії для виконання важливих клітинних функцій. </w:t>
      </w:r>
      <w:r w:rsidRPr="007139F7">
        <w:rPr>
          <w:rFonts w:eastAsia="Calibri" w:cs="Times New Roman"/>
          <w:sz w:val="28"/>
          <w:szCs w:val="28"/>
          <w:lang w:val="ru-RU"/>
        </w:rPr>
        <w:t>MiRNAs</w:t>
      </w:r>
      <w:r w:rsidRPr="007139F7">
        <w:rPr>
          <w:rFonts w:eastAsia="Calibri" w:cs="Times New Roman"/>
          <w:sz w:val="28"/>
          <w:szCs w:val="28"/>
        </w:rPr>
        <w:t xml:space="preserve"> частково пригнічують експресію генів-мішеней та впливають на різні фізіологічні та патологічні процеси, включаючи проліферацію, обмін речовин, апоптоз та інвазію [94]. Наявні дані свідчать, що мікроРНК сприяють формуванню гіпертрофічних та келоїдних рубців [95</w:t>
      </w:r>
      <w:r w:rsidRPr="007139F7">
        <w:rPr>
          <w:rFonts w:eastAsia="Calibri" w:cs="Times New Roman"/>
          <w:color w:val="333333"/>
          <w:sz w:val="28"/>
          <w:szCs w:val="28"/>
        </w:rPr>
        <w:t>, 96</w:t>
      </w:r>
      <w:r w:rsidRPr="007139F7">
        <w:rPr>
          <w:rFonts w:eastAsia="Calibri" w:cs="Times New Roman"/>
          <w:sz w:val="28"/>
          <w:szCs w:val="28"/>
        </w:rPr>
        <w:t xml:space="preserve">]. Відповідно до результатів досліджень </w:t>
      </w:r>
      <w:r w:rsidRPr="007139F7">
        <w:rPr>
          <w:rFonts w:eastAsia="Calibri" w:cs="Times New Roman"/>
          <w:sz w:val="28"/>
          <w:szCs w:val="28"/>
          <w:lang w:val="en-US"/>
        </w:rPr>
        <w:t>Zhang</w:t>
      </w:r>
      <w:r w:rsidRPr="007139F7">
        <w:rPr>
          <w:rFonts w:eastAsia="Calibri" w:cs="Times New Roman"/>
          <w:sz w:val="28"/>
          <w:szCs w:val="28"/>
        </w:rPr>
        <w:t xml:space="preserve"> </w:t>
      </w:r>
      <w:r w:rsidRPr="007139F7">
        <w:rPr>
          <w:rFonts w:eastAsia="Calibri" w:cs="Times New Roman"/>
          <w:sz w:val="28"/>
          <w:szCs w:val="28"/>
          <w:lang w:val="en-US"/>
        </w:rPr>
        <w:t>G</w:t>
      </w:r>
      <w:r w:rsidRPr="007139F7">
        <w:rPr>
          <w:rFonts w:eastAsia="Calibri" w:cs="Times New Roman"/>
          <w:sz w:val="28"/>
          <w:szCs w:val="28"/>
        </w:rPr>
        <w:t>.</w:t>
      </w:r>
      <w:r w:rsidRPr="007139F7">
        <w:rPr>
          <w:rFonts w:eastAsia="Calibri" w:cs="Times New Roman"/>
          <w:sz w:val="28"/>
          <w:szCs w:val="28"/>
          <w:lang w:val="en-US"/>
        </w:rPr>
        <w:t>Y</w:t>
      </w:r>
      <w:r w:rsidRPr="007139F7">
        <w:rPr>
          <w:rFonts w:eastAsia="Calibri" w:cs="Times New Roman"/>
          <w:sz w:val="28"/>
          <w:szCs w:val="28"/>
        </w:rPr>
        <w:t xml:space="preserve">. </w:t>
      </w:r>
      <w:r w:rsidRPr="007139F7">
        <w:rPr>
          <w:rFonts w:eastAsia="Calibri" w:cs="Times New Roman"/>
          <w:sz w:val="28"/>
          <w:szCs w:val="28"/>
          <w:lang w:val="ru-RU"/>
        </w:rPr>
        <w:t>miR</w:t>
      </w:r>
      <w:r w:rsidRPr="007139F7">
        <w:rPr>
          <w:rFonts w:eastAsia="Calibri" w:cs="Times New Roman"/>
          <w:sz w:val="28"/>
          <w:szCs w:val="28"/>
        </w:rPr>
        <w:t>-29</w:t>
      </w:r>
      <w:r w:rsidRPr="007139F7">
        <w:rPr>
          <w:rFonts w:eastAsia="Calibri" w:cs="Times New Roman"/>
          <w:sz w:val="28"/>
          <w:szCs w:val="28"/>
          <w:lang w:val="ru-RU"/>
        </w:rPr>
        <w:t>a</w:t>
      </w:r>
      <w:r w:rsidRPr="007139F7">
        <w:rPr>
          <w:rFonts w:eastAsia="Calibri" w:cs="Times New Roman"/>
          <w:sz w:val="28"/>
          <w:szCs w:val="28"/>
        </w:rPr>
        <w:t xml:space="preserve"> може використовуватись, як маркер келоїдного рубцеутворення, оскільки є безпосереднім регулятором трансляцій мРНК у екстракорпоральному матриксі. Також має місце значне підвищення </w:t>
      </w:r>
      <w:r w:rsidRPr="007139F7">
        <w:rPr>
          <w:rFonts w:eastAsia="Calibri" w:cs="Times New Roman"/>
          <w:sz w:val="28"/>
          <w:szCs w:val="28"/>
          <w:lang w:val="ru-RU"/>
        </w:rPr>
        <w:t>miR</w:t>
      </w:r>
      <w:r w:rsidRPr="007139F7">
        <w:rPr>
          <w:rFonts w:eastAsia="Calibri" w:cs="Times New Roman"/>
          <w:sz w:val="28"/>
          <w:szCs w:val="28"/>
        </w:rPr>
        <w:t>-181</w:t>
      </w:r>
      <w:r w:rsidRPr="007139F7">
        <w:rPr>
          <w:rFonts w:eastAsia="Calibri" w:cs="Times New Roman"/>
          <w:sz w:val="28"/>
          <w:szCs w:val="28"/>
          <w:lang w:val="ru-RU"/>
        </w:rPr>
        <w:t>a</w:t>
      </w:r>
      <w:r w:rsidRPr="007139F7">
        <w:rPr>
          <w:rFonts w:eastAsia="Calibri" w:cs="Times New Roman"/>
          <w:sz w:val="28"/>
          <w:szCs w:val="28"/>
        </w:rPr>
        <w:t xml:space="preserve"> у келоїдних тканинах, що, в свою чергу, призводить до прискорення проліферації та індукції апоптозу у фізіологічних тканинах людини, шляхом пригнічення експресії гену </w:t>
      </w:r>
      <w:r w:rsidRPr="007139F7">
        <w:rPr>
          <w:rFonts w:eastAsia="Calibri" w:cs="Times New Roman"/>
          <w:sz w:val="28"/>
          <w:szCs w:val="28"/>
          <w:lang w:val="ru-RU"/>
        </w:rPr>
        <w:t>PHLPP</w:t>
      </w:r>
      <w:r w:rsidRPr="007139F7">
        <w:rPr>
          <w:rFonts w:eastAsia="Calibri" w:cs="Times New Roman"/>
          <w:sz w:val="28"/>
          <w:szCs w:val="28"/>
        </w:rPr>
        <w:t xml:space="preserve">2. Інгібування </w:t>
      </w:r>
      <w:r w:rsidRPr="007139F7">
        <w:rPr>
          <w:rFonts w:eastAsia="Calibri" w:cs="Times New Roman"/>
          <w:sz w:val="28"/>
          <w:szCs w:val="28"/>
          <w:lang w:val="ru-RU"/>
        </w:rPr>
        <w:t>miR</w:t>
      </w:r>
      <w:r w:rsidRPr="007139F7">
        <w:rPr>
          <w:rFonts w:eastAsia="Calibri" w:cs="Times New Roman"/>
          <w:sz w:val="28"/>
          <w:szCs w:val="28"/>
        </w:rPr>
        <w:t>-181</w:t>
      </w:r>
      <w:r w:rsidRPr="007139F7">
        <w:rPr>
          <w:rFonts w:eastAsia="Calibri" w:cs="Times New Roman"/>
          <w:sz w:val="28"/>
          <w:szCs w:val="28"/>
          <w:lang w:val="ru-RU"/>
        </w:rPr>
        <w:t>a</w:t>
      </w:r>
      <w:r w:rsidRPr="007139F7">
        <w:rPr>
          <w:rFonts w:eastAsia="Calibri" w:cs="Times New Roman"/>
          <w:sz w:val="28"/>
          <w:szCs w:val="28"/>
        </w:rPr>
        <w:t xml:space="preserve"> має протилежний ефект. Окрім того ще існують дані про вплив </w:t>
      </w:r>
      <w:r w:rsidRPr="007139F7">
        <w:rPr>
          <w:rFonts w:eastAsia="Calibri" w:cs="Times New Roman"/>
          <w:sz w:val="28"/>
          <w:szCs w:val="28"/>
          <w:lang w:val="ru-RU"/>
        </w:rPr>
        <w:t>miR</w:t>
      </w:r>
      <w:r w:rsidRPr="007139F7">
        <w:rPr>
          <w:rFonts w:eastAsia="Calibri" w:cs="Times New Roman"/>
          <w:sz w:val="28"/>
          <w:szCs w:val="28"/>
        </w:rPr>
        <w:t>-181</w:t>
      </w:r>
      <w:r w:rsidRPr="007139F7">
        <w:rPr>
          <w:rFonts w:eastAsia="Calibri" w:cs="Times New Roman"/>
          <w:sz w:val="28"/>
          <w:szCs w:val="28"/>
          <w:lang w:val="ru-RU"/>
        </w:rPr>
        <w:t>a</w:t>
      </w:r>
      <w:r w:rsidRPr="007139F7">
        <w:rPr>
          <w:rFonts w:eastAsia="Calibri" w:cs="Times New Roman"/>
          <w:sz w:val="28"/>
          <w:szCs w:val="28"/>
        </w:rPr>
        <w:t xml:space="preserve"> не тільки на процеси формування рубцевої тканини, а й на покращення проліферації клітин при гострій мієлоїдній реакції у дітей та пригнічення апоптозу клітин при остеосаркомах. Хоча молекулярні механізми його дії ще є недостатньо з’ясованими [97, 98]. </w:t>
      </w:r>
    </w:p>
    <w:p w:rsidR="007139F7" w:rsidRPr="007139F7" w:rsidRDefault="007139F7" w:rsidP="007139F7">
      <w:pPr>
        <w:shd w:val="clear" w:color="auto" w:fill="FFFFFF"/>
        <w:spacing w:after="0" w:line="360" w:lineRule="auto"/>
        <w:ind w:firstLine="720"/>
        <w:jc w:val="both"/>
        <w:rPr>
          <w:rFonts w:eastAsia="Calibri" w:cs="Times New Roman"/>
          <w:sz w:val="28"/>
          <w:szCs w:val="28"/>
        </w:rPr>
      </w:pPr>
      <w:r w:rsidRPr="007139F7">
        <w:rPr>
          <w:rFonts w:eastAsia="Calibri" w:cs="Times New Roman"/>
          <w:sz w:val="28"/>
          <w:szCs w:val="28"/>
        </w:rPr>
        <w:t xml:space="preserve">Формування патологічних рубців виникає при пошкодженні більш глибоких шарів шкіри, а саме ретикулярного (сітчастого) шару дерми, де відбувається прискорений ангіогенез та накопичення колагену. Згідно даних </w:t>
      </w:r>
      <w:r w:rsidRPr="007139F7">
        <w:rPr>
          <w:rFonts w:eastAsia="Calibri" w:cs="Times New Roman"/>
          <w:sz w:val="28"/>
          <w:szCs w:val="28"/>
          <w:lang w:val="en-US"/>
        </w:rPr>
        <w:t>Dunkin</w:t>
      </w:r>
      <w:r w:rsidRPr="007139F7">
        <w:rPr>
          <w:rFonts w:eastAsia="Calibri" w:cs="Times New Roman"/>
          <w:sz w:val="28"/>
          <w:szCs w:val="28"/>
        </w:rPr>
        <w:t xml:space="preserve">, </w:t>
      </w:r>
      <w:r w:rsidRPr="007139F7">
        <w:rPr>
          <w:rFonts w:eastAsia="Calibri" w:cs="Times New Roman"/>
          <w:sz w:val="28"/>
          <w:szCs w:val="28"/>
          <w:lang w:val="en-US"/>
        </w:rPr>
        <w:t>C</w:t>
      </w:r>
      <w:r w:rsidRPr="007139F7">
        <w:rPr>
          <w:rFonts w:eastAsia="Calibri" w:cs="Times New Roman"/>
          <w:sz w:val="28"/>
          <w:szCs w:val="28"/>
        </w:rPr>
        <w:t>.</w:t>
      </w:r>
      <w:r w:rsidRPr="007139F7">
        <w:rPr>
          <w:rFonts w:eastAsia="Calibri" w:cs="Times New Roman"/>
          <w:sz w:val="28"/>
          <w:szCs w:val="28"/>
          <w:lang w:val="en-US"/>
        </w:rPr>
        <w:t>S</w:t>
      </w:r>
      <w:r w:rsidRPr="007139F7">
        <w:rPr>
          <w:rFonts w:eastAsia="Calibri" w:cs="Times New Roman"/>
          <w:sz w:val="28"/>
          <w:szCs w:val="28"/>
        </w:rPr>
        <w:t xml:space="preserve">. (2007), формування келоїдів та гіпертрофічних рубців може відбуватися і без епідермальної травми (при ліпоаспірації) [99]. </w:t>
      </w:r>
    </w:p>
    <w:p w:rsidR="007139F7" w:rsidRPr="007139F7" w:rsidRDefault="007139F7" w:rsidP="007139F7">
      <w:pPr>
        <w:spacing w:after="0" w:line="360" w:lineRule="auto"/>
        <w:ind w:right="23" w:firstLine="720"/>
        <w:jc w:val="both"/>
        <w:rPr>
          <w:rFonts w:eastAsia="Calibri" w:cs="Times New Roman"/>
          <w:sz w:val="28"/>
          <w:szCs w:val="28"/>
        </w:rPr>
      </w:pPr>
      <w:r w:rsidRPr="007139F7">
        <w:rPr>
          <w:rFonts w:eastAsia="Calibri" w:cs="Times New Roman"/>
          <w:sz w:val="28"/>
          <w:szCs w:val="28"/>
        </w:rPr>
        <w:t xml:space="preserve">У ретикулярному шарі дерми при утворенні келоїдів та гіпертрофічних рубців містяться запальні клітини, збільшена кількість фібробластів, новоутворені кровоносні судини та відкладення колагену. Згідно клінічних спостережень, келоїди та гіпертрофічні рубці, як правило, спочатку виявляються приблизно через 3 місяці після травми, що лише підтверджує той факт, що запалення ретикулярної дерми, яке починається відразу після травматичного ушкодження, стає видимим неозброєним оком через епідерміс в цей момент часу. Більше того, у випадку хірургічних втручань під час </w:t>
      </w:r>
      <w:r w:rsidRPr="007139F7">
        <w:rPr>
          <w:rFonts w:eastAsia="Calibri" w:cs="Times New Roman"/>
          <w:sz w:val="28"/>
          <w:szCs w:val="28"/>
        </w:rPr>
        <w:lastRenderedPageBreak/>
        <w:t xml:space="preserve">видалення швів (тобто через 7-14 днів після операції) епідерміс вже регенерується, а сама рана закрита і суха. Проте на цій стадії шкірний матрикс все ще дозріває, і в ретикулярному шарі дермі постійно спостерігаються запальні явища. Таким чином, зовнішня та/або внутрішня стимуляція ретикулярного шару дерми в даний проміжок часу сприяє більш вираженому його запаленню. Це також створює передумови для формування патологічних рубців, які стають видимими через кілька місяців після оперативного втручання. Інтенсивність, частота та тривалість подразників визначають, як швидко формуються рубці, напрям і швидкість їх росту, інтенсивність клінічних симптомів. Стимули, які впливають на характеристики і кількість келоїдів та гіпертрофічних рубців, включають в себе різноманітні локальні, системні та генетичні фактори. Ймовірно, що клінічні відмінності між келоїдами та гіпертрофічними рубцями лише відображають відмінності в інтенсивності, частоті та тривалості запалення ретикулярної дерми [69, 100-102]. </w:t>
      </w:r>
    </w:p>
    <w:p w:rsidR="007139F7" w:rsidRPr="007139F7" w:rsidRDefault="007139F7" w:rsidP="007139F7">
      <w:pPr>
        <w:shd w:val="clear" w:color="auto" w:fill="FFFFFF"/>
        <w:spacing w:after="0" w:line="360" w:lineRule="auto"/>
        <w:ind w:firstLine="720"/>
        <w:jc w:val="both"/>
        <w:rPr>
          <w:rFonts w:eastAsia="Calibri" w:cs="Times New Roman"/>
          <w:sz w:val="28"/>
          <w:szCs w:val="28"/>
        </w:rPr>
      </w:pPr>
      <w:r w:rsidRPr="007139F7">
        <w:rPr>
          <w:rFonts w:eastAsia="Calibri" w:cs="Times New Roman"/>
          <w:sz w:val="28"/>
          <w:szCs w:val="28"/>
        </w:rPr>
        <w:t xml:space="preserve">Існує думка, що гіпертрофічні та келоїдні рубці можуть бути послідовними стадіями одного і того ж ушкодження шкіри, залежно від виразності прояву стадії запалення та локального механічного впливу на уражену ділянку [103]. </w:t>
      </w:r>
    </w:p>
    <w:p w:rsidR="007139F7" w:rsidRPr="007139F7" w:rsidRDefault="007139F7" w:rsidP="007139F7">
      <w:pPr>
        <w:spacing w:after="0" w:line="360" w:lineRule="auto"/>
        <w:ind w:firstLine="720"/>
        <w:jc w:val="both"/>
        <w:rPr>
          <w:rFonts w:eastAsia="Calibri" w:cs="Times New Roman"/>
          <w:sz w:val="28"/>
          <w:szCs w:val="28"/>
        </w:rPr>
      </w:pPr>
      <w:r w:rsidRPr="007139F7">
        <w:rPr>
          <w:rFonts w:eastAsia="Calibri" w:cs="Times New Roman"/>
          <w:sz w:val="28"/>
          <w:szCs w:val="28"/>
        </w:rPr>
        <w:t>Одним із вагомих чинників, які впливають на формування келоїдних рубців є механічне навантаження шкіри, а саме розтягування. Оскільки дану патологію зустрічають набагато частіше у ділянках, які постійно піддаються механічному розтягуванню (</w:t>
      </w:r>
      <w:r w:rsidRPr="007139F7">
        <w:rPr>
          <w:rFonts w:eastAsia="Calibri" w:cs="Times New Roman"/>
          <w:sz w:val="28"/>
          <w:szCs w:val="28"/>
          <w:lang w:val="ru-RU"/>
        </w:rPr>
        <w:t>плеч</w:t>
      </w:r>
      <w:r w:rsidRPr="007139F7">
        <w:rPr>
          <w:rFonts w:eastAsia="Calibri" w:cs="Times New Roman"/>
          <w:sz w:val="28"/>
          <w:szCs w:val="28"/>
        </w:rPr>
        <w:t>е</w:t>
      </w:r>
      <w:r w:rsidRPr="007139F7">
        <w:rPr>
          <w:rFonts w:eastAsia="Calibri" w:cs="Times New Roman"/>
          <w:sz w:val="28"/>
          <w:szCs w:val="28"/>
          <w:lang w:val="ru-RU"/>
        </w:rPr>
        <w:t>, ши</w:t>
      </w:r>
      <w:r w:rsidRPr="007139F7">
        <w:rPr>
          <w:rFonts w:eastAsia="Calibri" w:cs="Times New Roman"/>
          <w:sz w:val="28"/>
          <w:szCs w:val="28"/>
        </w:rPr>
        <w:t>я</w:t>
      </w:r>
      <w:r w:rsidRPr="007139F7">
        <w:rPr>
          <w:rFonts w:eastAsia="Calibri" w:cs="Times New Roman"/>
          <w:sz w:val="28"/>
          <w:szCs w:val="28"/>
          <w:lang w:val="ru-RU"/>
        </w:rPr>
        <w:t>, коліна, нижн</w:t>
      </w:r>
      <w:r w:rsidRPr="007139F7">
        <w:rPr>
          <w:rFonts w:eastAsia="Calibri" w:cs="Times New Roman"/>
          <w:sz w:val="28"/>
          <w:szCs w:val="28"/>
        </w:rPr>
        <w:t>я</w:t>
      </w:r>
      <w:r w:rsidRPr="007139F7">
        <w:rPr>
          <w:rFonts w:eastAsia="Calibri" w:cs="Times New Roman"/>
          <w:sz w:val="28"/>
          <w:szCs w:val="28"/>
          <w:lang w:val="ru-RU"/>
        </w:rPr>
        <w:t xml:space="preserve"> частин</w:t>
      </w:r>
      <w:r w:rsidRPr="007139F7">
        <w:rPr>
          <w:rFonts w:eastAsia="Calibri" w:cs="Times New Roman"/>
          <w:sz w:val="28"/>
          <w:szCs w:val="28"/>
        </w:rPr>
        <w:t>а</w:t>
      </w:r>
      <w:r w:rsidRPr="007139F7">
        <w:rPr>
          <w:rFonts w:eastAsia="Calibri" w:cs="Times New Roman"/>
          <w:sz w:val="28"/>
          <w:szCs w:val="28"/>
          <w:lang w:val="ru-RU"/>
        </w:rPr>
        <w:t xml:space="preserve"> живота</w:t>
      </w:r>
      <w:r w:rsidRPr="007139F7">
        <w:rPr>
          <w:rFonts w:eastAsia="Calibri" w:cs="Times New Roman"/>
          <w:sz w:val="28"/>
          <w:szCs w:val="28"/>
        </w:rPr>
        <w:t xml:space="preserve"> тощо), на відміну від тих, де шкіра розтягується рідко. Значний натяг шкірних покривів при формування рубця у даних локалізаціях стимулює колагеноутворення та одночасне зменшення його розчеплення, сприяючи формуванню деформацій та рубцевих контрактур</w:t>
      </w:r>
      <w:r w:rsidRPr="007139F7">
        <w:rPr>
          <w:rFonts w:eastAsia="Calibri" w:cs="Times New Roman"/>
          <w:sz w:val="28"/>
          <w:szCs w:val="28"/>
          <w:lang w:eastAsia="ru-RU"/>
        </w:rPr>
        <w:t xml:space="preserve"> [104-106]</w:t>
      </w:r>
      <w:r w:rsidRPr="007139F7">
        <w:rPr>
          <w:rFonts w:eastAsia="Calibri" w:cs="Times New Roman"/>
          <w:sz w:val="28"/>
          <w:szCs w:val="28"/>
        </w:rPr>
        <w:t xml:space="preserve">. Розташування рубців у таких анатомічних ділянках в тому числі ускладнює можливість використання силіконових гелевих плівок, які попереджають формування </w:t>
      </w:r>
      <w:r w:rsidRPr="007139F7">
        <w:rPr>
          <w:rFonts w:eastAsia="Calibri" w:cs="Times New Roman"/>
          <w:sz w:val="28"/>
          <w:szCs w:val="28"/>
        </w:rPr>
        <w:lastRenderedPageBreak/>
        <w:t xml:space="preserve">патологічної рубцевої тканини [107, 108]. Все це підтверджує важливу роль механобіології дерми у виникненні патологічних рубців. </w:t>
      </w:r>
    </w:p>
    <w:p w:rsidR="007139F7" w:rsidRPr="007139F7" w:rsidRDefault="007139F7" w:rsidP="007139F7">
      <w:pPr>
        <w:shd w:val="clear" w:color="auto" w:fill="FFFFFF"/>
        <w:spacing w:after="0" w:line="360" w:lineRule="auto"/>
        <w:ind w:firstLine="720"/>
        <w:jc w:val="both"/>
        <w:rPr>
          <w:rFonts w:eastAsia="Times New Roman" w:cs="Times New Roman"/>
          <w:color w:val="000000"/>
          <w:sz w:val="28"/>
          <w:szCs w:val="28"/>
          <w:lang w:eastAsia="ru-RU"/>
        </w:rPr>
      </w:pPr>
      <w:r w:rsidRPr="007139F7">
        <w:rPr>
          <w:rFonts w:eastAsia="Calibri" w:cs="Times New Roman"/>
          <w:sz w:val="28"/>
          <w:szCs w:val="28"/>
        </w:rPr>
        <w:t>Подальше вивчення літературних джерел, розширює важливість позаклітинного матриксу (</w:t>
      </w:r>
      <w:r w:rsidRPr="007139F7">
        <w:rPr>
          <w:rFonts w:eastAsia="Calibri" w:cs="Times New Roman"/>
          <w:sz w:val="28"/>
          <w:szCs w:val="28"/>
          <w:lang w:val="ru-RU"/>
        </w:rPr>
        <w:t>ECM</w:t>
      </w:r>
      <w:r w:rsidRPr="007139F7">
        <w:rPr>
          <w:rFonts w:eastAsia="Calibri" w:cs="Times New Roman"/>
          <w:sz w:val="28"/>
          <w:szCs w:val="28"/>
        </w:rPr>
        <w:t xml:space="preserve">) у наданні клітинних сигналів для диференціації фібробластів, їх поляризації та міграції [109]. </w:t>
      </w:r>
    </w:p>
    <w:p w:rsidR="007139F7" w:rsidRPr="007139F7" w:rsidRDefault="007139F7" w:rsidP="007139F7">
      <w:pPr>
        <w:spacing w:after="0" w:line="360" w:lineRule="auto"/>
        <w:ind w:left="23" w:right="23" w:firstLine="697"/>
        <w:jc w:val="both"/>
        <w:rPr>
          <w:rFonts w:eastAsia="Calibri" w:cs="Times New Roman"/>
          <w:sz w:val="28"/>
          <w:szCs w:val="28"/>
        </w:rPr>
      </w:pPr>
      <w:r w:rsidRPr="007139F7">
        <w:rPr>
          <w:rFonts w:eastAsia="Calibri" w:cs="Times New Roman"/>
          <w:sz w:val="28"/>
          <w:szCs w:val="28"/>
        </w:rPr>
        <w:t>Таким чином проведений аналіз літературних джерел свідчить про значущість проблеми рубцеутворення після оперативних стручань та створює необхідність подальшого вивчення механізмів та особливостей формування рубцевозмінних тканин в залежності від локалізації, етіологічного чинника та методів закриття раневого дефекту.</w:t>
      </w:r>
    </w:p>
    <w:p w:rsidR="007139F7" w:rsidRPr="007139F7" w:rsidRDefault="007139F7" w:rsidP="007139F7">
      <w:pPr>
        <w:spacing w:after="0" w:line="360" w:lineRule="auto"/>
        <w:ind w:left="23" w:right="23" w:firstLine="697"/>
        <w:jc w:val="both"/>
        <w:rPr>
          <w:rFonts w:eastAsia="Calibri" w:cs="Times New Roman"/>
          <w:sz w:val="28"/>
          <w:szCs w:val="28"/>
        </w:rPr>
      </w:pPr>
    </w:p>
    <w:p w:rsidR="007139F7" w:rsidRPr="007139F7" w:rsidRDefault="007139F7" w:rsidP="007139F7">
      <w:pPr>
        <w:spacing w:after="0" w:line="360" w:lineRule="auto"/>
        <w:ind w:right="23" w:firstLine="709"/>
        <w:rPr>
          <w:rFonts w:eastAsia="Calibri" w:cs="Times New Roman"/>
          <w:b/>
          <w:sz w:val="28"/>
          <w:szCs w:val="28"/>
        </w:rPr>
      </w:pPr>
      <w:r w:rsidRPr="007139F7">
        <w:rPr>
          <w:rFonts w:eastAsia="Calibri" w:cs="Times New Roman"/>
          <w:b/>
          <w:sz w:val="28"/>
          <w:szCs w:val="28"/>
        </w:rPr>
        <w:t>1.3. Механізми корекції патологічних рубців шкіри</w:t>
      </w:r>
    </w:p>
    <w:p w:rsidR="007139F7" w:rsidRPr="007139F7" w:rsidRDefault="007139F7" w:rsidP="007139F7">
      <w:pPr>
        <w:spacing w:after="0" w:line="360" w:lineRule="auto"/>
        <w:ind w:left="23" w:right="23" w:firstLine="697"/>
        <w:jc w:val="both"/>
        <w:rPr>
          <w:rFonts w:eastAsia="Calibri" w:cs="Times New Roman"/>
          <w:sz w:val="28"/>
          <w:szCs w:val="28"/>
        </w:rPr>
      </w:pPr>
    </w:p>
    <w:p w:rsidR="007139F7" w:rsidRPr="007139F7" w:rsidRDefault="007139F7" w:rsidP="007139F7">
      <w:pPr>
        <w:spacing w:after="0" w:line="360" w:lineRule="auto"/>
        <w:ind w:left="23" w:right="23" w:firstLine="697"/>
        <w:jc w:val="both"/>
        <w:rPr>
          <w:rFonts w:eastAsia="Calibri" w:cs="Times New Roman"/>
          <w:sz w:val="28"/>
          <w:szCs w:val="28"/>
          <w:lang w:eastAsia="ru-RU"/>
        </w:rPr>
      </w:pPr>
      <w:r w:rsidRPr="007139F7">
        <w:rPr>
          <w:rFonts w:eastAsia="Calibri" w:cs="Times New Roman"/>
          <w:sz w:val="28"/>
          <w:szCs w:val="28"/>
        </w:rPr>
        <w:t xml:space="preserve">Широка розповсюдженість патологічних рубців серед популяції створює необхідність впровадження широкого реєстру методів їх корекції. Не існує спільної думки щодо часу проведення лікувальних заходів. </w:t>
      </w:r>
      <w:r w:rsidRPr="007139F7">
        <w:rPr>
          <w:rFonts w:eastAsia="Calibri" w:cs="Times New Roman"/>
          <w:sz w:val="28"/>
          <w:szCs w:val="28"/>
          <w:lang w:val="de-DE" w:eastAsia="de-DE"/>
        </w:rPr>
        <w:t xml:space="preserve">Jones N. </w:t>
      </w:r>
      <w:r w:rsidRPr="007139F7">
        <w:rPr>
          <w:rFonts w:eastAsia="Calibri" w:cs="Times New Roman"/>
          <w:sz w:val="28"/>
          <w:szCs w:val="28"/>
          <w:lang w:eastAsia="ru-RU"/>
        </w:rPr>
        <w:t>не рекомендує проводити корекцію рубців до часу їх остаточної організації (6-12 місяців після травматичного ушкодження) [110]. Інші автори, навпаки, вважають, що більш оптимальні результати лікування можна отримати до 1 року</w:t>
      </w:r>
      <w:r w:rsidRPr="007139F7">
        <w:rPr>
          <w:rFonts w:eastAsia="Calibri" w:cs="Times New Roman"/>
          <w:sz w:val="28"/>
          <w:szCs w:val="28"/>
          <w:lang w:val="ru-RU" w:eastAsia="ru-RU"/>
        </w:rPr>
        <w:t xml:space="preserve"> [111]</w:t>
      </w:r>
      <w:r w:rsidRPr="007139F7">
        <w:rPr>
          <w:rFonts w:eastAsia="Calibri" w:cs="Times New Roman"/>
          <w:sz w:val="28"/>
          <w:szCs w:val="28"/>
          <w:lang w:eastAsia="ru-RU"/>
        </w:rPr>
        <w:t>.</w:t>
      </w:r>
    </w:p>
    <w:p w:rsidR="007139F7" w:rsidRPr="007139F7" w:rsidRDefault="007139F7" w:rsidP="007139F7">
      <w:pPr>
        <w:spacing w:after="0" w:line="360" w:lineRule="auto"/>
        <w:ind w:left="23" w:right="23" w:firstLine="697"/>
        <w:jc w:val="both"/>
        <w:rPr>
          <w:rFonts w:eastAsia="Calibri" w:cs="Times New Roman"/>
          <w:sz w:val="28"/>
          <w:szCs w:val="28"/>
        </w:rPr>
      </w:pPr>
      <w:r w:rsidRPr="007139F7">
        <w:rPr>
          <w:rFonts w:eastAsia="Calibri" w:cs="Times New Roman"/>
          <w:sz w:val="28"/>
          <w:szCs w:val="28"/>
        </w:rPr>
        <w:t xml:space="preserve">Одним із розповсюджених методів корекції патологічних рубців є локальне введення гормонів коркового шару наднирників (гідрокортизону). Але незважаючи на довгий час використання даного методу лікування його механізм дії ще є недостатньо вивченим та не існує загальноприйнятої думки щодо частоти та кількості введення препаратів. </w:t>
      </w:r>
    </w:p>
    <w:p w:rsidR="007139F7" w:rsidRPr="007139F7" w:rsidRDefault="007139F7" w:rsidP="007139F7">
      <w:pPr>
        <w:spacing w:after="0" w:line="360" w:lineRule="auto"/>
        <w:ind w:left="23" w:right="23" w:firstLine="697"/>
        <w:jc w:val="both"/>
        <w:rPr>
          <w:rFonts w:eastAsia="Calibri" w:cs="Times New Roman"/>
          <w:sz w:val="28"/>
          <w:szCs w:val="28"/>
          <w:lang w:eastAsia="ru-RU"/>
        </w:rPr>
      </w:pPr>
      <w:r w:rsidRPr="007139F7">
        <w:rPr>
          <w:rFonts w:eastAsia="Calibri" w:cs="Times New Roman"/>
          <w:sz w:val="28"/>
          <w:szCs w:val="28"/>
        </w:rPr>
        <w:t xml:space="preserve">Глюкокортикоїди мають протизапальну, протиалергічну та імунодепресуючу дію. Їх використання сумісно з кріотерапією або хірургічним лікуванням значно покращує результати. У той же час суттєвим недоліком є висока частота (до 60%) виникнення стероїдної атрофії та телеангіоектазій в ділянці ін’єкцій </w:t>
      </w:r>
      <w:r w:rsidRPr="007139F7">
        <w:rPr>
          <w:rFonts w:eastAsia="Calibri" w:cs="Times New Roman"/>
          <w:sz w:val="28"/>
          <w:szCs w:val="28"/>
          <w:lang w:val="de-DE" w:eastAsia="de-DE"/>
        </w:rPr>
        <w:t>[</w:t>
      </w:r>
      <w:r w:rsidRPr="007139F7">
        <w:rPr>
          <w:rFonts w:eastAsia="Calibri" w:cs="Times New Roman"/>
          <w:sz w:val="28"/>
          <w:szCs w:val="28"/>
          <w:lang w:val="ru-RU" w:eastAsia="ru-RU"/>
        </w:rPr>
        <w:t>59</w:t>
      </w:r>
      <w:r w:rsidRPr="007139F7">
        <w:rPr>
          <w:rFonts w:eastAsia="Calibri" w:cs="Times New Roman"/>
          <w:sz w:val="28"/>
          <w:szCs w:val="28"/>
          <w:lang w:eastAsia="ru-RU"/>
        </w:rPr>
        <w:t xml:space="preserve">, </w:t>
      </w:r>
      <w:r w:rsidRPr="007139F7">
        <w:rPr>
          <w:rFonts w:eastAsia="Calibri" w:cs="Times New Roman"/>
          <w:sz w:val="28"/>
          <w:szCs w:val="28"/>
          <w:lang w:val="ru-RU" w:eastAsia="ru-RU"/>
        </w:rPr>
        <w:t>85</w:t>
      </w:r>
      <w:r w:rsidRPr="007139F7">
        <w:rPr>
          <w:rFonts w:eastAsia="Calibri" w:cs="Times New Roman"/>
          <w:sz w:val="28"/>
          <w:szCs w:val="28"/>
          <w:lang w:eastAsia="ru-RU"/>
        </w:rPr>
        <w:t xml:space="preserve">, </w:t>
      </w:r>
      <w:r w:rsidRPr="007139F7">
        <w:rPr>
          <w:rFonts w:eastAsia="Calibri" w:cs="Times New Roman"/>
          <w:sz w:val="28"/>
          <w:szCs w:val="28"/>
          <w:lang w:eastAsia="de-DE"/>
        </w:rPr>
        <w:t>1</w:t>
      </w:r>
      <w:r w:rsidRPr="007139F7">
        <w:rPr>
          <w:rFonts w:eastAsia="Calibri" w:cs="Times New Roman"/>
          <w:sz w:val="28"/>
          <w:szCs w:val="28"/>
          <w:lang w:val="ru-RU" w:eastAsia="de-DE"/>
        </w:rPr>
        <w:t>12-114</w:t>
      </w:r>
      <w:r w:rsidRPr="007139F7">
        <w:rPr>
          <w:rFonts w:eastAsia="Calibri" w:cs="Times New Roman"/>
          <w:sz w:val="28"/>
          <w:szCs w:val="28"/>
          <w:lang w:eastAsia="ru-RU"/>
        </w:rPr>
        <w:t>].</w:t>
      </w:r>
    </w:p>
    <w:p w:rsidR="007139F7" w:rsidRPr="007139F7" w:rsidRDefault="007139F7" w:rsidP="007139F7">
      <w:pPr>
        <w:spacing w:after="0" w:line="360" w:lineRule="auto"/>
        <w:ind w:left="23" w:right="23" w:firstLine="697"/>
        <w:jc w:val="both"/>
        <w:rPr>
          <w:rFonts w:eastAsia="Calibri" w:cs="Times New Roman"/>
          <w:sz w:val="28"/>
          <w:szCs w:val="28"/>
        </w:rPr>
      </w:pPr>
      <w:r w:rsidRPr="007139F7">
        <w:rPr>
          <w:rFonts w:eastAsia="Calibri" w:cs="Times New Roman"/>
          <w:sz w:val="28"/>
          <w:szCs w:val="28"/>
        </w:rPr>
        <w:lastRenderedPageBreak/>
        <w:t xml:space="preserve">Одним із найстаріших методів лікування даної патології є рентгентерапія, яка у поєднанні з хірургічним методом лікування може давати до 60-80% позитивних результатів [115-117], але її необхідно розпочинати одразу після зняття швів, оскільки рубці, що існують тривалий час є рентгенрезистентними. Проте даний метод лікування має низку протипоказань та негативних впливів на загальний стан організму. </w:t>
      </w:r>
    </w:p>
    <w:p w:rsidR="007139F7" w:rsidRPr="007139F7" w:rsidRDefault="007139F7" w:rsidP="007139F7">
      <w:pPr>
        <w:spacing w:after="0" w:line="360" w:lineRule="auto"/>
        <w:ind w:left="23" w:right="23" w:firstLine="697"/>
        <w:jc w:val="both"/>
        <w:rPr>
          <w:rFonts w:eastAsia="Calibri" w:cs="Times New Roman"/>
          <w:sz w:val="28"/>
          <w:szCs w:val="28"/>
          <w:lang w:eastAsia="ru-RU"/>
        </w:rPr>
      </w:pPr>
      <w:r w:rsidRPr="007139F7">
        <w:rPr>
          <w:rFonts w:eastAsia="Calibri" w:cs="Times New Roman"/>
          <w:sz w:val="28"/>
          <w:szCs w:val="28"/>
        </w:rPr>
        <w:t xml:space="preserve">Зменшення проліферації фібробластів шляхом гіпоксії, а відповідно і регрес рубцевої тканини може спостерігатися при використанні пресотерапії (компресійна білизна, давлячи кліпси, бинти). Однак даний метод лікування є досить довготривалим (до 12 місяців) та дає рецидиви у 60% випадків </w:t>
      </w:r>
      <w:r w:rsidRPr="007139F7">
        <w:rPr>
          <w:rFonts w:eastAsia="Calibri" w:cs="Times New Roman"/>
          <w:sz w:val="28"/>
          <w:szCs w:val="28"/>
          <w:lang w:eastAsia="ru-RU"/>
        </w:rPr>
        <w:t>[</w:t>
      </w:r>
      <w:r w:rsidRPr="007139F7">
        <w:rPr>
          <w:rFonts w:eastAsia="Calibri" w:cs="Times New Roman"/>
          <w:sz w:val="28"/>
          <w:szCs w:val="28"/>
          <w:lang w:val="ru-RU" w:eastAsia="ru-RU"/>
        </w:rPr>
        <w:t>106</w:t>
      </w:r>
      <w:r w:rsidRPr="007139F7">
        <w:rPr>
          <w:rFonts w:eastAsia="Calibri" w:cs="Times New Roman"/>
          <w:sz w:val="28"/>
          <w:szCs w:val="28"/>
          <w:lang w:eastAsia="ru-RU"/>
        </w:rPr>
        <w:t xml:space="preserve">, </w:t>
      </w:r>
      <w:r w:rsidRPr="007139F7">
        <w:rPr>
          <w:rFonts w:eastAsia="Calibri" w:cs="Times New Roman"/>
          <w:sz w:val="28"/>
          <w:szCs w:val="28"/>
          <w:lang w:val="ru-RU" w:eastAsia="ru-RU"/>
        </w:rPr>
        <w:t>118-</w:t>
      </w:r>
      <w:r w:rsidRPr="007139F7">
        <w:rPr>
          <w:rFonts w:eastAsia="Calibri" w:cs="Times New Roman"/>
          <w:sz w:val="28"/>
          <w:szCs w:val="28"/>
          <w:lang w:eastAsia="ru-RU"/>
        </w:rPr>
        <w:t>1</w:t>
      </w:r>
      <w:r w:rsidRPr="007139F7">
        <w:rPr>
          <w:rFonts w:eastAsia="Calibri" w:cs="Times New Roman"/>
          <w:sz w:val="28"/>
          <w:szCs w:val="28"/>
          <w:lang w:val="ru-RU" w:eastAsia="ru-RU"/>
        </w:rPr>
        <w:t>20</w:t>
      </w:r>
      <w:r w:rsidRPr="007139F7">
        <w:rPr>
          <w:rFonts w:eastAsia="Calibri" w:cs="Times New Roman"/>
          <w:sz w:val="28"/>
          <w:szCs w:val="28"/>
          <w:lang w:eastAsia="ru-RU"/>
        </w:rPr>
        <w:t>].</w:t>
      </w:r>
    </w:p>
    <w:p w:rsidR="007139F7" w:rsidRPr="007139F7" w:rsidRDefault="007139F7" w:rsidP="007139F7">
      <w:pPr>
        <w:spacing w:after="0" w:line="360" w:lineRule="auto"/>
        <w:ind w:left="23" w:right="23" w:firstLine="697"/>
        <w:jc w:val="both"/>
        <w:rPr>
          <w:rFonts w:eastAsia="Calibri" w:cs="Times New Roman"/>
          <w:sz w:val="28"/>
          <w:szCs w:val="28"/>
          <w:shd w:val="clear" w:color="auto" w:fill="FFFFFF"/>
          <w:lang w:eastAsia="ru-RU"/>
        </w:rPr>
      </w:pPr>
      <w:r w:rsidRPr="007139F7">
        <w:rPr>
          <w:rFonts w:eastAsia="Calibri" w:cs="Times New Roman"/>
          <w:sz w:val="28"/>
          <w:szCs w:val="28"/>
        </w:rPr>
        <w:t>Кріотерапія рубців шляхом експозиції рідкого азоту призводить до утворення некрозу тканин, що спричиняє зменшення розмірів рубцевої тканини та сплощення келоїдних рубців. Даний метод лікування може використовуватися як монотерапія, так і у комбінації з ін’єкціями кортикостероїдів, збільшуючи ефективність лікування з 74% до 84% [110, 121, 122</w:t>
      </w:r>
      <w:r w:rsidRPr="007139F7">
        <w:rPr>
          <w:rFonts w:eastAsia="Calibri" w:cs="Times New Roman"/>
          <w:sz w:val="28"/>
          <w:szCs w:val="28"/>
          <w:shd w:val="clear" w:color="auto" w:fill="FFFFFF"/>
          <w:lang w:eastAsia="ru-RU"/>
        </w:rPr>
        <w:t>].</w:t>
      </w:r>
    </w:p>
    <w:p w:rsidR="007139F7" w:rsidRPr="007139F7" w:rsidRDefault="007139F7" w:rsidP="007139F7">
      <w:pPr>
        <w:spacing w:after="0" w:line="360" w:lineRule="auto"/>
        <w:ind w:firstLine="697"/>
        <w:jc w:val="both"/>
        <w:rPr>
          <w:rFonts w:eastAsia="Calibri" w:cs="Times New Roman"/>
          <w:sz w:val="28"/>
          <w:szCs w:val="28"/>
        </w:rPr>
      </w:pPr>
      <w:r w:rsidRPr="007139F7">
        <w:rPr>
          <w:rFonts w:eastAsia="Calibri" w:cs="Times New Roman"/>
          <w:sz w:val="28"/>
          <w:szCs w:val="28"/>
        </w:rPr>
        <w:t xml:space="preserve">Експериментально доведеним є той факт, що введення ботулінотоксину типу А пригнічує утворення колагенових фібрил та фібробластів та індукує появу гіпертрофічних рубців. Але дана методика профілактики та лікування рубцевих змін потребує подальшого обґрунтування </w:t>
      </w:r>
      <w:r w:rsidRPr="007139F7">
        <w:rPr>
          <w:rFonts w:eastAsia="Calibri" w:cs="Times New Roman"/>
          <w:sz w:val="28"/>
          <w:szCs w:val="28"/>
          <w:lang w:val="ru-RU"/>
        </w:rPr>
        <w:t>[123-125]</w:t>
      </w:r>
      <w:r w:rsidRPr="007139F7">
        <w:rPr>
          <w:rFonts w:eastAsia="Calibri" w:cs="Times New Roman"/>
          <w:sz w:val="28"/>
          <w:szCs w:val="28"/>
        </w:rPr>
        <w:t>.</w:t>
      </w:r>
    </w:p>
    <w:p w:rsidR="007139F7" w:rsidRPr="007139F7" w:rsidRDefault="007139F7" w:rsidP="007139F7">
      <w:pPr>
        <w:spacing w:after="0" w:line="360" w:lineRule="auto"/>
        <w:ind w:left="23" w:right="23" w:firstLine="697"/>
        <w:jc w:val="both"/>
        <w:rPr>
          <w:rFonts w:eastAsia="Calibri" w:cs="Times New Roman"/>
          <w:sz w:val="28"/>
          <w:szCs w:val="28"/>
        </w:rPr>
      </w:pPr>
      <w:r w:rsidRPr="007139F7">
        <w:rPr>
          <w:rFonts w:eastAsia="Calibri" w:cs="Times New Roman"/>
          <w:sz w:val="28"/>
          <w:szCs w:val="28"/>
        </w:rPr>
        <w:t xml:space="preserve">Для лікування рубців доведеним є використання фізіотерапевтичних методик в залежності від періоду їх формування. У період формування рубцевої тканини з найбільш раннього часу доречно використовувати терапію мікрострумом (струм в діапазоні 10-600 мА, частотою 0,1-300 Гц). Даний метод оснований на зміні електричного потенціалу клітинних мембран сприяє покращенню мікроциркуляції </w:t>
      </w:r>
      <w:r w:rsidRPr="007139F7">
        <w:rPr>
          <w:rFonts w:eastAsia="Calibri" w:cs="Times New Roman"/>
          <w:sz w:val="28"/>
          <w:szCs w:val="28"/>
          <w:lang w:val="ru-RU"/>
        </w:rPr>
        <w:t>[126-128]</w:t>
      </w:r>
      <w:r w:rsidRPr="007139F7">
        <w:rPr>
          <w:rFonts w:eastAsia="Calibri" w:cs="Times New Roman"/>
          <w:sz w:val="28"/>
          <w:szCs w:val="28"/>
        </w:rPr>
        <w:t>.</w:t>
      </w:r>
    </w:p>
    <w:p w:rsidR="007139F7" w:rsidRPr="007139F7" w:rsidRDefault="007139F7" w:rsidP="007139F7">
      <w:pPr>
        <w:spacing w:after="0" w:line="360" w:lineRule="auto"/>
        <w:ind w:left="23" w:right="23" w:firstLine="697"/>
        <w:jc w:val="both"/>
        <w:rPr>
          <w:rFonts w:eastAsia="Calibri" w:cs="Times New Roman"/>
          <w:sz w:val="28"/>
          <w:szCs w:val="28"/>
        </w:rPr>
      </w:pPr>
      <w:r w:rsidRPr="007139F7">
        <w:rPr>
          <w:rFonts w:eastAsia="Calibri" w:cs="Times New Roman"/>
          <w:sz w:val="28"/>
          <w:szCs w:val="28"/>
        </w:rPr>
        <w:t xml:space="preserve">Для корекції рубців, які існують до 6 місяців використовують методики, направлені на нормалізацію мікроциркуляції та процесів колагеносинтезу. Таким методом є ультразвукова терапія, яка також сприяє більш глибокому </w:t>
      </w:r>
      <w:r w:rsidRPr="007139F7">
        <w:rPr>
          <w:rFonts w:eastAsia="Calibri" w:cs="Times New Roman"/>
          <w:sz w:val="28"/>
          <w:szCs w:val="28"/>
        </w:rPr>
        <w:lastRenderedPageBreak/>
        <w:t xml:space="preserve">введенню лікарських засобів, які сприяють розсмоктуванню рубцевої тканини. </w:t>
      </w:r>
      <w:r w:rsidRPr="007139F7">
        <w:rPr>
          <w:rFonts w:eastAsia="SimSun" w:cs="Times New Roman"/>
          <w:sz w:val="28"/>
          <w:szCs w:val="28"/>
          <w:lang w:eastAsia="zh-CN"/>
        </w:rPr>
        <w:t>Така дія ультразвуку обумовлена утворенням мікропорожнин під дією коливань тиску, що пов’язано із зміною швидкості розповсюдження ультразвукової хвилі при її проходженні крізь середовища [129, 130].</w:t>
      </w:r>
    </w:p>
    <w:p w:rsidR="007139F7" w:rsidRPr="007139F7" w:rsidRDefault="007139F7" w:rsidP="007139F7">
      <w:pPr>
        <w:spacing w:after="0" w:line="360" w:lineRule="auto"/>
        <w:ind w:left="23" w:right="23" w:firstLine="697"/>
        <w:jc w:val="both"/>
        <w:rPr>
          <w:rFonts w:eastAsia="Calibri" w:cs="Times New Roman"/>
          <w:sz w:val="28"/>
          <w:szCs w:val="28"/>
        </w:rPr>
      </w:pPr>
      <w:r w:rsidRPr="007139F7">
        <w:rPr>
          <w:rFonts w:eastAsia="Calibri" w:cs="Times New Roman"/>
          <w:sz w:val="28"/>
          <w:szCs w:val="28"/>
        </w:rPr>
        <w:t xml:space="preserve">При вже сформованих рубцях доцільне застосування мікродермабразії та лазеротерапії, які сприяють оптичному вирівнюванню рельєфу шкірних покривів, але є висока ймовірність рецидивів, яка зменшується при поєднанні із локальним введення гормонів наднирників [59, 131-138].  </w:t>
      </w:r>
    </w:p>
    <w:p w:rsidR="007139F7" w:rsidRPr="007139F7" w:rsidRDefault="007139F7" w:rsidP="007139F7">
      <w:pPr>
        <w:spacing w:after="0" w:line="360" w:lineRule="auto"/>
        <w:ind w:firstLine="709"/>
        <w:jc w:val="both"/>
        <w:rPr>
          <w:rFonts w:eastAsia="Calibri" w:cs="Times New Roman"/>
          <w:sz w:val="28"/>
          <w:szCs w:val="28"/>
        </w:rPr>
      </w:pPr>
      <w:r w:rsidRPr="007139F7">
        <w:rPr>
          <w:rFonts w:eastAsia="Calibri" w:cs="Times New Roman"/>
          <w:sz w:val="28"/>
          <w:szCs w:val="28"/>
        </w:rPr>
        <w:t xml:space="preserve">Для профілактики утворення патологічних рубців було запропоноване використання </w:t>
      </w:r>
      <w:r w:rsidRPr="007139F7">
        <w:rPr>
          <w:rFonts w:eastAsia="SimSun" w:cs="Times New Roman"/>
          <w:sz w:val="28"/>
          <w:szCs w:val="28"/>
          <w:lang w:val="ru-RU" w:eastAsia="zh-CN"/>
        </w:rPr>
        <w:t>ліпосомального препарату «Ліпін»</w:t>
      </w:r>
      <w:r w:rsidRPr="007139F7">
        <w:rPr>
          <w:rFonts w:eastAsia="SimSun" w:cs="Times New Roman"/>
          <w:sz w:val="28"/>
          <w:szCs w:val="28"/>
          <w:lang w:eastAsia="zh-CN"/>
        </w:rPr>
        <w:t xml:space="preserve"> та </w:t>
      </w:r>
      <w:r w:rsidRPr="007139F7">
        <w:rPr>
          <w:rFonts w:eastAsia="SimSun" w:cs="Times New Roman"/>
          <w:sz w:val="28"/>
          <w:szCs w:val="28"/>
          <w:lang w:val="ru-RU" w:eastAsia="zh-CN"/>
        </w:rPr>
        <w:t>крему «Дермофібразе»</w:t>
      </w:r>
      <w:r w:rsidRPr="007139F7">
        <w:rPr>
          <w:rFonts w:eastAsia="SimSun" w:cs="Times New Roman"/>
          <w:sz w:val="28"/>
          <w:szCs w:val="28"/>
          <w:lang w:eastAsia="zh-CN"/>
        </w:rPr>
        <w:t xml:space="preserve"> на етапі накладання швів та протягом раннього післяопераційного періоду. </w:t>
      </w:r>
      <w:r w:rsidRPr="007139F7">
        <w:rPr>
          <w:rFonts w:eastAsia="Calibri" w:cs="Times New Roman"/>
          <w:sz w:val="28"/>
          <w:szCs w:val="28"/>
        </w:rPr>
        <w:t xml:space="preserve">Даний метод лікування базується на здатності «Ліпіну» нормалізовувати рівень церулоплазміну (рівень якого збільшується у 2-3 рази при отриманні травми та при запаленні), пригнічуючи інтенсивність вільно радикального окислення [139-140]. </w:t>
      </w:r>
    </w:p>
    <w:p w:rsidR="007139F7" w:rsidRPr="007139F7" w:rsidRDefault="007139F7" w:rsidP="007139F7">
      <w:pPr>
        <w:spacing w:after="0" w:line="360" w:lineRule="auto"/>
        <w:ind w:firstLine="709"/>
        <w:jc w:val="both"/>
        <w:rPr>
          <w:rFonts w:eastAsia="SimSun" w:cs="Times New Roman"/>
          <w:sz w:val="28"/>
          <w:szCs w:val="28"/>
          <w:lang w:eastAsia="zh-CN"/>
        </w:rPr>
      </w:pPr>
      <w:r w:rsidRPr="007139F7">
        <w:rPr>
          <w:rFonts w:eastAsia="SimSun" w:cs="Times New Roman"/>
          <w:sz w:val="28"/>
          <w:szCs w:val="28"/>
          <w:lang w:eastAsia="zh-CN"/>
        </w:rPr>
        <w:t>Доведеним є той факт, що використання даного методу лікування вірогідно скорочує терміни формування зрілої рубцевої тканини у 1,3 рази, відновлює мікроциркуляторне русло, нормалізує процеси епітелізації. Це сприяє оптимізації процесів рубцеутворення навіть у пацієнтів зі схильністю до формування патологічних рубців.</w:t>
      </w:r>
    </w:p>
    <w:p w:rsidR="007139F7" w:rsidRPr="007139F7" w:rsidRDefault="007139F7" w:rsidP="007139F7">
      <w:pPr>
        <w:spacing w:after="0" w:line="360" w:lineRule="auto"/>
        <w:ind w:firstLine="709"/>
        <w:contextualSpacing/>
        <w:jc w:val="both"/>
        <w:rPr>
          <w:rFonts w:eastAsia="Times New Roman" w:cs="Times New Roman"/>
          <w:sz w:val="28"/>
          <w:szCs w:val="28"/>
          <w:lang w:eastAsia="ru-RU"/>
        </w:rPr>
      </w:pPr>
      <w:r w:rsidRPr="007139F7">
        <w:rPr>
          <w:rFonts w:eastAsia="SimSun" w:cs="Times New Roman"/>
          <w:sz w:val="28"/>
          <w:szCs w:val="28"/>
          <w:lang w:eastAsia="zh-CN"/>
        </w:rPr>
        <w:t xml:space="preserve">Вірогідне зменшення площі келоїдних та гіпертрофічних рубців спостерігається при застосуванні ін’єкцій </w:t>
      </w:r>
      <w:r w:rsidRPr="007139F7">
        <w:rPr>
          <w:rFonts w:eastAsia="Times New Roman" w:cs="Times New Roman"/>
          <w:sz w:val="28"/>
          <w:szCs w:val="28"/>
          <w:lang w:eastAsia="ru-RU"/>
        </w:rPr>
        <w:t xml:space="preserve">антиоксиданту із вираженою антигіпоксантною та капіляростабілізуючою дією </w:t>
      </w:r>
      <w:r w:rsidRPr="007139F7">
        <w:rPr>
          <w:rFonts w:eastAsia="SimSun" w:cs="Times New Roman"/>
          <w:sz w:val="28"/>
          <w:szCs w:val="28"/>
          <w:lang w:eastAsia="zh-CN"/>
        </w:rPr>
        <w:t xml:space="preserve">емоксипіну в комбінації з ультрафонофорезом геля „Контрактубекс”. </w:t>
      </w:r>
      <w:r w:rsidRPr="007139F7">
        <w:rPr>
          <w:rFonts w:eastAsia="Times New Roman" w:cs="Times New Roman"/>
          <w:sz w:val="28"/>
          <w:szCs w:val="28"/>
          <w:lang w:eastAsia="ru-RU"/>
        </w:rPr>
        <w:t xml:space="preserve">Вибір препарата обґрунтований наявністю гіпоксичного стану в келоїдах та його фібринолітичною активністю, яка поєднана із зменшенням проникності судинної стінки, стабілізацією біомембран та інгібуванням агрегації тромбоцитів і нейтрофілів. </w:t>
      </w:r>
      <w:r w:rsidRPr="007139F7">
        <w:rPr>
          <w:rFonts w:eastAsia="SimSun" w:cs="Times New Roman"/>
          <w:sz w:val="28"/>
          <w:szCs w:val="28"/>
          <w:lang w:eastAsia="zh-CN"/>
        </w:rPr>
        <w:t>Використання описаного методу лікування сприяє зменшенню рецидивів келоїдів та формуванню нормотрофічних рубців після хірургічного висічення рубцевозміненої тканини [59, 141-144].</w:t>
      </w:r>
    </w:p>
    <w:p w:rsidR="007139F7" w:rsidRPr="007139F7" w:rsidRDefault="007139F7" w:rsidP="007139F7">
      <w:pPr>
        <w:spacing w:after="0" w:line="360" w:lineRule="auto"/>
        <w:ind w:left="23" w:right="23" w:firstLine="709"/>
        <w:jc w:val="both"/>
        <w:rPr>
          <w:rFonts w:eastAsia="Calibri" w:cs="Times New Roman"/>
          <w:sz w:val="28"/>
          <w:szCs w:val="28"/>
        </w:rPr>
      </w:pPr>
      <w:r w:rsidRPr="007139F7">
        <w:rPr>
          <w:rFonts w:eastAsia="Calibri" w:cs="Times New Roman"/>
          <w:sz w:val="28"/>
          <w:szCs w:val="28"/>
        </w:rPr>
        <w:lastRenderedPageBreak/>
        <w:t xml:space="preserve">Одним із методів лікування гіпертрофічних та келоїдних рубців є ультрафонофорез лонгідази, який активує мікроциркуляцію гіпертрофічних рубців, а при комбінації із фотодеструкцією та ангіофототермолізом знижує васкуляризацію келоїдів. </w:t>
      </w:r>
    </w:p>
    <w:p w:rsidR="007139F7" w:rsidRPr="007139F7" w:rsidRDefault="007139F7" w:rsidP="007139F7">
      <w:pPr>
        <w:spacing w:after="0" w:line="360" w:lineRule="auto"/>
        <w:ind w:left="23" w:right="23" w:firstLine="709"/>
        <w:jc w:val="both"/>
        <w:rPr>
          <w:rFonts w:eastAsia="Calibri" w:cs="Times New Roman"/>
          <w:sz w:val="28"/>
          <w:szCs w:val="28"/>
        </w:rPr>
      </w:pPr>
      <w:r w:rsidRPr="007139F7">
        <w:rPr>
          <w:rFonts w:eastAsia="Calibri" w:cs="Times New Roman"/>
          <w:sz w:val="28"/>
          <w:szCs w:val="28"/>
        </w:rPr>
        <w:t xml:space="preserve">Також представлені методи лікування мають фібродеструктивний та катаболічний ефект при гіпертрофічних рубцях та фібро- та ангіодеструктивний ефекти у відповідній комбінації у пацієнтів із келоїдними рубцями. Ефективність даного лікування сягає 80% у пацієнтів із гіпертрофічними рубцями та келоїдами [145]. </w:t>
      </w:r>
    </w:p>
    <w:p w:rsidR="007139F7" w:rsidRPr="007139F7" w:rsidRDefault="007139F7" w:rsidP="007139F7">
      <w:pPr>
        <w:spacing w:after="0" w:line="360" w:lineRule="auto"/>
        <w:ind w:left="23" w:right="23" w:firstLine="697"/>
        <w:jc w:val="both"/>
        <w:rPr>
          <w:rFonts w:eastAsia="Calibri" w:cs="Times New Roman"/>
          <w:sz w:val="28"/>
          <w:szCs w:val="28"/>
        </w:rPr>
      </w:pPr>
      <w:r w:rsidRPr="007139F7">
        <w:rPr>
          <w:rFonts w:eastAsia="Calibri" w:cs="Times New Roman"/>
          <w:sz w:val="28"/>
          <w:szCs w:val="28"/>
        </w:rPr>
        <w:t>Отже, в літературі висвітлені численні методи лікування рубців, але переважна більшість з них мають суттєві недоліки, побічні дії та непередбачені наслідки. Це створює необхідність оптимізації процесів формування рубцевої тканини, особливо на ранніх стадіях, а саме інтра- та післяопераційної профілактики утворення рубцевої тканини.</w:t>
      </w:r>
    </w:p>
    <w:p w:rsidR="007139F7" w:rsidRPr="007139F7" w:rsidRDefault="007139F7" w:rsidP="007139F7">
      <w:pPr>
        <w:spacing w:after="0" w:line="360" w:lineRule="auto"/>
        <w:ind w:left="23" w:right="23" w:firstLine="697"/>
        <w:jc w:val="both"/>
        <w:rPr>
          <w:rFonts w:eastAsia="Calibri" w:cs="Times New Roman"/>
          <w:sz w:val="28"/>
          <w:szCs w:val="28"/>
        </w:rPr>
      </w:pPr>
    </w:p>
    <w:p w:rsidR="007139F7" w:rsidRPr="007139F7" w:rsidRDefault="007139F7" w:rsidP="007139F7">
      <w:pPr>
        <w:spacing w:after="0" w:line="360" w:lineRule="auto"/>
        <w:ind w:firstLine="709"/>
        <w:jc w:val="both"/>
        <w:rPr>
          <w:rFonts w:eastAsia="Calibri" w:cs="Times New Roman"/>
          <w:b/>
          <w:sz w:val="28"/>
          <w:szCs w:val="28"/>
        </w:rPr>
      </w:pPr>
      <w:r w:rsidRPr="007139F7">
        <w:rPr>
          <w:rFonts w:eastAsia="Calibri" w:cs="Times New Roman"/>
          <w:b/>
          <w:sz w:val="28"/>
          <w:szCs w:val="28"/>
        </w:rPr>
        <w:t xml:space="preserve">1.4 Експериментальне та клінічне обгрунтування використання </w:t>
      </w:r>
      <w:r w:rsidRPr="007139F7">
        <w:rPr>
          <w:rFonts w:eastAsia="Calibri" w:cs="Times New Roman"/>
          <w:b/>
          <w:sz w:val="28"/>
          <w:szCs w:val="28"/>
          <w:lang w:val="en-GB"/>
        </w:rPr>
        <w:t>PRF</w:t>
      </w:r>
      <w:r w:rsidRPr="007139F7">
        <w:rPr>
          <w:rFonts w:eastAsia="Calibri" w:cs="Times New Roman"/>
          <w:b/>
          <w:sz w:val="28"/>
          <w:szCs w:val="28"/>
        </w:rPr>
        <w:t xml:space="preserve"> у процесах репаративної регенерації</w:t>
      </w:r>
    </w:p>
    <w:p w:rsidR="007139F7" w:rsidRPr="007139F7" w:rsidRDefault="007139F7" w:rsidP="007139F7">
      <w:pPr>
        <w:spacing w:after="0" w:line="360" w:lineRule="auto"/>
        <w:ind w:firstLine="720"/>
        <w:jc w:val="both"/>
        <w:rPr>
          <w:rFonts w:eastAsia="Calibri" w:cs="Times New Roman"/>
          <w:sz w:val="28"/>
          <w:szCs w:val="28"/>
        </w:rPr>
      </w:pPr>
    </w:p>
    <w:p w:rsidR="007139F7" w:rsidRPr="007139F7" w:rsidRDefault="007139F7" w:rsidP="007139F7">
      <w:pPr>
        <w:spacing w:after="0" w:line="360" w:lineRule="auto"/>
        <w:ind w:firstLine="720"/>
        <w:jc w:val="both"/>
        <w:rPr>
          <w:rFonts w:eastAsia="Calibri" w:cs="Times New Roman"/>
          <w:sz w:val="28"/>
          <w:szCs w:val="28"/>
        </w:rPr>
      </w:pPr>
      <w:r w:rsidRPr="007139F7">
        <w:rPr>
          <w:rFonts w:eastAsia="Calibri" w:cs="Times New Roman"/>
          <w:sz w:val="28"/>
          <w:szCs w:val="28"/>
        </w:rPr>
        <w:t xml:space="preserve">Вперше поняття про регенеративний потенціал тромбоцитів було введено у 70-х роках ХХ сторіччя </w:t>
      </w:r>
      <w:r w:rsidRPr="007139F7">
        <w:rPr>
          <w:rFonts w:eastAsia="Calibri" w:cs="Times New Roman"/>
          <w:sz w:val="28"/>
          <w:szCs w:val="28"/>
          <w:lang w:val="ru-RU"/>
        </w:rPr>
        <w:t>[146]</w:t>
      </w:r>
      <w:r w:rsidRPr="007139F7">
        <w:rPr>
          <w:rFonts w:eastAsia="Calibri" w:cs="Times New Roman"/>
          <w:sz w:val="28"/>
          <w:szCs w:val="28"/>
        </w:rPr>
        <w:t>, коли було встановлено, що наявні у них фактори росту є відповідальними за підвищення виробництва колагену, ангіогенез, остеогенез та клітинну диференціацію. У 1970 році був вперше описаний та утворений внаслідок полімеризації фібриногена з тромбіном та кальцієм тромбіновий клей, який спочатку готувався із використанням донорської плазми. Проте, стабільність та якість фібринового клею були досить низькими через низьку концентрацію фібриногену, а також був високий ризик передачі інфекції обумовлений гетерогенністю його походження</w:t>
      </w:r>
      <w:r w:rsidRPr="007139F7">
        <w:rPr>
          <w:rFonts w:eastAsia="Calibri" w:cs="Times New Roman"/>
          <w:sz w:val="28"/>
          <w:szCs w:val="28"/>
          <w:lang w:val="ru-RU"/>
        </w:rPr>
        <w:t xml:space="preserve"> [147-149]</w:t>
      </w:r>
      <w:r w:rsidRPr="007139F7">
        <w:rPr>
          <w:rFonts w:eastAsia="Calibri" w:cs="Times New Roman"/>
          <w:sz w:val="28"/>
          <w:szCs w:val="28"/>
        </w:rPr>
        <w:t xml:space="preserve">. </w:t>
      </w:r>
    </w:p>
    <w:p w:rsidR="007139F7" w:rsidRPr="007139F7" w:rsidRDefault="007139F7" w:rsidP="007139F7">
      <w:pPr>
        <w:spacing w:after="0" w:line="360" w:lineRule="auto"/>
        <w:ind w:firstLine="720"/>
        <w:jc w:val="both"/>
        <w:rPr>
          <w:rFonts w:eastAsia="Calibri" w:cs="Times New Roman"/>
          <w:sz w:val="28"/>
          <w:szCs w:val="28"/>
        </w:rPr>
      </w:pPr>
      <w:r w:rsidRPr="007139F7">
        <w:rPr>
          <w:rFonts w:eastAsia="Calibri" w:cs="Times New Roman"/>
          <w:sz w:val="28"/>
          <w:szCs w:val="28"/>
        </w:rPr>
        <w:lastRenderedPageBreak/>
        <w:t>Використання фібринового клею є досить розповсюдженим у сучасній медичній практиці. Він може бути синтезований із власної венозної крові пацієнта або використаний у вигляді готових препаратів.</w:t>
      </w:r>
    </w:p>
    <w:p w:rsidR="007139F7" w:rsidRPr="007139F7" w:rsidRDefault="007139F7" w:rsidP="007139F7">
      <w:pPr>
        <w:spacing w:after="0" w:line="360" w:lineRule="auto"/>
        <w:ind w:firstLine="720"/>
        <w:jc w:val="both"/>
        <w:rPr>
          <w:rFonts w:eastAsia="Calibri" w:cs="Times New Roman"/>
          <w:sz w:val="28"/>
          <w:szCs w:val="28"/>
        </w:rPr>
      </w:pPr>
      <w:r w:rsidRPr="007139F7">
        <w:rPr>
          <w:rFonts w:eastAsia="Calibri" w:cs="Times New Roman"/>
          <w:sz w:val="28"/>
          <w:szCs w:val="28"/>
        </w:rPr>
        <w:t xml:space="preserve">Значне покращення регенеративних процесів через використання власної крові пацієнта є унікальною концепцією. Фібрин забезпечує формування матриці, необхідної для міграції фібробластів та ендотеліоцитів, які приймають участь у процесах ангіогенеза та репаративної регенерації тканин. Формування фібринової сітки є результатом трансформації фібриногену в фібрин під дією тромбіну та фактору ХІІІа [150]. Даний процес включає в себе 3 етапи: </w:t>
      </w:r>
    </w:p>
    <w:p w:rsidR="007139F7" w:rsidRPr="007139F7" w:rsidRDefault="007139F7" w:rsidP="007139F7">
      <w:pPr>
        <w:spacing w:after="0" w:line="360" w:lineRule="auto"/>
        <w:ind w:firstLine="720"/>
        <w:jc w:val="both"/>
        <w:rPr>
          <w:rFonts w:eastAsia="Calibri" w:cs="Times New Roman"/>
          <w:sz w:val="28"/>
          <w:szCs w:val="28"/>
        </w:rPr>
      </w:pPr>
      <w:r w:rsidRPr="007139F7">
        <w:rPr>
          <w:rFonts w:eastAsia="Calibri" w:cs="Times New Roman"/>
          <w:sz w:val="28"/>
          <w:szCs w:val="28"/>
        </w:rPr>
        <w:t xml:space="preserve">1. протеоліз фібриногена тромбіном; </w:t>
      </w:r>
    </w:p>
    <w:p w:rsidR="007139F7" w:rsidRPr="007139F7" w:rsidRDefault="007139F7" w:rsidP="007139F7">
      <w:pPr>
        <w:spacing w:after="0" w:line="360" w:lineRule="auto"/>
        <w:ind w:firstLine="720"/>
        <w:jc w:val="both"/>
        <w:rPr>
          <w:rFonts w:eastAsia="Calibri" w:cs="Times New Roman"/>
          <w:sz w:val="28"/>
          <w:szCs w:val="28"/>
        </w:rPr>
      </w:pPr>
      <w:r w:rsidRPr="007139F7">
        <w:rPr>
          <w:rFonts w:eastAsia="Calibri" w:cs="Times New Roman"/>
          <w:sz w:val="28"/>
          <w:szCs w:val="28"/>
        </w:rPr>
        <w:t xml:space="preserve">2. полімеризація мономерів фібрину; </w:t>
      </w:r>
    </w:p>
    <w:p w:rsidR="007139F7" w:rsidRPr="007139F7" w:rsidRDefault="007139F7" w:rsidP="007139F7">
      <w:pPr>
        <w:spacing w:after="0" w:line="360" w:lineRule="auto"/>
        <w:ind w:firstLine="720"/>
        <w:jc w:val="both"/>
        <w:rPr>
          <w:rFonts w:eastAsia="Calibri" w:cs="Times New Roman"/>
          <w:sz w:val="28"/>
          <w:szCs w:val="28"/>
        </w:rPr>
      </w:pPr>
      <w:r w:rsidRPr="007139F7">
        <w:rPr>
          <w:rFonts w:eastAsia="Calibri" w:cs="Times New Roman"/>
          <w:sz w:val="28"/>
          <w:szCs w:val="28"/>
        </w:rPr>
        <w:t xml:space="preserve">3. стабілізація фібрину у фактор ХІІІа. </w:t>
      </w:r>
    </w:p>
    <w:p w:rsidR="007139F7" w:rsidRPr="007139F7" w:rsidRDefault="007139F7" w:rsidP="007139F7">
      <w:pPr>
        <w:spacing w:after="0" w:line="360" w:lineRule="auto"/>
        <w:ind w:firstLine="720"/>
        <w:jc w:val="both"/>
        <w:rPr>
          <w:rFonts w:eastAsia="Calibri" w:cs="Times New Roman"/>
          <w:sz w:val="28"/>
          <w:szCs w:val="28"/>
        </w:rPr>
      </w:pPr>
      <w:r w:rsidRPr="007139F7">
        <w:rPr>
          <w:rFonts w:eastAsia="Calibri" w:cs="Times New Roman"/>
          <w:sz w:val="28"/>
          <w:szCs w:val="28"/>
          <w:lang w:val="en-GB"/>
        </w:rPr>
        <w:t>PRF</w:t>
      </w:r>
      <w:r w:rsidRPr="007139F7">
        <w:rPr>
          <w:rFonts w:eastAsia="Calibri" w:cs="Times New Roman"/>
          <w:sz w:val="28"/>
          <w:szCs w:val="28"/>
        </w:rPr>
        <w:t xml:space="preserve"> (</w:t>
      </w:r>
      <w:r w:rsidRPr="007139F7">
        <w:rPr>
          <w:rFonts w:eastAsia="Calibri" w:cs="Times New Roman"/>
          <w:sz w:val="28"/>
          <w:szCs w:val="28"/>
          <w:lang w:val="en-GB"/>
        </w:rPr>
        <w:t>platent</w:t>
      </w:r>
      <w:r w:rsidRPr="007139F7">
        <w:rPr>
          <w:rFonts w:eastAsia="Calibri" w:cs="Times New Roman"/>
          <w:sz w:val="28"/>
          <w:szCs w:val="28"/>
        </w:rPr>
        <w:t xml:space="preserve"> </w:t>
      </w:r>
      <w:r w:rsidRPr="007139F7">
        <w:rPr>
          <w:rFonts w:eastAsia="Calibri" w:cs="Times New Roman"/>
          <w:sz w:val="28"/>
          <w:szCs w:val="28"/>
          <w:lang w:val="en-GB"/>
        </w:rPr>
        <w:t>rich</w:t>
      </w:r>
      <w:r w:rsidRPr="007139F7">
        <w:rPr>
          <w:rFonts w:eastAsia="Calibri" w:cs="Times New Roman"/>
          <w:sz w:val="28"/>
          <w:szCs w:val="28"/>
        </w:rPr>
        <w:t xml:space="preserve"> </w:t>
      </w:r>
      <w:r w:rsidRPr="007139F7">
        <w:rPr>
          <w:rFonts w:eastAsia="Calibri" w:cs="Times New Roman"/>
          <w:sz w:val="28"/>
          <w:szCs w:val="28"/>
          <w:lang w:val="en-GB"/>
        </w:rPr>
        <w:t>fibrin</w:t>
      </w:r>
      <w:r w:rsidRPr="007139F7">
        <w:rPr>
          <w:rFonts w:eastAsia="Calibri" w:cs="Times New Roman"/>
          <w:sz w:val="28"/>
          <w:szCs w:val="28"/>
        </w:rPr>
        <w:t xml:space="preserve"> – збагачений тромбоцитами фібрин) являє собою результат природної та прогресивної полімеризації, що виникає при центрифугуванні венозної крові пацієнта, вперше був описаний </w:t>
      </w:r>
      <w:r w:rsidRPr="007139F7">
        <w:rPr>
          <w:rFonts w:eastAsia="Calibri" w:cs="Times New Roman"/>
          <w:sz w:val="28"/>
          <w:szCs w:val="28"/>
          <w:lang w:val="en-GB"/>
        </w:rPr>
        <w:t>Choukroun</w:t>
      </w:r>
      <w:r w:rsidRPr="007139F7">
        <w:rPr>
          <w:rFonts w:eastAsia="Calibri" w:cs="Times New Roman"/>
          <w:sz w:val="28"/>
          <w:szCs w:val="28"/>
        </w:rPr>
        <w:t xml:space="preserve"> </w:t>
      </w:r>
      <w:r w:rsidRPr="007139F7">
        <w:rPr>
          <w:rFonts w:eastAsia="Calibri" w:cs="Times New Roman"/>
          <w:sz w:val="28"/>
          <w:szCs w:val="28"/>
          <w:lang w:val="en-GB"/>
        </w:rPr>
        <w:t>et</w:t>
      </w:r>
      <w:r w:rsidRPr="007139F7">
        <w:rPr>
          <w:rFonts w:eastAsia="Calibri" w:cs="Times New Roman"/>
          <w:sz w:val="28"/>
          <w:szCs w:val="28"/>
        </w:rPr>
        <w:t xml:space="preserve"> </w:t>
      </w:r>
      <w:r w:rsidRPr="007139F7">
        <w:rPr>
          <w:rFonts w:eastAsia="Calibri" w:cs="Times New Roman"/>
          <w:sz w:val="28"/>
          <w:szCs w:val="28"/>
          <w:lang w:val="en-GB"/>
        </w:rPr>
        <w:t>al</w:t>
      </w:r>
      <w:r w:rsidRPr="007139F7">
        <w:rPr>
          <w:rFonts w:eastAsia="Calibri" w:cs="Times New Roman"/>
          <w:sz w:val="28"/>
          <w:szCs w:val="28"/>
        </w:rPr>
        <w:t xml:space="preserve">. в 2001 [151]. Фібриновий згусток, який виникає внаслідок даної маніпуляції являє собою особливо однорідну тривимірну організацію, більш когерентну, ніж природні фібринові згустки [152]. Причому, протоколи отримання </w:t>
      </w:r>
      <w:r w:rsidRPr="007139F7">
        <w:rPr>
          <w:rFonts w:eastAsia="Calibri" w:cs="Times New Roman"/>
          <w:sz w:val="28"/>
          <w:szCs w:val="28"/>
          <w:lang w:val="en-GB"/>
        </w:rPr>
        <w:t>PRF</w:t>
      </w:r>
      <w:r w:rsidRPr="007139F7">
        <w:rPr>
          <w:rFonts w:eastAsia="Calibri" w:cs="Times New Roman"/>
          <w:sz w:val="28"/>
          <w:szCs w:val="28"/>
          <w:lang w:val="ru-RU"/>
        </w:rPr>
        <w:t xml:space="preserve"> </w:t>
      </w:r>
      <w:r w:rsidRPr="007139F7">
        <w:rPr>
          <w:rFonts w:eastAsia="Calibri" w:cs="Times New Roman"/>
          <w:sz w:val="28"/>
          <w:szCs w:val="28"/>
        </w:rPr>
        <w:t>не потребують використання антикоагулянтів та тромбіна великої рогатої худоби</w:t>
      </w:r>
      <w:r w:rsidRPr="007139F7">
        <w:rPr>
          <w:rFonts w:eastAsia="Calibri" w:cs="Times New Roman"/>
          <w:sz w:val="28"/>
          <w:szCs w:val="28"/>
          <w:lang w:val="ru-RU"/>
        </w:rPr>
        <w:t>.</w:t>
      </w:r>
    </w:p>
    <w:p w:rsidR="007139F7" w:rsidRPr="007139F7" w:rsidRDefault="007139F7" w:rsidP="007139F7">
      <w:pPr>
        <w:spacing w:after="0" w:line="360" w:lineRule="auto"/>
        <w:ind w:firstLine="720"/>
        <w:jc w:val="both"/>
        <w:rPr>
          <w:rFonts w:eastAsia="Calibri" w:cs="Times New Roman"/>
          <w:sz w:val="28"/>
          <w:szCs w:val="28"/>
        </w:rPr>
      </w:pPr>
      <w:r w:rsidRPr="007139F7">
        <w:rPr>
          <w:rFonts w:eastAsia="Calibri" w:cs="Times New Roman"/>
          <w:sz w:val="28"/>
          <w:szCs w:val="28"/>
        </w:rPr>
        <w:t>Серед фібринових згустків в залежності від методики їх приготування виділяють:</w:t>
      </w:r>
    </w:p>
    <w:p w:rsidR="007139F7" w:rsidRPr="007139F7" w:rsidRDefault="007139F7" w:rsidP="007139F7">
      <w:pPr>
        <w:numPr>
          <w:ilvl w:val="0"/>
          <w:numId w:val="5"/>
        </w:numPr>
        <w:spacing w:after="0" w:line="360" w:lineRule="auto"/>
        <w:ind w:left="1080" w:firstLine="709"/>
        <w:jc w:val="both"/>
        <w:rPr>
          <w:rFonts w:eastAsia="Calibri" w:cs="Times New Roman"/>
          <w:sz w:val="28"/>
          <w:szCs w:val="28"/>
        </w:rPr>
      </w:pPr>
      <w:r w:rsidRPr="007139F7">
        <w:rPr>
          <w:rFonts w:eastAsia="Calibri" w:cs="Times New Roman"/>
          <w:sz w:val="28"/>
          <w:szCs w:val="28"/>
          <w:lang w:val="en-GB"/>
        </w:rPr>
        <w:t>PRF</w:t>
      </w:r>
      <w:r w:rsidRPr="007139F7">
        <w:rPr>
          <w:rFonts w:eastAsia="Calibri" w:cs="Times New Roman"/>
          <w:sz w:val="28"/>
          <w:szCs w:val="28"/>
        </w:rPr>
        <w:t xml:space="preserve"> – звичайний фібриновий згусток, який готується у вакуумних пробірках з активатором плазми та центрифугуються близько 8-12 хвилин на швидкості 3000-3500 обертів за хвилину.</w:t>
      </w:r>
    </w:p>
    <w:p w:rsidR="007139F7" w:rsidRPr="007139F7" w:rsidRDefault="007139F7" w:rsidP="007139F7">
      <w:pPr>
        <w:numPr>
          <w:ilvl w:val="0"/>
          <w:numId w:val="5"/>
        </w:numPr>
        <w:spacing w:after="0" w:line="360" w:lineRule="auto"/>
        <w:ind w:left="1080" w:firstLine="709"/>
        <w:jc w:val="both"/>
        <w:rPr>
          <w:rFonts w:eastAsia="Calibri" w:cs="Times New Roman"/>
          <w:sz w:val="28"/>
          <w:szCs w:val="28"/>
        </w:rPr>
      </w:pPr>
      <w:r w:rsidRPr="007139F7">
        <w:rPr>
          <w:rFonts w:eastAsia="Calibri" w:cs="Times New Roman"/>
          <w:sz w:val="28"/>
          <w:szCs w:val="28"/>
        </w:rPr>
        <w:t>А-</w:t>
      </w:r>
      <w:r w:rsidRPr="007139F7">
        <w:rPr>
          <w:rFonts w:eastAsia="Calibri" w:cs="Times New Roman"/>
          <w:sz w:val="28"/>
          <w:szCs w:val="28"/>
          <w:lang w:val="en-GB"/>
        </w:rPr>
        <w:t>PRF</w:t>
      </w:r>
      <w:r w:rsidRPr="007139F7">
        <w:rPr>
          <w:rFonts w:eastAsia="Calibri" w:cs="Times New Roman"/>
          <w:sz w:val="28"/>
          <w:szCs w:val="28"/>
        </w:rPr>
        <w:t xml:space="preserve"> </w:t>
      </w:r>
      <w:r w:rsidRPr="007139F7">
        <w:rPr>
          <w:rFonts w:eastAsia="Calibri" w:cs="Times New Roman"/>
          <w:spacing w:val="2"/>
          <w:sz w:val="28"/>
          <w:szCs w:val="28"/>
          <w:shd w:val="clear" w:color="auto" w:fill="FFFFFF"/>
        </w:rPr>
        <w:t>(</w:t>
      </w:r>
      <w:r w:rsidRPr="007139F7">
        <w:rPr>
          <w:rFonts w:eastAsia="Calibri" w:cs="Times New Roman"/>
          <w:spacing w:val="2"/>
          <w:sz w:val="28"/>
          <w:szCs w:val="28"/>
          <w:shd w:val="clear" w:color="auto" w:fill="FFFFFF"/>
          <w:lang w:val="ru-RU"/>
        </w:rPr>
        <w:t>advanced</w:t>
      </w:r>
      <w:r w:rsidRPr="007139F7">
        <w:rPr>
          <w:rFonts w:eastAsia="Calibri" w:cs="Times New Roman"/>
          <w:spacing w:val="2"/>
          <w:sz w:val="28"/>
          <w:szCs w:val="28"/>
          <w:shd w:val="clear" w:color="auto" w:fill="FFFFFF"/>
        </w:rPr>
        <w:t>)</w:t>
      </w:r>
      <w:r w:rsidRPr="007139F7">
        <w:rPr>
          <w:rFonts w:eastAsia="Calibri" w:cs="Times New Roman"/>
          <w:b/>
          <w:bCs/>
          <w:spacing w:val="2"/>
          <w:sz w:val="28"/>
          <w:szCs w:val="28"/>
          <w:shd w:val="clear" w:color="auto" w:fill="FFFFFF"/>
        </w:rPr>
        <w:t xml:space="preserve"> </w:t>
      </w:r>
      <w:r w:rsidRPr="007139F7">
        <w:rPr>
          <w:rFonts w:eastAsia="Calibri" w:cs="Times New Roman"/>
          <w:bCs/>
          <w:spacing w:val="2"/>
          <w:sz w:val="28"/>
          <w:szCs w:val="28"/>
          <w:shd w:val="clear" w:color="auto" w:fill="FFFFFF"/>
        </w:rPr>
        <w:t>– у даному згустку фактори росту мають більшу концентрацію та більш рівномірне розташування, чому сприяє зниження швидкості обертів центрифуги до 2000 обертів за хвилину, час центрифугування 8-12 хвилин.</w:t>
      </w:r>
    </w:p>
    <w:p w:rsidR="007139F7" w:rsidRPr="007139F7" w:rsidRDefault="007139F7" w:rsidP="007139F7">
      <w:pPr>
        <w:numPr>
          <w:ilvl w:val="0"/>
          <w:numId w:val="5"/>
        </w:numPr>
        <w:spacing w:after="0" w:line="360" w:lineRule="auto"/>
        <w:ind w:left="1080" w:firstLine="709"/>
        <w:jc w:val="both"/>
        <w:rPr>
          <w:rFonts w:eastAsia="Calibri" w:cs="Times New Roman"/>
          <w:sz w:val="28"/>
          <w:szCs w:val="28"/>
        </w:rPr>
      </w:pPr>
      <w:r w:rsidRPr="007139F7">
        <w:rPr>
          <w:rFonts w:eastAsia="Calibri" w:cs="Times New Roman"/>
          <w:bCs/>
          <w:spacing w:val="2"/>
          <w:sz w:val="28"/>
          <w:szCs w:val="28"/>
          <w:lang w:val="ru-RU"/>
        </w:rPr>
        <w:lastRenderedPageBreak/>
        <w:t>i</w:t>
      </w:r>
      <w:r w:rsidRPr="007139F7">
        <w:rPr>
          <w:rFonts w:eastAsia="Calibri" w:cs="Times New Roman"/>
          <w:bCs/>
          <w:spacing w:val="2"/>
          <w:sz w:val="28"/>
          <w:szCs w:val="28"/>
        </w:rPr>
        <w:t>-</w:t>
      </w:r>
      <w:r w:rsidRPr="007139F7">
        <w:rPr>
          <w:rFonts w:eastAsia="Calibri" w:cs="Times New Roman"/>
          <w:bCs/>
          <w:spacing w:val="2"/>
          <w:sz w:val="28"/>
          <w:szCs w:val="28"/>
          <w:lang w:val="ru-RU"/>
        </w:rPr>
        <w:t>PRF</w:t>
      </w:r>
      <w:r w:rsidRPr="007139F7">
        <w:rPr>
          <w:rFonts w:eastAsia="Calibri" w:cs="Times New Roman"/>
          <w:spacing w:val="2"/>
          <w:sz w:val="28"/>
          <w:szCs w:val="28"/>
        </w:rPr>
        <w:t xml:space="preserve"> (ін’єкційний) – фібриновий згусток, який утворюється через декілька хвилин після отримання плазми крові шляхом центрифугування. Швидкість обертів складає 1500-2000 об/хв., час центрифугування – 3 хвилини.</w:t>
      </w:r>
    </w:p>
    <w:p w:rsidR="007139F7" w:rsidRPr="007139F7" w:rsidRDefault="007139F7" w:rsidP="007139F7">
      <w:pPr>
        <w:numPr>
          <w:ilvl w:val="0"/>
          <w:numId w:val="5"/>
        </w:numPr>
        <w:spacing w:after="0" w:line="360" w:lineRule="auto"/>
        <w:ind w:left="1080" w:firstLine="709"/>
        <w:jc w:val="both"/>
        <w:rPr>
          <w:rFonts w:eastAsia="Calibri" w:cs="Times New Roman"/>
          <w:sz w:val="28"/>
          <w:szCs w:val="28"/>
        </w:rPr>
      </w:pPr>
      <w:r w:rsidRPr="007139F7">
        <w:rPr>
          <w:rFonts w:eastAsia="Calibri" w:cs="Times New Roman"/>
          <w:bCs/>
          <w:spacing w:val="2"/>
          <w:sz w:val="28"/>
          <w:szCs w:val="28"/>
          <w:shd w:val="clear" w:color="auto" w:fill="FFFFFF"/>
          <w:lang w:val="ru-RU"/>
        </w:rPr>
        <w:t>Sticky bone</w:t>
      </w:r>
      <w:r w:rsidRPr="007139F7">
        <w:rPr>
          <w:rFonts w:eastAsia="Calibri" w:cs="Times New Roman"/>
          <w:bCs/>
          <w:spacing w:val="2"/>
          <w:sz w:val="28"/>
          <w:szCs w:val="28"/>
          <w:shd w:val="clear" w:color="auto" w:fill="FFFFFF"/>
        </w:rPr>
        <w:t xml:space="preserve"> – плазма крові, яка перетворюється на згусток за рахунок вмісту фібрину у самій плазмі. Приготування аналогічне до звичайного </w:t>
      </w:r>
      <w:r w:rsidRPr="007139F7">
        <w:rPr>
          <w:rFonts w:eastAsia="Calibri" w:cs="Times New Roman"/>
          <w:bCs/>
          <w:spacing w:val="2"/>
          <w:sz w:val="28"/>
          <w:szCs w:val="28"/>
          <w:lang w:val="ru-RU"/>
        </w:rPr>
        <w:t>PRF</w:t>
      </w:r>
      <w:r w:rsidRPr="007139F7">
        <w:rPr>
          <w:rFonts w:eastAsia="Calibri" w:cs="Times New Roman"/>
          <w:bCs/>
          <w:spacing w:val="2"/>
          <w:sz w:val="28"/>
          <w:szCs w:val="28"/>
        </w:rPr>
        <w:t>, але внаслідок відсутності активатора згортання у пробірці швидкість утворення фібринового згустку значно нижча</w:t>
      </w:r>
      <w:r w:rsidRPr="007139F7">
        <w:rPr>
          <w:rFonts w:eastAsia="Calibri" w:cs="Times New Roman"/>
          <w:bCs/>
          <w:spacing w:val="2"/>
          <w:sz w:val="28"/>
          <w:szCs w:val="28"/>
          <w:lang w:val="ru-RU"/>
        </w:rPr>
        <w:t xml:space="preserve"> [153]</w:t>
      </w:r>
      <w:r w:rsidRPr="007139F7">
        <w:rPr>
          <w:rFonts w:eastAsia="Calibri" w:cs="Times New Roman"/>
          <w:bCs/>
          <w:spacing w:val="2"/>
          <w:sz w:val="28"/>
          <w:szCs w:val="28"/>
        </w:rPr>
        <w:t>.</w:t>
      </w:r>
    </w:p>
    <w:p w:rsidR="007139F7" w:rsidRPr="007139F7" w:rsidRDefault="007139F7" w:rsidP="007139F7">
      <w:pPr>
        <w:spacing w:after="0" w:line="360" w:lineRule="auto"/>
        <w:ind w:firstLine="720"/>
        <w:jc w:val="both"/>
        <w:rPr>
          <w:rFonts w:eastAsia="Calibri" w:cs="Times New Roman"/>
          <w:sz w:val="28"/>
          <w:szCs w:val="28"/>
        </w:rPr>
      </w:pPr>
      <w:r w:rsidRPr="007139F7">
        <w:rPr>
          <w:rFonts w:eastAsia="Calibri" w:cs="Times New Roman"/>
          <w:sz w:val="28"/>
          <w:szCs w:val="28"/>
        </w:rPr>
        <w:t>Слід зазначити, що на формування фібринового матриксу впливають різноманітні фактори, такі як, концентрація іонів кальцію та фібриногена у крові, наявність супутньої патології (діабет, нефротичний синдром тощо) [154].</w:t>
      </w:r>
    </w:p>
    <w:p w:rsidR="007139F7" w:rsidRPr="007139F7" w:rsidRDefault="007139F7" w:rsidP="007139F7">
      <w:pPr>
        <w:spacing w:after="0" w:line="360" w:lineRule="auto"/>
        <w:ind w:firstLine="720"/>
        <w:jc w:val="both"/>
        <w:rPr>
          <w:rFonts w:eastAsia="Calibri" w:cs="Times New Roman"/>
          <w:sz w:val="28"/>
          <w:szCs w:val="28"/>
        </w:rPr>
      </w:pPr>
      <w:r w:rsidRPr="007139F7">
        <w:rPr>
          <w:rFonts w:eastAsia="Calibri" w:cs="Times New Roman"/>
          <w:sz w:val="28"/>
          <w:szCs w:val="28"/>
          <w:lang w:val="en-GB"/>
        </w:rPr>
        <w:t>PRF</w:t>
      </w:r>
      <w:r w:rsidRPr="007139F7">
        <w:rPr>
          <w:rFonts w:eastAsia="Calibri" w:cs="Times New Roman"/>
          <w:sz w:val="28"/>
          <w:szCs w:val="28"/>
        </w:rPr>
        <w:t xml:space="preserve"> містить у своєму складі аутологічну матрицю фібрину, яка багата на лейкоцити, тромбоцити та цитокіни, являє собою тетрамолекулярну структуру, яка діє як каркас, схильний до біологічного розпадання. Дана матриця не тільки стимулює розвиток мікросудинної сітки, але й направляє міграцію епітеліальних клітин на її поверхню. Згідно досліджень </w:t>
      </w:r>
      <w:r w:rsidRPr="007139F7">
        <w:rPr>
          <w:rFonts w:eastAsia="Calibri" w:cs="Times New Roman"/>
          <w:sz w:val="28"/>
          <w:szCs w:val="28"/>
          <w:lang w:val="en-US"/>
        </w:rPr>
        <w:t>in</w:t>
      </w:r>
      <w:r w:rsidRPr="007139F7">
        <w:rPr>
          <w:rFonts w:eastAsia="Calibri" w:cs="Times New Roman"/>
          <w:sz w:val="28"/>
          <w:szCs w:val="28"/>
        </w:rPr>
        <w:t xml:space="preserve"> </w:t>
      </w:r>
      <w:r w:rsidRPr="007139F7">
        <w:rPr>
          <w:rFonts w:eastAsia="Calibri" w:cs="Times New Roman"/>
          <w:sz w:val="28"/>
          <w:szCs w:val="28"/>
          <w:lang w:val="en-US"/>
        </w:rPr>
        <w:t>vitro</w:t>
      </w:r>
      <w:r w:rsidRPr="007139F7">
        <w:rPr>
          <w:rFonts w:eastAsia="Calibri" w:cs="Times New Roman"/>
          <w:sz w:val="28"/>
          <w:szCs w:val="28"/>
        </w:rPr>
        <w:t xml:space="preserve"> </w:t>
      </w:r>
      <w:r w:rsidRPr="007139F7">
        <w:rPr>
          <w:rFonts w:eastAsia="Calibri" w:cs="Times New Roman"/>
          <w:sz w:val="28"/>
          <w:szCs w:val="28"/>
          <w:lang w:val="en-GB"/>
        </w:rPr>
        <w:t>Dohan</w:t>
      </w:r>
      <w:r w:rsidRPr="007139F7">
        <w:rPr>
          <w:rFonts w:eastAsia="Calibri" w:cs="Times New Roman"/>
          <w:sz w:val="28"/>
          <w:szCs w:val="28"/>
        </w:rPr>
        <w:t xml:space="preserve"> </w:t>
      </w:r>
      <w:r w:rsidRPr="007139F7">
        <w:rPr>
          <w:rFonts w:eastAsia="Calibri" w:cs="Times New Roman"/>
          <w:sz w:val="28"/>
          <w:szCs w:val="28"/>
          <w:lang w:val="en-GB"/>
        </w:rPr>
        <w:t>et</w:t>
      </w:r>
      <w:r w:rsidRPr="007139F7">
        <w:rPr>
          <w:rFonts w:eastAsia="Calibri" w:cs="Times New Roman"/>
          <w:sz w:val="28"/>
          <w:szCs w:val="28"/>
        </w:rPr>
        <w:t xml:space="preserve"> </w:t>
      </w:r>
      <w:r w:rsidRPr="007139F7">
        <w:rPr>
          <w:rFonts w:eastAsia="Calibri" w:cs="Times New Roman"/>
          <w:sz w:val="28"/>
          <w:szCs w:val="28"/>
          <w:lang w:val="en-GB"/>
        </w:rPr>
        <w:t>al</w:t>
      </w:r>
      <w:r w:rsidRPr="007139F7">
        <w:rPr>
          <w:rFonts w:eastAsia="Calibri" w:cs="Times New Roman"/>
          <w:sz w:val="28"/>
          <w:szCs w:val="28"/>
        </w:rPr>
        <w:t xml:space="preserve">. [153-154] вважають, що для </w:t>
      </w:r>
      <w:r w:rsidRPr="007139F7">
        <w:rPr>
          <w:rFonts w:eastAsia="Calibri" w:cs="Times New Roman"/>
          <w:sz w:val="28"/>
          <w:szCs w:val="28"/>
          <w:lang w:val="en-GB"/>
        </w:rPr>
        <w:t>PRF</w:t>
      </w:r>
      <w:r w:rsidRPr="007139F7">
        <w:rPr>
          <w:rFonts w:eastAsia="Calibri" w:cs="Times New Roman"/>
          <w:sz w:val="28"/>
          <w:szCs w:val="28"/>
        </w:rPr>
        <w:t xml:space="preserve"> характерні імунологічні та антибактеріальні риси, що стимулюють дегрануляцію лейкоцитів, ангіогенез та протизапальні реакції. Проте, згідно деяких досліджень </w:t>
      </w:r>
      <w:r w:rsidRPr="007139F7">
        <w:rPr>
          <w:rFonts w:eastAsia="Calibri" w:cs="Times New Roman"/>
          <w:sz w:val="28"/>
          <w:szCs w:val="28"/>
          <w:lang w:val="en-GB"/>
        </w:rPr>
        <w:t>PRF</w:t>
      </w:r>
      <w:r w:rsidRPr="007139F7">
        <w:rPr>
          <w:rFonts w:eastAsia="Calibri" w:cs="Times New Roman"/>
          <w:sz w:val="28"/>
          <w:szCs w:val="28"/>
        </w:rPr>
        <w:t xml:space="preserve"> не має антибактеріальної дії на відміну від </w:t>
      </w:r>
      <w:r w:rsidRPr="007139F7">
        <w:rPr>
          <w:rFonts w:eastAsia="Calibri" w:cs="Times New Roman"/>
          <w:sz w:val="28"/>
          <w:szCs w:val="28"/>
          <w:lang w:val="en-GB"/>
        </w:rPr>
        <w:t>PRP</w:t>
      </w:r>
      <w:r w:rsidRPr="007139F7">
        <w:rPr>
          <w:rFonts w:eastAsia="Calibri" w:cs="Times New Roman"/>
          <w:sz w:val="28"/>
          <w:szCs w:val="28"/>
        </w:rPr>
        <w:t xml:space="preserve"> (збагачена тромбоцитами плазма), використання якого призводить до інгібування певних бактерій (</w:t>
      </w:r>
      <w:r w:rsidRPr="007139F7">
        <w:rPr>
          <w:rFonts w:eastAsia="Calibri" w:cs="Times New Roman"/>
          <w:sz w:val="28"/>
          <w:szCs w:val="28"/>
          <w:lang w:val="en-GB"/>
        </w:rPr>
        <w:t>P</w:t>
      </w:r>
      <w:r w:rsidRPr="007139F7">
        <w:rPr>
          <w:rFonts w:eastAsia="Calibri" w:cs="Times New Roman"/>
          <w:sz w:val="28"/>
          <w:szCs w:val="28"/>
        </w:rPr>
        <w:t>. </w:t>
      </w:r>
      <w:r w:rsidRPr="007139F7">
        <w:rPr>
          <w:rFonts w:eastAsia="Calibri" w:cs="Times New Roman"/>
          <w:sz w:val="28"/>
          <w:szCs w:val="28"/>
          <w:lang w:val="en-GB"/>
        </w:rPr>
        <w:t>gingivalis</w:t>
      </w:r>
      <w:r w:rsidRPr="007139F7">
        <w:rPr>
          <w:rFonts w:eastAsia="Calibri" w:cs="Times New Roman"/>
          <w:sz w:val="28"/>
          <w:szCs w:val="28"/>
        </w:rPr>
        <w:t xml:space="preserve">, </w:t>
      </w:r>
      <w:r w:rsidRPr="007139F7">
        <w:rPr>
          <w:rFonts w:eastAsia="Calibri" w:cs="Times New Roman"/>
          <w:sz w:val="28"/>
          <w:szCs w:val="28"/>
          <w:lang w:val="en-GB"/>
        </w:rPr>
        <w:t>A</w:t>
      </w:r>
      <w:r w:rsidRPr="007139F7">
        <w:rPr>
          <w:rFonts w:eastAsia="Calibri" w:cs="Times New Roman"/>
          <w:sz w:val="28"/>
          <w:szCs w:val="28"/>
        </w:rPr>
        <w:t xml:space="preserve">. </w:t>
      </w:r>
      <w:r w:rsidRPr="007139F7">
        <w:rPr>
          <w:rFonts w:eastAsia="Calibri" w:cs="Times New Roman"/>
          <w:sz w:val="28"/>
          <w:szCs w:val="28"/>
          <w:lang w:val="en-GB"/>
        </w:rPr>
        <w:t>actinomycetemcomitans</w:t>
      </w:r>
      <w:r w:rsidRPr="007139F7">
        <w:rPr>
          <w:rFonts w:eastAsia="Calibri" w:cs="Times New Roman"/>
          <w:sz w:val="28"/>
          <w:szCs w:val="28"/>
        </w:rPr>
        <w:t>) [155, 156].</w:t>
      </w:r>
    </w:p>
    <w:p w:rsidR="007139F7" w:rsidRPr="007139F7" w:rsidRDefault="007139F7" w:rsidP="007139F7">
      <w:pPr>
        <w:spacing w:after="0" w:line="360" w:lineRule="auto"/>
        <w:ind w:firstLine="720"/>
        <w:jc w:val="both"/>
        <w:rPr>
          <w:rFonts w:eastAsia="Calibri" w:cs="Times New Roman"/>
          <w:sz w:val="28"/>
          <w:szCs w:val="28"/>
        </w:rPr>
      </w:pPr>
      <w:r w:rsidRPr="007139F7">
        <w:rPr>
          <w:rFonts w:eastAsia="Calibri" w:cs="Times New Roman"/>
          <w:sz w:val="28"/>
          <w:szCs w:val="28"/>
        </w:rPr>
        <w:t xml:space="preserve">Звичайний кров’яний згусток містить у своєму складі 95% еритроцитів, 5% тромбоцитів та менш ніж 1% лейкоцитів, а також численні фібринові волокна. На відміну від цього згусток </w:t>
      </w:r>
      <w:r w:rsidRPr="007139F7">
        <w:rPr>
          <w:rFonts w:eastAsia="Calibri" w:cs="Times New Roman"/>
          <w:sz w:val="28"/>
          <w:szCs w:val="28"/>
          <w:lang w:val="en-GB"/>
        </w:rPr>
        <w:t>PRF</w:t>
      </w:r>
      <w:r w:rsidRPr="007139F7">
        <w:rPr>
          <w:rFonts w:eastAsia="Calibri" w:cs="Times New Roman"/>
          <w:sz w:val="28"/>
          <w:szCs w:val="28"/>
        </w:rPr>
        <w:t xml:space="preserve"> має значно вищу концентрацію тромбоцитів (95%)</w:t>
      </w:r>
      <w:r w:rsidRPr="007139F7">
        <w:rPr>
          <w:rFonts w:eastAsia="Calibri" w:cs="Times New Roman"/>
          <w:sz w:val="28"/>
          <w:szCs w:val="28"/>
          <w:lang w:val="ru-RU"/>
        </w:rPr>
        <w:t xml:space="preserve"> </w:t>
      </w:r>
      <w:r w:rsidRPr="007139F7">
        <w:rPr>
          <w:rFonts w:eastAsia="Calibri" w:cs="Times New Roman"/>
          <w:sz w:val="28"/>
          <w:szCs w:val="28"/>
        </w:rPr>
        <w:t>[1</w:t>
      </w:r>
      <w:r w:rsidRPr="007139F7">
        <w:rPr>
          <w:rFonts w:eastAsia="Calibri" w:cs="Times New Roman"/>
          <w:sz w:val="28"/>
          <w:szCs w:val="28"/>
          <w:lang w:val="ru-RU"/>
        </w:rPr>
        <w:t>57</w:t>
      </w:r>
      <w:r w:rsidRPr="007139F7">
        <w:rPr>
          <w:rFonts w:eastAsia="Calibri" w:cs="Times New Roman"/>
          <w:sz w:val="28"/>
          <w:szCs w:val="28"/>
        </w:rPr>
        <w:t>, 1</w:t>
      </w:r>
      <w:r w:rsidRPr="007139F7">
        <w:rPr>
          <w:rFonts w:eastAsia="Calibri" w:cs="Times New Roman"/>
          <w:sz w:val="28"/>
          <w:szCs w:val="28"/>
          <w:lang w:val="ru-RU"/>
        </w:rPr>
        <w:t>58</w:t>
      </w:r>
      <w:r w:rsidRPr="007139F7">
        <w:rPr>
          <w:rFonts w:eastAsia="Calibri" w:cs="Times New Roman"/>
          <w:sz w:val="28"/>
          <w:szCs w:val="28"/>
        </w:rPr>
        <w:t xml:space="preserve">]. Також однією із позитивних якостей </w:t>
      </w:r>
      <w:r w:rsidRPr="007139F7">
        <w:rPr>
          <w:rFonts w:eastAsia="Calibri" w:cs="Times New Roman"/>
          <w:sz w:val="28"/>
          <w:szCs w:val="28"/>
          <w:lang w:val="en-GB"/>
        </w:rPr>
        <w:t>PRF</w:t>
      </w:r>
      <w:r w:rsidRPr="007139F7">
        <w:rPr>
          <w:rFonts w:eastAsia="Calibri" w:cs="Times New Roman"/>
          <w:sz w:val="28"/>
          <w:szCs w:val="28"/>
        </w:rPr>
        <w:t xml:space="preserve"> на відміну від природного згустку крові є те, що він є більш однорідним, стабільним, легким в обробці та переміщенні на необхідне місце [159]. </w:t>
      </w:r>
    </w:p>
    <w:p w:rsidR="007139F7" w:rsidRPr="007139F7" w:rsidRDefault="007139F7" w:rsidP="007139F7">
      <w:pPr>
        <w:spacing w:after="0" w:line="360" w:lineRule="auto"/>
        <w:ind w:firstLine="720"/>
        <w:jc w:val="both"/>
        <w:rPr>
          <w:rFonts w:eastAsia="Calibri" w:cs="Times New Roman"/>
          <w:sz w:val="28"/>
          <w:szCs w:val="28"/>
          <w:lang w:val="ru-RU"/>
        </w:rPr>
      </w:pPr>
      <w:r w:rsidRPr="007139F7">
        <w:rPr>
          <w:rFonts w:eastAsia="Calibri" w:cs="Times New Roman"/>
          <w:sz w:val="28"/>
          <w:szCs w:val="28"/>
        </w:rPr>
        <w:lastRenderedPageBreak/>
        <w:t xml:space="preserve">Відомим є той факт, що у </w:t>
      </w:r>
      <w:r w:rsidRPr="007139F7">
        <w:rPr>
          <w:rFonts w:eastAsia="Calibri" w:cs="Times New Roman"/>
          <w:sz w:val="28"/>
          <w:szCs w:val="28"/>
          <w:lang w:val="en-GB"/>
        </w:rPr>
        <w:t>α</w:t>
      </w:r>
      <w:r w:rsidRPr="007139F7">
        <w:rPr>
          <w:rFonts w:eastAsia="Calibri" w:cs="Times New Roman"/>
          <w:sz w:val="28"/>
          <w:szCs w:val="28"/>
        </w:rPr>
        <w:t>-гранулах тромбоцитів міститься тромбоцитарний (</w:t>
      </w:r>
      <w:r w:rsidRPr="007139F7">
        <w:rPr>
          <w:rFonts w:eastAsia="Calibri" w:cs="Times New Roman"/>
          <w:sz w:val="28"/>
          <w:szCs w:val="28"/>
          <w:lang w:val="en-US"/>
        </w:rPr>
        <w:t>PDGF</w:t>
      </w:r>
      <w:r w:rsidRPr="007139F7">
        <w:rPr>
          <w:rFonts w:eastAsia="Calibri" w:cs="Times New Roman"/>
          <w:sz w:val="28"/>
          <w:szCs w:val="28"/>
        </w:rPr>
        <w:t>), ендотеліальний (</w:t>
      </w:r>
      <w:r w:rsidRPr="007139F7">
        <w:rPr>
          <w:rFonts w:eastAsia="Calibri" w:cs="Times New Roman"/>
          <w:sz w:val="28"/>
          <w:szCs w:val="28"/>
          <w:lang w:val="en-US"/>
        </w:rPr>
        <w:t>VEGF</w:t>
      </w:r>
      <w:r w:rsidRPr="007139F7">
        <w:rPr>
          <w:rFonts w:eastAsia="Calibri" w:cs="Times New Roman"/>
          <w:sz w:val="28"/>
          <w:szCs w:val="28"/>
        </w:rPr>
        <w:t>), трансформуючий (</w:t>
      </w:r>
      <w:r w:rsidRPr="007139F7">
        <w:rPr>
          <w:rFonts w:eastAsia="Calibri" w:cs="Times New Roman"/>
          <w:sz w:val="28"/>
          <w:szCs w:val="28"/>
          <w:lang w:val="en-US"/>
        </w:rPr>
        <w:t>TGF</w:t>
      </w:r>
      <w:r w:rsidRPr="007139F7">
        <w:rPr>
          <w:rFonts w:eastAsia="Calibri" w:cs="Times New Roman"/>
          <w:sz w:val="28"/>
          <w:szCs w:val="28"/>
        </w:rPr>
        <w:t>-</w:t>
      </w:r>
      <w:r w:rsidRPr="007139F7">
        <w:rPr>
          <w:rFonts w:eastAsia="Calibri" w:cs="Times New Roman"/>
          <w:sz w:val="28"/>
          <w:szCs w:val="28"/>
          <w:lang w:val="en-US"/>
        </w:rPr>
        <w:t>β</w:t>
      </w:r>
      <w:r w:rsidRPr="007139F7">
        <w:rPr>
          <w:rFonts w:eastAsia="Calibri" w:cs="Times New Roman"/>
          <w:sz w:val="28"/>
          <w:szCs w:val="28"/>
        </w:rPr>
        <w:t>), інсуліноподібний (</w:t>
      </w:r>
      <w:r w:rsidRPr="007139F7">
        <w:rPr>
          <w:rFonts w:eastAsia="Calibri" w:cs="Times New Roman"/>
          <w:sz w:val="28"/>
          <w:szCs w:val="28"/>
          <w:lang w:val="en-US"/>
        </w:rPr>
        <w:t>IGF</w:t>
      </w:r>
      <w:r w:rsidRPr="007139F7">
        <w:rPr>
          <w:rFonts w:eastAsia="Calibri" w:cs="Times New Roman"/>
          <w:sz w:val="28"/>
          <w:szCs w:val="28"/>
        </w:rPr>
        <w:t>-1) фактори росту тощо. Окрім зазначених факторів росту тромбоцити ще включають в себе такі молекули, як фібриноген, фібронектин, вітронектин, які мають властивість модулювати процеси репаративної регенерації, неоангіогенезу та вивільнення кісткового морфогенетичного білку (</w:t>
      </w:r>
      <w:r w:rsidRPr="007139F7">
        <w:rPr>
          <w:rFonts w:eastAsia="Calibri" w:cs="Times New Roman"/>
          <w:sz w:val="28"/>
          <w:szCs w:val="28"/>
          <w:lang w:val="en-US"/>
        </w:rPr>
        <w:t>BMP</w:t>
      </w:r>
      <w:r w:rsidRPr="007139F7">
        <w:rPr>
          <w:rFonts w:eastAsia="Calibri" w:cs="Times New Roman"/>
          <w:sz w:val="28"/>
          <w:szCs w:val="28"/>
        </w:rPr>
        <w:t xml:space="preserve">-2) [156, 157, 160-165]. Серед вищезазначених основними ангіогенними факторами є фактори росту фібробластів, </w:t>
      </w:r>
      <w:r w:rsidRPr="007139F7">
        <w:rPr>
          <w:rFonts w:eastAsia="Calibri" w:cs="Times New Roman"/>
          <w:sz w:val="28"/>
          <w:szCs w:val="28"/>
          <w:lang w:val="en-US"/>
        </w:rPr>
        <w:t>PDGF</w:t>
      </w:r>
      <w:r w:rsidRPr="007139F7">
        <w:rPr>
          <w:rFonts w:eastAsia="Calibri" w:cs="Times New Roman"/>
          <w:sz w:val="28"/>
          <w:szCs w:val="28"/>
        </w:rPr>
        <w:t xml:space="preserve"> та </w:t>
      </w:r>
      <w:r w:rsidRPr="007139F7">
        <w:rPr>
          <w:rFonts w:eastAsia="Calibri" w:cs="Times New Roman"/>
          <w:sz w:val="28"/>
          <w:szCs w:val="28"/>
          <w:lang w:val="en-US"/>
        </w:rPr>
        <w:t>VEGF</w:t>
      </w:r>
      <w:r w:rsidRPr="007139F7">
        <w:rPr>
          <w:rFonts w:eastAsia="Calibri" w:cs="Times New Roman"/>
          <w:sz w:val="28"/>
          <w:szCs w:val="28"/>
        </w:rPr>
        <w:t xml:space="preserve"> </w:t>
      </w:r>
      <w:r w:rsidRPr="007139F7">
        <w:rPr>
          <w:rFonts w:eastAsia="Calibri" w:cs="Times New Roman"/>
          <w:sz w:val="28"/>
          <w:szCs w:val="28"/>
          <w:lang w:val="ru-RU"/>
        </w:rPr>
        <w:t>[166].</w:t>
      </w:r>
    </w:p>
    <w:p w:rsidR="007139F7" w:rsidRPr="007139F7" w:rsidRDefault="007139F7" w:rsidP="007139F7">
      <w:pPr>
        <w:spacing w:after="0" w:line="360" w:lineRule="auto"/>
        <w:ind w:firstLine="720"/>
        <w:jc w:val="both"/>
        <w:rPr>
          <w:rFonts w:eastAsia="Calibri" w:cs="Times New Roman"/>
          <w:sz w:val="28"/>
          <w:szCs w:val="28"/>
        </w:rPr>
      </w:pPr>
      <w:r w:rsidRPr="007139F7">
        <w:rPr>
          <w:rFonts w:eastAsia="Calibri" w:cs="Times New Roman"/>
          <w:sz w:val="28"/>
          <w:szCs w:val="28"/>
          <w:lang w:val="en-US"/>
        </w:rPr>
        <w:t>PDGF</w:t>
      </w:r>
      <w:r w:rsidRPr="007139F7">
        <w:rPr>
          <w:rFonts w:eastAsia="Calibri" w:cs="Times New Roman"/>
          <w:sz w:val="28"/>
          <w:szCs w:val="28"/>
        </w:rPr>
        <w:t xml:space="preserve"> (фактор росту тромбоцитів) є потужним активатором клітин мезенхімального походження, стимулює хемотаксис, проліферацію та нову експресію генів в моноцитах, макрофагах та фібробластах </w:t>
      </w:r>
      <w:r w:rsidRPr="007139F7">
        <w:rPr>
          <w:rFonts w:eastAsia="Calibri" w:cs="Times New Roman"/>
          <w:sz w:val="28"/>
          <w:szCs w:val="28"/>
          <w:lang w:val="en-GB"/>
        </w:rPr>
        <w:t>in</w:t>
      </w:r>
      <w:r w:rsidRPr="007139F7">
        <w:rPr>
          <w:rFonts w:eastAsia="Calibri" w:cs="Times New Roman"/>
          <w:sz w:val="28"/>
          <w:szCs w:val="28"/>
        </w:rPr>
        <w:t xml:space="preserve"> </w:t>
      </w:r>
      <w:r w:rsidRPr="007139F7">
        <w:rPr>
          <w:rFonts w:eastAsia="Calibri" w:cs="Times New Roman"/>
          <w:sz w:val="28"/>
          <w:szCs w:val="28"/>
          <w:lang w:val="en-GB"/>
        </w:rPr>
        <w:t>vitro</w:t>
      </w:r>
      <w:r w:rsidRPr="007139F7">
        <w:rPr>
          <w:rFonts w:eastAsia="Calibri" w:cs="Times New Roman"/>
          <w:sz w:val="28"/>
          <w:szCs w:val="28"/>
        </w:rPr>
        <w:t xml:space="preserve"> (тобто клітин необхідних для відновлення тканин). Експериментально доведеним є той факт, що </w:t>
      </w:r>
      <w:r w:rsidRPr="007139F7">
        <w:rPr>
          <w:rFonts w:eastAsia="Calibri" w:cs="Times New Roman"/>
          <w:sz w:val="28"/>
          <w:szCs w:val="28"/>
          <w:lang w:val="en-US"/>
        </w:rPr>
        <w:t>PDGF</w:t>
      </w:r>
      <w:r w:rsidRPr="007139F7">
        <w:rPr>
          <w:rFonts w:eastAsia="Calibri" w:cs="Times New Roman"/>
          <w:sz w:val="28"/>
          <w:szCs w:val="28"/>
        </w:rPr>
        <w:t xml:space="preserve"> збільшує міцність рани на розтягування на 50-70% протягом перших 3 тижнів. Також </w:t>
      </w:r>
      <w:r w:rsidRPr="007139F7">
        <w:rPr>
          <w:rFonts w:eastAsia="Calibri" w:cs="Times New Roman"/>
          <w:sz w:val="28"/>
          <w:szCs w:val="28"/>
          <w:lang w:val="en-US"/>
        </w:rPr>
        <w:t>PDGF</w:t>
      </w:r>
      <w:r w:rsidRPr="007139F7">
        <w:rPr>
          <w:rFonts w:eastAsia="Calibri" w:cs="Times New Roman"/>
          <w:sz w:val="28"/>
          <w:szCs w:val="28"/>
        </w:rPr>
        <w:t xml:space="preserve"> прискорює закриття рани вторинним натягом в середньому на 30%, стимулюючи відновлення м’яких тканин. Існує припущення, що тромбоцитарний фактор росту через раньові макрофаги ініціює індукцію позитивних аутокринних контурів зворотнього зв’язку та синтез факторів росту, забезпечуючи і прискорюючи тим самим каскад репаративних процесів [167]. </w:t>
      </w:r>
    </w:p>
    <w:p w:rsidR="007139F7" w:rsidRPr="007139F7" w:rsidRDefault="007139F7" w:rsidP="007139F7">
      <w:pPr>
        <w:spacing w:after="0" w:line="360" w:lineRule="auto"/>
        <w:ind w:firstLine="720"/>
        <w:jc w:val="both"/>
        <w:rPr>
          <w:rFonts w:eastAsia="Calibri" w:cs="Times New Roman"/>
          <w:sz w:val="28"/>
          <w:szCs w:val="28"/>
        </w:rPr>
      </w:pPr>
      <w:r w:rsidRPr="007139F7">
        <w:rPr>
          <w:rFonts w:eastAsia="Calibri" w:cs="Times New Roman"/>
          <w:sz w:val="28"/>
          <w:szCs w:val="28"/>
        </w:rPr>
        <w:t xml:space="preserve">Власне мембрана фібринового згустку сприяє механічному захисту операційного поля та має біологічну взаємодію із різноманітними механізмами загоєння ран [168, 169]. </w:t>
      </w:r>
      <w:r w:rsidRPr="007139F7">
        <w:rPr>
          <w:rFonts w:eastAsia="Calibri" w:cs="Times New Roman"/>
          <w:sz w:val="28"/>
          <w:szCs w:val="28"/>
          <w:lang w:val="en-GB"/>
        </w:rPr>
        <w:t>αv</w:t>
      </w:r>
      <w:r w:rsidRPr="007139F7">
        <w:rPr>
          <w:rFonts w:eastAsia="Calibri" w:cs="Times New Roman"/>
          <w:sz w:val="28"/>
          <w:szCs w:val="28"/>
        </w:rPr>
        <w:t>-</w:t>
      </w:r>
      <w:r w:rsidRPr="007139F7">
        <w:rPr>
          <w:rFonts w:eastAsia="Calibri" w:cs="Times New Roman"/>
          <w:sz w:val="28"/>
          <w:szCs w:val="28"/>
          <w:lang w:val="en-GB"/>
        </w:rPr>
        <w:t>β</w:t>
      </w:r>
      <w:r w:rsidRPr="007139F7">
        <w:rPr>
          <w:rFonts w:eastAsia="Calibri" w:cs="Times New Roman"/>
          <w:sz w:val="28"/>
          <w:szCs w:val="28"/>
        </w:rPr>
        <w:t xml:space="preserve">3-інетрлейкін, експресія якого ендотеліальними клітинами індукується фібрином, разом із фібронектином та вітронектином стимулює процеси утворення капілярних судин, а також сприяє ремоделюванню рубцевої тканини [163, 170, 171]. Рівносторонні зв’язки між фібрилами фібрину, які сприяють міграції клітин та утриманню розчинних молекул, формують еластичну матричну архітектуру, яка утворюється внаслідок повільної полімеризації із фізіологічними концентраціями тромбіну [149]. </w:t>
      </w:r>
    </w:p>
    <w:p w:rsidR="007139F7" w:rsidRPr="007139F7" w:rsidRDefault="007139F7" w:rsidP="007139F7">
      <w:pPr>
        <w:spacing w:after="0" w:line="360" w:lineRule="auto"/>
        <w:ind w:firstLine="720"/>
        <w:jc w:val="both"/>
        <w:rPr>
          <w:rFonts w:eastAsia="Calibri" w:cs="Times New Roman"/>
          <w:sz w:val="28"/>
          <w:szCs w:val="28"/>
        </w:rPr>
      </w:pPr>
      <w:r w:rsidRPr="007139F7">
        <w:rPr>
          <w:rFonts w:eastAsia="Calibri" w:cs="Times New Roman"/>
          <w:sz w:val="28"/>
          <w:szCs w:val="28"/>
        </w:rPr>
        <w:lastRenderedPageBreak/>
        <w:t xml:space="preserve">Фібриновий матрикс також впливає на метаболізм епітеліальних клітин та фібробластів. Продукти деградації фібрину підвищують експресію мембрани рецепторів </w:t>
      </w:r>
      <w:r w:rsidRPr="007139F7">
        <w:rPr>
          <w:rFonts w:eastAsia="Calibri" w:cs="Times New Roman"/>
          <w:sz w:val="28"/>
          <w:szCs w:val="28"/>
          <w:lang w:val="en-GB"/>
        </w:rPr>
        <w:t>CD</w:t>
      </w:r>
      <w:r w:rsidRPr="007139F7">
        <w:rPr>
          <w:rFonts w:eastAsia="Calibri" w:cs="Times New Roman"/>
          <w:sz w:val="28"/>
          <w:szCs w:val="28"/>
        </w:rPr>
        <w:t>11</w:t>
      </w:r>
      <w:r w:rsidRPr="007139F7">
        <w:rPr>
          <w:rFonts w:eastAsia="Calibri" w:cs="Times New Roman"/>
          <w:sz w:val="28"/>
          <w:szCs w:val="28"/>
          <w:lang w:val="en-GB"/>
        </w:rPr>
        <w:t>c</w:t>
      </w:r>
      <w:r w:rsidRPr="007139F7">
        <w:rPr>
          <w:rFonts w:eastAsia="Calibri" w:cs="Times New Roman"/>
          <w:sz w:val="28"/>
          <w:szCs w:val="28"/>
        </w:rPr>
        <w:t>/</w:t>
      </w:r>
      <w:r w:rsidRPr="007139F7">
        <w:rPr>
          <w:rFonts w:eastAsia="Calibri" w:cs="Times New Roman"/>
          <w:sz w:val="28"/>
          <w:szCs w:val="28"/>
          <w:lang w:val="en-GB"/>
        </w:rPr>
        <w:t>CD</w:t>
      </w:r>
      <w:r w:rsidRPr="007139F7">
        <w:rPr>
          <w:rFonts w:eastAsia="Calibri" w:cs="Times New Roman"/>
          <w:sz w:val="28"/>
          <w:szCs w:val="28"/>
        </w:rPr>
        <w:t xml:space="preserve">18, що провокує адгезію нейтрофілів до ендотелію та фібриногену. Все це сприяє втраті епітеліоцитами на краях рани базальної та апікальної полярностей </w:t>
      </w:r>
      <w:r w:rsidRPr="007139F7">
        <w:rPr>
          <w:rFonts w:eastAsia="Calibri" w:cs="Times New Roman"/>
          <w:sz w:val="28"/>
          <w:szCs w:val="28"/>
          <w:lang w:val="ru-RU"/>
        </w:rPr>
        <w:t>та</w:t>
      </w:r>
      <w:r w:rsidRPr="007139F7">
        <w:rPr>
          <w:rFonts w:eastAsia="Calibri" w:cs="Times New Roman"/>
          <w:sz w:val="28"/>
          <w:szCs w:val="28"/>
        </w:rPr>
        <w:t xml:space="preserve"> стимулює їх розтягнення у бік раневої поверхні. Окрім цього </w:t>
      </w:r>
      <w:r w:rsidRPr="007139F7">
        <w:rPr>
          <w:rFonts w:eastAsia="Calibri" w:cs="Times New Roman"/>
          <w:sz w:val="28"/>
          <w:szCs w:val="28"/>
          <w:lang w:val="en-GB"/>
        </w:rPr>
        <w:t>PRF</w:t>
      </w:r>
      <w:r w:rsidRPr="007139F7">
        <w:rPr>
          <w:rFonts w:eastAsia="Calibri" w:cs="Times New Roman"/>
          <w:sz w:val="28"/>
          <w:szCs w:val="28"/>
        </w:rPr>
        <w:t xml:space="preserve"> є «сіткою» для стовбурних клітин та дозволяє ремоделювати фібрин у сполучну тканину, забезпечуючи таким чином цілу низку позитивних механізмів загоєння рани, таких як стимуляція ангіогенезу, формування епітеліального покриву, що створює можливість широкого використання </w:t>
      </w:r>
      <w:r w:rsidRPr="007139F7">
        <w:rPr>
          <w:rFonts w:eastAsia="Calibri" w:cs="Times New Roman"/>
          <w:sz w:val="28"/>
          <w:szCs w:val="28"/>
          <w:lang w:val="en-GB"/>
        </w:rPr>
        <w:t>PRF</w:t>
      </w:r>
      <w:r w:rsidRPr="007139F7">
        <w:rPr>
          <w:rFonts w:eastAsia="Calibri" w:cs="Times New Roman"/>
          <w:sz w:val="28"/>
          <w:szCs w:val="28"/>
        </w:rPr>
        <w:t>-мембран при загоєнні м’яких тканин [171-173]. Прискорення ангіогенезу та ремоделювання фібрину у сполучній тканині сприяє оптимізації процесів загоєння усіх типів пошкоджень.</w:t>
      </w:r>
    </w:p>
    <w:p w:rsidR="007139F7" w:rsidRPr="007139F7" w:rsidRDefault="007139F7" w:rsidP="007139F7">
      <w:pPr>
        <w:spacing w:after="0" w:line="360" w:lineRule="auto"/>
        <w:ind w:firstLine="720"/>
        <w:jc w:val="both"/>
        <w:rPr>
          <w:rFonts w:eastAsia="Calibri" w:cs="Times New Roman"/>
          <w:sz w:val="28"/>
          <w:szCs w:val="28"/>
        </w:rPr>
      </w:pPr>
      <w:r w:rsidRPr="007139F7">
        <w:rPr>
          <w:rFonts w:eastAsia="Calibri" w:cs="Times New Roman"/>
          <w:sz w:val="28"/>
          <w:szCs w:val="28"/>
        </w:rPr>
        <w:t xml:space="preserve">Дослідження </w:t>
      </w:r>
      <w:r w:rsidRPr="007139F7">
        <w:rPr>
          <w:rFonts w:eastAsia="Calibri" w:cs="Times New Roman"/>
          <w:sz w:val="28"/>
          <w:szCs w:val="28"/>
          <w:lang w:val="en-GB"/>
        </w:rPr>
        <w:t>Rowe</w:t>
      </w:r>
      <w:r w:rsidRPr="007139F7">
        <w:rPr>
          <w:rFonts w:eastAsia="Calibri" w:cs="Times New Roman"/>
          <w:sz w:val="28"/>
          <w:szCs w:val="28"/>
        </w:rPr>
        <w:t xml:space="preserve"> </w:t>
      </w:r>
      <w:r w:rsidRPr="007139F7">
        <w:rPr>
          <w:rFonts w:eastAsia="Calibri" w:cs="Times New Roman"/>
          <w:sz w:val="28"/>
          <w:szCs w:val="28"/>
          <w:lang w:val="en-GB"/>
        </w:rPr>
        <w:t>et</w:t>
      </w:r>
      <w:r w:rsidRPr="007139F7">
        <w:rPr>
          <w:rFonts w:eastAsia="Calibri" w:cs="Times New Roman"/>
          <w:sz w:val="28"/>
          <w:szCs w:val="28"/>
        </w:rPr>
        <w:t xml:space="preserve"> </w:t>
      </w:r>
      <w:r w:rsidRPr="007139F7">
        <w:rPr>
          <w:rFonts w:eastAsia="Calibri" w:cs="Times New Roman"/>
          <w:sz w:val="28"/>
          <w:szCs w:val="28"/>
          <w:lang w:val="en-GB"/>
        </w:rPr>
        <w:t>al</w:t>
      </w:r>
      <w:r w:rsidRPr="007139F7">
        <w:rPr>
          <w:rFonts w:eastAsia="Calibri" w:cs="Times New Roman"/>
          <w:sz w:val="28"/>
          <w:szCs w:val="28"/>
        </w:rPr>
        <w:t xml:space="preserve">. (2007) вказують на те, що висока концентрація тромбіна призводить до формування високозв'язуваної волокнистої сітки із тонкою фібрилярною структурою. При зниженні концентрації тромбіну збільшувався розмір волокон, а також підвищувалися механічні властивості. </w:t>
      </w:r>
      <w:r w:rsidRPr="007139F7">
        <w:rPr>
          <w:rFonts w:eastAsia="Calibri" w:cs="Times New Roman"/>
          <w:sz w:val="28"/>
          <w:szCs w:val="28"/>
          <w:lang w:val="en-GB"/>
        </w:rPr>
        <w:t>Yang</w:t>
      </w:r>
      <w:r w:rsidRPr="007139F7">
        <w:rPr>
          <w:rFonts w:eastAsia="Calibri" w:cs="Times New Roman"/>
          <w:sz w:val="28"/>
          <w:szCs w:val="28"/>
        </w:rPr>
        <w:t xml:space="preserve"> </w:t>
      </w:r>
      <w:r w:rsidR="0030498B" w:rsidRPr="0030498B">
        <w:rPr>
          <w:rFonts w:eastAsia="Calibri" w:cs="Times New Roman"/>
          <w:sz w:val="28"/>
          <w:szCs w:val="28"/>
        </w:rPr>
        <w:t>з</w:t>
      </w:r>
      <w:r w:rsidR="0030498B">
        <w:rPr>
          <w:rFonts w:eastAsia="Calibri" w:cs="Times New Roman"/>
          <w:sz w:val="28"/>
          <w:szCs w:val="28"/>
        </w:rPr>
        <w:t>і співавторами</w:t>
      </w:r>
      <w:r w:rsidRPr="007139F7">
        <w:rPr>
          <w:rFonts w:eastAsia="Calibri" w:cs="Times New Roman"/>
          <w:sz w:val="28"/>
          <w:szCs w:val="28"/>
        </w:rPr>
        <w:t xml:space="preserve"> описують окрім біологічних та механічних якостей </w:t>
      </w:r>
      <w:r w:rsidRPr="007139F7">
        <w:rPr>
          <w:rFonts w:eastAsia="Calibri" w:cs="Times New Roman"/>
          <w:sz w:val="28"/>
          <w:szCs w:val="28"/>
          <w:lang w:val="en-GB"/>
        </w:rPr>
        <w:t>PRF</w:t>
      </w:r>
      <w:r w:rsidRPr="007139F7">
        <w:rPr>
          <w:rFonts w:eastAsia="Calibri" w:cs="Times New Roman"/>
          <w:sz w:val="28"/>
          <w:szCs w:val="28"/>
        </w:rPr>
        <w:t>, ще й його протимікробні властивості [174-176].</w:t>
      </w:r>
    </w:p>
    <w:p w:rsidR="007139F7" w:rsidRPr="007139F7" w:rsidRDefault="007139F7" w:rsidP="007139F7">
      <w:pPr>
        <w:spacing w:after="0" w:line="360" w:lineRule="auto"/>
        <w:ind w:firstLine="720"/>
        <w:jc w:val="both"/>
        <w:rPr>
          <w:rFonts w:eastAsia="Calibri" w:cs="Times New Roman"/>
          <w:sz w:val="28"/>
          <w:szCs w:val="28"/>
        </w:rPr>
      </w:pPr>
      <w:r w:rsidRPr="007139F7">
        <w:rPr>
          <w:rFonts w:eastAsia="Calibri" w:cs="Times New Roman"/>
          <w:sz w:val="28"/>
          <w:szCs w:val="28"/>
        </w:rPr>
        <w:t xml:space="preserve">На відміну від </w:t>
      </w:r>
      <w:r w:rsidRPr="007139F7">
        <w:rPr>
          <w:rFonts w:eastAsia="Calibri" w:cs="Times New Roman"/>
          <w:sz w:val="28"/>
          <w:szCs w:val="28"/>
          <w:lang w:val="en-GB"/>
        </w:rPr>
        <w:t>PRP</w:t>
      </w:r>
      <w:r w:rsidRPr="007139F7">
        <w:rPr>
          <w:rFonts w:eastAsia="Calibri" w:cs="Times New Roman"/>
          <w:sz w:val="28"/>
          <w:szCs w:val="28"/>
        </w:rPr>
        <w:t xml:space="preserve"> при </w:t>
      </w:r>
      <w:r w:rsidRPr="007139F7">
        <w:rPr>
          <w:rFonts w:eastAsia="Calibri" w:cs="Times New Roman"/>
          <w:sz w:val="28"/>
          <w:szCs w:val="28"/>
          <w:lang w:val="en-GB"/>
        </w:rPr>
        <w:t>PRF</w:t>
      </w:r>
      <w:r w:rsidRPr="007139F7">
        <w:rPr>
          <w:rFonts w:eastAsia="Calibri" w:cs="Times New Roman"/>
          <w:sz w:val="28"/>
          <w:szCs w:val="28"/>
        </w:rPr>
        <w:t xml:space="preserve"> фактори росту та цитокіни виділяються протягом 7-11 діб, внаслідок розпаду фібринової сітки [168-169]. Це обумовлює подовження дії цитокінів на раневі процеси та може бути використане для попереднього ремоделювання рубцевої матриці. Використання </w:t>
      </w:r>
      <w:r w:rsidRPr="007139F7">
        <w:rPr>
          <w:rFonts w:eastAsia="Calibri" w:cs="Times New Roman"/>
          <w:sz w:val="28"/>
          <w:szCs w:val="28"/>
          <w:lang w:val="en-GB"/>
        </w:rPr>
        <w:t>PRF</w:t>
      </w:r>
      <w:r w:rsidRPr="007139F7">
        <w:rPr>
          <w:rFonts w:eastAsia="Calibri" w:cs="Times New Roman"/>
          <w:sz w:val="28"/>
          <w:szCs w:val="28"/>
        </w:rPr>
        <w:t xml:space="preserve"> створює сприятливі умови для міграції клітин та утримання розчинних молекул, внаслідок формування еластичної матричної архітектури згустку, формування рівносторонніх з’єднань між фібрилами фібрину, яке формується завдяки повільній полімеризації із фізіологічними концентраціями тромбіну [149].</w:t>
      </w:r>
    </w:p>
    <w:p w:rsidR="007139F7" w:rsidRPr="007139F7" w:rsidRDefault="007139F7" w:rsidP="007139F7">
      <w:pPr>
        <w:spacing w:after="0" w:line="360" w:lineRule="auto"/>
        <w:ind w:firstLine="720"/>
        <w:jc w:val="both"/>
        <w:rPr>
          <w:rFonts w:eastAsia="Calibri" w:cs="Times New Roman"/>
          <w:sz w:val="28"/>
          <w:szCs w:val="28"/>
        </w:rPr>
      </w:pPr>
      <w:r w:rsidRPr="007139F7">
        <w:rPr>
          <w:rFonts w:eastAsia="Calibri" w:cs="Times New Roman"/>
          <w:sz w:val="28"/>
          <w:szCs w:val="28"/>
        </w:rPr>
        <w:t xml:space="preserve">При дослідженні впливу </w:t>
      </w:r>
      <w:r w:rsidRPr="007139F7">
        <w:rPr>
          <w:rFonts w:eastAsia="Calibri" w:cs="Times New Roman"/>
          <w:sz w:val="28"/>
          <w:szCs w:val="28"/>
          <w:lang w:val="en-GB"/>
        </w:rPr>
        <w:t>PRP</w:t>
      </w:r>
      <w:r w:rsidRPr="007139F7">
        <w:rPr>
          <w:rFonts w:eastAsia="Calibri" w:cs="Times New Roman"/>
          <w:sz w:val="28"/>
          <w:szCs w:val="28"/>
        </w:rPr>
        <w:t xml:space="preserve"> та </w:t>
      </w:r>
      <w:r w:rsidRPr="007139F7">
        <w:rPr>
          <w:rFonts w:eastAsia="Calibri" w:cs="Times New Roman"/>
          <w:sz w:val="28"/>
          <w:szCs w:val="28"/>
          <w:lang w:val="en-GB"/>
        </w:rPr>
        <w:t>PRF</w:t>
      </w:r>
      <w:r w:rsidRPr="007139F7">
        <w:rPr>
          <w:rFonts w:eastAsia="Calibri" w:cs="Times New Roman"/>
          <w:sz w:val="28"/>
          <w:szCs w:val="28"/>
        </w:rPr>
        <w:t xml:space="preserve"> на проліферацію та диференціацію остеобластів щурів було встановлено, що рівень вивільнених Вміст </w:t>
      </w:r>
      <w:r w:rsidRPr="007139F7">
        <w:rPr>
          <w:rFonts w:eastAsia="Calibri" w:cs="Times New Roman"/>
          <w:sz w:val="28"/>
          <w:szCs w:val="28"/>
          <w:lang w:val="en-GB"/>
        </w:rPr>
        <w:t>TGF</w:t>
      </w:r>
      <w:r w:rsidRPr="007139F7">
        <w:rPr>
          <w:rFonts w:eastAsia="Calibri" w:cs="Times New Roman"/>
          <w:sz w:val="28"/>
          <w:szCs w:val="28"/>
        </w:rPr>
        <w:t>-</w:t>
      </w:r>
      <w:r w:rsidRPr="007139F7">
        <w:rPr>
          <w:rFonts w:eastAsia="Calibri" w:cs="Times New Roman"/>
          <w:sz w:val="28"/>
          <w:szCs w:val="28"/>
          <w:lang w:val="en-GB"/>
        </w:rPr>
        <w:t>β</w:t>
      </w:r>
      <w:r w:rsidRPr="007139F7">
        <w:rPr>
          <w:rFonts w:eastAsia="Calibri" w:cs="Times New Roman"/>
          <w:sz w:val="28"/>
          <w:szCs w:val="28"/>
        </w:rPr>
        <w:t xml:space="preserve">1 та </w:t>
      </w:r>
      <w:r w:rsidRPr="007139F7">
        <w:rPr>
          <w:rFonts w:eastAsia="Calibri" w:cs="Times New Roman"/>
          <w:sz w:val="28"/>
          <w:szCs w:val="28"/>
          <w:lang w:val="en-GB"/>
        </w:rPr>
        <w:t>PDGF</w:t>
      </w:r>
      <w:r w:rsidRPr="007139F7">
        <w:rPr>
          <w:rFonts w:eastAsia="Calibri" w:cs="Times New Roman"/>
          <w:sz w:val="28"/>
          <w:szCs w:val="28"/>
        </w:rPr>
        <w:t>-</w:t>
      </w:r>
      <w:r w:rsidRPr="007139F7">
        <w:rPr>
          <w:rFonts w:eastAsia="Calibri" w:cs="Times New Roman"/>
          <w:sz w:val="28"/>
          <w:szCs w:val="28"/>
          <w:lang w:val="en-GB"/>
        </w:rPr>
        <w:t>αβ</w:t>
      </w:r>
      <w:r w:rsidRPr="007139F7">
        <w:rPr>
          <w:rFonts w:eastAsia="Calibri" w:cs="Times New Roman"/>
          <w:sz w:val="28"/>
          <w:szCs w:val="28"/>
        </w:rPr>
        <w:t xml:space="preserve"> значно підвищувався, сягаючи максимальних значень на 14 добу, а </w:t>
      </w:r>
      <w:r w:rsidRPr="007139F7">
        <w:rPr>
          <w:rFonts w:eastAsia="Calibri" w:cs="Times New Roman"/>
          <w:sz w:val="28"/>
          <w:szCs w:val="28"/>
        </w:rPr>
        <w:lastRenderedPageBreak/>
        <w:t xml:space="preserve">потім помірно знижувався при використанні </w:t>
      </w:r>
      <w:r w:rsidRPr="007139F7">
        <w:rPr>
          <w:rFonts w:eastAsia="Calibri" w:cs="Times New Roman"/>
          <w:sz w:val="28"/>
          <w:szCs w:val="28"/>
          <w:lang w:val="en-GB"/>
        </w:rPr>
        <w:t>PRF</w:t>
      </w:r>
      <w:r w:rsidRPr="007139F7">
        <w:rPr>
          <w:rFonts w:eastAsia="Calibri" w:cs="Times New Roman"/>
          <w:sz w:val="28"/>
          <w:szCs w:val="28"/>
        </w:rPr>
        <w:t xml:space="preserve">, на відміну від </w:t>
      </w:r>
      <w:r w:rsidRPr="007139F7">
        <w:rPr>
          <w:rFonts w:eastAsia="Calibri" w:cs="Times New Roman"/>
          <w:sz w:val="28"/>
          <w:szCs w:val="28"/>
          <w:lang w:val="en-GB"/>
        </w:rPr>
        <w:t>PRP</w:t>
      </w:r>
      <w:r w:rsidRPr="007139F7">
        <w:rPr>
          <w:rFonts w:eastAsia="Calibri" w:cs="Times New Roman"/>
          <w:sz w:val="28"/>
          <w:szCs w:val="28"/>
        </w:rPr>
        <w:t xml:space="preserve">, де найбільша концентрація </w:t>
      </w:r>
      <w:r w:rsidRPr="007139F7">
        <w:rPr>
          <w:rFonts w:eastAsia="Calibri" w:cs="Times New Roman"/>
          <w:sz w:val="28"/>
          <w:szCs w:val="28"/>
          <w:lang w:val="en-GB"/>
        </w:rPr>
        <w:t>TGF</w:t>
      </w:r>
      <w:r w:rsidRPr="007139F7">
        <w:rPr>
          <w:rFonts w:eastAsia="Calibri" w:cs="Times New Roman"/>
          <w:sz w:val="28"/>
          <w:szCs w:val="28"/>
        </w:rPr>
        <w:t>-</w:t>
      </w:r>
      <w:r w:rsidRPr="007139F7">
        <w:rPr>
          <w:rFonts w:eastAsia="Calibri" w:cs="Times New Roman"/>
          <w:sz w:val="28"/>
          <w:szCs w:val="28"/>
          <w:lang w:val="en-GB"/>
        </w:rPr>
        <w:t>β</w:t>
      </w:r>
      <w:r w:rsidRPr="007139F7">
        <w:rPr>
          <w:rFonts w:eastAsia="Calibri" w:cs="Times New Roman"/>
          <w:sz w:val="28"/>
          <w:szCs w:val="28"/>
        </w:rPr>
        <w:t xml:space="preserve">1 та </w:t>
      </w:r>
      <w:r w:rsidRPr="007139F7">
        <w:rPr>
          <w:rFonts w:eastAsia="Calibri" w:cs="Times New Roman"/>
          <w:sz w:val="28"/>
          <w:szCs w:val="28"/>
          <w:lang w:val="en-GB"/>
        </w:rPr>
        <w:t>PDGF</w:t>
      </w:r>
      <w:r w:rsidRPr="007139F7">
        <w:rPr>
          <w:rFonts w:eastAsia="Calibri" w:cs="Times New Roman"/>
          <w:sz w:val="28"/>
          <w:szCs w:val="28"/>
        </w:rPr>
        <w:t>-</w:t>
      </w:r>
      <w:r w:rsidRPr="007139F7">
        <w:rPr>
          <w:rFonts w:eastAsia="Calibri" w:cs="Times New Roman"/>
          <w:sz w:val="28"/>
          <w:szCs w:val="28"/>
          <w:lang w:val="en-GB"/>
        </w:rPr>
        <w:t>αβ</w:t>
      </w:r>
      <w:r w:rsidRPr="007139F7">
        <w:rPr>
          <w:rFonts w:eastAsia="Calibri" w:cs="Times New Roman"/>
          <w:sz w:val="28"/>
          <w:szCs w:val="28"/>
        </w:rPr>
        <w:t xml:space="preserve"> спостерігалася на 1-шу добу, потім прогресивно зменшувалася. Встановлено, що використання </w:t>
      </w:r>
      <w:r w:rsidRPr="007139F7">
        <w:rPr>
          <w:rFonts w:eastAsia="Calibri" w:cs="Times New Roman"/>
          <w:sz w:val="28"/>
          <w:szCs w:val="28"/>
          <w:lang w:val="en-GB"/>
        </w:rPr>
        <w:t>PRF</w:t>
      </w:r>
      <w:r w:rsidRPr="007139F7">
        <w:rPr>
          <w:rFonts w:eastAsia="Calibri" w:cs="Times New Roman"/>
          <w:sz w:val="28"/>
          <w:szCs w:val="28"/>
        </w:rPr>
        <w:t xml:space="preserve"> справляє більш довготривалий та сильний вплив на проліферацію та диференціацію остеобластів щурів ніж </w:t>
      </w:r>
      <w:r w:rsidRPr="007139F7">
        <w:rPr>
          <w:rFonts w:eastAsia="Calibri" w:cs="Times New Roman"/>
          <w:sz w:val="28"/>
          <w:szCs w:val="28"/>
          <w:lang w:val="en-GB"/>
        </w:rPr>
        <w:t>PRP</w:t>
      </w:r>
      <w:r w:rsidRPr="007139F7">
        <w:rPr>
          <w:rFonts w:eastAsia="Calibri" w:cs="Times New Roman"/>
          <w:sz w:val="28"/>
          <w:szCs w:val="28"/>
        </w:rPr>
        <w:t xml:space="preserve"> </w:t>
      </w:r>
      <w:r w:rsidRPr="007139F7">
        <w:rPr>
          <w:rFonts w:eastAsia="Calibri" w:cs="Times New Roman"/>
          <w:sz w:val="28"/>
          <w:szCs w:val="28"/>
          <w:lang w:val="en-GB"/>
        </w:rPr>
        <w:t>in</w:t>
      </w:r>
      <w:r w:rsidRPr="007139F7">
        <w:rPr>
          <w:rFonts w:eastAsia="Calibri" w:cs="Times New Roman"/>
          <w:sz w:val="28"/>
          <w:szCs w:val="28"/>
        </w:rPr>
        <w:t xml:space="preserve"> </w:t>
      </w:r>
      <w:r w:rsidRPr="007139F7">
        <w:rPr>
          <w:rFonts w:eastAsia="Calibri" w:cs="Times New Roman"/>
          <w:sz w:val="28"/>
          <w:szCs w:val="28"/>
          <w:lang w:val="en-GB"/>
        </w:rPr>
        <w:t>vitro</w:t>
      </w:r>
      <w:r w:rsidRPr="007139F7">
        <w:rPr>
          <w:rFonts w:eastAsia="Calibri" w:cs="Times New Roman"/>
          <w:sz w:val="28"/>
          <w:szCs w:val="28"/>
        </w:rPr>
        <w:t xml:space="preserve"> [177].</w:t>
      </w:r>
    </w:p>
    <w:p w:rsidR="007139F7" w:rsidRPr="007139F7" w:rsidRDefault="007139F7" w:rsidP="007139F7">
      <w:pPr>
        <w:spacing w:after="0" w:line="360" w:lineRule="auto"/>
        <w:ind w:firstLine="720"/>
        <w:jc w:val="both"/>
        <w:rPr>
          <w:rFonts w:eastAsia="Calibri" w:cs="Times New Roman"/>
          <w:sz w:val="28"/>
          <w:szCs w:val="28"/>
        </w:rPr>
      </w:pPr>
      <w:r w:rsidRPr="007139F7">
        <w:rPr>
          <w:rFonts w:eastAsia="Calibri" w:cs="Times New Roman"/>
          <w:sz w:val="28"/>
          <w:szCs w:val="28"/>
        </w:rPr>
        <w:t xml:space="preserve">Дослідження </w:t>
      </w:r>
      <w:hyperlink r:id="rId11" w:history="1">
        <w:r w:rsidRPr="007139F7">
          <w:rPr>
            <w:rFonts w:eastAsia="Calibri" w:cs="Times New Roman"/>
            <w:sz w:val="28"/>
            <w:szCs w:val="28"/>
            <w:lang w:val="en-GB"/>
          </w:rPr>
          <w:t>Bayer</w:t>
        </w:r>
        <w:r w:rsidRPr="007139F7">
          <w:rPr>
            <w:rFonts w:eastAsia="Calibri" w:cs="Times New Roman"/>
            <w:sz w:val="28"/>
            <w:szCs w:val="28"/>
          </w:rPr>
          <w:t xml:space="preserve"> </w:t>
        </w:r>
        <w:r w:rsidRPr="007139F7">
          <w:rPr>
            <w:rFonts w:eastAsia="Calibri" w:cs="Times New Roman"/>
            <w:sz w:val="28"/>
            <w:szCs w:val="28"/>
            <w:lang w:val="en-GB"/>
          </w:rPr>
          <w:t>A</w:t>
        </w:r>
      </w:hyperlink>
      <w:r w:rsidRPr="007139F7">
        <w:rPr>
          <w:rFonts w:eastAsia="Calibri" w:cs="Times New Roman"/>
          <w:sz w:val="28"/>
          <w:szCs w:val="28"/>
        </w:rPr>
        <w:t xml:space="preserve">. відмічають вплив </w:t>
      </w:r>
      <w:r w:rsidRPr="007139F7">
        <w:rPr>
          <w:rFonts w:eastAsia="Calibri" w:cs="Times New Roman"/>
          <w:sz w:val="28"/>
          <w:szCs w:val="28"/>
          <w:lang w:val="en-GB"/>
        </w:rPr>
        <w:t>PRGF</w:t>
      </w:r>
      <w:r w:rsidRPr="007139F7">
        <w:rPr>
          <w:rFonts w:eastAsia="Calibri" w:cs="Times New Roman"/>
          <w:sz w:val="28"/>
          <w:szCs w:val="28"/>
        </w:rPr>
        <w:t xml:space="preserve"> на експресію гену псориазину (</w:t>
      </w:r>
      <w:r w:rsidRPr="007139F7">
        <w:rPr>
          <w:rFonts w:eastAsia="Calibri" w:cs="Times New Roman"/>
          <w:sz w:val="28"/>
          <w:szCs w:val="28"/>
          <w:lang w:val="en-GB"/>
        </w:rPr>
        <w:t>S</w:t>
      </w:r>
      <w:r w:rsidRPr="007139F7">
        <w:rPr>
          <w:rFonts w:eastAsia="Calibri" w:cs="Times New Roman"/>
          <w:sz w:val="28"/>
          <w:szCs w:val="28"/>
        </w:rPr>
        <w:t>100</w:t>
      </w:r>
      <w:r w:rsidRPr="007139F7">
        <w:rPr>
          <w:rFonts w:eastAsia="Calibri" w:cs="Times New Roman"/>
          <w:sz w:val="28"/>
          <w:szCs w:val="28"/>
          <w:lang w:val="en-GB"/>
        </w:rPr>
        <w:t>A</w:t>
      </w:r>
      <w:r w:rsidRPr="007139F7">
        <w:rPr>
          <w:rFonts w:eastAsia="Calibri" w:cs="Times New Roman"/>
          <w:sz w:val="28"/>
          <w:szCs w:val="28"/>
        </w:rPr>
        <w:t xml:space="preserve">7) </w:t>
      </w:r>
      <w:r w:rsidRPr="007139F7">
        <w:rPr>
          <w:rFonts w:eastAsia="Calibri" w:cs="Times New Roman"/>
          <w:sz w:val="28"/>
          <w:szCs w:val="28"/>
          <w:lang w:val="en-GB"/>
        </w:rPr>
        <w:t>in</w:t>
      </w:r>
      <w:r w:rsidRPr="007139F7">
        <w:rPr>
          <w:rFonts w:eastAsia="Calibri" w:cs="Times New Roman"/>
          <w:sz w:val="28"/>
          <w:szCs w:val="28"/>
        </w:rPr>
        <w:t xml:space="preserve"> </w:t>
      </w:r>
      <w:r w:rsidRPr="007139F7">
        <w:rPr>
          <w:rFonts w:eastAsia="Calibri" w:cs="Times New Roman"/>
          <w:sz w:val="28"/>
          <w:szCs w:val="28"/>
          <w:lang w:val="en-GB"/>
        </w:rPr>
        <w:t>vitro</w:t>
      </w:r>
      <w:r w:rsidRPr="007139F7">
        <w:rPr>
          <w:rFonts w:eastAsia="Calibri" w:cs="Times New Roman"/>
          <w:sz w:val="28"/>
          <w:szCs w:val="28"/>
        </w:rPr>
        <w:t xml:space="preserve">, який являє собою багатофункціональний антимікробний білок, який експресується в кератиноцитах та приймає участь у процесах загоєння ран, ангіогенезу, вродженого імунітету та імунної модуляції. Вплив </w:t>
      </w:r>
      <w:r w:rsidRPr="007139F7">
        <w:rPr>
          <w:rFonts w:eastAsia="Calibri" w:cs="Times New Roman"/>
          <w:sz w:val="28"/>
          <w:szCs w:val="28"/>
          <w:lang w:val="en-GB"/>
        </w:rPr>
        <w:t>PRGF</w:t>
      </w:r>
      <w:r w:rsidRPr="007139F7">
        <w:rPr>
          <w:rFonts w:eastAsia="Calibri" w:cs="Times New Roman"/>
          <w:sz w:val="28"/>
          <w:szCs w:val="28"/>
        </w:rPr>
        <w:t xml:space="preserve"> на кератиноцити викликав значне підвищення концентрації псориазину </w:t>
      </w:r>
      <w:r w:rsidRPr="007139F7">
        <w:rPr>
          <w:rFonts w:eastAsia="Calibri" w:cs="Times New Roman"/>
          <w:sz w:val="28"/>
          <w:szCs w:val="28"/>
          <w:lang w:val="en-GB"/>
        </w:rPr>
        <w:t>in</w:t>
      </w:r>
      <w:r w:rsidRPr="007139F7">
        <w:rPr>
          <w:rFonts w:eastAsia="Calibri" w:cs="Times New Roman"/>
          <w:sz w:val="28"/>
          <w:szCs w:val="28"/>
        </w:rPr>
        <w:t xml:space="preserve"> </w:t>
      </w:r>
      <w:r w:rsidRPr="007139F7">
        <w:rPr>
          <w:rFonts w:eastAsia="Calibri" w:cs="Times New Roman"/>
          <w:sz w:val="28"/>
          <w:szCs w:val="28"/>
          <w:lang w:val="en-GB"/>
        </w:rPr>
        <w:t>vitro</w:t>
      </w:r>
      <w:r w:rsidRPr="007139F7">
        <w:rPr>
          <w:rFonts w:eastAsia="Calibri" w:cs="Times New Roman"/>
          <w:sz w:val="28"/>
          <w:szCs w:val="28"/>
        </w:rPr>
        <w:t>, в залежності від концентрації та часу, що опосередковувались рецепторами епідермального фактору роста (</w:t>
      </w:r>
      <w:r w:rsidRPr="007139F7">
        <w:rPr>
          <w:rFonts w:eastAsia="Calibri" w:cs="Times New Roman"/>
          <w:sz w:val="28"/>
          <w:szCs w:val="28"/>
          <w:lang w:val="en-GB"/>
        </w:rPr>
        <w:t>EGFR</w:t>
      </w:r>
      <w:r w:rsidRPr="007139F7">
        <w:rPr>
          <w:rFonts w:eastAsia="Calibri" w:cs="Times New Roman"/>
          <w:sz w:val="28"/>
          <w:szCs w:val="28"/>
        </w:rPr>
        <w:t>) та інтерлейкіна-6 (</w:t>
      </w:r>
      <w:r w:rsidRPr="007139F7">
        <w:rPr>
          <w:rFonts w:eastAsia="Calibri" w:cs="Times New Roman"/>
          <w:sz w:val="28"/>
          <w:szCs w:val="28"/>
          <w:lang w:val="en-GB"/>
        </w:rPr>
        <w:t>IL</w:t>
      </w:r>
      <w:r w:rsidRPr="007139F7">
        <w:rPr>
          <w:rFonts w:eastAsia="Calibri" w:cs="Times New Roman"/>
          <w:sz w:val="28"/>
          <w:szCs w:val="28"/>
        </w:rPr>
        <w:t>-6</w:t>
      </w:r>
      <w:r w:rsidRPr="007139F7">
        <w:rPr>
          <w:rFonts w:eastAsia="Calibri" w:cs="Times New Roman"/>
          <w:sz w:val="28"/>
          <w:szCs w:val="28"/>
          <w:lang w:val="en-GB"/>
        </w:rPr>
        <w:t>R</w:t>
      </w:r>
      <w:r w:rsidRPr="007139F7">
        <w:rPr>
          <w:rFonts w:eastAsia="Calibri" w:cs="Times New Roman"/>
          <w:sz w:val="28"/>
          <w:szCs w:val="28"/>
        </w:rPr>
        <w:t>). Це обґрунтовує активізацію процесів загоєння рани лізатами тромбоцитарного концентрату</w:t>
      </w:r>
      <w:r w:rsidRPr="007139F7">
        <w:rPr>
          <w:rFonts w:eastAsia="Calibri" w:cs="Times New Roman"/>
          <w:sz w:val="28"/>
          <w:szCs w:val="28"/>
          <w:lang w:val="ru-RU"/>
        </w:rPr>
        <w:t xml:space="preserve"> [178]</w:t>
      </w:r>
      <w:r w:rsidRPr="007139F7">
        <w:rPr>
          <w:rFonts w:eastAsia="Calibri" w:cs="Times New Roman"/>
          <w:sz w:val="28"/>
          <w:szCs w:val="28"/>
        </w:rPr>
        <w:t>.</w:t>
      </w:r>
    </w:p>
    <w:p w:rsidR="007139F7" w:rsidRPr="007139F7" w:rsidRDefault="007139F7" w:rsidP="007139F7">
      <w:pPr>
        <w:shd w:val="clear" w:color="auto" w:fill="FFFFFF"/>
        <w:spacing w:after="0" w:line="360" w:lineRule="auto"/>
        <w:ind w:firstLine="720"/>
        <w:jc w:val="both"/>
        <w:rPr>
          <w:rFonts w:eastAsia="Times New Roman" w:cs="Times New Roman"/>
          <w:sz w:val="28"/>
          <w:szCs w:val="28"/>
          <w:lang w:eastAsia="ru-RU"/>
        </w:rPr>
      </w:pPr>
      <w:r w:rsidRPr="007139F7">
        <w:rPr>
          <w:rFonts w:eastAsia="Times New Roman" w:cs="Times New Roman"/>
          <w:sz w:val="28"/>
          <w:szCs w:val="28"/>
          <w:lang w:eastAsia="ru-RU"/>
        </w:rPr>
        <w:t xml:space="preserve">В експериментальних дослідженнях щодо загоєння ран шкіри на тлі цукрового діабету у мишей гістологічного доведено сприяння використання </w:t>
      </w:r>
      <w:r w:rsidRPr="007139F7">
        <w:rPr>
          <w:rFonts w:eastAsia="Times New Roman" w:cs="Times New Roman"/>
          <w:sz w:val="28"/>
          <w:szCs w:val="28"/>
          <w:lang w:val="en-GB" w:eastAsia="ru-RU"/>
        </w:rPr>
        <w:t>PRF</w:t>
      </w:r>
      <w:r w:rsidRPr="007139F7">
        <w:rPr>
          <w:rFonts w:eastAsia="Times New Roman" w:cs="Times New Roman"/>
          <w:sz w:val="28"/>
          <w:szCs w:val="28"/>
          <w:lang w:eastAsia="ru-RU"/>
        </w:rPr>
        <w:t xml:space="preserve"> у формуванні капілярного русла та відмічено прискорене загоєння рани відносно групи контролю</w:t>
      </w:r>
      <w:r w:rsidRPr="007139F7">
        <w:rPr>
          <w:rFonts w:eastAsia="Times New Roman" w:cs="Times New Roman"/>
          <w:sz w:val="28"/>
          <w:szCs w:val="28"/>
          <w:lang w:val="ru-RU" w:eastAsia="ru-RU"/>
        </w:rPr>
        <w:t xml:space="preserve"> [179]</w:t>
      </w:r>
      <w:r w:rsidRPr="007139F7">
        <w:rPr>
          <w:rFonts w:eastAsia="Times New Roman" w:cs="Times New Roman"/>
          <w:sz w:val="28"/>
          <w:szCs w:val="28"/>
          <w:lang w:eastAsia="ru-RU"/>
        </w:rPr>
        <w:t xml:space="preserve">. </w:t>
      </w:r>
    </w:p>
    <w:p w:rsidR="007139F7" w:rsidRPr="007139F7" w:rsidRDefault="007139F7" w:rsidP="007139F7">
      <w:pPr>
        <w:shd w:val="clear" w:color="auto" w:fill="FFFFFF"/>
        <w:spacing w:after="0" w:line="360" w:lineRule="auto"/>
        <w:ind w:firstLine="720"/>
        <w:jc w:val="both"/>
        <w:rPr>
          <w:rFonts w:eastAsia="Times New Roman" w:cs="Times New Roman"/>
          <w:sz w:val="28"/>
          <w:szCs w:val="28"/>
          <w:lang w:eastAsia="ru-RU"/>
        </w:rPr>
      </w:pPr>
      <w:r w:rsidRPr="007139F7">
        <w:rPr>
          <w:rFonts w:eastAsia="Times New Roman" w:cs="Times New Roman"/>
          <w:sz w:val="28"/>
          <w:szCs w:val="28"/>
          <w:lang w:eastAsia="ru-RU"/>
        </w:rPr>
        <w:t xml:space="preserve">Вплив </w:t>
      </w:r>
      <w:r w:rsidRPr="007139F7">
        <w:rPr>
          <w:rFonts w:eastAsia="Times New Roman" w:cs="Times New Roman"/>
          <w:sz w:val="28"/>
          <w:szCs w:val="28"/>
          <w:lang w:val="en-GB" w:eastAsia="ru-RU"/>
        </w:rPr>
        <w:t>PRF</w:t>
      </w:r>
      <w:r w:rsidRPr="007139F7">
        <w:rPr>
          <w:rFonts w:eastAsia="Times New Roman" w:cs="Times New Roman"/>
          <w:sz w:val="28"/>
          <w:szCs w:val="28"/>
          <w:lang w:eastAsia="ru-RU"/>
        </w:rPr>
        <w:t xml:space="preserve"> та жирових клітин на відновлення дефектів м’яких тканин щелепно-лицевої ділянки був досліджений на свинях та встановлено, що поєднане використання </w:t>
      </w:r>
      <w:r w:rsidRPr="007139F7">
        <w:rPr>
          <w:rFonts w:eastAsia="Times New Roman" w:cs="Times New Roman"/>
          <w:sz w:val="28"/>
          <w:szCs w:val="28"/>
          <w:lang w:val="en-GB" w:eastAsia="ru-RU"/>
        </w:rPr>
        <w:t>PRF</w:t>
      </w:r>
      <w:r w:rsidRPr="007139F7">
        <w:rPr>
          <w:rFonts w:eastAsia="Times New Roman" w:cs="Times New Roman"/>
          <w:sz w:val="28"/>
          <w:szCs w:val="28"/>
          <w:lang w:eastAsia="ru-RU"/>
        </w:rPr>
        <w:t xml:space="preserve"> та жирових клітин сприяє більш ефективним процесам репаративної регенерації, ніж поодиноке їх використання [173].</w:t>
      </w:r>
    </w:p>
    <w:p w:rsidR="007139F7" w:rsidRPr="007139F7" w:rsidRDefault="007139F7" w:rsidP="007139F7">
      <w:pPr>
        <w:spacing w:after="0" w:line="360" w:lineRule="auto"/>
        <w:ind w:firstLine="720"/>
        <w:jc w:val="both"/>
        <w:rPr>
          <w:rFonts w:eastAsia="Calibri" w:cs="Times New Roman"/>
          <w:sz w:val="28"/>
          <w:szCs w:val="28"/>
        </w:rPr>
      </w:pPr>
      <w:r w:rsidRPr="007139F7">
        <w:rPr>
          <w:rFonts w:eastAsia="Calibri" w:cs="Times New Roman"/>
          <w:sz w:val="28"/>
          <w:szCs w:val="28"/>
        </w:rPr>
        <w:t xml:space="preserve">Серед інших багатих тромбоцитами згустків необхідно виділити </w:t>
      </w:r>
      <w:r w:rsidRPr="007139F7">
        <w:rPr>
          <w:rFonts w:eastAsia="Calibri" w:cs="Times New Roman"/>
          <w:sz w:val="28"/>
          <w:szCs w:val="28"/>
          <w:lang w:val="en-GB"/>
        </w:rPr>
        <w:t>L</w:t>
      </w:r>
      <w:r w:rsidRPr="007139F7">
        <w:rPr>
          <w:rFonts w:eastAsia="Calibri" w:cs="Times New Roman"/>
          <w:sz w:val="28"/>
          <w:szCs w:val="28"/>
        </w:rPr>
        <w:t>-</w:t>
      </w:r>
      <w:r w:rsidRPr="007139F7">
        <w:rPr>
          <w:rFonts w:eastAsia="Calibri" w:cs="Times New Roman"/>
          <w:sz w:val="28"/>
          <w:szCs w:val="28"/>
          <w:lang w:val="en-GB"/>
        </w:rPr>
        <w:t>PRF</w:t>
      </w:r>
      <w:r w:rsidRPr="007139F7">
        <w:rPr>
          <w:rFonts w:eastAsia="Calibri" w:cs="Times New Roman"/>
          <w:sz w:val="28"/>
          <w:szCs w:val="28"/>
        </w:rPr>
        <w:t xml:space="preserve">. Його особливістю є імунологічні властивості, які обумовлюються високим вмістом у мембрані лейкоцитів, що забезпечує профілактику запальних ускладнень та стимулює процеси загоєння рани [156, 180]. У тому числі </w:t>
      </w:r>
      <w:r w:rsidRPr="007139F7">
        <w:rPr>
          <w:rFonts w:eastAsia="Calibri" w:cs="Times New Roman"/>
          <w:sz w:val="28"/>
          <w:szCs w:val="28"/>
          <w:lang w:val="en-GB"/>
        </w:rPr>
        <w:t>L</w:t>
      </w:r>
      <w:r w:rsidRPr="007139F7">
        <w:rPr>
          <w:rFonts w:eastAsia="Calibri" w:cs="Times New Roman"/>
          <w:sz w:val="28"/>
          <w:szCs w:val="28"/>
        </w:rPr>
        <w:t>-</w:t>
      </w:r>
      <w:r w:rsidRPr="007139F7">
        <w:rPr>
          <w:rFonts w:eastAsia="Calibri" w:cs="Times New Roman"/>
          <w:sz w:val="28"/>
          <w:szCs w:val="28"/>
          <w:lang w:val="en-GB"/>
        </w:rPr>
        <w:t>PRF</w:t>
      </w:r>
      <w:r w:rsidRPr="007139F7">
        <w:rPr>
          <w:rFonts w:eastAsia="Calibri" w:cs="Times New Roman"/>
          <w:sz w:val="28"/>
          <w:szCs w:val="28"/>
        </w:rPr>
        <w:t xml:space="preserve">-мембрани стимулюють диференціацію та проліферацію стовбурних клітин та клітин-попередників та забезпечують неперервне вивільнення факторів росту протягом 7-14 діб [159]. У дослідженнях встановлено, що при необхідності збільшення часу розкладання </w:t>
      </w:r>
      <w:r w:rsidRPr="007139F7">
        <w:rPr>
          <w:rFonts w:eastAsia="Calibri" w:cs="Times New Roman"/>
          <w:sz w:val="28"/>
          <w:szCs w:val="28"/>
          <w:lang w:val="en-GB"/>
        </w:rPr>
        <w:t>PRF</w:t>
      </w:r>
      <w:r w:rsidRPr="007139F7">
        <w:rPr>
          <w:rFonts w:eastAsia="Calibri" w:cs="Times New Roman"/>
          <w:sz w:val="28"/>
          <w:szCs w:val="28"/>
        </w:rPr>
        <w:t xml:space="preserve"> до 4 тижнів необхідно </w:t>
      </w:r>
      <w:r w:rsidRPr="007139F7">
        <w:rPr>
          <w:rFonts w:eastAsia="Calibri" w:cs="Times New Roman"/>
          <w:sz w:val="28"/>
          <w:szCs w:val="28"/>
        </w:rPr>
        <w:lastRenderedPageBreak/>
        <w:t xml:space="preserve">провести теплове стиснення даної мембрани, що створює можливість пролонгованої дії даної мембрани на процеси загоєння рани [181]. </w:t>
      </w:r>
    </w:p>
    <w:p w:rsidR="007139F7" w:rsidRPr="007139F7" w:rsidRDefault="007139F7" w:rsidP="007139F7">
      <w:pPr>
        <w:spacing w:after="0" w:line="360" w:lineRule="auto"/>
        <w:ind w:firstLine="720"/>
        <w:jc w:val="both"/>
        <w:rPr>
          <w:rFonts w:eastAsia="Calibri" w:cs="Times New Roman"/>
          <w:sz w:val="28"/>
          <w:szCs w:val="28"/>
        </w:rPr>
      </w:pPr>
      <w:r w:rsidRPr="007139F7">
        <w:rPr>
          <w:rFonts w:eastAsia="Calibri" w:cs="Times New Roman"/>
          <w:sz w:val="28"/>
          <w:szCs w:val="28"/>
        </w:rPr>
        <w:t xml:space="preserve">Також </w:t>
      </w:r>
      <w:r w:rsidRPr="007139F7">
        <w:rPr>
          <w:rFonts w:eastAsia="Calibri" w:cs="Times New Roman"/>
          <w:sz w:val="28"/>
          <w:szCs w:val="28"/>
          <w:lang w:val="en-GB"/>
        </w:rPr>
        <w:t>L</w:t>
      </w:r>
      <w:r w:rsidRPr="007139F7">
        <w:rPr>
          <w:rFonts w:eastAsia="Calibri" w:cs="Times New Roman"/>
          <w:sz w:val="28"/>
          <w:szCs w:val="28"/>
        </w:rPr>
        <w:t>-</w:t>
      </w:r>
      <w:r w:rsidRPr="007139F7">
        <w:rPr>
          <w:rFonts w:eastAsia="Calibri" w:cs="Times New Roman"/>
          <w:sz w:val="28"/>
          <w:szCs w:val="28"/>
          <w:lang w:val="en-GB"/>
        </w:rPr>
        <w:t>PRF</w:t>
      </w:r>
      <w:r w:rsidRPr="007139F7">
        <w:rPr>
          <w:rFonts w:eastAsia="Calibri" w:cs="Times New Roman"/>
          <w:sz w:val="28"/>
          <w:szCs w:val="28"/>
        </w:rPr>
        <w:t xml:space="preserve"> характеризується особливо жорсткою структурою фібрину та високими механічними властивостями, які формуються завдяки фізіологічним концентраціям тромбіну при його приготуванні</w:t>
      </w:r>
      <w:r w:rsidRPr="007139F7">
        <w:rPr>
          <w:rFonts w:eastAsia="Calibri" w:cs="Times New Roman"/>
          <w:sz w:val="28"/>
          <w:szCs w:val="28"/>
          <w:lang w:val="ru-RU"/>
        </w:rPr>
        <w:t xml:space="preserve"> [175]</w:t>
      </w:r>
      <w:r w:rsidRPr="007139F7">
        <w:rPr>
          <w:rFonts w:eastAsia="Calibri" w:cs="Times New Roman"/>
          <w:sz w:val="28"/>
          <w:szCs w:val="28"/>
        </w:rPr>
        <w:t xml:space="preserve">. </w:t>
      </w:r>
    </w:p>
    <w:p w:rsidR="007139F7" w:rsidRPr="007139F7" w:rsidRDefault="007139F7" w:rsidP="007139F7">
      <w:pPr>
        <w:shd w:val="clear" w:color="auto" w:fill="FFFFFF"/>
        <w:spacing w:after="0" w:line="360" w:lineRule="auto"/>
        <w:ind w:firstLine="720"/>
        <w:jc w:val="both"/>
        <w:rPr>
          <w:rFonts w:eastAsia="Times New Roman" w:cs="Times New Roman"/>
          <w:sz w:val="28"/>
          <w:szCs w:val="28"/>
          <w:lang w:eastAsia="ru-RU"/>
        </w:rPr>
      </w:pPr>
      <w:r w:rsidRPr="007139F7">
        <w:rPr>
          <w:rFonts w:eastAsia="Times New Roman" w:cs="Times New Roman"/>
          <w:sz w:val="28"/>
          <w:szCs w:val="28"/>
          <w:lang w:eastAsia="ru-RU"/>
        </w:rPr>
        <w:t xml:space="preserve">Клінічні дослідження </w:t>
      </w:r>
      <w:r w:rsidRPr="007139F7">
        <w:rPr>
          <w:rFonts w:eastAsia="Times New Roman" w:cs="Times New Roman"/>
          <w:sz w:val="28"/>
          <w:szCs w:val="28"/>
          <w:lang w:val="en-GB" w:eastAsia="ru-RU"/>
        </w:rPr>
        <w:t>L</w:t>
      </w:r>
      <w:r w:rsidRPr="007139F7">
        <w:rPr>
          <w:rFonts w:eastAsia="Times New Roman" w:cs="Times New Roman"/>
          <w:sz w:val="28"/>
          <w:szCs w:val="28"/>
          <w:lang w:eastAsia="ru-RU"/>
        </w:rPr>
        <w:t>-</w:t>
      </w:r>
      <w:r w:rsidRPr="007139F7">
        <w:rPr>
          <w:rFonts w:eastAsia="Times New Roman" w:cs="Times New Roman"/>
          <w:sz w:val="28"/>
          <w:szCs w:val="28"/>
          <w:lang w:val="en-GB" w:eastAsia="ru-RU"/>
        </w:rPr>
        <w:t>PRF</w:t>
      </w:r>
      <w:r w:rsidRPr="007139F7">
        <w:rPr>
          <w:rFonts w:eastAsia="Times New Roman" w:cs="Times New Roman"/>
          <w:sz w:val="28"/>
          <w:szCs w:val="28"/>
          <w:lang w:eastAsia="ru-RU"/>
        </w:rPr>
        <w:t xml:space="preserve"> при лікуванні внутрішньокісткових дефектів вказують на можливість як поміщення </w:t>
      </w:r>
      <w:r w:rsidRPr="007139F7">
        <w:rPr>
          <w:rFonts w:eastAsia="Times New Roman" w:cs="Times New Roman"/>
          <w:sz w:val="28"/>
          <w:szCs w:val="28"/>
          <w:lang w:val="en-GB" w:eastAsia="ru-RU"/>
        </w:rPr>
        <w:t>L</w:t>
      </w:r>
      <w:r w:rsidRPr="007139F7">
        <w:rPr>
          <w:rFonts w:eastAsia="Times New Roman" w:cs="Times New Roman"/>
          <w:sz w:val="28"/>
          <w:szCs w:val="28"/>
          <w:lang w:eastAsia="ru-RU"/>
        </w:rPr>
        <w:t>-</w:t>
      </w:r>
      <w:r w:rsidRPr="007139F7">
        <w:rPr>
          <w:rFonts w:eastAsia="Times New Roman" w:cs="Times New Roman"/>
          <w:sz w:val="28"/>
          <w:szCs w:val="28"/>
          <w:lang w:val="en-GB" w:eastAsia="ru-RU"/>
        </w:rPr>
        <w:t>PRF</w:t>
      </w:r>
      <w:r w:rsidRPr="007139F7">
        <w:rPr>
          <w:rFonts w:eastAsia="Times New Roman" w:cs="Times New Roman"/>
          <w:sz w:val="28"/>
          <w:szCs w:val="28"/>
          <w:lang w:eastAsia="ru-RU"/>
        </w:rPr>
        <w:t xml:space="preserve"> власне у дефект кісткової тканини, так і використання у вигляді мембрани. Ефективність його використання підтверджується як клінічними, так і рентгенологічними дослідженнями. Позитивні результати застосування </w:t>
      </w:r>
      <w:r w:rsidRPr="007139F7">
        <w:rPr>
          <w:rFonts w:eastAsia="Times New Roman" w:cs="Times New Roman"/>
          <w:sz w:val="28"/>
          <w:szCs w:val="28"/>
          <w:lang w:val="en-GB" w:eastAsia="ru-RU"/>
        </w:rPr>
        <w:t>L</w:t>
      </w:r>
      <w:r w:rsidRPr="007139F7">
        <w:rPr>
          <w:rFonts w:eastAsia="Times New Roman" w:cs="Times New Roman"/>
          <w:sz w:val="28"/>
          <w:szCs w:val="28"/>
          <w:lang w:eastAsia="ru-RU"/>
        </w:rPr>
        <w:t>-</w:t>
      </w:r>
      <w:r w:rsidRPr="007139F7">
        <w:rPr>
          <w:rFonts w:eastAsia="Times New Roman" w:cs="Times New Roman"/>
          <w:sz w:val="28"/>
          <w:szCs w:val="28"/>
          <w:lang w:val="en-GB" w:eastAsia="ru-RU"/>
        </w:rPr>
        <w:t>PRF</w:t>
      </w:r>
      <w:r w:rsidRPr="007139F7">
        <w:rPr>
          <w:rFonts w:eastAsia="Times New Roman" w:cs="Times New Roman"/>
          <w:sz w:val="28"/>
          <w:szCs w:val="28"/>
          <w:lang w:eastAsia="ru-RU"/>
        </w:rPr>
        <w:t xml:space="preserve"> відмічали і при поєднанні з іншими біоматеріалами [1</w:t>
      </w:r>
      <w:r w:rsidRPr="007139F7">
        <w:rPr>
          <w:rFonts w:eastAsia="Times New Roman" w:cs="Times New Roman"/>
          <w:sz w:val="28"/>
          <w:szCs w:val="28"/>
          <w:lang w:val="ru-RU" w:eastAsia="ru-RU"/>
        </w:rPr>
        <w:t>82</w:t>
      </w:r>
      <w:r w:rsidRPr="007139F7">
        <w:rPr>
          <w:rFonts w:eastAsia="Times New Roman" w:cs="Times New Roman"/>
          <w:sz w:val="28"/>
          <w:szCs w:val="28"/>
          <w:lang w:eastAsia="ru-RU"/>
        </w:rPr>
        <w:t>, 1</w:t>
      </w:r>
      <w:r w:rsidRPr="007139F7">
        <w:rPr>
          <w:rFonts w:eastAsia="Times New Roman" w:cs="Times New Roman"/>
          <w:sz w:val="28"/>
          <w:szCs w:val="28"/>
          <w:lang w:val="ru-RU" w:eastAsia="ru-RU"/>
        </w:rPr>
        <w:t>83</w:t>
      </w:r>
      <w:r w:rsidRPr="007139F7">
        <w:rPr>
          <w:rFonts w:eastAsia="Times New Roman" w:cs="Times New Roman"/>
          <w:sz w:val="28"/>
          <w:szCs w:val="28"/>
          <w:lang w:eastAsia="ru-RU"/>
        </w:rPr>
        <w:t xml:space="preserve">]. Також має місце застосування </w:t>
      </w:r>
      <w:r w:rsidRPr="007139F7">
        <w:rPr>
          <w:rFonts w:eastAsia="Times New Roman" w:cs="Times New Roman"/>
          <w:sz w:val="28"/>
          <w:szCs w:val="28"/>
          <w:lang w:val="en-GB" w:eastAsia="ru-RU"/>
        </w:rPr>
        <w:t>L</w:t>
      </w:r>
      <w:r w:rsidRPr="007139F7">
        <w:rPr>
          <w:rFonts w:eastAsia="Times New Roman" w:cs="Times New Roman"/>
          <w:sz w:val="28"/>
          <w:szCs w:val="28"/>
          <w:lang w:eastAsia="ru-RU"/>
        </w:rPr>
        <w:t>-</w:t>
      </w:r>
      <w:r w:rsidRPr="007139F7">
        <w:rPr>
          <w:rFonts w:eastAsia="Times New Roman" w:cs="Times New Roman"/>
          <w:sz w:val="28"/>
          <w:szCs w:val="28"/>
          <w:lang w:val="en-GB" w:eastAsia="ru-RU"/>
        </w:rPr>
        <w:t>PRF</w:t>
      </w:r>
      <w:r w:rsidRPr="007139F7">
        <w:rPr>
          <w:rFonts w:eastAsia="Times New Roman" w:cs="Times New Roman"/>
          <w:sz w:val="28"/>
          <w:szCs w:val="28"/>
          <w:lang w:eastAsia="ru-RU"/>
        </w:rPr>
        <w:t>, як альтернативи трансплантатам сполучної тканини [1</w:t>
      </w:r>
      <w:r w:rsidRPr="007139F7">
        <w:rPr>
          <w:rFonts w:eastAsia="Times New Roman" w:cs="Times New Roman"/>
          <w:sz w:val="28"/>
          <w:szCs w:val="28"/>
          <w:lang w:val="ru-RU" w:eastAsia="ru-RU"/>
        </w:rPr>
        <w:t>84</w:t>
      </w:r>
      <w:r w:rsidRPr="007139F7">
        <w:rPr>
          <w:rFonts w:eastAsia="Times New Roman" w:cs="Times New Roman"/>
          <w:sz w:val="28"/>
          <w:szCs w:val="28"/>
          <w:lang w:eastAsia="ru-RU"/>
        </w:rPr>
        <w:t>-1</w:t>
      </w:r>
      <w:r w:rsidRPr="007139F7">
        <w:rPr>
          <w:rFonts w:eastAsia="Times New Roman" w:cs="Times New Roman"/>
          <w:sz w:val="28"/>
          <w:szCs w:val="28"/>
          <w:lang w:val="ru-RU" w:eastAsia="ru-RU"/>
        </w:rPr>
        <w:t>87</w:t>
      </w:r>
      <w:r w:rsidRPr="007139F7">
        <w:rPr>
          <w:rFonts w:eastAsia="Times New Roman" w:cs="Times New Roman"/>
          <w:sz w:val="28"/>
          <w:szCs w:val="28"/>
          <w:lang w:eastAsia="ru-RU"/>
        </w:rPr>
        <w:t>].</w:t>
      </w:r>
    </w:p>
    <w:p w:rsidR="007139F7" w:rsidRPr="007139F7" w:rsidRDefault="007139F7" w:rsidP="007139F7">
      <w:pPr>
        <w:spacing w:after="0" w:line="360" w:lineRule="auto"/>
        <w:ind w:firstLine="720"/>
        <w:jc w:val="both"/>
        <w:rPr>
          <w:rFonts w:eastAsia="Calibri" w:cs="Times New Roman"/>
          <w:sz w:val="28"/>
          <w:szCs w:val="28"/>
        </w:rPr>
      </w:pPr>
      <w:r w:rsidRPr="007139F7">
        <w:rPr>
          <w:rFonts w:eastAsia="Calibri" w:cs="Times New Roman"/>
          <w:sz w:val="28"/>
          <w:szCs w:val="28"/>
        </w:rPr>
        <w:t xml:space="preserve">Використання </w:t>
      </w:r>
      <w:r w:rsidRPr="007139F7">
        <w:rPr>
          <w:rFonts w:eastAsia="Calibri" w:cs="Times New Roman"/>
          <w:sz w:val="28"/>
          <w:szCs w:val="28"/>
          <w:lang w:val="en-GB"/>
        </w:rPr>
        <w:t>PRF</w:t>
      </w:r>
      <w:r w:rsidRPr="007139F7">
        <w:rPr>
          <w:rFonts w:eastAsia="Calibri" w:cs="Times New Roman"/>
          <w:sz w:val="28"/>
          <w:szCs w:val="28"/>
        </w:rPr>
        <w:t xml:space="preserve"> є розповсюдженим у мукогінгівальній хірургії, переважно у донорських зонах, завдяки можливості залишати фібринову мембрану оголеною, що стимулює швидке загоєння рани вторинним натягом [188]. Також </w:t>
      </w:r>
      <w:r w:rsidRPr="007139F7">
        <w:rPr>
          <w:rFonts w:eastAsia="Calibri" w:cs="Times New Roman"/>
          <w:sz w:val="28"/>
          <w:szCs w:val="28"/>
          <w:lang w:val="en-GB"/>
        </w:rPr>
        <w:t>PRF</w:t>
      </w:r>
      <w:r w:rsidRPr="007139F7">
        <w:rPr>
          <w:rFonts w:eastAsia="Calibri" w:cs="Times New Roman"/>
          <w:sz w:val="28"/>
          <w:szCs w:val="28"/>
        </w:rPr>
        <w:t xml:space="preserve"> застосовується локально при рецесії ясен. Згідно досліджень S.K.</w:t>
      </w:r>
      <w:r w:rsidRPr="007139F7">
        <w:rPr>
          <w:rFonts w:eastAsia="Calibri" w:cs="Times New Roman"/>
          <w:sz w:val="28"/>
          <w:szCs w:val="28"/>
          <w:lang w:val="en-US"/>
        </w:rPr>
        <w:t> </w:t>
      </w:r>
      <w:r w:rsidRPr="007139F7">
        <w:rPr>
          <w:rFonts w:eastAsia="Calibri" w:cs="Times New Roman"/>
          <w:sz w:val="28"/>
          <w:szCs w:val="28"/>
        </w:rPr>
        <w:t xml:space="preserve">Agarwa </w:t>
      </w:r>
      <w:r w:rsidRPr="007139F7">
        <w:rPr>
          <w:rFonts w:eastAsia="Calibri" w:cs="Times New Roman"/>
          <w:sz w:val="28"/>
          <w:szCs w:val="28"/>
          <w:lang w:val="en-GB"/>
        </w:rPr>
        <w:t>PRF</w:t>
      </w:r>
      <w:r w:rsidRPr="007139F7">
        <w:rPr>
          <w:rFonts w:eastAsia="Calibri" w:cs="Times New Roman"/>
          <w:sz w:val="28"/>
          <w:szCs w:val="28"/>
        </w:rPr>
        <w:t xml:space="preserve"> стимулює збільшення ширини кератинизовної слизової оболонки до 0,8-1,0 мм, зменшення рецесії ясен, що в свою чергу значно покращує естетику пацієнта [189]. Використання </w:t>
      </w:r>
      <w:r w:rsidRPr="007139F7">
        <w:rPr>
          <w:rFonts w:eastAsia="Calibri" w:cs="Times New Roman"/>
          <w:sz w:val="28"/>
          <w:szCs w:val="28"/>
          <w:lang w:val="en-GB"/>
        </w:rPr>
        <w:t>PRF</w:t>
      </w:r>
      <w:r w:rsidRPr="007139F7">
        <w:rPr>
          <w:rFonts w:eastAsia="Calibri" w:cs="Times New Roman"/>
          <w:sz w:val="28"/>
          <w:szCs w:val="28"/>
        </w:rPr>
        <w:t xml:space="preserve"> є клінічно обґрунтованим при хірургічному лікуванні пігментованої ділянки ясен [171].</w:t>
      </w:r>
    </w:p>
    <w:p w:rsidR="007139F7" w:rsidRPr="007139F7" w:rsidRDefault="007139F7" w:rsidP="007139F7">
      <w:pPr>
        <w:spacing w:after="0" w:line="360" w:lineRule="auto"/>
        <w:ind w:firstLine="720"/>
        <w:jc w:val="both"/>
        <w:rPr>
          <w:rFonts w:eastAsia="Calibri" w:cs="Times New Roman"/>
          <w:bCs/>
          <w:spacing w:val="2"/>
          <w:sz w:val="28"/>
          <w:szCs w:val="28"/>
          <w:lang w:val="ru-RU"/>
        </w:rPr>
      </w:pPr>
      <w:r w:rsidRPr="007139F7">
        <w:rPr>
          <w:rFonts w:eastAsia="Calibri" w:cs="Times New Roman"/>
          <w:sz w:val="28"/>
          <w:szCs w:val="28"/>
        </w:rPr>
        <w:t>При проведенні таких пластичних оперативних втручань, як абдомінопластика, маммопластика, ритидектомія тощо за загальноприйнятими методиками застосування клею А-</w:t>
      </w:r>
      <w:r w:rsidRPr="007139F7">
        <w:rPr>
          <w:rFonts w:eastAsia="Calibri" w:cs="Times New Roman"/>
          <w:sz w:val="28"/>
          <w:szCs w:val="28"/>
          <w:lang w:val="en-US"/>
        </w:rPr>
        <w:t>PRP</w:t>
      </w:r>
      <w:r w:rsidRPr="007139F7">
        <w:rPr>
          <w:rFonts w:eastAsia="Calibri" w:cs="Times New Roman"/>
          <w:sz w:val="28"/>
          <w:szCs w:val="28"/>
        </w:rPr>
        <w:t xml:space="preserve"> при закритті операційної рани суттєво зменшує прояви асептичного запалення ушкоджених тканин та, відповідно, ризик розвинення таких післяопераційних ускладнень, як сероми та гематоми й прискорює процеси загоєння післяопераційних ран. У тому числі </w:t>
      </w:r>
      <w:r w:rsidRPr="007139F7">
        <w:rPr>
          <w:rFonts w:eastAsia="Calibri" w:cs="Times New Roman"/>
          <w:bCs/>
          <w:spacing w:val="2"/>
          <w:sz w:val="28"/>
          <w:szCs w:val="28"/>
          <w:lang w:val="ru-RU"/>
        </w:rPr>
        <w:t>PRF</w:t>
      </w:r>
      <w:r w:rsidRPr="007139F7">
        <w:rPr>
          <w:rFonts w:eastAsia="Calibri" w:cs="Times New Roman"/>
          <w:bCs/>
          <w:spacing w:val="2"/>
          <w:sz w:val="28"/>
          <w:szCs w:val="28"/>
        </w:rPr>
        <w:t xml:space="preserve">-мембрани можуть застосовуватися для лікування раневих поверхонь та виразок шкіри різного походження </w:t>
      </w:r>
      <w:r w:rsidRPr="007139F7">
        <w:rPr>
          <w:rFonts w:eastAsia="Calibri" w:cs="Times New Roman"/>
          <w:sz w:val="28"/>
          <w:szCs w:val="28"/>
        </w:rPr>
        <w:t>[1</w:t>
      </w:r>
      <w:r w:rsidRPr="007139F7">
        <w:rPr>
          <w:rFonts w:eastAsia="Calibri" w:cs="Times New Roman"/>
          <w:sz w:val="28"/>
          <w:szCs w:val="28"/>
          <w:lang w:val="ru-RU"/>
        </w:rPr>
        <w:t>90</w:t>
      </w:r>
      <w:r w:rsidRPr="007139F7">
        <w:rPr>
          <w:rFonts w:eastAsia="Calibri" w:cs="Times New Roman"/>
          <w:sz w:val="28"/>
          <w:szCs w:val="28"/>
        </w:rPr>
        <w:t>]</w:t>
      </w:r>
      <w:r w:rsidRPr="007139F7">
        <w:rPr>
          <w:rFonts w:eastAsia="Calibri" w:cs="Times New Roman"/>
          <w:sz w:val="28"/>
          <w:szCs w:val="28"/>
          <w:lang w:val="ru-RU"/>
        </w:rPr>
        <w:t>.</w:t>
      </w:r>
    </w:p>
    <w:p w:rsidR="007139F7" w:rsidRPr="007139F7" w:rsidRDefault="007139F7" w:rsidP="007139F7">
      <w:pPr>
        <w:spacing w:after="0" w:line="360" w:lineRule="auto"/>
        <w:ind w:firstLine="720"/>
        <w:jc w:val="both"/>
        <w:rPr>
          <w:rFonts w:eastAsia="Calibri" w:cs="Times New Roman"/>
          <w:sz w:val="28"/>
          <w:szCs w:val="28"/>
        </w:rPr>
      </w:pPr>
      <w:r w:rsidRPr="007139F7">
        <w:rPr>
          <w:rFonts w:eastAsia="Calibri" w:cs="Times New Roman"/>
          <w:sz w:val="28"/>
          <w:szCs w:val="28"/>
        </w:rPr>
        <w:t xml:space="preserve">Широке використання </w:t>
      </w:r>
      <w:r w:rsidRPr="007139F7">
        <w:rPr>
          <w:rFonts w:eastAsia="Calibri" w:cs="Times New Roman"/>
          <w:sz w:val="28"/>
          <w:szCs w:val="28"/>
          <w:lang w:val="en-GB"/>
        </w:rPr>
        <w:t>PRF</w:t>
      </w:r>
      <w:r w:rsidRPr="007139F7">
        <w:rPr>
          <w:rFonts w:eastAsia="Calibri" w:cs="Times New Roman"/>
          <w:sz w:val="28"/>
          <w:szCs w:val="28"/>
        </w:rPr>
        <w:t xml:space="preserve"> отримав у випадках хірургічного лікування радикулярних кіст щелеп, в тому числі і при одонтогенній гранульомі обличчя, </w:t>
      </w:r>
      <w:r w:rsidRPr="007139F7">
        <w:rPr>
          <w:rFonts w:eastAsia="Calibri" w:cs="Times New Roman"/>
          <w:sz w:val="28"/>
          <w:szCs w:val="28"/>
        </w:rPr>
        <w:lastRenderedPageBreak/>
        <w:t>для заміщення дефекту кісткової тканини</w:t>
      </w:r>
      <w:r w:rsidRPr="007139F7">
        <w:rPr>
          <w:rFonts w:eastAsia="Calibri" w:cs="Times New Roman"/>
          <w:sz w:val="28"/>
          <w:szCs w:val="28"/>
          <w:lang w:val="ru-RU"/>
        </w:rPr>
        <w:t xml:space="preserve"> [191, 192]</w:t>
      </w:r>
      <w:r w:rsidRPr="007139F7">
        <w:rPr>
          <w:rFonts w:eastAsia="Calibri" w:cs="Times New Roman"/>
          <w:sz w:val="28"/>
          <w:szCs w:val="28"/>
        </w:rPr>
        <w:t xml:space="preserve">. Використання </w:t>
      </w:r>
      <w:r w:rsidRPr="007139F7">
        <w:rPr>
          <w:rFonts w:eastAsia="Calibri" w:cs="Times New Roman"/>
          <w:sz w:val="28"/>
          <w:szCs w:val="28"/>
          <w:lang w:val="en-GB"/>
        </w:rPr>
        <w:t>PRF</w:t>
      </w:r>
      <w:r w:rsidRPr="007139F7">
        <w:rPr>
          <w:rFonts w:eastAsia="Calibri" w:cs="Times New Roman"/>
          <w:sz w:val="28"/>
          <w:szCs w:val="28"/>
        </w:rPr>
        <w:t xml:space="preserve"> сприяє прискореній регенерації кісткової тканини протягом 3 місяців після оперативного втручання. Рентгенологічно через 6 місяців спостерігається повне відновлення кісткової тканини та вірогідне збільшення щільності кісткової тканини [193-195]. Застосування </w:t>
      </w:r>
      <w:r w:rsidRPr="007139F7">
        <w:rPr>
          <w:rFonts w:eastAsia="Calibri" w:cs="Times New Roman"/>
          <w:sz w:val="28"/>
          <w:szCs w:val="28"/>
          <w:lang w:val="en-GB"/>
        </w:rPr>
        <w:t>PRF</w:t>
      </w:r>
      <w:r w:rsidRPr="007139F7">
        <w:rPr>
          <w:rFonts w:eastAsia="Calibri" w:cs="Times New Roman"/>
          <w:sz w:val="28"/>
          <w:szCs w:val="28"/>
        </w:rPr>
        <w:t xml:space="preserve">-мембрани сприяє профілактиці запальних ускладнень при операції видалення зуба, таких як постекстракційний альвеоліт [196-198] та може бути використаним при руйнуванні стінки альвеоли, що прискорює процеси репаративної регенерації у даній ділянці та створює кращі перспективи для подальшої дентальної імплантації [199, 200]. Дослідження </w:t>
      </w:r>
      <w:hyperlink r:id="rId12" w:history="1">
        <w:r w:rsidRPr="007139F7">
          <w:rPr>
            <w:rFonts w:eastAsia="Calibri" w:cs="Times New Roman"/>
            <w:sz w:val="28"/>
            <w:szCs w:val="28"/>
            <w:lang w:val="en-GB"/>
          </w:rPr>
          <w:t>A</w:t>
        </w:r>
        <w:r w:rsidRPr="007139F7">
          <w:rPr>
            <w:rFonts w:eastAsia="Calibri" w:cs="Times New Roman"/>
            <w:sz w:val="28"/>
            <w:szCs w:val="28"/>
          </w:rPr>
          <w:t xml:space="preserve">. </w:t>
        </w:r>
        <w:r w:rsidRPr="007139F7">
          <w:rPr>
            <w:rFonts w:eastAsia="Calibri" w:cs="Times New Roman"/>
            <w:sz w:val="28"/>
            <w:szCs w:val="28"/>
            <w:lang w:val="en-GB"/>
          </w:rPr>
          <w:t>M</w:t>
        </w:r>
        <w:r w:rsidRPr="007139F7">
          <w:rPr>
            <w:rFonts w:eastAsia="Calibri" w:cs="Times New Roman"/>
            <w:sz w:val="28"/>
            <w:szCs w:val="28"/>
          </w:rPr>
          <w:t xml:space="preserve">. </w:t>
        </w:r>
        <w:r w:rsidRPr="007139F7">
          <w:rPr>
            <w:rFonts w:eastAsia="Calibri" w:cs="Times New Roman"/>
            <w:sz w:val="28"/>
            <w:szCs w:val="28"/>
            <w:lang w:val="en-GB"/>
          </w:rPr>
          <w:t>Doiphode</w:t>
        </w:r>
      </w:hyperlink>
      <w:r w:rsidRPr="007139F7">
        <w:rPr>
          <w:rFonts w:eastAsia="Calibri" w:cs="Times New Roman"/>
          <w:sz w:val="28"/>
          <w:szCs w:val="28"/>
        </w:rPr>
        <w:t xml:space="preserve"> вказують на те, що при застосуванні </w:t>
      </w:r>
      <w:r w:rsidRPr="007139F7">
        <w:rPr>
          <w:rFonts w:eastAsia="Calibri" w:cs="Times New Roman"/>
          <w:sz w:val="28"/>
          <w:szCs w:val="28"/>
          <w:lang w:val="en-GB"/>
        </w:rPr>
        <w:t>PRF</w:t>
      </w:r>
      <w:r w:rsidRPr="007139F7">
        <w:rPr>
          <w:rFonts w:eastAsia="Calibri" w:cs="Times New Roman"/>
          <w:sz w:val="28"/>
          <w:szCs w:val="28"/>
        </w:rPr>
        <w:t xml:space="preserve"> щільність кісткової тканини через 4 та 6 місяців після екстракції молярів нижньої щелепи вірогідно більша ніж при застосуванні </w:t>
      </w:r>
      <w:r w:rsidRPr="007139F7">
        <w:rPr>
          <w:rFonts w:eastAsia="Calibri" w:cs="Times New Roman"/>
          <w:sz w:val="28"/>
          <w:szCs w:val="28"/>
          <w:lang w:val="en-GB"/>
        </w:rPr>
        <w:t>PRP</w:t>
      </w:r>
      <w:r w:rsidRPr="007139F7">
        <w:rPr>
          <w:rFonts w:eastAsia="Calibri" w:cs="Times New Roman"/>
          <w:sz w:val="28"/>
          <w:szCs w:val="28"/>
        </w:rPr>
        <w:t>, або без використання даних методик [201, 202].</w:t>
      </w:r>
    </w:p>
    <w:p w:rsidR="007139F7" w:rsidRPr="007139F7" w:rsidRDefault="007139F7" w:rsidP="007139F7">
      <w:pPr>
        <w:spacing w:after="0" w:line="360" w:lineRule="auto"/>
        <w:ind w:firstLine="720"/>
        <w:jc w:val="both"/>
        <w:rPr>
          <w:rFonts w:eastAsia="Calibri" w:cs="Times New Roman"/>
          <w:sz w:val="28"/>
          <w:szCs w:val="28"/>
        </w:rPr>
      </w:pPr>
      <w:r w:rsidRPr="007139F7">
        <w:rPr>
          <w:rFonts w:eastAsia="Calibri" w:cs="Times New Roman"/>
          <w:sz w:val="28"/>
          <w:szCs w:val="28"/>
        </w:rPr>
        <w:t xml:space="preserve">Застосування техніки </w:t>
      </w:r>
      <w:r w:rsidRPr="007139F7">
        <w:rPr>
          <w:rFonts w:eastAsia="Calibri" w:cs="Times New Roman"/>
          <w:sz w:val="28"/>
          <w:szCs w:val="28"/>
          <w:lang w:val="en-GB"/>
        </w:rPr>
        <w:t>Choukroun</w:t>
      </w:r>
      <w:r w:rsidRPr="007139F7">
        <w:rPr>
          <w:rFonts w:eastAsia="Calibri" w:cs="Times New Roman"/>
          <w:sz w:val="28"/>
          <w:szCs w:val="28"/>
        </w:rPr>
        <w:t xml:space="preserve"> забезпечує формування єдиного субсинусового наповнювача при операції синус-ліфтингу перед процедурою дентальної імплантації за допомогою </w:t>
      </w:r>
      <w:r w:rsidRPr="007139F7">
        <w:rPr>
          <w:rFonts w:eastAsia="Calibri" w:cs="Times New Roman"/>
          <w:sz w:val="28"/>
          <w:szCs w:val="28"/>
          <w:lang w:val="en-US"/>
        </w:rPr>
        <w:t>L</w:t>
      </w:r>
      <w:r w:rsidRPr="007139F7">
        <w:rPr>
          <w:rFonts w:eastAsia="Calibri" w:cs="Times New Roman"/>
          <w:sz w:val="28"/>
          <w:szCs w:val="28"/>
        </w:rPr>
        <w:t>-</w:t>
      </w:r>
      <w:r w:rsidRPr="007139F7">
        <w:rPr>
          <w:rFonts w:eastAsia="Calibri" w:cs="Times New Roman"/>
          <w:sz w:val="28"/>
          <w:szCs w:val="28"/>
          <w:lang w:val="en-GB"/>
        </w:rPr>
        <w:t>PRF</w:t>
      </w:r>
      <w:r w:rsidRPr="007139F7">
        <w:rPr>
          <w:rFonts w:eastAsia="Calibri" w:cs="Times New Roman"/>
          <w:sz w:val="28"/>
          <w:szCs w:val="28"/>
        </w:rPr>
        <w:t xml:space="preserve"> мембрани, яка стимулює оптимальні процеси репаративного остеогенезу [193, 203-205]. </w:t>
      </w:r>
    </w:p>
    <w:p w:rsidR="007139F7" w:rsidRPr="007139F7" w:rsidRDefault="007139F7" w:rsidP="007139F7">
      <w:pPr>
        <w:spacing w:after="0" w:line="360" w:lineRule="auto"/>
        <w:ind w:firstLine="720"/>
        <w:jc w:val="both"/>
        <w:rPr>
          <w:rFonts w:eastAsia="Calibri" w:cs="Times New Roman"/>
          <w:sz w:val="28"/>
          <w:szCs w:val="28"/>
          <w:lang w:val="ru-RU"/>
        </w:rPr>
      </w:pPr>
      <w:r w:rsidRPr="007139F7">
        <w:rPr>
          <w:rFonts w:eastAsia="Calibri" w:cs="Times New Roman"/>
          <w:sz w:val="28"/>
          <w:szCs w:val="28"/>
        </w:rPr>
        <w:t>За дентальної імплантації аутологічний тромбоцитарний згусток вірогідно прискорює осифікацію після видалення зуба та/або навколо титанових імплантів. Кінцевим результатом даного процесу є значне скорочення часу, необхідного для стабілізації імплантата та покращення коефіцієнту успішності</w:t>
      </w:r>
      <w:r w:rsidRPr="007139F7">
        <w:rPr>
          <w:rFonts w:eastAsia="Calibri" w:cs="Times New Roman"/>
          <w:sz w:val="28"/>
          <w:szCs w:val="28"/>
          <w:lang w:val="ru-RU"/>
        </w:rPr>
        <w:t xml:space="preserve"> [151, 162, 206, 207]</w:t>
      </w:r>
      <w:r w:rsidRPr="007139F7">
        <w:rPr>
          <w:rFonts w:eastAsia="Calibri" w:cs="Times New Roman"/>
          <w:sz w:val="28"/>
          <w:szCs w:val="28"/>
        </w:rPr>
        <w:t>.</w:t>
      </w:r>
    </w:p>
    <w:p w:rsidR="007139F7" w:rsidRPr="007139F7" w:rsidRDefault="007139F7" w:rsidP="007139F7">
      <w:pPr>
        <w:spacing w:after="0" w:line="360" w:lineRule="auto"/>
        <w:ind w:firstLine="720"/>
        <w:jc w:val="both"/>
        <w:rPr>
          <w:rFonts w:eastAsia="Calibri" w:cs="Times New Roman"/>
          <w:sz w:val="28"/>
          <w:szCs w:val="28"/>
        </w:rPr>
      </w:pPr>
      <w:r w:rsidRPr="007139F7">
        <w:rPr>
          <w:rFonts w:eastAsia="Calibri" w:cs="Times New Roman"/>
          <w:sz w:val="28"/>
          <w:szCs w:val="28"/>
        </w:rPr>
        <w:t xml:space="preserve">Також </w:t>
      </w:r>
      <w:r w:rsidRPr="007139F7">
        <w:rPr>
          <w:rFonts w:eastAsia="Calibri" w:cs="Times New Roman"/>
          <w:sz w:val="28"/>
          <w:szCs w:val="28"/>
          <w:lang w:val="en-GB"/>
        </w:rPr>
        <w:t>PRF</w:t>
      </w:r>
      <w:r w:rsidRPr="007139F7">
        <w:rPr>
          <w:rFonts w:eastAsia="Calibri" w:cs="Times New Roman"/>
          <w:sz w:val="28"/>
          <w:szCs w:val="28"/>
        </w:rPr>
        <w:t xml:space="preserve"> може застосовуватися у вигляді суміші із кістковим трансплантатом для заміщення дефектів кісткової тканини, що значно зменшує обсяг необхідного кісткового матеріалу та покращує процеси реваскуляризації кісткового трансплантата</w:t>
      </w:r>
      <w:r w:rsidRPr="007139F7">
        <w:rPr>
          <w:rFonts w:eastAsia="Calibri" w:cs="Times New Roman"/>
          <w:sz w:val="28"/>
          <w:szCs w:val="28"/>
          <w:lang w:val="ru-RU"/>
        </w:rPr>
        <w:t xml:space="preserve"> [205]</w:t>
      </w:r>
      <w:r w:rsidRPr="007139F7">
        <w:rPr>
          <w:rFonts w:eastAsia="Calibri" w:cs="Times New Roman"/>
          <w:sz w:val="28"/>
          <w:szCs w:val="28"/>
        </w:rPr>
        <w:t xml:space="preserve">. Це підтверджується гістоморфометричною оцінкою щільності кісткової тканини в трансплантатах, яка збільшується при додаванні </w:t>
      </w:r>
      <w:r w:rsidRPr="007139F7">
        <w:rPr>
          <w:rFonts w:eastAsia="Calibri" w:cs="Times New Roman"/>
          <w:sz w:val="28"/>
          <w:szCs w:val="28"/>
          <w:lang w:val="en-GB"/>
        </w:rPr>
        <w:t>PRF</w:t>
      </w:r>
      <w:r w:rsidRPr="007139F7">
        <w:rPr>
          <w:rFonts w:eastAsia="Calibri" w:cs="Times New Roman"/>
          <w:sz w:val="28"/>
          <w:szCs w:val="28"/>
        </w:rPr>
        <w:t xml:space="preserve"> [160].</w:t>
      </w:r>
    </w:p>
    <w:p w:rsidR="007139F7" w:rsidRPr="007139F7" w:rsidRDefault="007139F7" w:rsidP="007139F7">
      <w:pPr>
        <w:tabs>
          <w:tab w:val="left" w:pos="5430"/>
        </w:tabs>
        <w:spacing w:after="0" w:line="360" w:lineRule="auto"/>
        <w:ind w:firstLine="720"/>
        <w:jc w:val="both"/>
        <w:rPr>
          <w:rFonts w:eastAsia="Calibri" w:cs="Times New Roman"/>
          <w:sz w:val="28"/>
          <w:szCs w:val="28"/>
        </w:rPr>
      </w:pPr>
      <w:r w:rsidRPr="007139F7">
        <w:rPr>
          <w:rFonts w:eastAsia="Calibri" w:cs="Times New Roman"/>
          <w:sz w:val="28"/>
          <w:szCs w:val="28"/>
        </w:rPr>
        <w:t xml:space="preserve">Згідно даних </w:t>
      </w:r>
      <w:hyperlink r:id="rId13" w:history="1">
        <w:r w:rsidRPr="007139F7">
          <w:rPr>
            <w:rFonts w:eastAsia="Calibri" w:cs="Times New Roman"/>
            <w:sz w:val="28"/>
            <w:szCs w:val="28"/>
            <w:lang w:val="en-GB"/>
          </w:rPr>
          <w:t>Cortese</w:t>
        </w:r>
        <w:r w:rsidRPr="007139F7">
          <w:rPr>
            <w:rFonts w:eastAsia="Calibri" w:cs="Times New Roman"/>
            <w:sz w:val="28"/>
            <w:szCs w:val="28"/>
            <w:lang w:val="ru-RU"/>
          </w:rPr>
          <w:t xml:space="preserve"> </w:t>
        </w:r>
        <w:r w:rsidRPr="007139F7">
          <w:rPr>
            <w:rFonts w:eastAsia="Calibri" w:cs="Times New Roman"/>
            <w:sz w:val="28"/>
            <w:szCs w:val="28"/>
            <w:lang w:val="en-GB"/>
          </w:rPr>
          <w:t>A</w:t>
        </w:r>
      </w:hyperlink>
      <w:r w:rsidRPr="007139F7">
        <w:rPr>
          <w:rFonts w:eastAsia="Calibri" w:cs="Times New Roman"/>
          <w:sz w:val="28"/>
          <w:szCs w:val="28"/>
        </w:rPr>
        <w:t xml:space="preserve">. 2016 </w:t>
      </w:r>
      <w:r w:rsidRPr="007139F7">
        <w:rPr>
          <w:rFonts w:eastAsia="Calibri" w:cs="Times New Roman"/>
          <w:sz w:val="28"/>
          <w:szCs w:val="28"/>
          <w:lang w:val="en-GB"/>
        </w:rPr>
        <w:t>PRF</w:t>
      </w:r>
      <w:r w:rsidRPr="007139F7">
        <w:rPr>
          <w:rFonts w:eastAsia="Calibri" w:cs="Times New Roman"/>
          <w:sz w:val="28"/>
          <w:szCs w:val="28"/>
        </w:rPr>
        <w:t xml:space="preserve">-мембрани можуть використовуватися для закриття титанових конструкцій при проведенні хірургічного лікування </w:t>
      </w:r>
      <w:r w:rsidRPr="007139F7">
        <w:rPr>
          <w:rFonts w:eastAsia="Calibri" w:cs="Times New Roman"/>
          <w:sz w:val="28"/>
          <w:szCs w:val="28"/>
        </w:rPr>
        <w:lastRenderedPageBreak/>
        <w:t xml:space="preserve">переломів орбіто-виличного комплексу. </w:t>
      </w:r>
      <w:r w:rsidRPr="007139F7">
        <w:rPr>
          <w:rFonts w:eastAsia="Calibri" w:cs="Times New Roman"/>
          <w:sz w:val="28"/>
          <w:szCs w:val="28"/>
          <w:lang w:val="en-GB"/>
        </w:rPr>
        <w:t>PRF</w:t>
      </w:r>
      <w:r w:rsidRPr="007139F7">
        <w:rPr>
          <w:rFonts w:eastAsia="Calibri" w:cs="Times New Roman"/>
          <w:sz w:val="28"/>
          <w:szCs w:val="28"/>
        </w:rPr>
        <w:t xml:space="preserve"> попереджує утворення естетичних дефектів та функціональних порушеннь при лікування даного виду травми, забезпечуючи як стимуляцію репаративного остеогенезу, так і оптимізацію формування рубцевої тканини [208].</w:t>
      </w:r>
    </w:p>
    <w:p w:rsidR="007139F7" w:rsidRPr="007139F7" w:rsidRDefault="007139F7" w:rsidP="007139F7">
      <w:pPr>
        <w:tabs>
          <w:tab w:val="left" w:pos="5430"/>
        </w:tabs>
        <w:spacing w:after="0" w:line="360" w:lineRule="auto"/>
        <w:ind w:firstLine="720"/>
        <w:jc w:val="both"/>
        <w:rPr>
          <w:rFonts w:eastAsia="Calibri" w:cs="Times New Roman"/>
          <w:sz w:val="28"/>
          <w:szCs w:val="28"/>
        </w:rPr>
      </w:pPr>
      <w:r w:rsidRPr="007139F7">
        <w:rPr>
          <w:rFonts w:eastAsia="Calibri" w:cs="Times New Roman"/>
          <w:sz w:val="28"/>
          <w:szCs w:val="28"/>
        </w:rPr>
        <w:t xml:space="preserve">Отже, використання </w:t>
      </w:r>
      <w:r w:rsidRPr="007139F7">
        <w:rPr>
          <w:rFonts w:eastAsia="Calibri" w:cs="Times New Roman"/>
          <w:sz w:val="28"/>
          <w:szCs w:val="28"/>
          <w:lang w:val="en-GB"/>
        </w:rPr>
        <w:t>PRF</w:t>
      </w:r>
      <w:r w:rsidRPr="007139F7">
        <w:rPr>
          <w:rFonts w:eastAsia="Calibri" w:cs="Times New Roman"/>
          <w:sz w:val="28"/>
          <w:szCs w:val="28"/>
        </w:rPr>
        <w:t xml:space="preserve"> обумовлює прискорення процесів репаративної регенерації у різних типах тканин, сприяючи покращенню результатів лікування. </w:t>
      </w:r>
    </w:p>
    <w:p w:rsidR="007139F7" w:rsidRPr="007139F7" w:rsidRDefault="007139F7" w:rsidP="007139F7">
      <w:pPr>
        <w:spacing w:after="0" w:line="360" w:lineRule="auto"/>
        <w:ind w:left="23" w:right="23" w:firstLine="697"/>
        <w:jc w:val="both"/>
        <w:rPr>
          <w:rFonts w:eastAsia="Calibri" w:cs="Times New Roman"/>
          <w:sz w:val="28"/>
          <w:szCs w:val="28"/>
        </w:rPr>
      </w:pPr>
      <w:r w:rsidRPr="007139F7">
        <w:rPr>
          <w:rFonts w:eastAsia="Calibri" w:cs="Times New Roman"/>
          <w:sz w:val="28"/>
          <w:szCs w:val="28"/>
        </w:rPr>
        <w:t>Таким чином, хірургічне лікування таких вроджених аномалій розвитку, як бранхіогенні кісти шиї потребує інтраопераційної профілактики та лікування патологічних рубців, які виникають після проведення оперативного втручання. Натепер існує висока різноманітність методів профілактики та лікування патологічних рубців, які мають різну ефективність. Поєднання хірургічного лікування бічних кіст шиї із використання збагаченого тромбоцитами фібрину (</w:t>
      </w:r>
      <w:r w:rsidRPr="007139F7">
        <w:rPr>
          <w:rFonts w:eastAsia="Calibri" w:cs="Times New Roman"/>
          <w:sz w:val="28"/>
          <w:szCs w:val="28"/>
          <w:lang w:val="en-US"/>
        </w:rPr>
        <w:t>PRF</w:t>
      </w:r>
      <w:r w:rsidRPr="007139F7">
        <w:rPr>
          <w:rFonts w:eastAsia="Calibri" w:cs="Times New Roman"/>
          <w:sz w:val="28"/>
          <w:szCs w:val="28"/>
        </w:rPr>
        <w:t>), який має широкий спектр біологічних властивостей, на нашу думку є новітнім, ефективним та економічним методом лікування та профілактики утворення патологічної рубцевої тканини при проведенні усіх етапів хірургічних втручань.</w:t>
      </w:r>
    </w:p>
    <w:p w:rsidR="007139F7" w:rsidRPr="007139F7" w:rsidRDefault="007139F7" w:rsidP="007139F7">
      <w:pPr>
        <w:spacing w:after="0" w:line="360" w:lineRule="auto"/>
        <w:ind w:firstLine="708"/>
        <w:contextualSpacing/>
        <w:jc w:val="both"/>
        <w:rPr>
          <w:rFonts w:eastAsia="Times New Roman" w:cs="Times New Roman"/>
          <w:sz w:val="28"/>
          <w:szCs w:val="28"/>
          <w:lang w:val="ru-RU"/>
        </w:rPr>
      </w:pPr>
      <w:r w:rsidRPr="007139F7">
        <w:rPr>
          <w:rFonts w:eastAsia="Times New Roman" w:cs="Times New Roman"/>
          <w:snapToGrid w:val="0"/>
          <w:sz w:val="28"/>
          <w:szCs w:val="28"/>
          <w:lang w:val="ru-RU"/>
        </w:rPr>
        <w:t>Дані, що наведені в розділі викладені в наступних працях:</w:t>
      </w:r>
    </w:p>
    <w:p w:rsidR="007139F7" w:rsidRPr="007139F7" w:rsidRDefault="007139F7" w:rsidP="007139F7">
      <w:pPr>
        <w:spacing w:after="0" w:line="360" w:lineRule="auto"/>
        <w:ind w:firstLine="708"/>
        <w:contextualSpacing/>
        <w:jc w:val="both"/>
        <w:rPr>
          <w:rFonts w:eastAsia="Calibri" w:cs="Times New Roman"/>
          <w:b/>
          <w:sz w:val="28"/>
          <w:szCs w:val="28"/>
        </w:rPr>
      </w:pPr>
      <w:r w:rsidRPr="007139F7">
        <w:rPr>
          <w:rFonts w:eastAsia="Times New Roman" w:cs="Times New Roman"/>
          <w:sz w:val="28"/>
          <w:szCs w:val="20"/>
          <w:lang w:eastAsia="uk-UA"/>
        </w:rPr>
        <w:t xml:space="preserve">Сучасний погляд на експериментальне і клінічне обґрунтування використання PRF у процесі репаративної регенерації шкіри / </w:t>
      </w:r>
      <w:r w:rsidRPr="007139F7">
        <w:rPr>
          <w:rFonts w:eastAsia="Times New Roman" w:cs="Times New Roman"/>
          <w:b/>
          <w:sz w:val="28"/>
          <w:szCs w:val="20"/>
          <w:lang w:eastAsia="uk-UA"/>
        </w:rPr>
        <w:t>Л.Р. Криничко</w:t>
      </w:r>
      <w:r w:rsidRPr="007139F7">
        <w:rPr>
          <w:rFonts w:eastAsia="Times New Roman" w:cs="Times New Roman"/>
          <w:sz w:val="28"/>
          <w:szCs w:val="20"/>
          <w:lang w:eastAsia="uk-UA"/>
        </w:rPr>
        <w:t>, С.М. Григоров, Д.В. Стебловський [та ін.] // Український стоматологічний альманах. – 2018. - №2. – С. 45-48.</w:t>
      </w:r>
      <w:r w:rsidRPr="007139F7">
        <w:rPr>
          <w:rFonts w:eastAsia="Calibri" w:cs="Times New Roman"/>
          <w:b/>
          <w:sz w:val="28"/>
          <w:szCs w:val="28"/>
        </w:rPr>
        <w:br w:type="page"/>
      </w:r>
    </w:p>
    <w:p w:rsidR="0030517B" w:rsidRPr="00CA099F" w:rsidRDefault="0030517B" w:rsidP="0030517B">
      <w:pPr>
        <w:spacing w:after="0" w:line="360" w:lineRule="auto"/>
        <w:jc w:val="center"/>
        <w:rPr>
          <w:rFonts w:eastAsia="SimSun" w:cs="Times New Roman"/>
          <w:b/>
          <w:sz w:val="28"/>
          <w:szCs w:val="28"/>
          <w:lang w:eastAsia="zh-CN"/>
        </w:rPr>
      </w:pPr>
      <w:r w:rsidRPr="00CA099F">
        <w:rPr>
          <w:rFonts w:eastAsia="SimSun" w:cs="Times New Roman"/>
          <w:b/>
          <w:sz w:val="28"/>
          <w:szCs w:val="28"/>
          <w:lang w:eastAsia="zh-CN"/>
        </w:rPr>
        <w:lastRenderedPageBreak/>
        <w:t>РОЗДІЛ 2</w:t>
      </w:r>
    </w:p>
    <w:p w:rsidR="0030517B" w:rsidRPr="00CA099F" w:rsidRDefault="0030517B" w:rsidP="0030517B">
      <w:pPr>
        <w:spacing w:after="0" w:line="360" w:lineRule="auto"/>
        <w:jc w:val="center"/>
        <w:rPr>
          <w:rFonts w:eastAsia="SimSun" w:cs="Times New Roman"/>
          <w:b/>
          <w:sz w:val="28"/>
          <w:szCs w:val="28"/>
          <w:lang w:eastAsia="zh-CN"/>
        </w:rPr>
      </w:pPr>
    </w:p>
    <w:p w:rsidR="0030517B" w:rsidRPr="00CA099F" w:rsidRDefault="0030517B" w:rsidP="0030517B">
      <w:pPr>
        <w:spacing w:after="0" w:line="360" w:lineRule="auto"/>
        <w:jc w:val="center"/>
        <w:rPr>
          <w:rFonts w:eastAsia="SimSun" w:cs="Times New Roman"/>
          <w:b/>
          <w:sz w:val="28"/>
          <w:szCs w:val="28"/>
          <w:lang w:eastAsia="zh-CN"/>
        </w:rPr>
      </w:pPr>
    </w:p>
    <w:p w:rsidR="0030517B" w:rsidRPr="00CA099F" w:rsidRDefault="0030517B" w:rsidP="0030517B">
      <w:pPr>
        <w:spacing w:after="0" w:line="360" w:lineRule="auto"/>
        <w:jc w:val="center"/>
        <w:rPr>
          <w:rFonts w:eastAsia="SimSun" w:cs="Times New Roman"/>
          <w:b/>
          <w:sz w:val="28"/>
          <w:szCs w:val="28"/>
          <w:lang w:eastAsia="zh-CN"/>
        </w:rPr>
      </w:pPr>
      <w:r w:rsidRPr="00CA099F">
        <w:rPr>
          <w:rFonts w:eastAsia="SimSun" w:cs="Times New Roman"/>
          <w:b/>
          <w:sz w:val="28"/>
          <w:szCs w:val="28"/>
          <w:lang w:eastAsia="zh-CN"/>
        </w:rPr>
        <w:t>МАТЕРІАЛ ТА МЕТОДИ ДОСЛІДЖЕННЯ</w:t>
      </w:r>
    </w:p>
    <w:p w:rsidR="0030517B" w:rsidRPr="00CA099F" w:rsidRDefault="0030517B" w:rsidP="0030517B">
      <w:pPr>
        <w:spacing w:after="0" w:line="360" w:lineRule="auto"/>
        <w:jc w:val="center"/>
        <w:rPr>
          <w:rFonts w:eastAsia="SimSun" w:cs="Times New Roman"/>
          <w:b/>
          <w:sz w:val="28"/>
          <w:szCs w:val="28"/>
          <w:lang w:eastAsia="zh-CN"/>
        </w:rPr>
      </w:pPr>
    </w:p>
    <w:p w:rsidR="0030517B" w:rsidRPr="00CA099F" w:rsidRDefault="0030517B" w:rsidP="0030517B">
      <w:pPr>
        <w:spacing w:after="0" w:line="360" w:lineRule="auto"/>
        <w:jc w:val="center"/>
        <w:rPr>
          <w:rFonts w:eastAsia="SimSun" w:cs="Times New Roman"/>
          <w:b/>
          <w:sz w:val="28"/>
          <w:szCs w:val="28"/>
          <w:lang w:eastAsia="zh-CN"/>
        </w:rPr>
      </w:pPr>
    </w:p>
    <w:p w:rsidR="0030517B" w:rsidRPr="00CA099F" w:rsidRDefault="0030517B" w:rsidP="0030517B">
      <w:pPr>
        <w:spacing w:after="0" w:line="360" w:lineRule="auto"/>
        <w:ind w:firstLine="708"/>
        <w:rPr>
          <w:rFonts w:eastAsia="SimSun" w:cs="Times New Roman"/>
          <w:b/>
          <w:sz w:val="28"/>
          <w:szCs w:val="28"/>
          <w:lang w:eastAsia="zh-CN"/>
        </w:rPr>
      </w:pPr>
      <w:r w:rsidRPr="00CA099F">
        <w:rPr>
          <w:rFonts w:eastAsia="SimSun" w:cs="Times New Roman"/>
          <w:b/>
          <w:sz w:val="28"/>
          <w:szCs w:val="28"/>
          <w:lang w:eastAsia="zh-CN"/>
        </w:rPr>
        <w:t xml:space="preserve">2.1 Загальна характеристика контингенту </w:t>
      </w:r>
      <w:r w:rsidR="00D96DA9">
        <w:rPr>
          <w:rFonts w:eastAsia="SimSun" w:cs="Times New Roman"/>
          <w:b/>
          <w:sz w:val="28"/>
          <w:szCs w:val="28"/>
          <w:lang w:eastAsia="zh-CN"/>
        </w:rPr>
        <w:t>пацієнтів</w:t>
      </w:r>
    </w:p>
    <w:p w:rsidR="0030517B" w:rsidRPr="00CA099F" w:rsidRDefault="0030517B" w:rsidP="0030517B">
      <w:pPr>
        <w:spacing w:after="0" w:line="360" w:lineRule="auto"/>
        <w:jc w:val="both"/>
        <w:rPr>
          <w:rFonts w:eastAsia="SimSun" w:cs="Times New Roman"/>
          <w:sz w:val="28"/>
          <w:szCs w:val="28"/>
          <w:lang w:eastAsia="zh-CN"/>
        </w:rPr>
      </w:pPr>
    </w:p>
    <w:p w:rsidR="00F17177" w:rsidRPr="00F17177" w:rsidRDefault="00F17177" w:rsidP="00F17177">
      <w:pPr>
        <w:spacing w:after="0" w:line="360" w:lineRule="auto"/>
        <w:ind w:firstLine="708"/>
        <w:jc w:val="both"/>
        <w:rPr>
          <w:rFonts w:eastAsia="SimSun" w:cs="Times New Roman"/>
          <w:sz w:val="28"/>
          <w:szCs w:val="28"/>
          <w:lang w:eastAsia="zh-CN"/>
        </w:rPr>
      </w:pPr>
      <w:r w:rsidRPr="00F17177">
        <w:rPr>
          <w:rFonts w:eastAsia="SimSun" w:cs="Times New Roman"/>
          <w:sz w:val="28"/>
          <w:szCs w:val="28"/>
          <w:lang w:eastAsia="zh-CN"/>
        </w:rPr>
        <w:t>Клінічні дослідження проводилися на базі стоматологічного відділення Харківської обласної клінічної лікарні, відділення щелепно-лицевої хірургії Полтавської обласної клінічної лікарні ім. Скліфосовського та Київського міського центру щелепно-лицевої хірургії. Було обстежено 60 пацієнтів з тіреоглосальними та бранхіогенними кістами шиї, з яких було сформовано дві основні групи спостереження та групу контролю. Пацієнти на момент дослідження не мали супутніх захворювань, однак, при необхідності, їх консультували лікарі інших спеціальностей.</w:t>
      </w:r>
    </w:p>
    <w:p w:rsidR="00F17177" w:rsidRPr="00F17177" w:rsidRDefault="00F17177" w:rsidP="00F17177">
      <w:pPr>
        <w:spacing w:after="0" w:line="360" w:lineRule="auto"/>
        <w:ind w:firstLine="708"/>
        <w:jc w:val="both"/>
        <w:rPr>
          <w:rFonts w:eastAsia="SimSun" w:cs="Times New Roman"/>
          <w:sz w:val="28"/>
          <w:szCs w:val="28"/>
          <w:lang w:eastAsia="zh-CN"/>
        </w:rPr>
      </w:pPr>
      <w:r w:rsidRPr="00F17177">
        <w:rPr>
          <w:rFonts w:eastAsia="SimSun" w:cs="Times New Roman"/>
          <w:sz w:val="28"/>
          <w:szCs w:val="28"/>
          <w:lang w:eastAsia="zh-CN"/>
        </w:rPr>
        <w:t>У таблиці 2.1 наведено кількість оперативних втручань проведених з приводу кіст ембріонального походження в залежності від їх анатомічної локалізації.</w:t>
      </w:r>
    </w:p>
    <w:p w:rsidR="00F17177" w:rsidRPr="00F17177" w:rsidRDefault="00F17177" w:rsidP="00F17177">
      <w:pPr>
        <w:spacing w:after="0" w:line="360" w:lineRule="auto"/>
        <w:jc w:val="right"/>
        <w:rPr>
          <w:rFonts w:eastAsia="SimSun" w:cs="Times New Roman"/>
          <w:i/>
          <w:sz w:val="28"/>
          <w:szCs w:val="28"/>
          <w:lang w:eastAsia="zh-CN"/>
        </w:rPr>
      </w:pPr>
      <w:r w:rsidRPr="00F17177">
        <w:rPr>
          <w:rFonts w:eastAsia="SimSun" w:cs="Times New Roman"/>
          <w:i/>
          <w:sz w:val="28"/>
          <w:szCs w:val="28"/>
          <w:lang w:eastAsia="zh-CN"/>
        </w:rPr>
        <w:t>Таблиця 2.1</w:t>
      </w:r>
    </w:p>
    <w:p w:rsidR="00F17177" w:rsidRPr="00F17177" w:rsidRDefault="00F17177" w:rsidP="00F17177">
      <w:pPr>
        <w:spacing w:after="0" w:line="360" w:lineRule="auto"/>
        <w:jc w:val="center"/>
        <w:rPr>
          <w:rFonts w:eastAsia="SimSun" w:cs="Times New Roman"/>
          <w:b/>
          <w:sz w:val="28"/>
          <w:szCs w:val="28"/>
          <w:lang w:eastAsia="zh-CN"/>
        </w:rPr>
      </w:pPr>
      <w:r w:rsidRPr="00F17177">
        <w:rPr>
          <w:rFonts w:eastAsia="SimSun" w:cs="Times New Roman"/>
          <w:b/>
          <w:sz w:val="28"/>
          <w:szCs w:val="28"/>
          <w:lang w:eastAsia="zh-CN"/>
        </w:rPr>
        <w:t>Розподіл пацієнтів щодо локалізації кіст шиї ембріонального походження</w:t>
      </w:r>
    </w:p>
    <w:p w:rsidR="00F17177" w:rsidRPr="00F17177" w:rsidRDefault="00F17177" w:rsidP="00F17177">
      <w:pPr>
        <w:spacing w:after="0" w:line="360" w:lineRule="auto"/>
        <w:jc w:val="center"/>
        <w:rPr>
          <w:rFonts w:eastAsia="SimSun" w:cs="Times New Roman"/>
          <w:b/>
          <w:sz w:val="28"/>
          <w:szCs w:val="28"/>
          <w:lang w:eastAsia="zh-C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28"/>
        <w:gridCol w:w="4617"/>
      </w:tblGrid>
      <w:tr w:rsidR="00F17177" w:rsidRPr="00F17177" w:rsidTr="00400041">
        <w:tc>
          <w:tcPr>
            <w:tcW w:w="4786" w:type="dxa"/>
            <w:tcBorders>
              <w:top w:val="single" w:sz="4" w:space="0" w:color="auto"/>
              <w:left w:val="single" w:sz="4" w:space="0" w:color="auto"/>
              <w:bottom w:val="single" w:sz="4" w:space="0" w:color="auto"/>
              <w:right w:val="single" w:sz="4" w:space="0" w:color="auto"/>
            </w:tcBorders>
          </w:tcPr>
          <w:p w:rsidR="00F17177" w:rsidRPr="00F17177" w:rsidRDefault="00F17177" w:rsidP="00F17177">
            <w:pPr>
              <w:spacing w:after="0" w:line="360" w:lineRule="auto"/>
              <w:jc w:val="center"/>
              <w:rPr>
                <w:rFonts w:eastAsia="SimSun" w:cs="Times New Roman"/>
                <w:szCs w:val="28"/>
                <w:lang w:eastAsia="zh-CN"/>
              </w:rPr>
            </w:pPr>
            <w:r w:rsidRPr="00F17177">
              <w:rPr>
                <w:rFonts w:eastAsia="SimSun" w:cs="Times New Roman"/>
                <w:sz w:val="28"/>
                <w:szCs w:val="28"/>
                <w:lang w:eastAsia="zh-CN"/>
              </w:rPr>
              <w:t>Назва ділянки</w:t>
            </w:r>
          </w:p>
        </w:tc>
        <w:tc>
          <w:tcPr>
            <w:tcW w:w="4678" w:type="dxa"/>
            <w:tcBorders>
              <w:top w:val="single" w:sz="4" w:space="0" w:color="auto"/>
              <w:left w:val="single" w:sz="4" w:space="0" w:color="auto"/>
              <w:bottom w:val="single" w:sz="4" w:space="0" w:color="auto"/>
              <w:right w:val="single" w:sz="4" w:space="0" w:color="auto"/>
            </w:tcBorders>
          </w:tcPr>
          <w:p w:rsidR="00F17177" w:rsidRPr="00F17177" w:rsidRDefault="00F17177" w:rsidP="00F17177">
            <w:pPr>
              <w:spacing w:after="0" w:line="360" w:lineRule="auto"/>
              <w:jc w:val="center"/>
              <w:rPr>
                <w:rFonts w:eastAsia="SimSun" w:cs="Times New Roman"/>
                <w:szCs w:val="28"/>
                <w:lang w:eastAsia="zh-CN"/>
              </w:rPr>
            </w:pPr>
            <w:r w:rsidRPr="00F17177">
              <w:rPr>
                <w:rFonts w:eastAsia="SimSun" w:cs="Times New Roman"/>
                <w:sz w:val="28"/>
                <w:szCs w:val="28"/>
                <w:lang w:eastAsia="zh-CN"/>
              </w:rPr>
              <w:t>Кількість втручань</w:t>
            </w:r>
          </w:p>
        </w:tc>
      </w:tr>
      <w:tr w:rsidR="00F17177" w:rsidRPr="00F17177" w:rsidTr="00400041">
        <w:tc>
          <w:tcPr>
            <w:tcW w:w="4786" w:type="dxa"/>
            <w:tcBorders>
              <w:top w:val="single" w:sz="4" w:space="0" w:color="auto"/>
              <w:left w:val="single" w:sz="4" w:space="0" w:color="auto"/>
              <w:bottom w:val="single" w:sz="4" w:space="0" w:color="auto"/>
              <w:right w:val="single" w:sz="4" w:space="0" w:color="auto"/>
            </w:tcBorders>
          </w:tcPr>
          <w:p w:rsidR="00F17177" w:rsidRPr="00F17177" w:rsidRDefault="00F17177" w:rsidP="00F17177">
            <w:pPr>
              <w:spacing w:after="0" w:line="360" w:lineRule="auto"/>
              <w:rPr>
                <w:rFonts w:eastAsia="SimSun" w:cs="Times New Roman"/>
                <w:szCs w:val="28"/>
                <w:lang w:eastAsia="zh-CN"/>
              </w:rPr>
            </w:pPr>
            <w:r w:rsidRPr="00F17177">
              <w:rPr>
                <w:rFonts w:eastAsia="SimSun" w:cs="Times New Roman"/>
                <w:sz w:val="28"/>
                <w:szCs w:val="28"/>
                <w:lang w:eastAsia="zh-CN"/>
              </w:rPr>
              <w:t>Передня поверхня шиї (операції з приводу серединних кіст)</w:t>
            </w:r>
          </w:p>
        </w:tc>
        <w:tc>
          <w:tcPr>
            <w:tcW w:w="4678" w:type="dxa"/>
            <w:tcBorders>
              <w:top w:val="single" w:sz="4" w:space="0" w:color="auto"/>
              <w:left w:val="single" w:sz="4" w:space="0" w:color="auto"/>
              <w:bottom w:val="single" w:sz="4" w:space="0" w:color="auto"/>
              <w:right w:val="single" w:sz="4" w:space="0" w:color="auto"/>
            </w:tcBorders>
          </w:tcPr>
          <w:p w:rsidR="00F17177" w:rsidRPr="00F17177" w:rsidRDefault="00F17177" w:rsidP="00F17177">
            <w:pPr>
              <w:spacing w:after="0" w:line="360" w:lineRule="auto"/>
              <w:jc w:val="center"/>
              <w:rPr>
                <w:rFonts w:eastAsia="SimSun" w:cs="Times New Roman"/>
                <w:szCs w:val="28"/>
                <w:lang w:eastAsia="zh-CN"/>
              </w:rPr>
            </w:pPr>
            <w:r w:rsidRPr="00F17177">
              <w:rPr>
                <w:rFonts w:eastAsia="SimSun" w:cs="Times New Roman"/>
                <w:sz w:val="28"/>
                <w:szCs w:val="28"/>
                <w:lang w:eastAsia="zh-CN"/>
              </w:rPr>
              <w:t>30</w:t>
            </w:r>
          </w:p>
        </w:tc>
      </w:tr>
      <w:tr w:rsidR="00F17177" w:rsidRPr="00F17177" w:rsidTr="00400041">
        <w:tc>
          <w:tcPr>
            <w:tcW w:w="4786" w:type="dxa"/>
            <w:tcBorders>
              <w:top w:val="single" w:sz="4" w:space="0" w:color="auto"/>
              <w:left w:val="single" w:sz="4" w:space="0" w:color="auto"/>
              <w:bottom w:val="single" w:sz="4" w:space="0" w:color="auto"/>
              <w:right w:val="single" w:sz="4" w:space="0" w:color="auto"/>
            </w:tcBorders>
          </w:tcPr>
          <w:p w:rsidR="00F17177" w:rsidRPr="00F17177" w:rsidRDefault="00F17177" w:rsidP="00F17177">
            <w:pPr>
              <w:spacing w:after="0" w:line="360" w:lineRule="auto"/>
              <w:rPr>
                <w:rFonts w:eastAsia="SimSun" w:cs="Times New Roman"/>
                <w:szCs w:val="28"/>
                <w:lang w:eastAsia="zh-CN"/>
              </w:rPr>
            </w:pPr>
            <w:r w:rsidRPr="00F17177">
              <w:rPr>
                <w:rFonts w:eastAsia="SimSun" w:cs="Times New Roman"/>
                <w:sz w:val="28"/>
                <w:szCs w:val="28"/>
                <w:lang w:eastAsia="zh-CN"/>
              </w:rPr>
              <w:t>Бічна поверхня (операції з приводу бокових кіст)</w:t>
            </w:r>
          </w:p>
        </w:tc>
        <w:tc>
          <w:tcPr>
            <w:tcW w:w="4678" w:type="dxa"/>
            <w:tcBorders>
              <w:top w:val="single" w:sz="4" w:space="0" w:color="auto"/>
              <w:left w:val="single" w:sz="4" w:space="0" w:color="auto"/>
              <w:bottom w:val="single" w:sz="4" w:space="0" w:color="auto"/>
              <w:right w:val="single" w:sz="4" w:space="0" w:color="auto"/>
            </w:tcBorders>
          </w:tcPr>
          <w:p w:rsidR="00F17177" w:rsidRPr="00F17177" w:rsidRDefault="00F17177" w:rsidP="00F17177">
            <w:pPr>
              <w:spacing w:after="0" w:line="360" w:lineRule="auto"/>
              <w:jc w:val="center"/>
              <w:rPr>
                <w:rFonts w:eastAsia="SimSun" w:cs="Times New Roman"/>
                <w:szCs w:val="28"/>
                <w:lang w:eastAsia="zh-CN"/>
              </w:rPr>
            </w:pPr>
            <w:r w:rsidRPr="00F17177">
              <w:rPr>
                <w:rFonts w:eastAsia="SimSun" w:cs="Times New Roman"/>
                <w:sz w:val="28"/>
                <w:szCs w:val="28"/>
                <w:lang w:eastAsia="zh-CN"/>
              </w:rPr>
              <w:t>30</w:t>
            </w:r>
          </w:p>
        </w:tc>
      </w:tr>
      <w:tr w:rsidR="00F17177" w:rsidRPr="00F17177" w:rsidTr="00400041">
        <w:tblPrEx>
          <w:tblLook w:val="00A0" w:firstRow="1" w:lastRow="0" w:firstColumn="1" w:lastColumn="0" w:noHBand="0" w:noVBand="0"/>
        </w:tblPrEx>
        <w:tc>
          <w:tcPr>
            <w:tcW w:w="4786" w:type="dxa"/>
            <w:tcBorders>
              <w:top w:val="single" w:sz="4" w:space="0" w:color="auto"/>
              <w:left w:val="single" w:sz="4" w:space="0" w:color="auto"/>
              <w:bottom w:val="single" w:sz="4" w:space="0" w:color="auto"/>
              <w:right w:val="single" w:sz="4" w:space="0" w:color="auto"/>
            </w:tcBorders>
          </w:tcPr>
          <w:p w:rsidR="00F17177" w:rsidRPr="00F17177" w:rsidRDefault="00F17177" w:rsidP="00F17177">
            <w:pPr>
              <w:spacing w:after="0" w:line="360" w:lineRule="auto"/>
              <w:jc w:val="both"/>
              <w:rPr>
                <w:rFonts w:eastAsia="SimSun" w:cs="Times New Roman"/>
                <w:szCs w:val="28"/>
                <w:lang w:eastAsia="zh-CN"/>
              </w:rPr>
            </w:pPr>
            <w:r w:rsidRPr="00F17177">
              <w:rPr>
                <w:rFonts w:eastAsia="SimSun" w:cs="Times New Roman"/>
                <w:sz w:val="28"/>
                <w:szCs w:val="28"/>
                <w:lang w:eastAsia="zh-CN"/>
              </w:rPr>
              <w:t>Всього</w:t>
            </w:r>
          </w:p>
        </w:tc>
        <w:tc>
          <w:tcPr>
            <w:tcW w:w="4678" w:type="dxa"/>
            <w:tcBorders>
              <w:top w:val="single" w:sz="4" w:space="0" w:color="auto"/>
              <w:left w:val="single" w:sz="4" w:space="0" w:color="auto"/>
              <w:bottom w:val="single" w:sz="4" w:space="0" w:color="auto"/>
              <w:right w:val="single" w:sz="4" w:space="0" w:color="auto"/>
            </w:tcBorders>
          </w:tcPr>
          <w:p w:rsidR="00F17177" w:rsidRPr="00F17177" w:rsidRDefault="00F17177" w:rsidP="00F17177">
            <w:pPr>
              <w:spacing w:after="0" w:line="360" w:lineRule="auto"/>
              <w:jc w:val="center"/>
              <w:rPr>
                <w:rFonts w:eastAsia="SimSun" w:cs="Times New Roman"/>
                <w:szCs w:val="28"/>
                <w:lang w:eastAsia="zh-CN"/>
              </w:rPr>
            </w:pPr>
            <w:r w:rsidRPr="00F17177">
              <w:rPr>
                <w:rFonts w:eastAsia="SimSun" w:cs="Times New Roman"/>
                <w:sz w:val="28"/>
                <w:szCs w:val="28"/>
                <w:lang w:eastAsia="zh-CN"/>
              </w:rPr>
              <w:t>60</w:t>
            </w:r>
          </w:p>
        </w:tc>
      </w:tr>
    </w:tbl>
    <w:p w:rsidR="00F17177" w:rsidRPr="00F17177" w:rsidRDefault="00F17177" w:rsidP="00F17177">
      <w:pPr>
        <w:spacing w:after="0" w:line="360" w:lineRule="auto"/>
        <w:jc w:val="both"/>
        <w:rPr>
          <w:rFonts w:eastAsia="SimSun" w:cs="Times New Roman"/>
          <w:sz w:val="28"/>
          <w:szCs w:val="28"/>
          <w:lang w:eastAsia="zh-CN"/>
        </w:rPr>
      </w:pPr>
    </w:p>
    <w:p w:rsidR="00F17177" w:rsidRPr="00F17177" w:rsidRDefault="00F17177" w:rsidP="00F17177">
      <w:pPr>
        <w:spacing w:after="0" w:line="360" w:lineRule="auto"/>
        <w:ind w:firstLine="708"/>
        <w:jc w:val="both"/>
        <w:rPr>
          <w:rFonts w:eastAsia="SimSun" w:cs="Times New Roman"/>
          <w:sz w:val="28"/>
          <w:szCs w:val="28"/>
          <w:lang w:eastAsia="zh-CN"/>
        </w:rPr>
      </w:pPr>
      <w:r w:rsidRPr="00F17177">
        <w:rPr>
          <w:rFonts w:eastAsia="SimSun" w:cs="Times New Roman"/>
          <w:sz w:val="28"/>
          <w:szCs w:val="28"/>
          <w:lang w:eastAsia="zh-CN"/>
        </w:rPr>
        <w:lastRenderedPageBreak/>
        <w:t>Вік хворих знаходився у межах від 19 до 50 років. Кількість чоловіків та жінок відібрана в групи спостереження була майже однакова.</w:t>
      </w:r>
    </w:p>
    <w:p w:rsidR="00F17177" w:rsidRPr="00F17177" w:rsidRDefault="00F17177" w:rsidP="00F17177">
      <w:pPr>
        <w:spacing w:after="0" w:line="360" w:lineRule="auto"/>
        <w:ind w:firstLine="708"/>
        <w:jc w:val="both"/>
        <w:rPr>
          <w:rFonts w:eastAsia="SimSun" w:cs="Times New Roman"/>
          <w:sz w:val="28"/>
          <w:szCs w:val="28"/>
          <w:lang w:eastAsia="zh-CN"/>
        </w:rPr>
      </w:pPr>
      <w:r w:rsidRPr="00F17177">
        <w:rPr>
          <w:rFonts w:eastAsia="SimSun" w:cs="Times New Roman"/>
          <w:sz w:val="28"/>
          <w:szCs w:val="28"/>
          <w:lang w:eastAsia="zh-CN"/>
        </w:rPr>
        <w:t>Розподіл пацієнтів за віком та статтю наведено у таблиці 2.2.</w:t>
      </w:r>
    </w:p>
    <w:p w:rsidR="00F17177" w:rsidRPr="00F17177" w:rsidRDefault="00F17177" w:rsidP="00F17177">
      <w:pPr>
        <w:spacing w:after="0" w:line="360" w:lineRule="auto"/>
        <w:jc w:val="right"/>
        <w:rPr>
          <w:rFonts w:eastAsia="SimSun" w:cs="Times New Roman"/>
          <w:i/>
          <w:sz w:val="28"/>
          <w:szCs w:val="28"/>
          <w:lang w:eastAsia="zh-CN"/>
        </w:rPr>
      </w:pPr>
      <w:r w:rsidRPr="00F17177">
        <w:rPr>
          <w:rFonts w:eastAsia="SimSun" w:cs="Times New Roman"/>
          <w:i/>
          <w:sz w:val="28"/>
          <w:szCs w:val="28"/>
          <w:lang w:eastAsia="zh-CN"/>
        </w:rPr>
        <w:t>Таблиця 2.2</w:t>
      </w:r>
    </w:p>
    <w:p w:rsidR="00F17177" w:rsidRPr="00F17177" w:rsidRDefault="00F17177" w:rsidP="00F17177">
      <w:pPr>
        <w:spacing w:after="0" w:line="360" w:lineRule="auto"/>
        <w:jc w:val="center"/>
        <w:rPr>
          <w:rFonts w:eastAsia="SimSun" w:cs="Times New Roman"/>
          <w:b/>
          <w:sz w:val="28"/>
          <w:szCs w:val="28"/>
          <w:lang w:eastAsia="zh-CN"/>
        </w:rPr>
      </w:pPr>
      <w:r w:rsidRPr="00F17177">
        <w:rPr>
          <w:rFonts w:eastAsia="SimSun" w:cs="Times New Roman"/>
          <w:b/>
          <w:sz w:val="28"/>
          <w:szCs w:val="28"/>
          <w:lang w:eastAsia="zh-CN"/>
        </w:rPr>
        <w:t>Розподіл пацієнтів за віком та статтю</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14"/>
        <w:gridCol w:w="1125"/>
        <w:gridCol w:w="1314"/>
        <w:gridCol w:w="1125"/>
        <w:gridCol w:w="1314"/>
        <w:gridCol w:w="1125"/>
        <w:gridCol w:w="2028"/>
      </w:tblGrid>
      <w:tr w:rsidR="00F17177" w:rsidRPr="00F17177" w:rsidTr="00400041">
        <w:trPr>
          <w:trHeight w:val="514"/>
        </w:trPr>
        <w:tc>
          <w:tcPr>
            <w:tcW w:w="2444" w:type="dxa"/>
            <w:gridSpan w:val="2"/>
            <w:tcBorders>
              <w:top w:val="single" w:sz="4" w:space="0" w:color="auto"/>
              <w:left w:val="single" w:sz="4" w:space="0" w:color="auto"/>
              <w:bottom w:val="single" w:sz="4" w:space="0" w:color="auto"/>
              <w:right w:val="single" w:sz="4" w:space="0" w:color="auto"/>
            </w:tcBorders>
          </w:tcPr>
          <w:p w:rsidR="00F17177" w:rsidRPr="00F17177" w:rsidRDefault="00F17177" w:rsidP="00F17177">
            <w:pPr>
              <w:spacing w:after="0" w:line="360" w:lineRule="auto"/>
              <w:jc w:val="center"/>
              <w:rPr>
                <w:rFonts w:eastAsia="SimSun" w:cs="Times New Roman"/>
                <w:szCs w:val="28"/>
                <w:lang w:eastAsia="zh-CN"/>
              </w:rPr>
            </w:pPr>
            <w:r w:rsidRPr="00F17177">
              <w:rPr>
                <w:rFonts w:eastAsia="SimSun" w:cs="Times New Roman"/>
                <w:sz w:val="28"/>
                <w:szCs w:val="28"/>
                <w:lang w:eastAsia="zh-CN"/>
              </w:rPr>
              <w:t>19-30 років</w:t>
            </w:r>
          </w:p>
        </w:tc>
        <w:tc>
          <w:tcPr>
            <w:tcW w:w="2444" w:type="dxa"/>
            <w:gridSpan w:val="2"/>
            <w:tcBorders>
              <w:top w:val="single" w:sz="4" w:space="0" w:color="auto"/>
              <w:left w:val="single" w:sz="4" w:space="0" w:color="auto"/>
              <w:bottom w:val="single" w:sz="4" w:space="0" w:color="auto"/>
              <w:right w:val="single" w:sz="4" w:space="0" w:color="auto"/>
            </w:tcBorders>
          </w:tcPr>
          <w:p w:rsidR="00F17177" w:rsidRPr="00F17177" w:rsidRDefault="00F17177" w:rsidP="00F17177">
            <w:pPr>
              <w:spacing w:after="0" w:line="360" w:lineRule="auto"/>
              <w:jc w:val="center"/>
              <w:rPr>
                <w:rFonts w:eastAsia="SimSun" w:cs="Times New Roman"/>
                <w:szCs w:val="28"/>
                <w:lang w:eastAsia="zh-CN"/>
              </w:rPr>
            </w:pPr>
            <w:r w:rsidRPr="00F17177">
              <w:rPr>
                <w:rFonts w:eastAsia="SimSun" w:cs="Times New Roman"/>
                <w:sz w:val="28"/>
                <w:szCs w:val="28"/>
                <w:lang w:eastAsia="zh-CN"/>
              </w:rPr>
              <w:t>31-40 років</w:t>
            </w:r>
          </w:p>
        </w:tc>
        <w:tc>
          <w:tcPr>
            <w:tcW w:w="2342" w:type="dxa"/>
            <w:gridSpan w:val="2"/>
            <w:tcBorders>
              <w:top w:val="single" w:sz="4" w:space="0" w:color="auto"/>
              <w:left w:val="single" w:sz="4" w:space="0" w:color="auto"/>
              <w:bottom w:val="single" w:sz="4" w:space="0" w:color="auto"/>
              <w:right w:val="single" w:sz="4" w:space="0" w:color="auto"/>
            </w:tcBorders>
          </w:tcPr>
          <w:p w:rsidR="00F17177" w:rsidRPr="00F17177" w:rsidRDefault="00F17177" w:rsidP="00F17177">
            <w:pPr>
              <w:spacing w:after="0" w:line="360" w:lineRule="auto"/>
              <w:jc w:val="center"/>
              <w:rPr>
                <w:rFonts w:eastAsia="SimSun" w:cs="Times New Roman"/>
                <w:szCs w:val="28"/>
                <w:lang w:eastAsia="zh-CN"/>
              </w:rPr>
            </w:pPr>
            <w:r w:rsidRPr="00F17177">
              <w:rPr>
                <w:rFonts w:eastAsia="SimSun" w:cs="Times New Roman"/>
                <w:sz w:val="28"/>
                <w:szCs w:val="28"/>
                <w:lang w:eastAsia="zh-CN"/>
              </w:rPr>
              <w:t>41-50 років</w:t>
            </w:r>
          </w:p>
        </w:tc>
        <w:tc>
          <w:tcPr>
            <w:tcW w:w="2341" w:type="dxa"/>
            <w:tcBorders>
              <w:top w:val="single" w:sz="4" w:space="0" w:color="auto"/>
              <w:left w:val="single" w:sz="4" w:space="0" w:color="auto"/>
              <w:bottom w:val="single" w:sz="4" w:space="0" w:color="auto"/>
              <w:right w:val="single" w:sz="4" w:space="0" w:color="auto"/>
            </w:tcBorders>
          </w:tcPr>
          <w:p w:rsidR="00F17177" w:rsidRPr="00F17177" w:rsidRDefault="00F17177" w:rsidP="00F17177">
            <w:pPr>
              <w:spacing w:after="0" w:line="360" w:lineRule="auto"/>
              <w:jc w:val="center"/>
              <w:rPr>
                <w:rFonts w:eastAsia="SimSun" w:cs="Times New Roman"/>
                <w:szCs w:val="28"/>
                <w:lang w:eastAsia="zh-CN"/>
              </w:rPr>
            </w:pPr>
            <w:r w:rsidRPr="00F17177">
              <w:rPr>
                <w:rFonts w:eastAsia="SimSun" w:cs="Times New Roman"/>
                <w:sz w:val="28"/>
                <w:szCs w:val="28"/>
                <w:lang w:eastAsia="zh-CN"/>
              </w:rPr>
              <w:t>Всього</w:t>
            </w:r>
          </w:p>
        </w:tc>
      </w:tr>
      <w:tr w:rsidR="00F17177" w:rsidRPr="00F17177" w:rsidTr="00400041">
        <w:trPr>
          <w:trHeight w:val="514"/>
        </w:trPr>
        <w:tc>
          <w:tcPr>
            <w:tcW w:w="1273" w:type="dxa"/>
            <w:tcBorders>
              <w:top w:val="single" w:sz="4" w:space="0" w:color="auto"/>
              <w:left w:val="single" w:sz="4" w:space="0" w:color="auto"/>
              <w:bottom w:val="single" w:sz="4" w:space="0" w:color="auto"/>
              <w:right w:val="single" w:sz="4" w:space="0" w:color="auto"/>
            </w:tcBorders>
          </w:tcPr>
          <w:p w:rsidR="00F17177" w:rsidRPr="00F17177" w:rsidRDefault="00F17177" w:rsidP="00F17177">
            <w:pPr>
              <w:spacing w:after="0" w:line="360" w:lineRule="auto"/>
              <w:jc w:val="center"/>
              <w:rPr>
                <w:rFonts w:eastAsia="SimSun" w:cs="Times New Roman"/>
                <w:szCs w:val="28"/>
                <w:lang w:eastAsia="zh-CN"/>
              </w:rPr>
            </w:pPr>
            <w:r w:rsidRPr="00F17177">
              <w:rPr>
                <w:rFonts w:eastAsia="SimSun" w:cs="Times New Roman"/>
                <w:sz w:val="28"/>
                <w:szCs w:val="28"/>
                <w:lang w:eastAsia="zh-CN"/>
              </w:rPr>
              <w:t>Чоловіки</w:t>
            </w:r>
          </w:p>
        </w:tc>
        <w:tc>
          <w:tcPr>
            <w:tcW w:w="1171" w:type="dxa"/>
            <w:tcBorders>
              <w:top w:val="single" w:sz="4" w:space="0" w:color="auto"/>
              <w:left w:val="single" w:sz="4" w:space="0" w:color="auto"/>
              <w:bottom w:val="single" w:sz="4" w:space="0" w:color="auto"/>
              <w:right w:val="single" w:sz="4" w:space="0" w:color="auto"/>
            </w:tcBorders>
          </w:tcPr>
          <w:p w:rsidR="00F17177" w:rsidRPr="00F17177" w:rsidRDefault="00F17177" w:rsidP="00F17177">
            <w:pPr>
              <w:spacing w:after="0" w:line="360" w:lineRule="auto"/>
              <w:jc w:val="center"/>
              <w:rPr>
                <w:rFonts w:eastAsia="SimSun" w:cs="Times New Roman"/>
                <w:szCs w:val="28"/>
                <w:lang w:eastAsia="zh-CN"/>
              </w:rPr>
            </w:pPr>
            <w:r w:rsidRPr="00F17177">
              <w:rPr>
                <w:rFonts w:eastAsia="SimSun" w:cs="Times New Roman"/>
                <w:sz w:val="28"/>
                <w:szCs w:val="28"/>
                <w:lang w:eastAsia="zh-CN"/>
              </w:rPr>
              <w:t>Жінки</w:t>
            </w:r>
          </w:p>
        </w:tc>
        <w:tc>
          <w:tcPr>
            <w:tcW w:w="1273" w:type="dxa"/>
            <w:tcBorders>
              <w:top w:val="single" w:sz="4" w:space="0" w:color="auto"/>
              <w:left w:val="single" w:sz="4" w:space="0" w:color="auto"/>
              <w:bottom w:val="single" w:sz="4" w:space="0" w:color="auto"/>
              <w:right w:val="single" w:sz="4" w:space="0" w:color="auto"/>
            </w:tcBorders>
          </w:tcPr>
          <w:p w:rsidR="00F17177" w:rsidRPr="00F17177" w:rsidRDefault="00F17177" w:rsidP="00F17177">
            <w:pPr>
              <w:spacing w:after="0" w:line="360" w:lineRule="auto"/>
              <w:jc w:val="center"/>
              <w:rPr>
                <w:rFonts w:eastAsia="SimSun" w:cs="Times New Roman"/>
                <w:szCs w:val="28"/>
                <w:lang w:eastAsia="zh-CN"/>
              </w:rPr>
            </w:pPr>
            <w:r w:rsidRPr="00F17177">
              <w:rPr>
                <w:rFonts w:eastAsia="SimSun" w:cs="Times New Roman"/>
                <w:sz w:val="28"/>
                <w:szCs w:val="28"/>
                <w:lang w:eastAsia="zh-CN"/>
              </w:rPr>
              <w:t>Чоловіки</w:t>
            </w:r>
          </w:p>
        </w:tc>
        <w:tc>
          <w:tcPr>
            <w:tcW w:w="1171" w:type="dxa"/>
            <w:tcBorders>
              <w:top w:val="single" w:sz="4" w:space="0" w:color="auto"/>
              <w:left w:val="single" w:sz="4" w:space="0" w:color="auto"/>
              <w:bottom w:val="single" w:sz="4" w:space="0" w:color="auto"/>
              <w:right w:val="single" w:sz="4" w:space="0" w:color="auto"/>
            </w:tcBorders>
          </w:tcPr>
          <w:p w:rsidR="00F17177" w:rsidRPr="00F17177" w:rsidRDefault="00F17177" w:rsidP="00F17177">
            <w:pPr>
              <w:spacing w:after="0" w:line="360" w:lineRule="auto"/>
              <w:jc w:val="center"/>
              <w:rPr>
                <w:rFonts w:eastAsia="SimSun" w:cs="Times New Roman"/>
                <w:szCs w:val="28"/>
                <w:lang w:eastAsia="zh-CN"/>
              </w:rPr>
            </w:pPr>
            <w:r w:rsidRPr="00F17177">
              <w:rPr>
                <w:rFonts w:eastAsia="SimSun" w:cs="Times New Roman"/>
                <w:sz w:val="28"/>
                <w:szCs w:val="28"/>
                <w:lang w:eastAsia="zh-CN"/>
              </w:rPr>
              <w:t>Жінки</w:t>
            </w:r>
          </w:p>
        </w:tc>
        <w:tc>
          <w:tcPr>
            <w:tcW w:w="1171" w:type="dxa"/>
            <w:tcBorders>
              <w:top w:val="single" w:sz="4" w:space="0" w:color="auto"/>
              <w:left w:val="single" w:sz="4" w:space="0" w:color="auto"/>
              <w:bottom w:val="single" w:sz="4" w:space="0" w:color="auto"/>
              <w:right w:val="single" w:sz="4" w:space="0" w:color="auto"/>
            </w:tcBorders>
          </w:tcPr>
          <w:p w:rsidR="00F17177" w:rsidRPr="00F17177" w:rsidRDefault="00F17177" w:rsidP="00F17177">
            <w:pPr>
              <w:spacing w:after="0" w:line="360" w:lineRule="auto"/>
              <w:jc w:val="center"/>
              <w:rPr>
                <w:rFonts w:eastAsia="SimSun" w:cs="Times New Roman"/>
                <w:szCs w:val="28"/>
                <w:lang w:eastAsia="zh-CN"/>
              </w:rPr>
            </w:pPr>
            <w:r w:rsidRPr="00F17177">
              <w:rPr>
                <w:rFonts w:eastAsia="SimSun" w:cs="Times New Roman"/>
                <w:sz w:val="28"/>
                <w:szCs w:val="28"/>
                <w:lang w:eastAsia="zh-CN"/>
              </w:rPr>
              <w:t>Чоловіки</w:t>
            </w:r>
          </w:p>
        </w:tc>
        <w:tc>
          <w:tcPr>
            <w:tcW w:w="1171" w:type="dxa"/>
            <w:tcBorders>
              <w:top w:val="single" w:sz="4" w:space="0" w:color="auto"/>
              <w:left w:val="single" w:sz="4" w:space="0" w:color="auto"/>
              <w:bottom w:val="single" w:sz="4" w:space="0" w:color="auto"/>
              <w:right w:val="single" w:sz="4" w:space="0" w:color="auto"/>
            </w:tcBorders>
          </w:tcPr>
          <w:p w:rsidR="00F17177" w:rsidRPr="00F17177" w:rsidRDefault="00F17177" w:rsidP="00F17177">
            <w:pPr>
              <w:spacing w:after="0" w:line="360" w:lineRule="auto"/>
              <w:jc w:val="center"/>
              <w:rPr>
                <w:rFonts w:eastAsia="SimSun" w:cs="Times New Roman"/>
                <w:szCs w:val="28"/>
                <w:lang w:eastAsia="zh-CN"/>
              </w:rPr>
            </w:pPr>
            <w:r w:rsidRPr="00F17177">
              <w:rPr>
                <w:rFonts w:eastAsia="SimSun" w:cs="Times New Roman"/>
                <w:sz w:val="28"/>
                <w:szCs w:val="28"/>
                <w:lang w:eastAsia="zh-CN"/>
              </w:rPr>
              <w:t>Жінки</w:t>
            </w:r>
          </w:p>
        </w:tc>
        <w:tc>
          <w:tcPr>
            <w:tcW w:w="2341" w:type="dxa"/>
            <w:tcBorders>
              <w:top w:val="single" w:sz="4" w:space="0" w:color="auto"/>
              <w:left w:val="single" w:sz="4" w:space="0" w:color="auto"/>
              <w:bottom w:val="single" w:sz="4" w:space="0" w:color="auto"/>
              <w:right w:val="single" w:sz="4" w:space="0" w:color="auto"/>
            </w:tcBorders>
          </w:tcPr>
          <w:p w:rsidR="00F17177" w:rsidRPr="00F17177" w:rsidRDefault="00F17177" w:rsidP="00F17177">
            <w:pPr>
              <w:spacing w:after="0" w:line="360" w:lineRule="auto"/>
              <w:jc w:val="center"/>
              <w:rPr>
                <w:rFonts w:eastAsia="SimSun" w:cs="Times New Roman"/>
                <w:szCs w:val="28"/>
                <w:lang w:eastAsia="zh-CN"/>
              </w:rPr>
            </w:pPr>
          </w:p>
        </w:tc>
      </w:tr>
      <w:tr w:rsidR="00F17177" w:rsidRPr="00F17177" w:rsidTr="00400041">
        <w:trPr>
          <w:trHeight w:val="525"/>
        </w:trPr>
        <w:tc>
          <w:tcPr>
            <w:tcW w:w="1273" w:type="dxa"/>
            <w:tcBorders>
              <w:top w:val="single" w:sz="4" w:space="0" w:color="auto"/>
              <w:left w:val="single" w:sz="4" w:space="0" w:color="auto"/>
              <w:bottom w:val="single" w:sz="4" w:space="0" w:color="auto"/>
              <w:right w:val="single" w:sz="4" w:space="0" w:color="auto"/>
            </w:tcBorders>
          </w:tcPr>
          <w:p w:rsidR="00F17177" w:rsidRPr="00F17177" w:rsidRDefault="00F17177" w:rsidP="00F17177">
            <w:pPr>
              <w:spacing w:after="0" w:line="360" w:lineRule="auto"/>
              <w:jc w:val="center"/>
              <w:rPr>
                <w:rFonts w:eastAsia="SimSun" w:cs="Times New Roman"/>
                <w:szCs w:val="28"/>
                <w:lang w:val="ru-RU" w:eastAsia="zh-CN"/>
              </w:rPr>
            </w:pPr>
            <w:r w:rsidRPr="00F17177">
              <w:rPr>
                <w:rFonts w:eastAsia="SimSun" w:cs="Times New Roman"/>
                <w:sz w:val="28"/>
                <w:szCs w:val="28"/>
                <w:lang w:eastAsia="zh-CN"/>
              </w:rPr>
              <w:t>1</w:t>
            </w:r>
            <w:r w:rsidRPr="00F17177">
              <w:rPr>
                <w:rFonts w:eastAsia="SimSun" w:cs="Times New Roman"/>
                <w:sz w:val="28"/>
                <w:szCs w:val="28"/>
                <w:lang w:val="ru-RU" w:eastAsia="zh-CN"/>
              </w:rPr>
              <w:t>7</w:t>
            </w:r>
          </w:p>
        </w:tc>
        <w:tc>
          <w:tcPr>
            <w:tcW w:w="1171" w:type="dxa"/>
            <w:tcBorders>
              <w:top w:val="single" w:sz="4" w:space="0" w:color="auto"/>
              <w:left w:val="single" w:sz="4" w:space="0" w:color="auto"/>
              <w:bottom w:val="single" w:sz="4" w:space="0" w:color="auto"/>
              <w:right w:val="single" w:sz="4" w:space="0" w:color="auto"/>
            </w:tcBorders>
          </w:tcPr>
          <w:p w:rsidR="00F17177" w:rsidRPr="00F17177" w:rsidRDefault="00F17177" w:rsidP="00F17177">
            <w:pPr>
              <w:spacing w:after="0" w:line="360" w:lineRule="auto"/>
              <w:jc w:val="center"/>
              <w:rPr>
                <w:rFonts w:eastAsia="SimSun" w:cs="Times New Roman"/>
                <w:szCs w:val="28"/>
                <w:lang w:val="ru-RU" w:eastAsia="zh-CN"/>
              </w:rPr>
            </w:pPr>
            <w:r w:rsidRPr="00F17177">
              <w:rPr>
                <w:rFonts w:eastAsia="SimSun" w:cs="Times New Roman"/>
                <w:sz w:val="28"/>
                <w:szCs w:val="28"/>
                <w:lang w:eastAsia="zh-CN"/>
              </w:rPr>
              <w:t>1</w:t>
            </w:r>
            <w:r w:rsidRPr="00F17177">
              <w:rPr>
                <w:rFonts w:eastAsia="SimSun" w:cs="Times New Roman"/>
                <w:sz w:val="28"/>
                <w:szCs w:val="28"/>
                <w:lang w:val="ru-RU" w:eastAsia="zh-CN"/>
              </w:rPr>
              <w:t>5</w:t>
            </w:r>
          </w:p>
        </w:tc>
        <w:tc>
          <w:tcPr>
            <w:tcW w:w="1273" w:type="dxa"/>
            <w:tcBorders>
              <w:top w:val="single" w:sz="4" w:space="0" w:color="auto"/>
              <w:left w:val="single" w:sz="4" w:space="0" w:color="auto"/>
              <w:bottom w:val="single" w:sz="4" w:space="0" w:color="auto"/>
              <w:right w:val="single" w:sz="4" w:space="0" w:color="auto"/>
            </w:tcBorders>
          </w:tcPr>
          <w:p w:rsidR="00F17177" w:rsidRPr="00F17177" w:rsidRDefault="00F17177" w:rsidP="00F17177">
            <w:pPr>
              <w:spacing w:after="0" w:line="360" w:lineRule="auto"/>
              <w:jc w:val="center"/>
              <w:rPr>
                <w:rFonts w:eastAsia="SimSun" w:cs="Times New Roman"/>
                <w:szCs w:val="28"/>
                <w:lang w:val="ru-RU" w:eastAsia="zh-CN"/>
              </w:rPr>
            </w:pPr>
            <w:r w:rsidRPr="00F17177">
              <w:rPr>
                <w:rFonts w:eastAsia="SimSun" w:cs="Times New Roman"/>
                <w:sz w:val="28"/>
                <w:szCs w:val="28"/>
                <w:lang w:val="ru-RU" w:eastAsia="zh-CN"/>
              </w:rPr>
              <w:t>9</w:t>
            </w:r>
          </w:p>
        </w:tc>
        <w:tc>
          <w:tcPr>
            <w:tcW w:w="1171" w:type="dxa"/>
            <w:tcBorders>
              <w:top w:val="single" w:sz="4" w:space="0" w:color="auto"/>
              <w:left w:val="single" w:sz="4" w:space="0" w:color="auto"/>
              <w:bottom w:val="single" w:sz="4" w:space="0" w:color="auto"/>
              <w:right w:val="single" w:sz="4" w:space="0" w:color="auto"/>
            </w:tcBorders>
          </w:tcPr>
          <w:p w:rsidR="00F17177" w:rsidRPr="00F17177" w:rsidRDefault="00F17177" w:rsidP="00F17177">
            <w:pPr>
              <w:spacing w:after="0" w:line="360" w:lineRule="auto"/>
              <w:jc w:val="center"/>
              <w:rPr>
                <w:rFonts w:eastAsia="SimSun" w:cs="Times New Roman"/>
                <w:szCs w:val="28"/>
                <w:lang w:val="ru-RU" w:eastAsia="zh-CN"/>
              </w:rPr>
            </w:pPr>
            <w:r w:rsidRPr="00F17177">
              <w:rPr>
                <w:rFonts w:eastAsia="SimSun" w:cs="Times New Roman"/>
                <w:sz w:val="28"/>
                <w:szCs w:val="28"/>
                <w:lang w:val="ru-RU" w:eastAsia="zh-CN"/>
              </w:rPr>
              <w:t>10</w:t>
            </w:r>
          </w:p>
        </w:tc>
        <w:tc>
          <w:tcPr>
            <w:tcW w:w="1171" w:type="dxa"/>
            <w:tcBorders>
              <w:top w:val="single" w:sz="4" w:space="0" w:color="auto"/>
              <w:left w:val="single" w:sz="4" w:space="0" w:color="auto"/>
              <w:bottom w:val="single" w:sz="4" w:space="0" w:color="auto"/>
              <w:right w:val="single" w:sz="4" w:space="0" w:color="auto"/>
            </w:tcBorders>
          </w:tcPr>
          <w:p w:rsidR="00F17177" w:rsidRPr="00F17177" w:rsidRDefault="00F17177" w:rsidP="00F17177">
            <w:pPr>
              <w:spacing w:after="0" w:line="360" w:lineRule="auto"/>
              <w:jc w:val="center"/>
              <w:rPr>
                <w:rFonts w:eastAsia="SimSun" w:cs="Times New Roman"/>
                <w:szCs w:val="28"/>
                <w:lang w:val="ru-RU" w:eastAsia="zh-CN"/>
              </w:rPr>
            </w:pPr>
            <w:r w:rsidRPr="00F17177">
              <w:rPr>
                <w:rFonts w:eastAsia="SimSun" w:cs="Times New Roman"/>
                <w:sz w:val="28"/>
                <w:szCs w:val="28"/>
                <w:lang w:val="ru-RU" w:eastAsia="zh-CN"/>
              </w:rPr>
              <w:t>5</w:t>
            </w:r>
          </w:p>
        </w:tc>
        <w:tc>
          <w:tcPr>
            <w:tcW w:w="1171" w:type="dxa"/>
            <w:tcBorders>
              <w:top w:val="single" w:sz="4" w:space="0" w:color="auto"/>
              <w:left w:val="single" w:sz="4" w:space="0" w:color="auto"/>
              <w:bottom w:val="single" w:sz="4" w:space="0" w:color="auto"/>
              <w:right w:val="single" w:sz="4" w:space="0" w:color="auto"/>
            </w:tcBorders>
          </w:tcPr>
          <w:p w:rsidR="00F17177" w:rsidRPr="00F17177" w:rsidRDefault="00F17177" w:rsidP="00F17177">
            <w:pPr>
              <w:spacing w:after="0" w:line="360" w:lineRule="auto"/>
              <w:jc w:val="center"/>
              <w:rPr>
                <w:rFonts w:eastAsia="SimSun" w:cs="Times New Roman"/>
                <w:szCs w:val="28"/>
                <w:lang w:val="ru-RU" w:eastAsia="zh-CN"/>
              </w:rPr>
            </w:pPr>
            <w:r w:rsidRPr="00F17177">
              <w:rPr>
                <w:rFonts w:eastAsia="SimSun" w:cs="Times New Roman"/>
                <w:sz w:val="28"/>
                <w:szCs w:val="28"/>
                <w:lang w:val="ru-RU" w:eastAsia="zh-CN"/>
              </w:rPr>
              <w:t>4</w:t>
            </w:r>
          </w:p>
        </w:tc>
        <w:tc>
          <w:tcPr>
            <w:tcW w:w="2341" w:type="dxa"/>
            <w:tcBorders>
              <w:top w:val="single" w:sz="4" w:space="0" w:color="auto"/>
              <w:left w:val="single" w:sz="4" w:space="0" w:color="auto"/>
              <w:bottom w:val="single" w:sz="4" w:space="0" w:color="auto"/>
              <w:right w:val="single" w:sz="4" w:space="0" w:color="auto"/>
            </w:tcBorders>
          </w:tcPr>
          <w:p w:rsidR="00F17177" w:rsidRPr="00F17177" w:rsidRDefault="00F17177" w:rsidP="00F17177">
            <w:pPr>
              <w:spacing w:after="0" w:line="360" w:lineRule="auto"/>
              <w:jc w:val="center"/>
              <w:rPr>
                <w:rFonts w:eastAsia="SimSun" w:cs="Times New Roman"/>
                <w:szCs w:val="28"/>
                <w:lang w:eastAsia="zh-CN"/>
              </w:rPr>
            </w:pPr>
            <w:r w:rsidRPr="00F17177">
              <w:rPr>
                <w:rFonts w:eastAsia="SimSun" w:cs="Times New Roman"/>
                <w:sz w:val="28"/>
                <w:szCs w:val="28"/>
                <w:lang w:eastAsia="zh-CN"/>
              </w:rPr>
              <w:t>60</w:t>
            </w:r>
          </w:p>
        </w:tc>
      </w:tr>
    </w:tbl>
    <w:p w:rsidR="00F17177" w:rsidRPr="00F17177" w:rsidRDefault="00F17177" w:rsidP="00F17177">
      <w:pPr>
        <w:spacing w:after="0" w:line="360" w:lineRule="auto"/>
        <w:jc w:val="both"/>
        <w:rPr>
          <w:rFonts w:eastAsia="SimSun" w:cs="Times New Roman"/>
          <w:sz w:val="28"/>
          <w:szCs w:val="28"/>
          <w:lang w:eastAsia="zh-CN"/>
        </w:rPr>
      </w:pPr>
    </w:p>
    <w:p w:rsidR="00F17177" w:rsidRPr="00F17177" w:rsidRDefault="00F17177" w:rsidP="00F17177">
      <w:pPr>
        <w:spacing w:after="0" w:line="360" w:lineRule="auto"/>
        <w:ind w:firstLine="708"/>
        <w:jc w:val="both"/>
        <w:rPr>
          <w:rFonts w:eastAsia="SimSun" w:cs="Times New Roman"/>
          <w:sz w:val="28"/>
          <w:szCs w:val="28"/>
          <w:lang w:eastAsia="zh-CN"/>
        </w:rPr>
      </w:pPr>
      <w:r w:rsidRPr="00F17177">
        <w:rPr>
          <w:rFonts w:eastAsia="SimSun" w:cs="Times New Roman"/>
          <w:sz w:val="28"/>
          <w:szCs w:val="28"/>
          <w:lang w:eastAsia="zh-CN"/>
        </w:rPr>
        <w:t>В залежності від характеру застосування методики профілактичних дій всі хворі були поділені на 3 клінічні групи:</w:t>
      </w:r>
    </w:p>
    <w:p w:rsidR="00F17177" w:rsidRPr="00F17177" w:rsidRDefault="00F17177" w:rsidP="00F17177">
      <w:pPr>
        <w:spacing w:after="0" w:line="360" w:lineRule="auto"/>
        <w:ind w:firstLine="708"/>
        <w:jc w:val="both"/>
        <w:rPr>
          <w:rFonts w:eastAsia="SimSun" w:cs="Times New Roman"/>
          <w:sz w:val="28"/>
          <w:szCs w:val="28"/>
          <w:lang w:eastAsia="zh-CN"/>
        </w:rPr>
      </w:pPr>
      <w:r w:rsidRPr="00F17177">
        <w:rPr>
          <w:rFonts w:eastAsia="SimSun" w:cs="Times New Roman"/>
          <w:sz w:val="28"/>
          <w:szCs w:val="28"/>
          <w:lang w:eastAsia="zh-CN"/>
        </w:rPr>
        <w:t>1 група – 20 пацієнтів, яким під час оперативного втручання у 2 шари (під м’язом та під шкірою у простори, які утворилися внаслідок його проведення) введено PRF-згусток, що отриманий у центрифузі в пробірках A-PRF.</w:t>
      </w:r>
    </w:p>
    <w:p w:rsidR="00F17177" w:rsidRPr="00F17177" w:rsidRDefault="00F17177" w:rsidP="00F17177">
      <w:pPr>
        <w:spacing w:after="0" w:line="360" w:lineRule="auto"/>
        <w:ind w:firstLine="708"/>
        <w:jc w:val="both"/>
        <w:rPr>
          <w:rFonts w:eastAsia="SimSun" w:cs="Times New Roman"/>
          <w:sz w:val="28"/>
          <w:szCs w:val="28"/>
          <w:lang w:eastAsia="zh-CN"/>
        </w:rPr>
      </w:pPr>
      <w:r w:rsidRPr="00F17177">
        <w:rPr>
          <w:rFonts w:eastAsia="SimSun" w:cs="Times New Roman"/>
          <w:sz w:val="28"/>
          <w:szCs w:val="28"/>
          <w:lang w:eastAsia="zh-CN"/>
        </w:rPr>
        <w:t>2 група – 20 пацієнтів, яким проведено аналогічну інтраопераційну профілактичну підготовку, але на післяопераційному етапі у них додатково було проведено ін’єкції препарату «Біоцерулін».</w:t>
      </w:r>
    </w:p>
    <w:p w:rsidR="00F17177" w:rsidRPr="00F17177" w:rsidRDefault="00F17177" w:rsidP="00F17177">
      <w:pPr>
        <w:spacing w:after="0" w:line="360" w:lineRule="auto"/>
        <w:ind w:firstLine="708"/>
        <w:jc w:val="both"/>
        <w:rPr>
          <w:rFonts w:eastAsia="SimSun" w:cs="Times New Roman"/>
          <w:sz w:val="28"/>
          <w:szCs w:val="28"/>
          <w:lang w:eastAsia="zh-CN"/>
        </w:rPr>
      </w:pPr>
      <w:r w:rsidRPr="00F17177">
        <w:rPr>
          <w:rFonts w:eastAsia="SimSun" w:cs="Times New Roman"/>
          <w:sz w:val="28"/>
          <w:szCs w:val="28"/>
          <w:lang w:eastAsia="zh-CN"/>
        </w:rPr>
        <w:t>3 група (контрольна) – 20 пацієнтів, яким втручання проведено за класичною методикою без застосування профілактичних заходів на всіх етапах спостереження.</w:t>
      </w:r>
    </w:p>
    <w:p w:rsidR="00F17177" w:rsidRPr="00F17177" w:rsidRDefault="00F17177" w:rsidP="00F17177">
      <w:pPr>
        <w:spacing w:after="0" w:line="360" w:lineRule="auto"/>
        <w:ind w:firstLine="708"/>
        <w:jc w:val="both"/>
        <w:rPr>
          <w:rFonts w:eastAsia="SimSun" w:cs="Times New Roman"/>
          <w:sz w:val="28"/>
          <w:szCs w:val="28"/>
          <w:lang w:eastAsia="zh-CN"/>
        </w:rPr>
      </w:pPr>
      <w:r w:rsidRPr="00F17177">
        <w:rPr>
          <w:rFonts w:eastAsia="SimSun" w:cs="Times New Roman"/>
          <w:sz w:val="28"/>
          <w:szCs w:val="28"/>
          <w:lang w:eastAsia="zh-CN"/>
        </w:rPr>
        <w:t>Розподіл пацієнтів за клінічними групами наведено в таблиці 2.3.</w:t>
      </w:r>
    </w:p>
    <w:p w:rsidR="00F17177" w:rsidRPr="00F17177" w:rsidRDefault="00F17177" w:rsidP="00F17177">
      <w:pPr>
        <w:spacing w:after="0" w:line="360" w:lineRule="auto"/>
        <w:jc w:val="right"/>
        <w:rPr>
          <w:rFonts w:eastAsia="SimSun" w:cs="Times New Roman"/>
          <w:i/>
          <w:sz w:val="28"/>
          <w:szCs w:val="28"/>
          <w:lang w:eastAsia="zh-CN"/>
        </w:rPr>
      </w:pPr>
      <w:r w:rsidRPr="00F17177">
        <w:rPr>
          <w:rFonts w:eastAsia="SimSun" w:cs="Times New Roman"/>
          <w:i/>
          <w:sz w:val="28"/>
          <w:szCs w:val="28"/>
          <w:lang w:eastAsia="zh-CN"/>
        </w:rPr>
        <w:t>Таблиця 2.3</w:t>
      </w:r>
    </w:p>
    <w:p w:rsidR="00F17177" w:rsidRPr="00F17177" w:rsidRDefault="00F17177" w:rsidP="00F17177">
      <w:pPr>
        <w:spacing w:after="0" w:line="360" w:lineRule="auto"/>
        <w:jc w:val="center"/>
        <w:rPr>
          <w:rFonts w:eastAsia="SimSun" w:cs="Times New Roman"/>
          <w:b/>
          <w:sz w:val="28"/>
          <w:szCs w:val="28"/>
          <w:lang w:eastAsia="zh-CN"/>
        </w:rPr>
      </w:pPr>
      <w:r w:rsidRPr="00F17177">
        <w:rPr>
          <w:rFonts w:eastAsia="SimSun" w:cs="Times New Roman"/>
          <w:b/>
          <w:sz w:val="28"/>
          <w:szCs w:val="28"/>
          <w:lang w:eastAsia="zh-CN"/>
        </w:rPr>
        <w:t>Розподіл пацієнтів за клінічними групами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88"/>
        <w:gridCol w:w="1800"/>
        <w:gridCol w:w="2160"/>
        <w:gridCol w:w="2388"/>
      </w:tblGrid>
      <w:tr w:rsidR="00F17177" w:rsidRPr="00F17177" w:rsidTr="00400041">
        <w:trPr>
          <w:trHeight w:val="467"/>
        </w:trPr>
        <w:tc>
          <w:tcPr>
            <w:tcW w:w="2988" w:type="dxa"/>
            <w:tcBorders>
              <w:top w:val="single" w:sz="4" w:space="0" w:color="auto"/>
              <w:left w:val="single" w:sz="4" w:space="0" w:color="auto"/>
              <w:bottom w:val="single" w:sz="4" w:space="0" w:color="auto"/>
              <w:right w:val="single" w:sz="4" w:space="0" w:color="auto"/>
            </w:tcBorders>
          </w:tcPr>
          <w:p w:rsidR="00F17177" w:rsidRPr="00F17177" w:rsidRDefault="00F17177" w:rsidP="00F17177">
            <w:pPr>
              <w:spacing w:after="0" w:line="360" w:lineRule="auto"/>
              <w:jc w:val="center"/>
              <w:rPr>
                <w:rFonts w:eastAsia="SimSun" w:cs="Times New Roman"/>
                <w:szCs w:val="28"/>
                <w:lang w:eastAsia="zh-CN"/>
              </w:rPr>
            </w:pPr>
            <w:r w:rsidRPr="00F17177">
              <w:rPr>
                <w:rFonts w:eastAsia="SimSun" w:cs="Times New Roman"/>
                <w:sz w:val="28"/>
                <w:szCs w:val="28"/>
                <w:lang w:eastAsia="zh-CN"/>
              </w:rPr>
              <w:t>Клінічні групи</w:t>
            </w:r>
          </w:p>
        </w:tc>
        <w:tc>
          <w:tcPr>
            <w:tcW w:w="1800" w:type="dxa"/>
            <w:tcBorders>
              <w:top w:val="single" w:sz="4" w:space="0" w:color="auto"/>
              <w:left w:val="single" w:sz="4" w:space="0" w:color="auto"/>
              <w:bottom w:val="single" w:sz="4" w:space="0" w:color="auto"/>
              <w:right w:val="single" w:sz="4" w:space="0" w:color="auto"/>
            </w:tcBorders>
          </w:tcPr>
          <w:p w:rsidR="00F17177" w:rsidRPr="00F17177" w:rsidRDefault="00F17177" w:rsidP="00F17177">
            <w:pPr>
              <w:spacing w:after="0" w:line="360" w:lineRule="auto"/>
              <w:jc w:val="center"/>
              <w:rPr>
                <w:rFonts w:eastAsia="SimSun" w:cs="Times New Roman"/>
                <w:szCs w:val="28"/>
                <w:lang w:eastAsia="zh-CN"/>
              </w:rPr>
            </w:pPr>
            <w:r w:rsidRPr="00F17177">
              <w:rPr>
                <w:rFonts w:eastAsia="SimSun" w:cs="Times New Roman"/>
                <w:sz w:val="28"/>
                <w:szCs w:val="28"/>
                <w:lang w:eastAsia="zh-CN"/>
              </w:rPr>
              <w:t>Чоловіки</w:t>
            </w:r>
          </w:p>
        </w:tc>
        <w:tc>
          <w:tcPr>
            <w:tcW w:w="2160" w:type="dxa"/>
            <w:tcBorders>
              <w:top w:val="single" w:sz="4" w:space="0" w:color="auto"/>
              <w:left w:val="single" w:sz="4" w:space="0" w:color="auto"/>
              <w:bottom w:val="single" w:sz="4" w:space="0" w:color="auto"/>
              <w:right w:val="single" w:sz="4" w:space="0" w:color="auto"/>
            </w:tcBorders>
          </w:tcPr>
          <w:p w:rsidR="00F17177" w:rsidRPr="00F17177" w:rsidRDefault="00F17177" w:rsidP="00F17177">
            <w:pPr>
              <w:spacing w:after="0" w:line="360" w:lineRule="auto"/>
              <w:jc w:val="center"/>
              <w:rPr>
                <w:rFonts w:eastAsia="SimSun" w:cs="Times New Roman"/>
                <w:szCs w:val="28"/>
                <w:lang w:eastAsia="zh-CN"/>
              </w:rPr>
            </w:pPr>
            <w:r w:rsidRPr="00F17177">
              <w:rPr>
                <w:rFonts w:eastAsia="SimSun" w:cs="Times New Roman"/>
                <w:sz w:val="28"/>
                <w:szCs w:val="28"/>
                <w:lang w:eastAsia="zh-CN"/>
              </w:rPr>
              <w:t>Жінки</w:t>
            </w:r>
          </w:p>
        </w:tc>
        <w:tc>
          <w:tcPr>
            <w:tcW w:w="2388" w:type="dxa"/>
            <w:tcBorders>
              <w:top w:val="single" w:sz="4" w:space="0" w:color="auto"/>
              <w:left w:val="single" w:sz="4" w:space="0" w:color="auto"/>
              <w:bottom w:val="single" w:sz="4" w:space="0" w:color="auto"/>
              <w:right w:val="single" w:sz="4" w:space="0" w:color="auto"/>
            </w:tcBorders>
          </w:tcPr>
          <w:p w:rsidR="00F17177" w:rsidRPr="00F17177" w:rsidRDefault="00F17177" w:rsidP="00F17177">
            <w:pPr>
              <w:spacing w:after="0" w:line="360" w:lineRule="auto"/>
              <w:jc w:val="center"/>
              <w:rPr>
                <w:rFonts w:eastAsia="SimSun" w:cs="Times New Roman"/>
                <w:szCs w:val="28"/>
                <w:lang w:eastAsia="zh-CN"/>
              </w:rPr>
            </w:pPr>
            <w:r w:rsidRPr="00F17177">
              <w:rPr>
                <w:rFonts w:eastAsia="SimSun" w:cs="Times New Roman"/>
                <w:sz w:val="28"/>
                <w:szCs w:val="28"/>
                <w:lang w:eastAsia="zh-CN"/>
              </w:rPr>
              <w:t>Всього</w:t>
            </w:r>
          </w:p>
        </w:tc>
      </w:tr>
      <w:tr w:rsidR="00F17177" w:rsidRPr="00F17177" w:rsidTr="00400041">
        <w:trPr>
          <w:trHeight w:val="467"/>
        </w:trPr>
        <w:tc>
          <w:tcPr>
            <w:tcW w:w="2988" w:type="dxa"/>
            <w:tcBorders>
              <w:top w:val="single" w:sz="4" w:space="0" w:color="auto"/>
              <w:left w:val="single" w:sz="4" w:space="0" w:color="auto"/>
              <w:bottom w:val="single" w:sz="4" w:space="0" w:color="auto"/>
              <w:right w:val="single" w:sz="4" w:space="0" w:color="auto"/>
            </w:tcBorders>
          </w:tcPr>
          <w:p w:rsidR="00F17177" w:rsidRPr="00F17177" w:rsidRDefault="00F17177" w:rsidP="00F17177">
            <w:pPr>
              <w:spacing w:after="0" w:line="360" w:lineRule="auto"/>
              <w:jc w:val="center"/>
              <w:rPr>
                <w:rFonts w:eastAsia="SimSun" w:cs="Times New Roman"/>
                <w:szCs w:val="28"/>
                <w:lang w:eastAsia="zh-CN"/>
              </w:rPr>
            </w:pPr>
            <w:r w:rsidRPr="00F17177">
              <w:rPr>
                <w:rFonts w:eastAsia="SimSun" w:cs="Times New Roman"/>
                <w:sz w:val="28"/>
                <w:szCs w:val="28"/>
                <w:lang w:eastAsia="zh-CN"/>
              </w:rPr>
              <w:t>1 гр</w:t>
            </w:r>
          </w:p>
        </w:tc>
        <w:tc>
          <w:tcPr>
            <w:tcW w:w="1800" w:type="dxa"/>
            <w:tcBorders>
              <w:top w:val="single" w:sz="4" w:space="0" w:color="auto"/>
              <w:left w:val="single" w:sz="4" w:space="0" w:color="auto"/>
              <w:bottom w:val="single" w:sz="4" w:space="0" w:color="auto"/>
              <w:right w:val="single" w:sz="4" w:space="0" w:color="auto"/>
            </w:tcBorders>
          </w:tcPr>
          <w:p w:rsidR="00F17177" w:rsidRPr="00F17177" w:rsidRDefault="00F17177" w:rsidP="00F17177">
            <w:pPr>
              <w:spacing w:after="0" w:line="360" w:lineRule="auto"/>
              <w:jc w:val="center"/>
              <w:rPr>
                <w:rFonts w:eastAsia="SimSun" w:cs="Times New Roman"/>
                <w:szCs w:val="28"/>
                <w:lang w:eastAsia="zh-CN"/>
              </w:rPr>
            </w:pPr>
            <w:r w:rsidRPr="00F17177">
              <w:rPr>
                <w:rFonts w:eastAsia="SimSun" w:cs="Times New Roman"/>
                <w:sz w:val="28"/>
                <w:szCs w:val="28"/>
                <w:lang w:eastAsia="zh-CN"/>
              </w:rPr>
              <w:t>10</w:t>
            </w:r>
          </w:p>
        </w:tc>
        <w:tc>
          <w:tcPr>
            <w:tcW w:w="2160" w:type="dxa"/>
            <w:tcBorders>
              <w:top w:val="single" w:sz="4" w:space="0" w:color="auto"/>
              <w:left w:val="single" w:sz="4" w:space="0" w:color="auto"/>
              <w:bottom w:val="single" w:sz="4" w:space="0" w:color="auto"/>
              <w:right w:val="single" w:sz="4" w:space="0" w:color="auto"/>
            </w:tcBorders>
          </w:tcPr>
          <w:p w:rsidR="00F17177" w:rsidRPr="00F17177" w:rsidRDefault="00F17177" w:rsidP="00F17177">
            <w:pPr>
              <w:spacing w:after="0" w:line="360" w:lineRule="auto"/>
              <w:jc w:val="center"/>
              <w:rPr>
                <w:rFonts w:eastAsia="SimSun" w:cs="Times New Roman"/>
                <w:szCs w:val="28"/>
                <w:lang w:eastAsia="zh-CN"/>
              </w:rPr>
            </w:pPr>
            <w:r w:rsidRPr="00F17177">
              <w:rPr>
                <w:rFonts w:eastAsia="SimSun" w:cs="Times New Roman"/>
                <w:sz w:val="28"/>
                <w:szCs w:val="28"/>
                <w:lang w:eastAsia="zh-CN"/>
              </w:rPr>
              <w:t>10</w:t>
            </w:r>
          </w:p>
        </w:tc>
        <w:tc>
          <w:tcPr>
            <w:tcW w:w="2388" w:type="dxa"/>
            <w:tcBorders>
              <w:top w:val="single" w:sz="4" w:space="0" w:color="auto"/>
              <w:left w:val="single" w:sz="4" w:space="0" w:color="auto"/>
              <w:bottom w:val="single" w:sz="4" w:space="0" w:color="auto"/>
              <w:right w:val="single" w:sz="4" w:space="0" w:color="auto"/>
            </w:tcBorders>
          </w:tcPr>
          <w:p w:rsidR="00F17177" w:rsidRPr="00F17177" w:rsidRDefault="00F17177" w:rsidP="00F17177">
            <w:pPr>
              <w:spacing w:after="0" w:line="360" w:lineRule="auto"/>
              <w:jc w:val="center"/>
              <w:rPr>
                <w:rFonts w:eastAsia="SimSun" w:cs="Times New Roman"/>
                <w:szCs w:val="28"/>
                <w:lang w:eastAsia="zh-CN"/>
              </w:rPr>
            </w:pPr>
            <w:r w:rsidRPr="00F17177">
              <w:rPr>
                <w:rFonts w:eastAsia="SimSun" w:cs="Times New Roman"/>
                <w:sz w:val="28"/>
                <w:szCs w:val="28"/>
                <w:lang w:eastAsia="zh-CN"/>
              </w:rPr>
              <w:t>20</w:t>
            </w:r>
          </w:p>
        </w:tc>
      </w:tr>
      <w:tr w:rsidR="00F17177" w:rsidRPr="00F17177" w:rsidTr="00400041">
        <w:trPr>
          <w:trHeight w:val="467"/>
        </w:trPr>
        <w:tc>
          <w:tcPr>
            <w:tcW w:w="2988" w:type="dxa"/>
            <w:tcBorders>
              <w:top w:val="single" w:sz="4" w:space="0" w:color="auto"/>
              <w:left w:val="single" w:sz="4" w:space="0" w:color="auto"/>
              <w:bottom w:val="single" w:sz="4" w:space="0" w:color="auto"/>
              <w:right w:val="single" w:sz="4" w:space="0" w:color="auto"/>
            </w:tcBorders>
          </w:tcPr>
          <w:p w:rsidR="00F17177" w:rsidRPr="00F17177" w:rsidRDefault="00F17177" w:rsidP="00F17177">
            <w:pPr>
              <w:spacing w:after="0" w:line="360" w:lineRule="auto"/>
              <w:jc w:val="center"/>
              <w:rPr>
                <w:rFonts w:eastAsia="SimSun" w:cs="Times New Roman"/>
                <w:szCs w:val="28"/>
                <w:lang w:eastAsia="zh-CN"/>
              </w:rPr>
            </w:pPr>
            <w:r w:rsidRPr="00F17177">
              <w:rPr>
                <w:rFonts w:eastAsia="SimSun" w:cs="Times New Roman"/>
                <w:sz w:val="28"/>
                <w:szCs w:val="28"/>
                <w:lang w:eastAsia="zh-CN"/>
              </w:rPr>
              <w:t>2 гр</w:t>
            </w:r>
          </w:p>
        </w:tc>
        <w:tc>
          <w:tcPr>
            <w:tcW w:w="1800" w:type="dxa"/>
            <w:tcBorders>
              <w:top w:val="single" w:sz="4" w:space="0" w:color="auto"/>
              <w:left w:val="single" w:sz="4" w:space="0" w:color="auto"/>
              <w:bottom w:val="single" w:sz="4" w:space="0" w:color="auto"/>
              <w:right w:val="single" w:sz="4" w:space="0" w:color="auto"/>
            </w:tcBorders>
          </w:tcPr>
          <w:p w:rsidR="00F17177" w:rsidRPr="00F17177" w:rsidRDefault="00F17177" w:rsidP="00F17177">
            <w:pPr>
              <w:spacing w:after="0" w:line="360" w:lineRule="auto"/>
              <w:jc w:val="center"/>
              <w:rPr>
                <w:rFonts w:eastAsia="SimSun" w:cs="Times New Roman"/>
                <w:szCs w:val="28"/>
                <w:lang w:eastAsia="zh-CN"/>
              </w:rPr>
            </w:pPr>
            <w:r w:rsidRPr="00F17177">
              <w:rPr>
                <w:rFonts w:eastAsia="SimSun" w:cs="Times New Roman"/>
                <w:sz w:val="28"/>
                <w:szCs w:val="28"/>
                <w:lang w:eastAsia="zh-CN"/>
              </w:rPr>
              <w:t>10</w:t>
            </w:r>
          </w:p>
        </w:tc>
        <w:tc>
          <w:tcPr>
            <w:tcW w:w="2160" w:type="dxa"/>
            <w:tcBorders>
              <w:top w:val="single" w:sz="4" w:space="0" w:color="auto"/>
              <w:left w:val="single" w:sz="4" w:space="0" w:color="auto"/>
              <w:bottom w:val="single" w:sz="4" w:space="0" w:color="auto"/>
              <w:right w:val="single" w:sz="4" w:space="0" w:color="auto"/>
            </w:tcBorders>
          </w:tcPr>
          <w:p w:rsidR="00F17177" w:rsidRPr="00F17177" w:rsidRDefault="00F17177" w:rsidP="00F17177">
            <w:pPr>
              <w:spacing w:after="0" w:line="360" w:lineRule="auto"/>
              <w:jc w:val="center"/>
              <w:rPr>
                <w:rFonts w:eastAsia="SimSun" w:cs="Times New Roman"/>
                <w:szCs w:val="28"/>
                <w:lang w:eastAsia="zh-CN"/>
              </w:rPr>
            </w:pPr>
            <w:r w:rsidRPr="00F17177">
              <w:rPr>
                <w:rFonts w:eastAsia="SimSun" w:cs="Times New Roman"/>
                <w:sz w:val="28"/>
                <w:szCs w:val="28"/>
                <w:lang w:eastAsia="zh-CN"/>
              </w:rPr>
              <w:t>10</w:t>
            </w:r>
          </w:p>
        </w:tc>
        <w:tc>
          <w:tcPr>
            <w:tcW w:w="2388" w:type="dxa"/>
            <w:tcBorders>
              <w:top w:val="single" w:sz="4" w:space="0" w:color="auto"/>
              <w:left w:val="single" w:sz="4" w:space="0" w:color="auto"/>
              <w:bottom w:val="single" w:sz="4" w:space="0" w:color="auto"/>
              <w:right w:val="single" w:sz="4" w:space="0" w:color="auto"/>
            </w:tcBorders>
          </w:tcPr>
          <w:p w:rsidR="00F17177" w:rsidRPr="00F17177" w:rsidRDefault="00F17177" w:rsidP="00F17177">
            <w:pPr>
              <w:spacing w:after="0" w:line="360" w:lineRule="auto"/>
              <w:jc w:val="center"/>
              <w:rPr>
                <w:rFonts w:eastAsia="SimSun" w:cs="Times New Roman"/>
                <w:szCs w:val="28"/>
                <w:lang w:eastAsia="zh-CN"/>
              </w:rPr>
            </w:pPr>
            <w:r w:rsidRPr="00F17177">
              <w:rPr>
                <w:rFonts w:eastAsia="SimSun" w:cs="Times New Roman"/>
                <w:sz w:val="28"/>
                <w:szCs w:val="28"/>
                <w:lang w:eastAsia="zh-CN"/>
              </w:rPr>
              <w:t>20</w:t>
            </w:r>
          </w:p>
        </w:tc>
      </w:tr>
      <w:tr w:rsidR="00F17177" w:rsidRPr="00F17177" w:rsidTr="00400041">
        <w:trPr>
          <w:trHeight w:val="453"/>
        </w:trPr>
        <w:tc>
          <w:tcPr>
            <w:tcW w:w="2988" w:type="dxa"/>
            <w:tcBorders>
              <w:top w:val="single" w:sz="4" w:space="0" w:color="auto"/>
              <w:left w:val="single" w:sz="4" w:space="0" w:color="auto"/>
              <w:bottom w:val="single" w:sz="4" w:space="0" w:color="auto"/>
              <w:right w:val="single" w:sz="4" w:space="0" w:color="auto"/>
            </w:tcBorders>
          </w:tcPr>
          <w:p w:rsidR="00F17177" w:rsidRPr="00F17177" w:rsidRDefault="00F17177" w:rsidP="00F17177">
            <w:pPr>
              <w:spacing w:after="0" w:line="360" w:lineRule="auto"/>
              <w:jc w:val="center"/>
              <w:rPr>
                <w:rFonts w:eastAsia="SimSun" w:cs="Times New Roman"/>
                <w:szCs w:val="28"/>
                <w:lang w:eastAsia="zh-CN"/>
              </w:rPr>
            </w:pPr>
            <w:r w:rsidRPr="00F17177">
              <w:rPr>
                <w:rFonts w:eastAsia="SimSun" w:cs="Times New Roman"/>
                <w:sz w:val="28"/>
                <w:szCs w:val="28"/>
                <w:lang w:eastAsia="zh-CN"/>
              </w:rPr>
              <w:t>3 гр</w:t>
            </w:r>
          </w:p>
        </w:tc>
        <w:tc>
          <w:tcPr>
            <w:tcW w:w="1800" w:type="dxa"/>
            <w:tcBorders>
              <w:top w:val="single" w:sz="4" w:space="0" w:color="auto"/>
              <w:left w:val="single" w:sz="4" w:space="0" w:color="auto"/>
              <w:bottom w:val="single" w:sz="4" w:space="0" w:color="auto"/>
              <w:right w:val="single" w:sz="4" w:space="0" w:color="auto"/>
            </w:tcBorders>
          </w:tcPr>
          <w:p w:rsidR="00F17177" w:rsidRPr="00F17177" w:rsidRDefault="00F17177" w:rsidP="00F17177">
            <w:pPr>
              <w:spacing w:after="0" w:line="360" w:lineRule="auto"/>
              <w:jc w:val="center"/>
              <w:rPr>
                <w:rFonts w:eastAsia="SimSun" w:cs="Times New Roman"/>
                <w:szCs w:val="28"/>
                <w:lang w:eastAsia="zh-CN"/>
              </w:rPr>
            </w:pPr>
            <w:r w:rsidRPr="00F17177">
              <w:rPr>
                <w:rFonts w:eastAsia="SimSun" w:cs="Times New Roman"/>
                <w:sz w:val="28"/>
                <w:szCs w:val="28"/>
                <w:lang w:eastAsia="zh-CN"/>
              </w:rPr>
              <w:t>11</w:t>
            </w:r>
          </w:p>
        </w:tc>
        <w:tc>
          <w:tcPr>
            <w:tcW w:w="2160" w:type="dxa"/>
            <w:tcBorders>
              <w:top w:val="single" w:sz="4" w:space="0" w:color="auto"/>
              <w:left w:val="single" w:sz="4" w:space="0" w:color="auto"/>
              <w:bottom w:val="single" w:sz="4" w:space="0" w:color="auto"/>
              <w:right w:val="single" w:sz="4" w:space="0" w:color="auto"/>
            </w:tcBorders>
          </w:tcPr>
          <w:p w:rsidR="00F17177" w:rsidRPr="00F17177" w:rsidRDefault="00F17177" w:rsidP="00F17177">
            <w:pPr>
              <w:spacing w:after="0" w:line="360" w:lineRule="auto"/>
              <w:jc w:val="center"/>
              <w:rPr>
                <w:rFonts w:eastAsia="SimSun" w:cs="Times New Roman"/>
                <w:szCs w:val="28"/>
                <w:lang w:eastAsia="zh-CN"/>
              </w:rPr>
            </w:pPr>
            <w:r w:rsidRPr="00F17177">
              <w:rPr>
                <w:rFonts w:eastAsia="SimSun" w:cs="Times New Roman"/>
                <w:sz w:val="28"/>
                <w:szCs w:val="28"/>
                <w:lang w:eastAsia="zh-CN"/>
              </w:rPr>
              <w:t>9</w:t>
            </w:r>
          </w:p>
        </w:tc>
        <w:tc>
          <w:tcPr>
            <w:tcW w:w="2388" w:type="dxa"/>
            <w:tcBorders>
              <w:top w:val="single" w:sz="4" w:space="0" w:color="auto"/>
              <w:left w:val="single" w:sz="4" w:space="0" w:color="auto"/>
              <w:bottom w:val="single" w:sz="4" w:space="0" w:color="auto"/>
              <w:right w:val="single" w:sz="4" w:space="0" w:color="auto"/>
            </w:tcBorders>
          </w:tcPr>
          <w:p w:rsidR="00F17177" w:rsidRPr="00F17177" w:rsidRDefault="00F17177" w:rsidP="00F17177">
            <w:pPr>
              <w:spacing w:after="0" w:line="360" w:lineRule="auto"/>
              <w:jc w:val="center"/>
              <w:rPr>
                <w:rFonts w:eastAsia="SimSun" w:cs="Times New Roman"/>
                <w:szCs w:val="28"/>
                <w:lang w:eastAsia="zh-CN"/>
              </w:rPr>
            </w:pPr>
            <w:r w:rsidRPr="00F17177">
              <w:rPr>
                <w:rFonts w:eastAsia="SimSun" w:cs="Times New Roman"/>
                <w:sz w:val="28"/>
                <w:szCs w:val="28"/>
                <w:lang w:eastAsia="zh-CN"/>
              </w:rPr>
              <w:t>20</w:t>
            </w:r>
          </w:p>
        </w:tc>
      </w:tr>
      <w:tr w:rsidR="00F17177" w:rsidRPr="00F17177" w:rsidTr="00400041">
        <w:trPr>
          <w:trHeight w:val="482"/>
        </w:trPr>
        <w:tc>
          <w:tcPr>
            <w:tcW w:w="2988" w:type="dxa"/>
            <w:tcBorders>
              <w:top w:val="single" w:sz="4" w:space="0" w:color="auto"/>
              <w:left w:val="single" w:sz="4" w:space="0" w:color="auto"/>
              <w:bottom w:val="single" w:sz="4" w:space="0" w:color="auto"/>
              <w:right w:val="single" w:sz="4" w:space="0" w:color="auto"/>
            </w:tcBorders>
          </w:tcPr>
          <w:p w:rsidR="00F17177" w:rsidRPr="00F17177" w:rsidRDefault="00F17177" w:rsidP="00F17177">
            <w:pPr>
              <w:spacing w:after="0" w:line="360" w:lineRule="auto"/>
              <w:jc w:val="center"/>
              <w:rPr>
                <w:rFonts w:eastAsia="SimSun" w:cs="Times New Roman"/>
                <w:szCs w:val="28"/>
                <w:lang w:eastAsia="zh-CN"/>
              </w:rPr>
            </w:pPr>
            <w:r w:rsidRPr="00F17177">
              <w:rPr>
                <w:rFonts w:eastAsia="SimSun" w:cs="Times New Roman"/>
                <w:sz w:val="28"/>
                <w:szCs w:val="28"/>
                <w:lang w:eastAsia="zh-CN"/>
              </w:rPr>
              <w:t>Всього</w:t>
            </w:r>
          </w:p>
        </w:tc>
        <w:tc>
          <w:tcPr>
            <w:tcW w:w="1800" w:type="dxa"/>
            <w:tcBorders>
              <w:top w:val="single" w:sz="4" w:space="0" w:color="auto"/>
              <w:left w:val="single" w:sz="4" w:space="0" w:color="auto"/>
              <w:bottom w:val="single" w:sz="4" w:space="0" w:color="auto"/>
              <w:right w:val="single" w:sz="4" w:space="0" w:color="auto"/>
            </w:tcBorders>
          </w:tcPr>
          <w:p w:rsidR="00F17177" w:rsidRPr="00F17177" w:rsidRDefault="00F17177" w:rsidP="00F17177">
            <w:pPr>
              <w:spacing w:after="0" w:line="360" w:lineRule="auto"/>
              <w:jc w:val="center"/>
              <w:rPr>
                <w:rFonts w:eastAsia="SimSun" w:cs="Times New Roman"/>
                <w:szCs w:val="28"/>
                <w:lang w:eastAsia="zh-CN"/>
              </w:rPr>
            </w:pPr>
            <w:r w:rsidRPr="00F17177">
              <w:rPr>
                <w:rFonts w:eastAsia="SimSun" w:cs="Times New Roman"/>
                <w:sz w:val="28"/>
                <w:szCs w:val="28"/>
                <w:lang w:eastAsia="zh-CN"/>
              </w:rPr>
              <w:t>31</w:t>
            </w:r>
          </w:p>
        </w:tc>
        <w:tc>
          <w:tcPr>
            <w:tcW w:w="2160" w:type="dxa"/>
            <w:tcBorders>
              <w:top w:val="single" w:sz="4" w:space="0" w:color="auto"/>
              <w:left w:val="single" w:sz="4" w:space="0" w:color="auto"/>
              <w:bottom w:val="single" w:sz="4" w:space="0" w:color="auto"/>
              <w:right w:val="single" w:sz="4" w:space="0" w:color="auto"/>
            </w:tcBorders>
          </w:tcPr>
          <w:p w:rsidR="00F17177" w:rsidRPr="00F17177" w:rsidRDefault="00F17177" w:rsidP="00F17177">
            <w:pPr>
              <w:spacing w:after="0" w:line="360" w:lineRule="auto"/>
              <w:jc w:val="center"/>
              <w:rPr>
                <w:rFonts w:eastAsia="SimSun" w:cs="Times New Roman"/>
                <w:szCs w:val="28"/>
                <w:lang w:eastAsia="zh-CN"/>
              </w:rPr>
            </w:pPr>
            <w:r w:rsidRPr="00F17177">
              <w:rPr>
                <w:rFonts w:eastAsia="SimSun" w:cs="Times New Roman"/>
                <w:sz w:val="28"/>
                <w:szCs w:val="28"/>
                <w:lang w:eastAsia="zh-CN"/>
              </w:rPr>
              <w:t>29</w:t>
            </w:r>
          </w:p>
        </w:tc>
        <w:tc>
          <w:tcPr>
            <w:tcW w:w="2388" w:type="dxa"/>
            <w:tcBorders>
              <w:top w:val="single" w:sz="4" w:space="0" w:color="auto"/>
              <w:left w:val="single" w:sz="4" w:space="0" w:color="auto"/>
              <w:bottom w:val="single" w:sz="4" w:space="0" w:color="auto"/>
              <w:right w:val="single" w:sz="4" w:space="0" w:color="auto"/>
            </w:tcBorders>
          </w:tcPr>
          <w:p w:rsidR="00F17177" w:rsidRPr="00F17177" w:rsidRDefault="00F17177" w:rsidP="00F17177">
            <w:pPr>
              <w:spacing w:after="0" w:line="360" w:lineRule="auto"/>
              <w:jc w:val="center"/>
              <w:rPr>
                <w:rFonts w:eastAsia="SimSun" w:cs="Times New Roman"/>
                <w:szCs w:val="28"/>
                <w:lang w:eastAsia="zh-CN"/>
              </w:rPr>
            </w:pPr>
            <w:r w:rsidRPr="00F17177">
              <w:rPr>
                <w:rFonts w:eastAsia="SimSun" w:cs="Times New Roman"/>
                <w:sz w:val="28"/>
                <w:szCs w:val="28"/>
                <w:lang w:eastAsia="zh-CN"/>
              </w:rPr>
              <w:t>60</w:t>
            </w:r>
          </w:p>
        </w:tc>
      </w:tr>
    </w:tbl>
    <w:p w:rsidR="0030517B" w:rsidRPr="00CA099F" w:rsidRDefault="0030517B" w:rsidP="0030517B">
      <w:pPr>
        <w:spacing w:after="0" w:line="360" w:lineRule="auto"/>
        <w:ind w:firstLine="708"/>
        <w:jc w:val="both"/>
        <w:rPr>
          <w:rFonts w:eastAsia="SimSun" w:cs="Times New Roman"/>
          <w:b/>
          <w:sz w:val="28"/>
          <w:szCs w:val="28"/>
          <w:lang w:eastAsia="zh-CN"/>
        </w:rPr>
      </w:pPr>
      <w:r w:rsidRPr="00CA099F">
        <w:rPr>
          <w:rFonts w:eastAsia="SimSun" w:cs="Times New Roman"/>
          <w:b/>
          <w:sz w:val="28"/>
          <w:szCs w:val="28"/>
          <w:lang w:eastAsia="zh-CN"/>
        </w:rPr>
        <w:lastRenderedPageBreak/>
        <w:t>2.2 Клінічні дослідження</w:t>
      </w:r>
    </w:p>
    <w:p w:rsidR="0030517B" w:rsidRPr="00CA099F" w:rsidRDefault="0030517B" w:rsidP="0030517B">
      <w:pPr>
        <w:spacing w:after="0" w:line="360" w:lineRule="auto"/>
        <w:jc w:val="both"/>
        <w:rPr>
          <w:rFonts w:eastAsia="SimSun" w:cs="Times New Roman"/>
          <w:sz w:val="28"/>
          <w:szCs w:val="28"/>
          <w:lang w:eastAsia="zh-CN"/>
        </w:rPr>
      </w:pPr>
    </w:p>
    <w:p w:rsidR="00F17177" w:rsidRPr="00F17177" w:rsidRDefault="00F17177" w:rsidP="00F17177">
      <w:pPr>
        <w:spacing w:after="0" w:line="360" w:lineRule="auto"/>
        <w:ind w:firstLine="708"/>
        <w:jc w:val="both"/>
        <w:rPr>
          <w:rFonts w:eastAsia="SimSun" w:cs="Times New Roman"/>
          <w:sz w:val="28"/>
          <w:szCs w:val="28"/>
          <w:lang w:eastAsia="zh-CN"/>
        </w:rPr>
      </w:pPr>
      <w:r w:rsidRPr="00F17177">
        <w:rPr>
          <w:rFonts w:eastAsia="SimSun" w:cs="Times New Roman"/>
          <w:sz w:val="28"/>
          <w:szCs w:val="28"/>
          <w:lang w:eastAsia="zh-CN"/>
        </w:rPr>
        <w:t>Для оцінки динаміки утворення патологічних рубців нами була використана схема якісної оцінки патологічних рубців на різних етапах їх профілактики, а саме через 3, 6, 9, 12 місяців профілактики. Нами була використана зведена стандартартизаційна таблиця клінічної оцінки рубцевозмінених тканин (Аветіков Д.С., 2013), яка характеризувала утворення рубців за п’ятьма ознаками, які фіксувалися у цифровому вигляді в балах [58]:</w:t>
      </w:r>
    </w:p>
    <w:p w:rsidR="00F17177" w:rsidRPr="00F17177" w:rsidRDefault="00F17177" w:rsidP="00F17177">
      <w:pPr>
        <w:spacing w:after="0" w:line="360" w:lineRule="auto"/>
        <w:ind w:firstLine="708"/>
        <w:jc w:val="both"/>
        <w:rPr>
          <w:rFonts w:eastAsia="SimSun" w:cs="Times New Roman"/>
          <w:sz w:val="28"/>
          <w:szCs w:val="28"/>
          <w:lang w:eastAsia="zh-CN"/>
        </w:rPr>
      </w:pPr>
      <w:r w:rsidRPr="00F17177">
        <w:rPr>
          <w:rFonts w:eastAsia="SimSun" w:cs="Times New Roman"/>
          <w:sz w:val="28"/>
          <w:szCs w:val="28"/>
          <w:lang w:eastAsia="zh-CN"/>
        </w:rPr>
        <w:t>Ознака П1 – тип рубця;</w:t>
      </w:r>
    </w:p>
    <w:p w:rsidR="00F17177" w:rsidRPr="00F17177" w:rsidRDefault="00F17177" w:rsidP="00F17177">
      <w:pPr>
        <w:spacing w:after="0" w:line="360" w:lineRule="auto"/>
        <w:jc w:val="both"/>
        <w:rPr>
          <w:rFonts w:eastAsia="SimSun" w:cs="Times New Roman"/>
          <w:sz w:val="28"/>
          <w:szCs w:val="28"/>
          <w:lang w:eastAsia="zh-CN"/>
        </w:rPr>
      </w:pPr>
      <w:r w:rsidRPr="00F17177">
        <w:rPr>
          <w:rFonts w:eastAsia="SimSun" w:cs="Times New Roman"/>
          <w:sz w:val="28"/>
          <w:szCs w:val="28"/>
          <w:lang w:eastAsia="zh-CN"/>
        </w:rPr>
        <w:t>1 бал – нормотрофічний;</w:t>
      </w:r>
    </w:p>
    <w:p w:rsidR="00F17177" w:rsidRPr="00F17177" w:rsidRDefault="00F17177" w:rsidP="00F17177">
      <w:pPr>
        <w:spacing w:after="0" w:line="360" w:lineRule="auto"/>
        <w:jc w:val="both"/>
        <w:rPr>
          <w:rFonts w:eastAsia="SimSun" w:cs="Times New Roman"/>
          <w:sz w:val="28"/>
          <w:szCs w:val="28"/>
          <w:lang w:eastAsia="zh-CN"/>
        </w:rPr>
      </w:pPr>
      <w:r w:rsidRPr="00F17177">
        <w:rPr>
          <w:rFonts w:eastAsia="SimSun" w:cs="Times New Roman"/>
          <w:sz w:val="28"/>
          <w:szCs w:val="28"/>
          <w:lang w:eastAsia="zh-CN"/>
        </w:rPr>
        <w:t>2 бали – гіпертрофічний гомогенний;</w:t>
      </w:r>
    </w:p>
    <w:p w:rsidR="00F17177" w:rsidRPr="00F17177" w:rsidRDefault="00F17177" w:rsidP="00F17177">
      <w:pPr>
        <w:spacing w:after="0" w:line="360" w:lineRule="auto"/>
        <w:jc w:val="both"/>
        <w:rPr>
          <w:rFonts w:eastAsia="SimSun" w:cs="Times New Roman"/>
          <w:sz w:val="28"/>
          <w:szCs w:val="28"/>
          <w:lang w:eastAsia="zh-CN"/>
        </w:rPr>
      </w:pPr>
      <w:r w:rsidRPr="00F17177">
        <w:rPr>
          <w:rFonts w:eastAsia="SimSun" w:cs="Times New Roman"/>
          <w:sz w:val="28"/>
          <w:szCs w:val="28"/>
          <w:lang w:eastAsia="zh-CN"/>
        </w:rPr>
        <w:t>3 бали – гіпертрофічний з вузликами;</w:t>
      </w:r>
    </w:p>
    <w:p w:rsidR="00F17177" w:rsidRPr="00F17177" w:rsidRDefault="00F17177" w:rsidP="00F17177">
      <w:pPr>
        <w:spacing w:after="0" w:line="360" w:lineRule="auto"/>
        <w:jc w:val="both"/>
        <w:rPr>
          <w:rFonts w:eastAsia="SimSun" w:cs="Times New Roman"/>
          <w:sz w:val="28"/>
          <w:szCs w:val="28"/>
          <w:lang w:eastAsia="zh-CN"/>
        </w:rPr>
      </w:pPr>
      <w:r w:rsidRPr="00F17177">
        <w:rPr>
          <w:rFonts w:eastAsia="SimSun" w:cs="Times New Roman"/>
          <w:sz w:val="28"/>
          <w:szCs w:val="28"/>
          <w:lang w:eastAsia="zh-CN"/>
        </w:rPr>
        <w:t>4 бали – ознаки келоїдизації;</w:t>
      </w:r>
    </w:p>
    <w:p w:rsidR="00F17177" w:rsidRPr="00F17177" w:rsidRDefault="00F17177" w:rsidP="00F17177">
      <w:pPr>
        <w:spacing w:after="0" w:line="360" w:lineRule="auto"/>
        <w:jc w:val="both"/>
        <w:rPr>
          <w:rFonts w:eastAsia="SimSun" w:cs="Times New Roman"/>
          <w:sz w:val="28"/>
          <w:szCs w:val="28"/>
          <w:lang w:eastAsia="zh-CN"/>
        </w:rPr>
      </w:pPr>
      <w:r w:rsidRPr="00F17177">
        <w:rPr>
          <w:rFonts w:eastAsia="SimSun" w:cs="Times New Roman"/>
          <w:sz w:val="28"/>
          <w:szCs w:val="28"/>
          <w:lang w:eastAsia="zh-CN"/>
        </w:rPr>
        <w:t>5 балів – виражений келоїд.</w:t>
      </w:r>
    </w:p>
    <w:p w:rsidR="00F17177" w:rsidRPr="00F17177" w:rsidRDefault="00F17177" w:rsidP="00F17177">
      <w:pPr>
        <w:spacing w:after="0" w:line="360" w:lineRule="auto"/>
        <w:ind w:firstLine="708"/>
        <w:jc w:val="both"/>
        <w:rPr>
          <w:rFonts w:eastAsia="SimSun" w:cs="Times New Roman"/>
          <w:sz w:val="28"/>
          <w:szCs w:val="28"/>
          <w:lang w:eastAsia="zh-CN"/>
        </w:rPr>
      </w:pPr>
      <w:r w:rsidRPr="00F17177">
        <w:rPr>
          <w:rFonts w:eastAsia="SimSun" w:cs="Times New Roman"/>
          <w:sz w:val="28"/>
          <w:szCs w:val="28"/>
          <w:lang w:eastAsia="zh-CN"/>
        </w:rPr>
        <w:t>Ознака П2 – консистенція рубця;</w:t>
      </w:r>
    </w:p>
    <w:p w:rsidR="00F17177" w:rsidRPr="00F17177" w:rsidRDefault="00F17177" w:rsidP="00F17177">
      <w:pPr>
        <w:spacing w:after="0" w:line="360" w:lineRule="auto"/>
        <w:jc w:val="both"/>
        <w:rPr>
          <w:rFonts w:eastAsia="SimSun" w:cs="Times New Roman"/>
          <w:sz w:val="28"/>
          <w:szCs w:val="28"/>
          <w:lang w:eastAsia="zh-CN"/>
        </w:rPr>
      </w:pPr>
      <w:r w:rsidRPr="00F17177">
        <w:rPr>
          <w:rFonts w:eastAsia="SimSun" w:cs="Times New Roman"/>
          <w:sz w:val="28"/>
          <w:szCs w:val="28"/>
          <w:lang w:eastAsia="zh-CN"/>
        </w:rPr>
        <w:t>1 бал – нормальна;</w:t>
      </w:r>
    </w:p>
    <w:p w:rsidR="00F17177" w:rsidRPr="00F17177" w:rsidRDefault="00F17177" w:rsidP="00F17177">
      <w:pPr>
        <w:spacing w:after="0" w:line="360" w:lineRule="auto"/>
        <w:jc w:val="both"/>
        <w:rPr>
          <w:rFonts w:eastAsia="SimSun" w:cs="Times New Roman"/>
          <w:sz w:val="28"/>
          <w:szCs w:val="28"/>
          <w:lang w:eastAsia="zh-CN"/>
        </w:rPr>
      </w:pPr>
      <w:r w:rsidRPr="00F17177">
        <w:rPr>
          <w:rFonts w:eastAsia="SimSun" w:cs="Times New Roman"/>
          <w:sz w:val="28"/>
          <w:szCs w:val="28"/>
          <w:lang w:eastAsia="zh-CN"/>
        </w:rPr>
        <w:t>2 бали – помірне ущільнення;</w:t>
      </w:r>
    </w:p>
    <w:p w:rsidR="00F17177" w:rsidRPr="00F17177" w:rsidRDefault="00F17177" w:rsidP="00F17177">
      <w:pPr>
        <w:spacing w:after="0" w:line="360" w:lineRule="auto"/>
        <w:jc w:val="both"/>
        <w:rPr>
          <w:rFonts w:eastAsia="SimSun" w:cs="Times New Roman"/>
          <w:sz w:val="28"/>
          <w:szCs w:val="28"/>
          <w:lang w:eastAsia="zh-CN"/>
        </w:rPr>
      </w:pPr>
      <w:r w:rsidRPr="00F17177">
        <w:rPr>
          <w:rFonts w:eastAsia="SimSun" w:cs="Times New Roman"/>
          <w:sz w:val="28"/>
          <w:szCs w:val="28"/>
          <w:lang w:eastAsia="zh-CN"/>
        </w:rPr>
        <w:t>3 бали – виражена індурація.</w:t>
      </w:r>
    </w:p>
    <w:p w:rsidR="00F17177" w:rsidRPr="00F17177" w:rsidRDefault="00F17177" w:rsidP="00F17177">
      <w:pPr>
        <w:spacing w:after="0" w:line="360" w:lineRule="auto"/>
        <w:ind w:firstLine="708"/>
        <w:jc w:val="both"/>
        <w:rPr>
          <w:rFonts w:eastAsia="SimSun" w:cs="Times New Roman"/>
          <w:sz w:val="28"/>
          <w:szCs w:val="28"/>
          <w:lang w:eastAsia="zh-CN"/>
        </w:rPr>
      </w:pPr>
      <w:r w:rsidRPr="00F17177">
        <w:rPr>
          <w:rFonts w:eastAsia="SimSun" w:cs="Times New Roman"/>
          <w:sz w:val="28"/>
          <w:szCs w:val="28"/>
          <w:lang w:eastAsia="zh-CN"/>
        </w:rPr>
        <w:t>Ознака П3 – колір рубця;</w:t>
      </w:r>
    </w:p>
    <w:p w:rsidR="00F17177" w:rsidRPr="00F17177" w:rsidRDefault="00F17177" w:rsidP="00F17177">
      <w:pPr>
        <w:spacing w:after="0" w:line="360" w:lineRule="auto"/>
        <w:jc w:val="both"/>
        <w:rPr>
          <w:rFonts w:eastAsia="SimSun" w:cs="Times New Roman"/>
          <w:sz w:val="28"/>
          <w:szCs w:val="28"/>
          <w:lang w:eastAsia="zh-CN"/>
        </w:rPr>
      </w:pPr>
      <w:r w:rsidRPr="00F17177">
        <w:rPr>
          <w:rFonts w:eastAsia="SimSun" w:cs="Times New Roman"/>
          <w:sz w:val="28"/>
          <w:szCs w:val="28"/>
          <w:lang w:eastAsia="zh-CN"/>
        </w:rPr>
        <w:t>1 бал – здорова шкіра;</w:t>
      </w:r>
    </w:p>
    <w:p w:rsidR="00F17177" w:rsidRPr="00F17177" w:rsidRDefault="00F17177" w:rsidP="00F17177">
      <w:pPr>
        <w:spacing w:after="0" w:line="360" w:lineRule="auto"/>
        <w:jc w:val="both"/>
        <w:rPr>
          <w:rFonts w:eastAsia="SimSun" w:cs="Times New Roman"/>
          <w:sz w:val="28"/>
          <w:szCs w:val="28"/>
          <w:lang w:eastAsia="zh-CN"/>
        </w:rPr>
      </w:pPr>
      <w:r w:rsidRPr="00F17177">
        <w:rPr>
          <w:rFonts w:eastAsia="SimSun" w:cs="Times New Roman"/>
          <w:sz w:val="28"/>
          <w:szCs w:val="28"/>
          <w:lang w:eastAsia="zh-CN"/>
        </w:rPr>
        <w:t>2 бали – помірна еритема;</w:t>
      </w:r>
    </w:p>
    <w:p w:rsidR="00F17177" w:rsidRPr="00F17177" w:rsidRDefault="00F17177" w:rsidP="00F17177">
      <w:pPr>
        <w:spacing w:after="0" w:line="360" w:lineRule="auto"/>
        <w:jc w:val="both"/>
        <w:rPr>
          <w:rFonts w:eastAsia="SimSun" w:cs="Times New Roman"/>
          <w:sz w:val="28"/>
          <w:szCs w:val="28"/>
          <w:lang w:eastAsia="zh-CN"/>
        </w:rPr>
      </w:pPr>
      <w:r w:rsidRPr="00F17177">
        <w:rPr>
          <w:rFonts w:eastAsia="SimSun" w:cs="Times New Roman"/>
          <w:sz w:val="28"/>
          <w:szCs w:val="28"/>
          <w:lang w:eastAsia="zh-CN"/>
        </w:rPr>
        <w:t>3 бали – виражена еритема.</w:t>
      </w:r>
    </w:p>
    <w:p w:rsidR="00F17177" w:rsidRPr="00F17177" w:rsidRDefault="00F17177" w:rsidP="00F17177">
      <w:pPr>
        <w:spacing w:after="0" w:line="360" w:lineRule="auto"/>
        <w:ind w:firstLine="708"/>
        <w:jc w:val="both"/>
        <w:rPr>
          <w:rFonts w:eastAsia="SimSun" w:cs="Times New Roman"/>
          <w:sz w:val="28"/>
          <w:szCs w:val="28"/>
          <w:lang w:eastAsia="zh-CN"/>
        </w:rPr>
      </w:pPr>
      <w:r w:rsidRPr="00F17177">
        <w:rPr>
          <w:rFonts w:eastAsia="SimSun" w:cs="Times New Roman"/>
          <w:sz w:val="28"/>
          <w:szCs w:val="28"/>
          <w:lang w:eastAsia="zh-CN"/>
        </w:rPr>
        <w:t>Ознака П4 – чутливість рубця;</w:t>
      </w:r>
    </w:p>
    <w:p w:rsidR="00F17177" w:rsidRPr="00F17177" w:rsidRDefault="00F17177" w:rsidP="00F17177">
      <w:pPr>
        <w:spacing w:after="0" w:line="360" w:lineRule="auto"/>
        <w:jc w:val="both"/>
        <w:rPr>
          <w:rFonts w:eastAsia="SimSun" w:cs="Times New Roman"/>
          <w:sz w:val="28"/>
          <w:szCs w:val="28"/>
          <w:lang w:eastAsia="zh-CN"/>
        </w:rPr>
      </w:pPr>
      <w:r w:rsidRPr="00F17177">
        <w:rPr>
          <w:rFonts w:eastAsia="SimSun" w:cs="Times New Roman"/>
          <w:sz w:val="28"/>
          <w:szCs w:val="28"/>
          <w:lang w:eastAsia="zh-CN"/>
        </w:rPr>
        <w:t>1 бал – напруженість;</w:t>
      </w:r>
    </w:p>
    <w:p w:rsidR="00F17177" w:rsidRPr="00F17177" w:rsidRDefault="00F17177" w:rsidP="00F17177">
      <w:pPr>
        <w:spacing w:after="0" w:line="360" w:lineRule="auto"/>
        <w:jc w:val="both"/>
        <w:rPr>
          <w:rFonts w:eastAsia="SimSun" w:cs="Times New Roman"/>
          <w:sz w:val="28"/>
          <w:szCs w:val="28"/>
          <w:lang w:eastAsia="zh-CN"/>
        </w:rPr>
      </w:pPr>
      <w:r w:rsidRPr="00F17177">
        <w:rPr>
          <w:rFonts w:eastAsia="SimSun" w:cs="Times New Roman"/>
          <w:sz w:val="28"/>
          <w:szCs w:val="28"/>
          <w:lang w:eastAsia="zh-CN"/>
        </w:rPr>
        <w:t>2 бали – свербіж;</w:t>
      </w:r>
    </w:p>
    <w:p w:rsidR="00F17177" w:rsidRPr="00F17177" w:rsidRDefault="00F17177" w:rsidP="00F17177">
      <w:pPr>
        <w:spacing w:after="0" w:line="360" w:lineRule="auto"/>
        <w:jc w:val="both"/>
        <w:rPr>
          <w:rFonts w:eastAsia="SimSun" w:cs="Times New Roman"/>
          <w:sz w:val="28"/>
          <w:szCs w:val="28"/>
          <w:lang w:eastAsia="zh-CN"/>
        </w:rPr>
      </w:pPr>
      <w:r w:rsidRPr="00F17177">
        <w:rPr>
          <w:rFonts w:eastAsia="SimSun" w:cs="Times New Roman"/>
          <w:sz w:val="28"/>
          <w:szCs w:val="28"/>
          <w:lang w:eastAsia="zh-CN"/>
        </w:rPr>
        <w:t>3 бали – печія;</w:t>
      </w:r>
    </w:p>
    <w:p w:rsidR="00F17177" w:rsidRPr="00F17177" w:rsidRDefault="00F17177" w:rsidP="00F17177">
      <w:pPr>
        <w:spacing w:after="0" w:line="360" w:lineRule="auto"/>
        <w:jc w:val="both"/>
        <w:rPr>
          <w:rFonts w:eastAsia="SimSun" w:cs="Times New Roman"/>
          <w:sz w:val="28"/>
          <w:szCs w:val="28"/>
          <w:lang w:eastAsia="zh-CN"/>
        </w:rPr>
      </w:pPr>
      <w:r w:rsidRPr="00F17177">
        <w:rPr>
          <w:rFonts w:eastAsia="SimSun" w:cs="Times New Roman"/>
          <w:sz w:val="28"/>
          <w:szCs w:val="28"/>
          <w:lang w:eastAsia="zh-CN"/>
        </w:rPr>
        <w:t>4 бали – біль.</w:t>
      </w:r>
    </w:p>
    <w:p w:rsidR="00F17177" w:rsidRPr="00F17177" w:rsidRDefault="00F17177" w:rsidP="00F17177">
      <w:pPr>
        <w:spacing w:after="0" w:line="360" w:lineRule="auto"/>
        <w:ind w:firstLine="708"/>
        <w:jc w:val="both"/>
        <w:rPr>
          <w:rFonts w:eastAsia="SimSun" w:cs="Times New Roman"/>
          <w:sz w:val="28"/>
          <w:szCs w:val="28"/>
          <w:lang w:eastAsia="zh-CN"/>
        </w:rPr>
      </w:pPr>
      <w:r w:rsidRPr="00F17177">
        <w:rPr>
          <w:rFonts w:eastAsia="SimSun" w:cs="Times New Roman"/>
          <w:sz w:val="28"/>
          <w:szCs w:val="28"/>
          <w:lang w:eastAsia="zh-CN"/>
        </w:rPr>
        <w:t>Ознака П5 – площа рубця;</w:t>
      </w:r>
    </w:p>
    <w:p w:rsidR="00F17177" w:rsidRPr="00F17177" w:rsidRDefault="00F17177" w:rsidP="00F17177">
      <w:pPr>
        <w:spacing w:after="0" w:line="360" w:lineRule="auto"/>
        <w:jc w:val="both"/>
        <w:rPr>
          <w:rFonts w:eastAsia="SimSun" w:cs="Times New Roman"/>
          <w:sz w:val="28"/>
          <w:szCs w:val="28"/>
          <w:lang w:eastAsia="zh-CN"/>
        </w:rPr>
      </w:pPr>
      <w:r w:rsidRPr="00F17177">
        <w:rPr>
          <w:rFonts w:eastAsia="SimSun" w:cs="Times New Roman"/>
          <w:sz w:val="28"/>
          <w:szCs w:val="28"/>
          <w:lang w:eastAsia="zh-CN"/>
        </w:rPr>
        <w:t>1 бал – мала площа 0-5,9 мм</w:t>
      </w:r>
      <w:r w:rsidRPr="00F17177">
        <w:rPr>
          <w:rFonts w:eastAsia="SimSun" w:cs="Times New Roman"/>
          <w:sz w:val="28"/>
          <w:szCs w:val="28"/>
          <w:vertAlign w:val="superscript"/>
          <w:lang w:eastAsia="zh-CN"/>
        </w:rPr>
        <w:t>2</w:t>
      </w:r>
      <w:r w:rsidRPr="00F17177">
        <w:rPr>
          <w:rFonts w:eastAsia="SimSun" w:cs="Times New Roman"/>
          <w:sz w:val="28"/>
          <w:szCs w:val="28"/>
          <w:lang w:eastAsia="zh-CN"/>
        </w:rPr>
        <w:t>;</w:t>
      </w:r>
    </w:p>
    <w:p w:rsidR="00F17177" w:rsidRPr="00F17177" w:rsidRDefault="00F17177" w:rsidP="00F17177">
      <w:pPr>
        <w:spacing w:after="0" w:line="360" w:lineRule="auto"/>
        <w:jc w:val="both"/>
        <w:rPr>
          <w:rFonts w:eastAsia="SimSun" w:cs="Times New Roman"/>
          <w:sz w:val="28"/>
          <w:szCs w:val="28"/>
          <w:lang w:eastAsia="zh-CN"/>
        </w:rPr>
      </w:pPr>
      <w:r w:rsidRPr="00F17177">
        <w:rPr>
          <w:rFonts w:eastAsia="SimSun" w:cs="Times New Roman"/>
          <w:sz w:val="28"/>
          <w:szCs w:val="28"/>
          <w:lang w:eastAsia="zh-CN"/>
        </w:rPr>
        <w:t>2 бали – середня площа 6-11,9 мм</w:t>
      </w:r>
      <w:r w:rsidRPr="00F17177">
        <w:rPr>
          <w:rFonts w:eastAsia="SimSun" w:cs="Times New Roman"/>
          <w:sz w:val="28"/>
          <w:szCs w:val="28"/>
          <w:vertAlign w:val="superscript"/>
          <w:lang w:eastAsia="zh-CN"/>
        </w:rPr>
        <w:t>2</w:t>
      </w:r>
      <w:r w:rsidRPr="00F17177">
        <w:rPr>
          <w:rFonts w:eastAsia="SimSun" w:cs="Times New Roman"/>
          <w:sz w:val="28"/>
          <w:szCs w:val="28"/>
          <w:lang w:eastAsia="zh-CN"/>
        </w:rPr>
        <w:t>;</w:t>
      </w:r>
    </w:p>
    <w:p w:rsidR="00F17177" w:rsidRPr="00F17177" w:rsidRDefault="00F17177" w:rsidP="00F17177">
      <w:pPr>
        <w:spacing w:after="0" w:line="360" w:lineRule="auto"/>
        <w:jc w:val="both"/>
        <w:rPr>
          <w:rFonts w:eastAsia="SimSun" w:cs="Times New Roman"/>
          <w:sz w:val="28"/>
          <w:szCs w:val="28"/>
          <w:lang w:eastAsia="zh-CN"/>
        </w:rPr>
      </w:pPr>
      <w:r w:rsidRPr="00F17177">
        <w:rPr>
          <w:rFonts w:eastAsia="SimSun" w:cs="Times New Roman"/>
          <w:sz w:val="28"/>
          <w:szCs w:val="28"/>
          <w:lang w:eastAsia="zh-CN"/>
        </w:rPr>
        <w:lastRenderedPageBreak/>
        <w:t>3 бали – велика площа 12-18,9 мм</w:t>
      </w:r>
      <w:r w:rsidRPr="00F17177">
        <w:rPr>
          <w:rFonts w:eastAsia="SimSun" w:cs="Times New Roman"/>
          <w:sz w:val="28"/>
          <w:szCs w:val="28"/>
          <w:vertAlign w:val="superscript"/>
          <w:lang w:eastAsia="zh-CN"/>
        </w:rPr>
        <w:t>2</w:t>
      </w:r>
      <w:r w:rsidRPr="00F17177">
        <w:rPr>
          <w:rFonts w:eastAsia="SimSun" w:cs="Times New Roman"/>
          <w:sz w:val="28"/>
          <w:szCs w:val="28"/>
          <w:lang w:eastAsia="zh-CN"/>
        </w:rPr>
        <w:t>.</w:t>
      </w:r>
    </w:p>
    <w:p w:rsidR="00F17177" w:rsidRPr="00F17177" w:rsidRDefault="00F17177" w:rsidP="00F17177">
      <w:pPr>
        <w:spacing w:after="0" w:line="360" w:lineRule="auto"/>
        <w:ind w:firstLine="708"/>
        <w:jc w:val="both"/>
        <w:rPr>
          <w:rFonts w:eastAsia="SimSun" w:cs="Times New Roman"/>
          <w:sz w:val="28"/>
          <w:szCs w:val="28"/>
          <w:lang w:eastAsia="zh-CN"/>
        </w:rPr>
      </w:pPr>
      <w:r w:rsidRPr="00F17177">
        <w:rPr>
          <w:rFonts w:eastAsia="SimSun" w:cs="Times New Roman"/>
          <w:sz w:val="28"/>
          <w:szCs w:val="28"/>
          <w:lang w:eastAsia="zh-CN"/>
        </w:rPr>
        <w:t>Площа визначалася за допомогою міліметрового паперу. До рубця прикладали стерильний лист целофану, на якому намічалися точки, що відповідали довжині та ширині рубця. Потім намічені точки з’єднувались прямими лініями та математично вираховувалася загальна площа рубцевозмінених тканин. Цей процес був реалізований шляхом прикладання до целофану з наміченими контурами міліметрового паперу і підраховувалась кількість мм</w:t>
      </w:r>
      <w:r w:rsidRPr="00F17177">
        <w:rPr>
          <w:rFonts w:eastAsia="SimSun" w:cs="Times New Roman"/>
          <w:sz w:val="28"/>
          <w:szCs w:val="28"/>
          <w:vertAlign w:val="superscript"/>
          <w:lang w:eastAsia="zh-CN"/>
        </w:rPr>
        <w:t>2</w:t>
      </w:r>
      <w:r w:rsidRPr="00F17177">
        <w:rPr>
          <w:rFonts w:eastAsia="SimSun" w:cs="Times New Roman"/>
          <w:sz w:val="28"/>
          <w:szCs w:val="28"/>
          <w:lang w:eastAsia="zh-CN"/>
        </w:rPr>
        <w:t>.</w:t>
      </w:r>
    </w:p>
    <w:p w:rsidR="00F17177" w:rsidRPr="00F17177" w:rsidRDefault="00F17177" w:rsidP="00F17177">
      <w:pPr>
        <w:spacing w:after="0" w:line="360" w:lineRule="auto"/>
        <w:ind w:firstLine="708"/>
        <w:jc w:val="both"/>
        <w:rPr>
          <w:rFonts w:eastAsia="SimSun" w:cs="Times New Roman"/>
          <w:sz w:val="28"/>
          <w:szCs w:val="28"/>
          <w:lang w:eastAsia="zh-CN"/>
        </w:rPr>
      </w:pPr>
      <w:r w:rsidRPr="00F17177">
        <w:rPr>
          <w:rFonts w:eastAsia="SimSun" w:cs="Times New Roman"/>
          <w:sz w:val="28"/>
          <w:szCs w:val="28"/>
          <w:lang w:eastAsia="zh-CN"/>
        </w:rPr>
        <w:t>Термометричне дослідження проводилось всім пацієнтам без винятку на 3, 6, 9 та 12 місяць після оперативного втручання за допомогою безконтактного інфрачервоного медичного термометра TM-65E (Ecomed) у центральній ділянці післяопераційного рубця.</w:t>
      </w:r>
    </w:p>
    <w:p w:rsidR="0030517B" w:rsidRPr="00CA099F" w:rsidRDefault="0030517B" w:rsidP="0030517B">
      <w:pPr>
        <w:spacing w:after="0" w:line="360" w:lineRule="auto"/>
        <w:ind w:firstLine="708"/>
        <w:jc w:val="both"/>
        <w:rPr>
          <w:rFonts w:eastAsia="SimSun" w:cs="Times New Roman"/>
          <w:sz w:val="28"/>
          <w:szCs w:val="28"/>
          <w:lang w:eastAsia="zh-CN"/>
        </w:rPr>
      </w:pPr>
    </w:p>
    <w:p w:rsidR="0030517B" w:rsidRPr="00CA099F" w:rsidRDefault="0030517B" w:rsidP="0030517B">
      <w:pPr>
        <w:spacing w:after="0" w:line="360" w:lineRule="auto"/>
        <w:ind w:firstLine="708"/>
        <w:jc w:val="both"/>
        <w:rPr>
          <w:rFonts w:eastAsia="SimSun" w:cs="Times New Roman"/>
          <w:b/>
          <w:sz w:val="28"/>
          <w:szCs w:val="28"/>
          <w:lang w:eastAsia="zh-CN"/>
        </w:rPr>
      </w:pPr>
      <w:r w:rsidRPr="00CA099F">
        <w:rPr>
          <w:rFonts w:eastAsia="SimSun" w:cs="Times New Roman"/>
          <w:b/>
          <w:sz w:val="28"/>
          <w:szCs w:val="28"/>
          <w:lang w:eastAsia="zh-CN"/>
        </w:rPr>
        <w:t>2.3 Опис складових використаних препаратів та методика їх введення з метою профілактики утворення післяопераційних патологічних рубців</w:t>
      </w:r>
    </w:p>
    <w:p w:rsidR="0030517B" w:rsidRPr="00CA099F" w:rsidRDefault="0030517B" w:rsidP="0030517B">
      <w:pPr>
        <w:spacing w:after="0" w:line="360" w:lineRule="auto"/>
        <w:jc w:val="both"/>
        <w:rPr>
          <w:rFonts w:eastAsia="SimSun" w:cs="Times New Roman"/>
          <w:sz w:val="28"/>
          <w:szCs w:val="28"/>
          <w:lang w:eastAsia="zh-CN"/>
        </w:rPr>
      </w:pPr>
    </w:p>
    <w:p w:rsidR="0030517B" w:rsidRPr="00CA099F" w:rsidRDefault="0030517B" w:rsidP="0030517B">
      <w:pPr>
        <w:spacing w:after="0" w:line="360" w:lineRule="auto"/>
        <w:ind w:firstLine="708"/>
        <w:jc w:val="both"/>
        <w:rPr>
          <w:rFonts w:eastAsia="SimSun" w:cs="Times New Roman"/>
          <w:sz w:val="28"/>
          <w:szCs w:val="28"/>
          <w:lang w:eastAsia="zh-CN"/>
        </w:rPr>
      </w:pPr>
      <w:r w:rsidRPr="00CA099F">
        <w:rPr>
          <w:rFonts w:eastAsia="SimSun" w:cs="Times New Roman"/>
          <w:sz w:val="28"/>
          <w:szCs w:val="28"/>
          <w:lang w:eastAsia="zh-CN"/>
        </w:rPr>
        <w:t xml:space="preserve">За допомогою спеціального апарату для виробляються біосумісні мембрани А-PRF  багаті </w:t>
      </w:r>
      <w:r w:rsidR="0011184F">
        <w:rPr>
          <w:rFonts w:eastAsia="SimSun" w:cs="Times New Roman"/>
          <w:sz w:val="28"/>
          <w:szCs w:val="28"/>
          <w:lang w:eastAsia="zh-CN"/>
        </w:rPr>
        <w:t>на фактор</w:t>
      </w:r>
      <w:r w:rsidRPr="00CA099F">
        <w:rPr>
          <w:rFonts w:eastAsia="SimSun" w:cs="Times New Roman"/>
          <w:sz w:val="28"/>
          <w:szCs w:val="28"/>
          <w:lang w:eastAsia="zh-CN"/>
        </w:rPr>
        <w:t>и росту.  Після застосування мембран</w:t>
      </w:r>
      <w:r w:rsidR="0011184F">
        <w:rPr>
          <w:rFonts w:eastAsia="SimSun" w:cs="Times New Roman"/>
          <w:sz w:val="28"/>
          <w:szCs w:val="28"/>
          <w:lang w:eastAsia="zh-CN"/>
        </w:rPr>
        <w:t xml:space="preserve"> із плазми крові</w:t>
      </w:r>
      <w:r w:rsidRPr="00CA099F">
        <w:rPr>
          <w:rFonts w:eastAsia="SimSun" w:cs="Times New Roman"/>
          <w:sz w:val="28"/>
          <w:szCs w:val="28"/>
          <w:lang w:eastAsia="zh-CN"/>
        </w:rPr>
        <w:t xml:space="preserve"> стимулюється зростання </w:t>
      </w:r>
      <w:r w:rsidR="0011184F">
        <w:rPr>
          <w:rFonts w:eastAsia="SimSun" w:cs="Times New Roman"/>
          <w:sz w:val="28"/>
          <w:szCs w:val="28"/>
          <w:lang w:eastAsia="zh-CN"/>
        </w:rPr>
        <w:t>кількості новоутворених капілярів, що покращує місцеву гемодинаміку</w:t>
      </w:r>
      <w:r w:rsidRPr="00CA099F">
        <w:rPr>
          <w:rFonts w:eastAsia="SimSun" w:cs="Times New Roman"/>
          <w:sz w:val="28"/>
          <w:szCs w:val="28"/>
          <w:lang w:eastAsia="zh-CN"/>
        </w:rPr>
        <w:t>, дихання та обмінні процеси в тканинах, прискорюється утворення колагену,</w:t>
      </w:r>
      <w:r w:rsidR="0011184F">
        <w:rPr>
          <w:rFonts w:eastAsia="SimSun" w:cs="Times New Roman"/>
          <w:sz w:val="28"/>
          <w:szCs w:val="28"/>
          <w:lang w:eastAsia="zh-CN"/>
        </w:rPr>
        <w:t xml:space="preserve"> гіалуронової кислоти в них</w:t>
      </w:r>
      <w:r w:rsidRPr="00CA099F">
        <w:rPr>
          <w:rFonts w:eastAsia="SimSun" w:cs="Times New Roman"/>
          <w:sz w:val="28"/>
          <w:szCs w:val="28"/>
          <w:lang w:eastAsia="zh-CN"/>
        </w:rPr>
        <w:t>, зменшується</w:t>
      </w:r>
      <w:r w:rsidR="0011184F">
        <w:rPr>
          <w:rFonts w:eastAsia="SimSun" w:cs="Times New Roman"/>
          <w:sz w:val="28"/>
          <w:szCs w:val="28"/>
          <w:lang w:eastAsia="zh-CN"/>
        </w:rPr>
        <w:t xml:space="preserve"> ступінь вираженості запальної регуляції</w:t>
      </w:r>
      <w:r w:rsidRPr="00CA099F">
        <w:rPr>
          <w:rFonts w:eastAsia="SimSun" w:cs="Times New Roman"/>
          <w:sz w:val="28"/>
          <w:szCs w:val="28"/>
          <w:lang w:eastAsia="zh-CN"/>
        </w:rPr>
        <w:t>.</w:t>
      </w:r>
    </w:p>
    <w:p w:rsidR="0030517B" w:rsidRPr="00CA099F" w:rsidRDefault="005A01B4" w:rsidP="0030517B">
      <w:pPr>
        <w:spacing w:after="0" w:line="360" w:lineRule="auto"/>
        <w:ind w:firstLine="708"/>
        <w:jc w:val="both"/>
        <w:rPr>
          <w:rFonts w:eastAsia="SimSun" w:cs="Times New Roman"/>
          <w:sz w:val="28"/>
          <w:szCs w:val="28"/>
          <w:lang w:eastAsia="zh-CN"/>
        </w:rPr>
      </w:pPr>
      <w:r>
        <w:rPr>
          <w:rFonts w:eastAsia="SimSun" w:cs="Times New Roman"/>
          <w:sz w:val="28"/>
          <w:szCs w:val="28"/>
          <w:lang w:eastAsia="zh-CN"/>
        </w:rPr>
        <w:t>За тиждень до процедури,</w:t>
      </w:r>
      <w:r w:rsidR="0030517B" w:rsidRPr="00CA099F">
        <w:rPr>
          <w:rFonts w:eastAsia="SimSun" w:cs="Times New Roman"/>
          <w:sz w:val="28"/>
          <w:szCs w:val="28"/>
          <w:lang w:eastAsia="zh-CN"/>
        </w:rPr>
        <w:t xml:space="preserve"> </w:t>
      </w:r>
      <w:r>
        <w:rPr>
          <w:rFonts w:eastAsia="SimSun" w:cs="Times New Roman"/>
          <w:sz w:val="28"/>
          <w:szCs w:val="28"/>
          <w:lang w:eastAsia="zh-CN"/>
        </w:rPr>
        <w:t>всі хворі не вживали антибіотики,</w:t>
      </w:r>
      <w:r w:rsidR="0030517B" w:rsidRPr="00CA099F">
        <w:rPr>
          <w:rFonts w:eastAsia="SimSun" w:cs="Times New Roman"/>
          <w:sz w:val="28"/>
          <w:szCs w:val="28"/>
          <w:lang w:eastAsia="zh-CN"/>
        </w:rPr>
        <w:t xml:space="preserve"> а</w:t>
      </w:r>
      <w:r>
        <w:rPr>
          <w:rFonts w:eastAsia="SimSun" w:cs="Times New Roman"/>
          <w:sz w:val="28"/>
          <w:szCs w:val="28"/>
          <w:lang w:eastAsia="zh-CN"/>
        </w:rPr>
        <w:t>лкоголь, жирну та смажену їжу, а вживання</w:t>
      </w:r>
      <w:r w:rsidR="0030517B" w:rsidRPr="00CA099F">
        <w:rPr>
          <w:rFonts w:eastAsia="SimSun" w:cs="Times New Roman"/>
          <w:sz w:val="28"/>
          <w:szCs w:val="28"/>
          <w:lang w:eastAsia="zh-CN"/>
        </w:rPr>
        <w:t xml:space="preserve"> питної води </w:t>
      </w:r>
      <w:r>
        <w:rPr>
          <w:rFonts w:eastAsia="SimSun" w:cs="Times New Roman"/>
          <w:sz w:val="28"/>
          <w:szCs w:val="28"/>
          <w:lang w:eastAsia="zh-CN"/>
        </w:rPr>
        <w:t xml:space="preserve">зводилося </w:t>
      </w:r>
      <w:r w:rsidR="0030517B" w:rsidRPr="00CA099F">
        <w:rPr>
          <w:rFonts w:eastAsia="SimSun" w:cs="Times New Roman"/>
          <w:sz w:val="28"/>
          <w:szCs w:val="28"/>
          <w:lang w:eastAsia="zh-CN"/>
        </w:rPr>
        <w:t xml:space="preserve">мінімум </w:t>
      </w:r>
      <w:r>
        <w:rPr>
          <w:rFonts w:eastAsia="SimSun" w:cs="Times New Roman"/>
          <w:sz w:val="28"/>
          <w:szCs w:val="28"/>
          <w:lang w:eastAsia="zh-CN"/>
        </w:rPr>
        <w:t xml:space="preserve">до </w:t>
      </w:r>
      <w:r w:rsidR="0030517B" w:rsidRPr="00CA099F">
        <w:rPr>
          <w:rFonts w:eastAsia="SimSun" w:cs="Times New Roman"/>
          <w:sz w:val="28"/>
          <w:szCs w:val="28"/>
          <w:lang w:eastAsia="zh-CN"/>
        </w:rPr>
        <w:t>1,5 літра на добу.</w:t>
      </w:r>
    </w:p>
    <w:p w:rsidR="0030517B" w:rsidRPr="00CA099F" w:rsidRDefault="0030517B" w:rsidP="0030517B">
      <w:pPr>
        <w:spacing w:after="0" w:line="360" w:lineRule="auto"/>
        <w:ind w:firstLine="708"/>
        <w:jc w:val="both"/>
        <w:rPr>
          <w:rFonts w:eastAsia="SimSun" w:cs="Times New Roman"/>
          <w:sz w:val="28"/>
          <w:szCs w:val="28"/>
          <w:lang w:eastAsia="zh-CN"/>
        </w:rPr>
      </w:pPr>
      <w:r w:rsidRPr="00CA099F">
        <w:rPr>
          <w:rFonts w:eastAsia="SimSun" w:cs="Times New Roman"/>
          <w:sz w:val="28"/>
          <w:szCs w:val="28"/>
          <w:lang w:eastAsia="zh-CN"/>
        </w:rPr>
        <w:t>Технологія приготування та застосування мембрани А-PRF:</w:t>
      </w:r>
    </w:p>
    <w:p w:rsidR="0030517B" w:rsidRPr="00CA099F" w:rsidRDefault="005A01B4" w:rsidP="00EA1E2C">
      <w:pPr>
        <w:numPr>
          <w:ilvl w:val="0"/>
          <w:numId w:val="10"/>
        </w:numPr>
        <w:spacing w:after="0" w:line="360" w:lineRule="auto"/>
        <w:ind w:left="0" w:firstLine="709"/>
        <w:contextualSpacing/>
        <w:jc w:val="both"/>
        <w:rPr>
          <w:rFonts w:eastAsia="SimSun" w:cs="Times New Roman"/>
          <w:sz w:val="28"/>
          <w:szCs w:val="28"/>
          <w:lang w:eastAsia="zh-CN"/>
        </w:rPr>
      </w:pPr>
      <w:r>
        <w:rPr>
          <w:rFonts w:eastAsia="SimSun" w:cs="Times New Roman"/>
          <w:sz w:val="28"/>
          <w:szCs w:val="28"/>
          <w:lang w:eastAsia="zh-CN"/>
        </w:rPr>
        <w:t>Проводится з</w:t>
      </w:r>
      <w:r w:rsidR="0030517B" w:rsidRPr="00CA099F">
        <w:rPr>
          <w:rFonts w:eastAsia="SimSun" w:cs="Times New Roman"/>
          <w:sz w:val="28"/>
          <w:szCs w:val="28"/>
          <w:lang w:eastAsia="zh-CN"/>
        </w:rPr>
        <w:t>абір венозної крові пацієнта в спеціальні пробірки А-PRF.</w:t>
      </w:r>
    </w:p>
    <w:p w:rsidR="0030517B" w:rsidRPr="00CA099F" w:rsidRDefault="005A01B4" w:rsidP="00EA1E2C">
      <w:pPr>
        <w:numPr>
          <w:ilvl w:val="0"/>
          <w:numId w:val="10"/>
        </w:numPr>
        <w:spacing w:after="0" w:line="360" w:lineRule="auto"/>
        <w:ind w:left="0" w:firstLine="709"/>
        <w:contextualSpacing/>
        <w:jc w:val="both"/>
        <w:rPr>
          <w:rFonts w:eastAsia="SimSun" w:cs="Times New Roman"/>
          <w:sz w:val="28"/>
          <w:szCs w:val="28"/>
          <w:lang w:eastAsia="zh-CN"/>
        </w:rPr>
      </w:pPr>
      <w:r>
        <w:rPr>
          <w:rFonts w:eastAsia="SimSun" w:cs="Times New Roman"/>
          <w:sz w:val="28"/>
          <w:szCs w:val="28"/>
          <w:lang w:eastAsia="zh-CN"/>
        </w:rPr>
        <w:lastRenderedPageBreak/>
        <w:t>Без додавання будь-яких хімічних інгредієнтів та антикоагулянтів розміщуються пробірки</w:t>
      </w:r>
      <w:r w:rsidR="00D06AB3">
        <w:rPr>
          <w:rFonts w:eastAsia="SimSun" w:cs="Times New Roman"/>
          <w:sz w:val="28"/>
          <w:szCs w:val="28"/>
          <w:lang w:eastAsia="zh-CN"/>
        </w:rPr>
        <w:t xml:space="preserve">  в спеціалізовану центрифугу</w:t>
      </w:r>
      <w:r w:rsidR="0030517B" w:rsidRPr="00CA099F">
        <w:rPr>
          <w:rFonts w:eastAsia="SimSun" w:cs="Times New Roman"/>
          <w:sz w:val="28"/>
          <w:szCs w:val="28"/>
          <w:lang w:eastAsia="zh-CN"/>
        </w:rPr>
        <w:t xml:space="preserve"> EVA 200 </w:t>
      </w:r>
      <w:r w:rsidR="00D06AB3">
        <w:rPr>
          <w:rFonts w:eastAsia="SimSun" w:cs="Times New Roman"/>
          <w:sz w:val="28"/>
          <w:szCs w:val="28"/>
          <w:lang w:eastAsia="zh-CN"/>
        </w:rPr>
        <w:t>та центрифугуються</w:t>
      </w:r>
      <w:r w:rsidR="0030517B" w:rsidRPr="00CA099F">
        <w:rPr>
          <w:rFonts w:eastAsia="SimSun" w:cs="Times New Roman"/>
          <w:sz w:val="28"/>
          <w:szCs w:val="28"/>
          <w:lang w:eastAsia="zh-CN"/>
        </w:rPr>
        <w:t xml:space="preserve"> на швидкості 1100 обертів на хвилину протягом 7 хвилин. За цей час прохо</w:t>
      </w:r>
      <w:r w:rsidR="00D06AB3">
        <w:rPr>
          <w:rFonts w:eastAsia="SimSun" w:cs="Times New Roman"/>
          <w:sz w:val="28"/>
          <w:szCs w:val="28"/>
          <w:lang w:eastAsia="zh-CN"/>
        </w:rPr>
        <w:t>дить відділення плазми від клітиних</w:t>
      </w:r>
      <w:r w:rsidR="0030517B" w:rsidRPr="00CA099F">
        <w:rPr>
          <w:rFonts w:eastAsia="SimSun" w:cs="Times New Roman"/>
          <w:sz w:val="28"/>
          <w:szCs w:val="28"/>
          <w:lang w:eastAsia="zh-CN"/>
        </w:rPr>
        <w:t xml:space="preserve"> компонентів  крові</w:t>
      </w:r>
      <w:r w:rsidR="00D06AB3">
        <w:rPr>
          <w:rFonts w:eastAsia="SimSun" w:cs="Times New Roman"/>
          <w:sz w:val="28"/>
          <w:szCs w:val="28"/>
          <w:lang w:eastAsia="zh-CN"/>
        </w:rPr>
        <w:t>.</w:t>
      </w:r>
    </w:p>
    <w:p w:rsidR="0030517B" w:rsidRPr="00CA099F" w:rsidRDefault="0030517B" w:rsidP="00EA1E2C">
      <w:pPr>
        <w:numPr>
          <w:ilvl w:val="0"/>
          <w:numId w:val="10"/>
        </w:numPr>
        <w:spacing w:after="0" w:line="360" w:lineRule="auto"/>
        <w:ind w:left="0" w:firstLine="709"/>
        <w:contextualSpacing/>
        <w:jc w:val="both"/>
        <w:rPr>
          <w:rFonts w:eastAsia="SimSun" w:cs="Times New Roman"/>
          <w:sz w:val="28"/>
          <w:szCs w:val="28"/>
          <w:lang w:eastAsia="zh-CN"/>
        </w:rPr>
      </w:pPr>
      <w:r w:rsidRPr="00CA099F">
        <w:rPr>
          <w:rFonts w:eastAsia="SimSun" w:cs="Times New Roman"/>
          <w:sz w:val="28"/>
          <w:szCs w:val="28"/>
          <w:lang w:eastAsia="zh-CN"/>
        </w:rPr>
        <w:t>Отриманий А-PRF згусток перекладається в PRF бокс та накривається пресом для виготовлення мембрани.</w:t>
      </w:r>
    </w:p>
    <w:p w:rsidR="0030517B" w:rsidRPr="00CA099F" w:rsidRDefault="0030517B" w:rsidP="00EA1E2C">
      <w:pPr>
        <w:numPr>
          <w:ilvl w:val="0"/>
          <w:numId w:val="10"/>
        </w:numPr>
        <w:spacing w:after="0" w:line="360" w:lineRule="auto"/>
        <w:ind w:left="0" w:firstLine="709"/>
        <w:contextualSpacing/>
        <w:jc w:val="both"/>
        <w:rPr>
          <w:rFonts w:eastAsia="SimSun" w:cs="Times New Roman"/>
          <w:sz w:val="28"/>
          <w:szCs w:val="28"/>
          <w:lang w:eastAsia="zh-CN"/>
        </w:rPr>
      </w:pPr>
      <w:r w:rsidRPr="00CA099F">
        <w:rPr>
          <w:rFonts w:eastAsia="SimSun" w:cs="Times New Roman"/>
          <w:sz w:val="28"/>
          <w:szCs w:val="28"/>
          <w:lang w:eastAsia="zh-CN"/>
        </w:rPr>
        <w:t xml:space="preserve">На відповідних етапах оперативного втручання PRF-мембрана вводиться </w:t>
      </w:r>
      <w:r w:rsidR="00D06AB3">
        <w:rPr>
          <w:rFonts w:eastAsia="SimSun" w:cs="Times New Roman"/>
          <w:sz w:val="28"/>
          <w:szCs w:val="28"/>
          <w:lang w:eastAsia="zh-CN"/>
        </w:rPr>
        <w:t>пошарово в глибокі та поверхневі порожнини</w:t>
      </w:r>
      <w:r w:rsidRPr="00CA099F">
        <w:rPr>
          <w:rFonts w:eastAsia="SimSun" w:cs="Times New Roman"/>
          <w:sz w:val="28"/>
          <w:szCs w:val="28"/>
          <w:lang w:eastAsia="zh-CN"/>
        </w:rPr>
        <w:t xml:space="preserve"> операційної рани.</w:t>
      </w:r>
    </w:p>
    <w:p w:rsidR="0030517B" w:rsidRPr="00CA099F" w:rsidRDefault="0030517B" w:rsidP="0030517B">
      <w:pPr>
        <w:spacing w:after="0" w:line="360" w:lineRule="auto"/>
        <w:ind w:firstLine="708"/>
        <w:jc w:val="both"/>
        <w:rPr>
          <w:rFonts w:eastAsia="SimSun" w:cs="Times New Roman"/>
          <w:sz w:val="28"/>
          <w:szCs w:val="28"/>
          <w:lang w:eastAsia="zh-CN"/>
        </w:rPr>
      </w:pPr>
      <w:r w:rsidRPr="00CA099F">
        <w:rPr>
          <w:rFonts w:eastAsia="SimSun" w:cs="Times New Roman"/>
          <w:sz w:val="28"/>
          <w:szCs w:val="28"/>
          <w:lang w:eastAsia="zh-CN"/>
        </w:rPr>
        <w:t>Протягом 7 днів відбувається повільне вивільнення зі згустку наступних речовин (табл. 2.4).</w:t>
      </w:r>
    </w:p>
    <w:p w:rsidR="0030517B" w:rsidRPr="00CA099F" w:rsidRDefault="0030517B" w:rsidP="0030517B">
      <w:pPr>
        <w:spacing w:after="0" w:line="360" w:lineRule="auto"/>
        <w:jc w:val="right"/>
        <w:rPr>
          <w:rFonts w:eastAsia="SimSun" w:cs="Times New Roman"/>
          <w:i/>
          <w:sz w:val="28"/>
          <w:szCs w:val="28"/>
          <w:lang w:eastAsia="zh-CN"/>
        </w:rPr>
      </w:pPr>
      <w:r w:rsidRPr="00CA099F">
        <w:rPr>
          <w:rFonts w:eastAsia="SimSun" w:cs="Times New Roman"/>
          <w:i/>
          <w:sz w:val="28"/>
          <w:szCs w:val="28"/>
          <w:lang w:eastAsia="zh-CN"/>
        </w:rPr>
        <w:t>Таблиця 2.4</w:t>
      </w:r>
    </w:p>
    <w:p w:rsidR="0030517B" w:rsidRPr="00CA099F" w:rsidRDefault="0030517B" w:rsidP="0030517B">
      <w:pPr>
        <w:spacing w:after="0" w:line="360" w:lineRule="auto"/>
        <w:jc w:val="center"/>
        <w:rPr>
          <w:rFonts w:eastAsia="SimSun" w:cs="Times New Roman"/>
          <w:b/>
          <w:sz w:val="28"/>
          <w:szCs w:val="28"/>
          <w:lang w:eastAsia="zh-CN"/>
        </w:rPr>
      </w:pPr>
      <w:r w:rsidRPr="00CA099F">
        <w:rPr>
          <w:rFonts w:eastAsia="SimSun" w:cs="Times New Roman"/>
          <w:b/>
          <w:sz w:val="28"/>
          <w:szCs w:val="28"/>
          <w:lang w:eastAsia="zh-CN"/>
        </w:rPr>
        <w:t>Перелік активних речовин, що вивільнюються в навколишні тканини після введення</w:t>
      </w:r>
      <w:r w:rsidR="00D06AB3" w:rsidRPr="00D06AB3">
        <w:rPr>
          <w:rFonts w:eastAsia="SimSun" w:cs="Times New Roman"/>
          <w:b/>
          <w:sz w:val="28"/>
          <w:szCs w:val="28"/>
          <w:lang w:eastAsia="zh-CN"/>
        </w:rPr>
        <w:t xml:space="preserve"> </w:t>
      </w:r>
      <w:r w:rsidR="00D06AB3">
        <w:rPr>
          <w:rFonts w:eastAsia="SimSun" w:cs="Times New Roman"/>
          <w:b/>
          <w:sz w:val="28"/>
          <w:szCs w:val="28"/>
          <w:lang w:eastAsia="zh-CN"/>
        </w:rPr>
        <w:t>PRF-мембран в рану</w:t>
      </w:r>
    </w:p>
    <w:tbl>
      <w:tblPr>
        <w:tblStyle w:val="a9"/>
        <w:tblW w:w="0" w:type="auto"/>
        <w:tblLook w:val="04A0" w:firstRow="1" w:lastRow="0" w:firstColumn="1" w:lastColumn="0" w:noHBand="0" w:noVBand="1"/>
      </w:tblPr>
      <w:tblGrid>
        <w:gridCol w:w="1809"/>
        <w:gridCol w:w="7536"/>
      </w:tblGrid>
      <w:tr w:rsidR="0030517B" w:rsidRPr="00CA099F" w:rsidTr="00EA1E2C">
        <w:tc>
          <w:tcPr>
            <w:tcW w:w="1809" w:type="dxa"/>
          </w:tcPr>
          <w:p w:rsidR="0030517B" w:rsidRPr="00CA099F" w:rsidRDefault="0030517B" w:rsidP="003C1E4C">
            <w:pPr>
              <w:spacing w:after="0" w:line="360" w:lineRule="auto"/>
              <w:jc w:val="both"/>
              <w:rPr>
                <w:rFonts w:eastAsia="SimSun"/>
                <w:sz w:val="28"/>
                <w:szCs w:val="28"/>
                <w:lang w:eastAsia="zh-CN"/>
              </w:rPr>
            </w:pPr>
            <w:r w:rsidRPr="00CA099F">
              <w:rPr>
                <w:rFonts w:eastAsia="SimSun"/>
                <w:sz w:val="28"/>
                <w:szCs w:val="28"/>
                <w:lang w:eastAsia="zh-CN"/>
              </w:rPr>
              <w:t>Лейкоцити</w:t>
            </w:r>
          </w:p>
        </w:tc>
        <w:tc>
          <w:tcPr>
            <w:tcW w:w="7536" w:type="dxa"/>
          </w:tcPr>
          <w:p w:rsidR="0030517B" w:rsidRPr="00CA099F" w:rsidRDefault="0030517B" w:rsidP="003C1E4C">
            <w:pPr>
              <w:spacing w:after="0" w:line="360" w:lineRule="auto"/>
              <w:jc w:val="both"/>
              <w:rPr>
                <w:rFonts w:eastAsia="SimSun"/>
                <w:sz w:val="28"/>
                <w:szCs w:val="28"/>
                <w:lang w:eastAsia="zh-CN"/>
              </w:rPr>
            </w:pPr>
            <w:r w:rsidRPr="00CA099F">
              <w:rPr>
                <w:rFonts w:eastAsia="SimSun"/>
                <w:sz w:val="28"/>
                <w:szCs w:val="28"/>
                <w:lang w:eastAsia="zh-CN"/>
              </w:rPr>
              <w:t>Стимулюють клітини-попередники, що сприяють утворенню нової кістки. Моноцити перетворюються в макрофаги, а це підсилює стимуляцію кістки.</w:t>
            </w:r>
          </w:p>
        </w:tc>
      </w:tr>
      <w:tr w:rsidR="0030517B" w:rsidRPr="00CA099F" w:rsidTr="00EA1E2C">
        <w:tc>
          <w:tcPr>
            <w:tcW w:w="1809" w:type="dxa"/>
          </w:tcPr>
          <w:p w:rsidR="0030517B" w:rsidRPr="00CA099F" w:rsidRDefault="0030517B" w:rsidP="003C1E4C">
            <w:pPr>
              <w:spacing w:after="0" w:line="360" w:lineRule="auto"/>
              <w:jc w:val="both"/>
              <w:rPr>
                <w:rFonts w:eastAsia="SimSun"/>
                <w:sz w:val="28"/>
                <w:szCs w:val="28"/>
                <w:lang w:eastAsia="zh-CN"/>
              </w:rPr>
            </w:pPr>
            <w:r w:rsidRPr="00CA099F">
              <w:rPr>
                <w:rFonts w:eastAsia="SimSun"/>
                <w:sz w:val="28"/>
                <w:szCs w:val="28"/>
                <w:lang w:eastAsia="zh-CN"/>
              </w:rPr>
              <w:t>VEGF</w:t>
            </w:r>
          </w:p>
        </w:tc>
        <w:tc>
          <w:tcPr>
            <w:tcW w:w="7536" w:type="dxa"/>
          </w:tcPr>
          <w:p w:rsidR="0030517B" w:rsidRPr="00CA099F" w:rsidRDefault="0030517B" w:rsidP="003C1E4C">
            <w:pPr>
              <w:spacing w:after="0" w:line="360" w:lineRule="auto"/>
              <w:jc w:val="both"/>
              <w:rPr>
                <w:rFonts w:eastAsia="SimSun"/>
                <w:sz w:val="28"/>
                <w:szCs w:val="28"/>
                <w:lang w:eastAsia="zh-CN"/>
              </w:rPr>
            </w:pPr>
            <w:r w:rsidRPr="00CA099F">
              <w:rPr>
                <w:rFonts w:eastAsia="SimSun"/>
                <w:sz w:val="28"/>
                <w:szCs w:val="28"/>
                <w:lang w:eastAsia="zh-CN"/>
              </w:rPr>
              <w:t>Фактор росту ендотелію судин (Vascular endothelial growth factor) – сигнальний білок, який виробляє</w:t>
            </w:r>
            <w:r w:rsidR="00EA1E2C">
              <w:rPr>
                <w:rFonts w:eastAsia="SimSun"/>
                <w:sz w:val="28"/>
                <w:szCs w:val="28"/>
                <w:lang w:eastAsia="zh-CN"/>
              </w:rPr>
              <w:t>ться клітинами для стимулювання</w:t>
            </w:r>
            <w:r w:rsidRPr="00CA099F">
              <w:rPr>
                <w:rFonts w:eastAsia="SimSun"/>
                <w:sz w:val="28"/>
                <w:szCs w:val="28"/>
                <w:lang w:eastAsia="zh-CN"/>
              </w:rPr>
              <w:t xml:space="preserve"> васкулогенезу і ангіогенезу.</w:t>
            </w:r>
          </w:p>
        </w:tc>
      </w:tr>
      <w:tr w:rsidR="0030517B" w:rsidRPr="00CA099F" w:rsidTr="00EA1E2C">
        <w:tc>
          <w:tcPr>
            <w:tcW w:w="1809" w:type="dxa"/>
          </w:tcPr>
          <w:p w:rsidR="0030517B" w:rsidRPr="00CA099F" w:rsidRDefault="0030517B" w:rsidP="003C1E4C">
            <w:pPr>
              <w:spacing w:after="0" w:line="360" w:lineRule="auto"/>
              <w:jc w:val="both"/>
              <w:rPr>
                <w:rFonts w:eastAsia="SimSun"/>
                <w:sz w:val="28"/>
                <w:szCs w:val="28"/>
                <w:lang w:eastAsia="zh-CN"/>
              </w:rPr>
            </w:pPr>
            <w:r w:rsidRPr="00CA099F">
              <w:rPr>
                <w:rFonts w:eastAsia="SimSun"/>
                <w:sz w:val="28"/>
                <w:szCs w:val="28"/>
                <w:lang w:eastAsia="zh-CN"/>
              </w:rPr>
              <w:t>PDGF</w:t>
            </w:r>
          </w:p>
        </w:tc>
        <w:tc>
          <w:tcPr>
            <w:tcW w:w="7536" w:type="dxa"/>
          </w:tcPr>
          <w:p w:rsidR="0030517B" w:rsidRPr="00CA099F" w:rsidRDefault="0030517B" w:rsidP="003C1E4C">
            <w:pPr>
              <w:spacing w:after="0" w:line="360" w:lineRule="auto"/>
              <w:jc w:val="both"/>
              <w:rPr>
                <w:rFonts w:eastAsia="SimSun"/>
                <w:sz w:val="28"/>
                <w:szCs w:val="28"/>
                <w:lang w:eastAsia="zh-CN"/>
              </w:rPr>
            </w:pPr>
            <w:r w:rsidRPr="00CA099F">
              <w:rPr>
                <w:rFonts w:eastAsia="SimSun"/>
                <w:sz w:val="28"/>
                <w:szCs w:val="28"/>
                <w:lang w:eastAsia="zh-CN"/>
              </w:rPr>
              <w:t>Фактор росту тромбоцитів (Platelet-derived growth factor) – білок, один із багаточисленних факторів росту. Відіграє важливу роль в ангіогенезі.</w:t>
            </w:r>
          </w:p>
        </w:tc>
      </w:tr>
      <w:tr w:rsidR="0030517B" w:rsidRPr="00CA099F" w:rsidTr="00EA1E2C">
        <w:tc>
          <w:tcPr>
            <w:tcW w:w="1809" w:type="dxa"/>
          </w:tcPr>
          <w:p w:rsidR="0030517B" w:rsidRPr="00CA099F" w:rsidRDefault="0030517B" w:rsidP="003C1E4C">
            <w:pPr>
              <w:spacing w:after="0" w:line="360" w:lineRule="auto"/>
              <w:jc w:val="both"/>
              <w:rPr>
                <w:rFonts w:eastAsia="SimSun"/>
                <w:sz w:val="28"/>
                <w:szCs w:val="28"/>
                <w:lang w:eastAsia="zh-CN"/>
              </w:rPr>
            </w:pPr>
            <w:r w:rsidRPr="00CA099F">
              <w:rPr>
                <w:rFonts w:eastAsia="SimSun"/>
                <w:sz w:val="28"/>
                <w:szCs w:val="28"/>
                <w:lang w:eastAsia="zh-CN"/>
              </w:rPr>
              <w:t>TGF-beta</w:t>
            </w:r>
          </w:p>
        </w:tc>
        <w:tc>
          <w:tcPr>
            <w:tcW w:w="7536" w:type="dxa"/>
          </w:tcPr>
          <w:p w:rsidR="0030517B" w:rsidRPr="00CA099F" w:rsidRDefault="0030517B" w:rsidP="003C1E4C">
            <w:pPr>
              <w:spacing w:after="0" w:line="360" w:lineRule="auto"/>
              <w:jc w:val="both"/>
              <w:rPr>
                <w:rFonts w:eastAsia="SimSun"/>
                <w:sz w:val="28"/>
                <w:szCs w:val="28"/>
                <w:lang w:eastAsia="zh-CN"/>
              </w:rPr>
            </w:pPr>
            <w:r w:rsidRPr="00CA099F">
              <w:rPr>
                <w:rFonts w:eastAsia="SimSun"/>
                <w:sz w:val="28"/>
                <w:szCs w:val="28"/>
                <w:lang w:eastAsia="zh-CN"/>
              </w:rPr>
              <w:t>Трансформуючий фактор росту бета (Transforming growth factor beta) – білок, який контролює проліферацію, клітинне диференціювання та інші функції в більшості клітин.</w:t>
            </w:r>
          </w:p>
        </w:tc>
      </w:tr>
      <w:tr w:rsidR="0030517B" w:rsidRPr="00CA099F" w:rsidTr="00EA1E2C">
        <w:tc>
          <w:tcPr>
            <w:tcW w:w="1809" w:type="dxa"/>
          </w:tcPr>
          <w:p w:rsidR="0030517B" w:rsidRPr="00CA099F" w:rsidRDefault="0030517B" w:rsidP="003C1E4C">
            <w:pPr>
              <w:spacing w:after="0" w:line="360" w:lineRule="auto"/>
              <w:jc w:val="both"/>
              <w:rPr>
                <w:rFonts w:eastAsia="SimSun"/>
                <w:sz w:val="28"/>
                <w:szCs w:val="28"/>
                <w:lang w:eastAsia="zh-CN"/>
              </w:rPr>
            </w:pPr>
            <w:r w:rsidRPr="00CA099F">
              <w:rPr>
                <w:rFonts w:eastAsia="SimSun"/>
                <w:sz w:val="28"/>
                <w:szCs w:val="28"/>
                <w:lang w:eastAsia="zh-CN"/>
              </w:rPr>
              <w:t>Протеіни</w:t>
            </w:r>
          </w:p>
        </w:tc>
        <w:tc>
          <w:tcPr>
            <w:tcW w:w="7536" w:type="dxa"/>
          </w:tcPr>
          <w:p w:rsidR="0030517B" w:rsidRPr="00CA099F" w:rsidRDefault="0030517B" w:rsidP="003C1E4C">
            <w:pPr>
              <w:spacing w:after="0" w:line="360" w:lineRule="auto"/>
              <w:jc w:val="both"/>
              <w:rPr>
                <w:rFonts w:eastAsia="SimSun"/>
                <w:sz w:val="28"/>
                <w:szCs w:val="28"/>
                <w:lang w:eastAsia="zh-CN"/>
              </w:rPr>
            </w:pPr>
            <w:r w:rsidRPr="00CA099F">
              <w:rPr>
                <w:rFonts w:eastAsia="SimSun"/>
                <w:sz w:val="28"/>
                <w:szCs w:val="28"/>
                <w:lang w:eastAsia="zh-CN"/>
              </w:rPr>
              <w:t>Виконують важливу роль в процесі ангіогенезу, стимулюють ріст тканин.</w:t>
            </w:r>
          </w:p>
        </w:tc>
      </w:tr>
      <w:tr w:rsidR="0030517B" w:rsidRPr="00CA099F" w:rsidTr="00EA1E2C">
        <w:tc>
          <w:tcPr>
            <w:tcW w:w="1809" w:type="dxa"/>
          </w:tcPr>
          <w:p w:rsidR="0030517B" w:rsidRPr="00CA099F" w:rsidRDefault="0030517B" w:rsidP="003C1E4C">
            <w:pPr>
              <w:spacing w:after="0" w:line="360" w:lineRule="auto"/>
              <w:jc w:val="both"/>
              <w:rPr>
                <w:rFonts w:eastAsia="SimSun"/>
                <w:sz w:val="28"/>
                <w:szCs w:val="28"/>
                <w:lang w:eastAsia="zh-CN"/>
              </w:rPr>
            </w:pPr>
            <w:r w:rsidRPr="00CA099F">
              <w:rPr>
                <w:rFonts w:eastAsia="SimSun"/>
                <w:sz w:val="28"/>
                <w:szCs w:val="28"/>
                <w:lang w:eastAsia="zh-CN"/>
              </w:rPr>
              <w:t>TSP</w:t>
            </w:r>
          </w:p>
        </w:tc>
        <w:tc>
          <w:tcPr>
            <w:tcW w:w="7536" w:type="dxa"/>
          </w:tcPr>
          <w:p w:rsidR="0030517B" w:rsidRPr="00CA099F" w:rsidRDefault="0030517B" w:rsidP="003C1E4C">
            <w:pPr>
              <w:spacing w:after="0" w:line="360" w:lineRule="auto"/>
              <w:jc w:val="both"/>
              <w:rPr>
                <w:rFonts w:eastAsia="SimSun"/>
                <w:sz w:val="28"/>
                <w:szCs w:val="28"/>
                <w:lang w:eastAsia="zh-CN"/>
              </w:rPr>
            </w:pPr>
            <w:r w:rsidRPr="00CA099F">
              <w:rPr>
                <w:rFonts w:eastAsia="SimSun"/>
                <w:sz w:val="28"/>
                <w:szCs w:val="28"/>
                <w:lang w:eastAsia="zh-CN"/>
              </w:rPr>
              <w:t>Тромбоспондин – один із головних інгібіторів ангіогенезу, діючий на адгезію і ріст ендотеліальних клітин</w:t>
            </w:r>
          </w:p>
        </w:tc>
      </w:tr>
    </w:tbl>
    <w:p w:rsidR="0030517B" w:rsidRPr="00CA099F" w:rsidRDefault="0030517B" w:rsidP="0030517B">
      <w:pPr>
        <w:spacing w:after="0" w:line="360" w:lineRule="auto"/>
        <w:jc w:val="both"/>
        <w:rPr>
          <w:rFonts w:eastAsia="SimSun" w:cs="Times New Roman"/>
          <w:sz w:val="28"/>
          <w:szCs w:val="28"/>
          <w:lang w:eastAsia="zh-CN"/>
        </w:rPr>
      </w:pPr>
    </w:p>
    <w:p w:rsidR="0030517B" w:rsidRPr="00CA099F" w:rsidRDefault="0030517B" w:rsidP="0030517B">
      <w:pPr>
        <w:spacing w:after="0" w:line="360" w:lineRule="auto"/>
        <w:ind w:firstLine="708"/>
        <w:jc w:val="both"/>
        <w:rPr>
          <w:rFonts w:eastAsia="SimSun" w:cs="Times New Roman"/>
          <w:sz w:val="28"/>
          <w:szCs w:val="28"/>
          <w:lang w:eastAsia="zh-CN"/>
        </w:rPr>
      </w:pPr>
      <w:r w:rsidRPr="00CA099F">
        <w:rPr>
          <w:rFonts w:eastAsia="SimSun" w:cs="Times New Roman"/>
          <w:sz w:val="28"/>
          <w:szCs w:val="28"/>
          <w:lang w:eastAsia="zh-CN"/>
        </w:rPr>
        <w:lastRenderedPageBreak/>
        <w:t xml:space="preserve">Церулоплазмін - мідьвмісний багатофункціональний фермент, що являє собою глікопротеїд альфа-глобулі нової фракції сироватки крові людини (донорської або плацентарної). </w:t>
      </w:r>
      <w:r w:rsidR="00D06AB3">
        <w:rPr>
          <w:rFonts w:eastAsia="SimSun" w:cs="Times New Roman"/>
          <w:sz w:val="28"/>
          <w:szCs w:val="28"/>
          <w:lang w:eastAsia="zh-CN"/>
        </w:rPr>
        <w:t>Він володіє вираженою а</w:t>
      </w:r>
      <w:r w:rsidRPr="00CA099F">
        <w:rPr>
          <w:rFonts w:eastAsia="SimSun" w:cs="Times New Roman"/>
          <w:sz w:val="28"/>
          <w:szCs w:val="28"/>
          <w:lang w:eastAsia="zh-CN"/>
        </w:rPr>
        <w:t>нтиоксидант</w:t>
      </w:r>
      <w:r w:rsidR="00D06AB3">
        <w:rPr>
          <w:rFonts w:eastAsia="SimSun" w:cs="Times New Roman"/>
          <w:sz w:val="28"/>
          <w:szCs w:val="28"/>
          <w:lang w:eastAsia="zh-CN"/>
        </w:rPr>
        <w:t>ною</w:t>
      </w:r>
      <w:r w:rsidR="00DA3D34">
        <w:rPr>
          <w:rFonts w:eastAsia="SimSun" w:cs="Times New Roman"/>
          <w:sz w:val="28"/>
          <w:szCs w:val="28"/>
          <w:lang w:eastAsia="zh-CN"/>
        </w:rPr>
        <w:t>,</w:t>
      </w:r>
      <w:r w:rsidRPr="00CA099F">
        <w:rPr>
          <w:rFonts w:eastAsia="SimSun" w:cs="Times New Roman"/>
          <w:sz w:val="28"/>
          <w:szCs w:val="28"/>
          <w:lang w:eastAsia="zh-CN"/>
        </w:rPr>
        <w:t xml:space="preserve"> імуномо</w:t>
      </w:r>
      <w:r w:rsidR="00DA3D34">
        <w:rPr>
          <w:rFonts w:eastAsia="SimSun" w:cs="Times New Roman"/>
          <w:sz w:val="28"/>
          <w:szCs w:val="28"/>
          <w:lang w:eastAsia="zh-CN"/>
        </w:rPr>
        <w:t>дулюючою та гемостимулюючою активністью</w:t>
      </w:r>
      <w:r w:rsidRPr="00CA099F">
        <w:rPr>
          <w:rFonts w:eastAsia="SimSun" w:cs="Times New Roman"/>
          <w:sz w:val="28"/>
          <w:szCs w:val="28"/>
          <w:lang w:eastAsia="zh-CN"/>
        </w:rPr>
        <w:t xml:space="preserve">. </w:t>
      </w:r>
    </w:p>
    <w:p w:rsidR="0030517B" w:rsidRPr="00CA099F" w:rsidRDefault="0030517B" w:rsidP="0030517B">
      <w:pPr>
        <w:spacing w:after="0" w:line="360" w:lineRule="auto"/>
        <w:ind w:firstLine="708"/>
        <w:jc w:val="both"/>
        <w:rPr>
          <w:rFonts w:eastAsia="SimSun" w:cs="Times New Roman"/>
          <w:sz w:val="28"/>
          <w:szCs w:val="28"/>
          <w:lang w:eastAsia="zh-CN"/>
        </w:rPr>
      </w:pPr>
      <w:r w:rsidRPr="00CA099F">
        <w:rPr>
          <w:rFonts w:eastAsia="SimSun" w:cs="Times New Roman"/>
          <w:sz w:val="28"/>
          <w:szCs w:val="28"/>
          <w:lang w:eastAsia="zh-CN"/>
        </w:rPr>
        <w:t xml:space="preserve">Належить до біогенних препаратів. Підвищує стабільність клітинних мембран (антиоксидантна дія, гальмування </w:t>
      </w:r>
      <w:r w:rsidR="00DA3D34">
        <w:rPr>
          <w:rFonts w:eastAsia="SimSun" w:cs="Times New Roman"/>
          <w:sz w:val="28"/>
          <w:szCs w:val="28"/>
          <w:lang w:eastAsia="zh-CN"/>
        </w:rPr>
        <w:t xml:space="preserve">процесу </w:t>
      </w:r>
      <w:r w:rsidRPr="00CA099F">
        <w:rPr>
          <w:rFonts w:eastAsia="SimSun" w:cs="Times New Roman"/>
          <w:sz w:val="28"/>
          <w:szCs w:val="28"/>
          <w:lang w:eastAsia="zh-CN"/>
        </w:rPr>
        <w:t xml:space="preserve">перекисного окислення ліпідів), бере участь в іонному обміні, імунологічних реакціях, стимулює гемопоез (червоний пагін кровотворення), зменшує </w:t>
      </w:r>
      <w:r w:rsidR="00DA3D34">
        <w:rPr>
          <w:rFonts w:eastAsia="SimSun" w:cs="Times New Roman"/>
          <w:sz w:val="28"/>
          <w:szCs w:val="28"/>
          <w:lang w:eastAsia="zh-CN"/>
        </w:rPr>
        <w:t>ступінь інтоксикації</w:t>
      </w:r>
      <w:r w:rsidRPr="00CA099F">
        <w:rPr>
          <w:rFonts w:eastAsia="SimSun" w:cs="Times New Roman"/>
          <w:sz w:val="28"/>
          <w:szCs w:val="28"/>
          <w:lang w:eastAsia="zh-CN"/>
        </w:rPr>
        <w:t>.</w:t>
      </w:r>
    </w:p>
    <w:p w:rsidR="0030517B" w:rsidRPr="00CA099F" w:rsidRDefault="0030517B" w:rsidP="0030517B">
      <w:pPr>
        <w:spacing w:after="0" w:line="360" w:lineRule="auto"/>
        <w:ind w:firstLine="708"/>
        <w:jc w:val="both"/>
        <w:rPr>
          <w:rFonts w:eastAsia="SimSun" w:cs="Times New Roman"/>
          <w:sz w:val="28"/>
          <w:szCs w:val="28"/>
          <w:lang w:eastAsia="zh-CN"/>
        </w:rPr>
      </w:pPr>
      <w:r w:rsidRPr="00CA099F">
        <w:rPr>
          <w:rFonts w:eastAsia="SimSun" w:cs="Times New Roman"/>
          <w:sz w:val="28"/>
          <w:szCs w:val="28"/>
          <w:lang w:eastAsia="zh-CN"/>
        </w:rPr>
        <w:t xml:space="preserve">Його призначають у період до операційної підготовки, особливо ослабленим хворим з анемією, інтоксикацією та виснаженням; у ранньому після операційному періоді хворим з масивною операційною крововтратою, з гнійно-септичними ускладненнями, при проведенні комбінованої хіміотерапії, в тому числі у </w:t>
      </w:r>
      <w:r w:rsidR="00D96DA9">
        <w:rPr>
          <w:rFonts w:eastAsia="SimSun" w:cs="Times New Roman"/>
          <w:sz w:val="28"/>
          <w:szCs w:val="28"/>
          <w:lang w:eastAsia="zh-CN"/>
        </w:rPr>
        <w:t>пацієнтів</w:t>
      </w:r>
      <w:r w:rsidRPr="00CA099F">
        <w:rPr>
          <w:rFonts w:eastAsia="SimSun" w:cs="Times New Roman"/>
          <w:sz w:val="28"/>
          <w:szCs w:val="28"/>
          <w:lang w:eastAsia="zh-CN"/>
        </w:rPr>
        <w:t xml:space="preserve"> з гемобластозами при помірно вираженій інтоксикації. Препарат також застосовують у комплексній терапії </w:t>
      </w:r>
      <w:r w:rsidR="00D96DA9">
        <w:rPr>
          <w:rFonts w:eastAsia="SimSun" w:cs="Times New Roman"/>
          <w:sz w:val="28"/>
          <w:szCs w:val="28"/>
          <w:lang w:eastAsia="zh-CN"/>
        </w:rPr>
        <w:t>пацієнтів</w:t>
      </w:r>
      <w:r w:rsidRPr="00CA099F">
        <w:rPr>
          <w:rFonts w:eastAsia="SimSun" w:cs="Times New Roman"/>
          <w:sz w:val="28"/>
          <w:szCs w:val="28"/>
          <w:lang w:eastAsia="zh-CN"/>
        </w:rPr>
        <w:t xml:space="preserve"> на гострий та хронічний остеомієліт.</w:t>
      </w:r>
    </w:p>
    <w:p w:rsidR="0030517B" w:rsidRPr="00CA099F" w:rsidRDefault="0030517B" w:rsidP="0030517B">
      <w:pPr>
        <w:spacing w:after="0" w:line="360" w:lineRule="auto"/>
        <w:jc w:val="both"/>
        <w:rPr>
          <w:rFonts w:eastAsia="SimSun" w:cs="Times New Roman"/>
          <w:sz w:val="28"/>
          <w:szCs w:val="28"/>
          <w:lang w:eastAsia="zh-CN"/>
        </w:rPr>
      </w:pPr>
      <w:r w:rsidRPr="00CA099F">
        <w:rPr>
          <w:rFonts w:eastAsia="SimSun" w:cs="Times New Roman"/>
          <w:sz w:val="28"/>
          <w:szCs w:val="28"/>
          <w:lang w:eastAsia="zh-CN"/>
        </w:rPr>
        <w:tab/>
        <w:t>В нашому дослідженні препарат застосовувався у вигляді розчину (рН 6,5-7,5), який готують із ліофілізованого порошку. Церулоплазмін вводився внутрішньорубцево із розрахунку 0,2 мл препарату на кожний 1 см</w:t>
      </w:r>
      <w:r w:rsidR="00DA3D34">
        <w:rPr>
          <w:rFonts w:eastAsia="SimSun" w:cs="Times New Roman"/>
          <w:sz w:val="28"/>
          <w:szCs w:val="28"/>
          <w:lang w:eastAsia="zh-CN"/>
        </w:rPr>
        <w:t>²</w:t>
      </w:r>
      <w:r w:rsidRPr="00CA099F">
        <w:rPr>
          <w:rFonts w:eastAsia="SimSun" w:cs="Times New Roman"/>
          <w:sz w:val="28"/>
          <w:szCs w:val="28"/>
          <w:lang w:eastAsia="zh-CN"/>
        </w:rPr>
        <w:t xml:space="preserve"> рубцевозміненої тканини на 3  місяць післяопераційного періоду. </w:t>
      </w:r>
    </w:p>
    <w:p w:rsidR="0030517B" w:rsidRPr="00CA099F" w:rsidRDefault="0030517B" w:rsidP="0030517B">
      <w:pPr>
        <w:spacing w:after="0" w:line="360" w:lineRule="auto"/>
        <w:ind w:firstLine="708"/>
        <w:jc w:val="both"/>
        <w:rPr>
          <w:rFonts w:eastAsia="SimSun" w:cs="Times New Roman"/>
          <w:sz w:val="28"/>
          <w:szCs w:val="28"/>
          <w:lang w:eastAsia="zh-CN"/>
        </w:rPr>
      </w:pPr>
      <w:r w:rsidRPr="00CA099F">
        <w:rPr>
          <w:rFonts w:eastAsia="SimSun" w:cs="Times New Roman"/>
          <w:sz w:val="28"/>
          <w:szCs w:val="28"/>
          <w:lang w:eastAsia="zh-CN"/>
        </w:rPr>
        <w:t xml:space="preserve">На 6 місяць </w:t>
      </w:r>
      <w:r w:rsidR="00DA3D34">
        <w:rPr>
          <w:rFonts w:eastAsia="SimSun" w:cs="Times New Roman"/>
          <w:sz w:val="28"/>
          <w:szCs w:val="28"/>
          <w:lang w:eastAsia="zh-CN"/>
        </w:rPr>
        <w:t xml:space="preserve">після оперативного втручання </w:t>
      </w:r>
      <w:r w:rsidRPr="00CA099F">
        <w:rPr>
          <w:rFonts w:eastAsia="SimSun" w:cs="Times New Roman"/>
          <w:sz w:val="28"/>
          <w:szCs w:val="28"/>
          <w:lang w:eastAsia="zh-CN"/>
        </w:rPr>
        <w:t>препарат уводився в рубцевозмінені тканини шляхом електрофорезу в тій же концентрації. Для введення вміст одного флакона розводили у 10 мл ізотонічного розчину натрію хлориду.</w:t>
      </w:r>
    </w:p>
    <w:p w:rsidR="0030517B" w:rsidRPr="00CA099F" w:rsidRDefault="0030517B" w:rsidP="0030517B">
      <w:pPr>
        <w:spacing w:after="0" w:line="360" w:lineRule="auto"/>
        <w:jc w:val="both"/>
        <w:rPr>
          <w:rFonts w:eastAsia="SimSun" w:cs="Times New Roman"/>
          <w:sz w:val="28"/>
          <w:szCs w:val="28"/>
          <w:lang w:eastAsia="zh-CN"/>
        </w:rPr>
      </w:pPr>
    </w:p>
    <w:p w:rsidR="0030517B" w:rsidRPr="00CA099F" w:rsidRDefault="0030517B" w:rsidP="0030517B">
      <w:pPr>
        <w:spacing w:after="0" w:line="360" w:lineRule="auto"/>
        <w:ind w:firstLine="708"/>
        <w:jc w:val="both"/>
        <w:rPr>
          <w:rFonts w:eastAsia="SimSun" w:cs="Times New Roman"/>
          <w:sz w:val="28"/>
          <w:szCs w:val="28"/>
          <w:lang w:eastAsia="zh-CN"/>
        </w:rPr>
      </w:pPr>
      <w:r w:rsidRPr="00CA099F">
        <w:rPr>
          <w:rFonts w:eastAsia="SimSun" w:cs="Times New Roman"/>
          <w:b/>
          <w:sz w:val="28"/>
          <w:szCs w:val="28"/>
          <w:lang w:eastAsia="zh-CN"/>
        </w:rPr>
        <w:t>2.4 Методики гістотопографічного та імуногістохімічного дослідження</w:t>
      </w:r>
    </w:p>
    <w:p w:rsidR="0030517B" w:rsidRPr="00CA099F" w:rsidRDefault="0030517B" w:rsidP="0030517B">
      <w:pPr>
        <w:spacing w:after="0" w:line="360" w:lineRule="auto"/>
        <w:ind w:firstLine="708"/>
        <w:jc w:val="both"/>
        <w:rPr>
          <w:rFonts w:eastAsia="SimSun" w:cs="Times New Roman"/>
          <w:sz w:val="28"/>
          <w:szCs w:val="28"/>
          <w:lang w:eastAsia="zh-CN"/>
        </w:rPr>
      </w:pPr>
    </w:p>
    <w:p w:rsidR="0030517B" w:rsidRPr="00CA099F" w:rsidRDefault="0030517B" w:rsidP="0030517B">
      <w:pPr>
        <w:spacing w:after="0" w:line="360" w:lineRule="auto"/>
        <w:ind w:firstLine="708"/>
        <w:jc w:val="both"/>
        <w:rPr>
          <w:rFonts w:eastAsia="SimSun" w:cs="Times New Roman"/>
          <w:sz w:val="28"/>
          <w:szCs w:val="28"/>
          <w:lang w:eastAsia="zh-CN"/>
        </w:rPr>
      </w:pPr>
      <w:r w:rsidRPr="00CA099F">
        <w:rPr>
          <w:rFonts w:eastAsia="SimSun" w:cs="Times New Roman"/>
          <w:sz w:val="28"/>
          <w:szCs w:val="28"/>
          <w:lang w:eastAsia="zh-CN"/>
        </w:rPr>
        <w:t>Проведене нами морфологічне дослідження було спрямоване на виявлення гістологічних особливостей утворення патологічних рубців і</w:t>
      </w:r>
      <w:r w:rsidR="00DA3D34">
        <w:rPr>
          <w:rFonts w:eastAsia="SimSun" w:cs="Times New Roman"/>
          <w:sz w:val="28"/>
          <w:szCs w:val="28"/>
          <w:lang w:eastAsia="zh-CN"/>
        </w:rPr>
        <w:t xml:space="preserve"> їх зміни в процесі поетапного введення пацієнтів</w:t>
      </w:r>
      <w:r w:rsidRPr="00CA099F">
        <w:rPr>
          <w:rFonts w:eastAsia="SimSun" w:cs="Times New Roman"/>
          <w:sz w:val="28"/>
          <w:szCs w:val="28"/>
          <w:lang w:eastAsia="zh-CN"/>
        </w:rPr>
        <w:t>.</w:t>
      </w:r>
    </w:p>
    <w:p w:rsidR="0030517B" w:rsidRPr="00CA099F" w:rsidRDefault="0030517B" w:rsidP="0030517B">
      <w:pPr>
        <w:spacing w:after="0" w:line="360" w:lineRule="auto"/>
        <w:ind w:firstLine="708"/>
        <w:jc w:val="both"/>
        <w:rPr>
          <w:rFonts w:eastAsia="SimSun" w:cs="Times New Roman"/>
          <w:sz w:val="28"/>
          <w:szCs w:val="28"/>
          <w:lang w:eastAsia="zh-CN"/>
        </w:rPr>
      </w:pPr>
      <w:r w:rsidRPr="00CA099F">
        <w:rPr>
          <w:rFonts w:eastAsia="SimSun" w:cs="Times New Roman"/>
          <w:sz w:val="28"/>
          <w:szCs w:val="28"/>
          <w:lang w:eastAsia="zh-CN"/>
        </w:rPr>
        <w:lastRenderedPageBreak/>
        <w:t>Усім пацієнтам</w:t>
      </w:r>
      <w:r w:rsidR="00DA3D34">
        <w:rPr>
          <w:rFonts w:eastAsia="SimSun" w:cs="Times New Roman"/>
          <w:sz w:val="28"/>
          <w:szCs w:val="28"/>
          <w:lang w:eastAsia="zh-CN"/>
        </w:rPr>
        <w:t>, за їх письмової згоди,</w:t>
      </w:r>
      <w:r w:rsidRPr="00CA099F">
        <w:rPr>
          <w:rFonts w:eastAsia="SimSun" w:cs="Times New Roman"/>
          <w:sz w:val="28"/>
          <w:szCs w:val="28"/>
          <w:lang w:eastAsia="zh-CN"/>
        </w:rPr>
        <w:t xml:space="preserve"> до початку та в період профілактики проводили дослідження біоптату. Частину рубцевозміненої тканини для дослідження брали методом пункційної біопсії за допомогою одноразового тонкоголкового шприца діаметром голки 2 мм під місцевою анестезією розчином арт</w:t>
      </w:r>
      <w:r w:rsidR="00DA3D34">
        <w:rPr>
          <w:rFonts w:eastAsia="SimSun" w:cs="Times New Roman"/>
          <w:sz w:val="28"/>
          <w:szCs w:val="28"/>
          <w:lang w:eastAsia="zh-CN"/>
        </w:rPr>
        <w:t>ікаїну з епінефрином (1:100000). О</w:t>
      </w:r>
      <w:r w:rsidRPr="00CA099F">
        <w:rPr>
          <w:rFonts w:eastAsia="SimSun" w:cs="Times New Roman"/>
          <w:sz w:val="28"/>
          <w:szCs w:val="28"/>
          <w:lang w:eastAsia="zh-CN"/>
        </w:rPr>
        <w:t xml:space="preserve">триманий матеріал </w:t>
      </w:r>
      <w:r w:rsidR="00DA3D34">
        <w:rPr>
          <w:rFonts w:eastAsia="SimSun" w:cs="Times New Roman"/>
          <w:sz w:val="28"/>
          <w:szCs w:val="28"/>
          <w:lang w:eastAsia="zh-CN"/>
        </w:rPr>
        <w:t>фіксували</w:t>
      </w:r>
      <w:r w:rsidRPr="00CA099F">
        <w:rPr>
          <w:rFonts w:eastAsia="SimSun" w:cs="Times New Roman"/>
          <w:sz w:val="28"/>
          <w:szCs w:val="28"/>
          <w:lang w:eastAsia="zh-CN"/>
        </w:rPr>
        <w:t xml:space="preserve"> в розчині нейтрального формаліну 10% на 3 доби. Потім за загальноприйнятою методикою зневоднювали матеріал у бата</w:t>
      </w:r>
      <w:r w:rsidR="00400041">
        <w:rPr>
          <w:rFonts w:eastAsia="SimSun" w:cs="Times New Roman"/>
          <w:sz w:val="28"/>
          <w:szCs w:val="28"/>
          <w:lang w:eastAsia="zh-CN"/>
        </w:rPr>
        <w:t>реї спиртів за висхідною шкало</w:t>
      </w:r>
      <w:r w:rsidR="00400041">
        <w:rPr>
          <w:rFonts w:eastAsia="SimSun" w:cs="Times New Roman"/>
          <w:sz w:val="28"/>
          <w:szCs w:val="28"/>
          <w:lang w:val="ru-RU" w:eastAsia="zh-CN"/>
        </w:rPr>
        <w:t>ю</w:t>
      </w:r>
      <w:r w:rsidRPr="00CA099F">
        <w:rPr>
          <w:rFonts w:eastAsia="SimSun" w:cs="Times New Roman"/>
          <w:sz w:val="28"/>
          <w:szCs w:val="28"/>
          <w:lang w:eastAsia="zh-CN"/>
        </w:rPr>
        <w:t xml:space="preserve">. </w:t>
      </w:r>
    </w:p>
    <w:p w:rsidR="0030517B" w:rsidRPr="00CA099F" w:rsidRDefault="006C576E" w:rsidP="0030517B">
      <w:pPr>
        <w:spacing w:after="0" w:line="360" w:lineRule="auto"/>
        <w:ind w:firstLine="708"/>
        <w:jc w:val="both"/>
        <w:rPr>
          <w:rFonts w:eastAsia="SimSun" w:cs="Times New Roman"/>
          <w:sz w:val="28"/>
          <w:szCs w:val="28"/>
          <w:lang w:eastAsia="zh-CN"/>
        </w:rPr>
      </w:pPr>
      <w:r>
        <w:rPr>
          <w:rFonts w:eastAsia="SimSun" w:cs="Times New Roman"/>
          <w:sz w:val="28"/>
          <w:szCs w:val="28"/>
          <w:lang w:eastAsia="zh-CN"/>
        </w:rPr>
        <w:t>Далі перекладали біоптат</w:t>
      </w:r>
      <w:r w:rsidR="0030517B" w:rsidRPr="00CA099F">
        <w:rPr>
          <w:rFonts w:eastAsia="SimSun" w:cs="Times New Roman"/>
          <w:sz w:val="28"/>
          <w:szCs w:val="28"/>
          <w:lang w:eastAsia="zh-CN"/>
        </w:rPr>
        <w:t xml:space="preserve"> у суміш абсолютного спирту і хлороформу на 12 годин. Для поступового кращого просочування парафіном шматочки матеріалу переносили у розплавлену суміш хлороформу і парафіну та ставили в термостат на 3 години при температурі 40° С. </w:t>
      </w:r>
    </w:p>
    <w:p w:rsidR="0030517B" w:rsidRPr="00CA099F" w:rsidRDefault="0030517B" w:rsidP="0030517B">
      <w:pPr>
        <w:spacing w:after="0" w:line="360" w:lineRule="auto"/>
        <w:ind w:firstLine="708"/>
        <w:jc w:val="both"/>
        <w:rPr>
          <w:rFonts w:eastAsia="SimSun" w:cs="Times New Roman"/>
          <w:sz w:val="28"/>
          <w:szCs w:val="28"/>
          <w:lang w:eastAsia="zh-CN"/>
        </w:rPr>
      </w:pPr>
      <w:r w:rsidRPr="00CA099F">
        <w:rPr>
          <w:rFonts w:eastAsia="SimSun" w:cs="Times New Roman"/>
          <w:sz w:val="28"/>
          <w:szCs w:val="28"/>
          <w:lang w:eastAsia="zh-CN"/>
        </w:rPr>
        <w:t xml:space="preserve">Із суміші хлороформу і парафіну матеріал перекладали у розплавлений парафін, </w:t>
      </w:r>
      <w:r w:rsidR="006C576E">
        <w:rPr>
          <w:rFonts w:eastAsia="SimSun" w:cs="Times New Roman"/>
          <w:sz w:val="28"/>
          <w:szCs w:val="28"/>
          <w:lang w:eastAsia="zh-CN"/>
        </w:rPr>
        <w:t xml:space="preserve">в якому </w:t>
      </w:r>
      <w:r w:rsidRPr="00CA099F">
        <w:rPr>
          <w:rFonts w:eastAsia="SimSun" w:cs="Times New Roman"/>
          <w:sz w:val="28"/>
          <w:szCs w:val="28"/>
          <w:lang w:eastAsia="zh-CN"/>
        </w:rPr>
        <w:t xml:space="preserve">шматочки тканини витримували до 4 годин. Після другого парафіну гарячим пінцетом із термостата </w:t>
      </w:r>
      <w:r w:rsidR="006C576E">
        <w:rPr>
          <w:rFonts w:eastAsia="SimSun" w:cs="Times New Roman"/>
          <w:sz w:val="28"/>
          <w:szCs w:val="28"/>
          <w:lang w:eastAsia="zh-CN"/>
        </w:rPr>
        <w:t>іх діставали</w:t>
      </w:r>
      <w:r w:rsidRPr="00CA099F">
        <w:rPr>
          <w:rFonts w:eastAsia="SimSun" w:cs="Times New Roman"/>
          <w:sz w:val="28"/>
          <w:szCs w:val="28"/>
          <w:lang w:eastAsia="zh-CN"/>
        </w:rPr>
        <w:t xml:space="preserve"> і переносили у заздалегідь приготовлену форму, потім повторно заливали чистим парафіном. Охолодження парафінових блоків проводили у посудині з водою при кімнатній температурі. Вийняті блоки наклеювали на дерев’яні колодки.</w:t>
      </w:r>
    </w:p>
    <w:p w:rsidR="0030517B" w:rsidRPr="00CA099F" w:rsidRDefault="0030517B" w:rsidP="0030517B">
      <w:pPr>
        <w:spacing w:after="0" w:line="360" w:lineRule="auto"/>
        <w:ind w:firstLine="708"/>
        <w:jc w:val="both"/>
        <w:rPr>
          <w:rFonts w:eastAsia="SimSun" w:cs="Times New Roman"/>
          <w:sz w:val="28"/>
          <w:szCs w:val="28"/>
          <w:lang w:eastAsia="zh-CN"/>
        </w:rPr>
      </w:pPr>
      <w:r w:rsidRPr="00CA099F">
        <w:rPr>
          <w:rFonts w:eastAsia="SimSun" w:cs="Times New Roman"/>
          <w:sz w:val="28"/>
          <w:szCs w:val="28"/>
          <w:lang w:eastAsia="zh-CN"/>
        </w:rPr>
        <w:t>Зрізи товщиною 5-10 мкм отримували за допомогою санного мікротома і монтували їх предметні скельця за трафаретною методикою.</w:t>
      </w:r>
    </w:p>
    <w:p w:rsidR="0030517B" w:rsidRPr="00CA099F" w:rsidRDefault="0030517B" w:rsidP="0030517B">
      <w:pPr>
        <w:spacing w:after="0" w:line="360" w:lineRule="auto"/>
        <w:ind w:firstLine="708"/>
        <w:jc w:val="both"/>
        <w:rPr>
          <w:rFonts w:eastAsia="SimSun" w:cs="Times New Roman"/>
          <w:sz w:val="28"/>
          <w:szCs w:val="28"/>
          <w:lang w:eastAsia="zh-CN"/>
        </w:rPr>
      </w:pPr>
      <w:r w:rsidRPr="00CA099F">
        <w:rPr>
          <w:rFonts w:eastAsia="SimSun" w:cs="Times New Roman"/>
          <w:sz w:val="28"/>
          <w:szCs w:val="28"/>
          <w:lang w:eastAsia="zh-CN"/>
        </w:rPr>
        <w:t xml:space="preserve">Приготування препаратів шляхом їх фарбування гематоксиліном та еозином. Цей метод фарбування передбачає застосування хімічного комплексу, що формується іонами алюмінію та окисленого </w:t>
      </w:r>
      <w:hyperlink r:id="rId14" w:tooltip="Гематоксилін" w:history="1">
        <w:r w:rsidRPr="00CA099F">
          <w:rPr>
            <w:rFonts w:eastAsia="SimSun" w:cs="Times New Roman"/>
            <w:sz w:val="28"/>
            <w:szCs w:val="28"/>
            <w:lang w:eastAsia="zh-CN"/>
          </w:rPr>
          <w:t>гематоксиліну</w:t>
        </w:r>
      </w:hyperlink>
      <w:r w:rsidRPr="00CA099F">
        <w:rPr>
          <w:rFonts w:eastAsia="SimSun" w:cs="Times New Roman"/>
          <w:sz w:val="28"/>
          <w:szCs w:val="28"/>
          <w:lang w:eastAsia="zh-CN"/>
        </w:rPr>
        <w:t xml:space="preserve">. Комплекс має властивості зафарбовувати ядра клітин в синій колір. Після зафарбовування ядер відбувається фарбування інших структур спиртовим розчином </w:t>
      </w:r>
      <w:hyperlink r:id="rId15" w:tooltip="Еозин" w:history="1">
        <w:r w:rsidRPr="00CA099F">
          <w:rPr>
            <w:rFonts w:eastAsia="SimSun" w:cs="Times New Roman"/>
            <w:sz w:val="28"/>
            <w:szCs w:val="28"/>
            <w:lang w:eastAsia="zh-CN"/>
          </w:rPr>
          <w:t>еозину</w:t>
        </w:r>
      </w:hyperlink>
      <w:r w:rsidRPr="00CA099F">
        <w:rPr>
          <w:rFonts w:eastAsia="SimSun" w:cs="Times New Roman"/>
          <w:sz w:val="28"/>
          <w:szCs w:val="28"/>
          <w:lang w:eastAsia="zh-CN"/>
        </w:rPr>
        <w:t xml:space="preserve">, завдяки якому ці структури набувають насиченого еозинофільного забарвлення – червоного або рожевого. </w:t>
      </w:r>
    </w:p>
    <w:p w:rsidR="0030517B" w:rsidRPr="00CA099F" w:rsidRDefault="0030517B" w:rsidP="0030517B">
      <w:pPr>
        <w:spacing w:after="0" w:line="360" w:lineRule="auto"/>
        <w:ind w:firstLine="708"/>
        <w:jc w:val="both"/>
        <w:rPr>
          <w:rFonts w:eastAsia="SimSun" w:cs="Times New Roman"/>
          <w:sz w:val="28"/>
          <w:szCs w:val="28"/>
          <w:lang w:eastAsia="zh-CN"/>
        </w:rPr>
      </w:pPr>
      <w:r w:rsidRPr="00CA099F">
        <w:rPr>
          <w:rFonts w:eastAsia="SimSun" w:cs="Times New Roman"/>
          <w:sz w:val="28"/>
          <w:szCs w:val="28"/>
          <w:lang w:eastAsia="zh-CN"/>
        </w:rPr>
        <w:t>Фотографування вибраних для ілюстрацій ділянок проводили за допомогою мікроскопу Biorex-3 ВМ-500Т з цифровою мікрофотонасадкою DCM 900 з адаптованими для даних досліджень комп’ютерних програм.</w:t>
      </w:r>
    </w:p>
    <w:p w:rsidR="0030517B" w:rsidRPr="00CA099F" w:rsidRDefault="0030517B" w:rsidP="0030517B">
      <w:pPr>
        <w:spacing w:after="0" w:line="360" w:lineRule="auto"/>
        <w:ind w:firstLine="708"/>
        <w:jc w:val="both"/>
        <w:rPr>
          <w:rFonts w:eastAsia="SimSun" w:cs="Times New Roman"/>
          <w:sz w:val="28"/>
          <w:szCs w:val="28"/>
          <w:lang w:eastAsia="zh-CN"/>
        </w:rPr>
      </w:pPr>
      <w:r w:rsidRPr="00CA099F">
        <w:rPr>
          <w:rFonts w:eastAsia="SimSun" w:cs="Times New Roman"/>
          <w:sz w:val="28"/>
          <w:szCs w:val="28"/>
          <w:lang w:eastAsia="zh-CN"/>
        </w:rPr>
        <w:lastRenderedPageBreak/>
        <w:t xml:space="preserve">Імуногістохімічне дослідження проводилось на парафінових зрізах за класичною методикою. Матеріал фіксували в 10 % нейтральному формаліні, після проводки готувались парафінові блоки. Після заключення в полістирол мікрофотографування проводили </w:t>
      </w:r>
      <w:r w:rsidR="006C576E">
        <w:rPr>
          <w:rFonts w:eastAsia="SimSun" w:cs="Times New Roman"/>
          <w:sz w:val="28"/>
          <w:szCs w:val="28"/>
          <w:lang w:eastAsia="zh-CN"/>
        </w:rPr>
        <w:t xml:space="preserve">також </w:t>
      </w:r>
      <w:r w:rsidRPr="00CA099F">
        <w:rPr>
          <w:rFonts w:eastAsia="SimSun" w:cs="Times New Roman"/>
          <w:sz w:val="28"/>
          <w:szCs w:val="28"/>
          <w:lang w:eastAsia="zh-CN"/>
        </w:rPr>
        <w:t>за допомогою мікроскопу Biorex-3 ВМ-500Т з цифровою мікрофотонасадкою DCM 900 з адаптованими для даних досліджень програмами.</w:t>
      </w:r>
    </w:p>
    <w:p w:rsidR="0030517B" w:rsidRPr="00CA099F" w:rsidRDefault="0030517B" w:rsidP="0030517B">
      <w:pPr>
        <w:spacing w:after="0" w:line="360" w:lineRule="auto"/>
        <w:ind w:firstLine="708"/>
        <w:jc w:val="both"/>
        <w:rPr>
          <w:rFonts w:eastAsia="SimSun" w:cs="Times New Roman"/>
          <w:sz w:val="28"/>
          <w:szCs w:val="28"/>
          <w:lang w:eastAsia="zh-CN"/>
        </w:rPr>
      </w:pPr>
    </w:p>
    <w:p w:rsidR="0030517B" w:rsidRPr="00CA099F" w:rsidRDefault="0030517B" w:rsidP="0030517B">
      <w:pPr>
        <w:spacing w:after="0" w:line="360" w:lineRule="auto"/>
        <w:ind w:firstLine="708"/>
        <w:jc w:val="both"/>
        <w:rPr>
          <w:rFonts w:eastAsia="SimSun" w:cs="Times New Roman"/>
          <w:b/>
          <w:sz w:val="28"/>
          <w:szCs w:val="28"/>
          <w:lang w:eastAsia="zh-CN"/>
        </w:rPr>
      </w:pPr>
      <w:r w:rsidRPr="00CA099F">
        <w:rPr>
          <w:rFonts w:eastAsia="SimSun" w:cs="Times New Roman"/>
          <w:b/>
          <w:sz w:val="28"/>
          <w:szCs w:val="28"/>
          <w:lang w:eastAsia="zh-CN"/>
        </w:rPr>
        <w:t>2.5 Методики біохімічних досліджень</w:t>
      </w:r>
    </w:p>
    <w:p w:rsidR="0030517B" w:rsidRPr="00CA099F" w:rsidRDefault="0030517B" w:rsidP="0030517B">
      <w:pPr>
        <w:spacing w:after="0" w:line="360" w:lineRule="auto"/>
        <w:ind w:firstLine="708"/>
        <w:jc w:val="both"/>
        <w:rPr>
          <w:rFonts w:eastAsia="SimSun" w:cs="Times New Roman"/>
          <w:sz w:val="28"/>
          <w:szCs w:val="28"/>
          <w:lang w:eastAsia="zh-CN"/>
        </w:rPr>
      </w:pPr>
    </w:p>
    <w:p w:rsidR="00591877" w:rsidRDefault="00591877" w:rsidP="0030517B">
      <w:pPr>
        <w:spacing w:after="0" w:line="360" w:lineRule="auto"/>
        <w:ind w:firstLine="709"/>
        <w:jc w:val="both"/>
        <w:rPr>
          <w:rFonts w:eastAsia="SimSun" w:cs="Times New Roman"/>
          <w:sz w:val="28"/>
          <w:szCs w:val="28"/>
          <w:lang w:eastAsia="zh-CN"/>
        </w:rPr>
      </w:pPr>
      <w:r>
        <w:rPr>
          <w:rFonts w:eastAsia="SimSun" w:cs="Times New Roman"/>
          <w:sz w:val="28"/>
          <w:szCs w:val="28"/>
          <w:lang w:eastAsia="zh-CN"/>
        </w:rPr>
        <w:t>В основу в</w:t>
      </w:r>
      <w:r w:rsidR="0030517B" w:rsidRPr="00CA099F">
        <w:rPr>
          <w:rFonts w:eastAsia="SimSun" w:cs="Times New Roman"/>
          <w:sz w:val="28"/>
          <w:szCs w:val="28"/>
          <w:lang w:eastAsia="zh-CN"/>
        </w:rPr>
        <w:t>изначення окисної модифікації білків плазми крові</w:t>
      </w:r>
      <w:r>
        <w:rPr>
          <w:rFonts w:eastAsia="SimSun" w:cs="Times New Roman"/>
          <w:sz w:val="28"/>
          <w:szCs w:val="28"/>
          <w:lang w:eastAsia="zh-CN"/>
        </w:rPr>
        <w:t xml:space="preserve"> закладено процес</w:t>
      </w:r>
      <w:r w:rsidR="0030517B" w:rsidRPr="00CA099F">
        <w:rPr>
          <w:rFonts w:eastAsia="SimSun" w:cs="Times New Roman"/>
          <w:sz w:val="28"/>
          <w:szCs w:val="28"/>
          <w:lang w:eastAsia="zh-CN"/>
        </w:rPr>
        <w:t xml:space="preserve"> окисної модифікації білків плазми крові </w:t>
      </w:r>
      <w:r>
        <w:rPr>
          <w:rFonts w:eastAsia="SimSun" w:cs="Times New Roman"/>
          <w:sz w:val="28"/>
          <w:szCs w:val="28"/>
          <w:lang w:eastAsia="zh-CN"/>
        </w:rPr>
        <w:t>за умов утворення альдегідних і кетонних груп</w:t>
      </w:r>
      <w:r w:rsidR="0030517B" w:rsidRPr="00CA099F">
        <w:rPr>
          <w:rFonts w:eastAsia="SimSun" w:cs="Times New Roman"/>
          <w:sz w:val="28"/>
          <w:szCs w:val="28"/>
          <w:lang w:eastAsia="zh-CN"/>
        </w:rPr>
        <w:t>, які взаємодіють з 2,4-динітрофенілгідразином з утворенням 2,4-динітрофенілгідразонів, що мають характерний спектр поглинання. Альдегідо- і кетонопохідні н</w:t>
      </w:r>
      <w:r>
        <w:rPr>
          <w:rFonts w:eastAsia="SimSun" w:cs="Times New Roman"/>
          <w:sz w:val="28"/>
          <w:szCs w:val="28"/>
          <w:lang w:eastAsia="zh-CN"/>
        </w:rPr>
        <w:t>ейтрального характеру реєстрували</w:t>
      </w:r>
      <w:r w:rsidR="0030517B" w:rsidRPr="00CA099F">
        <w:rPr>
          <w:rFonts w:eastAsia="SimSun" w:cs="Times New Roman"/>
          <w:sz w:val="28"/>
          <w:szCs w:val="28"/>
          <w:lang w:eastAsia="zh-CN"/>
        </w:rPr>
        <w:t xml:space="preserve"> при 370 нм (ОМБ370), а основного – 430 нм (ОМБ430) [209].</w:t>
      </w:r>
    </w:p>
    <w:p w:rsidR="0030517B" w:rsidRPr="00CA099F" w:rsidRDefault="0030517B" w:rsidP="0030517B">
      <w:pPr>
        <w:spacing w:after="0" w:line="360" w:lineRule="auto"/>
        <w:ind w:firstLine="709"/>
        <w:jc w:val="both"/>
        <w:rPr>
          <w:rFonts w:eastAsia="SimSun" w:cs="Times New Roman"/>
          <w:sz w:val="28"/>
          <w:szCs w:val="28"/>
          <w:lang w:eastAsia="zh-CN"/>
        </w:rPr>
      </w:pPr>
      <w:r w:rsidRPr="00CA099F">
        <w:rPr>
          <w:rFonts w:eastAsia="MS Mincho" w:cs="Times New Roman"/>
          <w:sz w:val="28"/>
          <w:szCs w:val="28"/>
          <w:lang w:eastAsia="zh-CN"/>
        </w:rPr>
        <w:t xml:space="preserve">Активність СОД визначали в отриманому супернатанті за методикою </w:t>
      </w:r>
      <w:r w:rsidRPr="00CA099F">
        <w:rPr>
          <w:rFonts w:eastAsia="SimSun" w:cs="Times New Roman"/>
          <w:sz w:val="28"/>
          <w:szCs w:val="28"/>
          <w:lang w:eastAsia="zh-CN"/>
        </w:rPr>
        <w:t>Чеварі С. та співавторів [210]. Принцип методу ґрунтується на здатності ферменту інгібувати відновлення нітротетразолію синього та конкурувати з нітросинім тетразолієм за супероксидні аніони, які утворюються в результаті аеробної взаємодії відновленої форми нікотинамідаденіннуклеотиду з феназинметасульфатом.</w:t>
      </w:r>
    </w:p>
    <w:p w:rsidR="005D14C9" w:rsidRDefault="0030517B" w:rsidP="0030517B">
      <w:pPr>
        <w:spacing w:after="0" w:line="360" w:lineRule="auto"/>
        <w:ind w:firstLine="709"/>
        <w:jc w:val="both"/>
        <w:rPr>
          <w:rFonts w:eastAsia="SimSun" w:cs="Times New Roman"/>
          <w:sz w:val="28"/>
          <w:szCs w:val="28"/>
          <w:lang w:eastAsia="zh-CN"/>
        </w:rPr>
      </w:pPr>
      <w:r w:rsidRPr="00CA099F">
        <w:rPr>
          <w:rFonts w:eastAsia="SimSun" w:cs="Times New Roman"/>
          <w:sz w:val="28"/>
          <w:szCs w:val="28"/>
          <w:lang w:eastAsia="zh-CN"/>
        </w:rPr>
        <w:t xml:space="preserve">Активнiсть каталази </w:t>
      </w:r>
      <w:r w:rsidR="00591877">
        <w:rPr>
          <w:rFonts w:eastAsia="SimSun" w:cs="Times New Roman"/>
          <w:sz w:val="28"/>
          <w:szCs w:val="28"/>
          <w:lang w:eastAsia="zh-CN"/>
        </w:rPr>
        <w:t>в гомогенатах рубцевозмінени</w:t>
      </w:r>
      <w:r w:rsidR="005D14C9">
        <w:rPr>
          <w:rFonts w:eastAsia="SimSun" w:cs="Times New Roman"/>
          <w:sz w:val="28"/>
          <w:szCs w:val="28"/>
          <w:lang w:eastAsia="zh-CN"/>
        </w:rPr>
        <w:t xml:space="preserve">х тканин </w:t>
      </w:r>
      <w:r w:rsidRPr="00CA099F">
        <w:rPr>
          <w:rFonts w:eastAsia="SimSun" w:cs="Times New Roman"/>
          <w:sz w:val="28"/>
          <w:szCs w:val="28"/>
          <w:lang w:eastAsia="zh-CN"/>
        </w:rPr>
        <w:t xml:space="preserve">визначали за методом Королюк М.А. [211]. Принцип методу базується на здатностi пероксиду водню утворювати з молiбдатом амонiю стiйкий забарвлений комплекс, інтенсивність якого обернено пропорційна активності каталази у досліджуваному субстраті. </w:t>
      </w:r>
    </w:p>
    <w:p w:rsidR="005D14C9" w:rsidRDefault="0030517B" w:rsidP="0030517B">
      <w:pPr>
        <w:spacing w:after="0" w:line="360" w:lineRule="auto"/>
        <w:ind w:firstLine="709"/>
        <w:jc w:val="both"/>
        <w:rPr>
          <w:rFonts w:eastAsia="SimSun" w:cs="Times New Roman"/>
          <w:sz w:val="28"/>
          <w:szCs w:val="28"/>
          <w:lang w:eastAsia="zh-CN"/>
        </w:rPr>
      </w:pPr>
      <w:r w:rsidRPr="00CA099F">
        <w:rPr>
          <w:rFonts w:eastAsia="SimSun" w:cs="Times New Roman"/>
          <w:sz w:val="28"/>
          <w:szCs w:val="28"/>
          <w:lang w:eastAsia="zh-CN"/>
        </w:rPr>
        <w:t>Визначення вмісту вiдновленого глутатiону (SН-груп )</w:t>
      </w:r>
      <w:r w:rsidR="005D14C9">
        <w:rPr>
          <w:rFonts w:eastAsia="SimSun" w:cs="Times New Roman"/>
          <w:sz w:val="28"/>
          <w:szCs w:val="28"/>
          <w:lang w:eastAsia="zh-CN"/>
        </w:rPr>
        <w:t xml:space="preserve"> в гомогенатах рубців</w:t>
      </w:r>
      <w:r w:rsidRPr="00CA099F">
        <w:rPr>
          <w:rFonts w:eastAsia="SimSun" w:cs="Times New Roman"/>
          <w:sz w:val="28"/>
          <w:szCs w:val="28"/>
          <w:lang w:eastAsia="zh-CN"/>
        </w:rPr>
        <w:t xml:space="preserve"> полягає у </w:t>
      </w:r>
      <w:r w:rsidR="005D14C9">
        <w:rPr>
          <w:rFonts w:eastAsia="SimSun" w:cs="Times New Roman"/>
          <w:sz w:val="28"/>
          <w:szCs w:val="28"/>
          <w:lang w:eastAsia="zh-CN"/>
        </w:rPr>
        <w:t xml:space="preserve">принципі </w:t>
      </w:r>
      <w:r w:rsidRPr="00CA099F">
        <w:rPr>
          <w:rFonts w:eastAsia="SimSun" w:cs="Times New Roman"/>
          <w:sz w:val="28"/>
          <w:szCs w:val="28"/>
          <w:lang w:eastAsia="zh-CN"/>
        </w:rPr>
        <w:t xml:space="preserve">взаємодії 5,5’-дитіобіс (2-нітробензойної) кислоти (реактив Елмана) з SH-групами досліджуваного субстрату. При цьому утворюється тіонітрофенильний аніон, кількість якого прямо пропорційна </w:t>
      </w:r>
      <w:r w:rsidRPr="00CA099F">
        <w:rPr>
          <w:rFonts w:eastAsia="SimSun" w:cs="Times New Roman"/>
          <w:sz w:val="28"/>
          <w:szCs w:val="28"/>
          <w:lang w:eastAsia="zh-CN"/>
        </w:rPr>
        <w:lastRenderedPageBreak/>
        <w:t>вмісту SH-груп. Їх концентрацію виражали в молях на кілограм тканини (моль</w:t>
      </w:r>
      <w:r w:rsidRPr="00CA099F">
        <w:rPr>
          <w:rFonts w:eastAsia="SimSun" w:cs="Times New Roman"/>
          <w:sz w:val="28"/>
          <w:szCs w:val="28"/>
          <w:lang w:eastAsia="zh-CN"/>
        </w:rPr>
        <w:sym w:font="Times New Roman" w:char="00B7"/>
      </w:r>
      <w:r w:rsidRPr="00CA099F">
        <w:rPr>
          <w:rFonts w:eastAsia="SimSun" w:cs="Times New Roman"/>
          <w:sz w:val="28"/>
          <w:szCs w:val="28"/>
          <w:lang w:eastAsia="zh-CN"/>
        </w:rPr>
        <w:t>кг-1) [212].</w:t>
      </w:r>
      <w:r w:rsidR="005D14C9">
        <w:rPr>
          <w:rFonts w:eastAsia="SimSun" w:cs="Times New Roman"/>
          <w:sz w:val="28"/>
          <w:szCs w:val="28"/>
          <w:lang w:eastAsia="zh-CN"/>
        </w:rPr>
        <w:t xml:space="preserve"> </w:t>
      </w:r>
    </w:p>
    <w:p w:rsidR="0030517B" w:rsidRPr="005D14C9" w:rsidRDefault="005D14C9" w:rsidP="0030517B">
      <w:pPr>
        <w:spacing w:after="0" w:line="360" w:lineRule="auto"/>
        <w:ind w:firstLine="709"/>
        <w:jc w:val="both"/>
        <w:rPr>
          <w:rFonts w:eastAsia="SimSun" w:cs="Times New Roman"/>
          <w:sz w:val="28"/>
          <w:szCs w:val="28"/>
          <w:lang w:eastAsia="zh-CN"/>
        </w:rPr>
      </w:pPr>
      <w:r>
        <w:rPr>
          <w:rFonts w:eastAsia="SimSun" w:cs="Times New Roman"/>
          <w:sz w:val="28"/>
          <w:szCs w:val="28"/>
          <w:lang w:eastAsia="zh-CN"/>
        </w:rPr>
        <w:t>В</w:t>
      </w:r>
      <w:r w:rsidR="0030517B" w:rsidRPr="00CA099F">
        <w:rPr>
          <w:rFonts w:eastAsia="SimSun" w:cs="Times New Roman"/>
          <w:sz w:val="28"/>
          <w:szCs w:val="28"/>
          <w:lang w:eastAsia="zh-CN"/>
        </w:rPr>
        <w:t>місту неоптерину</w:t>
      </w:r>
      <w:r w:rsidR="0030517B" w:rsidRPr="00CA099F">
        <w:rPr>
          <w:rFonts w:eastAsia="MS Mincho" w:cs="Times New Roman"/>
          <w:sz w:val="28"/>
          <w:szCs w:val="28"/>
          <w:lang w:eastAsia="zh-CN"/>
        </w:rPr>
        <w:t xml:space="preserve"> визначали за допомогою твердофазного імуноферментного аналізу з використанням наборів реактивів “Neopterin ELISA” фірми “IBL” (Німеччина) </w:t>
      </w:r>
      <w:r w:rsidR="0030517B" w:rsidRPr="00CA099F">
        <w:rPr>
          <w:rFonts w:eastAsia="SimSun" w:cs="Times New Roman"/>
          <w:sz w:val="28"/>
          <w:szCs w:val="28"/>
          <w:lang w:eastAsia="zh-CN"/>
        </w:rPr>
        <w:t>[213].</w:t>
      </w:r>
    </w:p>
    <w:p w:rsidR="0030517B" w:rsidRPr="00CA099F" w:rsidRDefault="0030517B" w:rsidP="0030517B">
      <w:pPr>
        <w:spacing w:after="0" w:line="360" w:lineRule="auto"/>
        <w:ind w:firstLine="709"/>
        <w:jc w:val="both"/>
        <w:rPr>
          <w:rFonts w:eastAsia="SimSun" w:cs="Times New Roman"/>
          <w:sz w:val="28"/>
          <w:szCs w:val="28"/>
          <w:lang w:eastAsia="zh-CN"/>
        </w:rPr>
      </w:pPr>
      <w:r w:rsidRPr="00CA099F">
        <w:rPr>
          <w:rFonts w:eastAsia="SimSun" w:cs="Times New Roman"/>
          <w:sz w:val="28"/>
          <w:szCs w:val="28"/>
          <w:lang w:eastAsia="zh-CN"/>
        </w:rPr>
        <w:t xml:space="preserve">Активність лізоциму та уреази </w:t>
      </w:r>
      <w:r w:rsidR="005D14C9">
        <w:rPr>
          <w:rFonts w:eastAsia="SimSun" w:cs="Times New Roman"/>
          <w:sz w:val="28"/>
          <w:szCs w:val="28"/>
          <w:lang w:eastAsia="zh-CN"/>
        </w:rPr>
        <w:t xml:space="preserve">в гомогенатах рубцевих тканин </w:t>
      </w:r>
      <w:r w:rsidRPr="00CA099F">
        <w:rPr>
          <w:rFonts w:eastAsia="SimSun" w:cs="Times New Roman"/>
          <w:sz w:val="28"/>
          <w:szCs w:val="28"/>
          <w:lang w:eastAsia="zh-CN"/>
        </w:rPr>
        <w:t xml:space="preserve">визначали бактеріолітичним методом, суть якого </w:t>
      </w:r>
      <w:r w:rsidR="005D14C9">
        <w:rPr>
          <w:rFonts w:eastAsia="SimSun" w:cs="Times New Roman"/>
          <w:sz w:val="28"/>
          <w:szCs w:val="28"/>
          <w:lang w:eastAsia="zh-CN"/>
        </w:rPr>
        <w:t xml:space="preserve">полягає </w:t>
      </w:r>
      <w:r w:rsidRPr="00CA099F">
        <w:rPr>
          <w:rFonts w:eastAsia="SimSun" w:cs="Times New Roman"/>
          <w:sz w:val="28"/>
          <w:szCs w:val="28"/>
          <w:lang w:eastAsia="zh-CN"/>
        </w:rPr>
        <w:t xml:space="preserve">у визначенні дисбіозу порожнини рота для скрининга про- та пребіотиків </w:t>
      </w:r>
      <w:r w:rsidR="005D14C9">
        <w:rPr>
          <w:rFonts w:eastAsia="SimSun" w:cs="Times New Roman"/>
          <w:sz w:val="28"/>
          <w:szCs w:val="28"/>
          <w:lang w:eastAsia="zh-CN"/>
        </w:rPr>
        <w:t>за умов використання ферментного</w:t>
      </w:r>
      <w:r w:rsidRPr="00CA099F">
        <w:rPr>
          <w:rFonts w:eastAsia="SimSun" w:cs="Times New Roman"/>
          <w:sz w:val="28"/>
          <w:szCs w:val="28"/>
          <w:lang w:eastAsia="zh-CN"/>
        </w:rPr>
        <w:t xml:space="preserve"> аналіз</w:t>
      </w:r>
      <w:r w:rsidR="005D14C9">
        <w:rPr>
          <w:rFonts w:eastAsia="SimSun" w:cs="Times New Roman"/>
          <w:sz w:val="28"/>
          <w:szCs w:val="28"/>
          <w:lang w:eastAsia="zh-CN"/>
        </w:rPr>
        <w:t>у</w:t>
      </w:r>
      <w:r w:rsidRPr="00CA099F">
        <w:rPr>
          <w:rFonts w:eastAsia="SimSun" w:cs="Times New Roman"/>
          <w:sz w:val="28"/>
          <w:szCs w:val="28"/>
          <w:lang w:eastAsia="zh-CN"/>
        </w:rPr>
        <w:t xml:space="preserve"> [214]. Активність еластази визначалася за методом Левицького та співавторів [215].</w:t>
      </w:r>
    </w:p>
    <w:p w:rsidR="0030517B" w:rsidRPr="00CA099F" w:rsidRDefault="0030517B" w:rsidP="0030517B">
      <w:pPr>
        <w:spacing w:after="0" w:line="360" w:lineRule="auto"/>
        <w:ind w:firstLine="709"/>
        <w:jc w:val="both"/>
        <w:rPr>
          <w:rFonts w:eastAsia="SimSun" w:cs="Times New Roman"/>
          <w:sz w:val="28"/>
          <w:szCs w:val="28"/>
          <w:lang w:eastAsia="zh-CN"/>
        </w:rPr>
      </w:pPr>
      <w:r w:rsidRPr="00CA099F">
        <w:rPr>
          <w:rFonts w:eastAsia="SimSun" w:cs="Times New Roman"/>
          <w:sz w:val="28"/>
          <w:szCs w:val="28"/>
          <w:lang w:eastAsia="zh-CN"/>
        </w:rPr>
        <w:t>Концентрацію дієнових кон'югатів (ДК) визначали за методом, який ґрунтується на тому, що екстраговані гептан-ізопропіловою сумішшю гідроперекиси мають відповідний максимум поглинання: ДК при довжині хвилі 232 нм.</w:t>
      </w:r>
    </w:p>
    <w:p w:rsidR="0030517B" w:rsidRPr="00CA099F" w:rsidRDefault="0030517B" w:rsidP="0030517B">
      <w:pPr>
        <w:spacing w:after="0" w:line="360" w:lineRule="auto"/>
        <w:ind w:firstLine="709"/>
        <w:jc w:val="both"/>
        <w:rPr>
          <w:rFonts w:eastAsia="SimSun" w:cs="Times New Roman"/>
          <w:sz w:val="28"/>
          <w:szCs w:val="28"/>
          <w:lang w:eastAsia="zh-CN"/>
        </w:rPr>
      </w:pPr>
      <w:r w:rsidRPr="00CA099F">
        <w:rPr>
          <w:rFonts w:eastAsia="SimSun" w:cs="Times New Roman"/>
          <w:sz w:val="28"/>
          <w:szCs w:val="28"/>
          <w:lang w:eastAsia="zh-CN"/>
        </w:rPr>
        <w:t>Концентрацію трієнових кон'югатів (ТК) визначали за методом, який грунтується на тому, що екстраговані гептан-ізопропіловою сумішшю гідроперекиси мають відповідний максимум поглинання: ТК при довжині хвилі 275 нм [216].</w:t>
      </w:r>
    </w:p>
    <w:p w:rsidR="00B351B8" w:rsidRDefault="0030517B" w:rsidP="0030517B">
      <w:pPr>
        <w:spacing w:after="0" w:line="360" w:lineRule="auto"/>
        <w:ind w:firstLine="709"/>
        <w:jc w:val="both"/>
        <w:rPr>
          <w:rFonts w:eastAsia="SimSun" w:cs="Times New Roman"/>
          <w:sz w:val="28"/>
          <w:szCs w:val="28"/>
          <w:lang w:eastAsia="zh-CN"/>
        </w:rPr>
      </w:pPr>
      <w:r w:rsidRPr="00CA099F">
        <w:rPr>
          <w:rFonts w:eastAsia="SimSun" w:cs="Times New Roman"/>
          <w:sz w:val="28"/>
          <w:szCs w:val="28"/>
          <w:lang w:eastAsia="zh-CN"/>
        </w:rPr>
        <w:t>Визначення концентрації ТБК-активних продуктів</w:t>
      </w:r>
      <w:r w:rsidR="00B351B8">
        <w:rPr>
          <w:rFonts w:eastAsia="SimSun" w:cs="Times New Roman"/>
          <w:sz w:val="28"/>
          <w:szCs w:val="28"/>
          <w:lang w:eastAsia="zh-CN"/>
        </w:rPr>
        <w:t xml:space="preserve"> в гомогенатах рубцевозміненої шкіри</w:t>
      </w:r>
      <w:r w:rsidRPr="00CA099F">
        <w:rPr>
          <w:rFonts w:eastAsia="SimSun" w:cs="Times New Roman"/>
          <w:sz w:val="28"/>
          <w:szCs w:val="28"/>
          <w:lang w:eastAsia="zh-CN"/>
        </w:rPr>
        <w:t xml:space="preserve"> заключається в тому, що при високій температурі в кислому середовищі малоновий діальдегід реагує з тіобарбітуровою кислотою, утворюючи забарвлений комплекс з максимумом поглинання при 535 нм [217].</w:t>
      </w:r>
    </w:p>
    <w:p w:rsidR="0030517B" w:rsidRPr="00CA099F" w:rsidRDefault="0030517B" w:rsidP="0030517B">
      <w:pPr>
        <w:spacing w:after="0" w:line="360" w:lineRule="auto"/>
        <w:ind w:firstLine="709"/>
        <w:jc w:val="both"/>
        <w:rPr>
          <w:rFonts w:eastAsia="SimSun" w:cs="Times New Roman"/>
          <w:sz w:val="28"/>
          <w:szCs w:val="28"/>
          <w:lang w:eastAsia="zh-CN"/>
        </w:rPr>
      </w:pPr>
      <w:r w:rsidRPr="00CA099F">
        <w:rPr>
          <w:rFonts w:eastAsia="SimSun" w:cs="Times New Roman"/>
          <w:sz w:val="28"/>
          <w:szCs w:val="28"/>
          <w:lang w:eastAsia="zh-CN"/>
        </w:rPr>
        <w:t>Оцінка продукції активних форм кисню ядровмісними клітинами крові</w:t>
      </w:r>
      <w:r w:rsidR="00B351B8">
        <w:rPr>
          <w:rFonts w:eastAsia="SimSun" w:cs="Times New Roman"/>
          <w:sz w:val="28"/>
          <w:szCs w:val="28"/>
          <w:lang w:eastAsia="zh-CN"/>
        </w:rPr>
        <w:t xml:space="preserve"> п</w:t>
      </w:r>
      <w:r w:rsidRPr="00CA099F">
        <w:rPr>
          <w:rFonts w:eastAsia="SimSun" w:cs="Times New Roman"/>
          <w:sz w:val="28"/>
          <w:szCs w:val="28"/>
          <w:lang w:eastAsia="zh-CN"/>
        </w:rPr>
        <w:t xml:space="preserve">роводилася методом проточної лазерної цитофлюориметрії [218]. Для вимірювання рівня активних форм кисню (АФК) у ядровмісних клітинахкрові використовували дихлорфлюоресцеїну диацетат (ДХФ-ДА) («Sigma Aldrich», USA), який є барвником із заблокованою флюоресценцією. Після пасивного проникнення в клітину і відщеплення ацетатної групи під дією естераз ДХФ-ДА переходить у полярну сполуку, яка не здатна до дифузії з клітини. У </w:t>
      </w:r>
      <w:r w:rsidRPr="00CA099F">
        <w:rPr>
          <w:rFonts w:eastAsia="SimSun" w:cs="Times New Roman"/>
          <w:sz w:val="28"/>
          <w:szCs w:val="28"/>
          <w:lang w:eastAsia="zh-CN"/>
        </w:rPr>
        <w:lastRenderedPageBreak/>
        <w:t>результаті взаємодії з перекисом водню та іншими вільними радикалами ДХФ-ДА стає флуоресціюючою сполукою. У чисту полістеринову пробірку поміщали 90 мкл суспензії лейкоцитів і 10 мкл робочого розчину ДХФ-ДА. Клітини ресуспензували й інкубували тривалістю 20 хв при 37 °С. Потім центрифугували при 1000 об/хв протягом 10 хв, зливали надосад і додавали 400 мкл фосфатно-сольового буферу. Проби поміщали на лід, рівень продукції АФК аналізували за інтенсивністю світіння барвника (FL-1 канал) на проточному цитофлюориметрі Epics XL («Beckman Coulter», США). Значення дослідженого параметру виражали у відсотках.</w:t>
      </w:r>
    </w:p>
    <w:p w:rsidR="0030517B" w:rsidRPr="00CA099F" w:rsidRDefault="0030517B" w:rsidP="0030517B">
      <w:pPr>
        <w:spacing w:after="0" w:line="360" w:lineRule="auto"/>
        <w:ind w:firstLine="709"/>
        <w:jc w:val="both"/>
        <w:rPr>
          <w:rFonts w:eastAsia="SimSun" w:cs="Times New Roman"/>
          <w:sz w:val="28"/>
          <w:szCs w:val="28"/>
          <w:lang w:eastAsia="zh-CN"/>
        </w:rPr>
      </w:pPr>
      <w:r w:rsidRPr="00CA099F">
        <w:rPr>
          <w:rFonts w:eastAsia="SimSun" w:cs="Times New Roman"/>
          <w:sz w:val="28"/>
          <w:szCs w:val="28"/>
          <w:lang w:eastAsia="zh-CN"/>
        </w:rPr>
        <w:t xml:space="preserve">Вміст ГПЛ визначали за методом, який ґрунтується на тому, що екстраговані гептан-ізопропіловою сумішшю гідропероксиди мають відповідний максимум поглинання при </w:t>
      </w:r>
      <w:r w:rsidRPr="00CA099F">
        <w:rPr>
          <w:rFonts w:eastAsia="SimSun" w:cs="Times New Roman"/>
          <w:sz w:val="28"/>
          <w:szCs w:val="28"/>
          <w:lang w:eastAsia="zh-CN"/>
        </w:rPr>
        <w:sym w:font="Symbol" w:char="F06C"/>
      </w:r>
      <w:r w:rsidR="00B351B8">
        <w:rPr>
          <w:rFonts w:eastAsia="SimSun" w:cs="Times New Roman"/>
          <w:sz w:val="28"/>
          <w:szCs w:val="28"/>
          <w:lang w:eastAsia="zh-CN"/>
        </w:rPr>
        <w:t xml:space="preserve">= 232 нм [219] і </w:t>
      </w:r>
      <w:r w:rsidRPr="00CA099F">
        <w:rPr>
          <w:rFonts w:eastAsia="SimSun" w:cs="Times New Roman"/>
          <w:sz w:val="28"/>
          <w:szCs w:val="28"/>
          <w:lang w:eastAsia="zh-CN"/>
        </w:rPr>
        <w:t xml:space="preserve">проводили </w:t>
      </w:r>
      <w:r w:rsidR="00B351B8">
        <w:rPr>
          <w:rFonts w:eastAsia="SimSun" w:cs="Times New Roman"/>
          <w:sz w:val="28"/>
          <w:szCs w:val="28"/>
          <w:lang w:eastAsia="zh-CN"/>
        </w:rPr>
        <w:t xml:space="preserve">це </w:t>
      </w:r>
      <w:r w:rsidRPr="00CA099F">
        <w:rPr>
          <w:rFonts w:eastAsia="SimSun" w:cs="Times New Roman"/>
          <w:sz w:val="28"/>
          <w:szCs w:val="28"/>
          <w:lang w:eastAsia="zh-CN"/>
        </w:rPr>
        <w:t>за методо</w:t>
      </w:r>
      <w:r w:rsidR="00B351B8">
        <w:rPr>
          <w:rFonts w:eastAsia="SimSun" w:cs="Times New Roman"/>
          <w:sz w:val="28"/>
          <w:szCs w:val="28"/>
          <w:lang w:eastAsia="zh-CN"/>
        </w:rPr>
        <w:t>м, описаним В.В. Мирончик [219]. Його принцип</w:t>
      </w:r>
      <w:r w:rsidRPr="00CA099F">
        <w:rPr>
          <w:rFonts w:eastAsia="SimSun" w:cs="Times New Roman"/>
          <w:sz w:val="28"/>
          <w:szCs w:val="28"/>
          <w:lang w:eastAsia="zh-CN"/>
        </w:rPr>
        <w:t xml:space="preserve"> базується на</w:t>
      </w:r>
      <w:r w:rsidR="00B351B8">
        <w:rPr>
          <w:rFonts w:eastAsia="SimSun" w:cs="Times New Roman"/>
          <w:sz w:val="28"/>
          <w:szCs w:val="28"/>
          <w:lang w:eastAsia="zh-CN"/>
        </w:rPr>
        <w:t xml:space="preserve"> феномені окиснення</w:t>
      </w:r>
      <w:r w:rsidRPr="00CA099F">
        <w:rPr>
          <w:rFonts w:eastAsia="SimSun" w:cs="Times New Roman"/>
          <w:sz w:val="28"/>
          <w:szCs w:val="28"/>
          <w:lang w:eastAsia="zh-CN"/>
        </w:rPr>
        <w:t xml:space="preserve"> пероксидами Fe2+ у Fe3+, яке проявляється за допомогою кольорової реакції з тіоціонатом амонію при максимумі поглинання 480 нм.</w:t>
      </w:r>
    </w:p>
    <w:p w:rsidR="0030517B" w:rsidRPr="00CA099F" w:rsidRDefault="00596D4B" w:rsidP="0030517B">
      <w:pPr>
        <w:spacing w:after="0" w:line="360" w:lineRule="auto"/>
        <w:ind w:firstLine="709"/>
        <w:jc w:val="both"/>
        <w:rPr>
          <w:rFonts w:eastAsia="SimSun" w:cs="Times New Roman"/>
          <w:sz w:val="28"/>
          <w:szCs w:val="28"/>
          <w:lang w:eastAsia="zh-CN"/>
        </w:rPr>
      </w:pPr>
      <w:r>
        <w:rPr>
          <w:rFonts w:eastAsia="SimSun" w:cs="Times New Roman"/>
          <w:sz w:val="28"/>
          <w:szCs w:val="28"/>
          <w:lang w:eastAsia="zh-CN"/>
        </w:rPr>
        <w:t>Оцінку</w:t>
      </w:r>
      <w:r w:rsidR="0030517B" w:rsidRPr="00CA099F">
        <w:rPr>
          <w:rFonts w:eastAsia="SimSun" w:cs="Times New Roman"/>
          <w:sz w:val="28"/>
          <w:szCs w:val="28"/>
          <w:lang w:eastAsia="zh-CN"/>
        </w:rPr>
        <w:t xml:space="preserve"> інтенсивності репаративних процесів</w:t>
      </w:r>
      <w:r w:rsidR="00244374">
        <w:rPr>
          <w:rFonts w:eastAsia="SimSun" w:cs="Times New Roman"/>
          <w:sz w:val="28"/>
          <w:szCs w:val="28"/>
          <w:lang w:eastAsia="zh-CN"/>
        </w:rPr>
        <w:t xml:space="preserve"> проводили за допомогою визначення кількості</w:t>
      </w:r>
      <w:r w:rsidR="0030517B" w:rsidRPr="00CA099F">
        <w:rPr>
          <w:rFonts w:eastAsia="SimSun" w:cs="Times New Roman"/>
          <w:sz w:val="28"/>
          <w:szCs w:val="28"/>
          <w:lang w:eastAsia="zh-CN"/>
        </w:rPr>
        <w:t xml:space="preserve"> РНК і ДНК у гомогенаті шкіри та рубцевозмінених тканин за методикою А.С. Спіріна [220].</w:t>
      </w:r>
    </w:p>
    <w:p w:rsidR="0030517B" w:rsidRPr="00CA099F" w:rsidRDefault="0030517B" w:rsidP="0030517B">
      <w:pPr>
        <w:spacing w:after="0" w:line="360" w:lineRule="auto"/>
        <w:ind w:firstLine="709"/>
        <w:jc w:val="both"/>
        <w:rPr>
          <w:rFonts w:eastAsia="SimSun" w:cs="Times New Roman"/>
          <w:sz w:val="28"/>
          <w:szCs w:val="28"/>
          <w:lang w:eastAsia="zh-CN"/>
        </w:rPr>
      </w:pPr>
    </w:p>
    <w:p w:rsidR="0030517B" w:rsidRPr="00CA099F" w:rsidRDefault="0030517B" w:rsidP="0030517B">
      <w:pPr>
        <w:spacing w:after="0" w:line="360" w:lineRule="auto"/>
        <w:ind w:firstLine="708"/>
        <w:jc w:val="both"/>
        <w:rPr>
          <w:rFonts w:eastAsia="SimSun" w:cs="Times New Roman"/>
          <w:b/>
          <w:sz w:val="28"/>
          <w:szCs w:val="28"/>
          <w:lang w:eastAsia="zh-CN"/>
        </w:rPr>
      </w:pPr>
      <w:r w:rsidRPr="00CA099F">
        <w:rPr>
          <w:rFonts w:eastAsia="SimSun" w:cs="Times New Roman"/>
          <w:b/>
          <w:sz w:val="28"/>
          <w:szCs w:val="28"/>
          <w:lang w:eastAsia="zh-CN"/>
        </w:rPr>
        <w:t>2.6 Статистична обробка результатів власних досліджень</w:t>
      </w:r>
    </w:p>
    <w:p w:rsidR="0030517B" w:rsidRPr="00CA099F" w:rsidRDefault="0030517B" w:rsidP="0030517B">
      <w:pPr>
        <w:spacing w:after="0" w:line="360" w:lineRule="auto"/>
        <w:ind w:firstLine="708"/>
        <w:jc w:val="both"/>
        <w:rPr>
          <w:rFonts w:eastAsia="SimSun" w:cs="Times New Roman"/>
          <w:b/>
          <w:sz w:val="28"/>
          <w:szCs w:val="28"/>
          <w:lang w:eastAsia="zh-CN"/>
        </w:rPr>
      </w:pPr>
    </w:p>
    <w:p w:rsidR="0030517B" w:rsidRPr="00CA099F" w:rsidRDefault="0030517B" w:rsidP="0030517B">
      <w:pPr>
        <w:spacing w:after="0" w:line="360" w:lineRule="auto"/>
        <w:ind w:firstLine="708"/>
        <w:jc w:val="both"/>
        <w:rPr>
          <w:rFonts w:eastAsia="SimSun" w:cs="Times New Roman"/>
          <w:sz w:val="28"/>
          <w:szCs w:val="28"/>
          <w:lang w:eastAsia="zh-CN"/>
        </w:rPr>
      </w:pPr>
      <w:r w:rsidRPr="00CA099F">
        <w:rPr>
          <w:rFonts w:eastAsia="SimSun" w:cs="Times New Roman"/>
          <w:sz w:val="28"/>
          <w:szCs w:val="28"/>
          <w:lang w:eastAsia="zh-CN"/>
        </w:rPr>
        <w:t xml:space="preserve">Для статистичної обробки даних отриманих результатів власних досліджень використовувалися параметричні та непараметричні методи. </w:t>
      </w:r>
    </w:p>
    <w:p w:rsidR="0030517B" w:rsidRPr="00CA099F" w:rsidRDefault="0030517B" w:rsidP="0030517B">
      <w:pPr>
        <w:spacing w:after="0" w:line="360" w:lineRule="auto"/>
        <w:ind w:firstLine="709"/>
        <w:jc w:val="both"/>
        <w:rPr>
          <w:rFonts w:eastAsia="SimSun" w:cs="Times New Roman"/>
          <w:sz w:val="28"/>
          <w:szCs w:val="28"/>
          <w:lang w:eastAsia="zh-CN"/>
        </w:rPr>
      </w:pPr>
      <w:r w:rsidRPr="00CA099F">
        <w:rPr>
          <w:rFonts w:eastAsia="Times New Roman" w:cs="Times New Roman"/>
          <w:color w:val="000000"/>
          <w:sz w:val="28"/>
          <w:szCs w:val="28"/>
          <w:lang w:eastAsia="zh-CN"/>
        </w:rPr>
        <w:t>Статистичний аналіз параметричним методом проводився з використанням t-критерію Стьюдента [221]. Розраховували середні арифметичні величини</w:t>
      </w:r>
      <w:r w:rsidRPr="00CA099F">
        <w:rPr>
          <w:rFonts w:eastAsia="SimSun" w:cs="Times New Roman"/>
          <w:sz w:val="28"/>
          <w:szCs w:val="28"/>
          <w:lang w:eastAsia="zh-CN"/>
        </w:rPr>
        <w:t xml:space="preserve">, середню квадратичну (М), середнє квадратичне відхилення (сігма Σ), середнє квадратичної помилки (m), критерії вірогідності (t). Відмінності враховувалися за вірогідності при р≤0,05. Статистичні результати, для яких ймовірність помилки була меншою, ніж 5% (Р≤0,05), вважалися достовірними. </w:t>
      </w:r>
    </w:p>
    <w:p w:rsidR="0030517B" w:rsidRPr="00CA099F" w:rsidRDefault="0030517B" w:rsidP="0030517B">
      <w:pPr>
        <w:spacing w:after="0" w:line="360" w:lineRule="auto"/>
        <w:ind w:firstLine="709"/>
        <w:jc w:val="both"/>
        <w:rPr>
          <w:rFonts w:eastAsia="SimSun" w:cs="Times New Roman"/>
          <w:sz w:val="28"/>
          <w:szCs w:val="28"/>
          <w:lang w:eastAsia="zh-CN"/>
        </w:rPr>
      </w:pPr>
      <w:r w:rsidRPr="00CA099F">
        <w:rPr>
          <w:rFonts w:eastAsia="SimSun" w:cs="Times New Roman"/>
          <w:sz w:val="28"/>
          <w:szCs w:val="28"/>
          <w:lang w:eastAsia="zh-CN"/>
        </w:rPr>
        <w:lastRenderedPageBreak/>
        <w:t xml:space="preserve">Із непараметричних методів при визначені вірогідності показників дослідження нами було використано U-критерій </w:t>
      </w:r>
      <w:r w:rsidRPr="00CA099F">
        <w:rPr>
          <w:rFonts w:eastAsia="SimSun" w:cs="Times New Roman"/>
          <w:bCs/>
          <w:sz w:val="28"/>
          <w:szCs w:val="28"/>
          <w:shd w:val="clear" w:color="auto" w:fill="FFFFFF"/>
          <w:lang w:eastAsia="zh-CN"/>
        </w:rPr>
        <w:t>Краскала-Уоллиса</w:t>
      </w:r>
      <w:r w:rsidRPr="00CA099F">
        <w:rPr>
          <w:rFonts w:eastAsia="SimSun" w:cs="Times New Roman"/>
          <w:sz w:val="28"/>
          <w:szCs w:val="28"/>
          <w:lang w:eastAsia="zh-CN"/>
        </w:rPr>
        <w:t>. Відмінності вважались за вірогідні при р≤0,05.</w:t>
      </w:r>
    </w:p>
    <w:p w:rsidR="0030517B" w:rsidRPr="00CA099F" w:rsidRDefault="0030517B" w:rsidP="0030517B">
      <w:pPr>
        <w:spacing w:after="0" w:line="360" w:lineRule="auto"/>
        <w:ind w:firstLine="708"/>
        <w:jc w:val="both"/>
        <w:rPr>
          <w:rFonts w:eastAsia="SimSun" w:cs="Times New Roman"/>
          <w:bCs/>
          <w:sz w:val="28"/>
          <w:szCs w:val="28"/>
          <w:shd w:val="clear" w:color="auto" w:fill="FFFFFF"/>
          <w:lang w:eastAsia="zh-CN"/>
        </w:rPr>
      </w:pPr>
      <w:r w:rsidRPr="00CA099F">
        <w:rPr>
          <w:rFonts w:eastAsia="SimSun" w:cs="Times New Roman"/>
          <w:sz w:val="28"/>
          <w:szCs w:val="28"/>
          <w:lang w:eastAsia="zh-CN"/>
        </w:rPr>
        <w:t xml:space="preserve">Математичну обробку отриманих даних здійснювали з використанням програми </w:t>
      </w:r>
      <w:r w:rsidRPr="00CA099F">
        <w:rPr>
          <w:rFonts w:eastAsia="SimSun" w:cs="Times New Roman"/>
          <w:bCs/>
          <w:sz w:val="28"/>
          <w:szCs w:val="28"/>
          <w:shd w:val="clear" w:color="auto" w:fill="FFFFFF"/>
          <w:lang w:eastAsia="zh-CN"/>
        </w:rPr>
        <w:t>StatPlus</w:t>
      </w:r>
      <w:r w:rsidRPr="00CA099F">
        <w:rPr>
          <w:rFonts w:eastAsia="SimSun" w:cs="Times New Roman"/>
          <w:sz w:val="28"/>
          <w:szCs w:val="28"/>
          <w:shd w:val="clear" w:color="auto" w:fill="FFFFFF"/>
          <w:lang w:eastAsia="zh-CN"/>
        </w:rPr>
        <w:t> </w:t>
      </w:r>
      <w:r w:rsidRPr="00CA099F">
        <w:rPr>
          <w:rFonts w:eastAsia="SimSun" w:cs="Times New Roman"/>
          <w:bCs/>
          <w:sz w:val="28"/>
          <w:szCs w:val="28"/>
          <w:shd w:val="clear" w:color="auto" w:fill="FFFFFF"/>
          <w:lang w:eastAsia="zh-CN"/>
        </w:rPr>
        <w:t xml:space="preserve">2009, </w:t>
      </w:r>
      <w:r w:rsidRPr="00CA099F">
        <w:rPr>
          <w:rFonts w:eastAsia="SimSun" w:cs="Times New Roman"/>
          <w:sz w:val="28"/>
          <w:szCs w:val="28"/>
          <w:lang w:eastAsia="zh-CN"/>
        </w:rPr>
        <w:t>« Microsoft Excel»</w:t>
      </w:r>
      <w:r w:rsidRPr="00CA099F">
        <w:rPr>
          <w:rFonts w:eastAsia="SimSun" w:cs="Times New Roman"/>
          <w:bCs/>
          <w:sz w:val="28"/>
          <w:szCs w:val="28"/>
          <w:shd w:val="clear" w:color="auto" w:fill="FFFFFF"/>
          <w:lang w:eastAsia="zh-CN"/>
        </w:rPr>
        <w:t>.</w:t>
      </w:r>
      <w:r w:rsidRPr="00CA099F">
        <w:rPr>
          <w:rFonts w:eastAsia="SimSun" w:cs="Times New Roman"/>
          <w:bCs/>
          <w:sz w:val="28"/>
          <w:szCs w:val="28"/>
          <w:shd w:val="clear" w:color="auto" w:fill="FFFFFF"/>
          <w:lang w:eastAsia="zh-CN"/>
        </w:rPr>
        <w:br w:type="page"/>
      </w:r>
    </w:p>
    <w:p w:rsidR="0030517B" w:rsidRPr="00CA099F" w:rsidRDefault="0030517B" w:rsidP="0030517B">
      <w:pPr>
        <w:spacing w:after="160" w:line="360" w:lineRule="auto"/>
        <w:jc w:val="center"/>
        <w:rPr>
          <w:rFonts w:eastAsia="Calibri" w:cs="Calibri"/>
          <w:b/>
          <w:sz w:val="28"/>
          <w:szCs w:val="28"/>
        </w:rPr>
      </w:pPr>
      <w:r w:rsidRPr="00CA099F">
        <w:rPr>
          <w:rFonts w:eastAsia="Calibri" w:cs="Calibri"/>
          <w:b/>
          <w:sz w:val="28"/>
          <w:szCs w:val="28"/>
        </w:rPr>
        <w:lastRenderedPageBreak/>
        <w:t>РОЗДІЛ 3</w:t>
      </w:r>
    </w:p>
    <w:p w:rsidR="0030517B" w:rsidRPr="00CA099F" w:rsidRDefault="0030517B" w:rsidP="0030517B">
      <w:pPr>
        <w:spacing w:after="160" w:line="360" w:lineRule="auto"/>
        <w:jc w:val="center"/>
        <w:rPr>
          <w:rFonts w:eastAsia="Calibri" w:cs="Calibri"/>
          <w:b/>
          <w:sz w:val="28"/>
          <w:szCs w:val="28"/>
        </w:rPr>
      </w:pPr>
    </w:p>
    <w:p w:rsidR="0030517B" w:rsidRPr="00CA099F" w:rsidRDefault="0030517B" w:rsidP="0030517B">
      <w:pPr>
        <w:spacing w:after="160" w:line="360" w:lineRule="auto"/>
        <w:jc w:val="center"/>
        <w:rPr>
          <w:rFonts w:eastAsia="Calibri" w:cs="Calibri"/>
          <w:b/>
          <w:sz w:val="28"/>
          <w:szCs w:val="28"/>
        </w:rPr>
      </w:pPr>
    </w:p>
    <w:p w:rsidR="0030517B" w:rsidRPr="00CA099F" w:rsidRDefault="00506730" w:rsidP="0030517B">
      <w:pPr>
        <w:spacing w:after="160" w:line="360" w:lineRule="auto"/>
        <w:jc w:val="center"/>
        <w:rPr>
          <w:rFonts w:eastAsia="Calibri" w:cs="Calibri"/>
          <w:b/>
          <w:sz w:val="28"/>
          <w:szCs w:val="28"/>
        </w:rPr>
      </w:pPr>
      <w:r>
        <w:rPr>
          <w:rFonts w:eastAsia="Calibri" w:cs="Calibri"/>
          <w:b/>
          <w:sz w:val="28"/>
          <w:szCs w:val="28"/>
        </w:rPr>
        <w:t>РЕЗУЛЬТАТИ</w:t>
      </w:r>
      <w:r w:rsidR="0030517B" w:rsidRPr="00CA099F">
        <w:rPr>
          <w:rFonts w:eastAsia="Calibri" w:cs="Calibri"/>
          <w:b/>
          <w:sz w:val="28"/>
          <w:szCs w:val="28"/>
        </w:rPr>
        <w:t xml:space="preserve"> КЛІНІЧНИХ ЗМІН У РУБЦЕВОЗМІНЕНИХ ТКАНИНАХ У РІЗНІ ТЕРМІНИ ПІСЛЯОПЕРАЦІЙНОГО ПЕРІОДУ</w:t>
      </w:r>
    </w:p>
    <w:p w:rsidR="0030517B" w:rsidRPr="00CA099F" w:rsidRDefault="0030517B" w:rsidP="0030517B">
      <w:pPr>
        <w:spacing w:after="160" w:line="360" w:lineRule="auto"/>
        <w:jc w:val="both"/>
        <w:rPr>
          <w:rFonts w:eastAsia="Calibri" w:cs="Calibri"/>
          <w:sz w:val="28"/>
          <w:szCs w:val="28"/>
        </w:rPr>
      </w:pPr>
    </w:p>
    <w:p w:rsidR="0030517B" w:rsidRPr="00CA099F" w:rsidRDefault="00506730" w:rsidP="0030517B">
      <w:pPr>
        <w:spacing w:after="160" w:line="360" w:lineRule="auto"/>
        <w:ind w:firstLine="709"/>
        <w:jc w:val="both"/>
        <w:rPr>
          <w:rFonts w:eastAsia="Calibri" w:cs="Calibri"/>
          <w:b/>
          <w:sz w:val="28"/>
          <w:szCs w:val="28"/>
        </w:rPr>
      </w:pPr>
      <w:r>
        <w:rPr>
          <w:rFonts w:eastAsia="Calibri" w:cs="Calibri"/>
          <w:b/>
          <w:sz w:val="28"/>
          <w:szCs w:val="28"/>
        </w:rPr>
        <w:t>3.1</w:t>
      </w:r>
      <w:r w:rsidR="0030517B" w:rsidRPr="00CA099F">
        <w:rPr>
          <w:rFonts w:eastAsia="Calibri" w:cs="Calibri"/>
          <w:b/>
          <w:sz w:val="28"/>
          <w:szCs w:val="28"/>
        </w:rPr>
        <w:t xml:space="preserve"> Опис авторської методики інтраопераційної профілактики утворення патологічних рубцевозмінених тканин шкіри після хірургічного лікування кіст шиї ембріонального походження</w:t>
      </w:r>
    </w:p>
    <w:p w:rsidR="0030517B" w:rsidRPr="00CA099F" w:rsidRDefault="0030517B" w:rsidP="0030517B">
      <w:pPr>
        <w:spacing w:after="160" w:line="360" w:lineRule="auto"/>
        <w:ind w:firstLine="709"/>
        <w:jc w:val="both"/>
        <w:rPr>
          <w:rFonts w:eastAsia="Calibri" w:cs="Calibri"/>
          <w:sz w:val="28"/>
          <w:szCs w:val="28"/>
        </w:rPr>
      </w:pPr>
    </w:p>
    <w:p w:rsidR="0030517B" w:rsidRPr="00CA099F" w:rsidRDefault="0030517B" w:rsidP="0030517B">
      <w:pPr>
        <w:spacing w:after="160" w:line="360" w:lineRule="auto"/>
        <w:ind w:firstLine="709"/>
        <w:jc w:val="both"/>
        <w:rPr>
          <w:rFonts w:eastAsia="Calibri" w:cs="Calibri"/>
          <w:sz w:val="28"/>
          <w:szCs w:val="28"/>
        </w:rPr>
      </w:pPr>
      <w:r w:rsidRPr="00CA099F">
        <w:rPr>
          <w:rFonts w:eastAsia="Calibri" w:cs="Calibri"/>
          <w:sz w:val="28"/>
          <w:szCs w:val="28"/>
        </w:rPr>
        <w:t xml:space="preserve">Всі етапи пошарового роз’єднання тканин при </w:t>
      </w:r>
      <w:r w:rsidR="003A3228">
        <w:rPr>
          <w:rFonts w:eastAsia="Calibri" w:cs="Calibri"/>
          <w:sz w:val="28"/>
          <w:szCs w:val="28"/>
        </w:rPr>
        <w:t>екстирпації кіст шиї проводили</w:t>
      </w:r>
      <w:r w:rsidRPr="00CA099F">
        <w:rPr>
          <w:rFonts w:eastAsia="Calibri" w:cs="Calibri"/>
          <w:sz w:val="28"/>
          <w:szCs w:val="28"/>
        </w:rPr>
        <w:t xml:space="preserve"> згідно з протоколом надання хірургічної допо</w:t>
      </w:r>
      <w:r w:rsidR="003A3228">
        <w:rPr>
          <w:rFonts w:eastAsia="Calibri" w:cs="Calibri"/>
          <w:sz w:val="28"/>
          <w:szCs w:val="28"/>
        </w:rPr>
        <w:t>моги</w:t>
      </w:r>
      <w:r w:rsidRPr="00CA099F">
        <w:rPr>
          <w:rFonts w:eastAsia="Calibri" w:cs="Calibri"/>
          <w:sz w:val="28"/>
          <w:szCs w:val="28"/>
        </w:rPr>
        <w:t xml:space="preserve"> під ендотрахеальним наркозом. При оперативному втручанні з приводу серединної кісти</w:t>
      </w:r>
      <w:r w:rsidR="001733E7">
        <w:rPr>
          <w:rFonts w:eastAsia="Calibri" w:cs="Calibri"/>
          <w:sz w:val="28"/>
          <w:szCs w:val="28"/>
        </w:rPr>
        <w:t>, виникає необхідність резекції</w:t>
      </w:r>
      <w:r w:rsidRPr="00CA099F">
        <w:rPr>
          <w:rFonts w:eastAsia="Calibri" w:cs="Calibri"/>
          <w:sz w:val="28"/>
          <w:szCs w:val="28"/>
        </w:rPr>
        <w:t xml:space="preserve"> частини під'язикової кістки, так як </w:t>
      </w:r>
      <w:r w:rsidR="001733E7">
        <w:rPr>
          <w:rFonts w:eastAsia="Calibri" w:cs="Calibri"/>
          <w:sz w:val="28"/>
          <w:szCs w:val="28"/>
        </w:rPr>
        <w:t xml:space="preserve">саме </w:t>
      </w:r>
      <w:r w:rsidRPr="00CA099F">
        <w:rPr>
          <w:rFonts w:eastAsia="Calibri" w:cs="Calibri"/>
          <w:sz w:val="28"/>
          <w:szCs w:val="28"/>
        </w:rPr>
        <w:t xml:space="preserve">через неї проходить тяж від новоутворення. </w:t>
      </w:r>
      <w:r w:rsidR="001733E7">
        <w:rPr>
          <w:rFonts w:eastAsia="Calibri" w:cs="Calibri"/>
          <w:sz w:val="28"/>
          <w:szCs w:val="28"/>
        </w:rPr>
        <w:t>Слід враховувати, що е</w:t>
      </w:r>
      <w:r w:rsidRPr="00CA099F">
        <w:rPr>
          <w:rFonts w:eastAsia="Calibri" w:cs="Calibri"/>
          <w:sz w:val="28"/>
          <w:szCs w:val="28"/>
        </w:rPr>
        <w:t>кстирпація бранхіогенних кіст, м</w:t>
      </w:r>
      <w:r w:rsidR="005C0170">
        <w:rPr>
          <w:rFonts w:eastAsia="Calibri" w:cs="Calibri"/>
          <w:sz w:val="28"/>
          <w:szCs w:val="28"/>
        </w:rPr>
        <w:t>оже ускладнюватися через близьке розташованя</w:t>
      </w:r>
      <w:r w:rsidR="005734C4">
        <w:rPr>
          <w:rFonts w:eastAsia="Calibri" w:cs="Calibri"/>
          <w:sz w:val="28"/>
          <w:szCs w:val="28"/>
        </w:rPr>
        <w:t xml:space="preserve"> до них судин та нервів</w:t>
      </w:r>
      <w:r w:rsidRPr="00CA099F">
        <w:rPr>
          <w:rFonts w:eastAsia="Calibri" w:cs="Calibri"/>
          <w:sz w:val="28"/>
          <w:szCs w:val="28"/>
        </w:rPr>
        <w:t>.</w:t>
      </w:r>
    </w:p>
    <w:p w:rsidR="0030517B" w:rsidRPr="00CA099F" w:rsidRDefault="0030517B" w:rsidP="0030517B">
      <w:pPr>
        <w:spacing w:after="160" w:line="360" w:lineRule="auto"/>
        <w:ind w:firstLine="709"/>
        <w:jc w:val="both"/>
        <w:rPr>
          <w:rFonts w:eastAsia="Calibri" w:cs="Calibri"/>
          <w:sz w:val="28"/>
          <w:szCs w:val="28"/>
        </w:rPr>
      </w:pPr>
      <w:r w:rsidRPr="00CA099F">
        <w:rPr>
          <w:rFonts w:eastAsia="Calibri" w:cs="Calibri"/>
          <w:sz w:val="28"/>
          <w:szCs w:val="28"/>
        </w:rPr>
        <w:t xml:space="preserve">Перед етапом інтубації у пацієнта за допомогою вакутайнера беруть кров у спеціальну </w:t>
      </w:r>
      <w:r w:rsidRPr="00CA099F">
        <w:rPr>
          <w:rFonts w:eastAsia="Calibri" w:cs="Calibri"/>
          <w:sz w:val="28"/>
          <w:szCs w:val="28"/>
          <w:lang w:val="en-US"/>
        </w:rPr>
        <w:t>A</w:t>
      </w:r>
      <w:r w:rsidRPr="00CA099F">
        <w:rPr>
          <w:rFonts w:eastAsia="Calibri" w:cs="Calibri"/>
          <w:sz w:val="28"/>
          <w:szCs w:val="28"/>
          <w:lang w:val="ru-RU"/>
        </w:rPr>
        <w:t>-</w:t>
      </w:r>
      <w:r w:rsidRPr="00CA099F">
        <w:rPr>
          <w:rFonts w:eastAsia="Calibri" w:cs="Calibri"/>
          <w:sz w:val="28"/>
          <w:szCs w:val="28"/>
          <w:lang w:val="en-US"/>
        </w:rPr>
        <w:t>PRF</w:t>
      </w:r>
      <w:r w:rsidRPr="00CA099F">
        <w:rPr>
          <w:rFonts w:eastAsia="Calibri" w:cs="Calibri"/>
          <w:sz w:val="28"/>
          <w:szCs w:val="28"/>
        </w:rPr>
        <w:t xml:space="preserve">пробірку. Яка центрифугується при швидкості 1100 обертів на хвилину протягом 7 хвилин з метою отримання </w:t>
      </w:r>
      <w:r w:rsidRPr="00CA099F">
        <w:rPr>
          <w:rFonts w:eastAsia="Calibri" w:cs="Calibri"/>
          <w:sz w:val="28"/>
          <w:szCs w:val="28"/>
          <w:lang w:val="en-US"/>
        </w:rPr>
        <w:t>PRF</w:t>
      </w:r>
      <w:r w:rsidRPr="00CA099F">
        <w:rPr>
          <w:rFonts w:eastAsia="Calibri" w:cs="Calibri"/>
          <w:sz w:val="28"/>
          <w:szCs w:val="28"/>
        </w:rPr>
        <w:t>-згустку (рис</w:t>
      </w:r>
      <w:r w:rsidR="00E13E6C">
        <w:rPr>
          <w:rFonts w:eastAsia="Calibri" w:cs="Calibri"/>
          <w:sz w:val="28"/>
          <w:szCs w:val="28"/>
        </w:rPr>
        <w:t>. 3.1). Необхідно виготовити що</w:t>
      </w:r>
      <w:r w:rsidRPr="00CA099F">
        <w:rPr>
          <w:rFonts w:eastAsia="Calibri" w:cs="Calibri"/>
          <w:sz w:val="28"/>
          <w:szCs w:val="28"/>
        </w:rPr>
        <w:t>найменше 2 згустка, так як їх введення необхідно, як в глибокі, так і у поверхневі шари ділянки в якій проходить оперативне втручання.</w:t>
      </w:r>
    </w:p>
    <w:p w:rsidR="0030517B" w:rsidRPr="00CA099F" w:rsidRDefault="0030517B" w:rsidP="0030517B">
      <w:pPr>
        <w:spacing w:after="160" w:line="360" w:lineRule="auto"/>
        <w:ind w:firstLine="709"/>
        <w:jc w:val="both"/>
        <w:rPr>
          <w:rFonts w:eastAsia="Calibri" w:cs="Calibri"/>
          <w:sz w:val="28"/>
          <w:szCs w:val="28"/>
        </w:rPr>
      </w:pPr>
      <w:r w:rsidRPr="00CA099F">
        <w:rPr>
          <w:rFonts w:eastAsia="Calibri" w:cs="Calibri"/>
          <w:sz w:val="28"/>
          <w:szCs w:val="28"/>
        </w:rPr>
        <w:t xml:space="preserve">Після отримання згустків вони поміщувалися під прес для отримання </w:t>
      </w:r>
      <w:r w:rsidRPr="00CA099F">
        <w:rPr>
          <w:rFonts w:eastAsia="Calibri" w:cs="Calibri"/>
          <w:sz w:val="28"/>
          <w:szCs w:val="28"/>
          <w:lang w:val="en-US"/>
        </w:rPr>
        <w:t>A</w:t>
      </w:r>
      <w:r w:rsidRPr="00CA099F">
        <w:rPr>
          <w:rFonts w:eastAsia="Calibri" w:cs="Calibri"/>
          <w:sz w:val="28"/>
          <w:szCs w:val="28"/>
        </w:rPr>
        <w:t>-</w:t>
      </w:r>
      <w:r w:rsidRPr="00CA099F">
        <w:rPr>
          <w:rFonts w:eastAsia="Calibri" w:cs="Calibri"/>
          <w:sz w:val="28"/>
          <w:szCs w:val="28"/>
          <w:lang w:val="en-US"/>
        </w:rPr>
        <w:t>PRF</w:t>
      </w:r>
      <w:r w:rsidRPr="00CA099F">
        <w:rPr>
          <w:rFonts w:eastAsia="Calibri" w:cs="Calibri"/>
          <w:sz w:val="28"/>
          <w:szCs w:val="28"/>
        </w:rPr>
        <w:t xml:space="preserve"> мембран та зберігалися до відповідного етапу оперативного втручання. Перша мембрана уводилась в глибокі шари </w:t>
      </w:r>
      <w:r w:rsidR="005734C4">
        <w:rPr>
          <w:rFonts w:eastAsia="Calibri" w:cs="Calibri"/>
          <w:sz w:val="28"/>
          <w:szCs w:val="28"/>
        </w:rPr>
        <w:t>раньового каналу,</w:t>
      </w:r>
      <w:r w:rsidRPr="00CA099F">
        <w:rPr>
          <w:rFonts w:eastAsia="Calibri" w:cs="Calibri"/>
          <w:sz w:val="28"/>
          <w:szCs w:val="28"/>
        </w:rPr>
        <w:t xml:space="preserve"> в залежності від ділянки проведення операції (рис. 3.2). </w:t>
      </w:r>
    </w:p>
    <w:p w:rsidR="0030517B" w:rsidRPr="00CA099F" w:rsidRDefault="0030517B" w:rsidP="0030517B">
      <w:pPr>
        <w:spacing w:after="160" w:line="360" w:lineRule="auto"/>
        <w:jc w:val="both"/>
        <w:rPr>
          <w:rFonts w:eastAsia="Calibri" w:cs="Calibri"/>
          <w:sz w:val="28"/>
          <w:szCs w:val="28"/>
        </w:rPr>
      </w:pPr>
      <w:r w:rsidRPr="00CA099F">
        <w:rPr>
          <w:rFonts w:eastAsia="Calibri" w:cs="Calibri"/>
          <w:noProof/>
          <w:sz w:val="28"/>
          <w:szCs w:val="28"/>
          <w:lang w:val="ru-RU" w:eastAsia="ru-RU"/>
        </w:rPr>
        <w:lastRenderedPageBreak/>
        <w:drawing>
          <wp:anchor distT="0" distB="0" distL="114300" distR="114300" simplePos="0" relativeHeight="251659264" behindDoc="1" locked="0" layoutInCell="1" allowOverlap="1" wp14:anchorId="3C3FC57D" wp14:editId="7588287E">
            <wp:simplePos x="0" y="0"/>
            <wp:positionH relativeFrom="column">
              <wp:posOffset>-3810</wp:posOffset>
            </wp:positionH>
            <wp:positionV relativeFrom="paragraph">
              <wp:posOffset>156210</wp:posOffset>
            </wp:positionV>
            <wp:extent cx="5934075" cy="3962400"/>
            <wp:effectExtent l="0" t="0" r="9525" b="0"/>
            <wp:wrapNone/>
            <wp:docPr id="7" name="Рисунок 7" descr="31 зовнішній вигляд PR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31 зовнішній вигляд PRF"/>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934075" cy="3962400"/>
                    </a:xfrm>
                    <a:prstGeom prst="rect">
                      <a:avLst/>
                    </a:prstGeom>
                    <a:noFill/>
                  </pic:spPr>
                </pic:pic>
              </a:graphicData>
            </a:graphic>
          </wp:anchor>
        </w:drawing>
      </w:r>
    </w:p>
    <w:p w:rsidR="0030517B" w:rsidRPr="00CA099F" w:rsidRDefault="0030517B" w:rsidP="0030517B">
      <w:pPr>
        <w:spacing w:after="160" w:line="360" w:lineRule="auto"/>
        <w:jc w:val="both"/>
        <w:rPr>
          <w:rFonts w:eastAsia="Calibri" w:cs="Calibri"/>
          <w:sz w:val="28"/>
          <w:szCs w:val="28"/>
        </w:rPr>
      </w:pPr>
    </w:p>
    <w:p w:rsidR="0030517B" w:rsidRPr="00CA099F" w:rsidRDefault="0030517B" w:rsidP="0030517B">
      <w:pPr>
        <w:spacing w:after="160" w:line="360" w:lineRule="auto"/>
        <w:jc w:val="both"/>
        <w:rPr>
          <w:rFonts w:eastAsia="Calibri" w:cs="Calibri"/>
          <w:sz w:val="28"/>
          <w:szCs w:val="28"/>
        </w:rPr>
      </w:pPr>
    </w:p>
    <w:p w:rsidR="0030517B" w:rsidRPr="00CA099F" w:rsidRDefault="0030517B" w:rsidP="0030517B">
      <w:pPr>
        <w:spacing w:after="160" w:line="360" w:lineRule="auto"/>
        <w:jc w:val="both"/>
        <w:rPr>
          <w:rFonts w:eastAsia="Calibri" w:cs="Calibri"/>
          <w:sz w:val="28"/>
          <w:szCs w:val="28"/>
        </w:rPr>
      </w:pPr>
    </w:p>
    <w:p w:rsidR="0030517B" w:rsidRPr="00CA099F" w:rsidRDefault="0030517B" w:rsidP="0030517B">
      <w:pPr>
        <w:spacing w:after="160" w:line="360" w:lineRule="auto"/>
        <w:jc w:val="both"/>
        <w:rPr>
          <w:rFonts w:eastAsia="Calibri" w:cs="Calibri"/>
          <w:sz w:val="28"/>
          <w:szCs w:val="28"/>
        </w:rPr>
      </w:pPr>
    </w:p>
    <w:p w:rsidR="0030517B" w:rsidRPr="00CA099F" w:rsidRDefault="0030517B" w:rsidP="0030517B">
      <w:pPr>
        <w:spacing w:after="160" w:line="360" w:lineRule="auto"/>
        <w:jc w:val="both"/>
        <w:rPr>
          <w:rFonts w:eastAsia="Calibri" w:cs="Calibri"/>
          <w:sz w:val="28"/>
          <w:szCs w:val="28"/>
        </w:rPr>
      </w:pPr>
    </w:p>
    <w:p w:rsidR="0030517B" w:rsidRPr="00CA099F" w:rsidRDefault="0030517B" w:rsidP="0030517B">
      <w:pPr>
        <w:spacing w:after="160" w:line="360" w:lineRule="auto"/>
        <w:jc w:val="both"/>
        <w:rPr>
          <w:rFonts w:eastAsia="Calibri" w:cs="Calibri"/>
          <w:sz w:val="28"/>
          <w:szCs w:val="28"/>
        </w:rPr>
      </w:pPr>
    </w:p>
    <w:p w:rsidR="0030517B" w:rsidRPr="00CA099F" w:rsidRDefault="0030517B" w:rsidP="0030517B">
      <w:pPr>
        <w:spacing w:after="160" w:line="360" w:lineRule="auto"/>
        <w:jc w:val="both"/>
        <w:rPr>
          <w:rFonts w:eastAsia="Calibri" w:cs="Calibri"/>
          <w:sz w:val="28"/>
          <w:szCs w:val="28"/>
        </w:rPr>
      </w:pPr>
    </w:p>
    <w:p w:rsidR="0030517B" w:rsidRPr="00CA099F" w:rsidRDefault="0030517B" w:rsidP="0030517B">
      <w:pPr>
        <w:spacing w:after="160" w:line="360" w:lineRule="auto"/>
        <w:jc w:val="both"/>
        <w:rPr>
          <w:rFonts w:eastAsia="Calibri" w:cs="Calibri"/>
          <w:sz w:val="28"/>
          <w:szCs w:val="28"/>
        </w:rPr>
      </w:pPr>
    </w:p>
    <w:p w:rsidR="0030517B" w:rsidRPr="00CA099F" w:rsidRDefault="0030517B" w:rsidP="0030517B">
      <w:pPr>
        <w:spacing w:after="160" w:line="360" w:lineRule="auto"/>
        <w:jc w:val="both"/>
        <w:rPr>
          <w:rFonts w:eastAsia="Calibri" w:cs="Calibri"/>
          <w:sz w:val="28"/>
          <w:szCs w:val="28"/>
        </w:rPr>
      </w:pPr>
    </w:p>
    <w:p w:rsidR="0030517B" w:rsidRPr="00CA099F" w:rsidRDefault="0030517B" w:rsidP="0030517B">
      <w:pPr>
        <w:spacing w:after="160" w:line="360" w:lineRule="auto"/>
        <w:ind w:firstLine="708"/>
        <w:jc w:val="both"/>
        <w:rPr>
          <w:rFonts w:eastAsia="Calibri" w:cs="Calibri"/>
          <w:sz w:val="28"/>
          <w:szCs w:val="28"/>
        </w:rPr>
      </w:pPr>
      <w:r w:rsidRPr="00CA099F">
        <w:rPr>
          <w:rFonts w:eastAsia="Calibri" w:cs="Calibri"/>
          <w:sz w:val="28"/>
          <w:szCs w:val="28"/>
        </w:rPr>
        <w:t xml:space="preserve">Рис. 3.1. </w:t>
      </w:r>
      <w:r w:rsidR="005734C4">
        <w:rPr>
          <w:rFonts w:eastAsia="Calibri" w:cs="Calibri"/>
          <w:sz w:val="28"/>
          <w:szCs w:val="28"/>
        </w:rPr>
        <w:t xml:space="preserve">Один із етапів отримання </w:t>
      </w:r>
      <w:r w:rsidRPr="00CA099F">
        <w:rPr>
          <w:rFonts w:eastAsia="Calibri" w:cs="Calibri"/>
          <w:sz w:val="28"/>
          <w:szCs w:val="28"/>
          <w:lang w:val="en-US"/>
        </w:rPr>
        <w:t>PRF</w:t>
      </w:r>
      <w:r w:rsidRPr="00CA099F">
        <w:rPr>
          <w:rFonts w:eastAsia="Calibri" w:cs="Calibri"/>
          <w:sz w:val="28"/>
          <w:szCs w:val="28"/>
        </w:rPr>
        <w:t>-згустку.</w:t>
      </w:r>
    </w:p>
    <w:p w:rsidR="0030517B" w:rsidRPr="00CA099F" w:rsidRDefault="0030517B" w:rsidP="0030517B">
      <w:pPr>
        <w:spacing w:after="160" w:line="360" w:lineRule="auto"/>
        <w:jc w:val="both"/>
        <w:rPr>
          <w:rFonts w:eastAsia="Calibri" w:cs="Calibri"/>
          <w:sz w:val="28"/>
          <w:szCs w:val="28"/>
        </w:rPr>
      </w:pPr>
      <w:r w:rsidRPr="00CA099F">
        <w:rPr>
          <w:rFonts w:eastAsia="Calibri" w:cs="Calibri"/>
          <w:noProof/>
          <w:sz w:val="28"/>
          <w:szCs w:val="28"/>
          <w:lang w:val="ru-RU" w:eastAsia="ru-RU"/>
        </w:rPr>
        <w:drawing>
          <wp:anchor distT="0" distB="0" distL="114300" distR="114300" simplePos="0" relativeHeight="251660288" behindDoc="1" locked="0" layoutInCell="1" allowOverlap="1" wp14:anchorId="0386730C" wp14:editId="57F83DD8">
            <wp:simplePos x="0" y="0"/>
            <wp:positionH relativeFrom="column">
              <wp:posOffset>-3810</wp:posOffset>
            </wp:positionH>
            <wp:positionV relativeFrom="paragraph">
              <wp:posOffset>-5080</wp:posOffset>
            </wp:positionV>
            <wp:extent cx="5934075" cy="3952875"/>
            <wp:effectExtent l="0" t="0" r="9525" b="9525"/>
            <wp:wrapNone/>
            <wp:docPr id="6" name="Рисунок 6" descr="P70303-1030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70303-10304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934075" cy="3952875"/>
                    </a:xfrm>
                    <a:prstGeom prst="rect">
                      <a:avLst/>
                    </a:prstGeom>
                    <a:noFill/>
                  </pic:spPr>
                </pic:pic>
              </a:graphicData>
            </a:graphic>
          </wp:anchor>
        </w:drawing>
      </w:r>
    </w:p>
    <w:p w:rsidR="0030517B" w:rsidRPr="00CA099F" w:rsidRDefault="0030517B" w:rsidP="0030517B">
      <w:pPr>
        <w:spacing w:after="160" w:line="360" w:lineRule="auto"/>
        <w:jc w:val="both"/>
        <w:rPr>
          <w:rFonts w:eastAsia="Calibri" w:cs="Calibri"/>
          <w:sz w:val="28"/>
          <w:szCs w:val="28"/>
        </w:rPr>
      </w:pPr>
    </w:p>
    <w:p w:rsidR="0030517B" w:rsidRPr="00CA099F" w:rsidRDefault="0030517B" w:rsidP="0030517B">
      <w:pPr>
        <w:spacing w:after="160" w:line="360" w:lineRule="auto"/>
        <w:jc w:val="both"/>
        <w:rPr>
          <w:rFonts w:eastAsia="Calibri" w:cs="Calibri"/>
          <w:sz w:val="28"/>
          <w:szCs w:val="28"/>
        </w:rPr>
      </w:pPr>
    </w:p>
    <w:p w:rsidR="0030517B" w:rsidRPr="00CA099F" w:rsidRDefault="0030517B" w:rsidP="0030517B">
      <w:pPr>
        <w:spacing w:after="160" w:line="360" w:lineRule="auto"/>
        <w:jc w:val="both"/>
        <w:rPr>
          <w:rFonts w:eastAsia="Calibri" w:cs="Calibri"/>
          <w:sz w:val="28"/>
          <w:szCs w:val="28"/>
        </w:rPr>
      </w:pPr>
    </w:p>
    <w:p w:rsidR="0030517B" w:rsidRPr="00CA099F" w:rsidRDefault="0030517B" w:rsidP="0030517B">
      <w:pPr>
        <w:spacing w:after="160" w:line="360" w:lineRule="auto"/>
        <w:jc w:val="both"/>
        <w:rPr>
          <w:rFonts w:eastAsia="Calibri" w:cs="Calibri"/>
          <w:sz w:val="28"/>
          <w:szCs w:val="28"/>
        </w:rPr>
      </w:pPr>
    </w:p>
    <w:p w:rsidR="0030517B" w:rsidRPr="00CA099F" w:rsidRDefault="0030517B" w:rsidP="0030517B">
      <w:pPr>
        <w:spacing w:after="160" w:line="360" w:lineRule="auto"/>
        <w:jc w:val="both"/>
        <w:rPr>
          <w:rFonts w:eastAsia="Calibri" w:cs="Calibri"/>
          <w:sz w:val="28"/>
          <w:szCs w:val="28"/>
        </w:rPr>
      </w:pPr>
    </w:p>
    <w:p w:rsidR="0030517B" w:rsidRPr="00CA099F" w:rsidRDefault="0030517B" w:rsidP="0030517B">
      <w:pPr>
        <w:spacing w:after="160" w:line="360" w:lineRule="auto"/>
        <w:jc w:val="both"/>
        <w:rPr>
          <w:rFonts w:eastAsia="Calibri" w:cs="Calibri"/>
          <w:sz w:val="28"/>
          <w:szCs w:val="28"/>
        </w:rPr>
      </w:pPr>
    </w:p>
    <w:p w:rsidR="0030517B" w:rsidRPr="00CA099F" w:rsidRDefault="0030517B" w:rsidP="0030517B">
      <w:pPr>
        <w:spacing w:after="160" w:line="360" w:lineRule="auto"/>
        <w:jc w:val="both"/>
        <w:rPr>
          <w:rFonts w:eastAsia="Calibri" w:cs="Calibri"/>
          <w:sz w:val="28"/>
          <w:szCs w:val="28"/>
        </w:rPr>
      </w:pPr>
    </w:p>
    <w:p w:rsidR="0030517B" w:rsidRPr="00CA099F" w:rsidRDefault="0030517B" w:rsidP="0030517B">
      <w:pPr>
        <w:spacing w:after="160" w:line="360" w:lineRule="auto"/>
        <w:jc w:val="both"/>
        <w:rPr>
          <w:rFonts w:eastAsia="Calibri" w:cs="Calibri"/>
          <w:sz w:val="28"/>
          <w:szCs w:val="28"/>
        </w:rPr>
      </w:pPr>
    </w:p>
    <w:p w:rsidR="0030517B" w:rsidRPr="00CA099F" w:rsidRDefault="0030517B" w:rsidP="0030517B">
      <w:pPr>
        <w:spacing w:after="160" w:line="360" w:lineRule="auto"/>
        <w:jc w:val="both"/>
        <w:rPr>
          <w:rFonts w:eastAsia="Calibri" w:cs="Calibri"/>
          <w:sz w:val="28"/>
          <w:szCs w:val="28"/>
        </w:rPr>
      </w:pPr>
    </w:p>
    <w:p w:rsidR="0030517B" w:rsidRDefault="003652BC" w:rsidP="0030517B">
      <w:pPr>
        <w:spacing w:after="160" w:line="360" w:lineRule="auto"/>
        <w:ind w:firstLine="708"/>
        <w:jc w:val="both"/>
        <w:rPr>
          <w:rFonts w:eastAsia="Calibri" w:cs="Calibri"/>
          <w:sz w:val="28"/>
          <w:szCs w:val="28"/>
        </w:rPr>
      </w:pPr>
      <w:r>
        <w:rPr>
          <w:rFonts w:eastAsia="Calibri" w:cs="Calibri"/>
          <w:sz w:val="28"/>
          <w:szCs w:val="28"/>
        </w:rPr>
        <w:t>Рис. 3.2 Етапи в</w:t>
      </w:r>
      <w:r w:rsidR="0030517B" w:rsidRPr="00CA099F">
        <w:rPr>
          <w:rFonts w:eastAsia="Calibri" w:cs="Calibri"/>
          <w:sz w:val="28"/>
          <w:szCs w:val="28"/>
        </w:rPr>
        <w:t xml:space="preserve">ведення </w:t>
      </w:r>
      <w:r w:rsidR="0030517B" w:rsidRPr="00CA099F">
        <w:rPr>
          <w:rFonts w:eastAsia="Calibri" w:cs="Calibri"/>
          <w:sz w:val="28"/>
          <w:szCs w:val="28"/>
          <w:lang w:val="en-US"/>
        </w:rPr>
        <w:t>A</w:t>
      </w:r>
      <w:r w:rsidR="0030517B" w:rsidRPr="00CA099F">
        <w:rPr>
          <w:rFonts w:eastAsia="Calibri" w:cs="Calibri"/>
          <w:sz w:val="28"/>
          <w:szCs w:val="28"/>
        </w:rPr>
        <w:t>-</w:t>
      </w:r>
      <w:r w:rsidR="0030517B" w:rsidRPr="00CA099F">
        <w:rPr>
          <w:rFonts w:eastAsia="Calibri" w:cs="Calibri"/>
          <w:sz w:val="28"/>
          <w:szCs w:val="28"/>
          <w:lang w:val="en-US"/>
        </w:rPr>
        <w:t>PRF</w:t>
      </w:r>
      <w:r w:rsidR="0030517B" w:rsidRPr="00CA099F">
        <w:rPr>
          <w:rFonts w:eastAsia="Calibri" w:cs="Calibri"/>
          <w:sz w:val="28"/>
          <w:szCs w:val="28"/>
        </w:rPr>
        <w:t xml:space="preserve"> мембрани в глибокі шари </w:t>
      </w:r>
      <w:r>
        <w:rPr>
          <w:rFonts w:eastAsia="Calibri" w:cs="Calibri"/>
          <w:sz w:val="28"/>
          <w:szCs w:val="28"/>
        </w:rPr>
        <w:t>раньового каналу під час</w:t>
      </w:r>
      <w:r w:rsidR="0030517B" w:rsidRPr="00CA099F">
        <w:rPr>
          <w:rFonts w:eastAsia="Calibri" w:cs="Calibri"/>
          <w:sz w:val="28"/>
          <w:szCs w:val="28"/>
        </w:rPr>
        <w:t xml:space="preserve"> оперативного втручання.</w:t>
      </w:r>
    </w:p>
    <w:p w:rsidR="00666948" w:rsidRPr="00CA099F" w:rsidRDefault="00666948" w:rsidP="00666948">
      <w:pPr>
        <w:spacing w:after="160" w:line="360" w:lineRule="auto"/>
        <w:ind w:firstLine="709"/>
        <w:jc w:val="both"/>
        <w:rPr>
          <w:rFonts w:eastAsia="Calibri" w:cs="Calibri"/>
          <w:sz w:val="28"/>
          <w:szCs w:val="28"/>
        </w:rPr>
      </w:pPr>
      <w:r w:rsidRPr="00CA099F">
        <w:rPr>
          <w:rFonts w:eastAsia="Calibri" w:cs="Calibri"/>
          <w:sz w:val="28"/>
          <w:szCs w:val="28"/>
        </w:rPr>
        <w:lastRenderedPageBreak/>
        <w:t xml:space="preserve">У випадку з серединними кістами </w:t>
      </w:r>
      <w:r>
        <w:rPr>
          <w:rFonts w:eastAsia="Calibri" w:cs="Calibri"/>
          <w:sz w:val="28"/>
          <w:szCs w:val="28"/>
        </w:rPr>
        <w:t>мембрани вводилися в порожнину, що утворювалася після</w:t>
      </w:r>
      <w:r w:rsidRPr="00CA099F">
        <w:rPr>
          <w:rFonts w:eastAsia="Calibri" w:cs="Calibri"/>
          <w:sz w:val="28"/>
          <w:szCs w:val="28"/>
        </w:rPr>
        <w:t xml:space="preserve"> резекції під’язикової кістки, а при екстирпації бічних – в ділянку судинно-нервового пучка шиї, після чого проводилось пошарове ушивання тканин до підшкірно-жирової клітковини. Друга мембрана поміщувалась безпосередньо під гіподерму, після чого відшаровані краї рани наближувалися та ушивалися (рис. 3.3). </w:t>
      </w:r>
    </w:p>
    <w:p w:rsidR="00666948" w:rsidRPr="00CA099F" w:rsidRDefault="00666948" w:rsidP="00666948">
      <w:pPr>
        <w:spacing w:after="160" w:line="360" w:lineRule="auto"/>
        <w:ind w:firstLine="709"/>
        <w:jc w:val="both"/>
        <w:rPr>
          <w:rFonts w:eastAsia="Calibri" w:cs="Calibri"/>
          <w:sz w:val="28"/>
          <w:szCs w:val="28"/>
        </w:rPr>
      </w:pPr>
      <w:r w:rsidRPr="00CA099F">
        <w:rPr>
          <w:rFonts w:eastAsia="Calibri" w:cs="Calibri"/>
          <w:sz w:val="28"/>
          <w:szCs w:val="28"/>
        </w:rPr>
        <w:t xml:space="preserve">Наявність двох отримання </w:t>
      </w:r>
      <w:r w:rsidRPr="00CA099F">
        <w:rPr>
          <w:rFonts w:eastAsia="Calibri" w:cs="Calibri"/>
          <w:sz w:val="28"/>
          <w:szCs w:val="28"/>
          <w:lang w:val="en-US"/>
        </w:rPr>
        <w:t>A</w:t>
      </w:r>
      <w:r w:rsidRPr="00CA099F">
        <w:rPr>
          <w:rFonts w:eastAsia="Calibri" w:cs="Calibri"/>
          <w:sz w:val="28"/>
          <w:szCs w:val="28"/>
        </w:rPr>
        <w:t>-</w:t>
      </w:r>
      <w:r w:rsidRPr="00CA099F">
        <w:rPr>
          <w:rFonts w:eastAsia="Calibri" w:cs="Calibri"/>
          <w:sz w:val="28"/>
          <w:szCs w:val="28"/>
          <w:lang w:val="en-US"/>
        </w:rPr>
        <w:t>PRF</w:t>
      </w:r>
      <w:r w:rsidRPr="00CA099F">
        <w:rPr>
          <w:rFonts w:eastAsia="Calibri" w:cs="Calibri"/>
          <w:sz w:val="28"/>
          <w:szCs w:val="28"/>
        </w:rPr>
        <w:t xml:space="preserve"> мембран пришвидшує мікротромбоцитарний гемостаз та суттєво скорочує терміни ушивання рани.</w:t>
      </w:r>
    </w:p>
    <w:p w:rsidR="00666948" w:rsidRDefault="00666948" w:rsidP="0030517B">
      <w:pPr>
        <w:spacing w:after="160" w:line="360" w:lineRule="auto"/>
        <w:ind w:firstLine="708"/>
        <w:jc w:val="both"/>
        <w:rPr>
          <w:rFonts w:eastAsia="Calibri" w:cs="Calibri"/>
          <w:sz w:val="28"/>
          <w:szCs w:val="28"/>
        </w:rPr>
      </w:pPr>
      <w:r w:rsidRPr="00CA099F">
        <w:rPr>
          <w:rFonts w:eastAsia="Calibri" w:cs="Calibri"/>
          <w:noProof/>
          <w:sz w:val="28"/>
          <w:szCs w:val="28"/>
          <w:lang w:val="ru-RU" w:eastAsia="ru-RU"/>
        </w:rPr>
        <w:drawing>
          <wp:anchor distT="0" distB="0" distL="114300" distR="114300" simplePos="0" relativeHeight="251661312" behindDoc="1" locked="0" layoutInCell="1" allowOverlap="1" wp14:anchorId="732906F5" wp14:editId="07FCEBF4">
            <wp:simplePos x="0" y="0"/>
            <wp:positionH relativeFrom="column">
              <wp:posOffset>-3810</wp:posOffset>
            </wp:positionH>
            <wp:positionV relativeFrom="paragraph">
              <wp:posOffset>-113030</wp:posOffset>
            </wp:positionV>
            <wp:extent cx="5876925" cy="3926205"/>
            <wp:effectExtent l="0" t="0" r="0" b="0"/>
            <wp:wrapNone/>
            <wp:docPr id="5" name="Рисунок 5" descr="PRF В ПОВЕРХНЕВИХ ШАРА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RF В ПОВЕРХНЕВИХ ШАРАХ"/>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876925" cy="3926205"/>
                    </a:xfrm>
                    <a:prstGeom prst="rect">
                      <a:avLst/>
                    </a:prstGeom>
                    <a:noFill/>
                  </pic:spPr>
                </pic:pic>
              </a:graphicData>
            </a:graphic>
          </wp:anchor>
        </w:drawing>
      </w:r>
    </w:p>
    <w:p w:rsidR="00666948" w:rsidRPr="00CA099F" w:rsidRDefault="00666948" w:rsidP="0030517B">
      <w:pPr>
        <w:spacing w:after="160" w:line="360" w:lineRule="auto"/>
        <w:ind w:firstLine="708"/>
        <w:jc w:val="both"/>
        <w:rPr>
          <w:rFonts w:eastAsia="Calibri" w:cs="Calibri"/>
          <w:sz w:val="28"/>
          <w:szCs w:val="28"/>
        </w:rPr>
      </w:pPr>
    </w:p>
    <w:p w:rsidR="0030517B" w:rsidRPr="00CA099F" w:rsidRDefault="0030517B" w:rsidP="0030517B">
      <w:pPr>
        <w:spacing w:after="160" w:line="360" w:lineRule="auto"/>
        <w:jc w:val="both"/>
        <w:rPr>
          <w:rFonts w:eastAsia="Calibri" w:cs="Calibri"/>
          <w:sz w:val="28"/>
          <w:szCs w:val="28"/>
        </w:rPr>
      </w:pPr>
    </w:p>
    <w:p w:rsidR="0030517B" w:rsidRPr="00CA099F" w:rsidRDefault="0030517B" w:rsidP="0030517B">
      <w:pPr>
        <w:spacing w:after="160" w:line="360" w:lineRule="auto"/>
        <w:jc w:val="both"/>
        <w:rPr>
          <w:rFonts w:eastAsia="Calibri" w:cs="Calibri"/>
          <w:sz w:val="28"/>
          <w:szCs w:val="28"/>
        </w:rPr>
      </w:pPr>
    </w:p>
    <w:p w:rsidR="0030517B" w:rsidRPr="00CA099F" w:rsidRDefault="0030517B" w:rsidP="0030517B">
      <w:pPr>
        <w:spacing w:after="160" w:line="360" w:lineRule="auto"/>
        <w:jc w:val="both"/>
        <w:rPr>
          <w:rFonts w:eastAsia="Calibri" w:cs="Calibri"/>
          <w:sz w:val="28"/>
          <w:szCs w:val="28"/>
        </w:rPr>
      </w:pPr>
    </w:p>
    <w:p w:rsidR="0030517B" w:rsidRPr="00CA099F" w:rsidRDefault="0030517B" w:rsidP="0030517B">
      <w:pPr>
        <w:spacing w:after="160" w:line="360" w:lineRule="auto"/>
        <w:jc w:val="both"/>
        <w:rPr>
          <w:rFonts w:eastAsia="Calibri" w:cs="Calibri"/>
          <w:sz w:val="28"/>
          <w:szCs w:val="28"/>
        </w:rPr>
      </w:pPr>
    </w:p>
    <w:p w:rsidR="0030517B" w:rsidRPr="00CA099F" w:rsidRDefault="0030517B" w:rsidP="0030517B">
      <w:pPr>
        <w:spacing w:after="160" w:line="360" w:lineRule="auto"/>
        <w:jc w:val="both"/>
        <w:rPr>
          <w:rFonts w:eastAsia="Calibri" w:cs="Calibri"/>
          <w:sz w:val="28"/>
          <w:szCs w:val="28"/>
        </w:rPr>
      </w:pPr>
    </w:p>
    <w:p w:rsidR="0030517B" w:rsidRPr="00CA099F" w:rsidRDefault="0030517B" w:rsidP="0030517B">
      <w:pPr>
        <w:spacing w:after="160" w:line="360" w:lineRule="auto"/>
        <w:jc w:val="both"/>
        <w:rPr>
          <w:rFonts w:eastAsia="Calibri" w:cs="Calibri"/>
          <w:sz w:val="28"/>
          <w:szCs w:val="28"/>
        </w:rPr>
      </w:pPr>
    </w:p>
    <w:p w:rsidR="0030517B" w:rsidRPr="00CA099F" w:rsidRDefault="0030517B" w:rsidP="0030517B">
      <w:pPr>
        <w:spacing w:after="160" w:line="360" w:lineRule="auto"/>
        <w:jc w:val="both"/>
        <w:rPr>
          <w:rFonts w:eastAsia="Calibri" w:cs="Calibri"/>
          <w:sz w:val="28"/>
          <w:szCs w:val="28"/>
        </w:rPr>
      </w:pPr>
    </w:p>
    <w:p w:rsidR="0030517B" w:rsidRPr="00CA099F" w:rsidRDefault="0030517B" w:rsidP="0030517B">
      <w:pPr>
        <w:spacing w:after="160" w:line="360" w:lineRule="auto"/>
        <w:jc w:val="both"/>
        <w:rPr>
          <w:rFonts w:eastAsia="Calibri" w:cs="Calibri"/>
          <w:sz w:val="28"/>
          <w:szCs w:val="28"/>
        </w:rPr>
      </w:pPr>
    </w:p>
    <w:p w:rsidR="0030517B" w:rsidRDefault="003652BC" w:rsidP="0030517B">
      <w:pPr>
        <w:spacing w:after="160" w:line="360" w:lineRule="auto"/>
        <w:ind w:firstLine="708"/>
        <w:jc w:val="both"/>
        <w:rPr>
          <w:rFonts w:eastAsia="Calibri" w:cs="Calibri"/>
          <w:sz w:val="28"/>
          <w:szCs w:val="28"/>
        </w:rPr>
      </w:pPr>
      <w:r>
        <w:rPr>
          <w:rFonts w:eastAsia="Calibri" w:cs="Calibri"/>
          <w:sz w:val="28"/>
          <w:szCs w:val="28"/>
        </w:rPr>
        <w:t>Рис. 3.3 Етапи в</w:t>
      </w:r>
      <w:r w:rsidR="0030517B" w:rsidRPr="00CA099F">
        <w:rPr>
          <w:rFonts w:eastAsia="Calibri" w:cs="Calibri"/>
          <w:sz w:val="28"/>
          <w:szCs w:val="28"/>
        </w:rPr>
        <w:t xml:space="preserve">ведення </w:t>
      </w:r>
      <w:r w:rsidR="0030517B" w:rsidRPr="00CA099F">
        <w:rPr>
          <w:rFonts w:eastAsia="Calibri" w:cs="Calibri"/>
          <w:sz w:val="28"/>
          <w:szCs w:val="28"/>
          <w:lang w:val="en-US"/>
        </w:rPr>
        <w:t>A</w:t>
      </w:r>
      <w:r w:rsidR="0030517B" w:rsidRPr="00CA099F">
        <w:rPr>
          <w:rFonts w:eastAsia="Calibri" w:cs="Calibri"/>
          <w:sz w:val="28"/>
          <w:szCs w:val="28"/>
        </w:rPr>
        <w:t>-</w:t>
      </w:r>
      <w:r w:rsidR="0030517B" w:rsidRPr="00CA099F">
        <w:rPr>
          <w:rFonts w:eastAsia="Calibri" w:cs="Calibri"/>
          <w:sz w:val="28"/>
          <w:szCs w:val="28"/>
          <w:lang w:val="en-US"/>
        </w:rPr>
        <w:t>PRF</w:t>
      </w:r>
      <w:r w:rsidR="0030517B" w:rsidRPr="00CA099F">
        <w:rPr>
          <w:rFonts w:eastAsia="Calibri" w:cs="Calibri"/>
          <w:sz w:val="28"/>
          <w:szCs w:val="28"/>
        </w:rPr>
        <w:t xml:space="preserve"> мембрани в поверхневі шари </w:t>
      </w:r>
      <w:r>
        <w:rPr>
          <w:rFonts w:eastAsia="Calibri" w:cs="Calibri"/>
          <w:sz w:val="28"/>
          <w:szCs w:val="28"/>
        </w:rPr>
        <w:t>раньового каналу під час оперативного втручання.</w:t>
      </w:r>
    </w:p>
    <w:p w:rsidR="00666948" w:rsidRPr="00CA099F" w:rsidRDefault="00666948" w:rsidP="0030517B">
      <w:pPr>
        <w:spacing w:after="160" w:line="360" w:lineRule="auto"/>
        <w:ind w:firstLine="708"/>
        <w:jc w:val="both"/>
        <w:rPr>
          <w:rFonts w:eastAsia="Calibri" w:cs="Calibri"/>
          <w:sz w:val="28"/>
          <w:szCs w:val="28"/>
        </w:rPr>
      </w:pPr>
    </w:p>
    <w:p w:rsidR="0030517B" w:rsidRPr="00CA099F" w:rsidRDefault="0030517B" w:rsidP="0030517B">
      <w:pPr>
        <w:spacing w:after="160" w:line="360" w:lineRule="auto"/>
        <w:ind w:firstLine="709"/>
        <w:jc w:val="both"/>
        <w:rPr>
          <w:rFonts w:eastAsia="Calibri" w:cs="Calibri"/>
          <w:sz w:val="28"/>
          <w:szCs w:val="28"/>
        </w:rPr>
      </w:pPr>
      <w:r w:rsidRPr="00CA099F">
        <w:rPr>
          <w:rFonts w:eastAsia="Calibri" w:cs="Calibri"/>
          <w:sz w:val="28"/>
          <w:szCs w:val="28"/>
        </w:rPr>
        <w:t>Для клінічної оцінки запропонованих інтра- та пост-операційних методів профілактики нами використан</w:t>
      </w:r>
      <w:r w:rsidR="002D5AE2">
        <w:rPr>
          <w:rFonts w:eastAsia="Calibri" w:cs="Calibri"/>
          <w:sz w:val="28"/>
          <w:szCs w:val="28"/>
          <w:lang w:val="ru-RU"/>
        </w:rPr>
        <w:t>а</w:t>
      </w:r>
      <w:r w:rsidRPr="00CA099F">
        <w:rPr>
          <w:rFonts w:eastAsia="Calibri" w:cs="Calibri"/>
          <w:sz w:val="28"/>
          <w:szCs w:val="28"/>
        </w:rPr>
        <w:t xml:space="preserve"> стандартизована схема оцінки якості рубцевозмінених тканин [139, 140]. Ця схема складається з табличних даних </w:t>
      </w:r>
      <w:r w:rsidRPr="00CA099F">
        <w:rPr>
          <w:rFonts w:eastAsia="Calibri" w:cs="Calibri"/>
          <w:sz w:val="28"/>
          <w:szCs w:val="28"/>
        </w:rPr>
        <w:lastRenderedPageBreak/>
        <w:t>що надають візуальну та суб’єктивну характеристику рубця за наступними параметрами:</w:t>
      </w:r>
    </w:p>
    <w:p w:rsidR="0030517B" w:rsidRPr="00CA099F" w:rsidRDefault="0030517B" w:rsidP="0030517B">
      <w:pPr>
        <w:numPr>
          <w:ilvl w:val="0"/>
          <w:numId w:val="11"/>
        </w:numPr>
        <w:spacing w:after="160" w:line="360" w:lineRule="auto"/>
        <w:contextualSpacing/>
        <w:jc w:val="both"/>
        <w:rPr>
          <w:rFonts w:eastAsia="Calibri" w:cs="Calibri"/>
          <w:sz w:val="28"/>
          <w:szCs w:val="28"/>
        </w:rPr>
      </w:pPr>
      <w:r w:rsidRPr="00CA099F">
        <w:rPr>
          <w:rFonts w:eastAsia="Calibri" w:cs="Calibri"/>
          <w:sz w:val="28"/>
          <w:szCs w:val="28"/>
        </w:rPr>
        <w:t>П1 – тип рубця;</w:t>
      </w:r>
    </w:p>
    <w:p w:rsidR="0030517B" w:rsidRPr="00CA099F" w:rsidRDefault="0030517B" w:rsidP="0030517B">
      <w:pPr>
        <w:numPr>
          <w:ilvl w:val="0"/>
          <w:numId w:val="11"/>
        </w:numPr>
        <w:spacing w:after="160" w:line="360" w:lineRule="auto"/>
        <w:contextualSpacing/>
        <w:jc w:val="both"/>
        <w:rPr>
          <w:rFonts w:eastAsia="Calibri" w:cs="Calibri"/>
          <w:sz w:val="28"/>
          <w:szCs w:val="28"/>
        </w:rPr>
      </w:pPr>
      <w:r w:rsidRPr="00CA099F">
        <w:rPr>
          <w:rFonts w:eastAsia="Calibri" w:cs="Calibri"/>
          <w:sz w:val="28"/>
          <w:szCs w:val="28"/>
        </w:rPr>
        <w:t>П2 – консистенція рубця;</w:t>
      </w:r>
    </w:p>
    <w:p w:rsidR="0030517B" w:rsidRPr="00CA099F" w:rsidRDefault="0030517B" w:rsidP="0030517B">
      <w:pPr>
        <w:numPr>
          <w:ilvl w:val="0"/>
          <w:numId w:val="11"/>
        </w:numPr>
        <w:spacing w:after="160" w:line="360" w:lineRule="auto"/>
        <w:contextualSpacing/>
        <w:jc w:val="both"/>
        <w:rPr>
          <w:rFonts w:eastAsia="Calibri" w:cs="Calibri"/>
          <w:sz w:val="28"/>
          <w:szCs w:val="28"/>
        </w:rPr>
      </w:pPr>
      <w:r w:rsidRPr="00CA099F">
        <w:rPr>
          <w:rFonts w:eastAsia="Calibri" w:cs="Calibri"/>
          <w:sz w:val="28"/>
          <w:szCs w:val="28"/>
        </w:rPr>
        <w:t>П3 – колір рубця;</w:t>
      </w:r>
    </w:p>
    <w:p w:rsidR="0030517B" w:rsidRPr="00CA099F" w:rsidRDefault="0030517B" w:rsidP="0030517B">
      <w:pPr>
        <w:numPr>
          <w:ilvl w:val="0"/>
          <w:numId w:val="11"/>
        </w:numPr>
        <w:spacing w:after="160" w:line="360" w:lineRule="auto"/>
        <w:contextualSpacing/>
        <w:jc w:val="both"/>
        <w:rPr>
          <w:rFonts w:eastAsia="Calibri" w:cs="Calibri"/>
          <w:sz w:val="28"/>
          <w:szCs w:val="28"/>
        </w:rPr>
      </w:pPr>
      <w:r w:rsidRPr="00CA099F">
        <w:rPr>
          <w:rFonts w:eastAsia="Calibri" w:cs="Calibri"/>
          <w:sz w:val="28"/>
          <w:szCs w:val="28"/>
        </w:rPr>
        <w:t>П4 – чутливість рубця;</w:t>
      </w:r>
    </w:p>
    <w:p w:rsidR="0030517B" w:rsidRPr="00CA099F" w:rsidRDefault="0030517B" w:rsidP="0030517B">
      <w:pPr>
        <w:numPr>
          <w:ilvl w:val="0"/>
          <w:numId w:val="11"/>
        </w:numPr>
        <w:spacing w:after="160" w:line="360" w:lineRule="auto"/>
        <w:contextualSpacing/>
        <w:jc w:val="both"/>
        <w:rPr>
          <w:rFonts w:eastAsia="Calibri" w:cs="Calibri"/>
          <w:sz w:val="28"/>
          <w:szCs w:val="28"/>
        </w:rPr>
      </w:pPr>
      <w:r w:rsidRPr="00CA099F">
        <w:rPr>
          <w:rFonts w:eastAsia="Calibri" w:cs="Calibri"/>
          <w:sz w:val="28"/>
          <w:szCs w:val="28"/>
        </w:rPr>
        <w:t>П5 – площа рубця.</w:t>
      </w:r>
    </w:p>
    <w:p w:rsidR="0030517B" w:rsidRPr="00CA099F" w:rsidRDefault="0030517B" w:rsidP="0030517B">
      <w:pPr>
        <w:spacing w:after="160" w:line="360" w:lineRule="auto"/>
        <w:ind w:firstLine="709"/>
        <w:jc w:val="both"/>
        <w:rPr>
          <w:rFonts w:eastAsia="Calibri" w:cs="Calibri"/>
          <w:sz w:val="28"/>
          <w:szCs w:val="28"/>
        </w:rPr>
      </w:pPr>
      <w:r w:rsidRPr="00CA099F">
        <w:rPr>
          <w:rFonts w:eastAsia="Calibri" w:cs="Calibri"/>
          <w:sz w:val="28"/>
          <w:szCs w:val="28"/>
        </w:rPr>
        <w:t>Після сумування кількості балів за якими оцінювався кожен параметр (див. розділ 2) за їх загальною сумою оцінювалось якість проведеного методу профілактики.</w:t>
      </w:r>
    </w:p>
    <w:p w:rsidR="0030517B" w:rsidRPr="00CA099F" w:rsidRDefault="0030517B" w:rsidP="0030517B">
      <w:pPr>
        <w:spacing w:after="160" w:line="360" w:lineRule="auto"/>
        <w:ind w:left="720"/>
        <w:contextualSpacing/>
        <w:jc w:val="both"/>
        <w:rPr>
          <w:rFonts w:eastAsia="Calibri" w:cs="Calibri"/>
          <w:sz w:val="28"/>
          <w:szCs w:val="28"/>
        </w:rPr>
      </w:pPr>
    </w:p>
    <w:p w:rsidR="0030517B" w:rsidRPr="00CA099F" w:rsidRDefault="0030517B" w:rsidP="0030517B">
      <w:pPr>
        <w:spacing w:after="160" w:line="360" w:lineRule="auto"/>
        <w:jc w:val="both"/>
        <w:rPr>
          <w:rFonts w:eastAsia="Calibri" w:cs="Calibri"/>
          <w:b/>
          <w:sz w:val="28"/>
          <w:szCs w:val="28"/>
        </w:rPr>
      </w:pPr>
      <w:r w:rsidRPr="00CA099F">
        <w:rPr>
          <w:rFonts w:eastAsia="Calibri" w:cs="Calibri"/>
          <w:sz w:val="28"/>
          <w:szCs w:val="28"/>
        </w:rPr>
        <w:tab/>
      </w:r>
      <w:r w:rsidRPr="00CA099F">
        <w:rPr>
          <w:rFonts w:eastAsia="Calibri" w:cs="Calibri"/>
          <w:b/>
          <w:sz w:val="28"/>
          <w:szCs w:val="28"/>
        </w:rPr>
        <w:t>3.2</w:t>
      </w:r>
      <w:r w:rsidR="002D5AE2">
        <w:rPr>
          <w:rFonts w:eastAsia="Calibri" w:cs="Calibri"/>
          <w:b/>
          <w:sz w:val="28"/>
          <w:szCs w:val="28"/>
        </w:rPr>
        <w:t xml:space="preserve"> </w:t>
      </w:r>
      <w:r w:rsidRPr="00CA099F">
        <w:rPr>
          <w:rFonts w:eastAsia="Calibri" w:cs="Calibri"/>
          <w:b/>
          <w:sz w:val="28"/>
          <w:szCs w:val="28"/>
        </w:rPr>
        <w:t>Зміни клінічних показників рубцевозмінених тканин на 3 місяць післяопераційного періоду</w:t>
      </w:r>
    </w:p>
    <w:p w:rsidR="0030517B" w:rsidRPr="007C4300" w:rsidRDefault="0030517B" w:rsidP="0030517B">
      <w:pPr>
        <w:spacing w:after="160" w:line="360" w:lineRule="auto"/>
        <w:jc w:val="both"/>
        <w:rPr>
          <w:rFonts w:eastAsia="Calibri" w:cs="Calibri"/>
          <w:b/>
          <w:sz w:val="28"/>
          <w:szCs w:val="28"/>
        </w:rPr>
      </w:pPr>
    </w:p>
    <w:p w:rsidR="0030517B" w:rsidRPr="007C4300" w:rsidRDefault="0030517B" w:rsidP="0030517B">
      <w:pPr>
        <w:spacing w:after="160" w:line="360" w:lineRule="auto"/>
        <w:ind w:firstLine="708"/>
        <w:jc w:val="both"/>
        <w:rPr>
          <w:rFonts w:eastAsia="Calibri" w:cs="Calibri"/>
          <w:sz w:val="28"/>
          <w:szCs w:val="28"/>
        </w:rPr>
      </w:pPr>
      <w:r w:rsidRPr="007C4300">
        <w:rPr>
          <w:rFonts w:eastAsia="Calibri" w:cs="Calibri"/>
          <w:sz w:val="28"/>
          <w:szCs w:val="28"/>
        </w:rPr>
        <w:t xml:space="preserve">При вивченні показника П1 – тип рубця у 8 пацієнтів </w:t>
      </w:r>
      <w:r w:rsidR="003652BC" w:rsidRPr="007C4300">
        <w:rPr>
          <w:rFonts w:eastAsia="Calibri" w:cs="Calibri"/>
          <w:sz w:val="28"/>
          <w:szCs w:val="28"/>
        </w:rPr>
        <w:t xml:space="preserve">(40%) </w:t>
      </w:r>
      <w:r w:rsidRPr="007C4300">
        <w:rPr>
          <w:rFonts w:eastAsia="Calibri" w:cs="Calibri"/>
          <w:sz w:val="28"/>
          <w:szCs w:val="28"/>
        </w:rPr>
        <w:t>контрольної групи спостерігався атрофічний рубець, який мав вузликові розростання по периферії, ознаки перетворення на келоїдний рубець було зафіксовано у 2 пацієнтів</w:t>
      </w:r>
      <w:r w:rsidR="003652BC" w:rsidRPr="007C4300">
        <w:rPr>
          <w:rFonts w:eastAsia="Calibri" w:cs="Calibri"/>
          <w:sz w:val="28"/>
          <w:szCs w:val="28"/>
        </w:rPr>
        <w:t xml:space="preserve"> (10%)</w:t>
      </w:r>
      <w:r w:rsidRPr="007C4300">
        <w:rPr>
          <w:rFonts w:eastAsia="Calibri" w:cs="Calibri"/>
          <w:sz w:val="28"/>
          <w:szCs w:val="28"/>
        </w:rPr>
        <w:t xml:space="preserve">. </w:t>
      </w:r>
    </w:p>
    <w:p w:rsidR="0030517B" w:rsidRPr="007C4300" w:rsidRDefault="0030517B" w:rsidP="0030517B">
      <w:pPr>
        <w:spacing w:after="160" w:line="360" w:lineRule="auto"/>
        <w:ind w:firstLine="708"/>
        <w:jc w:val="both"/>
        <w:rPr>
          <w:rFonts w:eastAsia="Calibri" w:cs="Calibri"/>
          <w:sz w:val="28"/>
          <w:szCs w:val="28"/>
        </w:rPr>
      </w:pPr>
      <w:r w:rsidRPr="007C4300">
        <w:rPr>
          <w:rFonts w:eastAsia="Calibri" w:cs="Calibri"/>
          <w:sz w:val="28"/>
          <w:szCs w:val="28"/>
        </w:rPr>
        <w:t>У пацієнтів 1-ї групи структура нормотрофічного рубця була зафіксована у 10 пацієнтів</w:t>
      </w:r>
      <w:r w:rsidR="003652BC" w:rsidRPr="007C4300">
        <w:rPr>
          <w:rFonts w:eastAsia="Calibri" w:cs="Calibri"/>
          <w:sz w:val="28"/>
          <w:szCs w:val="28"/>
        </w:rPr>
        <w:t xml:space="preserve"> (50%)</w:t>
      </w:r>
      <w:r w:rsidRPr="007C4300">
        <w:rPr>
          <w:rFonts w:eastAsia="Calibri" w:cs="Calibri"/>
          <w:sz w:val="28"/>
          <w:szCs w:val="28"/>
        </w:rPr>
        <w:t xml:space="preserve">. У 5 пацієнтів </w:t>
      </w:r>
      <w:r w:rsidR="003652BC" w:rsidRPr="007C4300">
        <w:rPr>
          <w:rFonts w:eastAsia="Calibri" w:cs="Calibri"/>
          <w:sz w:val="28"/>
          <w:szCs w:val="28"/>
        </w:rPr>
        <w:t xml:space="preserve">(25%) </w:t>
      </w:r>
      <w:r w:rsidRPr="007C4300">
        <w:rPr>
          <w:rFonts w:eastAsia="Calibri" w:cs="Calibri"/>
          <w:sz w:val="28"/>
          <w:szCs w:val="28"/>
        </w:rPr>
        <w:t>цієї групи нами зафіксовано атрофічні рубцевозмінені тканини (у 3-х пацієнті</w:t>
      </w:r>
      <w:r w:rsidR="00C474A5" w:rsidRPr="007C4300">
        <w:rPr>
          <w:rFonts w:eastAsia="Calibri" w:cs="Calibri"/>
          <w:sz w:val="28"/>
          <w:szCs w:val="28"/>
        </w:rPr>
        <w:t>в</w:t>
      </w:r>
      <w:r w:rsidRPr="007C4300">
        <w:rPr>
          <w:rFonts w:eastAsia="Calibri" w:cs="Calibri"/>
          <w:sz w:val="28"/>
          <w:szCs w:val="28"/>
        </w:rPr>
        <w:t xml:space="preserve"> </w:t>
      </w:r>
      <w:r w:rsidR="007C4300" w:rsidRPr="007C4300">
        <w:rPr>
          <w:rFonts w:eastAsia="Calibri" w:cs="Calibri"/>
          <w:sz w:val="28"/>
          <w:szCs w:val="28"/>
        </w:rPr>
        <w:t xml:space="preserve">(15%) </w:t>
      </w:r>
      <w:r w:rsidRPr="007C4300">
        <w:rPr>
          <w:rFonts w:eastAsia="Calibri" w:cs="Calibri"/>
          <w:sz w:val="28"/>
          <w:szCs w:val="28"/>
        </w:rPr>
        <w:t>з гомогенною структурою). Вірогідність утворення гіпертрофічного рубця спостерігалося у 4 пацієнтів</w:t>
      </w:r>
      <w:r w:rsidR="003652BC" w:rsidRPr="007C4300">
        <w:rPr>
          <w:rFonts w:eastAsia="Calibri" w:cs="Calibri"/>
          <w:sz w:val="28"/>
          <w:szCs w:val="28"/>
        </w:rPr>
        <w:t xml:space="preserve"> (20%) і у 1 (5%) пацієнта виявлені вузликові</w:t>
      </w:r>
      <w:r w:rsidRPr="007C4300">
        <w:rPr>
          <w:rFonts w:eastAsia="Calibri" w:cs="Calibri"/>
          <w:sz w:val="28"/>
          <w:szCs w:val="28"/>
        </w:rPr>
        <w:t xml:space="preserve"> </w:t>
      </w:r>
      <w:r w:rsidR="003652BC" w:rsidRPr="007C4300">
        <w:rPr>
          <w:rFonts w:eastAsia="Calibri" w:cs="Calibri"/>
          <w:sz w:val="28"/>
          <w:szCs w:val="28"/>
        </w:rPr>
        <w:t>розростання</w:t>
      </w:r>
      <w:r w:rsidRPr="007C4300">
        <w:rPr>
          <w:rFonts w:eastAsia="Calibri" w:cs="Calibri"/>
          <w:sz w:val="28"/>
          <w:szCs w:val="28"/>
        </w:rPr>
        <w:t>. Ознак келоїдизації рубцевозмінених тканин нами не виявлено.</w:t>
      </w:r>
    </w:p>
    <w:p w:rsidR="0030517B" w:rsidRPr="007C4300" w:rsidRDefault="0030517B" w:rsidP="0030517B">
      <w:pPr>
        <w:spacing w:after="160" w:line="360" w:lineRule="auto"/>
        <w:ind w:firstLine="708"/>
        <w:jc w:val="both"/>
        <w:rPr>
          <w:rFonts w:eastAsia="Calibri" w:cs="Calibri"/>
          <w:sz w:val="28"/>
          <w:szCs w:val="28"/>
        </w:rPr>
      </w:pPr>
      <w:r w:rsidRPr="007C4300">
        <w:rPr>
          <w:rFonts w:eastAsia="Calibri" w:cs="Calibri"/>
          <w:sz w:val="28"/>
          <w:szCs w:val="28"/>
        </w:rPr>
        <w:t>При дослідженні цього показника у пацієнтів 2-ї групи вірогідність утворення нормотрофічного рубця встановлено у 14 пацієнтів</w:t>
      </w:r>
      <w:r w:rsidR="007C4300">
        <w:rPr>
          <w:rFonts w:eastAsia="Calibri" w:cs="Calibri"/>
          <w:sz w:val="28"/>
          <w:szCs w:val="28"/>
          <w:lang w:val="ru-RU"/>
        </w:rPr>
        <w:t xml:space="preserve"> </w:t>
      </w:r>
      <w:r w:rsidR="007C4300" w:rsidRPr="007C4300">
        <w:rPr>
          <w:rFonts w:eastAsia="Calibri" w:cs="Calibri"/>
          <w:sz w:val="28"/>
          <w:szCs w:val="28"/>
        </w:rPr>
        <w:t>(70%)</w:t>
      </w:r>
      <w:r w:rsidRPr="007C4300">
        <w:rPr>
          <w:rFonts w:eastAsia="Calibri" w:cs="Calibri"/>
          <w:sz w:val="28"/>
          <w:szCs w:val="28"/>
        </w:rPr>
        <w:t>. Атрофічні рубцевозмінені тканини нами були зафіксовані у 3 пацієнтів</w:t>
      </w:r>
      <w:r w:rsidR="004778B3" w:rsidRPr="004778B3">
        <w:rPr>
          <w:rFonts w:eastAsia="Calibri" w:cs="Calibri"/>
          <w:sz w:val="28"/>
          <w:szCs w:val="28"/>
        </w:rPr>
        <w:t xml:space="preserve"> </w:t>
      </w:r>
      <w:r w:rsidR="007C4300" w:rsidRPr="007C4300">
        <w:rPr>
          <w:rFonts w:eastAsia="Calibri" w:cs="Calibri"/>
          <w:sz w:val="28"/>
          <w:szCs w:val="28"/>
        </w:rPr>
        <w:t>(15%)</w:t>
      </w:r>
      <w:r w:rsidRPr="007C4300">
        <w:rPr>
          <w:rFonts w:eastAsia="Calibri" w:cs="Calibri"/>
          <w:sz w:val="28"/>
          <w:szCs w:val="28"/>
        </w:rPr>
        <w:t xml:space="preserve">, і лише в 1-ого (5%) з вірогідними вузликовими розростаннями в ділянці </w:t>
      </w:r>
      <w:r w:rsidRPr="007C4300">
        <w:rPr>
          <w:rFonts w:eastAsia="Calibri" w:cs="Calibri"/>
          <w:sz w:val="28"/>
          <w:szCs w:val="28"/>
        </w:rPr>
        <w:lastRenderedPageBreak/>
        <w:t xml:space="preserve">латерального краю рубця. Ознак келоїдизації рубцевозмінених тканин також не виявлено, але при цьому у 2 пацієнтів </w:t>
      </w:r>
      <w:r w:rsidR="007C4300" w:rsidRPr="007C4300">
        <w:rPr>
          <w:rFonts w:eastAsia="Calibri" w:cs="Calibri"/>
          <w:sz w:val="28"/>
          <w:szCs w:val="28"/>
        </w:rPr>
        <w:t xml:space="preserve">(10%) </w:t>
      </w:r>
      <w:r w:rsidRPr="007C4300">
        <w:rPr>
          <w:rFonts w:eastAsia="Calibri" w:cs="Calibri"/>
          <w:sz w:val="28"/>
          <w:szCs w:val="28"/>
        </w:rPr>
        <w:t>встановлено утворення гіпертрофічного рубця.</w:t>
      </w:r>
    </w:p>
    <w:p w:rsidR="0030517B" w:rsidRPr="007C4300" w:rsidRDefault="0030517B" w:rsidP="0030517B">
      <w:pPr>
        <w:spacing w:after="160" w:line="360" w:lineRule="auto"/>
        <w:ind w:firstLine="708"/>
        <w:jc w:val="both"/>
        <w:rPr>
          <w:rFonts w:eastAsia="Calibri" w:cs="Calibri"/>
          <w:sz w:val="28"/>
          <w:szCs w:val="28"/>
        </w:rPr>
      </w:pPr>
      <w:r w:rsidRPr="007C4300">
        <w:rPr>
          <w:rFonts w:eastAsia="Calibri" w:cs="Calibri"/>
          <w:sz w:val="28"/>
          <w:szCs w:val="28"/>
        </w:rPr>
        <w:t xml:space="preserve">При аналізі якісних змін показника П2 на 3 місяць післяопераційного періоду встановлено що у 8 пацієнтів </w:t>
      </w:r>
      <w:r w:rsidR="004778B3" w:rsidRPr="007C4300">
        <w:rPr>
          <w:rFonts w:eastAsia="Calibri" w:cs="Calibri"/>
          <w:sz w:val="28"/>
          <w:szCs w:val="28"/>
        </w:rPr>
        <w:t xml:space="preserve">(40%) </w:t>
      </w:r>
      <w:r w:rsidRPr="007C4300">
        <w:rPr>
          <w:rFonts w:eastAsia="Calibri" w:cs="Calibri"/>
          <w:sz w:val="28"/>
          <w:szCs w:val="28"/>
        </w:rPr>
        <w:t xml:space="preserve">контрольної групи рубцевозмінені тканини при пальпації визначалися як тканини нормальної консистенції, у 9 пацієнтів </w:t>
      </w:r>
      <w:r w:rsidR="004778B3" w:rsidRPr="007C4300">
        <w:rPr>
          <w:rFonts w:eastAsia="Calibri" w:cs="Calibri"/>
          <w:sz w:val="28"/>
          <w:szCs w:val="28"/>
        </w:rPr>
        <w:t xml:space="preserve">(45%) </w:t>
      </w:r>
      <w:r w:rsidRPr="007C4300">
        <w:rPr>
          <w:rFonts w:eastAsia="Calibri" w:cs="Calibri"/>
          <w:sz w:val="28"/>
          <w:szCs w:val="28"/>
        </w:rPr>
        <w:t xml:space="preserve">спостерігалися ущільнення у центральній зоні рубця, а у 2 (10%) – в зоні медіального краю. У 1-ого пацієнта </w:t>
      </w:r>
      <w:r w:rsidR="004778B3" w:rsidRPr="007C4300">
        <w:rPr>
          <w:rFonts w:eastAsia="Calibri" w:cs="Calibri"/>
          <w:sz w:val="28"/>
          <w:szCs w:val="28"/>
        </w:rPr>
        <w:t xml:space="preserve">(5%) </w:t>
      </w:r>
      <w:r w:rsidRPr="007C4300">
        <w:rPr>
          <w:rFonts w:eastAsia="Calibri" w:cs="Calibri"/>
          <w:sz w:val="28"/>
          <w:szCs w:val="28"/>
        </w:rPr>
        <w:t xml:space="preserve">візуалізовано помірну індурацію в центральній зоні рубця. В 1-ій групі </w:t>
      </w:r>
      <w:r w:rsidR="00D96DA9" w:rsidRPr="007C4300">
        <w:rPr>
          <w:rFonts w:eastAsia="Calibri" w:cs="Calibri"/>
          <w:sz w:val="28"/>
          <w:szCs w:val="28"/>
        </w:rPr>
        <w:t>пацієнтів</w:t>
      </w:r>
      <w:r w:rsidRPr="007C4300">
        <w:rPr>
          <w:rFonts w:eastAsia="Calibri" w:cs="Calibri"/>
          <w:sz w:val="28"/>
          <w:szCs w:val="28"/>
        </w:rPr>
        <w:t xml:space="preserve"> слід відзначити що ознаки нормальної кон</w:t>
      </w:r>
      <w:r w:rsidR="00550434" w:rsidRPr="007C4300">
        <w:rPr>
          <w:rFonts w:eastAsia="Calibri" w:cs="Calibri"/>
          <w:sz w:val="28"/>
          <w:szCs w:val="28"/>
        </w:rPr>
        <w:t xml:space="preserve">систенції рубця відзначалися у </w:t>
      </w:r>
      <w:r w:rsidR="00550434" w:rsidRPr="007C4300">
        <w:rPr>
          <w:rFonts w:eastAsia="Calibri" w:cs="Calibri"/>
          <w:sz w:val="28"/>
          <w:szCs w:val="28"/>
          <w:lang w:val="ru-RU"/>
        </w:rPr>
        <w:t>10</w:t>
      </w:r>
      <w:r w:rsidRPr="007C4300">
        <w:rPr>
          <w:rFonts w:eastAsia="Calibri" w:cs="Calibri"/>
          <w:sz w:val="28"/>
          <w:szCs w:val="28"/>
        </w:rPr>
        <w:t xml:space="preserve"> пацієнтів</w:t>
      </w:r>
      <w:r w:rsidR="004778B3">
        <w:rPr>
          <w:rFonts w:eastAsia="Calibri" w:cs="Calibri"/>
          <w:sz w:val="28"/>
          <w:szCs w:val="28"/>
          <w:lang w:val="ru-RU"/>
        </w:rPr>
        <w:t xml:space="preserve"> </w:t>
      </w:r>
      <w:r w:rsidR="004778B3" w:rsidRPr="007C4300">
        <w:rPr>
          <w:rFonts w:eastAsia="Calibri" w:cs="Calibri"/>
          <w:sz w:val="28"/>
          <w:szCs w:val="28"/>
        </w:rPr>
        <w:t>(5</w:t>
      </w:r>
      <w:r w:rsidR="004778B3" w:rsidRPr="007C4300">
        <w:rPr>
          <w:rFonts w:eastAsia="Calibri" w:cs="Calibri"/>
          <w:sz w:val="28"/>
          <w:szCs w:val="28"/>
          <w:lang w:val="ru-RU"/>
        </w:rPr>
        <w:t>0</w:t>
      </w:r>
      <w:r w:rsidR="004778B3" w:rsidRPr="007C4300">
        <w:rPr>
          <w:rFonts w:eastAsia="Calibri" w:cs="Calibri"/>
          <w:sz w:val="28"/>
          <w:szCs w:val="28"/>
        </w:rPr>
        <w:t>%)</w:t>
      </w:r>
      <w:r w:rsidRPr="007C4300">
        <w:rPr>
          <w:rFonts w:eastAsia="Calibri" w:cs="Calibri"/>
          <w:sz w:val="28"/>
          <w:szCs w:val="28"/>
        </w:rPr>
        <w:t xml:space="preserve">, ущільнення в центральній частині у 8 (40%), а в ділянці дистального краю у 1 </w:t>
      </w:r>
      <w:r w:rsidR="004778B3">
        <w:rPr>
          <w:rFonts w:eastAsia="Calibri" w:cs="Calibri"/>
          <w:sz w:val="28"/>
          <w:szCs w:val="28"/>
          <w:lang w:val="ru-RU"/>
        </w:rPr>
        <w:t xml:space="preserve">пацієнта </w:t>
      </w:r>
      <w:r w:rsidRPr="007C4300">
        <w:rPr>
          <w:rFonts w:eastAsia="Calibri" w:cs="Calibri"/>
          <w:sz w:val="28"/>
          <w:szCs w:val="28"/>
        </w:rPr>
        <w:t xml:space="preserve">(5%). Також в 1 випадку </w:t>
      </w:r>
      <w:r w:rsidR="004778B3" w:rsidRPr="007C4300">
        <w:rPr>
          <w:rFonts w:eastAsia="Calibri" w:cs="Calibri"/>
          <w:sz w:val="28"/>
          <w:szCs w:val="28"/>
        </w:rPr>
        <w:t xml:space="preserve">(5%) </w:t>
      </w:r>
      <w:r w:rsidRPr="007C4300">
        <w:rPr>
          <w:rFonts w:eastAsia="Calibri" w:cs="Calibri"/>
          <w:sz w:val="28"/>
          <w:szCs w:val="28"/>
        </w:rPr>
        <w:t xml:space="preserve">зафіксовано явища індурації в центральній зоні рубця. Нормальна консистенція рубцевозмінених тканин в 2-ій групі відзначалася у 12 </w:t>
      </w:r>
      <w:r w:rsidR="00D96DA9" w:rsidRPr="007C4300">
        <w:rPr>
          <w:rFonts w:eastAsia="Calibri" w:cs="Calibri"/>
          <w:sz w:val="28"/>
          <w:szCs w:val="28"/>
        </w:rPr>
        <w:t>пацієнтів</w:t>
      </w:r>
      <w:r w:rsidR="00BE7808">
        <w:rPr>
          <w:rFonts w:eastAsia="Calibri" w:cs="Calibri"/>
          <w:sz w:val="28"/>
          <w:szCs w:val="28"/>
        </w:rPr>
        <w:t xml:space="preserve"> </w:t>
      </w:r>
      <w:r w:rsidR="00BE7808" w:rsidRPr="007C4300">
        <w:rPr>
          <w:rFonts w:eastAsia="Calibri" w:cs="Calibri"/>
          <w:sz w:val="28"/>
          <w:szCs w:val="28"/>
        </w:rPr>
        <w:t>(60%)</w:t>
      </w:r>
      <w:r w:rsidRPr="007C4300">
        <w:rPr>
          <w:rFonts w:eastAsia="Calibri" w:cs="Calibri"/>
          <w:sz w:val="28"/>
          <w:szCs w:val="28"/>
        </w:rPr>
        <w:t xml:space="preserve">. Слід відмітити той факт що осередки ущільнення в центральній частині рубця відзначалася у 6 пацієнтів </w:t>
      </w:r>
      <w:r w:rsidR="00BE7808" w:rsidRPr="007C4300">
        <w:rPr>
          <w:rFonts w:eastAsia="Calibri" w:cs="Calibri"/>
          <w:sz w:val="28"/>
          <w:szCs w:val="28"/>
        </w:rPr>
        <w:t xml:space="preserve">(30%) </w:t>
      </w:r>
      <w:r w:rsidRPr="007C4300">
        <w:rPr>
          <w:rFonts w:eastAsia="Calibri" w:cs="Calibri"/>
          <w:sz w:val="28"/>
          <w:szCs w:val="28"/>
        </w:rPr>
        <w:t xml:space="preserve">та у </w:t>
      </w:r>
      <w:r w:rsidR="00550434" w:rsidRPr="007C4300">
        <w:rPr>
          <w:rFonts w:eastAsia="Calibri" w:cs="Calibri"/>
          <w:sz w:val="28"/>
          <w:szCs w:val="28"/>
          <w:lang w:val="ru-RU"/>
        </w:rPr>
        <w:t>2</w:t>
      </w:r>
      <w:r w:rsidR="00550434" w:rsidRPr="007C4300">
        <w:rPr>
          <w:rFonts w:eastAsia="Calibri" w:cs="Calibri"/>
          <w:sz w:val="28"/>
          <w:szCs w:val="28"/>
        </w:rPr>
        <w:t xml:space="preserve"> (</w:t>
      </w:r>
      <w:r w:rsidR="00550434" w:rsidRPr="007C4300">
        <w:rPr>
          <w:rFonts w:eastAsia="Calibri" w:cs="Calibri"/>
          <w:sz w:val="28"/>
          <w:szCs w:val="28"/>
          <w:lang w:val="ru-RU"/>
        </w:rPr>
        <w:t>10</w:t>
      </w:r>
      <w:r w:rsidRPr="007C4300">
        <w:rPr>
          <w:rFonts w:eastAsia="Calibri" w:cs="Calibri"/>
          <w:sz w:val="28"/>
          <w:szCs w:val="28"/>
        </w:rPr>
        <w:t>%) - в ділянці медіального краю. Ознак індурації, як в центральній так і в периферичних зонах рубця не спостерігалося.</w:t>
      </w:r>
    </w:p>
    <w:p w:rsidR="0030517B" w:rsidRPr="007C4300" w:rsidRDefault="0030517B" w:rsidP="0030517B">
      <w:pPr>
        <w:spacing w:after="160" w:line="360" w:lineRule="auto"/>
        <w:ind w:firstLine="708"/>
        <w:jc w:val="both"/>
        <w:rPr>
          <w:rFonts w:eastAsia="Calibri" w:cs="Calibri"/>
          <w:sz w:val="28"/>
          <w:szCs w:val="28"/>
        </w:rPr>
      </w:pPr>
      <w:r w:rsidRPr="007C4300">
        <w:rPr>
          <w:rFonts w:eastAsia="Calibri" w:cs="Calibri"/>
          <w:sz w:val="28"/>
          <w:szCs w:val="28"/>
        </w:rPr>
        <w:t xml:space="preserve">При дослідженні показника П3 на 3 місяць післяопераційного періоду в контрольній групі </w:t>
      </w:r>
      <w:r w:rsidR="00D96DA9" w:rsidRPr="007C4300">
        <w:rPr>
          <w:rFonts w:eastAsia="Calibri" w:cs="Calibri"/>
          <w:sz w:val="28"/>
          <w:szCs w:val="28"/>
        </w:rPr>
        <w:t>пацієнтів</w:t>
      </w:r>
      <w:r w:rsidRPr="007C4300">
        <w:rPr>
          <w:rFonts w:eastAsia="Calibri" w:cs="Calibri"/>
          <w:sz w:val="28"/>
          <w:szCs w:val="28"/>
        </w:rPr>
        <w:t xml:space="preserve"> ознаки здорової шкіри спостерігалися у </w:t>
      </w:r>
      <w:r w:rsidR="00342FEB" w:rsidRPr="007C4300">
        <w:rPr>
          <w:rFonts w:eastAsia="Calibri" w:cs="Calibri"/>
          <w:sz w:val="28"/>
          <w:szCs w:val="28"/>
          <w:lang w:val="ru-RU"/>
        </w:rPr>
        <w:t>6</w:t>
      </w:r>
      <w:r w:rsidRPr="007C4300">
        <w:rPr>
          <w:rFonts w:eastAsia="Calibri" w:cs="Calibri"/>
          <w:sz w:val="28"/>
          <w:szCs w:val="28"/>
        </w:rPr>
        <w:t xml:space="preserve"> пацієнтів</w:t>
      </w:r>
      <w:r w:rsidR="00BE7808">
        <w:rPr>
          <w:rFonts w:eastAsia="Calibri" w:cs="Calibri"/>
          <w:sz w:val="28"/>
          <w:szCs w:val="28"/>
        </w:rPr>
        <w:t xml:space="preserve"> </w:t>
      </w:r>
      <w:r w:rsidR="00BE7808" w:rsidRPr="007C4300">
        <w:rPr>
          <w:rFonts w:eastAsia="Calibri" w:cs="Calibri"/>
          <w:sz w:val="28"/>
          <w:szCs w:val="28"/>
        </w:rPr>
        <w:t>(</w:t>
      </w:r>
      <w:r w:rsidR="00BE7808" w:rsidRPr="007C4300">
        <w:rPr>
          <w:rFonts w:eastAsia="Calibri" w:cs="Calibri"/>
          <w:sz w:val="28"/>
          <w:szCs w:val="28"/>
          <w:lang w:val="ru-RU"/>
        </w:rPr>
        <w:t>30</w:t>
      </w:r>
      <w:r w:rsidR="00BE7808" w:rsidRPr="007C4300">
        <w:rPr>
          <w:rFonts w:eastAsia="Calibri" w:cs="Calibri"/>
          <w:sz w:val="28"/>
          <w:szCs w:val="28"/>
        </w:rPr>
        <w:t>%)</w:t>
      </w:r>
      <w:r w:rsidRPr="007C4300">
        <w:rPr>
          <w:rFonts w:eastAsia="Calibri" w:cs="Calibri"/>
          <w:sz w:val="28"/>
          <w:szCs w:val="28"/>
        </w:rPr>
        <w:t>. Помірна еритема нами візуалізована у 9 пацієнтів</w:t>
      </w:r>
      <w:r w:rsidR="00BE7808">
        <w:rPr>
          <w:rFonts w:eastAsia="Calibri" w:cs="Calibri"/>
          <w:sz w:val="28"/>
          <w:szCs w:val="28"/>
        </w:rPr>
        <w:t xml:space="preserve"> </w:t>
      </w:r>
      <w:r w:rsidR="00BE7808" w:rsidRPr="007C4300">
        <w:rPr>
          <w:rFonts w:eastAsia="Calibri" w:cs="Calibri"/>
          <w:sz w:val="28"/>
          <w:szCs w:val="28"/>
        </w:rPr>
        <w:t>(45%)</w:t>
      </w:r>
      <w:r w:rsidRPr="007C4300">
        <w:rPr>
          <w:rFonts w:eastAsia="Calibri" w:cs="Calibri"/>
          <w:sz w:val="28"/>
          <w:szCs w:val="28"/>
        </w:rPr>
        <w:t>, в 5 (25%) – спостерігалася виражена еритема.</w:t>
      </w:r>
    </w:p>
    <w:p w:rsidR="0030517B" w:rsidRPr="007C4300" w:rsidRDefault="0030517B" w:rsidP="0030517B">
      <w:pPr>
        <w:spacing w:after="160" w:line="360" w:lineRule="auto"/>
        <w:ind w:firstLine="708"/>
        <w:jc w:val="both"/>
        <w:rPr>
          <w:rFonts w:eastAsia="Calibri" w:cs="Calibri"/>
          <w:sz w:val="28"/>
          <w:szCs w:val="28"/>
        </w:rPr>
      </w:pPr>
      <w:r w:rsidRPr="007C4300">
        <w:rPr>
          <w:rFonts w:eastAsia="Calibri" w:cs="Calibri"/>
          <w:sz w:val="28"/>
          <w:szCs w:val="28"/>
        </w:rPr>
        <w:t xml:space="preserve">В 1-ій групі </w:t>
      </w:r>
      <w:r w:rsidR="00D96DA9" w:rsidRPr="007C4300">
        <w:rPr>
          <w:rFonts w:eastAsia="Calibri" w:cs="Calibri"/>
          <w:sz w:val="28"/>
          <w:szCs w:val="28"/>
        </w:rPr>
        <w:t>пацієнтів</w:t>
      </w:r>
      <w:r w:rsidR="00C4351D" w:rsidRPr="007C4300">
        <w:rPr>
          <w:rFonts w:eastAsia="Calibri" w:cs="Calibri"/>
          <w:sz w:val="28"/>
          <w:szCs w:val="28"/>
        </w:rPr>
        <w:t xml:space="preserve"> у 8</w:t>
      </w:r>
      <w:r w:rsidRPr="007C4300">
        <w:rPr>
          <w:rFonts w:eastAsia="Calibri" w:cs="Calibri"/>
          <w:sz w:val="28"/>
          <w:szCs w:val="28"/>
        </w:rPr>
        <w:t xml:space="preserve"> випадках </w:t>
      </w:r>
      <w:r w:rsidR="00C4351D" w:rsidRPr="007C4300">
        <w:rPr>
          <w:rFonts w:eastAsia="Calibri" w:cs="Calibri"/>
          <w:sz w:val="28"/>
          <w:szCs w:val="28"/>
        </w:rPr>
        <w:t xml:space="preserve">(40%) </w:t>
      </w:r>
      <w:r w:rsidRPr="007C4300">
        <w:rPr>
          <w:rFonts w:eastAsia="Calibri" w:cs="Calibri"/>
          <w:sz w:val="28"/>
          <w:szCs w:val="28"/>
        </w:rPr>
        <w:t>нами зафіксовано ознаки здорової шкіри</w:t>
      </w:r>
      <w:r w:rsidR="00C4351D" w:rsidRPr="007C4300">
        <w:rPr>
          <w:rFonts w:eastAsia="Calibri" w:cs="Calibri"/>
          <w:sz w:val="28"/>
          <w:szCs w:val="28"/>
        </w:rPr>
        <w:t>,</w:t>
      </w:r>
      <w:r w:rsidRPr="007C4300">
        <w:rPr>
          <w:rFonts w:eastAsia="Calibri" w:cs="Calibri"/>
          <w:sz w:val="28"/>
          <w:szCs w:val="28"/>
        </w:rPr>
        <w:t xml:space="preserve"> з візуалізацією помірної еритеми у 8 (40%) та вираженої – у 4 пацієнтів</w:t>
      </w:r>
      <w:r w:rsidR="00C4351D" w:rsidRPr="007C4300">
        <w:rPr>
          <w:rFonts w:eastAsia="Calibri" w:cs="Calibri"/>
          <w:sz w:val="28"/>
          <w:szCs w:val="28"/>
        </w:rPr>
        <w:t xml:space="preserve"> (20%)</w:t>
      </w:r>
      <w:r w:rsidRPr="007C4300">
        <w:rPr>
          <w:rFonts w:eastAsia="Calibri" w:cs="Calibri"/>
          <w:sz w:val="28"/>
          <w:szCs w:val="28"/>
        </w:rPr>
        <w:t>.</w:t>
      </w:r>
    </w:p>
    <w:p w:rsidR="0030517B" w:rsidRPr="007C4300" w:rsidRDefault="0030517B" w:rsidP="0030517B">
      <w:pPr>
        <w:spacing w:after="160" w:line="360" w:lineRule="auto"/>
        <w:ind w:firstLine="708"/>
        <w:jc w:val="both"/>
        <w:rPr>
          <w:rFonts w:eastAsia="Calibri" w:cs="Calibri"/>
          <w:sz w:val="28"/>
          <w:szCs w:val="28"/>
        </w:rPr>
      </w:pPr>
      <w:r w:rsidRPr="007C4300">
        <w:rPr>
          <w:rFonts w:eastAsia="Calibri" w:cs="Calibri"/>
          <w:sz w:val="28"/>
          <w:szCs w:val="28"/>
        </w:rPr>
        <w:t>В 2-ій групі близький до норми стан шкіри нами зафіксовано в 11 випадках</w:t>
      </w:r>
      <w:r w:rsidR="00BE7808">
        <w:rPr>
          <w:rFonts w:eastAsia="Calibri" w:cs="Calibri"/>
          <w:sz w:val="28"/>
          <w:szCs w:val="28"/>
        </w:rPr>
        <w:t xml:space="preserve"> </w:t>
      </w:r>
      <w:r w:rsidR="00BE7808" w:rsidRPr="007C4300">
        <w:rPr>
          <w:rFonts w:eastAsia="Calibri" w:cs="Calibri"/>
          <w:sz w:val="28"/>
          <w:szCs w:val="28"/>
        </w:rPr>
        <w:t>(55%.)</w:t>
      </w:r>
      <w:r w:rsidRPr="007C4300">
        <w:rPr>
          <w:rFonts w:eastAsia="Calibri" w:cs="Calibri"/>
          <w:sz w:val="28"/>
          <w:szCs w:val="28"/>
        </w:rPr>
        <w:t xml:space="preserve">. У 7 пацієнтів </w:t>
      </w:r>
      <w:r w:rsidR="00BE7808" w:rsidRPr="007C4300">
        <w:rPr>
          <w:rFonts w:eastAsia="Calibri" w:cs="Calibri"/>
          <w:sz w:val="28"/>
          <w:szCs w:val="28"/>
        </w:rPr>
        <w:t xml:space="preserve">(35%) </w:t>
      </w:r>
      <w:r w:rsidRPr="007C4300">
        <w:rPr>
          <w:rFonts w:eastAsia="Calibri" w:cs="Calibri"/>
          <w:sz w:val="28"/>
          <w:szCs w:val="28"/>
        </w:rPr>
        <w:t>нами встановлено ознаки помірної еритеми, ознаки вираженої зафіксовано у 2 пацієнтів</w:t>
      </w:r>
      <w:r w:rsidR="00BE7808">
        <w:rPr>
          <w:rFonts w:eastAsia="Calibri" w:cs="Calibri"/>
          <w:sz w:val="28"/>
          <w:szCs w:val="28"/>
        </w:rPr>
        <w:t xml:space="preserve"> </w:t>
      </w:r>
      <w:r w:rsidR="00BE7808" w:rsidRPr="007C4300">
        <w:rPr>
          <w:rFonts w:eastAsia="Calibri" w:cs="Calibri"/>
          <w:sz w:val="28"/>
          <w:szCs w:val="28"/>
        </w:rPr>
        <w:t>(10%)</w:t>
      </w:r>
      <w:r w:rsidRPr="007C4300">
        <w:rPr>
          <w:rFonts w:eastAsia="Calibri" w:cs="Calibri"/>
          <w:sz w:val="28"/>
          <w:szCs w:val="28"/>
        </w:rPr>
        <w:t>.</w:t>
      </w:r>
    </w:p>
    <w:p w:rsidR="0030517B" w:rsidRPr="007C4300" w:rsidRDefault="0030517B" w:rsidP="0030517B">
      <w:pPr>
        <w:spacing w:after="160" w:line="360" w:lineRule="auto"/>
        <w:ind w:firstLine="708"/>
        <w:jc w:val="both"/>
        <w:rPr>
          <w:rFonts w:eastAsia="Calibri" w:cs="Calibri"/>
          <w:sz w:val="28"/>
          <w:szCs w:val="28"/>
        </w:rPr>
      </w:pPr>
      <w:r w:rsidRPr="007C4300">
        <w:rPr>
          <w:rFonts w:eastAsia="Calibri" w:cs="Calibri"/>
          <w:sz w:val="28"/>
          <w:szCs w:val="28"/>
        </w:rPr>
        <w:lastRenderedPageBreak/>
        <w:t>Аналіз характеру зміни параметрів утворення рубцевозмінених тканин за даними показника П4 встановив, що в контрольній групі на 3 місяць післяопераційного періоду стан напруженості рубця пацієнти відмічали у 13 випадках</w:t>
      </w:r>
      <w:r w:rsidR="006147E7" w:rsidRPr="007C4300">
        <w:rPr>
          <w:rFonts w:eastAsia="Calibri" w:cs="Calibri"/>
          <w:sz w:val="28"/>
          <w:szCs w:val="28"/>
        </w:rPr>
        <w:t xml:space="preserve"> (65%)</w:t>
      </w:r>
      <w:r w:rsidRPr="007C4300">
        <w:rPr>
          <w:rFonts w:eastAsia="Calibri" w:cs="Calibri"/>
          <w:sz w:val="28"/>
          <w:szCs w:val="28"/>
        </w:rPr>
        <w:t>. 5 пацієнтів</w:t>
      </w:r>
      <w:r w:rsidR="006147E7" w:rsidRPr="007C4300">
        <w:rPr>
          <w:rFonts w:eastAsia="Calibri" w:cs="Calibri"/>
          <w:sz w:val="28"/>
          <w:szCs w:val="28"/>
        </w:rPr>
        <w:t xml:space="preserve"> (25%) </w:t>
      </w:r>
      <w:r w:rsidRPr="007C4300">
        <w:rPr>
          <w:rFonts w:eastAsia="Calibri" w:cs="Calibri"/>
          <w:sz w:val="28"/>
          <w:szCs w:val="28"/>
        </w:rPr>
        <w:t xml:space="preserve">скаржилися на свербіж, 2 (10%) – на біль. Скарги на печію не відзначалися. В 1 групі </w:t>
      </w:r>
      <w:r w:rsidR="00D96DA9" w:rsidRPr="007C4300">
        <w:rPr>
          <w:rFonts w:eastAsia="Calibri" w:cs="Calibri"/>
          <w:sz w:val="28"/>
          <w:szCs w:val="28"/>
        </w:rPr>
        <w:t>пацієнтів</w:t>
      </w:r>
      <w:r w:rsidRPr="007C4300">
        <w:rPr>
          <w:rFonts w:eastAsia="Calibri" w:cs="Calibri"/>
          <w:sz w:val="28"/>
          <w:szCs w:val="28"/>
        </w:rPr>
        <w:t xml:space="preserve"> ознаки напруженості рубця відмічено в 11 випадках</w:t>
      </w:r>
      <w:r w:rsidR="006F583B">
        <w:rPr>
          <w:rFonts w:eastAsia="Calibri" w:cs="Calibri"/>
          <w:sz w:val="28"/>
          <w:szCs w:val="28"/>
        </w:rPr>
        <w:t xml:space="preserve"> </w:t>
      </w:r>
      <w:r w:rsidR="006F583B" w:rsidRPr="007C4300">
        <w:rPr>
          <w:rFonts w:eastAsia="Calibri" w:cs="Calibri"/>
          <w:sz w:val="28"/>
          <w:szCs w:val="28"/>
        </w:rPr>
        <w:t>(55%)</w:t>
      </w:r>
      <w:r w:rsidRPr="007C4300">
        <w:rPr>
          <w:rFonts w:eastAsia="Calibri" w:cs="Calibri"/>
          <w:sz w:val="28"/>
          <w:szCs w:val="28"/>
        </w:rPr>
        <w:t xml:space="preserve">, свербіж відзначався у 4 пацієнтів </w:t>
      </w:r>
      <w:r w:rsidR="006F583B" w:rsidRPr="007C4300">
        <w:rPr>
          <w:rFonts w:eastAsia="Calibri" w:cs="Calibri"/>
          <w:sz w:val="28"/>
          <w:szCs w:val="28"/>
        </w:rPr>
        <w:t xml:space="preserve">(20%) </w:t>
      </w:r>
      <w:r w:rsidRPr="007C4300">
        <w:rPr>
          <w:rFonts w:eastAsia="Calibri" w:cs="Calibri"/>
          <w:sz w:val="28"/>
          <w:szCs w:val="28"/>
        </w:rPr>
        <w:t xml:space="preserve">та 1 (5%) відзначав печію. Скарги на біль хворі заперечували. В 2-ій групі на напруженість рубця скаржилося 6 </w:t>
      </w:r>
      <w:r w:rsidR="00D96DA9" w:rsidRPr="007C4300">
        <w:rPr>
          <w:rFonts w:eastAsia="Calibri" w:cs="Calibri"/>
          <w:sz w:val="28"/>
          <w:szCs w:val="28"/>
        </w:rPr>
        <w:t>пацієнтів</w:t>
      </w:r>
      <w:r w:rsidR="006F583B">
        <w:rPr>
          <w:rFonts w:eastAsia="Calibri" w:cs="Calibri"/>
          <w:sz w:val="28"/>
          <w:szCs w:val="28"/>
        </w:rPr>
        <w:t xml:space="preserve"> </w:t>
      </w:r>
      <w:r w:rsidR="006F583B" w:rsidRPr="007C4300">
        <w:rPr>
          <w:rFonts w:eastAsia="Calibri" w:cs="Calibri"/>
          <w:sz w:val="28"/>
          <w:szCs w:val="28"/>
        </w:rPr>
        <w:t>(30%)</w:t>
      </w:r>
      <w:r w:rsidRPr="007C4300">
        <w:rPr>
          <w:rFonts w:eastAsia="Calibri" w:cs="Calibri"/>
          <w:sz w:val="28"/>
          <w:szCs w:val="28"/>
        </w:rPr>
        <w:t>, свербіж був виявлений у 3 пацієнтів</w:t>
      </w:r>
      <w:r w:rsidR="006F583B">
        <w:rPr>
          <w:rFonts w:eastAsia="Calibri" w:cs="Calibri"/>
          <w:sz w:val="28"/>
          <w:szCs w:val="28"/>
        </w:rPr>
        <w:t xml:space="preserve"> </w:t>
      </w:r>
      <w:r w:rsidR="006F583B" w:rsidRPr="007C4300">
        <w:rPr>
          <w:rFonts w:eastAsia="Calibri" w:cs="Calibri"/>
          <w:sz w:val="28"/>
          <w:szCs w:val="28"/>
        </w:rPr>
        <w:t>(15%)</w:t>
      </w:r>
      <w:r w:rsidRPr="007C4300">
        <w:rPr>
          <w:rFonts w:eastAsia="Calibri" w:cs="Calibri"/>
          <w:sz w:val="28"/>
          <w:szCs w:val="28"/>
        </w:rPr>
        <w:t>, скарг на біль та печію не відзначалося.</w:t>
      </w:r>
    </w:p>
    <w:p w:rsidR="0030517B" w:rsidRPr="007C4300" w:rsidRDefault="0030517B" w:rsidP="0030517B">
      <w:pPr>
        <w:spacing w:after="160" w:line="360" w:lineRule="auto"/>
        <w:ind w:firstLine="708"/>
        <w:jc w:val="both"/>
        <w:rPr>
          <w:rFonts w:eastAsia="Calibri" w:cs="Calibri"/>
          <w:sz w:val="28"/>
          <w:szCs w:val="28"/>
        </w:rPr>
      </w:pPr>
      <w:r w:rsidRPr="007C4300">
        <w:rPr>
          <w:rFonts w:eastAsia="Calibri" w:cs="Calibri"/>
          <w:sz w:val="28"/>
          <w:szCs w:val="28"/>
        </w:rPr>
        <w:t>При аналізі даних щодо змін показника П5 встановлено, що на 3 місяць післяопераційного періоду в контрольній групі ознака малої площі була виявлена у 13 пацієнтів</w:t>
      </w:r>
      <w:r w:rsidR="006F583B">
        <w:rPr>
          <w:rFonts w:eastAsia="Calibri" w:cs="Calibri"/>
          <w:sz w:val="28"/>
          <w:szCs w:val="28"/>
        </w:rPr>
        <w:t xml:space="preserve"> </w:t>
      </w:r>
      <w:r w:rsidR="006F583B" w:rsidRPr="007C4300">
        <w:rPr>
          <w:rFonts w:eastAsia="Calibri" w:cs="Calibri"/>
          <w:sz w:val="28"/>
          <w:szCs w:val="28"/>
        </w:rPr>
        <w:t>(65%)</w:t>
      </w:r>
      <w:r w:rsidRPr="007C4300">
        <w:rPr>
          <w:rFonts w:eastAsia="Calibri" w:cs="Calibri"/>
          <w:sz w:val="28"/>
          <w:szCs w:val="28"/>
        </w:rPr>
        <w:t xml:space="preserve">. У 4 </w:t>
      </w:r>
      <w:r w:rsidR="00D96DA9" w:rsidRPr="007C4300">
        <w:rPr>
          <w:rFonts w:eastAsia="Calibri" w:cs="Calibri"/>
          <w:sz w:val="28"/>
          <w:szCs w:val="28"/>
        </w:rPr>
        <w:t>пацієнтів</w:t>
      </w:r>
      <w:r w:rsidRPr="007C4300">
        <w:rPr>
          <w:rFonts w:eastAsia="Calibri" w:cs="Calibri"/>
          <w:sz w:val="28"/>
          <w:szCs w:val="28"/>
        </w:rPr>
        <w:t xml:space="preserve"> </w:t>
      </w:r>
      <w:r w:rsidR="006F583B" w:rsidRPr="007C4300">
        <w:rPr>
          <w:rFonts w:eastAsia="Calibri" w:cs="Calibri"/>
          <w:sz w:val="28"/>
          <w:szCs w:val="28"/>
        </w:rPr>
        <w:t xml:space="preserve">(20%) </w:t>
      </w:r>
      <w:r w:rsidRPr="007C4300">
        <w:rPr>
          <w:rFonts w:eastAsia="Calibri" w:cs="Calibri"/>
          <w:sz w:val="28"/>
          <w:szCs w:val="28"/>
        </w:rPr>
        <w:t>середня площа не перевищувала 9,7 мм</w:t>
      </w:r>
      <w:r w:rsidRPr="007C4300">
        <w:rPr>
          <w:rFonts w:eastAsia="Calibri" w:cs="Calibri"/>
          <w:sz w:val="28"/>
          <w:szCs w:val="28"/>
          <w:vertAlign w:val="superscript"/>
        </w:rPr>
        <w:t>2</w:t>
      </w:r>
      <w:r w:rsidRPr="007C4300">
        <w:rPr>
          <w:rFonts w:eastAsia="Calibri" w:cs="Calibri"/>
          <w:sz w:val="28"/>
          <w:szCs w:val="28"/>
        </w:rPr>
        <w:t xml:space="preserve"> . У 3 пацієнтів </w:t>
      </w:r>
      <w:r w:rsidR="006F583B" w:rsidRPr="007C4300">
        <w:rPr>
          <w:rFonts w:eastAsia="Calibri" w:cs="Calibri"/>
          <w:sz w:val="28"/>
          <w:szCs w:val="28"/>
        </w:rPr>
        <w:t xml:space="preserve">(15%) </w:t>
      </w:r>
      <w:r w:rsidRPr="007C4300">
        <w:rPr>
          <w:rFonts w:eastAsia="Calibri" w:cs="Calibri"/>
          <w:sz w:val="28"/>
          <w:szCs w:val="28"/>
        </w:rPr>
        <w:t xml:space="preserve">була відмічена велика площа рубцевозмінених тканин. У </w:t>
      </w:r>
      <w:r w:rsidR="00D96DA9" w:rsidRPr="007C4300">
        <w:rPr>
          <w:rFonts w:eastAsia="Calibri" w:cs="Calibri"/>
          <w:sz w:val="28"/>
          <w:szCs w:val="28"/>
        </w:rPr>
        <w:t>пацієнтів</w:t>
      </w:r>
      <w:r w:rsidRPr="007C4300">
        <w:rPr>
          <w:rFonts w:eastAsia="Calibri" w:cs="Calibri"/>
          <w:sz w:val="28"/>
          <w:szCs w:val="28"/>
        </w:rPr>
        <w:t xml:space="preserve"> 1 групи ознака малої площі складала 16 пацієнтів</w:t>
      </w:r>
      <w:r w:rsidR="006147E7" w:rsidRPr="007C4300">
        <w:rPr>
          <w:rFonts w:eastAsia="Calibri" w:cs="Calibri"/>
          <w:sz w:val="28"/>
          <w:szCs w:val="28"/>
        </w:rPr>
        <w:t xml:space="preserve"> (80%)</w:t>
      </w:r>
      <w:r w:rsidRPr="007C4300">
        <w:rPr>
          <w:rFonts w:eastAsia="Calibri" w:cs="Calibri"/>
          <w:sz w:val="28"/>
          <w:szCs w:val="28"/>
        </w:rPr>
        <w:t xml:space="preserve">, середня площа була зафіксована у 3 </w:t>
      </w:r>
      <w:r w:rsidR="00D96DA9" w:rsidRPr="007C4300">
        <w:rPr>
          <w:rFonts w:eastAsia="Calibri" w:cs="Calibri"/>
          <w:sz w:val="28"/>
          <w:szCs w:val="28"/>
        </w:rPr>
        <w:t>пацієнтів</w:t>
      </w:r>
      <w:r w:rsidRPr="007C4300">
        <w:rPr>
          <w:rFonts w:eastAsia="Calibri" w:cs="Calibri"/>
          <w:sz w:val="28"/>
          <w:szCs w:val="28"/>
        </w:rPr>
        <w:t xml:space="preserve"> </w:t>
      </w:r>
      <w:r w:rsidR="00B86260" w:rsidRPr="007C4300">
        <w:rPr>
          <w:rFonts w:eastAsia="Calibri" w:cs="Calibri"/>
          <w:sz w:val="28"/>
          <w:szCs w:val="28"/>
        </w:rPr>
        <w:t xml:space="preserve">(15%) </w:t>
      </w:r>
      <w:r w:rsidRPr="007C4300">
        <w:rPr>
          <w:rFonts w:eastAsia="Calibri" w:cs="Calibri"/>
          <w:sz w:val="28"/>
          <w:szCs w:val="28"/>
        </w:rPr>
        <w:t>(не перевищувала 9,2 мм</w:t>
      </w:r>
      <w:r w:rsidRPr="007C4300">
        <w:rPr>
          <w:rFonts w:eastAsia="Calibri" w:cs="Calibri"/>
          <w:sz w:val="28"/>
          <w:szCs w:val="28"/>
          <w:vertAlign w:val="superscript"/>
        </w:rPr>
        <w:t>2</w:t>
      </w:r>
      <w:r w:rsidRPr="007C4300">
        <w:rPr>
          <w:rFonts w:eastAsia="Calibri" w:cs="Calibri"/>
          <w:sz w:val="28"/>
          <w:szCs w:val="28"/>
        </w:rPr>
        <w:t xml:space="preserve">) та у 1 </w:t>
      </w:r>
      <w:r w:rsidR="006147E7" w:rsidRPr="007C4300">
        <w:rPr>
          <w:rFonts w:eastAsia="Calibri" w:cs="Calibri"/>
          <w:sz w:val="28"/>
          <w:szCs w:val="28"/>
        </w:rPr>
        <w:t>пацієнтіа (5%)</w:t>
      </w:r>
      <w:r w:rsidRPr="007C4300">
        <w:rPr>
          <w:rFonts w:eastAsia="Calibri" w:cs="Calibri"/>
          <w:sz w:val="28"/>
          <w:szCs w:val="28"/>
        </w:rPr>
        <w:t xml:space="preserve"> була відмічена велика площа. В 2 групі пацієнтів ознака малої площі складала 17 пацієнтів</w:t>
      </w:r>
      <w:r w:rsidR="00B86260" w:rsidRPr="007C4300">
        <w:rPr>
          <w:rFonts w:eastAsia="Calibri" w:cs="Calibri"/>
          <w:sz w:val="28"/>
          <w:szCs w:val="28"/>
        </w:rPr>
        <w:t xml:space="preserve"> (85%)</w:t>
      </w:r>
      <w:r w:rsidRPr="007C4300">
        <w:rPr>
          <w:rFonts w:eastAsia="Calibri" w:cs="Calibri"/>
          <w:sz w:val="28"/>
          <w:szCs w:val="28"/>
        </w:rPr>
        <w:t xml:space="preserve">, у 3 (15%) </w:t>
      </w:r>
      <w:r w:rsidR="00B86260" w:rsidRPr="007C4300">
        <w:rPr>
          <w:rFonts w:eastAsia="Calibri" w:cs="Calibri"/>
          <w:sz w:val="28"/>
          <w:szCs w:val="28"/>
        </w:rPr>
        <w:t xml:space="preserve">– </w:t>
      </w:r>
      <w:r w:rsidRPr="007C4300">
        <w:rPr>
          <w:rFonts w:eastAsia="Calibri" w:cs="Calibri"/>
          <w:sz w:val="28"/>
          <w:szCs w:val="28"/>
        </w:rPr>
        <w:t>були зафіксовані дані щодо середньої площі яка не перевищувала 8,8 мм</w:t>
      </w:r>
      <w:r w:rsidRPr="007C4300">
        <w:rPr>
          <w:rFonts w:eastAsia="Calibri" w:cs="Calibri"/>
          <w:sz w:val="28"/>
          <w:szCs w:val="28"/>
          <w:vertAlign w:val="superscript"/>
        </w:rPr>
        <w:t>2</w:t>
      </w:r>
      <w:r w:rsidRPr="007C4300">
        <w:rPr>
          <w:rFonts w:eastAsia="Calibri" w:cs="Calibri"/>
          <w:sz w:val="28"/>
          <w:szCs w:val="28"/>
        </w:rPr>
        <w:t>. Ознак великої площі рубцевозмінених тканин нами не зафіксовано.</w:t>
      </w:r>
    </w:p>
    <w:p w:rsidR="0030517B" w:rsidRPr="00CA099F" w:rsidRDefault="0030517B" w:rsidP="0030517B">
      <w:pPr>
        <w:spacing w:after="160" w:line="360" w:lineRule="auto"/>
        <w:ind w:firstLine="708"/>
        <w:jc w:val="both"/>
        <w:rPr>
          <w:rFonts w:eastAsia="Calibri" w:cs="Calibri"/>
          <w:sz w:val="28"/>
          <w:szCs w:val="28"/>
        </w:rPr>
      </w:pPr>
      <w:r w:rsidRPr="00CA099F">
        <w:rPr>
          <w:rFonts w:eastAsia="Calibri" w:cs="Calibri"/>
          <w:sz w:val="28"/>
          <w:szCs w:val="28"/>
        </w:rPr>
        <w:t>Аналіз динаміки змін температури рубцевозмінених тканин шкіри встановив, що на 3 місяць досліджень середня температура в центральній частині рубця в контрольній групі складала 24,9</w:t>
      </w:r>
      <w:r w:rsidRPr="00CA099F">
        <w:rPr>
          <w:rFonts w:eastAsia="Calibri" w:cs="Times New Roman"/>
          <w:sz w:val="28"/>
          <w:szCs w:val="28"/>
        </w:rPr>
        <w:t>±</w:t>
      </w:r>
      <w:r w:rsidRPr="00CA099F">
        <w:rPr>
          <w:rFonts w:eastAsia="Calibri" w:cs="Calibri"/>
          <w:sz w:val="28"/>
          <w:szCs w:val="28"/>
        </w:rPr>
        <w:t>0,7</w:t>
      </w:r>
      <w:r w:rsidRPr="00CA099F">
        <w:rPr>
          <w:rFonts w:eastAsia="Calibri" w:cs="Times New Roman"/>
          <w:sz w:val="28"/>
          <w:szCs w:val="28"/>
        </w:rPr>
        <w:t xml:space="preserve">° </w:t>
      </w:r>
      <w:r w:rsidRPr="00CA099F">
        <w:rPr>
          <w:rFonts w:eastAsia="Calibri" w:cs="Calibri"/>
          <w:sz w:val="28"/>
          <w:szCs w:val="28"/>
        </w:rPr>
        <w:t>С. Дещо вища температура зафіксована в периферичних краях: у медіальному - 29,8</w:t>
      </w:r>
      <w:r w:rsidRPr="00CA099F">
        <w:rPr>
          <w:rFonts w:eastAsia="Calibri" w:cs="Times New Roman"/>
          <w:sz w:val="28"/>
          <w:szCs w:val="28"/>
        </w:rPr>
        <w:t>±</w:t>
      </w:r>
      <w:r w:rsidRPr="00CA099F">
        <w:rPr>
          <w:rFonts w:eastAsia="Calibri" w:cs="Calibri"/>
          <w:sz w:val="28"/>
          <w:szCs w:val="28"/>
        </w:rPr>
        <w:t>0,9</w:t>
      </w:r>
      <w:r w:rsidRPr="00CA099F">
        <w:rPr>
          <w:rFonts w:eastAsia="Calibri" w:cs="Times New Roman"/>
          <w:sz w:val="28"/>
          <w:szCs w:val="28"/>
        </w:rPr>
        <w:t xml:space="preserve">° </w:t>
      </w:r>
      <w:r w:rsidRPr="00CA099F">
        <w:rPr>
          <w:rFonts w:eastAsia="Calibri" w:cs="Calibri"/>
          <w:sz w:val="28"/>
          <w:szCs w:val="28"/>
        </w:rPr>
        <w:t>С та в латеральному - 28,7</w:t>
      </w:r>
      <w:r w:rsidRPr="00CA099F">
        <w:rPr>
          <w:rFonts w:eastAsia="Calibri" w:cs="Times New Roman"/>
          <w:sz w:val="28"/>
          <w:szCs w:val="28"/>
        </w:rPr>
        <w:t>±</w:t>
      </w:r>
      <w:r w:rsidRPr="00CA099F">
        <w:rPr>
          <w:rFonts w:eastAsia="Calibri" w:cs="Calibri"/>
          <w:sz w:val="28"/>
          <w:szCs w:val="28"/>
        </w:rPr>
        <w:t>1,3</w:t>
      </w:r>
      <w:r w:rsidRPr="00CA099F">
        <w:rPr>
          <w:rFonts w:eastAsia="Calibri" w:cs="Times New Roman"/>
          <w:sz w:val="28"/>
          <w:szCs w:val="28"/>
        </w:rPr>
        <w:t xml:space="preserve">° </w:t>
      </w:r>
      <w:r w:rsidRPr="00CA099F">
        <w:rPr>
          <w:rFonts w:eastAsia="Calibri" w:cs="Calibri"/>
          <w:sz w:val="28"/>
          <w:szCs w:val="28"/>
        </w:rPr>
        <w:t>С. В 1 групі різниця в діапазоні середніх темпе</w:t>
      </w:r>
      <w:r w:rsidR="00C12C89">
        <w:rPr>
          <w:rFonts w:eastAsia="Calibri" w:cs="Calibri"/>
          <w:sz w:val="28"/>
          <w:szCs w:val="28"/>
        </w:rPr>
        <w:t>ратур суттєво не відрізнялася. У</w:t>
      </w:r>
      <w:r w:rsidRPr="00CA099F">
        <w:rPr>
          <w:rFonts w:eastAsia="Calibri" w:cs="Calibri"/>
          <w:sz w:val="28"/>
          <w:szCs w:val="28"/>
        </w:rPr>
        <w:t xml:space="preserve"> центрі рубця вона фіксувалася найнижчою та становила 25,6</w:t>
      </w:r>
      <w:r w:rsidRPr="00CA099F">
        <w:rPr>
          <w:rFonts w:eastAsia="Calibri" w:cs="Times New Roman"/>
          <w:sz w:val="28"/>
          <w:szCs w:val="28"/>
        </w:rPr>
        <w:t>±</w:t>
      </w:r>
      <w:r w:rsidRPr="00CA099F">
        <w:rPr>
          <w:rFonts w:eastAsia="Calibri" w:cs="Calibri"/>
          <w:sz w:val="28"/>
          <w:szCs w:val="28"/>
        </w:rPr>
        <w:t>0,9</w:t>
      </w:r>
      <w:r w:rsidRPr="00CA099F">
        <w:rPr>
          <w:rFonts w:eastAsia="Calibri" w:cs="Times New Roman"/>
          <w:sz w:val="28"/>
          <w:szCs w:val="28"/>
        </w:rPr>
        <w:t xml:space="preserve">° </w:t>
      </w:r>
      <w:r w:rsidRPr="00CA099F">
        <w:rPr>
          <w:rFonts w:eastAsia="Calibri" w:cs="Calibri"/>
          <w:sz w:val="28"/>
          <w:szCs w:val="28"/>
        </w:rPr>
        <w:t>С. Найвища температура зафіксована в ділянці латерального краю - 30,2</w:t>
      </w:r>
      <w:r w:rsidRPr="00CA099F">
        <w:rPr>
          <w:rFonts w:eastAsia="Calibri" w:cs="Times New Roman"/>
          <w:sz w:val="28"/>
          <w:szCs w:val="28"/>
        </w:rPr>
        <w:t>±</w:t>
      </w:r>
      <w:r w:rsidRPr="00CA099F">
        <w:rPr>
          <w:rFonts w:eastAsia="Calibri" w:cs="Calibri"/>
          <w:sz w:val="28"/>
          <w:szCs w:val="28"/>
        </w:rPr>
        <w:t>1,1</w:t>
      </w:r>
      <w:r w:rsidRPr="00CA099F">
        <w:rPr>
          <w:rFonts w:eastAsia="Calibri" w:cs="Times New Roman"/>
          <w:sz w:val="28"/>
          <w:szCs w:val="28"/>
        </w:rPr>
        <w:t xml:space="preserve">° </w:t>
      </w:r>
      <w:r w:rsidRPr="00CA099F">
        <w:rPr>
          <w:rFonts w:eastAsia="Calibri" w:cs="Calibri"/>
          <w:sz w:val="28"/>
          <w:szCs w:val="28"/>
        </w:rPr>
        <w:t>С; в медіальному краю спостерігалися проміжні значення, які дорівнювали 29,9</w:t>
      </w:r>
      <w:r w:rsidRPr="00CA099F">
        <w:rPr>
          <w:rFonts w:eastAsia="Calibri" w:cs="Times New Roman"/>
          <w:sz w:val="28"/>
          <w:szCs w:val="28"/>
        </w:rPr>
        <w:t>±</w:t>
      </w:r>
      <w:r w:rsidRPr="00CA099F">
        <w:rPr>
          <w:rFonts w:eastAsia="Calibri" w:cs="Calibri"/>
          <w:sz w:val="28"/>
          <w:szCs w:val="28"/>
        </w:rPr>
        <w:t>0,8</w:t>
      </w:r>
      <w:r w:rsidRPr="00CA099F">
        <w:rPr>
          <w:rFonts w:eastAsia="Calibri" w:cs="Times New Roman"/>
          <w:sz w:val="28"/>
          <w:szCs w:val="28"/>
        </w:rPr>
        <w:t xml:space="preserve">° </w:t>
      </w:r>
      <w:r w:rsidR="00C12C89">
        <w:rPr>
          <w:rFonts w:eastAsia="Calibri" w:cs="Calibri"/>
          <w:sz w:val="28"/>
          <w:szCs w:val="28"/>
        </w:rPr>
        <w:t>С. У</w:t>
      </w:r>
      <w:r w:rsidRPr="00CA099F">
        <w:rPr>
          <w:rFonts w:eastAsia="Calibri" w:cs="Calibri"/>
          <w:sz w:val="28"/>
          <w:szCs w:val="28"/>
        </w:rPr>
        <w:t xml:space="preserve"> 2 групі нами зафіксовано невелике достовірне підвищення середньої температури. На 3 місяць </w:t>
      </w:r>
      <w:r w:rsidRPr="00CA099F">
        <w:rPr>
          <w:rFonts w:eastAsia="Calibri" w:cs="Calibri"/>
          <w:sz w:val="28"/>
          <w:szCs w:val="28"/>
        </w:rPr>
        <w:lastRenderedPageBreak/>
        <w:t>спостереження в центрі рубцевозмінених тканин вона складала 26,3</w:t>
      </w:r>
      <w:r w:rsidRPr="00CA099F">
        <w:rPr>
          <w:rFonts w:eastAsia="Calibri" w:cs="Times New Roman"/>
          <w:sz w:val="28"/>
          <w:szCs w:val="28"/>
        </w:rPr>
        <w:t>±</w:t>
      </w:r>
      <w:r w:rsidRPr="00CA099F">
        <w:rPr>
          <w:rFonts w:eastAsia="Calibri" w:cs="Calibri"/>
          <w:sz w:val="28"/>
          <w:szCs w:val="28"/>
        </w:rPr>
        <w:t>0,8</w:t>
      </w:r>
      <w:r w:rsidRPr="00CA099F">
        <w:rPr>
          <w:rFonts w:eastAsia="Calibri" w:cs="Times New Roman"/>
          <w:sz w:val="28"/>
          <w:szCs w:val="28"/>
        </w:rPr>
        <w:t xml:space="preserve">° </w:t>
      </w:r>
      <w:r w:rsidRPr="00CA099F">
        <w:rPr>
          <w:rFonts w:eastAsia="Calibri" w:cs="Calibri"/>
          <w:sz w:val="28"/>
          <w:szCs w:val="28"/>
        </w:rPr>
        <w:t>С. У латерал</w:t>
      </w:r>
      <w:r w:rsidR="00C12C89">
        <w:rPr>
          <w:rFonts w:eastAsia="Calibri" w:cs="Calibri"/>
          <w:sz w:val="28"/>
          <w:szCs w:val="28"/>
        </w:rPr>
        <w:t>ьній частині рубця продовжували</w:t>
      </w:r>
      <w:r w:rsidRPr="00CA099F">
        <w:rPr>
          <w:rFonts w:eastAsia="Calibri" w:cs="Calibri"/>
          <w:sz w:val="28"/>
          <w:szCs w:val="28"/>
        </w:rPr>
        <w:t xml:space="preserve"> фіксуватися найвищі значення, які дорівнювали 30,8</w:t>
      </w:r>
      <w:r w:rsidRPr="00CA099F">
        <w:rPr>
          <w:rFonts w:eastAsia="Calibri" w:cs="Times New Roman"/>
          <w:sz w:val="28"/>
          <w:szCs w:val="28"/>
        </w:rPr>
        <w:t>±</w:t>
      </w:r>
      <w:r w:rsidRPr="00CA099F">
        <w:rPr>
          <w:rFonts w:eastAsia="Calibri" w:cs="Calibri"/>
          <w:sz w:val="28"/>
          <w:szCs w:val="28"/>
        </w:rPr>
        <w:t>0,7</w:t>
      </w:r>
      <w:r w:rsidRPr="00CA099F">
        <w:rPr>
          <w:rFonts w:eastAsia="Calibri" w:cs="Times New Roman"/>
          <w:sz w:val="28"/>
          <w:szCs w:val="28"/>
        </w:rPr>
        <w:t xml:space="preserve">° </w:t>
      </w:r>
      <w:r w:rsidRPr="00CA099F">
        <w:rPr>
          <w:rFonts w:eastAsia="Calibri" w:cs="Calibri"/>
          <w:sz w:val="28"/>
          <w:szCs w:val="28"/>
        </w:rPr>
        <w:t xml:space="preserve">С. </w:t>
      </w:r>
      <w:r w:rsidR="00C12C89">
        <w:rPr>
          <w:rFonts w:eastAsia="Calibri" w:cs="Calibri"/>
          <w:sz w:val="28"/>
          <w:szCs w:val="28"/>
        </w:rPr>
        <w:t>У</w:t>
      </w:r>
      <w:r w:rsidRPr="00CA099F">
        <w:rPr>
          <w:rFonts w:eastAsia="Calibri" w:cs="Calibri"/>
          <w:sz w:val="28"/>
          <w:szCs w:val="28"/>
        </w:rPr>
        <w:t xml:space="preserve"> медіальній частині спостерігалися дещо нижчі показники, які в цій групі складали 30,1</w:t>
      </w:r>
      <w:r w:rsidRPr="00CA099F">
        <w:rPr>
          <w:rFonts w:eastAsia="Calibri" w:cs="Times New Roman"/>
          <w:sz w:val="28"/>
          <w:szCs w:val="28"/>
        </w:rPr>
        <w:t>±</w:t>
      </w:r>
      <w:r w:rsidRPr="00CA099F">
        <w:rPr>
          <w:rFonts w:eastAsia="Calibri" w:cs="Calibri"/>
          <w:sz w:val="28"/>
          <w:szCs w:val="28"/>
        </w:rPr>
        <w:t>0,6</w:t>
      </w:r>
      <w:r w:rsidRPr="00CA099F">
        <w:rPr>
          <w:rFonts w:eastAsia="Calibri" w:cs="Times New Roman"/>
          <w:sz w:val="28"/>
          <w:szCs w:val="28"/>
        </w:rPr>
        <w:t xml:space="preserve">° </w:t>
      </w:r>
      <w:r w:rsidRPr="00CA099F">
        <w:rPr>
          <w:rFonts w:eastAsia="Calibri" w:cs="Calibri"/>
          <w:sz w:val="28"/>
          <w:szCs w:val="28"/>
        </w:rPr>
        <w:t>С.</w:t>
      </w:r>
    </w:p>
    <w:p w:rsidR="0030517B" w:rsidRPr="00CA099F" w:rsidRDefault="0030517B" w:rsidP="0030517B">
      <w:pPr>
        <w:spacing w:after="160" w:line="360" w:lineRule="auto"/>
        <w:ind w:firstLine="708"/>
        <w:jc w:val="both"/>
        <w:rPr>
          <w:rFonts w:eastAsia="Calibri" w:cs="Calibri"/>
          <w:sz w:val="28"/>
          <w:szCs w:val="28"/>
        </w:rPr>
      </w:pPr>
      <w:r w:rsidRPr="00CA099F">
        <w:rPr>
          <w:rFonts w:eastAsia="Calibri" w:cs="Calibri"/>
          <w:sz w:val="28"/>
          <w:szCs w:val="28"/>
        </w:rPr>
        <w:t>Графік динаміки змін показників середньої температури у різних зонах рубцевозмінених тканин в залежності від виду інтра- та пост-операційної профілактики на 3 місяць досліджень наведено на рис</w:t>
      </w:r>
      <w:r w:rsidR="003564E7">
        <w:rPr>
          <w:rFonts w:eastAsia="Calibri" w:cs="Calibri"/>
          <w:sz w:val="28"/>
          <w:szCs w:val="28"/>
        </w:rPr>
        <w:t>унку</w:t>
      </w:r>
      <w:r w:rsidRPr="00CA099F">
        <w:rPr>
          <w:rFonts w:eastAsia="Calibri" w:cs="Calibri"/>
          <w:sz w:val="28"/>
          <w:szCs w:val="28"/>
        </w:rPr>
        <w:t xml:space="preserve"> 3.4.</w:t>
      </w:r>
    </w:p>
    <w:p w:rsidR="0030517B" w:rsidRPr="00CA099F" w:rsidRDefault="0030517B" w:rsidP="0030517B">
      <w:pPr>
        <w:spacing w:after="160" w:line="360" w:lineRule="auto"/>
        <w:ind w:firstLine="708"/>
        <w:jc w:val="both"/>
        <w:rPr>
          <w:rFonts w:eastAsia="Calibri" w:cs="Calibri"/>
          <w:sz w:val="28"/>
          <w:szCs w:val="28"/>
        </w:rPr>
      </w:pPr>
      <w:r w:rsidRPr="00CA099F">
        <w:rPr>
          <w:rFonts w:eastAsia="Calibri" w:cs="Calibri"/>
          <w:noProof/>
          <w:sz w:val="28"/>
          <w:szCs w:val="28"/>
          <w:lang w:val="ru-RU" w:eastAsia="ru-RU"/>
        </w:rPr>
        <w:drawing>
          <wp:inline distT="0" distB="0" distL="0" distR="0" wp14:anchorId="63FA3572" wp14:editId="10E14922">
            <wp:extent cx="5486400" cy="5105400"/>
            <wp:effectExtent l="0" t="0" r="0" b="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30517B" w:rsidRPr="00CA099F" w:rsidRDefault="003564E7" w:rsidP="0030517B">
      <w:pPr>
        <w:spacing w:after="160" w:line="360" w:lineRule="auto"/>
        <w:ind w:firstLine="708"/>
        <w:jc w:val="both"/>
        <w:rPr>
          <w:rFonts w:eastAsia="Calibri" w:cs="Calibri"/>
          <w:sz w:val="28"/>
          <w:szCs w:val="28"/>
        </w:rPr>
      </w:pPr>
      <w:r>
        <w:rPr>
          <w:rFonts w:eastAsia="Calibri" w:cs="Calibri"/>
          <w:sz w:val="28"/>
          <w:szCs w:val="28"/>
        </w:rPr>
        <w:t>Рис. 3.4</w:t>
      </w:r>
      <w:r w:rsidR="0030517B" w:rsidRPr="00CA099F">
        <w:rPr>
          <w:rFonts w:eastAsia="Calibri" w:cs="Calibri"/>
          <w:sz w:val="28"/>
          <w:szCs w:val="28"/>
        </w:rPr>
        <w:t xml:space="preserve"> Графік динаміки змін показників середньої температури у різних зонах рубцевозмінених тканин на 3 місяць післяопераційного періоду.</w:t>
      </w:r>
    </w:p>
    <w:p w:rsidR="00666948" w:rsidRDefault="00666948" w:rsidP="0030517B">
      <w:pPr>
        <w:spacing w:after="160" w:line="360" w:lineRule="auto"/>
        <w:ind w:firstLine="708"/>
        <w:jc w:val="both"/>
        <w:rPr>
          <w:rFonts w:eastAsia="Calibri" w:cs="Calibri"/>
          <w:b/>
          <w:sz w:val="28"/>
          <w:szCs w:val="28"/>
        </w:rPr>
      </w:pPr>
    </w:p>
    <w:p w:rsidR="0030517B" w:rsidRPr="00CA099F" w:rsidRDefault="00270657" w:rsidP="0030517B">
      <w:pPr>
        <w:spacing w:after="160" w:line="360" w:lineRule="auto"/>
        <w:ind w:firstLine="708"/>
        <w:jc w:val="both"/>
        <w:rPr>
          <w:rFonts w:eastAsia="Calibri" w:cs="Calibri"/>
          <w:b/>
          <w:sz w:val="28"/>
          <w:szCs w:val="28"/>
        </w:rPr>
      </w:pPr>
      <w:r>
        <w:rPr>
          <w:rFonts w:eastAsia="Calibri" w:cs="Calibri"/>
          <w:b/>
          <w:sz w:val="28"/>
          <w:szCs w:val="28"/>
        </w:rPr>
        <w:lastRenderedPageBreak/>
        <w:t>3.3</w:t>
      </w:r>
      <w:r w:rsidR="0030517B" w:rsidRPr="00CA099F">
        <w:rPr>
          <w:rFonts w:eastAsia="Calibri" w:cs="Calibri"/>
          <w:b/>
          <w:sz w:val="28"/>
          <w:szCs w:val="28"/>
        </w:rPr>
        <w:t xml:space="preserve"> Зміни клінічних показників рубцевозмінених тканин на 6 місяць післяопераційного періоду</w:t>
      </w:r>
    </w:p>
    <w:p w:rsidR="00FA3469" w:rsidRDefault="00FA3469" w:rsidP="0030517B">
      <w:pPr>
        <w:spacing w:after="160" w:line="360" w:lineRule="auto"/>
        <w:jc w:val="both"/>
        <w:rPr>
          <w:rFonts w:eastAsia="Calibri" w:cs="Calibri"/>
          <w:sz w:val="28"/>
          <w:szCs w:val="28"/>
        </w:rPr>
      </w:pPr>
    </w:p>
    <w:p w:rsidR="0030517B" w:rsidRPr="00C77E20" w:rsidRDefault="0030517B" w:rsidP="0030517B">
      <w:pPr>
        <w:spacing w:after="160" w:line="360" w:lineRule="auto"/>
        <w:jc w:val="both"/>
        <w:rPr>
          <w:rFonts w:eastAsia="Calibri" w:cs="Calibri"/>
          <w:sz w:val="28"/>
          <w:szCs w:val="28"/>
        </w:rPr>
      </w:pPr>
      <w:r w:rsidRPr="00CA099F">
        <w:rPr>
          <w:rFonts w:eastAsia="Calibri" w:cs="Calibri"/>
          <w:sz w:val="28"/>
          <w:szCs w:val="28"/>
        </w:rPr>
        <w:tab/>
      </w:r>
      <w:r w:rsidRPr="00C77E20">
        <w:rPr>
          <w:rFonts w:eastAsia="Calibri" w:cs="Calibri"/>
          <w:sz w:val="28"/>
          <w:szCs w:val="28"/>
        </w:rPr>
        <w:t xml:space="preserve">Досліджуючи показник П1 у 7  пацієнтів </w:t>
      </w:r>
      <w:r w:rsidR="00B83B4E" w:rsidRPr="00C77E20">
        <w:rPr>
          <w:rFonts w:eastAsia="Calibri" w:cs="Calibri"/>
          <w:sz w:val="28"/>
          <w:szCs w:val="28"/>
        </w:rPr>
        <w:t>(35%)</w:t>
      </w:r>
      <w:r w:rsidRPr="00C77E20">
        <w:rPr>
          <w:rFonts w:eastAsia="Calibri" w:cs="Calibri"/>
          <w:sz w:val="28"/>
          <w:szCs w:val="28"/>
        </w:rPr>
        <w:t xml:space="preserve">контрольної групи було відмічено наявність гомогенного атрофічного рубця (у 2 пацієнтів </w:t>
      </w:r>
      <w:r w:rsidR="00B83B4E" w:rsidRPr="00C77E20">
        <w:rPr>
          <w:rFonts w:eastAsia="Calibri" w:cs="Calibri"/>
          <w:sz w:val="28"/>
          <w:szCs w:val="28"/>
        </w:rPr>
        <w:t xml:space="preserve">(10%) </w:t>
      </w:r>
      <w:r w:rsidRPr="00C77E20">
        <w:rPr>
          <w:rFonts w:eastAsia="Calibri" w:cs="Calibri"/>
          <w:sz w:val="28"/>
          <w:szCs w:val="28"/>
        </w:rPr>
        <w:t>з вузликовими розростаннями). Ознаки перетворення на келоїдний рубець зафіксований у 2 пацієнтів</w:t>
      </w:r>
      <w:r w:rsidR="00B83B4E">
        <w:rPr>
          <w:rFonts w:eastAsia="Calibri" w:cs="Calibri"/>
          <w:sz w:val="28"/>
          <w:szCs w:val="28"/>
        </w:rPr>
        <w:t xml:space="preserve"> </w:t>
      </w:r>
      <w:r w:rsidR="00B83B4E" w:rsidRPr="00C77E20">
        <w:rPr>
          <w:rFonts w:eastAsia="Calibri" w:cs="Calibri"/>
          <w:sz w:val="28"/>
          <w:szCs w:val="28"/>
        </w:rPr>
        <w:t>(10%)</w:t>
      </w:r>
      <w:r w:rsidRPr="00C77E20">
        <w:rPr>
          <w:rFonts w:eastAsia="Calibri" w:cs="Calibri"/>
          <w:sz w:val="28"/>
          <w:szCs w:val="28"/>
        </w:rPr>
        <w:t xml:space="preserve">. Ознаки нормотрофічного рубця були зафіксовані у </w:t>
      </w:r>
      <w:r w:rsidR="00836EF4" w:rsidRPr="00B83B4E">
        <w:rPr>
          <w:rFonts w:eastAsia="Calibri" w:cs="Calibri"/>
          <w:sz w:val="28"/>
          <w:szCs w:val="28"/>
        </w:rPr>
        <w:t>11</w:t>
      </w:r>
      <w:r w:rsidR="00836EF4" w:rsidRPr="00C77E20">
        <w:rPr>
          <w:rFonts w:eastAsia="Calibri" w:cs="Calibri"/>
          <w:sz w:val="28"/>
          <w:szCs w:val="28"/>
        </w:rPr>
        <w:t xml:space="preserve"> </w:t>
      </w:r>
      <w:r w:rsidR="00B83B4E">
        <w:rPr>
          <w:rFonts w:eastAsia="Calibri" w:cs="Calibri"/>
          <w:sz w:val="28"/>
          <w:szCs w:val="28"/>
        </w:rPr>
        <w:t xml:space="preserve">випадках </w:t>
      </w:r>
      <w:r w:rsidR="00836EF4" w:rsidRPr="00C77E20">
        <w:rPr>
          <w:rFonts w:eastAsia="Calibri" w:cs="Calibri"/>
          <w:sz w:val="28"/>
          <w:szCs w:val="28"/>
        </w:rPr>
        <w:t>(</w:t>
      </w:r>
      <w:r w:rsidR="00836EF4" w:rsidRPr="00B83B4E">
        <w:rPr>
          <w:rFonts w:eastAsia="Calibri" w:cs="Calibri"/>
          <w:sz w:val="28"/>
          <w:szCs w:val="28"/>
        </w:rPr>
        <w:t>55</w:t>
      </w:r>
      <w:r w:rsidRPr="00C77E20">
        <w:rPr>
          <w:rFonts w:eastAsia="Calibri" w:cs="Calibri"/>
          <w:sz w:val="28"/>
          <w:szCs w:val="28"/>
        </w:rPr>
        <w:t>%).</w:t>
      </w:r>
    </w:p>
    <w:p w:rsidR="0030517B" w:rsidRPr="00CA099F" w:rsidRDefault="0030517B" w:rsidP="0030517B">
      <w:pPr>
        <w:spacing w:after="160" w:line="360" w:lineRule="auto"/>
        <w:jc w:val="both"/>
        <w:rPr>
          <w:rFonts w:eastAsia="Calibri" w:cs="Calibri"/>
          <w:sz w:val="28"/>
          <w:szCs w:val="28"/>
        </w:rPr>
      </w:pPr>
      <w:r w:rsidRPr="00C77E20">
        <w:rPr>
          <w:rFonts w:eastAsia="Calibri" w:cs="Calibri"/>
          <w:sz w:val="28"/>
          <w:szCs w:val="28"/>
        </w:rPr>
        <w:tab/>
        <w:t xml:space="preserve">Наявність атрофічного рубця у пацієнтів 1-ї групи нами зафіксовано в 6 (30%) випадках (у 1 пацієнта </w:t>
      </w:r>
      <w:r w:rsidR="00B83B4E" w:rsidRPr="00C77E20">
        <w:rPr>
          <w:rFonts w:eastAsia="Calibri" w:cs="Calibri"/>
          <w:sz w:val="28"/>
          <w:szCs w:val="28"/>
        </w:rPr>
        <w:t xml:space="preserve">(5%) </w:t>
      </w:r>
      <w:r w:rsidRPr="00C77E20">
        <w:rPr>
          <w:rFonts w:eastAsia="Calibri" w:cs="Calibri"/>
          <w:sz w:val="28"/>
          <w:szCs w:val="28"/>
        </w:rPr>
        <w:t xml:space="preserve">з вузликовими розростаннями). У 1 пацієнта </w:t>
      </w:r>
      <w:r w:rsidR="00B83B4E" w:rsidRPr="00C77E20">
        <w:rPr>
          <w:rFonts w:eastAsia="Calibri" w:cs="Calibri"/>
          <w:sz w:val="28"/>
          <w:szCs w:val="28"/>
        </w:rPr>
        <w:t xml:space="preserve">(5%) </w:t>
      </w:r>
      <w:r w:rsidRPr="00C77E20">
        <w:rPr>
          <w:rFonts w:eastAsia="Calibri" w:cs="Calibri"/>
          <w:sz w:val="28"/>
          <w:szCs w:val="28"/>
        </w:rPr>
        <w:t xml:space="preserve">зафіксовано вірогідне утворення гіпертрофічного рубця та утворення келоїду – також у 1 </w:t>
      </w:r>
      <w:r w:rsidR="00B83B4E" w:rsidRPr="00C77E20">
        <w:rPr>
          <w:rFonts w:eastAsia="Calibri" w:cs="Calibri"/>
          <w:sz w:val="28"/>
          <w:szCs w:val="28"/>
        </w:rPr>
        <w:t xml:space="preserve">пацієнта </w:t>
      </w:r>
      <w:r w:rsidRPr="00C77E20">
        <w:rPr>
          <w:rFonts w:eastAsia="Calibri" w:cs="Calibri"/>
          <w:sz w:val="28"/>
          <w:szCs w:val="28"/>
        </w:rPr>
        <w:t>(5%). Наявність нормотрофічного рубця нами з</w:t>
      </w:r>
      <w:r w:rsidR="00C77E20" w:rsidRPr="00C77E20">
        <w:rPr>
          <w:rFonts w:eastAsia="Calibri" w:cs="Calibri"/>
          <w:sz w:val="28"/>
          <w:szCs w:val="28"/>
        </w:rPr>
        <w:t>афіксовано у 1</w:t>
      </w:r>
      <w:r w:rsidR="00C77E20" w:rsidRPr="00C77E20">
        <w:rPr>
          <w:rFonts w:eastAsia="Calibri" w:cs="Calibri"/>
          <w:sz w:val="28"/>
          <w:szCs w:val="28"/>
          <w:lang w:val="ru-RU"/>
        </w:rPr>
        <w:t>2</w:t>
      </w:r>
      <w:r w:rsidRPr="00C77E20">
        <w:rPr>
          <w:rFonts w:eastAsia="Calibri" w:cs="Calibri"/>
          <w:sz w:val="28"/>
          <w:szCs w:val="28"/>
        </w:rPr>
        <w:t xml:space="preserve"> пацієнтів</w:t>
      </w:r>
      <w:r w:rsidR="00B83B4E">
        <w:rPr>
          <w:rFonts w:eastAsia="Calibri" w:cs="Calibri"/>
          <w:sz w:val="28"/>
          <w:szCs w:val="28"/>
        </w:rPr>
        <w:t xml:space="preserve"> </w:t>
      </w:r>
      <w:r w:rsidR="00B83B4E" w:rsidRPr="00C77E20">
        <w:rPr>
          <w:rFonts w:eastAsia="Calibri" w:cs="Calibri"/>
          <w:sz w:val="28"/>
          <w:szCs w:val="28"/>
        </w:rPr>
        <w:t>(6</w:t>
      </w:r>
      <w:r w:rsidR="00B83B4E" w:rsidRPr="00C77E20">
        <w:rPr>
          <w:rFonts w:eastAsia="Calibri" w:cs="Calibri"/>
          <w:sz w:val="28"/>
          <w:szCs w:val="28"/>
          <w:lang w:val="ru-RU"/>
        </w:rPr>
        <w:t>0</w:t>
      </w:r>
      <w:r w:rsidR="00B83B4E" w:rsidRPr="00C77E20">
        <w:rPr>
          <w:rFonts w:eastAsia="Calibri" w:cs="Calibri"/>
          <w:sz w:val="28"/>
          <w:szCs w:val="28"/>
        </w:rPr>
        <w:t>%)</w:t>
      </w:r>
      <w:r w:rsidRPr="00C77E20">
        <w:rPr>
          <w:rFonts w:eastAsia="Calibri" w:cs="Calibri"/>
          <w:sz w:val="28"/>
          <w:szCs w:val="28"/>
        </w:rPr>
        <w:t>.</w:t>
      </w:r>
    </w:p>
    <w:p w:rsidR="0030517B" w:rsidRPr="00CA099F" w:rsidRDefault="0030517B" w:rsidP="0030517B">
      <w:pPr>
        <w:spacing w:after="160" w:line="360" w:lineRule="auto"/>
        <w:jc w:val="both"/>
        <w:rPr>
          <w:rFonts w:eastAsia="Calibri" w:cs="Calibri"/>
          <w:sz w:val="28"/>
          <w:szCs w:val="28"/>
        </w:rPr>
      </w:pPr>
      <w:r w:rsidRPr="00CA099F">
        <w:rPr>
          <w:rFonts w:eastAsia="Calibri" w:cs="Calibri"/>
          <w:sz w:val="28"/>
          <w:szCs w:val="28"/>
        </w:rPr>
        <w:tab/>
        <w:t>У пацієнтів 2-ї групи елементи атрофічно-змінених тканин рубця зафіксовано в 3 випадках</w:t>
      </w:r>
      <w:r w:rsidR="000817FF">
        <w:rPr>
          <w:rFonts w:eastAsia="Calibri" w:cs="Calibri"/>
          <w:sz w:val="28"/>
          <w:szCs w:val="28"/>
        </w:rPr>
        <w:t xml:space="preserve"> </w:t>
      </w:r>
      <w:r w:rsidR="000817FF" w:rsidRPr="00CA099F">
        <w:rPr>
          <w:rFonts w:eastAsia="Calibri" w:cs="Calibri"/>
          <w:sz w:val="28"/>
          <w:szCs w:val="28"/>
        </w:rPr>
        <w:t>(15%)</w:t>
      </w:r>
      <w:r w:rsidRPr="00CA099F">
        <w:rPr>
          <w:rFonts w:eastAsia="Calibri" w:cs="Calibri"/>
          <w:sz w:val="28"/>
          <w:szCs w:val="28"/>
        </w:rPr>
        <w:t>, при чому в 100% нами спостерігалися гомогенні тканини. Наявність гіпертрофічного рубця гомогенної природи нами зафіксовано у 1 пацієнта</w:t>
      </w:r>
      <w:r w:rsidR="000817FF">
        <w:rPr>
          <w:rFonts w:eastAsia="Calibri" w:cs="Calibri"/>
          <w:sz w:val="28"/>
          <w:szCs w:val="28"/>
        </w:rPr>
        <w:t xml:space="preserve"> </w:t>
      </w:r>
      <w:r w:rsidR="000817FF" w:rsidRPr="00CA099F">
        <w:rPr>
          <w:rFonts w:eastAsia="Calibri" w:cs="Calibri"/>
          <w:sz w:val="28"/>
          <w:szCs w:val="28"/>
        </w:rPr>
        <w:t>(5%)</w:t>
      </w:r>
      <w:r w:rsidRPr="00CA099F">
        <w:rPr>
          <w:rFonts w:eastAsia="Calibri" w:cs="Calibri"/>
          <w:sz w:val="28"/>
          <w:szCs w:val="28"/>
        </w:rPr>
        <w:t>. Ознак келоїдизації рубців нами в цій групі не зафіксовано.</w:t>
      </w:r>
    </w:p>
    <w:p w:rsidR="0030517B" w:rsidRPr="00CA099F" w:rsidRDefault="0030517B" w:rsidP="0030517B">
      <w:pPr>
        <w:spacing w:after="160" w:line="360" w:lineRule="auto"/>
        <w:jc w:val="both"/>
        <w:rPr>
          <w:rFonts w:eastAsia="Calibri" w:cs="Calibri"/>
          <w:sz w:val="28"/>
          <w:szCs w:val="28"/>
        </w:rPr>
      </w:pPr>
      <w:r w:rsidRPr="00CA099F">
        <w:rPr>
          <w:rFonts w:eastAsia="Calibri" w:cs="Calibri"/>
          <w:sz w:val="28"/>
          <w:szCs w:val="28"/>
        </w:rPr>
        <w:tab/>
        <w:t xml:space="preserve">Аналізуючи показник П2 слід зауважити що у 10 пацієнтів </w:t>
      </w:r>
      <w:r w:rsidR="000817FF" w:rsidRPr="00CA099F">
        <w:rPr>
          <w:rFonts w:eastAsia="Calibri" w:cs="Calibri"/>
          <w:sz w:val="28"/>
          <w:szCs w:val="28"/>
        </w:rPr>
        <w:t xml:space="preserve">(50%) </w:t>
      </w:r>
      <w:r w:rsidRPr="00CA099F">
        <w:rPr>
          <w:rFonts w:eastAsia="Calibri" w:cs="Calibri"/>
          <w:sz w:val="28"/>
          <w:szCs w:val="28"/>
        </w:rPr>
        <w:t xml:space="preserve">контрольної групи при пальпації визначалася нормальна консистенція рубця, а ознаки ущільнення залишалися у 9 </w:t>
      </w:r>
      <w:r w:rsidR="00D96DA9">
        <w:rPr>
          <w:rFonts w:eastAsia="Calibri" w:cs="Calibri"/>
          <w:sz w:val="28"/>
          <w:szCs w:val="28"/>
        </w:rPr>
        <w:t>пацієнтів</w:t>
      </w:r>
      <w:r w:rsidR="000817FF">
        <w:rPr>
          <w:rFonts w:eastAsia="Calibri" w:cs="Calibri"/>
          <w:sz w:val="28"/>
          <w:szCs w:val="28"/>
        </w:rPr>
        <w:t xml:space="preserve"> </w:t>
      </w:r>
      <w:r w:rsidR="000817FF" w:rsidRPr="00CA099F">
        <w:rPr>
          <w:rFonts w:eastAsia="Calibri" w:cs="Calibri"/>
          <w:sz w:val="28"/>
          <w:szCs w:val="28"/>
        </w:rPr>
        <w:t>(45%)</w:t>
      </w:r>
      <w:r w:rsidRPr="00CA099F">
        <w:rPr>
          <w:rFonts w:eastAsia="Calibri" w:cs="Calibri"/>
          <w:sz w:val="28"/>
          <w:szCs w:val="28"/>
        </w:rPr>
        <w:t xml:space="preserve">, у 1-ого (5%) </w:t>
      </w:r>
      <w:r w:rsidR="000817FF">
        <w:rPr>
          <w:rFonts w:eastAsia="Calibri" w:cs="Calibri"/>
          <w:sz w:val="28"/>
          <w:szCs w:val="28"/>
        </w:rPr>
        <w:t xml:space="preserve">– </w:t>
      </w:r>
      <w:r w:rsidRPr="00CA099F">
        <w:rPr>
          <w:rFonts w:eastAsia="Calibri" w:cs="Calibri"/>
          <w:sz w:val="28"/>
          <w:szCs w:val="28"/>
        </w:rPr>
        <w:t xml:space="preserve">залишилися остаточні явища індурації рубцевозмінених тканин в дистальних відділах рубця. </w:t>
      </w:r>
    </w:p>
    <w:p w:rsidR="0030517B" w:rsidRPr="00CA099F" w:rsidRDefault="0030517B" w:rsidP="005B77D6">
      <w:pPr>
        <w:spacing w:after="0" w:line="360" w:lineRule="auto"/>
        <w:jc w:val="both"/>
        <w:rPr>
          <w:rFonts w:eastAsia="Calibri" w:cs="Calibri"/>
          <w:sz w:val="28"/>
          <w:szCs w:val="28"/>
        </w:rPr>
      </w:pPr>
      <w:r w:rsidRPr="00CA099F">
        <w:rPr>
          <w:rFonts w:eastAsia="Calibri" w:cs="Calibri"/>
          <w:sz w:val="28"/>
          <w:szCs w:val="28"/>
        </w:rPr>
        <w:tab/>
        <w:t xml:space="preserve">У 1-ій групі </w:t>
      </w:r>
      <w:r w:rsidR="00FE212B">
        <w:rPr>
          <w:rFonts w:eastAsia="Calibri" w:cs="Calibri"/>
          <w:sz w:val="28"/>
          <w:szCs w:val="28"/>
        </w:rPr>
        <w:t xml:space="preserve">спостереження </w:t>
      </w:r>
      <w:r w:rsidRPr="00CA099F">
        <w:rPr>
          <w:rFonts w:eastAsia="Calibri" w:cs="Calibri"/>
          <w:sz w:val="28"/>
          <w:szCs w:val="28"/>
        </w:rPr>
        <w:t>ознаки нормальної консистенції відзначалися у 14 пацієнтів</w:t>
      </w:r>
      <w:r w:rsidR="00B5758E">
        <w:rPr>
          <w:rFonts w:eastAsia="Calibri" w:cs="Calibri"/>
          <w:sz w:val="28"/>
          <w:szCs w:val="28"/>
        </w:rPr>
        <w:t xml:space="preserve"> </w:t>
      </w:r>
      <w:r w:rsidR="00B5758E" w:rsidRPr="00CA099F">
        <w:rPr>
          <w:rFonts w:eastAsia="Calibri" w:cs="Calibri"/>
          <w:sz w:val="28"/>
          <w:szCs w:val="28"/>
        </w:rPr>
        <w:t>(70%)</w:t>
      </w:r>
      <w:r w:rsidRPr="00CA099F">
        <w:rPr>
          <w:rFonts w:eastAsia="Calibri" w:cs="Calibri"/>
          <w:sz w:val="28"/>
          <w:szCs w:val="28"/>
        </w:rPr>
        <w:t xml:space="preserve">. При цьому кількість пацієнтів з ущільненнями в центральній частині зменшилося до 6 (30%). У 1 пацієнта </w:t>
      </w:r>
      <w:r w:rsidR="00FE212B" w:rsidRPr="00CA099F">
        <w:rPr>
          <w:rFonts w:eastAsia="Calibri" w:cs="Calibri"/>
          <w:sz w:val="28"/>
          <w:szCs w:val="28"/>
        </w:rPr>
        <w:t xml:space="preserve">(5%) </w:t>
      </w:r>
      <w:r w:rsidRPr="00CA099F">
        <w:rPr>
          <w:rFonts w:eastAsia="Calibri" w:cs="Calibri"/>
          <w:sz w:val="28"/>
          <w:szCs w:val="28"/>
        </w:rPr>
        <w:t>пальпувалися поодинокі ущільнення в ділянці дистального краю. Явища індурації в центральній частині рубця, на які скаржився 1 пацієнт</w:t>
      </w:r>
      <w:r w:rsidR="00FE212B">
        <w:rPr>
          <w:rFonts w:eastAsia="Calibri" w:cs="Calibri"/>
          <w:sz w:val="28"/>
          <w:szCs w:val="28"/>
        </w:rPr>
        <w:t xml:space="preserve"> </w:t>
      </w:r>
      <w:r w:rsidR="00FE212B" w:rsidRPr="00CA099F">
        <w:rPr>
          <w:rFonts w:eastAsia="Calibri" w:cs="Calibri"/>
          <w:sz w:val="28"/>
          <w:szCs w:val="28"/>
        </w:rPr>
        <w:t>(5%)</w:t>
      </w:r>
      <w:r w:rsidRPr="00CA099F">
        <w:rPr>
          <w:rFonts w:eastAsia="Calibri" w:cs="Calibri"/>
          <w:sz w:val="28"/>
          <w:szCs w:val="28"/>
        </w:rPr>
        <w:t>, зникли.</w:t>
      </w:r>
    </w:p>
    <w:p w:rsidR="0030517B" w:rsidRPr="00CA099F" w:rsidRDefault="0030517B" w:rsidP="005B77D6">
      <w:pPr>
        <w:spacing w:after="0" w:line="360" w:lineRule="auto"/>
        <w:jc w:val="both"/>
        <w:rPr>
          <w:rFonts w:eastAsia="Calibri" w:cs="Calibri"/>
          <w:sz w:val="28"/>
          <w:szCs w:val="28"/>
        </w:rPr>
      </w:pPr>
      <w:r w:rsidRPr="00CA099F">
        <w:rPr>
          <w:rFonts w:eastAsia="Calibri" w:cs="Calibri"/>
          <w:sz w:val="28"/>
          <w:szCs w:val="28"/>
        </w:rPr>
        <w:lastRenderedPageBreak/>
        <w:tab/>
        <w:t xml:space="preserve">У </w:t>
      </w:r>
      <w:r w:rsidR="00D96DA9">
        <w:rPr>
          <w:rFonts w:eastAsia="Calibri" w:cs="Calibri"/>
          <w:sz w:val="28"/>
          <w:szCs w:val="28"/>
        </w:rPr>
        <w:t>пацієнтів</w:t>
      </w:r>
      <w:r w:rsidRPr="00CA099F">
        <w:rPr>
          <w:rFonts w:eastAsia="Calibri" w:cs="Calibri"/>
          <w:sz w:val="28"/>
          <w:szCs w:val="28"/>
        </w:rPr>
        <w:t xml:space="preserve"> 2-ї групи спостерігалася позитивна динаміка формування рубцевозмінених тканин, а саме: нормальна консистенція визначалась у 16 </w:t>
      </w:r>
      <w:r w:rsidR="00D96DA9">
        <w:rPr>
          <w:rFonts w:eastAsia="Calibri" w:cs="Calibri"/>
          <w:sz w:val="28"/>
          <w:szCs w:val="28"/>
        </w:rPr>
        <w:t>пацієнтів</w:t>
      </w:r>
      <w:r w:rsidR="00B5758E">
        <w:rPr>
          <w:rFonts w:eastAsia="Calibri" w:cs="Calibri"/>
          <w:sz w:val="28"/>
          <w:szCs w:val="28"/>
        </w:rPr>
        <w:t xml:space="preserve"> </w:t>
      </w:r>
      <w:r w:rsidR="00B5758E" w:rsidRPr="00CA099F">
        <w:rPr>
          <w:rFonts w:eastAsia="Calibri" w:cs="Calibri"/>
          <w:sz w:val="28"/>
          <w:szCs w:val="28"/>
        </w:rPr>
        <w:t>(80%)</w:t>
      </w:r>
      <w:r w:rsidRPr="00CA099F">
        <w:rPr>
          <w:rFonts w:eastAsia="Calibri" w:cs="Calibri"/>
          <w:sz w:val="28"/>
          <w:szCs w:val="28"/>
        </w:rPr>
        <w:t xml:space="preserve">, у 4 пацієнтів </w:t>
      </w:r>
      <w:r w:rsidR="00B5758E" w:rsidRPr="00CA099F">
        <w:rPr>
          <w:rFonts w:eastAsia="Calibri" w:cs="Calibri"/>
          <w:sz w:val="28"/>
          <w:szCs w:val="28"/>
        </w:rPr>
        <w:t xml:space="preserve">(20%) </w:t>
      </w:r>
      <w:r w:rsidRPr="00CA099F">
        <w:rPr>
          <w:rFonts w:eastAsia="Calibri" w:cs="Calibri"/>
          <w:sz w:val="28"/>
          <w:szCs w:val="28"/>
        </w:rPr>
        <w:t>визначалися поодинокі осередки ущільнення в центральній частині без їх наявності в маргінальних краях рубця. Ознак індурації рубця нами не виявлено.</w:t>
      </w:r>
    </w:p>
    <w:p w:rsidR="0030517B" w:rsidRPr="00CA099F" w:rsidRDefault="0030517B" w:rsidP="005B77D6">
      <w:pPr>
        <w:spacing w:after="0" w:line="360" w:lineRule="auto"/>
        <w:jc w:val="both"/>
        <w:rPr>
          <w:rFonts w:eastAsia="Calibri" w:cs="Calibri"/>
          <w:sz w:val="28"/>
          <w:szCs w:val="28"/>
        </w:rPr>
      </w:pPr>
      <w:r w:rsidRPr="00CA099F">
        <w:rPr>
          <w:rFonts w:eastAsia="Calibri" w:cs="Calibri"/>
          <w:sz w:val="28"/>
          <w:szCs w:val="28"/>
        </w:rPr>
        <w:tab/>
        <w:t>При вивченні змін показника П3 на 6 місяць післяопераційного періоду в контрольній групі ознаки здорової шкіри були визначені у 10 пацієнтів</w:t>
      </w:r>
      <w:r w:rsidR="008D025C">
        <w:rPr>
          <w:rFonts w:eastAsia="Calibri" w:cs="Calibri"/>
          <w:sz w:val="28"/>
          <w:szCs w:val="28"/>
        </w:rPr>
        <w:t xml:space="preserve"> </w:t>
      </w:r>
      <w:r w:rsidR="008D025C" w:rsidRPr="00CA099F">
        <w:rPr>
          <w:rFonts w:eastAsia="Calibri" w:cs="Calibri"/>
          <w:sz w:val="28"/>
          <w:szCs w:val="28"/>
        </w:rPr>
        <w:t>(50%)</w:t>
      </w:r>
      <w:r w:rsidRPr="00CA099F">
        <w:rPr>
          <w:rFonts w:eastAsia="Calibri" w:cs="Calibri"/>
          <w:sz w:val="28"/>
          <w:szCs w:val="28"/>
        </w:rPr>
        <w:t xml:space="preserve">. У 6 пацієнтів </w:t>
      </w:r>
      <w:r w:rsidR="008D025C" w:rsidRPr="00CA099F">
        <w:rPr>
          <w:rFonts w:eastAsia="Calibri" w:cs="Calibri"/>
          <w:sz w:val="28"/>
          <w:szCs w:val="28"/>
        </w:rPr>
        <w:t xml:space="preserve">(30%) </w:t>
      </w:r>
      <w:r w:rsidRPr="00CA099F">
        <w:rPr>
          <w:rFonts w:eastAsia="Calibri" w:cs="Calibri"/>
          <w:sz w:val="28"/>
          <w:szCs w:val="28"/>
        </w:rPr>
        <w:t xml:space="preserve">нами </w:t>
      </w:r>
      <w:r w:rsidR="008D025C">
        <w:rPr>
          <w:rFonts w:eastAsia="Calibri" w:cs="Calibri"/>
          <w:sz w:val="28"/>
          <w:szCs w:val="28"/>
        </w:rPr>
        <w:t xml:space="preserve">була </w:t>
      </w:r>
      <w:r w:rsidRPr="00CA099F">
        <w:rPr>
          <w:rFonts w:eastAsia="Calibri" w:cs="Calibri"/>
          <w:sz w:val="28"/>
          <w:szCs w:val="28"/>
        </w:rPr>
        <w:t>визначена помірна еритема, а в 4 (20%) – виражена.</w:t>
      </w:r>
    </w:p>
    <w:p w:rsidR="0030517B" w:rsidRPr="00CA099F" w:rsidRDefault="008D025C" w:rsidP="005B77D6">
      <w:pPr>
        <w:spacing w:after="0" w:line="360" w:lineRule="auto"/>
        <w:jc w:val="both"/>
        <w:rPr>
          <w:rFonts w:eastAsia="Calibri" w:cs="Calibri"/>
          <w:sz w:val="28"/>
          <w:szCs w:val="28"/>
        </w:rPr>
      </w:pPr>
      <w:r>
        <w:rPr>
          <w:rFonts w:eastAsia="Calibri" w:cs="Calibri"/>
          <w:sz w:val="28"/>
          <w:szCs w:val="28"/>
        </w:rPr>
        <w:tab/>
        <w:t>У</w:t>
      </w:r>
      <w:r w:rsidR="0030517B" w:rsidRPr="00CA099F">
        <w:rPr>
          <w:rFonts w:eastAsia="Calibri" w:cs="Calibri"/>
          <w:sz w:val="28"/>
          <w:szCs w:val="28"/>
        </w:rPr>
        <w:t xml:space="preserve"> 1-ій групі </w:t>
      </w:r>
      <w:r w:rsidR="00D96DA9">
        <w:rPr>
          <w:rFonts w:eastAsia="Calibri" w:cs="Calibri"/>
          <w:sz w:val="28"/>
          <w:szCs w:val="28"/>
        </w:rPr>
        <w:t>пацієнтів</w:t>
      </w:r>
      <w:r w:rsidR="0030517B" w:rsidRPr="00CA099F">
        <w:rPr>
          <w:rFonts w:eastAsia="Calibri" w:cs="Calibri"/>
          <w:sz w:val="28"/>
          <w:szCs w:val="28"/>
        </w:rPr>
        <w:t xml:space="preserve"> у 11 випадках </w:t>
      </w:r>
      <w:r w:rsidR="0033398C" w:rsidRPr="00CA099F">
        <w:rPr>
          <w:rFonts w:eastAsia="Calibri" w:cs="Calibri"/>
          <w:sz w:val="28"/>
          <w:szCs w:val="28"/>
        </w:rPr>
        <w:t xml:space="preserve">(55%) </w:t>
      </w:r>
      <w:r w:rsidR="0030517B" w:rsidRPr="00CA099F">
        <w:rPr>
          <w:rFonts w:eastAsia="Calibri" w:cs="Calibri"/>
          <w:sz w:val="28"/>
          <w:szCs w:val="28"/>
        </w:rPr>
        <w:t>нами зафіксовано ознаки здорової шкіри</w:t>
      </w:r>
      <w:r>
        <w:rPr>
          <w:rFonts w:eastAsia="Calibri" w:cs="Calibri"/>
          <w:sz w:val="28"/>
          <w:szCs w:val="28"/>
        </w:rPr>
        <w:t>,</w:t>
      </w:r>
      <w:r w:rsidR="0030517B" w:rsidRPr="00CA099F">
        <w:rPr>
          <w:rFonts w:eastAsia="Calibri" w:cs="Calibri"/>
          <w:sz w:val="28"/>
          <w:szCs w:val="28"/>
        </w:rPr>
        <w:t xml:space="preserve"> з візуалізацією помірної еритеми у 6 (30%) та вираженої – у 3 </w:t>
      </w:r>
      <w:r w:rsidR="00D96DA9">
        <w:rPr>
          <w:rFonts w:eastAsia="Calibri" w:cs="Calibri"/>
          <w:sz w:val="28"/>
          <w:szCs w:val="28"/>
        </w:rPr>
        <w:t>пацієнтів</w:t>
      </w:r>
      <w:r w:rsidR="0033398C">
        <w:rPr>
          <w:rFonts w:eastAsia="Calibri" w:cs="Calibri"/>
          <w:sz w:val="28"/>
          <w:szCs w:val="28"/>
        </w:rPr>
        <w:t xml:space="preserve"> </w:t>
      </w:r>
      <w:r w:rsidR="0033398C" w:rsidRPr="00CA099F">
        <w:rPr>
          <w:rFonts w:eastAsia="Calibri" w:cs="Calibri"/>
          <w:sz w:val="28"/>
          <w:szCs w:val="28"/>
        </w:rPr>
        <w:t>(15%)</w:t>
      </w:r>
      <w:r w:rsidR="0030517B" w:rsidRPr="00CA099F">
        <w:rPr>
          <w:rFonts w:eastAsia="Calibri" w:cs="Calibri"/>
          <w:sz w:val="28"/>
          <w:szCs w:val="28"/>
        </w:rPr>
        <w:t>.</w:t>
      </w:r>
    </w:p>
    <w:p w:rsidR="0030517B" w:rsidRPr="00CA099F" w:rsidRDefault="0030517B" w:rsidP="005B77D6">
      <w:pPr>
        <w:spacing w:after="0" w:line="360" w:lineRule="auto"/>
        <w:jc w:val="both"/>
        <w:rPr>
          <w:rFonts w:eastAsia="Calibri" w:cs="Calibri"/>
          <w:sz w:val="28"/>
          <w:szCs w:val="28"/>
        </w:rPr>
      </w:pPr>
      <w:r w:rsidRPr="00CA099F">
        <w:rPr>
          <w:rFonts w:eastAsia="Calibri" w:cs="Calibri"/>
          <w:sz w:val="28"/>
          <w:szCs w:val="28"/>
        </w:rPr>
        <w:tab/>
      </w:r>
      <w:r w:rsidR="0033398C">
        <w:rPr>
          <w:rFonts w:eastAsia="Calibri" w:cs="Calibri"/>
          <w:sz w:val="28"/>
          <w:szCs w:val="28"/>
        </w:rPr>
        <w:t>У</w:t>
      </w:r>
      <w:r w:rsidRPr="00CA099F">
        <w:rPr>
          <w:rFonts w:eastAsia="Calibri" w:cs="Calibri"/>
          <w:sz w:val="28"/>
          <w:szCs w:val="28"/>
        </w:rPr>
        <w:t xml:space="preserve"> 2-ій групі близький до норми стан шкіри нами спостерігався в 13 випадках</w:t>
      </w:r>
      <w:r w:rsidR="00D3171A">
        <w:rPr>
          <w:rFonts w:eastAsia="Calibri" w:cs="Calibri"/>
          <w:sz w:val="28"/>
          <w:szCs w:val="28"/>
        </w:rPr>
        <w:t xml:space="preserve"> </w:t>
      </w:r>
      <w:r w:rsidR="00D3171A" w:rsidRPr="00CA099F">
        <w:rPr>
          <w:rFonts w:eastAsia="Calibri" w:cs="Calibri"/>
          <w:sz w:val="28"/>
          <w:szCs w:val="28"/>
        </w:rPr>
        <w:t>(65%)</w:t>
      </w:r>
      <w:r w:rsidRPr="00CA099F">
        <w:rPr>
          <w:rFonts w:eastAsia="Calibri" w:cs="Calibri"/>
          <w:sz w:val="28"/>
          <w:szCs w:val="28"/>
        </w:rPr>
        <w:t xml:space="preserve">. У 5 пацієнтів </w:t>
      </w:r>
      <w:r w:rsidR="00D3171A" w:rsidRPr="00CA099F">
        <w:rPr>
          <w:rFonts w:eastAsia="Calibri" w:cs="Calibri"/>
          <w:sz w:val="28"/>
          <w:szCs w:val="28"/>
        </w:rPr>
        <w:t xml:space="preserve">(25%) </w:t>
      </w:r>
      <w:r w:rsidRPr="00CA099F">
        <w:rPr>
          <w:rFonts w:eastAsia="Calibri" w:cs="Calibri"/>
          <w:sz w:val="28"/>
          <w:szCs w:val="28"/>
        </w:rPr>
        <w:t>встановлені ознаки помірної еритеми, кількість пацієнт</w:t>
      </w:r>
      <w:r w:rsidR="0033398C">
        <w:rPr>
          <w:rFonts w:eastAsia="Calibri" w:cs="Calibri"/>
          <w:sz w:val="28"/>
          <w:szCs w:val="28"/>
        </w:rPr>
        <w:t>ів з вираженою еритемою зменшила</w:t>
      </w:r>
      <w:r w:rsidRPr="00CA099F">
        <w:rPr>
          <w:rFonts w:eastAsia="Calibri" w:cs="Calibri"/>
          <w:sz w:val="28"/>
          <w:szCs w:val="28"/>
        </w:rPr>
        <w:t>ся до 2 (10%).</w:t>
      </w:r>
    </w:p>
    <w:p w:rsidR="0030517B" w:rsidRPr="00CA099F" w:rsidRDefault="0030517B" w:rsidP="005B77D6">
      <w:pPr>
        <w:spacing w:after="0" w:line="360" w:lineRule="auto"/>
        <w:jc w:val="both"/>
        <w:rPr>
          <w:rFonts w:eastAsia="Calibri" w:cs="Calibri"/>
          <w:sz w:val="28"/>
          <w:szCs w:val="28"/>
        </w:rPr>
      </w:pPr>
      <w:r w:rsidRPr="00CA099F">
        <w:rPr>
          <w:rFonts w:eastAsia="Calibri" w:cs="Calibri"/>
          <w:sz w:val="28"/>
          <w:szCs w:val="28"/>
        </w:rPr>
        <w:tab/>
        <w:t>Аналіз характеру зміни параметрів утворення рубцевозмінених тканин за даними показника П4 встановив, що в контрольній групі на 6 місяць післяопераційного періоду стан напруженості рубця пацієнти відмічали у 11 випадках</w:t>
      </w:r>
      <w:r w:rsidR="00D3171A">
        <w:rPr>
          <w:rFonts w:eastAsia="Calibri" w:cs="Calibri"/>
          <w:sz w:val="28"/>
          <w:szCs w:val="28"/>
        </w:rPr>
        <w:t xml:space="preserve"> </w:t>
      </w:r>
      <w:r w:rsidR="00D3171A" w:rsidRPr="00CA099F">
        <w:rPr>
          <w:rFonts w:eastAsia="Calibri" w:cs="Calibri"/>
          <w:sz w:val="28"/>
          <w:szCs w:val="28"/>
        </w:rPr>
        <w:t>(55%)</w:t>
      </w:r>
      <w:r w:rsidRPr="00CA099F">
        <w:rPr>
          <w:rFonts w:eastAsia="Calibri" w:cs="Calibri"/>
          <w:sz w:val="28"/>
          <w:szCs w:val="28"/>
        </w:rPr>
        <w:t xml:space="preserve">. 4 пацієнта </w:t>
      </w:r>
      <w:r w:rsidR="00D3171A" w:rsidRPr="00CA099F">
        <w:rPr>
          <w:rFonts w:eastAsia="Calibri" w:cs="Calibri"/>
          <w:sz w:val="28"/>
          <w:szCs w:val="28"/>
        </w:rPr>
        <w:t xml:space="preserve">(20%) </w:t>
      </w:r>
      <w:r w:rsidRPr="00CA099F">
        <w:rPr>
          <w:rFonts w:eastAsia="Calibri" w:cs="Calibri"/>
          <w:sz w:val="28"/>
          <w:szCs w:val="28"/>
        </w:rPr>
        <w:t>скаржилися на свербіж, 1 (5%) – на біль. Скарги на печію не відзначалися.</w:t>
      </w:r>
    </w:p>
    <w:p w:rsidR="0030517B" w:rsidRPr="00CA099F" w:rsidRDefault="0030517B" w:rsidP="005B77D6">
      <w:pPr>
        <w:spacing w:after="0" w:line="360" w:lineRule="auto"/>
        <w:ind w:firstLine="708"/>
        <w:jc w:val="both"/>
        <w:rPr>
          <w:rFonts w:eastAsia="Calibri" w:cs="Calibri"/>
          <w:sz w:val="28"/>
          <w:szCs w:val="28"/>
        </w:rPr>
      </w:pPr>
      <w:r w:rsidRPr="00CA099F">
        <w:rPr>
          <w:rFonts w:eastAsia="Calibri" w:cs="Calibri"/>
          <w:sz w:val="28"/>
          <w:szCs w:val="28"/>
        </w:rPr>
        <w:t xml:space="preserve">В 1-ій групі </w:t>
      </w:r>
      <w:r w:rsidR="00D96DA9">
        <w:rPr>
          <w:rFonts w:eastAsia="Calibri" w:cs="Calibri"/>
          <w:sz w:val="28"/>
          <w:szCs w:val="28"/>
        </w:rPr>
        <w:t>пацієнтів</w:t>
      </w:r>
      <w:r w:rsidRPr="00CA099F">
        <w:rPr>
          <w:rFonts w:eastAsia="Calibri" w:cs="Calibri"/>
          <w:sz w:val="28"/>
          <w:szCs w:val="28"/>
        </w:rPr>
        <w:t xml:space="preserve"> ознаки напруженості рубця відмічено в 10 випадках</w:t>
      </w:r>
      <w:r w:rsidR="00B5758E">
        <w:rPr>
          <w:rFonts w:eastAsia="Calibri" w:cs="Calibri"/>
          <w:sz w:val="28"/>
          <w:szCs w:val="28"/>
        </w:rPr>
        <w:t xml:space="preserve"> </w:t>
      </w:r>
      <w:r w:rsidR="00B5758E" w:rsidRPr="00CA099F">
        <w:rPr>
          <w:rFonts w:eastAsia="Calibri" w:cs="Calibri"/>
          <w:sz w:val="28"/>
          <w:szCs w:val="28"/>
        </w:rPr>
        <w:t>(50%)</w:t>
      </w:r>
      <w:r w:rsidRPr="00CA099F">
        <w:rPr>
          <w:rFonts w:eastAsia="Calibri" w:cs="Calibri"/>
          <w:sz w:val="28"/>
          <w:szCs w:val="28"/>
        </w:rPr>
        <w:t>, свербіж відзначався у 2 пацієнтів</w:t>
      </w:r>
      <w:r w:rsidR="007303A4" w:rsidRPr="007303A4">
        <w:rPr>
          <w:rFonts w:eastAsia="Calibri" w:cs="Calibri"/>
          <w:sz w:val="28"/>
          <w:szCs w:val="28"/>
        </w:rPr>
        <w:t xml:space="preserve"> </w:t>
      </w:r>
      <w:r w:rsidR="007303A4">
        <w:rPr>
          <w:rFonts w:eastAsia="Calibri" w:cs="Calibri"/>
          <w:sz w:val="28"/>
          <w:szCs w:val="28"/>
        </w:rPr>
        <w:t>(10%)</w:t>
      </w:r>
      <w:r w:rsidRPr="00CA099F">
        <w:rPr>
          <w:rFonts w:eastAsia="Calibri" w:cs="Calibri"/>
          <w:sz w:val="28"/>
          <w:szCs w:val="28"/>
        </w:rPr>
        <w:t xml:space="preserve"> та 1 (5%) відзначав печію. Скарги на біль хворі заперечували.</w:t>
      </w:r>
    </w:p>
    <w:p w:rsidR="0030517B" w:rsidRPr="00CA099F" w:rsidRDefault="0030517B" w:rsidP="005B77D6">
      <w:pPr>
        <w:spacing w:after="0" w:line="360" w:lineRule="auto"/>
        <w:ind w:firstLine="708"/>
        <w:jc w:val="both"/>
        <w:rPr>
          <w:rFonts w:eastAsia="Calibri" w:cs="Calibri"/>
          <w:sz w:val="28"/>
          <w:szCs w:val="28"/>
        </w:rPr>
      </w:pPr>
      <w:r w:rsidRPr="00CA099F">
        <w:rPr>
          <w:rFonts w:eastAsia="Calibri" w:cs="Calibri"/>
          <w:sz w:val="28"/>
          <w:szCs w:val="28"/>
        </w:rPr>
        <w:t xml:space="preserve">В 2-ій групі на напруженість рубця скаржилося 5 </w:t>
      </w:r>
      <w:r w:rsidR="00D96DA9">
        <w:rPr>
          <w:rFonts w:eastAsia="Calibri" w:cs="Calibri"/>
          <w:sz w:val="28"/>
          <w:szCs w:val="28"/>
        </w:rPr>
        <w:t>пацієнтів</w:t>
      </w:r>
      <w:r w:rsidR="007303A4" w:rsidRPr="00FC1256">
        <w:rPr>
          <w:rFonts w:eastAsia="Calibri" w:cs="Calibri"/>
          <w:sz w:val="28"/>
          <w:szCs w:val="28"/>
        </w:rPr>
        <w:t xml:space="preserve"> </w:t>
      </w:r>
      <w:r w:rsidR="007303A4" w:rsidRPr="00CA099F">
        <w:rPr>
          <w:rFonts w:eastAsia="Calibri" w:cs="Calibri"/>
          <w:sz w:val="28"/>
          <w:szCs w:val="28"/>
        </w:rPr>
        <w:t>(25%)</w:t>
      </w:r>
      <w:r w:rsidRPr="00CA099F">
        <w:rPr>
          <w:rFonts w:eastAsia="Calibri" w:cs="Calibri"/>
          <w:sz w:val="28"/>
          <w:szCs w:val="28"/>
        </w:rPr>
        <w:t>, свербіж був виявлений у 2 пацієнтів</w:t>
      </w:r>
      <w:r w:rsidR="007303A4" w:rsidRPr="00FC1256">
        <w:rPr>
          <w:rFonts w:eastAsia="Calibri" w:cs="Calibri"/>
          <w:sz w:val="28"/>
          <w:szCs w:val="28"/>
        </w:rPr>
        <w:t xml:space="preserve"> </w:t>
      </w:r>
      <w:r w:rsidR="007303A4" w:rsidRPr="00CA099F">
        <w:rPr>
          <w:rFonts w:eastAsia="Calibri" w:cs="Calibri"/>
          <w:sz w:val="28"/>
          <w:szCs w:val="28"/>
        </w:rPr>
        <w:t>(10%)</w:t>
      </w:r>
      <w:r w:rsidRPr="00CA099F">
        <w:rPr>
          <w:rFonts w:eastAsia="Calibri" w:cs="Calibri"/>
          <w:sz w:val="28"/>
          <w:szCs w:val="28"/>
        </w:rPr>
        <w:t>, скарг на біль та печію не відзначалося.</w:t>
      </w:r>
    </w:p>
    <w:p w:rsidR="0030517B" w:rsidRPr="00CA099F" w:rsidRDefault="0030517B" w:rsidP="005B77D6">
      <w:pPr>
        <w:spacing w:after="0" w:line="360" w:lineRule="auto"/>
        <w:ind w:firstLine="708"/>
        <w:jc w:val="both"/>
        <w:rPr>
          <w:rFonts w:eastAsia="Calibri" w:cs="Calibri"/>
          <w:sz w:val="28"/>
          <w:szCs w:val="28"/>
        </w:rPr>
      </w:pPr>
      <w:r w:rsidRPr="00CA099F">
        <w:rPr>
          <w:rFonts w:eastAsia="Calibri" w:cs="Calibri"/>
          <w:sz w:val="28"/>
          <w:szCs w:val="28"/>
        </w:rPr>
        <w:t>При аналізі даних щодо змін показника П5 встановлено, що на 6 місяць післяопераційного періоду в контрольній групі ознака малої площі була виявлена у 13 пацієнтів</w:t>
      </w:r>
      <w:r w:rsidR="007303A4">
        <w:rPr>
          <w:rFonts w:eastAsia="Calibri" w:cs="Calibri"/>
          <w:sz w:val="28"/>
          <w:szCs w:val="28"/>
          <w:lang w:val="ru-RU"/>
        </w:rPr>
        <w:t xml:space="preserve"> </w:t>
      </w:r>
      <w:r w:rsidR="007303A4" w:rsidRPr="00CA099F">
        <w:rPr>
          <w:rFonts w:eastAsia="Calibri" w:cs="Calibri"/>
          <w:sz w:val="28"/>
          <w:szCs w:val="28"/>
        </w:rPr>
        <w:t>(65%)</w:t>
      </w:r>
      <w:r w:rsidRPr="00CA099F">
        <w:rPr>
          <w:rFonts w:eastAsia="Calibri" w:cs="Calibri"/>
          <w:sz w:val="28"/>
          <w:szCs w:val="28"/>
        </w:rPr>
        <w:t xml:space="preserve">. У 4 </w:t>
      </w:r>
      <w:r w:rsidR="00D96DA9">
        <w:rPr>
          <w:rFonts w:eastAsia="Calibri" w:cs="Calibri"/>
          <w:sz w:val="28"/>
          <w:szCs w:val="28"/>
        </w:rPr>
        <w:t>пацієнтів</w:t>
      </w:r>
      <w:r w:rsidRPr="00CA099F">
        <w:rPr>
          <w:rFonts w:eastAsia="Calibri" w:cs="Calibri"/>
          <w:sz w:val="28"/>
          <w:szCs w:val="28"/>
        </w:rPr>
        <w:t xml:space="preserve"> </w:t>
      </w:r>
      <w:r w:rsidR="007303A4" w:rsidRPr="00CA099F">
        <w:rPr>
          <w:rFonts w:eastAsia="Calibri" w:cs="Calibri"/>
          <w:sz w:val="28"/>
          <w:szCs w:val="28"/>
        </w:rPr>
        <w:t xml:space="preserve">(20%) </w:t>
      </w:r>
      <w:r w:rsidRPr="00CA099F">
        <w:rPr>
          <w:rFonts w:eastAsia="Calibri" w:cs="Calibri"/>
          <w:sz w:val="28"/>
          <w:szCs w:val="28"/>
        </w:rPr>
        <w:t xml:space="preserve">середня площа не </w:t>
      </w:r>
      <w:r w:rsidRPr="00CA099F">
        <w:rPr>
          <w:rFonts w:eastAsia="Calibri" w:cs="Calibri"/>
          <w:sz w:val="28"/>
          <w:szCs w:val="28"/>
        </w:rPr>
        <w:lastRenderedPageBreak/>
        <w:t>перевищувала 9,5 мм</w:t>
      </w:r>
      <w:r w:rsidRPr="00CA099F">
        <w:rPr>
          <w:rFonts w:eastAsia="Calibri" w:cs="Calibri"/>
          <w:sz w:val="28"/>
          <w:szCs w:val="28"/>
          <w:vertAlign w:val="superscript"/>
        </w:rPr>
        <w:t>2</w:t>
      </w:r>
      <w:r w:rsidRPr="00CA099F">
        <w:rPr>
          <w:rFonts w:eastAsia="Calibri" w:cs="Calibri"/>
          <w:sz w:val="28"/>
          <w:szCs w:val="28"/>
        </w:rPr>
        <w:t xml:space="preserve">. У 3 пацієнтів </w:t>
      </w:r>
      <w:r w:rsidR="007303A4" w:rsidRPr="00CA099F">
        <w:rPr>
          <w:rFonts w:eastAsia="Calibri" w:cs="Calibri"/>
          <w:sz w:val="28"/>
          <w:szCs w:val="28"/>
        </w:rPr>
        <w:t xml:space="preserve">(15%) </w:t>
      </w:r>
      <w:r w:rsidRPr="00CA099F">
        <w:rPr>
          <w:rFonts w:eastAsia="Calibri" w:cs="Calibri"/>
          <w:sz w:val="28"/>
          <w:szCs w:val="28"/>
        </w:rPr>
        <w:t>була відмічена велика площа рубцевозмінених тканин.</w:t>
      </w:r>
    </w:p>
    <w:p w:rsidR="0030517B" w:rsidRPr="00CA099F" w:rsidRDefault="00FE0058" w:rsidP="005B77D6">
      <w:pPr>
        <w:spacing w:after="0" w:line="360" w:lineRule="auto"/>
        <w:ind w:firstLine="708"/>
        <w:jc w:val="both"/>
        <w:rPr>
          <w:rFonts w:eastAsia="Calibri" w:cs="Calibri"/>
          <w:sz w:val="28"/>
          <w:szCs w:val="28"/>
        </w:rPr>
      </w:pPr>
      <w:r>
        <w:rPr>
          <w:rFonts w:eastAsia="Calibri" w:cs="Calibri"/>
          <w:sz w:val="28"/>
          <w:szCs w:val="28"/>
        </w:rPr>
        <w:t>У</w:t>
      </w:r>
      <w:r w:rsidR="0030517B" w:rsidRPr="00CA099F">
        <w:rPr>
          <w:rFonts w:eastAsia="Calibri" w:cs="Calibri"/>
          <w:sz w:val="28"/>
          <w:szCs w:val="28"/>
        </w:rPr>
        <w:t xml:space="preserve"> 1 груп</w:t>
      </w:r>
      <w:r>
        <w:rPr>
          <w:rFonts w:eastAsia="Calibri" w:cs="Calibri"/>
          <w:sz w:val="28"/>
          <w:szCs w:val="28"/>
        </w:rPr>
        <w:t>і спостереження ознака малої площі визначалася у</w:t>
      </w:r>
      <w:r w:rsidR="0030517B" w:rsidRPr="00CA099F">
        <w:rPr>
          <w:rFonts w:eastAsia="Calibri" w:cs="Calibri"/>
          <w:sz w:val="28"/>
          <w:szCs w:val="28"/>
        </w:rPr>
        <w:t xml:space="preserve"> 16 пацієнтів</w:t>
      </w:r>
      <w:r>
        <w:rPr>
          <w:rFonts w:eastAsia="Calibri" w:cs="Calibri"/>
          <w:sz w:val="28"/>
          <w:szCs w:val="28"/>
        </w:rPr>
        <w:t xml:space="preserve"> </w:t>
      </w:r>
      <w:r w:rsidRPr="00CA099F">
        <w:rPr>
          <w:rFonts w:eastAsia="Calibri" w:cs="Calibri"/>
          <w:sz w:val="28"/>
          <w:szCs w:val="28"/>
        </w:rPr>
        <w:t>(80%)</w:t>
      </w:r>
      <w:r w:rsidR="0030517B" w:rsidRPr="00CA099F">
        <w:rPr>
          <w:rFonts w:eastAsia="Calibri" w:cs="Calibri"/>
          <w:sz w:val="28"/>
          <w:szCs w:val="28"/>
        </w:rPr>
        <w:t>, середня площа була зафіксована у 3 (15%) (не перевищувала 8,9 мм</w:t>
      </w:r>
      <w:r w:rsidR="0030517B" w:rsidRPr="00CA099F">
        <w:rPr>
          <w:rFonts w:eastAsia="Calibri" w:cs="Calibri"/>
          <w:sz w:val="28"/>
          <w:szCs w:val="28"/>
          <w:vertAlign w:val="superscript"/>
        </w:rPr>
        <w:t>2</w:t>
      </w:r>
      <w:r w:rsidR="0030517B" w:rsidRPr="00CA099F">
        <w:rPr>
          <w:rFonts w:eastAsia="Calibri" w:cs="Calibri"/>
          <w:sz w:val="28"/>
          <w:szCs w:val="28"/>
        </w:rPr>
        <w:t xml:space="preserve">) та у 1 </w:t>
      </w:r>
      <w:r>
        <w:rPr>
          <w:rFonts w:eastAsia="Calibri" w:cs="Calibri"/>
          <w:sz w:val="28"/>
          <w:szCs w:val="28"/>
        </w:rPr>
        <w:t xml:space="preserve">пацієнта </w:t>
      </w:r>
      <w:r w:rsidR="0030517B" w:rsidRPr="00CA099F">
        <w:rPr>
          <w:rFonts w:eastAsia="Calibri" w:cs="Calibri"/>
          <w:sz w:val="28"/>
          <w:szCs w:val="28"/>
        </w:rPr>
        <w:t>(5%) була відмічена велика площа.</w:t>
      </w:r>
    </w:p>
    <w:p w:rsidR="0030517B" w:rsidRPr="00CA099F" w:rsidRDefault="000B5DF6" w:rsidP="005B77D6">
      <w:pPr>
        <w:spacing w:after="0" w:line="360" w:lineRule="auto"/>
        <w:ind w:firstLine="708"/>
        <w:jc w:val="both"/>
        <w:rPr>
          <w:rFonts w:eastAsia="Calibri" w:cs="Calibri"/>
          <w:sz w:val="28"/>
          <w:szCs w:val="28"/>
        </w:rPr>
      </w:pPr>
      <w:r>
        <w:rPr>
          <w:rFonts w:eastAsia="Calibri" w:cs="Calibri"/>
          <w:sz w:val="28"/>
          <w:szCs w:val="28"/>
        </w:rPr>
        <w:t>У</w:t>
      </w:r>
      <w:r w:rsidR="0030517B" w:rsidRPr="00CA099F">
        <w:rPr>
          <w:rFonts w:eastAsia="Calibri" w:cs="Calibri"/>
          <w:sz w:val="28"/>
          <w:szCs w:val="28"/>
        </w:rPr>
        <w:t xml:space="preserve"> 2 групі ознака малої площі </w:t>
      </w:r>
      <w:r w:rsidR="004916A1">
        <w:rPr>
          <w:rFonts w:eastAsia="Calibri" w:cs="Calibri"/>
          <w:sz w:val="28"/>
          <w:szCs w:val="28"/>
        </w:rPr>
        <w:t>була наявна у</w:t>
      </w:r>
      <w:r w:rsidR="0030517B" w:rsidRPr="00CA099F">
        <w:rPr>
          <w:rFonts w:eastAsia="Calibri" w:cs="Calibri"/>
          <w:sz w:val="28"/>
          <w:szCs w:val="28"/>
        </w:rPr>
        <w:t xml:space="preserve"> 17 пацієнтів</w:t>
      </w:r>
      <w:r w:rsidR="00014E01">
        <w:rPr>
          <w:rFonts w:eastAsia="Calibri" w:cs="Calibri"/>
          <w:sz w:val="28"/>
          <w:szCs w:val="28"/>
          <w:lang w:val="ru-RU"/>
        </w:rPr>
        <w:t xml:space="preserve"> </w:t>
      </w:r>
      <w:r w:rsidR="00014E01" w:rsidRPr="00CA099F">
        <w:rPr>
          <w:rFonts w:eastAsia="Calibri" w:cs="Calibri"/>
          <w:sz w:val="28"/>
          <w:szCs w:val="28"/>
        </w:rPr>
        <w:t>(85%)</w:t>
      </w:r>
      <w:r w:rsidR="0030517B" w:rsidRPr="00CA099F">
        <w:rPr>
          <w:rFonts w:eastAsia="Calibri" w:cs="Calibri"/>
          <w:sz w:val="28"/>
          <w:szCs w:val="28"/>
        </w:rPr>
        <w:t>, у 3 (15%) були зафіксовані дані щодо середньої площі</w:t>
      </w:r>
      <w:r w:rsidR="001013D7">
        <w:rPr>
          <w:rFonts w:eastAsia="Calibri" w:cs="Calibri"/>
          <w:sz w:val="28"/>
          <w:szCs w:val="28"/>
        </w:rPr>
        <w:t>,</w:t>
      </w:r>
      <w:r w:rsidR="0030517B" w:rsidRPr="00CA099F">
        <w:rPr>
          <w:rFonts w:eastAsia="Calibri" w:cs="Calibri"/>
          <w:sz w:val="28"/>
          <w:szCs w:val="28"/>
        </w:rPr>
        <w:t xml:space="preserve"> яка не перевищувала 8,2 мм</w:t>
      </w:r>
      <w:r w:rsidR="0030517B" w:rsidRPr="00CA099F">
        <w:rPr>
          <w:rFonts w:eastAsia="Calibri" w:cs="Calibri"/>
          <w:sz w:val="28"/>
          <w:szCs w:val="28"/>
          <w:vertAlign w:val="superscript"/>
        </w:rPr>
        <w:t>2</w:t>
      </w:r>
      <w:r w:rsidR="0030517B" w:rsidRPr="00CA099F">
        <w:rPr>
          <w:rFonts w:eastAsia="Calibri" w:cs="Calibri"/>
          <w:sz w:val="28"/>
          <w:szCs w:val="28"/>
        </w:rPr>
        <w:t>. Ознак великої площі рубцевозмінених тканин нами не зафіксовано.</w:t>
      </w:r>
    </w:p>
    <w:p w:rsidR="0030517B" w:rsidRPr="00CA099F" w:rsidRDefault="0030517B" w:rsidP="005B77D6">
      <w:pPr>
        <w:spacing w:after="0" w:line="360" w:lineRule="auto"/>
        <w:ind w:firstLine="708"/>
        <w:jc w:val="both"/>
        <w:rPr>
          <w:rFonts w:eastAsia="Calibri" w:cs="Calibri"/>
          <w:sz w:val="28"/>
          <w:szCs w:val="28"/>
        </w:rPr>
      </w:pPr>
      <w:r w:rsidRPr="00CA099F">
        <w:rPr>
          <w:rFonts w:eastAsia="Calibri" w:cs="Calibri"/>
          <w:sz w:val="28"/>
          <w:szCs w:val="28"/>
        </w:rPr>
        <w:t>Аналіз динаміки змін температури рубцевозмінених тканин шкіри встановив, що на 6 місяць досліджень середня температура в центральній частині рубця в контрольній групі складала 26,8</w:t>
      </w:r>
      <w:r w:rsidRPr="00CA099F">
        <w:rPr>
          <w:rFonts w:eastAsia="Calibri" w:cs="Times New Roman"/>
          <w:sz w:val="28"/>
          <w:szCs w:val="28"/>
        </w:rPr>
        <w:t>±</w:t>
      </w:r>
      <w:r w:rsidRPr="00CA099F">
        <w:rPr>
          <w:rFonts w:eastAsia="Calibri" w:cs="Calibri"/>
          <w:sz w:val="28"/>
          <w:szCs w:val="28"/>
        </w:rPr>
        <w:t>1,2</w:t>
      </w:r>
      <w:r w:rsidRPr="00CA099F">
        <w:rPr>
          <w:rFonts w:eastAsia="Calibri" w:cs="Times New Roman"/>
          <w:sz w:val="28"/>
          <w:szCs w:val="28"/>
        </w:rPr>
        <w:t xml:space="preserve">° </w:t>
      </w:r>
      <w:r w:rsidRPr="00CA099F">
        <w:rPr>
          <w:rFonts w:eastAsia="Calibri" w:cs="Calibri"/>
          <w:sz w:val="28"/>
          <w:szCs w:val="28"/>
        </w:rPr>
        <w:t>С. Дещо вища температура зафіксована в периферичних краях: у медіальному - 30,6</w:t>
      </w:r>
      <w:r w:rsidRPr="00CA099F">
        <w:rPr>
          <w:rFonts w:eastAsia="Calibri" w:cs="Times New Roman"/>
          <w:sz w:val="28"/>
          <w:szCs w:val="28"/>
        </w:rPr>
        <w:t>±</w:t>
      </w:r>
      <w:r w:rsidRPr="00CA099F">
        <w:rPr>
          <w:rFonts w:eastAsia="Calibri" w:cs="Calibri"/>
          <w:sz w:val="28"/>
          <w:szCs w:val="28"/>
        </w:rPr>
        <w:t>0,9</w:t>
      </w:r>
      <w:r w:rsidRPr="00CA099F">
        <w:rPr>
          <w:rFonts w:eastAsia="Calibri" w:cs="Times New Roman"/>
          <w:sz w:val="28"/>
          <w:szCs w:val="28"/>
        </w:rPr>
        <w:t xml:space="preserve">° </w:t>
      </w:r>
      <w:r w:rsidRPr="00CA099F">
        <w:rPr>
          <w:rFonts w:eastAsia="Calibri" w:cs="Calibri"/>
          <w:sz w:val="28"/>
          <w:szCs w:val="28"/>
        </w:rPr>
        <w:t>С та в латеральному - 30,1</w:t>
      </w:r>
      <w:r w:rsidRPr="00CA099F">
        <w:rPr>
          <w:rFonts w:eastAsia="Calibri" w:cs="Times New Roman"/>
          <w:sz w:val="28"/>
          <w:szCs w:val="28"/>
        </w:rPr>
        <w:t>±</w:t>
      </w:r>
      <w:r w:rsidRPr="00CA099F">
        <w:rPr>
          <w:rFonts w:eastAsia="Calibri" w:cs="Calibri"/>
          <w:sz w:val="28"/>
          <w:szCs w:val="28"/>
        </w:rPr>
        <w:t>1,4</w:t>
      </w:r>
      <w:r w:rsidRPr="00CA099F">
        <w:rPr>
          <w:rFonts w:eastAsia="Calibri" w:cs="Times New Roman"/>
          <w:sz w:val="28"/>
          <w:szCs w:val="28"/>
        </w:rPr>
        <w:t xml:space="preserve">° </w:t>
      </w:r>
      <w:r w:rsidRPr="00CA099F">
        <w:rPr>
          <w:rFonts w:eastAsia="Calibri" w:cs="Calibri"/>
          <w:sz w:val="28"/>
          <w:szCs w:val="28"/>
        </w:rPr>
        <w:t>С.</w:t>
      </w:r>
    </w:p>
    <w:p w:rsidR="0030517B" w:rsidRPr="00CA099F" w:rsidRDefault="0030517B" w:rsidP="005B77D6">
      <w:pPr>
        <w:spacing w:after="0" w:line="360" w:lineRule="auto"/>
        <w:ind w:firstLine="708"/>
        <w:jc w:val="both"/>
        <w:rPr>
          <w:rFonts w:eastAsia="Calibri" w:cs="Calibri"/>
          <w:sz w:val="28"/>
          <w:szCs w:val="28"/>
        </w:rPr>
      </w:pPr>
      <w:r w:rsidRPr="00CA099F">
        <w:rPr>
          <w:rFonts w:eastAsia="Calibri" w:cs="Calibri"/>
          <w:sz w:val="28"/>
          <w:szCs w:val="28"/>
        </w:rPr>
        <w:t xml:space="preserve">В 1 групі різниця в діапазоні середніх температур достовірно підвищилася. </w:t>
      </w:r>
      <w:r w:rsidR="005279F5">
        <w:rPr>
          <w:rFonts w:eastAsia="Calibri" w:cs="Calibri"/>
          <w:sz w:val="28"/>
          <w:szCs w:val="28"/>
        </w:rPr>
        <w:t>У</w:t>
      </w:r>
      <w:r w:rsidRPr="00CA099F">
        <w:rPr>
          <w:rFonts w:eastAsia="Calibri" w:cs="Calibri"/>
          <w:sz w:val="28"/>
          <w:szCs w:val="28"/>
        </w:rPr>
        <w:t xml:space="preserve"> центрі рубця вона фіксувалася найнижчою та становила 28,1</w:t>
      </w:r>
      <w:r w:rsidRPr="00CA099F">
        <w:rPr>
          <w:rFonts w:eastAsia="Calibri" w:cs="Times New Roman"/>
          <w:sz w:val="28"/>
          <w:szCs w:val="28"/>
        </w:rPr>
        <w:t>±</w:t>
      </w:r>
      <w:r w:rsidRPr="00CA099F">
        <w:rPr>
          <w:rFonts w:eastAsia="Calibri" w:cs="Calibri"/>
          <w:sz w:val="28"/>
          <w:szCs w:val="28"/>
        </w:rPr>
        <w:t>1,3</w:t>
      </w:r>
      <w:r w:rsidRPr="00CA099F">
        <w:rPr>
          <w:rFonts w:eastAsia="Calibri" w:cs="Times New Roman"/>
          <w:sz w:val="28"/>
          <w:szCs w:val="28"/>
        </w:rPr>
        <w:t xml:space="preserve">° </w:t>
      </w:r>
      <w:r w:rsidRPr="00CA099F">
        <w:rPr>
          <w:rFonts w:eastAsia="Calibri" w:cs="Calibri"/>
          <w:sz w:val="28"/>
          <w:szCs w:val="28"/>
        </w:rPr>
        <w:t>С. Найвища температура зафіксована в ділянці латерального краю - 31,3</w:t>
      </w:r>
      <w:r w:rsidRPr="00CA099F">
        <w:rPr>
          <w:rFonts w:eastAsia="Calibri" w:cs="Times New Roman"/>
          <w:sz w:val="28"/>
          <w:szCs w:val="28"/>
        </w:rPr>
        <w:t>±</w:t>
      </w:r>
      <w:r w:rsidRPr="00CA099F">
        <w:rPr>
          <w:rFonts w:eastAsia="Calibri" w:cs="Calibri"/>
          <w:sz w:val="28"/>
          <w:szCs w:val="28"/>
        </w:rPr>
        <w:t>0,8</w:t>
      </w:r>
      <w:r w:rsidRPr="00CA099F">
        <w:rPr>
          <w:rFonts w:eastAsia="Calibri" w:cs="Times New Roman"/>
          <w:sz w:val="28"/>
          <w:szCs w:val="28"/>
        </w:rPr>
        <w:t xml:space="preserve">° </w:t>
      </w:r>
      <w:r w:rsidR="005279F5">
        <w:rPr>
          <w:rFonts w:eastAsia="Calibri" w:cs="Calibri"/>
          <w:sz w:val="28"/>
          <w:szCs w:val="28"/>
        </w:rPr>
        <w:t>С. У</w:t>
      </w:r>
      <w:r w:rsidRPr="00CA099F">
        <w:rPr>
          <w:rFonts w:eastAsia="Calibri" w:cs="Calibri"/>
          <w:sz w:val="28"/>
          <w:szCs w:val="28"/>
        </w:rPr>
        <w:t xml:space="preserve"> медіальному краю спостерігалися проміжні значення, які дорівнювали 31,1</w:t>
      </w:r>
      <w:r w:rsidRPr="00CA099F">
        <w:rPr>
          <w:rFonts w:eastAsia="Calibri" w:cs="Times New Roman"/>
          <w:sz w:val="28"/>
          <w:szCs w:val="28"/>
        </w:rPr>
        <w:t>±</w:t>
      </w:r>
      <w:r w:rsidRPr="00CA099F">
        <w:rPr>
          <w:rFonts w:eastAsia="Calibri" w:cs="Calibri"/>
          <w:sz w:val="28"/>
          <w:szCs w:val="28"/>
        </w:rPr>
        <w:t>0,9</w:t>
      </w:r>
      <w:r w:rsidRPr="00CA099F">
        <w:rPr>
          <w:rFonts w:eastAsia="Calibri" w:cs="Times New Roman"/>
          <w:sz w:val="28"/>
          <w:szCs w:val="28"/>
        </w:rPr>
        <w:t xml:space="preserve">° </w:t>
      </w:r>
      <w:r w:rsidRPr="00CA099F">
        <w:rPr>
          <w:rFonts w:eastAsia="Calibri" w:cs="Calibri"/>
          <w:sz w:val="28"/>
          <w:szCs w:val="28"/>
        </w:rPr>
        <w:t>С.</w:t>
      </w:r>
    </w:p>
    <w:p w:rsidR="0030517B" w:rsidRPr="00CA099F" w:rsidRDefault="005279F5" w:rsidP="005B77D6">
      <w:pPr>
        <w:spacing w:after="0" w:line="360" w:lineRule="auto"/>
        <w:ind w:firstLine="708"/>
        <w:jc w:val="both"/>
        <w:rPr>
          <w:rFonts w:eastAsia="Calibri" w:cs="Calibri"/>
          <w:sz w:val="28"/>
          <w:szCs w:val="28"/>
        </w:rPr>
      </w:pPr>
      <w:r>
        <w:rPr>
          <w:rFonts w:eastAsia="Calibri" w:cs="Calibri"/>
          <w:sz w:val="28"/>
          <w:szCs w:val="28"/>
        </w:rPr>
        <w:t>У</w:t>
      </w:r>
      <w:r w:rsidR="0030517B" w:rsidRPr="00CA099F">
        <w:rPr>
          <w:rFonts w:eastAsia="Calibri" w:cs="Calibri"/>
          <w:sz w:val="28"/>
          <w:szCs w:val="28"/>
        </w:rPr>
        <w:t xml:space="preserve"> 2 групі нами зафіксовано достовірне підвищення середньої температури. На 6 місяць спостереження в центрі рубцевозмінених тканин вона складала 28,9</w:t>
      </w:r>
      <w:r w:rsidR="0030517B" w:rsidRPr="00CA099F">
        <w:rPr>
          <w:rFonts w:eastAsia="Calibri" w:cs="Times New Roman"/>
          <w:sz w:val="28"/>
          <w:szCs w:val="28"/>
        </w:rPr>
        <w:t>±</w:t>
      </w:r>
      <w:r w:rsidR="0030517B" w:rsidRPr="00CA099F">
        <w:rPr>
          <w:rFonts w:eastAsia="Calibri" w:cs="Calibri"/>
          <w:sz w:val="28"/>
          <w:szCs w:val="28"/>
        </w:rPr>
        <w:t>1,2</w:t>
      </w:r>
      <w:r w:rsidR="0030517B" w:rsidRPr="00CA099F">
        <w:rPr>
          <w:rFonts w:eastAsia="Calibri" w:cs="Times New Roman"/>
          <w:sz w:val="28"/>
          <w:szCs w:val="28"/>
        </w:rPr>
        <w:t xml:space="preserve">° </w:t>
      </w:r>
      <w:r w:rsidR="0030517B" w:rsidRPr="00CA099F">
        <w:rPr>
          <w:rFonts w:eastAsia="Calibri" w:cs="Calibri"/>
          <w:sz w:val="28"/>
          <w:szCs w:val="28"/>
        </w:rPr>
        <w:t>С. У латеральній частині рубця продовжувалися фіксуватися найвищі значення, які дорівнювали 31,7</w:t>
      </w:r>
      <w:r w:rsidR="0030517B" w:rsidRPr="00CA099F">
        <w:rPr>
          <w:rFonts w:eastAsia="Calibri" w:cs="Times New Roman"/>
          <w:sz w:val="28"/>
          <w:szCs w:val="28"/>
        </w:rPr>
        <w:t>±</w:t>
      </w:r>
      <w:r w:rsidR="0030517B" w:rsidRPr="00CA099F">
        <w:rPr>
          <w:rFonts w:eastAsia="Calibri" w:cs="Calibri"/>
          <w:sz w:val="28"/>
          <w:szCs w:val="28"/>
        </w:rPr>
        <w:t>1,6</w:t>
      </w:r>
      <w:r w:rsidR="0030517B" w:rsidRPr="00CA099F">
        <w:rPr>
          <w:rFonts w:eastAsia="Calibri" w:cs="Times New Roman"/>
          <w:sz w:val="28"/>
          <w:szCs w:val="28"/>
        </w:rPr>
        <w:t xml:space="preserve">° </w:t>
      </w:r>
      <w:r w:rsidR="00014E01">
        <w:rPr>
          <w:rFonts w:eastAsia="Calibri" w:cs="Calibri"/>
          <w:sz w:val="28"/>
          <w:szCs w:val="28"/>
        </w:rPr>
        <w:t xml:space="preserve">С. </w:t>
      </w:r>
      <w:r w:rsidR="00014E01" w:rsidRPr="00014E01">
        <w:rPr>
          <w:rFonts w:eastAsia="Calibri" w:cs="Calibri"/>
          <w:sz w:val="28"/>
          <w:szCs w:val="28"/>
        </w:rPr>
        <w:t>У</w:t>
      </w:r>
      <w:r w:rsidR="0030517B" w:rsidRPr="00CA099F">
        <w:rPr>
          <w:rFonts w:eastAsia="Calibri" w:cs="Calibri"/>
          <w:sz w:val="28"/>
          <w:szCs w:val="28"/>
        </w:rPr>
        <w:t xml:space="preserve"> медіальній частині спостерігалися дещо нижчі показники, які в цій групі складали 31,4</w:t>
      </w:r>
      <w:r w:rsidR="0030517B" w:rsidRPr="00CA099F">
        <w:rPr>
          <w:rFonts w:eastAsia="Calibri" w:cs="Times New Roman"/>
          <w:sz w:val="28"/>
          <w:szCs w:val="28"/>
        </w:rPr>
        <w:t>±</w:t>
      </w:r>
      <w:r w:rsidR="0030517B" w:rsidRPr="00CA099F">
        <w:rPr>
          <w:rFonts w:eastAsia="Calibri" w:cs="Calibri"/>
          <w:sz w:val="28"/>
          <w:szCs w:val="28"/>
        </w:rPr>
        <w:t>1,4</w:t>
      </w:r>
      <w:r w:rsidR="0030517B" w:rsidRPr="00CA099F">
        <w:rPr>
          <w:rFonts w:eastAsia="Calibri" w:cs="Times New Roman"/>
          <w:sz w:val="28"/>
          <w:szCs w:val="28"/>
        </w:rPr>
        <w:t xml:space="preserve">° </w:t>
      </w:r>
      <w:r w:rsidR="0030517B" w:rsidRPr="00CA099F">
        <w:rPr>
          <w:rFonts w:eastAsia="Calibri" w:cs="Calibri"/>
          <w:sz w:val="28"/>
          <w:szCs w:val="28"/>
        </w:rPr>
        <w:t>С.</w:t>
      </w:r>
    </w:p>
    <w:p w:rsidR="0030517B" w:rsidRPr="00CA099F" w:rsidRDefault="0030517B" w:rsidP="005B77D6">
      <w:pPr>
        <w:spacing w:after="0" w:line="360" w:lineRule="auto"/>
        <w:ind w:firstLine="708"/>
        <w:jc w:val="both"/>
        <w:rPr>
          <w:rFonts w:eastAsia="Calibri" w:cs="Calibri"/>
          <w:sz w:val="28"/>
          <w:szCs w:val="28"/>
        </w:rPr>
      </w:pPr>
      <w:r w:rsidRPr="00CA099F">
        <w:rPr>
          <w:rFonts w:eastAsia="Calibri" w:cs="Calibri"/>
          <w:sz w:val="28"/>
          <w:szCs w:val="28"/>
        </w:rPr>
        <w:t>Графік динаміки змін показників середньої температури у різних зонах рубцевозмінених тканин в залежності від виду інтра- та пост-операційної профілактики на 6 мі</w:t>
      </w:r>
      <w:r w:rsidR="00270657">
        <w:rPr>
          <w:rFonts w:eastAsia="Calibri" w:cs="Calibri"/>
          <w:sz w:val="28"/>
          <w:szCs w:val="28"/>
        </w:rPr>
        <w:t>сяць досліджень наведено на рисунку</w:t>
      </w:r>
      <w:r w:rsidRPr="00CA099F">
        <w:rPr>
          <w:rFonts w:eastAsia="Calibri" w:cs="Calibri"/>
          <w:sz w:val="28"/>
          <w:szCs w:val="28"/>
        </w:rPr>
        <w:t xml:space="preserve"> 3.5.</w:t>
      </w:r>
    </w:p>
    <w:p w:rsidR="0030517B" w:rsidRPr="00CA099F" w:rsidRDefault="0030517B" w:rsidP="0030517B">
      <w:pPr>
        <w:spacing w:after="160" w:line="360" w:lineRule="auto"/>
        <w:ind w:firstLine="708"/>
        <w:jc w:val="both"/>
        <w:rPr>
          <w:rFonts w:eastAsia="Calibri" w:cs="Calibri"/>
          <w:sz w:val="28"/>
          <w:szCs w:val="28"/>
        </w:rPr>
      </w:pPr>
      <w:r w:rsidRPr="00CA099F">
        <w:rPr>
          <w:rFonts w:eastAsia="Calibri" w:cs="Calibri"/>
          <w:noProof/>
          <w:sz w:val="28"/>
          <w:szCs w:val="28"/>
          <w:lang w:val="ru-RU" w:eastAsia="ru-RU"/>
        </w:rPr>
        <w:lastRenderedPageBreak/>
        <w:drawing>
          <wp:inline distT="0" distB="0" distL="0" distR="0" wp14:anchorId="2DBF545A" wp14:editId="2013C09D">
            <wp:extent cx="5486400" cy="4914900"/>
            <wp:effectExtent l="0" t="0" r="0" b="0"/>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30517B" w:rsidRPr="00CA099F" w:rsidRDefault="0030517B" w:rsidP="0030517B">
      <w:pPr>
        <w:spacing w:after="160" w:line="360" w:lineRule="auto"/>
        <w:ind w:firstLine="708"/>
        <w:jc w:val="both"/>
        <w:rPr>
          <w:rFonts w:eastAsia="Calibri" w:cs="Calibri"/>
          <w:sz w:val="28"/>
          <w:szCs w:val="28"/>
        </w:rPr>
      </w:pPr>
      <w:r w:rsidRPr="00CA099F">
        <w:rPr>
          <w:rFonts w:eastAsia="Calibri" w:cs="Calibri"/>
          <w:sz w:val="28"/>
          <w:szCs w:val="28"/>
        </w:rPr>
        <w:t>Рис. 3.5. Графік динаміки змін показників середньої температури у різних зонах рубцевозмінених тканин на 6 місяць післяопераційного періоду.</w:t>
      </w:r>
    </w:p>
    <w:p w:rsidR="00FA3469" w:rsidRPr="00CA099F" w:rsidRDefault="00FA3469" w:rsidP="0030517B">
      <w:pPr>
        <w:spacing w:after="160" w:line="360" w:lineRule="auto"/>
        <w:ind w:firstLine="708"/>
        <w:jc w:val="both"/>
        <w:rPr>
          <w:rFonts w:eastAsia="Calibri" w:cs="Calibri"/>
          <w:b/>
          <w:sz w:val="28"/>
          <w:szCs w:val="28"/>
        </w:rPr>
      </w:pPr>
    </w:p>
    <w:p w:rsidR="0030517B" w:rsidRPr="00CA099F" w:rsidRDefault="0030517B" w:rsidP="0030517B">
      <w:pPr>
        <w:spacing w:after="160" w:line="360" w:lineRule="auto"/>
        <w:ind w:firstLine="708"/>
        <w:jc w:val="both"/>
        <w:rPr>
          <w:rFonts w:eastAsia="Calibri" w:cs="Calibri"/>
          <w:b/>
          <w:sz w:val="28"/>
          <w:szCs w:val="28"/>
        </w:rPr>
      </w:pPr>
      <w:r w:rsidRPr="00CA099F">
        <w:rPr>
          <w:rFonts w:eastAsia="Calibri" w:cs="Calibri"/>
          <w:b/>
          <w:sz w:val="28"/>
          <w:szCs w:val="28"/>
        </w:rPr>
        <w:t>3.4. Зміни клінічних показників рубцевозмінених тканин на 9 місяць післяопераційного періоду</w:t>
      </w:r>
    </w:p>
    <w:p w:rsidR="0030517B" w:rsidRPr="00CA099F" w:rsidRDefault="0030517B" w:rsidP="0030517B">
      <w:pPr>
        <w:spacing w:after="160" w:line="360" w:lineRule="auto"/>
        <w:ind w:firstLine="708"/>
        <w:jc w:val="both"/>
        <w:rPr>
          <w:rFonts w:eastAsia="Calibri" w:cs="Calibri"/>
          <w:b/>
          <w:sz w:val="28"/>
          <w:szCs w:val="28"/>
        </w:rPr>
      </w:pPr>
    </w:p>
    <w:p w:rsidR="0030517B" w:rsidRPr="00CA099F" w:rsidRDefault="0030517B" w:rsidP="0030517B">
      <w:pPr>
        <w:spacing w:after="160" w:line="360" w:lineRule="auto"/>
        <w:jc w:val="both"/>
        <w:rPr>
          <w:rFonts w:eastAsia="Calibri" w:cs="Calibri"/>
          <w:sz w:val="28"/>
          <w:szCs w:val="28"/>
        </w:rPr>
      </w:pPr>
      <w:r w:rsidRPr="00CA099F">
        <w:rPr>
          <w:rFonts w:eastAsia="Calibri" w:cs="Calibri"/>
          <w:sz w:val="28"/>
          <w:szCs w:val="28"/>
        </w:rPr>
        <w:tab/>
        <w:t>При дослідженні показника П1 у контрольній групі досліджень наявність атрофічного рубця нами спостерігалося в 50% випадках (10 пацієнтів). У 4 пацієнтів</w:t>
      </w:r>
      <w:r w:rsidR="008D1A57">
        <w:rPr>
          <w:rFonts w:eastAsia="Calibri" w:cs="Calibri"/>
          <w:sz w:val="28"/>
          <w:szCs w:val="28"/>
          <w:lang w:val="ru-RU"/>
        </w:rPr>
        <w:t xml:space="preserve"> </w:t>
      </w:r>
      <w:r w:rsidR="008D1A57" w:rsidRPr="00CA099F">
        <w:rPr>
          <w:rFonts w:eastAsia="Calibri" w:cs="Calibri"/>
          <w:sz w:val="28"/>
          <w:szCs w:val="28"/>
        </w:rPr>
        <w:t xml:space="preserve">(20%) </w:t>
      </w:r>
      <w:r w:rsidRPr="00CA099F">
        <w:rPr>
          <w:rFonts w:eastAsia="Calibri" w:cs="Calibri"/>
          <w:sz w:val="28"/>
          <w:szCs w:val="28"/>
        </w:rPr>
        <w:t xml:space="preserve"> нами зафіксовано наявність гіпертрофічного рубця гомогенної природи. У 2 пацієнтів </w:t>
      </w:r>
      <w:r w:rsidR="008D1A57" w:rsidRPr="00CA099F">
        <w:rPr>
          <w:rFonts w:eastAsia="Calibri" w:cs="Calibri"/>
          <w:sz w:val="28"/>
          <w:szCs w:val="28"/>
        </w:rPr>
        <w:t xml:space="preserve">(10%) </w:t>
      </w:r>
      <w:r w:rsidRPr="00CA099F">
        <w:rPr>
          <w:rFonts w:eastAsia="Calibri" w:cs="Calibri"/>
          <w:sz w:val="28"/>
          <w:szCs w:val="28"/>
        </w:rPr>
        <w:t>з`явилися ознаки вираженого келоїдного рубця.</w:t>
      </w:r>
    </w:p>
    <w:p w:rsidR="0030517B" w:rsidRPr="00CA099F" w:rsidRDefault="0030517B" w:rsidP="0030517B">
      <w:pPr>
        <w:spacing w:after="160" w:line="360" w:lineRule="auto"/>
        <w:jc w:val="both"/>
        <w:rPr>
          <w:rFonts w:eastAsia="Calibri" w:cs="Calibri"/>
          <w:sz w:val="28"/>
          <w:szCs w:val="28"/>
        </w:rPr>
      </w:pPr>
      <w:r w:rsidRPr="00CA099F">
        <w:rPr>
          <w:rFonts w:eastAsia="Calibri" w:cs="Calibri"/>
          <w:sz w:val="28"/>
          <w:szCs w:val="28"/>
        </w:rPr>
        <w:lastRenderedPageBreak/>
        <w:tab/>
        <w:t>У пацієнтів 1-ї групи на 9-й місяць спостереження ознаки утворення атрофічного рубця спостерігалися у 5 випадках</w:t>
      </w:r>
      <w:r w:rsidR="008D1A57">
        <w:rPr>
          <w:rFonts w:eastAsia="Calibri" w:cs="Calibri"/>
          <w:sz w:val="28"/>
          <w:szCs w:val="28"/>
          <w:lang w:val="ru-RU"/>
        </w:rPr>
        <w:t xml:space="preserve"> </w:t>
      </w:r>
      <w:r w:rsidR="008D1A57" w:rsidRPr="00CA099F">
        <w:rPr>
          <w:rFonts w:eastAsia="Calibri" w:cs="Calibri"/>
          <w:sz w:val="28"/>
          <w:szCs w:val="28"/>
        </w:rPr>
        <w:t>(25%)</w:t>
      </w:r>
      <w:r w:rsidRPr="00CA099F">
        <w:rPr>
          <w:rFonts w:eastAsia="Calibri" w:cs="Calibri"/>
          <w:sz w:val="28"/>
          <w:szCs w:val="28"/>
        </w:rPr>
        <w:t xml:space="preserve">. У 2 пацієнтів </w:t>
      </w:r>
      <w:r w:rsidR="008D1A57" w:rsidRPr="00CA099F">
        <w:rPr>
          <w:rFonts w:eastAsia="Calibri" w:cs="Calibri"/>
          <w:sz w:val="28"/>
          <w:szCs w:val="28"/>
        </w:rPr>
        <w:t xml:space="preserve">(10%) </w:t>
      </w:r>
      <w:r w:rsidRPr="00CA099F">
        <w:rPr>
          <w:rFonts w:eastAsia="Calibri" w:cs="Calibri"/>
          <w:sz w:val="28"/>
          <w:szCs w:val="28"/>
        </w:rPr>
        <w:t>відмічено наявність гомогенного гіпертрофічного рубця без вузликових розростань. Ознаки келоїдизації нами не зафіксовані. Наявність атрофічного рубця у пацієнтів 2-ї групи зафіксовано у 2 випадках</w:t>
      </w:r>
      <w:r w:rsidR="008D1A57">
        <w:rPr>
          <w:rFonts w:eastAsia="Calibri" w:cs="Calibri"/>
          <w:sz w:val="28"/>
          <w:szCs w:val="28"/>
          <w:lang w:val="ru-RU"/>
        </w:rPr>
        <w:t xml:space="preserve"> </w:t>
      </w:r>
      <w:r w:rsidR="008D1A57" w:rsidRPr="00CA099F">
        <w:rPr>
          <w:rFonts w:eastAsia="Calibri" w:cs="Calibri"/>
          <w:sz w:val="28"/>
          <w:szCs w:val="28"/>
        </w:rPr>
        <w:t>(10%)</w:t>
      </w:r>
      <w:r w:rsidRPr="00CA099F">
        <w:rPr>
          <w:rFonts w:eastAsia="Calibri" w:cs="Calibri"/>
          <w:sz w:val="28"/>
          <w:szCs w:val="28"/>
        </w:rPr>
        <w:t>. Також відмічено мінімальну можливість утворення гіпертрофічних рубців – у 1 пацієнта</w:t>
      </w:r>
      <w:r w:rsidR="008D1A57" w:rsidRPr="00FC1256">
        <w:rPr>
          <w:rFonts w:eastAsia="Calibri" w:cs="Calibri"/>
          <w:sz w:val="28"/>
          <w:szCs w:val="28"/>
        </w:rPr>
        <w:t xml:space="preserve"> </w:t>
      </w:r>
      <w:r w:rsidR="008D1A57" w:rsidRPr="00CA099F">
        <w:rPr>
          <w:rFonts w:eastAsia="Calibri" w:cs="Calibri"/>
          <w:sz w:val="28"/>
          <w:szCs w:val="28"/>
        </w:rPr>
        <w:t>(5%)</w:t>
      </w:r>
      <w:r w:rsidRPr="00CA099F">
        <w:rPr>
          <w:rFonts w:eastAsia="Calibri" w:cs="Calibri"/>
          <w:sz w:val="28"/>
          <w:szCs w:val="28"/>
        </w:rPr>
        <w:t>. Наявність келоїдних рубців в цій групі пацієнтів нами не відмічено.</w:t>
      </w:r>
    </w:p>
    <w:p w:rsidR="0030517B" w:rsidRPr="00CA099F" w:rsidRDefault="0030517B" w:rsidP="0030517B">
      <w:pPr>
        <w:spacing w:after="160" w:line="360" w:lineRule="auto"/>
        <w:jc w:val="both"/>
        <w:rPr>
          <w:rFonts w:eastAsia="Calibri" w:cs="Calibri"/>
          <w:sz w:val="28"/>
          <w:szCs w:val="28"/>
        </w:rPr>
      </w:pPr>
      <w:r w:rsidRPr="00CA099F">
        <w:rPr>
          <w:rFonts w:eastAsia="Calibri" w:cs="Calibri"/>
          <w:sz w:val="28"/>
          <w:szCs w:val="28"/>
        </w:rPr>
        <w:tab/>
        <w:t>При аналізі показника П2 у пацієнтів контрольної групи слід зауважити що пальпаторно нормальна консистенція відзначалася у 12 пацієнтів</w:t>
      </w:r>
      <w:r w:rsidR="008D1A57">
        <w:rPr>
          <w:rFonts w:eastAsia="Calibri" w:cs="Calibri"/>
          <w:sz w:val="28"/>
          <w:szCs w:val="28"/>
          <w:lang w:val="ru-RU"/>
        </w:rPr>
        <w:t xml:space="preserve"> </w:t>
      </w:r>
      <w:r w:rsidR="008D1A57" w:rsidRPr="00CA099F">
        <w:rPr>
          <w:rFonts w:eastAsia="Calibri" w:cs="Calibri"/>
          <w:sz w:val="28"/>
          <w:szCs w:val="28"/>
        </w:rPr>
        <w:t>(60%)</w:t>
      </w:r>
      <w:r w:rsidRPr="00CA099F">
        <w:rPr>
          <w:rFonts w:eastAsia="Calibri" w:cs="Calibri"/>
          <w:sz w:val="28"/>
          <w:szCs w:val="28"/>
        </w:rPr>
        <w:t>,</w:t>
      </w:r>
      <w:r w:rsidR="008D1A57" w:rsidRPr="008D1A57">
        <w:rPr>
          <w:rFonts w:eastAsia="Calibri" w:cs="Calibri"/>
          <w:sz w:val="28"/>
          <w:szCs w:val="28"/>
        </w:rPr>
        <w:t xml:space="preserve"> </w:t>
      </w:r>
      <w:r w:rsidRPr="00CA099F">
        <w:rPr>
          <w:rFonts w:eastAsia="Calibri" w:cs="Calibri"/>
          <w:sz w:val="28"/>
          <w:szCs w:val="28"/>
        </w:rPr>
        <w:t xml:space="preserve">але при цьому у </w:t>
      </w:r>
      <w:r w:rsidR="000737E6">
        <w:rPr>
          <w:rFonts w:eastAsia="Calibri" w:cs="Calibri"/>
          <w:sz w:val="28"/>
          <w:szCs w:val="28"/>
        </w:rPr>
        <w:t>8</w:t>
      </w:r>
      <w:r w:rsidRPr="00CA099F">
        <w:rPr>
          <w:rFonts w:eastAsia="Calibri" w:cs="Calibri"/>
          <w:sz w:val="28"/>
          <w:szCs w:val="28"/>
        </w:rPr>
        <w:t xml:space="preserve"> (</w:t>
      </w:r>
      <w:r w:rsidR="000737E6">
        <w:rPr>
          <w:rFonts w:eastAsia="Calibri" w:cs="Calibri"/>
          <w:sz w:val="28"/>
          <w:szCs w:val="28"/>
        </w:rPr>
        <w:t>4</w:t>
      </w:r>
      <w:r w:rsidRPr="00CA099F">
        <w:rPr>
          <w:rFonts w:eastAsia="Calibri" w:cs="Calibri"/>
          <w:sz w:val="28"/>
          <w:szCs w:val="28"/>
        </w:rPr>
        <w:t xml:space="preserve">0%) – спостерігалося помірне ущільнення (у </w:t>
      </w:r>
      <w:r w:rsidR="000737E6">
        <w:rPr>
          <w:rFonts w:eastAsia="Calibri" w:cs="Calibri"/>
          <w:sz w:val="28"/>
          <w:szCs w:val="28"/>
        </w:rPr>
        <w:t>5</w:t>
      </w:r>
      <w:r w:rsidRPr="00CA099F">
        <w:rPr>
          <w:rFonts w:eastAsia="Calibri" w:cs="Calibri"/>
          <w:sz w:val="28"/>
          <w:szCs w:val="28"/>
        </w:rPr>
        <w:t xml:space="preserve"> (2</w:t>
      </w:r>
      <w:r w:rsidR="000737E6">
        <w:rPr>
          <w:rFonts w:eastAsia="Calibri" w:cs="Calibri"/>
          <w:sz w:val="28"/>
          <w:szCs w:val="28"/>
        </w:rPr>
        <w:t>5</w:t>
      </w:r>
      <w:r w:rsidRPr="00CA099F">
        <w:rPr>
          <w:rFonts w:eastAsia="Calibri" w:cs="Calibri"/>
          <w:sz w:val="28"/>
          <w:szCs w:val="28"/>
        </w:rPr>
        <w:t>%</w:t>
      </w:r>
      <w:r w:rsidR="000737E6">
        <w:rPr>
          <w:rFonts w:eastAsia="Calibri" w:cs="Calibri"/>
          <w:sz w:val="28"/>
          <w:szCs w:val="28"/>
        </w:rPr>
        <w:t>) – в центральній частині, а у 3</w:t>
      </w:r>
      <w:r w:rsidRPr="00CA099F">
        <w:rPr>
          <w:rFonts w:eastAsia="Calibri" w:cs="Calibri"/>
          <w:sz w:val="28"/>
          <w:szCs w:val="28"/>
        </w:rPr>
        <w:t xml:space="preserve"> (1</w:t>
      </w:r>
      <w:r w:rsidR="000737E6">
        <w:rPr>
          <w:rFonts w:eastAsia="Calibri" w:cs="Calibri"/>
          <w:sz w:val="28"/>
          <w:szCs w:val="28"/>
        </w:rPr>
        <w:t>5</w:t>
      </w:r>
      <w:r w:rsidRPr="00CA099F">
        <w:rPr>
          <w:rFonts w:eastAsia="Calibri" w:cs="Calibri"/>
          <w:sz w:val="28"/>
          <w:szCs w:val="28"/>
        </w:rPr>
        <w:t xml:space="preserve">%) – в дистальній частині рубця). Ознак індурації рубця виявлено не було. У </w:t>
      </w:r>
      <w:r w:rsidR="00D96DA9">
        <w:rPr>
          <w:rFonts w:eastAsia="Calibri" w:cs="Calibri"/>
          <w:sz w:val="28"/>
          <w:szCs w:val="28"/>
        </w:rPr>
        <w:t>пацієнтів</w:t>
      </w:r>
      <w:r w:rsidRPr="00CA099F">
        <w:rPr>
          <w:rFonts w:eastAsia="Calibri" w:cs="Calibri"/>
          <w:sz w:val="28"/>
          <w:szCs w:val="28"/>
        </w:rPr>
        <w:t xml:space="preserve"> 1-ї групи в 15 випадках пальпаторно визначалися ознаки нормальної консистенції рубця. Кількість пацієнтів з ущільненями в центральній частині зменшилося до 5 (25%) без наявності поодиноких ущільнень в маргінальних краях. Явищ індурації нами не </w:t>
      </w:r>
      <w:r w:rsidR="008D1A57">
        <w:rPr>
          <w:rFonts w:eastAsia="Calibri" w:cs="Calibri"/>
          <w:sz w:val="28"/>
          <w:szCs w:val="28"/>
          <w:lang w:val="ru-RU"/>
        </w:rPr>
        <w:t>виявлено</w:t>
      </w:r>
      <w:r w:rsidRPr="00CA099F">
        <w:rPr>
          <w:rFonts w:eastAsia="Calibri" w:cs="Calibri"/>
          <w:sz w:val="28"/>
          <w:szCs w:val="28"/>
        </w:rPr>
        <w:t xml:space="preserve">. У </w:t>
      </w:r>
      <w:r w:rsidR="00D96DA9">
        <w:rPr>
          <w:rFonts w:eastAsia="Calibri" w:cs="Calibri"/>
          <w:sz w:val="28"/>
          <w:szCs w:val="28"/>
        </w:rPr>
        <w:t>пацієнтів</w:t>
      </w:r>
      <w:r w:rsidRPr="00CA099F">
        <w:rPr>
          <w:rFonts w:eastAsia="Calibri" w:cs="Calibri"/>
          <w:sz w:val="28"/>
          <w:szCs w:val="28"/>
        </w:rPr>
        <w:t xml:space="preserve"> 2-ї групи зберігалася позитивна динаміка рубцювання, а саме: нормальна консист</w:t>
      </w:r>
      <w:r w:rsidR="000737E6">
        <w:rPr>
          <w:rFonts w:eastAsia="Calibri" w:cs="Calibri"/>
          <w:sz w:val="28"/>
          <w:szCs w:val="28"/>
        </w:rPr>
        <w:t>енція була нами зафіксована у 18</w:t>
      </w:r>
      <w:r w:rsidR="002C755C">
        <w:rPr>
          <w:rFonts w:eastAsia="Calibri" w:cs="Calibri"/>
          <w:sz w:val="28"/>
          <w:szCs w:val="28"/>
          <w:lang w:val="ru-RU"/>
        </w:rPr>
        <w:t xml:space="preserve"> </w:t>
      </w:r>
      <w:r w:rsidRPr="00CA099F">
        <w:rPr>
          <w:rFonts w:eastAsia="Calibri" w:cs="Calibri"/>
          <w:sz w:val="28"/>
          <w:szCs w:val="28"/>
        </w:rPr>
        <w:t>пацієнтів</w:t>
      </w:r>
      <w:r w:rsidR="002C755C">
        <w:rPr>
          <w:rFonts w:eastAsia="Calibri" w:cs="Calibri"/>
          <w:sz w:val="28"/>
          <w:szCs w:val="28"/>
          <w:lang w:val="ru-RU"/>
        </w:rPr>
        <w:t xml:space="preserve"> </w:t>
      </w:r>
      <w:r w:rsidR="009C31D5">
        <w:rPr>
          <w:rFonts w:eastAsia="Calibri" w:cs="Calibri"/>
          <w:sz w:val="28"/>
          <w:szCs w:val="28"/>
        </w:rPr>
        <w:t>(9</w:t>
      </w:r>
      <w:r w:rsidR="002C755C" w:rsidRPr="00CA099F">
        <w:rPr>
          <w:rFonts w:eastAsia="Calibri" w:cs="Calibri"/>
          <w:sz w:val="28"/>
          <w:szCs w:val="28"/>
        </w:rPr>
        <w:t>0%)</w:t>
      </w:r>
      <w:r w:rsidR="009C31D5">
        <w:rPr>
          <w:rFonts w:eastAsia="Calibri" w:cs="Calibri"/>
          <w:sz w:val="28"/>
          <w:szCs w:val="28"/>
        </w:rPr>
        <w:t>. У 2</w:t>
      </w:r>
      <w:r w:rsidRPr="00CA099F">
        <w:rPr>
          <w:rFonts w:eastAsia="Calibri" w:cs="Calibri"/>
          <w:sz w:val="28"/>
          <w:szCs w:val="28"/>
        </w:rPr>
        <w:t xml:space="preserve"> випадках </w:t>
      </w:r>
      <w:r w:rsidR="002C755C" w:rsidRPr="00CA099F">
        <w:rPr>
          <w:rFonts w:eastAsia="Calibri" w:cs="Calibri"/>
          <w:sz w:val="28"/>
          <w:szCs w:val="28"/>
        </w:rPr>
        <w:t>(</w:t>
      </w:r>
      <w:r w:rsidR="009C31D5">
        <w:rPr>
          <w:rFonts w:eastAsia="Calibri" w:cs="Calibri"/>
          <w:sz w:val="28"/>
          <w:szCs w:val="28"/>
        </w:rPr>
        <w:t>1</w:t>
      </w:r>
      <w:r w:rsidR="002C755C" w:rsidRPr="00CA099F">
        <w:rPr>
          <w:rFonts w:eastAsia="Calibri" w:cs="Calibri"/>
          <w:sz w:val="28"/>
          <w:szCs w:val="28"/>
        </w:rPr>
        <w:t xml:space="preserve">0%) </w:t>
      </w:r>
      <w:r w:rsidRPr="00CA099F">
        <w:rPr>
          <w:rFonts w:eastAsia="Calibri" w:cs="Calibri"/>
          <w:sz w:val="28"/>
          <w:szCs w:val="28"/>
        </w:rPr>
        <w:t>відмічалося зменшення осередків ущільнення лише в центральній частині рубця. Явищ індурації не виявлено.</w:t>
      </w:r>
    </w:p>
    <w:p w:rsidR="0030517B" w:rsidRPr="00CA099F" w:rsidRDefault="0030517B" w:rsidP="0030517B">
      <w:pPr>
        <w:spacing w:after="160" w:line="360" w:lineRule="auto"/>
        <w:jc w:val="both"/>
        <w:rPr>
          <w:rFonts w:eastAsia="Calibri" w:cs="Calibri"/>
          <w:sz w:val="28"/>
          <w:szCs w:val="28"/>
        </w:rPr>
      </w:pPr>
      <w:r w:rsidRPr="00CA099F">
        <w:rPr>
          <w:rFonts w:eastAsia="Calibri" w:cs="Calibri"/>
          <w:sz w:val="28"/>
          <w:szCs w:val="28"/>
        </w:rPr>
        <w:tab/>
        <w:t xml:space="preserve">При дослідженні показника П3 </w:t>
      </w:r>
      <w:r w:rsidR="002C755C">
        <w:rPr>
          <w:rFonts w:eastAsia="Calibri" w:cs="Calibri"/>
          <w:sz w:val="28"/>
          <w:szCs w:val="28"/>
          <w:lang w:val="ru-RU"/>
        </w:rPr>
        <w:t>у</w:t>
      </w:r>
      <w:r w:rsidRPr="00CA099F">
        <w:rPr>
          <w:rFonts w:eastAsia="Calibri" w:cs="Calibri"/>
          <w:sz w:val="28"/>
          <w:szCs w:val="28"/>
        </w:rPr>
        <w:t xml:space="preserve"> контрольній групі </w:t>
      </w:r>
      <w:r w:rsidR="00D96DA9">
        <w:rPr>
          <w:rFonts w:eastAsia="Calibri" w:cs="Calibri"/>
          <w:sz w:val="28"/>
          <w:szCs w:val="28"/>
        </w:rPr>
        <w:t>пацієнтів</w:t>
      </w:r>
      <w:r w:rsidRPr="00CA099F">
        <w:rPr>
          <w:rFonts w:eastAsia="Calibri" w:cs="Calibri"/>
          <w:sz w:val="28"/>
          <w:szCs w:val="28"/>
        </w:rPr>
        <w:t xml:space="preserve"> ознаки здорової шкіри спостерігалися в 12 пацієнтів</w:t>
      </w:r>
      <w:r w:rsidR="002C755C">
        <w:rPr>
          <w:rFonts w:eastAsia="Calibri" w:cs="Calibri"/>
          <w:sz w:val="28"/>
          <w:szCs w:val="28"/>
          <w:lang w:val="ru-RU"/>
        </w:rPr>
        <w:t xml:space="preserve"> </w:t>
      </w:r>
      <w:r w:rsidR="002C755C" w:rsidRPr="00CA099F">
        <w:rPr>
          <w:rFonts w:eastAsia="Calibri" w:cs="Calibri"/>
          <w:sz w:val="28"/>
          <w:szCs w:val="28"/>
        </w:rPr>
        <w:t>(60%)</w:t>
      </w:r>
      <w:r w:rsidRPr="00CA099F">
        <w:rPr>
          <w:rFonts w:eastAsia="Calibri" w:cs="Calibri"/>
          <w:sz w:val="28"/>
          <w:szCs w:val="28"/>
        </w:rPr>
        <w:t xml:space="preserve">, у 6 (30%) </w:t>
      </w:r>
      <w:r w:rsidR="002C755C">
        <w:rPr>
          <w:rFonts w:eastAsia="Calibri" w:cs="Calibri"/>
          <w:sz w:val="28"/>
          <w:szCs w:val="28"/>
          <w:lang w:val="ru-RU"/>
        </w:rPr>
        <w:t xml:space="preserve">– </w:t>
      </w:r>
      <w:r w:rsidRPr="00CA099F">
        <w:rPr>
          <w:rFonts w:eastAsia="Calibri" w:cs="Calibri"/>
          <w:sz w:val="28"/>
          <w:szCs w:val="28"/>
        </w:rPr>
        <w:t xml:space="preserve">візуалізовано виражену, а в 3 (15%) – помірну еритему. В 1-ій групі </w:t>
      </w:r>
      <w:r w:rsidR="00D96DA9">
        <w:rPr>
          <w:rFonts w:eastAsia="Calibri" w:cs="Calibri"/>
          <w:sz w:val="28"/>
          <w:szCs w:val="28"/>
        </w:rPr>
        <w:t>пацієнтів</w:t>
      </w:r>
      <w:r w:rsidRPr="00CA099F">
        <w:rPr>
          <w:rFonts w:eastAsia="Calibri" w:cs="Calibri"/>
          <w:sz w:val="28"/>
          <w:szCs w:val="28"/>
        </w:rPr>
        <w:t xml:space="preserve"> у 12 випадках нами зафіксовано ознаки здорової шкіри з візуалізацією помірної еритеми у 6 та вираженої – у 2 </w:t>
      </w:r>
      <w:r w:rsidR="00D96DA9">
        <w:rPr>
          <w:rFonts w:eastAsia="Calibri" w:cs="Calibri"/>
          <w:sz w:val="28"/>
          <w:szCs w:val="28"/>
        </w:rPr>
        <w:t>пацієнтів</w:t>
      </w:r>
      <w:r w:rsidR="002C755C" w:rsidRPr="002C755C">
        <w:rPr>
          <w:rFonts w:eastAsia="Calibri" w:cs="Calibri"/>
          <w:sz w:val="28"/>
          <w:szCs w:val="28"/>
        </w:rPr>
        <w:t xml:space="preserve"> </w:t>
      </w:r>
      <w:r w:rsidR="002C755C" w:rsidRPr="00CA099F">
        <w:rPr>
          <w:rFonts w:eastAsia="Calibri" w:cs="Calibri"/>
          <w:sz w:val="28"/>
          <w:szCs w:val="28"/>
        </w:rPr>
        <w:t>(10%)</w:t>
      </w:r>
      <w:r w:rsidRPr="00CA099F">
        <w:rPr>
          <w:rFonts w:eastAsia="Calibri" w:cs="Calibri"/>
          <w:sz w:val="28"/>
          <w:szCs w:val="28"/>
        </w:rPr>
        <w:t xml:space="preserve">. В 2-ій групі близький до норми стан шкіри нами спостерігався в 15 (75%) випадках. У 4 пацієнтів </w:t>
      </w:r>
      <w:r w:rsidR="00BB39E8" w:rsidRPr="00CA099F">
        <w:rPr>
          <w:rFonts w:eastAsia="Calibri" w:cs="Calibri"/>
          <w:sz w:val="28"/>
          <w:szCs w:val="28"/>
        </w:rPr>
        <w:t xml:space="preserve">(20%) </w:t>
      </w:r>
      <w:r w:rsidRPr="00CA099F">
        <w:rPr>
          <w:rFonts w:eastAsia="Calibri" w:cs="Calibri"/>
          <w:sz w:val="28"/>
          <w:szCs w:val="28"/>
        </w:rPr>
        <w:t>встановлені ознаки помірної еритеми, кількість пацієнтів з вираженою еритемою зменшилося до 1 (5%).</w:t>
      </w:r>
    </w:p>
    <w:p w:rsidR="0030517B" w:rsidRPr="00CA099F" w:rsidRDefault="0030517B" w:rsidP="0030517B">
      <w:pPr>
        <w:spacing w:after="160" w:line="360" w:lineRule="auto"/>
        <w:jc w:val="both"/>
        <w:rPr>
          <w:rFonts w:eastAsia="Calibri" w:cs="Calibri"/>
          <w:sz w:val="28"/>
          <w:szCs w:val="28"/>
        </w:rPr>
      </w:pPr>
      <w:r w:rsidRPr="00CA099F">
        <w:rPr>
          <w:rFonts w:eastAsia="Calibri" w:cs="Calibri"/>
          <w:sz w:val="28"/>
          <w:szCs w:val="28"/>
        </w:rPr>
        <w:tab/>
        <w:t xml:space="preserve">Аналіз характеру зміни параметрів утворення рубцевозмінених тканин за даними показника П4 встановив, що в контрольній групі на 9 місяць </w:t>
      </w:r>
      <w:r w:rsidRPr="00CA099F">
        <w:rPr>
          <w:rFonts w:eastAsia="Calibri" w:cs="Calibri"/>
          <w:sz w:val="28"/>
          <w:szCs w:val="28"/>
        </w:rPr>
        <w:lastRenderedPageBreak/>
        <w:t>післяопераційного періоду стан напруженості рубця пацієнти відмічали у 8 випадках</w:t>
      </w:r>
      <w:r w:rsidR="00FC1256">
        <w:rPr>
          <w:rFonts w:eastAsia="Calibri" w:cs="Calibri"/>
          <w:sz w:val="28"/>
          <w:szCs w:val="28"/>
          <w:lang w:val="ru-RU"/>
        </w:rPr>
        <w:t xml:space="preserve"> </w:t>
      </w:r>
      <w:r w:rsidR="00FC1256" w:rsidRPr="00CA099F">
        <w:rPr>
          <w:rFonts w:eastAsia="Calibri" w:cs="Calibri"/>
          <w:sz w:val="28"/>
          <w:szCs w:val="28"/>
        </w:rPr>
        <w:t>(40%)</w:t>
      </w:r>
      <w:r w:rsidRPr="00CA099F">
        <w:rPr>
          <w:rFonts w:eastAsia="Calibri" w:cs="Calibri"/>
          <w:sz w:val="28"/>
          <w:szCs w:val="28"/>
        </w:rPr>
        <w:t xml:space="preserve">. 3 пацієнта </w:t>
      </w:r>
      <w:r w:rsidR="00FC1256" w:rsidRPr="00CA099F">
        <w:rPr>
          <w:rFonts w:eastAsia="Calibri" w:cs="Calibri"/>
          <w:sz w:val="28"/>
          <w:szCs w:val="28"/>
        </w:rPr>
        <w:t xml:space="preserve">(15%) </w:t>
      </w:r>
      <w:r w:rsidRPr="00CA099F">
        <w:rPr>
          <w:rFonts w:eastAsia="Calibri" w:cs="Calibri"/>
          <w:sz w:val="28"/>
          <w:szCs w:val="28"/>
        </w:rPr>
        <w:t xml:space="preserve">скаржилися на свербіж, 1 (5%) – на біль. Скарги на печію не відзначалися. В 1 групі </w:t>
      </w:r>
      <w:r w:rsidR="00D96DA9">
        <w:rPr>
          <w:rFonts w:eastAsia="Calibri" w:cs="Calibri"/>
          <w:sz w:val="28"/>
          <w:szCs w:val="28"/>
        </w:rPr>
        <w:t>пацієнтів</w:t>
      </w:r>
      <w:r w:rsidRPr="00CA099F">
        <w:rPr>
          <w:rFonts w:eastAsia="Calibri" w:cs="Calibri"/>
          <w:sz w:val="28"/>
          <w:szCs w:val="28"/>
        </w:rPr>
        <w:t xml:space="preserve"> ознаки напруженості рубця відмічено в 8 випадках</w:t>
      </w:r>
      <w:r w:rsidR="00FC1256">
        <w:rPr>
          <w:rFonts w:eastAsia="Calibri" w:cs="Calibri"/>
          <w:sz w:val="28"/>
          <w:szCs w:val="28"/>
          <w:lang w:val="ru-RU"/>
        </w:rPr>
        <w:t xml:space="preserve"> </w:t>
      </w:r>
      <w:r w:rsidR="00FC1256" w:rsidRPr="00CA099F">
        <w:rPr>
          <w:rFonts w:eastAsia="Calibri" w:cs="Calibri"/>
          <w:sz w:val="28"/>
          <w:szCs w:val="28"/>
        </w:rPr>
        <w:t>(40%)</w:t>
      </w:r>
      <w:r w:rsidRPr="00CA099F">
        <w:rPr>
          <w:rFonts w:eastAsia="Calibri" w:cs="Calibri"/>
          <w:sz w:val="28"/>
          <w:szCs w:val="28"/>
        </w:rPr>
        <w:t>, свербіж відзначався у 1 пацієнта</w:t>
      </w:r>
      <w:r w:rsidR="00BD1681">
        <w:rPr>
          <w:rFonts w:eastAsia="Calibri" w:cs="Calibri"/>
          <w:sz w:val="28"/>
          <w:szCs w:val="28"/>
        </w:rPr>
        <w:t xml:space="preserve"> </w:t>
      </w:r>
      <w:r w:rsidR="00BD1681" w:rsidRPr="00CA099F">
        <w:rPr>
          <w:rFonts w:eastAsia="Calibri" w:cs="Calibri"/>
          <w:sz w:val="28"/>
          <w:szCs w:val="28"/>
        </w:rPr>
        <w:t>(5%)</w:t>
      </w:r>
      <w:r w:rsidRPr="00CA099F">
        <w:rPr>
          <w:rFonts w:eastAsia="Calibri" w:cs="Calibri"/>
          <w:sz w:val="28"/>
          <w:szCs w:val="28"/>
        </w:rPr>
        <w:t xml:space="preserve">. Скарги на біль та печію хворі заперечували. В 2-ій групі на напруженість рубця скаржилося 3 </w:t>
      </w:r>
      <w:r w:rsidR="00B93F9C">
        <w:rPr>
          <w:rFonts w:eastAsia="Calibri" w:cs="Calibri"/>
          <w:sz w:val="28"/>
          <w:szCs w:val="28"/>
        </w:rPr>
        <w:t xml:space="preserve">пацієнта </w:t>
      </w:r>
      <w:r w:rsidR="00B93F9C" w:rsidRPr="00CA099F">
        <w:rPr>
          <w:rFonts w:eastAsia="Calibri" w:cs="Calibri"/>
          <w:sz w:val="28"/>
          <w:szCs w:val="28"/>
        </w:rPr>
        <w:t>(15%)</w:t>
      </w:r>
      <w:r w:rsidRPr="00CA099F">
        <w:rPr>
          <w:rFonts w:eastAsia="Calibri" w:cs="Calibri"/>
          <w:sz w:val="28"/>
          <w:szCs w:val="28"/>
        </w:rPr>
        <w:t>, скарг на біль, печію та свербіж не відзначалося.</w:t>
      </w:r>
    </w:p>
    <w:p w:rsidR="0030517B" w:rsidRPr="00CA099F" w:rsidRDefault="0030517B" w:rsidP="0030517B">
      <w:pPr>
        <w:spacing w:after="160" w:line="360" w:lineRule="auto"/>
        <w:ind w:firstLine="708"/>
        <w:jc w:val="both"/>
        <w:rPr>
          <w:rFonts w:eastAsia="Calibri" w:cs="Calibri"/>
          <w:sz w:val="28"/>
          <w:szCs w:val="28"/>
        </w:rPr>
      </w:pPr>
      <w:r w:rsidRPr="00CA099F">
        <w:rPr>
          <w:rFonts w:eastAsia="Calibri" w:cs="Calibri"/>
          <w:sz w:val="28"/>
          <w:szCs w:val="28"/>
        </w:rPr>
        <w:t>При аналізі даних щодо змін показника П5 встановлено, що на 9 місяць післяопераційного періоду в контрольній групі ознака малої площі була виявлена у 14 пацієнтів</w:t>
      </w:r>
      <w:r w:rsidR="00BD1681">
        <w:rPr>
          <w:rFonts w:eastAsia="Calibri" w:cs="Calibri"/>
          <w:sz w:val="28"/>
          <w:szCs w:val="28"/>
        </w:rPr>
        <w:t xml:space="preserve"> </w:t>
      </w:r>
      <w:r w:rsidR="00BD1681" w:rsidRPr="00CA099F">
        <w:rPr>
          <w:rFonts w:eastAsia="Calibri" w:cs="Calibri"/>
          <w:sz w:val="28"/>
          <w:szCs w:val="28"/>
        </w:rPr>
        <w:t>(70%)</w:t>
      </w:r>
      <w:r w:rsidRPr="00CA099F">
        <w:rPr>
          <w:rFonts w:eastAsia="Calibri" w:cs="Calibri"/>
          <w:sz w:val="28"/>
          <w:szCs w:val="28"/>
        </w:rPr>
        <w:t xml:space="preserve">. У 4 </w:t>
      </w:r>
      <w:r w:rsidR="00D96DA9">
        <w:rPr>
          <w:rFonts w:eastAsia="Calibri" w:cs="Calibri"/>
          <w:sz w:val="28"/>
          <w:szCs w:val="28"/>
        </w:rPr>
        <w:t>пацієнтів</w:t>
      </w:r>
      <w:r w:rsidRPr="00CA099F">
        <w:rPr>
          <w:rFonts w:eastAsia="Calibri" w:cs="Calibri"/>
          <w:sz w:val="28"/>
          <w:szCs w:val="28"/>
        </w:rPr>
        <w:t xml:space="preserve"> </w:t>
      </w:r>
      <w:r w:rsidR="00BD1681" w:rsidRPr="00CA099F">
        <w:rPr>
          <w:rFonts w:eastAsia="Calibri" w:cs="Calibri"/>
          <w:sz w:val="28"/>
          <w:szCs w:val="28"/>
        </w:rPr>
        <w:t xml:space="preserve">(20%) </w:t>
      </w:r>
      <w:r w:rsidRPr="00CA099F">
        <w:rPr>
          <w:rFonts w:eastAsia="Calibri" w:cs="Calibri"/>
          <w:sz w:val="28"/>
          <w:szCs w:val="28"/>
        </w:rPr>
        <w:t>середня площа не перевищувала 9,2 мм</w:t>
      </w:r>
      <w:r w:rsidRPr="00CA099F">
        <w:rPr>
          <w:rFonts w:eastAsia="Calibri" w:cs="Calibri"/>
          <w:sz w:val="28"/>
          <w:szCs w:val="28"/>
          <w:vertAlign w:val="superscript"/>
        </w:rPr>
        <w:t>2</w:t>
      </w:r>
      <w:r w:rsidRPr="00CA099F">
        <w:rPr>
          <w:rFonts w:eastAsia="Calibri" w:cs="Calibri"/>
          <w:sz w:val="28"/>
          <w:szCs w:val="28"/>
        </w:rPr>
        <w:t xml:space="preserve"> . У 2 </w:t>
      </w:r>
      <w:r w:rsidR="00BD1681">
        <w:rPr>
          <w:rFonts w:eastAsia="Calibri" w:cs="Calibri"/>
          <w:sz w:val="28"/>
          <w:szCs w:val="28"/>
        </w:rPr>
        <w:t xml:space="preserve">випадках </w:t>
      </w:r>
      <w:r w:rsidRPr="00CA099F">
        <w:rPr>
          <w:rFonts w:eastAsia="Calibri" w:cs="Calibri"/>
          <w:sz w:val="28"/>
          <w:szCs w:val="28"/>
        </w:rPr>
        <w:t xml:space="preserve">(10%) була відмічена велика площа рубцевозмінених тканин. У </w:t>
      </w:r>
      <w:r w:rsidR="00D96DA9">
        <w:rPr>
          <w:rFonts w:eastAsia="Calibri" w:cs="Calibri"/>
          <w:sz w:val="28"/>
          <w:szCs w:val="28"/>
        </w:rPr>
        <w:t>пацієнтів</w:t>
      </w:r>
      <w:r w:rsidR="00BD1681">
        <w:rPr>
          <w:rFonts w:eastAsia="Calibri" w:cs="Calibri"/>
          <w:sz w:val="28"/>
          <w:szCs w:val="28"/>
        </w:rPr>
        <w:t xml:space="preserve"> 1 групи ознака малої площі виявлялася у</w:t>
      </w:r>
      <w:r w:rsidRPr="00CA099F">
        <w:rPr>
          <w:rFonts w:eastAsia="Calibri" w:cs="Calibri"/>
          <w:sz w:val="28"/>
          <w:szCs w:val="28"/>
        </w:rPr>
        <w:t xml:space="preserve"> 17 пацієнтів</w:t>
      </w:r>
      <w:r w:rsidR="00BD1681">
        <w:rPr>
          <w:rFonts w:eastAsia="Calibri" w:cs="Calibri"/>
          <w:sz w:val="28"/>
          <w:szCs w:val="28"/>
        </w:rPr>
        <w:t xml:space="preserve"> </w:t>
      </w:r>
      <w:r w:rsidR="00BD1681" w:rsidRPr="00CA099F">
        <w:rPr>
          <w:rFonts w:eastAsia="Calibri" w:cs="Calibri"/>
          <w:sz w:val="28"/>
          <w:szCs w:val="28"/>
        </w:rPr>
        <w:t>(85%)</w:t>
      </w:r>
      <w:r w:rsidRPr="00CA099F">
        <w:rPr>
          <w:rFonts w:eastAsia="Calibri" w:cs="Calibri"/>
          <w:sz w:val="28"/>
          <w:szCs w:val="28"/>
        </w:rPr>
        <w:t>, середня п</w:t>
      </w:r>
      <w:r w:rsidR="00C32A94">
        <w:rPr>
          <w:rFonts w:eastAsia="Calibri" w:cs="Calibri"/>
          <w:sz w:val="28"/>
          <w:szCs w:val="28"/>
        </w:rPr>
        <w:t>лоща була зафіксована у 2 (10%)</w:t>
      </w:r>
      <w:r w:rsidRPr="00CA099F">
        <w:rPr>
          <w:rFonts w:eastAsia="Calibri" w:cs="Calibri"/>
          <w:sz w:val="28"/>
          <w:szCs w:val="28"/>
        </w:rPr>
        <w:t xml:space="preserve"> (не перевищувала 8,4 мм</w:t>
      </w:r>
      <w:r w:rsidRPr="00CA099F">
        <w:rPr>
          <w:rFonts w:eastAsia="Calibri" w:cs="Calibri"/>
          <w:sz w:val="28"/>
          <w:szCs w:val="28"/>
          <w:vertAlign w:val="superscript"/>
        </w:rPr>
        <w:t>2</w:t>
      </w:r>
      <w:r w:rsidRPr="00CA099F">
        <w:rPr>
          <w:rFonts w:eastAsia="Calibri" w:cs="Calibri"/>
          <w:sz w:val="28"/>
          <w:szCs w:val="28"/>
        </w:rPr>
        <w:t xml:space="preserve">) та у 1 (5%) </w:t>
      </w:r>
      <w:r w:rsidR="00C32A94">
        <w:rPr>
          <w:rFonts w:eastAsia="Calibri" w:cs="Calibri"/>
          <w:sz w:val="28"/>
          <w:szCs w:val="28"/>
        </w:rPr>
        <w:t>–</w:t>
      </w:r>
      <w:r w:rsidRPr="00CA099F">
        <w:rPr>
          <w:rFonts w:eastAsia="Calibri" w:cs="Calibri"/>
          <w:sz w:val="28"/>
          <w:szCs w:val="28"/>
        </w:rPr>
        <w:t xml:space="preserve"> була відмічена велика площа.</w:t>
      </w:r>
    </w:p>
    <w:p w:rsidR="0030517B" w:rsidRPr="00CA099F" w:rsidRDefault="0030517B" w:rsidP="0030517B">
      <w:pPr>
        <w:spacing w:after="160" w:line="360" w:lineRule="auto"/>
        <w:ind w:firstLine="708"/>
        <w:jc w:val="both"/>
        <w:rPr>
          <w:rFonts w:eastAsia="Calibri" w:cs="Calibri"/>
          <w:sz w:val="28"/>
          <w:szCs w:val="28"/>
        </w:rPr>
      </w:pPr>
      <w:r w:rsidRPr="00CA099F">
        <w:rPr>
          <w:rFonts w:eastAsia="Calibri" w:cs="Calibri"/>
          <w:sz w:val="28"/>
          <w:szCs w:val="28"/>
        </w:rPr>
        <w:t>В 2 групі пацієнтів ознака малої площі складала 19 пацієнтів</w:t>
      </w:r>
      <w:r w:rsidR="00C32A94">
        <w:rPr>
          <w:rFonts w:eastAsia="Calibri" w:cs="Calibri"/>
          <w:sz w:val="28"/>
          <w:szCs w:val="28"/>
        </w:rPr>
        <w:t xml:space="preserve"> </w:t>
      </w:r>
      <w:r w:rsidR="00C32A94" w:rsidRPr="00CA099F">
        <w:rPr>
          <w:rFonts w:eastAsia="Calibri" w:cs="Calibri"/>
          <w:sz w:val="28"/>
          <w:szCs w:val="28"/>
        </w:rPr>
        <w:t>(95%)</w:t>
      </w:r>
      <w:r w:rsidRPr="00CA099F">
        <w:rPr>
          <w:rFonts w:eastAsia="Calibri" w:cs="Calibri"/>
          <w:sz w:val="28"/>
          <w:szCs w:val="28"/>
        </w:rPr>
        <w:t>, у 1 (5%) пацієнта були зафіксовані дані щодо середньої площі яка не перевищувала 7,5 мм</w:t>
      </w:r>
      <w:r w:rsidRPr="00CA099F">
        <w:rPr>
          <w:rFonts w:eastAsia="Calibri" w:cs="Calibri"/>
          <w:sz w:val="28"/>
          <w:szCs w:val="28"/>
          <w:vertAlign w:val="superscript"/>
        </w:rPr>
        <w:t>2</w:t>
      </w:r>
      <w:r w:rsidRPr="00CA099F">
        <w:rPr>
          <w:rFonts w:eastAsia="Calibri" w:cs="Calibri"/>
          <w:sz w:val="28"/>
          <w:szCs w:val="28"/>
        </w:rPr>
        <w:t>. Ознак великої площі рубцевозмінених тканин нами не зафіксовано.</w:t>
      </w:r>
    </w:p>
    <w:p w:rsidR="0030517B" w:rsidRPr="00CA099F" w:rsidRDefault="0030517B" w:rsidP="0030517B">
      <w:pPr>
        <w:spacing w:after="160" w:line="360" w:lineRule="auto"/>
        <w:ind w:firstLine="708"/>
        <w:jc w:val="both"/>
        <w:rPr>
          <w:rFonts w:eastAsia="Calibri" w:cs="Calibri"/>
          <w:sz w:val="28"/>
          <w:szCs w:val="28"/>
        </w:rPr>
      </w:pPr>
      <w:r w:rsidRPr="00CA099F">
        <w:rPr>
          <w:rFonts w:eastAsia="Calibri" w:cs="Calibri"/>
          <w:sz w:val="28"/>
          <w:szCs w:val="28"/>
        </w:rPr>
        <w:t>Аналіз динаміки змін температури рубцевозмінених тканин шкіри встановив, що на 9 місяць досліджень середня температура в центральній частині рубця в контрольній групі складала 28,1</w:t>
      </w:r>
      <w:r w:rsidRPr="00CA099F">
        <w:rPr>
          <w:rFonts w:eastAsia="Calibri" w:cs="Times New Roman"/>
          <w:sz w:val="28"/>
          <w:szCs w:val="28"/>
        </w:rPr>
        <w:t>±</w:t>
      </w:r>
      <w:r w:rsidRPr="00CA099F">
        <w:rPr>
          <w:rFonts w:eastAsia="Calibri" w:cs="Calibri"/>
          <w:sz w:val="28"/>
          <w:szCs w:val="28"/>
        </w:rPr>
        <w:t>1,1</w:t>
      </w:r>
      <w:r w:rsidRPr="00CA099F">
        <w:rPr>
          <w:rFonts w:eastAsia="Calibri" w:cs="Times New Roman"/>
          <w:sz w:val="28"/>
          <w:szCs w:val="28"/>
        </w:rPr>
        <w:t xml:space="preserve">° </w:t>
      </w:r>
      <w:r w:rsidRPr="00CA099F">
        <w:rPr>
          <w:rFonts w:eastAsia="Calibri" w:cs="Calibri"/>
          <w:sz w:val="28"/>
          <w:szCs w:val="28"/>
        </w:rPr>
        <w:t>С. Дещо вища температура зафіксована в периферичних краях: у медіальному - 31,1</w:t>
      </w:r>
      <w:r w:rsidRPr="00CA099F">
        <w:rPr>
          <w:rFonts w:eastAsia="Calibri" w:cs="Times New Roman"/>
          <w:sz w:val="28"/>
          <w:szCs w:val="28"/>
        </w:rPr>
        <w:t>±</w:t>
      </w:r>
      <w:r w:rsidRPr="00CA099F">
        <w:rPr>
          <w:rFonts w:eastAsia="Calibri" w:cs="Calibri"/>
          <w:sz w:val="28"/>
          <w:szCs w:val="28"/>
        </w:rPr>
        <w:t>0,9</w:t>
      </w:r>
      <w:r w:rsidRPr="00CA099F">
        <w:rPr>
          <w:rFonts w:eastAsia="Calibri" w:cs="Times New Roman"/>
          <w:sz w:val="28"/>
          <w:szCs w:val="28"/>
        </w:rPr>
        <w:t xml:space="preserve">° </w:t>
      </w:r>
      <w:r w:rsidRPr="00CA099F">
        <w:rPr>
          <w:rFonts w:eastAsia="Calibri" w:cs="Calibri"/>
          <w:sz w:val="28"/>
          <w:szCs w:val="28"/>
        </w:rPr>
        <w:t>С та в латеральному - 31,7</w:t>
      </w:r>
      <w:r w:rsidRPr="00CA099F">
        <w:rPr>
          <w:rFonts w:eastAsia="Calibri" w:cs="Times New Roman"/>
          <w:sz w:val="28"/>
          <w:szCs w:val="28"/>
        </w:rPr>
        <w:t>±</w:t>
      </w:r>
      <w:r w:rsidRPr="00CA099F">
        <w:rPr>
          <w:rFonts w:eastAsia="Calibri" w:cs="Calibri"/>
          <w:sz w:val="28"/>
          <w:szCs w:val="28"/>
        </w:rPr>
        <w:t>1,2</w:t>
      </w:r>
      <w:r w:rsidRPr="00CA099F">
        <w:rPr>
          <w:rFonts w:eastAsia="Calibri" w:cs="Times New Roman"/>
          <w:sz w:val="28"/>
          <w:szCs w:val="28"/>
        </w:rPr>
        <w:t xml:space="preserve">° </w:t>
      </w:r>
      <w:r w:rsidRPr="00CA099F">
        <w:rPr>
          <w:rFonts w:eastAsia="Calibri" w:cs="Calibri"/>
          <w:sz w:val="28"/>
          <w:szCs w:val="28"/>
        </w:rPr>
        <w:t>С.</w:t>
      </w:r>
    </w:p>
    <w:p w:rsidR="0030517B" w:rsidRPr="00CA099F" w:rsidRDefault="0030517B" w:rsidP="0030517B">
      <w:pPr>
        <w:spacing w:after="160" w:line="360" w:lineRule="auto"/>
        <w:ind w:firstLine="708"/>
        <w:jc w:val="both"/>
        <w:rPr>
          <w:rFonts w:eastAsia="Calibri" w:cs="Calibri"/>
          <w:sz w:val="28"/>
          <w:szCs w:val="28"/>
        </w:rPr>
      </w:pPr>
      <w:r w:rsidRPr="00CA099F">
        <w:rPr>
          <w:rFonts w:eastAsia="Calibri" w:cs="Calibri"/>
          <w:sz w:val="28"/>
          <w:szCs w:val="28"/>
        </w:rPr>
        <w:t>В 1 групі різниця в діапазоні середніх темп</w:t>
      </w:r>
      <w:r w:rsidR="00C32A94">
        <w:rPr>
          <w:rFonts w:eastAsia="Calibri" w:cs="Calibri"/>
          <w:sz w:val="28"/>
          <w:szCs w:val="28"/>
        </w:rPr>
        <w:t>ератур достовірно підвищилася. У</w:t>
      </w:r>
      <w:r w:rsidRPr="00CA099F">
        <w:rPr>
          <w:rFonts w:eastAsia="Calibri" w:cs="Calibri"/>
          <w:sz w:val="28"/>
          <w:szCs w:val="28"/>
        </w:rPr>
        <w:t xml:space="preserve"> центрі рубця вона фіксувалася найнижчою та становила 29,2</w:t>
      </w:r>
      <w:r w:rsidRPr="00CA099F">
        <w:rPr>
          <w:rFonts w:eastAsia="Calibri" w:cs="Times New Roman"/>
          <w:sz w:val="28"/>
          <w:szCs w:val="28"/>
        </w:rPr>
        <w:t>±</w:t>
      </w:r>
      <w:r w:rsidRPr="00CA099F">
        <w:rPr>
          <w:rFonts w:eastAsia="Calibri" w:cs="Calibri"/>
          <w:sz w:val="28"/>
          <w:szCs w:val="28"/>
        </w:rPr>
        <w:t>1,7</w:t>
      </w:r>
      <w:r w:rsidRPr="00CA099F">
        <w:rPr>
          <w:rFonts w:eastAsia="Calibri" w:cs="Times New Roman"/>
          <w:sz w:val="28"/>
          <w:szCs w:val="28"/>
        </w:rPr>
        <w:t xml:space="preserve">° </w:t>
      </w:r>
      <w:r w:rsidRPr="00CA099F">
        <w:rPr>
          <w:rFonts w:eastAsia="Calibri" w:cs="Calibri"/>
          <w:sz w:val="28"/>
          <w:szCs w:val="28"/>
        </w:rPr>
        <w:t>С. Найвища температура зафіксована в ділянці латерального краю - 32,4</w:t>
      </w:r>
      <w:r w:rsidRPr="00CA099F">
        <w:rPr>
          <w:rFonts w:eastAsia="Calibri" w:cs="Times New Roman"/>
          <w:sz w:val="28"/>
          <w:szCs w:val="28"/>
        </w:rPr>
        <w:t>±</w:t>
      </w:r>
      <w:r w:rsidRPr="00CA099F">
        <w:rPr>
          <w:rFonts w:eastAsia="Calibri" w:cs="Calibri"/>
          <w:sz w:val="28"/>
          <w:szCs w:val="28"/>
        </w:rPr>
        <w:t>1,4</w:t>
      </w:r>
      <w:r w:rsidRPr="00CA099F">
        <w:rPr>
          <w:rFonts w:eastAsia="Calibri" w:cs="Times New Roman"/>
          <w:sz w:val="28"/>
          <w:szCs w:val="28"/>
        </w:rPr>
        <w:t xml:space="preserve">° </w:t>
      </w:r>
      <w:r w:rsidRPr="00CA099F">
        <w:rPr>
          <w:rFonts w:eastAsia="Calibri" w:cs="Calibri"/>
          <w:sz w:val="28"/>
          <w:szCs w:val="28"/>
        </w:rPr>
        <w:t>С. В медіальному краю спостерігалися проміжні значення, які дорівнювали 32,1</w:t>
      </w:r>
      <w:r w:rsidRPr="00CA099F">
        <w:rPr>
          <w:rFonts w:eastAsia="Calibri" w:cs="Times New Roman"/>
          <w:sz w:val="28"/>
          <w:szCs w:val="28"/>
        </w:rPr>
        <w:t>±</w:t>
      </w:r>
      <w:r w:rsidRPr="00CA099F">
        <w:rPr>
          <w:rFonts w:eastAsia="Calibri" w:cs="Calibri"/>
          <w:sz w:val="28"/>
          <w:szCs w:val="28"/>
        </w:rPr>
        <w:t>1,5</w:t>
      </w:r>
      <w:r w:rsidRPr="00CA099F">
        <w:rPr>
          <w:rFonts w:eastAsia="Calibri" w:cs="Times New Roman"/>
          <w:sz w:val="28"/>
          <w:szCs w:val="28"/>
        </w:rPr>
        <w:t xml:space="preserve">° </w:t>
      </w:r>
      <w:r w:rsidRPr="00CA099F">
        <w:rPr>
          <w:rFonts w:eastAsia="Calibri" w:cs="Calibri"/>
          <w:sz w:val="28"/>
          <w:szCs w:val="28"/>
        </w:rPr>
        <w:t>С.</w:t>
      </w:r>
    </w:p>
    <w:p w:rsidR="0030517B" w:rsidRPr="00CA099F" w:rsidRDefault="0030517B" w:rsidP="0030517B">
      <w:pPr>
        <w:spacing w:after="160" w:line="360" w:lineRule="auto"/>
        <w:ind w:firstLine="708"/>
        <w:jc w:val="both"/>
        <w:rPr>
          <w:rFonts w:eastAsia="Calibri" w:cs="Calibri"/>
          <w:sz w:val="28"/>
          <w:szCs w:val="28"/>
        </w:rPr>
      </w:pPr>
      <w:r w:rsidRPr="00CA099F">
        <w:rPr>
          <w:rFonts w:eastAsia="Calibri" w:cs="Calibri"/>
          <w:sz w:val="28"/>
          <w:szCs w:val="28"/>
        </w:rPr>
        <w:lastRenderedPageBreak/>
        <w:t>В 2 групі нами зафіксовано достовірне підвищення середньої температури. На 9 місяць спостереження в центрі рубцевозмінених тканин вона складала 30,4</w:t>
      </w:r>
      <w:r w:rsidRPr="00CA099F">
        <w:rPr>
          <w:rFonts w:eastAsia="Calibri" w:cs="Times New Roman"/>
          <w:sz w:val="28"/>
          <w:szCs w:val="28"/>
        </w:rPr>
        <w:t>±</w:t>
      </w:r>
      <w:r w:rsidRPr="00CA099F">
        <w:rPr>
          <w:rFonts w:eastAsia="Calibri" w:cs="Calibri"/>
          <w:sz w:val="28"/>
          <w:szCs w:val="28"/>
        </w:rPr>
        <w:t>1,6</w:t>
      </w:r>
      <w:r w:rsidRPr="00CA099F">
        <w:rPr>
          <w:rFonts w:eastAsia="Calibri" w:cs="Times New Roman"/>
          <w:sz w:val="28"/>
          <w:szCs w:val="28"/>
        </w:rPr>
        <w:t xml:space="preserve">° </w:t>
      </w:r>
      <w:r w:rsidRPr="00CA099F">
        <w:rPr>
          <w:rFonts w:eastAsia="Calibri" w:cs="Calibri"/>
          <w:sz w:val="28"/>
          <w:szCs w:val="28"/>
        </w:rPr>
        <w:t>С. У латеральній частині рубця продовжувалися фіксуватися найвищі значення, які дорівнювали 33,2</w:t>
      </w:r>
      <w:r w:rsidRPr="00CA099F">
        <w:rPr>
          <w:rFonts w:eastAsia="Calibri" w:cs="Times New Roman"/>
          <w:sz w:val="28"/>
          <w:szCs w:val="28"/>
        </w:rPr>
        <w:t>±</w:t>
      </w:r>
      <w:r w:rsidRPr="00CA099F">
        <w:rPr>
          <w:rFonts w:eastAsia="Calibri" w:cs="Calibri"/>
          <w:sz w:val="28"/>
          <w:szCs w:val="28"/>
        </w:rPr>
        <w:t>1,9</w:t>
      </w:r>
      <w:r w:rsidRPr="00CA099F">
        <w:rPr>
          <w:rFonts w:eastAsia="Calibri" w:cs="Times New Roman"/>
          <w:sz w:val="28"/>
          <w:szCs w:val="28"/>
        </w:rPr>
        <w:t xml:space="preserve">° </w:t>
      </w:r>
      <w:r w:rsidRPr="00CA099F">
        <w:rPr>
          <w:rFonts w:eastAsia="Calibri" w:cs="Calibri"/>
          <w:sz w:val="28"/>
          <w:szCs w:val="28"/>
        </w:rPr>
        <w:t xml:space="preserve">С. </w:t>
      </w:r>
      <w:r w:rsidR="00C32A94">
        <w:rPr>
          <w:rFonts w:eastAsia="Calibri" w:cs="Calibri"/>
          <w:sz w:val="28"/>
          <w:szCs w:val="28"/>
        </w:rPr>
        <w:t>У</w:t>
      </w:r>
      <w:r w:rsidRPr="00CA099F">
        <w:rPr>
          <w:rFonts w:eastAsia="Calibri" w:cs="Calibri"/>
          <w:sz w:val="28"/>
          <w:szCs w:val="28"/>
        </w:rPr>
        <w:t xml:space="preserve"> медіальній частині спостерігалися дещо нижчі показники, які в цій групі складали 32,9</w:t>
      </w:r>
      <w:r w:rsidRPr="00CA099F">
        <w:rPr>
          <w:rFonts w:eastAsia="Calibri" w:cs="Times New Roman"/>
          <w:sz w:val="28"/>
          <w:szCs w:val="28"/>
        </w:rPr>
        <w:t>±</w:t>
      </w:r>
      <w:r w:rsidRPr="00CA099F">
        <w:rPr>
          <w:rFonts w:eastAsia="Calibri" w:cs="Calibri"/>
          <w:sz w:val="28"/>
          <w:szCs w:val="28"/>
        </w:rPr>
        <w:t>1,7</w:t>
      </w:r>
      <w:r w:rsidRPr="00CA099F">
        <w:rPr>
          <w:rFonts w:eastAsia="Calibri" w:cs="Times New Roman"/>
          <w:sz w:val="28"/>
          <w:szCs w:val="28"/>
        </w:rPr>
        <w:t xml:space="preserve">° </w:t>
      </w:r>
      <w:r w:rsidRPr="00CA099F">
        <w:rPr>
          <w:rFonts w:eastAsia="Calibri" w:cs="Calibri"/>
          <w:sz w:val="28"/>
          <w:szCs w:val="28"/>
        </w:rPr>
        <w:t>С.</w:t>
      </w:r>
    </w:p>
    <w:p w:rsidR="0030517B" w:rsidRPr="00CA099F" w:rsidRDefault="0030517B" w:rsidP="0030517B">
      <w:pPr>
        <w:spacing w:after="160" w:line="360" w:lineRule="auto"/>
        <w:ind w:firstLine="708"/>
        <w:jc w:val="both"/>
        <w:rPr>
          <w:rFonts w:eastAsia="Calibri" w:cs="Calibri"/>
          <w:sz w:val="28"/>
          <w:szCs w:val="28"/>
        </w:rPr>
      </w:pPr>
      <w:r w:rsidRPr="00CA099F">
        <w:rPr>
          <w:rFonts w:eastAsia="Calibri" w:cs="Calibri"/>
          <w:sz w:val="28"/>
          <w:szCs w:val="28"/>
        </w:rPr>
        <w:t>Графік динаміки змін показників середньої температури у різних зонах рубцевозмінених тканин в залежності від виду інтра- та пост-операційної профілактики на 9 місяць досліджень наведено на рис. 3.6.</w:t>
      </w:r>
    </w:p>
    <w:p w:rsidR="0030517B" w:rsidRPr="00CA099F" w:rsidRDefault="0030517B" w:rsidP="0030517B">
      <w:pPr>
        <w:spacing w:after="160" w:line="360" w:lineRule="auto"/>
        <w:ind w:firstLine="708"/>
        <w:jc w:val="both"/>
        <w:rPr>
          <w:rFonts w:eastAsia="Calibri" w:cs="Calibri"/>
          <w:sz w:val="28"/>
          <w:szCs w:val="28"/>
        </w:rPr>
      </w:pPr>
      <w:r w:rsidRPr="00CA099F">
        <w:rPr>
          <w:rFonts w:eastAsia="Calibri" w:cs="Calibri"/>
          <w:noProof/>
          <w:sz w:val="28"/>
          <w:szCs w:val="28"/>
          <w:lang w:val="ru-RU" w:eastAsia="ru-RU"/>
        </w:rPr>
        <w:drawing>
          <wp:inline distT="0" distB="0" distL="0" distR="0" wp14:anchorId="30D0F830" wp14:editId="5BCE2945">
            <wp:extent cx="5486400" cy="4914900"/>
            <wp:effectExtent l="0" t="0" r="0" b="0"/>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30517B" w:rsidRPr="00CA099F" w:rsidRDefault="0030517B" w:rsidP="0030517B">
      <w:pPr>
        <w:spacing w:after="160" w:line="360" w:lineRule="auto"/>
        <w:ind w:firstLine="708"/>
        <w:jc w:val="both"/>
        <w:rPr>
          <w:rFonts w:eastAsia="Calibri" w:cs="Calibri"/>
          <w:sz w:val="28"/>
          <w:szCs w:val="28"/>
        </w:rPr>
      </w:pPr>
      <w:r w:rsidRPr="00CA099F">
        <w:rPr>
          <w:rFonts w:eastAsia="Calibri" w:cs="Calibri"/>
          <w:sz w:val="28"/>
          <w:szCs w:val="28"/>
        </w:rPr>
        <w:t>Рис. 3.6. Графік динаміки змін показників середньої температури у різних зонах рубцевозмінених тканин на 9 місяць післяопераційного періоду.</w:t>
      </w:r>
    </w:p>
    <w:p w:rsidR="0030517B" w:rsidRPr="00CA099F" w:rsidRDefault="0030517B" w:rsidP="0030517B">
      <w:pPr>
        <w:spacing w:after="160" w:line="360" w:lineRule="auto"/>
        <w:ind w:firstLine="708"/>
        <w:jc w:val="both"/>
        <w:rPr>
          <w:rFonts w:eastAsia="Calibri" w:cs="Calibri"/>
          <w:sz w:val="28"/>
          <w:szCs w:val="28"/>
        </w:rPr>
      </w:pPr>
    </w:p>
    <w:p w:rsidR="0030517B" w:rsidRPr="00CA099F" w:rsidRDefault="0030517B" w:rsidP="0030517B">
      <w:pPr>
        <w:spacing w:after="160" w:line="360" w:lineRule="auto"/>
        <w:ind w:firstLine="708"/>
        <w:jc w:val="both"/>
        <w:rPr>
          <w:rFonts w:eastAsia="Calibri" w:cs="Calibri"/>
          <w:b/>
          <w:sz w:val="28"/>
          <w:szCs w:val="28"/>
        </w:rPr>
      </w:pPr>
      <w:r w:rsidRPr="00CA099F">
        <w:rPr>
          <w:rFonts w:eastAsia="Calibri" w:cs="Calibri"/>
          <w:b/>
          <w:sz w:val="28"/>
          <w:szCs w:val="28"/>
        </w:rPr>
        <w:lastRenderedPageBreak/>
        <w:t>3.5 Зміни клінічних показників рубцевозмінених тканин на 12 місяць післяопераційного періоду</w:t>
      </w:r>
    </w:p>
    <w:p w:rsidR="0030517B" w:rsidRPr="00CA099F" w:rsidRDefault="0030517B" w:rsidP="0030517B">
      <w:pPr>
        <w:spacing w:after="160" w:line="360" w:lineRule="auto"/>
        <w:ind w:firstLine="708"/>
        <w:jc w:val="both"/>
        <w:rPr>
          <w:rFonts w:eastAsia="Calibri" w:cs="Calibri"/>
          <w:b/>
          <w:sz w:val="28"/>
          <w:szCs w:val="28"/>
        </w:rPr>
      </w:pPr>
    </w:p>
    <w:p w:rsidR="0030517B" w:rsidRPr="00CA099F" w:rsidRDefault="0030517B" w:rsidP="0030517B">
      <w:pPr>
        <w:spacing w:after="160" w:line="360" w:lineRule="auto"/>
        <w:jc w:val="both"/>
        <w:rPr>
          <w:rFonts w:eastAsia="Calibri" w:cs="Calibri"/>
          <w:sz w:val="28"/>
          <w:szCs w:val="28"/>
        </w:rPr>
      </w:pPr>
      <w:r w:rsidRPr="00CA099F">
        <w:rPr>
          <w:rFonts w:eastAsia="Calibri" w:cs="Calibri"/>
          <w:sz w:val="28"/>
          <w:szCs w:val="28"/>
        </w:rPr>
        <w:tab/>
        <w:t xml:space="preserve">При дослідженні показника П1 на 12-й місяць післяопераційного періоду у 9 пацієнтів </w:t>
      </w:r>
      <w:r w:rsidR="005E229C" w:rsidRPr="00CA099F">
        <w:rPr>
          <w:rFonts w:eastAsia="Calibri" w:cs="Calibri"/>
          <w:sz w:val="28"/>
          <w:szCs w:val="28"/>
        </w:rPr>
        <w:t xml:space="preserve">(45%) </w:t>
      </w:r>
      <w:r w:rsidRPr="00CA099F">
        <w:rPr>
          <w:rFonts w:eastAsia="Calibri" w:cs="Calibri"/>
          <w:sz w:val="28"/>
          <w:szCs w:val="28"/>
        </w:rPr>
        <w:t xml:space="preserve">контрольної групи нами зафіксовано наявність атрофічного гомогенного рубця (з них у 2 пацієнтів </w:t>
      </w:r>
      <w:r w:rsidR="005E229C" w:rsidRPr="00CA099F">
        <w:rPr>
          <w:rFonts w:eastAsia="Calibri" w:cs="Calibri"/>
          <w:sz w:val="28"/>
          <w:szCs w:val="28"/>
        </w:rPr>
        <w:t xml:space="preserve">(10%) </w:t>
      </w:r>
      <w:r w:rsidRPr="00CA099F">
        <w:rPr>
          <w:rFonts w:eastAsia="Calibri" w:cs="Calibri"/>
          <w:sz w:val="28"/>
          <w:szCs w:val="28"/>
        </w:rPr>
        <w:t>з наявністю інвагінації м`яких тканин в центральній частині та в одному випадку – медіальній частині рубця). Ознаки гіпертрофічного рубця спостерігалися у 4 пацієнтів</w:t>
      </w:r>
      <w:r w:rsidR="005E229C">
        <w:rPr>
          <w:rFonts w:eastAsia="Calibri" w:cs="Calibri"/>
          <w:sz w:val="28"/>
          <w:szCs w:val="28"/>
        </w:rPr>
        <w:t xml:space="preserve"> </w:t>
      </w:r>
      <w:r w:rsidR="005E229C" w:rsidRPr="00CA099F">
        <w:rPr>
          <w:rFonts w:eastAsia="Calibri" w:cs="Calibri"/>
          <w:sz w:val="28"/>
          <w:szCs w:val="28"/>
        </w:rPr>
        <w:t>(20%)</w:t>
      </w:r>
      <w:r w:rsidRPr="00CA099F">
        <w:rPr>
          <w:rFonts w:eastAsia="Calibri" w:cs="Calibri"/>
          <w:sz w:val="28"/>
          <w:szCs w:val="28"/>
        </w:rPr>
        <w:t xml:space="preserve">, у 2 (10%) з яких визначалися гіпертрофічні рубці з вузликоподібними розростаннями. Наявність келоїдних рубців нами зафіксовано у 2 </w:t>
      </w:r>
      <w:r w:rsidR="005E229C">
        <w:rPr>
          <w:rFonts w:eastAsia="Calibri" w:cs="Calibri"/>
          <w:sz w:val="28"/>
          <w:szCs w:val="28"/>
        </w:rPr>
        <w:t xml:space="preserve">випадках </w:t>
      </w:r>
      <w:r w:rsidRPr="00CA099F">
        <w:rPr>
          <w:rFonts w:eastAsia="Calibri" w:cs="Calibri"/>
          <w:sz w:val="28"/>
          <w:szCs w:val="28"/>
        </w:rPr>
        <w:t>(10%). В інших випадках спостерігалися нормотрофічні рубці, але гомогенних серед них визначалося 40%.</w:t>
      </w:r>
    </w:p>
    <w:p w:rsidR="0030517B" w:rsidRPr="00CA099F" w:rsidRDefault="0030517B" w:rsidP="0030517B">
      <w:pPr>
        <w:spacing w:after="160" w:line="360" w:lineRule="auto"/>
        <w:jc w:val="both"/>
        <w:rPr>
          <w:rFonts w:eastAsia="Calibri" w:cs="Calibri"/>
          <w:sz w:val="28"/>
          <w:szCs w:val="28"/>
        </w:rPr>
      </w:pPr>
      <w:r w:rsidRPr="00CA099F">
        <w:rPr>
          <w:rFonts w:eastAsia="Calibri" w:cs="Calibri"/>
          <w:sz w:val="28"/>
          <w:szCs w:val="28"/>
        </w:rPr>
        <w:tab/>
        <w:t>У пацієнтів 1-ї групи утворення гомогенного атрофічного рубця нами зафіксовано у 4 випадках</w:t>
      </w:r>
      <w:r w:rsidR="005E229C">
        <w:rPr>
          <w:rFonts w:eastAsia="Calibri" w:cs="Calibri"/>
          <w:sz w:val="28"/>
          <w:szCs w:val="28"/>
        </w:rPr>
        <w:t xml:space="preserve"> </w:t>
      </w:r>
      <w:r w:rsidR="005E229C" w:rsidRPr="00CA099F">
        <w:rPr>
          <w:rFonts w:eastAsia="Calibri" w:cs="Calibri"/>
          <w:sz w:val="28"/>
          <w:szCs w:val="28"/>
        </w:rPr>
        <w:t>(20%)</w:t>
      </w:r>
      <w:r w:rsidRPr="00CA099F">
        <w:rPr>
          <w:rFonts w:eastAsia="Calibri" w:cs="Calibri"/>
          <w:sz w:val="28"/>
          <w:szCs w:val="28"/>
        </w:rPr>
        <w:t xml:space="preserve">. Як і на попередньому етапі спостереження у 2 пацієнтів </w:t>
      </w:r>
      <w:r w:rsidR="005E229C" w:rsidRPr="00CA099F">
        <w:rPr>
          <w:rFonts w:eastAsia="Calibri" w:cs="Calibri"/>
          <w:sz w:val="28"/>
          <w:szCs w:val="28"/>
        </w:rPr>
        <w:t xml:space="preserve">(10%) </w:t>
      </w:r>
      <w:r w:rsidRPr="00CA099F">
        <w:rPr>
          <w:rFonts w:eastAsia="Calibri" w:cs="Calibri"/>
          <w:sz w:val="28"/>
          <w:szCs w:val="28"/>
        </w:rPr>
        <w:t xml:space="preserve">зафіксовано гомогенний гіпертрофічний рубець без вузликових розростань та відсутність пацієнтів з наявністю келоїдних рубців. У 14 </w:t>
      </w:r>
      <w:r w:rsidR="009360C2" w:rsidRPr="00CA099F">
        <w:rPr>
          <w:rFonts w:eastAsia="Calibri" w:cs="Calibri"/>
          <w:sz w:val="28"/>
          <w:szCs w:val="28"/>
        </w:rPr>
        <w:t xml:space="preserve">пацієнтів </w:t>
      </w:r>
      <w:r w:rsidRPr="00CA099F">
        <w:rPr>
          <w:rFonts w:eastAsia="Calibri" w:cs="Calibri"/>
          <w:sz w:val="28"/>
          <w:szCs w:val="28"/>
        </w:rPr>
        <w:t>(70%) зафіксовані нормотрофічні рубці.</w:t>
      </w:r>
    </w:p>
    <w:p w:rsidR="0030517B" w:rsidRPr="00CA099F" w:rsidRDefault="0030517B" w:rsidP="0030517B">
      <w:pPr>
        <w:spacing w:after="160" w:line="360" w:lineRule="auto"/>
        <w:jc w:val="both"/>
        <w:rPr>
          <w:rFonts w:eastAsia="Calibri" w:cs="Calibri"/>
          <w:sz w:val="28"/>
          <w:szCs w:val="28"/>
        </w:rPr>
      </w:pPr>
      <w:r w:rsidRPr="00CA099F">
        <w:rPr>
          <w:rFonts w:eastAsia="Calibri" w:cs="Calibri"/>
          <w:sz w:val="28"/>
          <w:szCs w:val="28"/>
        </w:rPr>
        <w:tab/>
        <w:t xml:space="preserve">На фінальному терміні спостереження у пацієнтів 2-ї групи в 2-х випадках </w:t>
      </w:r>
      <w:r w:rsidR="009360C2" w:rsidRPr="00CA099F">
        <w:rPr>
          <w:rFonts w:eastAsia="Calibri" w:cs="Calibri"/>
          <w:sz w:val="28"/>
          <w:szCs w:val="28"/>
        </w:rPr>
        <w:t xml:space="preserve">(10%) </w:t>
      </w:r>
      <w:r w:rsidRPr="00CA099F">
        <w:rPr>
          <w:rFonts w:eastAsia="Calibri" w:cs="Calibri"/>
          <w:sz w:val="28"/>
          <w:szCs w:val="28"/>
        </w:rPr>
        <w:t xml:space="preserve">спостерігався атрофічний гомогенний рубець, в 1 випадку </w:t>
      </w:r>
      <w:r w:rsidR="009360C2" w:rsidRPr="00CA099F">
        <w:rPr>
          <w:rFonts w:eastAsia="Calibri" w:cs="Calibri"/>
          <w:sz w:val="28"/>
          <w:szCs w:val="28"/>
        </w:rPr>
        <w:t xml:space="preserve">(5%) </w:t>
      </w:r>
      <w:r w:rsidRPr="00CA099F">
        <w:rPr>
          <w:rFonts w:eastAsia="Calibri" w:cs="Calibri"/>
          <w:sz w:val="28"/>
          <w:szCs w:val="28"/>
        </w:rPr>
        <w:t xml:space="preserve">– гіпертрофічний. Ознак келоїдизації нами не виявлено, а у 17 пацієнтів </w:t>
      </w:r>
      <w:r w:rsidR="009360C2" w:rsidRPr="00CA099F">
        <w:rPr>
          <w:rFonts w:eastAsia="Calibri" w:cs="Calibri"/>
          <w:sz w:val="28"/>
          <w:szCs w:val="28"/>
        </w:rPr>
        <w:t xml:space="preserve">(85%) </w:t>
      </w:r>
      <w:r w:rsidRPr="00CA099F">
        <w:rPr>
          <w:rFonts w:eastAsia="Calibri" w:cs="Calibri"/>
          <w:sz w:val="28"/>
          <w:szCs w:val="28"/>
        </w:rPr>
        <w:t>спостерігався нормотрофічний рубець.</w:t>
      </w:r>
    </w:p>
    <w:p w:rsidR="0030517B" w:rsidRPr="00CA099F" w:rsidRDefault="0030517B" w:rsidP="0030517B">
      <w:pPr>
        <w:spacing w:after="160" w:line="360" w:lineRule="auto"/>
        <w:jc w:val="both"/>
        <w:rPr>
          <w:rFonts w:eastAsia="Calibri" w:cs="Calibri"/>
          <w:sz w:val="28"/>
          <w:szCs w:val="28"/>
        </w:rPr>
      </w:pPr>
      <w:r w:rsidRPr="00CA099F">
        <w:rPr>
          <w:rFonts w:eastAsia="Calibri" w:cs="Calibri"/>
          <w:sz w:val="28"/>
          <w:szCs w:val="28"/>
        </w:rPr>
        <w:tab/>
        <w:t xml:space="preserve">При аналізі якісної складової показника П2 у </w:t>
      </w:r>
      <w:r w:rsidR="00D96DA9">
        <w:rPr>
          <w:rFonts w:eastAsia="Calibri" w:cs="Calibri"/>
          <w:sz w:val="28"/>
          <w:szCs w:val="28"/>
        </w:rPr>
        <w:t>пацієнтів</w:t>
      </w:r>
      <w:r w:rsidRPr="00CA099F">
        <w:rPr>
          <w:rFonts w:eastAsia="Calibri" w:cs="Calibri"/>
          <w:sz w:val="28"/>
          <w:szCs w:val="28"/>
        </w:rPr>
        <w:t xml:space="preserve"> контрольної групи слід відзначити, що ознаки нормальн</w:t>
      </w:r>
      <w:r w:rsidR="00C131EE">
        <w:rPr>
          <w:rFonts w:eastAsia="Calibri" w:cs="Calibri"/>
          <w:sz w:val="28"/>
          <w:szCs w:val="28"/>
        </w:rPr>
        <w:t>ої консистенції зафіксовані у 13</w:t>
      </w:r>
      <w:r w:rsidRPr="00CA099F">
        <w:rPr>
          <w:rFonts w:eastAsia="Calibri" w:cs="Calibri"/>
          <w:sz w:val="28"/>
          <w:szCs w:val="28"/>
        </w:rPr>
        <w:t xml:space="preserve"> </w:t>
      </w:r>
      <w:r w:rsidR="00D96DA9">
        <w:rPr>
          <w:rFonts w:eastAsia="Calibri" w:cs="Calibri"/>
          <w:sz w:val="28"/>
          <w:szCs w:val="28"/>
        </w:rPr>
        <w:t>пацієнтів</w:t>
      </w:r>
      <w:r w:rsidR="009360C2">
        <w:rPr>
          <w:rFonts w:eastAsia="Calibri" w:cs="Calibri"/>
          <w:sz w:val="28"/>
          <w:szCs w:val="28"/>
        </w:rPr>
        <w:t xml:space="preserve"> </w:t>
      </w:r>
      <w:r w:rsidR="009360C2" w:rsidRPr="00CA099F">
        <w:rPr>
          <w:rFonts w:eastAsia="Calibri" w:cs="Calibri"/>
          <w:sz w:val="28"/>
          <w:szCs w:val="28"/>
        </w:rPr>
        <w:t>(6</w:t>
      </w:r>
      <w:r w:rsidR="00C131EE">
        <w:rPr>
          <w:rFonts w:eastAsia="Calibri" w:cs="Calibri"/>
          <w:sz w:val="28"/>
          <w:szCs w:val="28"/>
        </w:rPr>
        <w:t>5</w:t>
      </w:r>
      <w:r w:rsidR="009360C2" w:rsidRPr="00CA099F">
        <w:rPr>
          <w:rFonts w:eastAsia="Calibri" w:cs="Calibri"/>
          <w:sz w:val="28"/>
          <w:szCs w:val="28"/>
        </w:rPr>
        <w:t>%)</w:t>
      </w:r>
      <w:r w:rsidR="00E16F39">
        <w:rPr>
          <w:rFonts w:eastAsia="Calibri" w:cs="Calibri"/>
          <w:sz w:val="28"/>
          <w:szCs w:val="28"/>
        </w:rPr>
        <w:t>, але у 6</w:t>
      </w:r>
      <w:r w:rsidRPr="00CA099F">
        <w:rPr>
          <w:rFonts w:eastAsia="Calibri" w:cs="Calibri"/>
          <w:sz w:val="28"/>
          <w:szCs w:val="28"/>
        </w:rPr>
        <w:t xml:space="preserve"> (</w:t>
      </w:r>
      <w:r w:rsidR="00E16F39">
        <w:rPr>
          <w:rFonts w:eastAsia="Calibri" w:cs="Calibri"/>
          <w:sz w:val="28"/>
          <w:szCs w:val="28"/>
        </w:rPr>
        <w:t>30</w:t>
      </w:r>
      <w:r w:rsidRPr="00CA099F">
        <w:rPr>
          <w:rFonts w:eastAsia="Calibri" w:cs="Calibri"/>
          <w:sz w:val="28"/>
          <w:szCs w:val="28"/>
        </w:rPr>
        <w:t xml:space="preserve">%) </w:t>
      </w:r>
      <w:r w:rsidR="009360C2">
        <w:rPr>
          <w:rFonts w:eastAsia="Calibri" w:cs="Calibri"/>
          <w:sz w:val="28"/>
          <w:szCs w:val="28"/>
        </w:rPr>
        <w:t>–</w:t>
      </w:r>
      <w:r w:rsidRPr="00CA099F">
        <w:rPr>
          <w:rFonts w:eastAsia="Calibri" w:cs="Calibri"/>
          <w:sz w:val="28"/>
          <w:szCs w:val="28"/>
        </w:rPr>
        <w:t xml:space="preserve"> спостерігалися помірні ущільнення рубця (у </w:t>
      </w:r>
      <w:r w:rsidR="00E16F39">
        <w:rPr>
          <w:rFonts w:eastAsia="Calibri" w:cs="Calibri"/>
          <w:sz w:val="28"/>
          <w:szCs w:val="28"/>
        </w:rPr>
        <w:t>4</w:t>
      </w:r>
      <w:r w:rsidRPr="00CA099F">
        <w:rPr>
          <w:rFonts w:eastAsia="Calibri" w:cs="Calibri"/>
          <w:sz w:val="28"/>
          <w:szCs w:val="28"/>
        </w:rPr>
        <w:t xml:space="preserve"> (</w:t>
      </w:r>
      <w:r w:rsidR="00E16F39">
        <w:rPr>
          <w:rFonts w:eastAsia="Calibri" w:cs="Calibri"/>
          <w:sz w:val="28"/>
          <w:szCs w:val="28"/>
        </w:rPr>
        <w:t>20</w:t>
      </w:r>
      <w:r w:rsidRPr="00CA099F">
        <w:rPr>
          <w:rFonts w:eastAsia="Calibri" w:cs="Calibri"/>
          <w:sz w:val="28"/>
          <w:szCs w:val="28"/>
        </w:rPr>
        <w:t xml:space="preserve">%) – в центральній частині, у 2 (10%) – в дистальних відділах), у 1 (5%) </w:t>
      </w:r>
      <w:r w:rsidR="009360C2">
        <w:rPr>
          <w:rFonts w:eastAsia="Calibri" w:cs="Calibri"/>
          <w:sz w:val="28"/>
          <w:szCs w:val="28"/>
        </w:rPr>
        <w:t>пацієнта спостерігала</w:t>
      </w:r>
      <w:r w:rsidRPr="00CA099F">
        <w:rPr>
          <w:rFonts w:eastAsia="Calibri" w:cs="Calibri"/>
          <w:sz w:val="28"/>
          <w:szCs w:val="28"/>
        </w:rPr>
        <w:t xml:space="preserve">ся ледь помітна індурація. </w:t>
      </w:r>
    </w:p>
    <w:p w:rsidR="0030517B" w:rsidRPr="00CA099F" w:rsidRDefault="0030517B" w:rsidP="0030517B">
      <w:pPr>
        <w:spacing w:after="160" w:line="360" w:lineRule="auto"/>
        <w:jc w:val="both"/>
        <w:rPr>
          <w:rFonts w:eastAsia="Calibri" w:cs="Calibri"/>
          <w:sz w:val="28"/>
          <w:szCs w:val="28"/>
        </w:rPr>
      </w:pPr>
      <w:r w:rsidRPr="00CA099F">
        <w:rPr>
          <w:rFonts w:eastAsia="Calibri" w:cs="Calibri"/>
          <w:sz w:val="28"/>
          <w:szCs w:val="28"/>
        </w:rPr>
        <w:tab/>
        <w:t xml:space="preserve">На 12 місяць дослідження у </w:t>
      </w:r>
      <w:r w:rsidR="00D96DA9">
        <w:rPr>
          <w:rFonts w:eastAsia="Calibri" w:cs="Calibri"/>
          <w:sz w:val="28"/>
          <w:szCs w:val="28"/>
        </w:rPr>
        <w:t>пацієнтів</w:t>
      </w:r>
      <w:r w:rsidRPr="00CA099F">
        <w:rPr>
          <w:rFonts w:eastAsia="Calibri" w:cs="Calibri"/>
          <w:sz w:val="28"/>
          <w:szCs w:val="28"/>
        </w:rPr>
        <w:t xml:space="preserve"> 1-ї групи позитивна динаміка рубцювання дещо у</w:t>
      </w:r>
      <w:r w:rsidR="00FA2E4F">
        <w:rPr>
          <w:rFonts w:eastAsia="Calibri" w:cs="Calibri"/>
          <w:sz w:val="28"/>
          <w:szCs w:val="28"/>
        </w:rPr>
        <w:t xml:space="preserve">повільнилась та складала: в 15 </w:t>
      </w:r>
      <w:r w:rsidRPr="00CA099F">
        <w:rPr>
          <w:rFonts w:eastAsia="Calibri" w:cs="Calibri"/>
          <w:sz w:val="28"/>
          <w:szCs w:val="28"/>
        </w:rPr>
        <w:t xml:space="preserve">випадках </w:t>
      </w:r>
      <w:r w:rsidR="00FA2E4F">
        <w:rPr>
          <w:rFonts w:eastAsia="Calibri" w:cs="Calibri"/>
          <w:sz w:val="28"/>
          <w:szCs w:val="28"/>
        </w:rPr>
        <w:t xml:space="preserve">(75%) </w:t>
      </w:r>
      <w:r w:rsidRPr="00CA099F">
        <w:rPr>
          <w:rFonts w:eastAsia="Calibri" w:cs="Calibri"/>
          <w:sz w:val="28"/>
          <w:szCs w:val="28"/>
        </w:rPr>
        <w:t xml:space="preserve">нами </w:t>
      </w:r>
      <w:r w:rsidRPr="00CA099F">
        <w:rPr>
          <w:rFonts w:eastAsia="Calibri" w:cs="Calibri"/>
          <w:sz w:val="28"/>
          <w:szCs w:val="28"/>
        </w:rPr>
        <w:lastRenderedPageBreak/>
        <w:t xml:space="preserve">пальпаторно визначено нормальну консистенцію рубця, та в 5 випадках </w:t>
      </w:r>
      <w:r w:rsidR="00FA2E4F">
        <w:rPr>
          <w:rFonts w:eastAsia="Calibri" w:cs="Calibri"/>
          <w:sz w:val="28"/>
          <w:szCs w:val="28"/>
        </w:rPr>
        <w:t xml:space="preserve">(25%) </w:t>
      </w:r>
      <w:r w:rsidRPr="00CA099F">
        <w:rPr>
          <w:rFonts w:eastAsia="Calibri" w:cs="Calibri"/>
          <w:sz w:val="28"/>
          <w:szCs w:val="28"/>
        </w:rPr>
        <w:t>спостерігалися поодинокі ущільнення в центральній частині без їх наявності в ділянці маргінальних країв. Ознаки індурації не спостерігалися.</w:t>
      </w:r>
    </w:p>
    <w:p w:rsidR="0030517B" w:rsidRPr="00CA099F" w:rsidRDefault="0030517B" w:rsidP="0030517B">
      <w:pPr>
        <w:spacing w:after="160" w:line="360" w:lineRule="auto"/>
        <w:jc w:val="both"/>
        <w:rPr>
          <w:rFonts w:eastAsia="Calibri" w:cs="Calibri"/>
          <w:sz w:val="28"/>
          <w:szCs w:val="28"/>
        </w:rPr>
      </w:pPr>
      <w:r w:rsidRPr="00CA099F">
        <w:rPr>
          <w:rFonts w:eastAsia="Calibri" w:cs="Calibri"/>
          <w:sz w:val="28"/>
          <w:szCs w:val="28"/>
        </w:rPr>
        <w:tab/>
        <w:t xml:space="preserve">У </w:t>
      </w:r>
      <w:r w:rsidR="00D96DA9">
        <w:rPr>
          <w:rFonts w:eastAsia="Calibri" w:cs="Calibri"/>
          <w:sz w:val="28"/>
          <w:szCs w:val="28"/>
        </w:rPr>
        <w:t>пацієнтів</w:t>
      </w:r>
      <w:r w:rsidRPr="00CA099F">
        <w:rPr>
          <w:rFonts w:eastAsia="Calibri" w:cs="Calibri"/>
          <w:sz w:val="28"/>
          <w:szCs w:val="28"/>
        </w:rPr>
        <w:t xml:space="preserve"> 2-ї групи зберігалася позитивна динаміка яка в цифровому вигляді складала: у 18 пацієнтів </w:t>
      </w:r>
      <w:r w:rsidR="00FA2E4F" w:rsidRPr="00CA099F">
        <w:rPr>
          <w:rFonts w:eastAsia="Calibri" w:cs="Calibri"/>
          <w:sz w:val="28"/>
          <w:szCs w:val="28"/>
        </w:rPr>
        <w:t xml:space="preserve">(90%) </w:t>
      </w:r>
      <w:r w:rsidRPr="00CA099F">
        <w:rPr>
          <w:rFonts w:eastAsia="Calibri" w:cs="Calibri"/>
          <w:sz w:val="28"/>
          <w:szCs w:val="28"/>
        </w:rPr>
        <w:t xml:space="preserve">пальпаторно визначалася нормальна консистенція рубця, в 2 випадках </w:t>
      </w:r>
      <w:r w:rsidR="00FA2E4F" w:rsidRPr="00CA099F">
        <w:rPr>
          <w:rFonts w:eastAsia="Calibri" w:cs="Calibri"/>
          <w:sz w:val="28"/>
          <w:szCs w:val="28"/>
        </w:rPr>
        <w:t xml:space="preserve">(10%) </w:t>
      </w:r>
      <w:r w:rsidRPr="00CA099F">
        <w:rPr>
          <w:rFonts w:eastAsia="Calibri" w:cs="Calibri"/>
          <w:sz w:val="28"/>
          <w:szCs w:val="28"/>
        </w:rPr>
        <w:t>візуалізувався лише поодинокий осередок ущільнення в центральній частині рубця за умов глибокої пальпації рубця без видимих ознак індурації.</w:t>
      </w:r>
    </w:p>
    <w:p w:rsidR="0030517B" w:rsidRPr="00CA099F" w:rsidRDefault="0030517B" w:rsidP="0030517B">
      <w:pPr>
        <w:spacing w:after="160" w:line="360" w:lineRule="auto"/>
        <w:jc w:val="both"/>
        <w:rPr>
          <w:rFonts w:eastAsia="Calibri" w:cs="Calibri"/>
          <w:sz w:val="28"/>
          <w:szCs w:val="28"/>
        </w:rPr>
      </w:pPr>
      <w:r w:rsidRPr="00CA099F">
        <w:rPr>
          <w:rFonts w:eastAsia="Calibri" w:cs="Calibri"/>
          <w:sz w:val="28"/>
          <w:szCs w:val="28"/>
        </w:rPr>
        <w:tab/>
        <w:t>При дослідженні показника П3 в контрольній групі ознаки здорової шкіри нами виявлено у 1</w:t>
      </w:r>
      <w:r w:rsidR="00E16F39">
        <w:rPr>
          <w:rFonts w:eastAsia="Calibri" w:cs="Calibri"/>
          <w:sz w:val="28"/>
          <w:szCs w:val="28"/>
        </w:rPr>
        <w:t>6</w:t>
      </w:r>
      <w:r w:rsidRPr="00CA099F">
        <w:rPr>
          <w:rFonts w:eastAsia="Calibri" w:cs="Calibri"/>
          <w:sz w:val="28"/>
          <w:szCs w:val="28"/>
        </w:rPr>
        <w:t xml:space="preserve"> пацієнтів </w:t>
      </w:r>
      <w:r w:rsidR="00264F3B" w:rsidRPr="00CA099F">
        <w:rPr>
          <w:rFonts w:eastAsia="Calibri" w:cs="Calibri"/>
          <w:sz w:val="28"/>
          <w:szCs w:val="28"/>
        </w:rPr>
        <w:t>(</w:t>
      </w:r>
      <w:r w:rsidR="00E16F39">
        <w:rPr>
          <w:rFonts w:eastAsia="Calibri" w:cs="Calibri"/>
          <w:sz w:val="28"/>
          <w:szCs w:val="28"/>
        </w:rPr>
        <w:t>8</w:t>
      </w:r>
      <w:r w:rsidR="00264F3B" w:rsidRPr="00CA099F">
        <w:rPr>
          <w:rFonts w:eastAsia="Calibri" w:cs="Calibri"/>
          <w:sz w:val="28"/>
          <w:szCs w:val="28"/>
        </w:rPr>
        <w:t xml:space="preserve">0%) </w:t>
      </w:r>
      <w:r w:rsidRPr="00CA099F">
        <w:rPr>
          <w:rFonts w:eastAsia="Calibri" w:cs="Calibri"/>
          <w:sz w:val="28"/>
          <w:szCs w:val="28"/>
        </w:rPr>
        <w:t xml:space="preserve">і виявлено по </w:t>
      </w:r>
      <w:r w:rsidR="00E16F39">
        <w:rPr>
          <w:rFonts w:eastAsia="Calibri" w:cs="Calibri"/>
          <w:sz w:val="28"/>
          <w:szCs w:val="28"/>
        </w:rPr>
        <w:t>2</w:t>
      </w:r>
      <w:r w:rsidRPr="00CA099F">
        <w:rPr>
          <w:rFonts w:eastAsia="Calibri" w:cs="Calibri"/>
          <w:sz w:val="28"/>
          <w:szCs w:val="28"/>
        </w:rPr>
        <w:t xml:space="preserve"> пацієнт</w:t>
      </w:r>
      <w:r w:rsidR="00E16F39">
        <w:rPr>
          <w:rFonts w:eastAsia="Calibri" w:cs="Calibri"/>
          <w:sz w:val="28"/>
          <w:szCs w:val="28"/>
        </w:rPr>
        <w:t>а</w:t>
      </w:r>
      <w:r w:rsidRPr="00CA099F">
        <w:rPr>
          <w:rFonts w:eastAsia="Calibri" w:cs="Calibri"/>
          <w:sz w:val="28"/>
          <w:szCs w:val="28"/>
        </w:rPr>
        <w:t xml:space="preserve"> </w:t>
      </w:r>
      <w:r w:rsidR="00264F3B" w:rsidRPr="00CA099F">
        <w:rPr>
          <w:rFonts w:eastAsia="Calibri" w:cs="Calibri"/>
          <w:sz w:val="28"/>
          <w:szCs w:val="28"/>
        </w:rPr>
        <w:t>(</w:t>
      </w:r>
      <w:r w:rsidR="00E16F39">
        <w:rPr>
          <w:rFonts w:eastAsia="Calibri" w:cs="Calibri"/>
          <w:sz w:val="28"/>
          <w:szCs w:val="28"/>
        </w:rPr>
        <w:t>10</w:t>
      </w:r>
      <w:r w:rsidR="00264F3B" w:rsidRPr="00CA099F">
        <w:rPr>
          <w:rFonts w:eastAsia="Calibri" w:cs="Calibri"/>
          <w:sz w:val="28"/>
          <w:szCs w:val="28"/>
        </w:rPr>
        <w:t xml:space="preserve">%) </w:t>
      </w:r>
      <w:r w:rsidRPr="00CA099F">
        <w:rPr>
          <w:rFonts w:eastAsia="Calibri" w:cs="Calibri"/>
          <w:sz w:val="28"/>
          <w:szCs w:val="28"/>
        </w:rPr>
        <w:t xml:space="preserve">з ознаками помірної та вираженої еритеми. </w:t>
      </w:r>
    </w:p>
    <w:p w:rsidR="0030517B" w:rsidRPr="00CA099F" w:rsidRDefault="0030517B" w:rsidP="0030517B">
      <w:pPr>
        <w:spacing w:after="160" w:line="360" w:lineRule="auto"/>
        <w:jc w:val="both"/>
        <w:rPr>
          <w:rFonts w:eastAsia="Calibri" w:cs="Calibri"/>
          <w:sz w:val="28"/>
          <w:szCs w:val="28"/>
        </w:rPr>
      </w:pPr>
      <w:r w:rsidRPr="00CA099F">
        <w:rPr>
          <w:rFonts w:eastAsia="Calibri" w:cs="Calibri"/>
          <w:sz w:val="28"/>
          <w:szCs w:val="28"/>
        </w:rPr>
        <w:tab/>
        <w:t xml:space="preserve">В 1-ій групі </w:t>
      </w:r>
      <w:r w:rsidR="00D96DA9">
        <w:rPr>
          <w:rFonts w:eastAsia="Calibri" w:cs="Calibri"/>
          <w:sz w:val="28"/>
          <w:szCs w:val="28"/>
        </w:rPr>
        <w:t>пацієнтів</w:t>
      </w:r>
      <w:r w:rsidRPr="00CA099F">
        <w:rPr>
          <w:rFonts w:eastAsia="Calibri" w:cs="Calibri"/>
          <w:sz w:val="28"/>
          <w:szCs w:val="28"/>
        </w:rPr>
        <w:t xml:space="preserve"> у 17 випадках </w:t>
      </w:r>
      <w:r w:rsidR="00264F3B">
        <w:rPr>
          <w:rFonts w:eastAsia="Calibri" w:cs="Calibri"/>
          <w:sz w:val="28"/>
          <w:szCs w:val="28"/>
        </w:rPr>
        <w:t xml:space="preserve">(85%) </w:t>
      </w:r>
      <w:r w:rsidRPr="00CA099F">
        <w:rPr>
          <w:rFonts w:eastAsia="Calibri" w:cs="Calibri"/>
          <w:sz w:val="28"/>
          <w:szCs w:val="28"/>
        </w:rPr>
        <w:t>нами зафіксовано ознаки здорової шкіри з візуалізацією помірної еритеми у 2 (10%) та вираженої – у 1 (5%) хворого.</w:t>
      </w:r>
    </w:p>
    <w:p w:rsidR="0030517B" w:rsidRPr="00CA099F" w:rsidRDefault="0030517B" w:rsidP="0030517B">
      <w:pPr>
        <w:spacing w:after="160" w:line="360" w:lineRule="auto"/>
        <w:jc w:val="both"/>
        <w:rPr>
          <w:rFonts w:eastAsia="Calibri" w:cs="Calibri"/>
          <w:sz w:val="28"/>
          <w:szCs w:val="28"/>
        </w:rPr>
      </w:pPr>
      <w:r w:rsidRPr="00CA099F">
        <w:rPr>
          <w:rFonts w:eastAsia="Calibri" w:cs="Calibri"/>
          <w:sz w:val="28"/>
          <w:szCs w:val="28"/>
        </w:rPr>
        <w:tab/>
        <w:t>В 2-ій групі близький до норми стан шкіри нами спостерігався в 18 випадках</w:t>
      </w:r>
      <w:r w:rsidR="00264F3B">
        <w:rPr>
          <w:rFonts w:eastAsia="Calibri" w:cs="Calibri"/>
          <w:sz w:val="28"/>
          <w:szCs w:val="28"/>
        </w:rPr>
        <w:t xml:space="preserve"> </w:t>
      </w:r>
      <w:r w:rsidR="00264F3B" w:rsidRPr="00CA099F">
        <w:rPr>
          <w:rFonts w:eastAsia="Calibri" w:cs="Calibri"/>
          <w:sz w:val="28"/>
          <w:szCs w:val="28"/>
        </w:rPr>
        <w:t>(90%)</w:t>
      </w:r>
      <w:r w:rsidRPr="00CA099F">
        <w:rPr>
          <w:rFonts w:eastAsia="Calibri" w:cs="Calibri"/>
          <w:sz w:val="28"/>
          <w:szCs w:val="28"/>
        </w:rPr>
        <w:t xml:space="preserve">. У 2 пацієнтів </w:t>
      </w:r>
      <w:r w:rsidR="00264F3B" w:rsidRPr="00CA099F">
        <w:rPr>
          <w:rFonts w:eastAsia="Calibri" w:cs="Calibri"/>
          <w:sz w:val="28"/>
          <w:szCs w:val="28"/>
        </w:rPr>
        <w:t xml:space="preserve">(10%) </w:t>
      </w:r>
      <w:r w:rsidRPr="00CA099F">
        <w:rPr>
          <w:rFonts w:eastAsia="Calibri" w:cs="Calibri"/>
          <w:sz w:val="28"/>
          <w:szCs w:val="28"/>
        </w:rPr>
        <w:t>встановлені ознаки помірної еритеми, пацієнти з вираженою еритемою не спостерігалися.</w:t>
      </w:r>
    </w:p>
    <w:p w:rsidR="0030517B" w:rsidRPr="00CA099F" w:rsidRDefault="0030517B" w:rsidP="0030517B">
      <w:pPr>
        <w:spacing w:after="160" w:line="360" w:lineRule="auto"/>
        <w:jc w:val="both"/>
        <w:rPr>
          <w:rFonts w:eastAsia="Calibri" w:cs="Calibri"/>
          <w:sz w:val="28"/>
          <w:szCs w:val="28"/>
        </w:rPr>
      </w:pPr>
      <w:r w:rsidRPr="00CA099F">
        <w:rPr>
          <w:rFonts w:eastAsia="Calibri" w:cs="Calibri"/>
          <w:sz w:val="28"/>
          <w:szCs w:val="28"/>
        </w:rPr>
        <w:tab/>
        <w:t>Аналіз характеру зміни параметрів утворення рубцевозмінених тканин за даними показника П4 встановив, що в контрольній групі на 12 місяць післяопераційного періоду стан напруженості рубця пацієнти відмічали у 4 випадках</w:t>
      </w:r>
      <w:r w:rsidR="004D3F29">
        <w:rPr>
          <w:rFonts w:eastAsia="Calibri" w:cs="Calibri"/>
          <w:sz w:val="28"/>
          <w:szCs w:val="28"/>
        </w:rPr>
        <w:t xml:space="preserve"> </w:t>
      </w:r>
      <w:r w:rsidR="004D3F29" w:rsidRPr="00CA099F">
        <w:rPr>
          <w:rFonts w:eastAsia="Calibri" w:cs="Calibri"/>
          <w:sz w:val="28"/>
          <w:szCs w:val="28"/>
        </w:rPr>
        <w:t>(20%)</w:t>
      </w:r>
      <w:r w:rsidRPr="00CA099F">
        <w:rPr>
          <w:rFonts w:eastAsia="Calibri" w:cs="Calibri"/>
          <w:sz w:val="28"/>
          <w:szCs w:val="28"/>
        </w:rPr>
        <w:t xml:space="preserve">. 2 пацієнта </w:t>
      </w:r>
      <w:r w:rsidR="004D3F29" w:rsidRPr="00CA099F">
        <w:rPr>
          <w:rFonts w:eastAsia="Calibri" w:cs="Calibri"/>
          <w:sz w:val="28"/>
          <w:szCs w:val="28"/>
        </w:rPr>
        <w:t xml:space="preserve">(10%) </w:t>
      </w:r>
      <w:r w:rsidRPr="00CA099F">
        <w:rPr>
          <w:rFonts w:eastAsia="Calibri" w:cs="Calibri"/>
          <w:sz w:val="28"/>
          <w:szCs w:val="28"/>
        </w:rPr>
        <w:t>скаржилися на свербіж, 1 (5%) – на біль. Скарги на печію не відзначалися.</w:t>
      </w:r>
    </w:p>
    <w:p w:rsidR="0030517B" w:rsidRPr="00CA099F" w:rsidRDefault="0030517B" w:rsidP="0030517B">
      <w:pPr>
        <w:spacing w:after="160" w:line="360" w:lineRule="auto"/>
        <w:ind w:firstLine="708"/>
        <w:jc w:val="both"/>
        <w:rPr>
          <w:rFonts w:eastAsia="Calibri" w:cs="Calibri"/>
          <w:sz w:val="28"/>
          <w:szCs w:val="28"/>
        </w:rPr>
      </w:pPr>
      <w:r w:rsidRPr="00CA099F">
        <w:rPr>
          <w:rFonts w:eastAsia="Calibri" w:cs="Calibri"/>
          <w:sz w:val="28"/>
          <w:szCs w:val="28"/>
        </w:rPr>
        <w:t xml:space="preserve">В 1 групі </w:t>
      </w:r>
      <w:r w:rsidR="00D96DA9">
        <w:rPr>
          <w:rFonts w:eastAsia="Calibri" w:cs="Calibri"/>
          <w:sz w:val="28"/>
          <w:szCs w:val="28"/>
        </w:rPr>
        <w:t>пацієнтів</w:t>
      </w:r>
      <w:r w:rsidRPr="00CA099F">
        <w:rPr>
          <w:rFonts w:eastAsia="Calibri" w:cs="Calibri"/>
          <w:sz w:val="28"/>
          <w:szCs w:val="28"/>
        </w:rPr>
        <w:t xml:space="preserve"> ознаки напруженості рубця відмічено в 3 випадках</w:t>
      </w:r>
      <w:r w:rsidR="004D3F29">
        <w:rPr>
          <w:rFonts w:eastAsia="Calibri" w:cs="Calibri"/>
          <w:sz w:val="28"/>
          <w:szCs w:val="28"/>
        </w:rPr>
        <w:t xml:space="preserve"> </w:t>
      </w:r>
      <w:r w:rsidR="004D3F29" w:rsidRPr="00CA099F">
        <w:rPr>
          <w:rFonts w:eastAsia="Calibri" w:cs="Calibri"/>
          <w:sz w:val="28"/>
          <w:szCs w:val="28"/>
        </w:rPr>
        <w:t>(15%)</w:t>
      </w:r>
      <w:r w:rsidRPr="00CA099F">
        <w:rPr>
          <w:rFonts w:eastAsia="Calibri" w:cs="Calibri"/>
          <w:sz w:val="28"/>
          <w:szCs w:val="28"/>
        </w:rPr>
        <w:t>, свербіж відзначався у 1 пацієнта</w:t>
      </w:r>
      <w:r w:rsidR="004D3F29">
        <w:rPr>
          <w:rFonts w:eastAsia="Calibri" w:cs="Calibri"/>
          <w:sz w:val="28"/>
          <w:szCs w:val="28"/>
        </w:rPr>
        <w:t xml:space="preserve"> </w:t>
      </w:r>
      <w:r w:rsidR="004D3F29" w:rsidRPr="00CA099F">
        <w:rPr>
          <w:rFonts w:eastAsia="Calibri" w:cs="Calibri"/>
          <w:sz w:val="28"/>
          <w:szCs w:val="28"/>
        </w:rPr>
        <w:t>(5%)</w:t>
      </w:r>
      <w:r w:rsidRPr="00CA099F">
        <w:rPr>
          <w:rFonts w:eastAsia="Calibri" w:cs="Calibri"/>
          <w:sz w:val="28"/>
          <w:szCs w:val="28"/>
        </w:rPr>
        <w:t>. Скарги на біль та печію хворі заперечували.</w:t>
      </w:r>
    </w:p>
    <w:p w:rsidR="0030517B" w:rsidRPr="00CA099F" w:rsidRDefault="0030517B" w:rsidP="0030517B">
      <w:pPr>
        <w:spacing w:after="160" w:line="360" w:lineRule="auto"/>
        <w:ind w:firstLine="708"/>
        <w:jc w:val="both"/>
        <w:rPr>
          <w:rFonts w:eastAsia="Calibri" w:cs="Calibri"/>
          <w:sz w:val="28"/>
          <w:szCs w:val="28"/>
        </w:rPr>
      </w:pPr>
      <w:r w:rsidRPr="00CA099F">
        <w:rPr>
          <w:rFonts w:eastAsia="Calibri" w:cs="Calibri"/>
          <w:sz w:val="28"/>
          <w:szCs w:val="28"/>
        </w:rPr>
        <w:t>В 2-ій групі на напруженість рубця скаржився 1</w:t>
      </w:r>
      <w:r w:rsidR="004D3F29">
        <w:rPr>
          <w:rFonts w:eastAsia="Calibri" w:cs="Calibri"/>
          <w:sz w:val="28"/>
          <w:szCs w:val="28"/>
        </w:rPr>
        <w:t xml:space="preserve"> пацієнт</w:t>
      </w:r>
      <w:r w:rsidRPr="00CA099F">
        <w:rPr>
          <w:rFonts w:eastAsia="Calibri" w:cs="Calibri"/>
          <w:sz w:val="28"/>
          <w:szCs w:val="28"/>
        </w:rPr>
        <w:t xml:space="preserve"> (5%), скарг на біль, печію та свербіж не відзначалося.</w:t>
      </w:r>
    </w:p>
    <w:p w:rsidR="0030517B" w:rsidRPr="00CA099F" w:rsidRDefault="0030517B" w:rsidP="0030517B">
      <w:pPr>
        <w:spacing w:after="160" w:line="360" w:lineRule="auto"/>
        <w:ind w:firstLine="708"/>
        <w:jc w:val="both"/>
        <w:rPr>
          <w:rFonts w:eastAsia="Calibri" w:cs="Calibri"/>
          <w:sz w:val="28"/>
          <w:szCs w:val="28"/>
        </w:rPr>
      </w:pPr>
      <w:r w:rsidRPr="00CA099F">
        <w:rPr>
          <w:rFonts w:eastAsia="Calibri" w:cs="Calibri"/>
          <w:sz w:val="28"/>
          <w:szCs w:val="28"/>
        </w:rPr>
        <w:lastRenderedPageBreak/>
        <w:t>При аналізі даних щодо змін показника П5 встановлено, що на 12 місяць післяопераційного періоду в контрольній групі ознака малої площі була виявлена у 16 пацієнтів</w:t>
      </w:r>
      <w:r w:rsidR="002A6FDE">
        <w:rPr>
          <w:rFonts w:eastAsia="Calibri" w:cs="Calibri"/>
          <w:sz w:val="28"/>
          <w:szCs w:val="28"/>
        </w:rPr>
        <w:t xml:space="preserve"> </w:t>
      </w:r>
      <w:r w:rsidR="002A6FDE" w:rsidRPr="00CA099F">
        <w:rPr>
          <w:rFonts w:eastAsia="Calibri" w:cs="Calibri"/>
          <w:sz w:val="28"/>
          <w:szCs w:val="28"/>
        </w:rPr>
        <w:t>(80%)</w:t>
      </w:r>
      <w:r w:rsidRPr="00CA099F">
        <w:rPr>
          <w:rFonts w:eastAsia="Calibri" w:cs="Calibri"/>
          <w:sz w:val="28"/>
          <w:szCs w:val="28"/>
        </w:rPr>
        <w:t xml:space="preserve">. У 3 </w:t>
      </w:r>
      <w:r w:rsidR="00D96DA9">
        <w:rPr>
          <w:rFonts w:eastAsia="Calibri" w:cs="Calibri"/>
          <w:sz w:val="28"/>
          <w:szCs w:val="28"/>
        </w:rPr>
        <w:t>пацієнтів</w:t>
      </w:r>
      <w:r w:rsidRPr="00CA099F">
        <w:rPr>
          <w:rFonts w:eastAsia="Calibri" w:cs="Calibri"/>
          <w:sz w:val="28"/>
          <w:szCs w:val="28"/>
        </w:rPr>
        <w:t xml:space="preserve"> </w:t>
      </w:r>
      <w:r w:rsidR="008E66D5" w:rsidRPr="00CA099F">
        <w:rPr>
          <w:rFonts w:eastAsia="Calibri" w:cs="Calibri"/>
          <w:sz w:val="28"/>
          <w:szCs w:val="28"/>
        </w:rPr>
        <w:t xml:space="preserve">(15%) </w:t>
      </w:r>
      <w:r w:rsidRPr="00CA099F">
        <w:rPr>
          <w:rFonts w:eastAsia="Calibri" w:cs="Calibri"/>
          <w:sz w:val="28"/>
          <w:szCs w:val="28"/>
        </w:rPr>
        <w:t>середня площа не перевищувала 8,6 мм</w:t>
      </w:r>
      <w:r w:rsidRPr="00CA099F">
        <w:rPr>
          <w:rFonts w:eastAsia="Calibri" w:cs="Calibri"/>
          <w:sz w:val="28"/>
          <w:szCs w:val="28"/>
          <w:vertAlign w:val="superscript"/>
        </w:rPr>
        <w:t>2</w:t>
      </w:r>
      <w:r w:rsidRPr="00CA099F">
        <w:rPr>
          <w:rFonts w:eastAsia="Calibri" w:cs="Calibri"/>
          <w:sz w:val="28"/>
          <w:szCs w:val="28"/>
        </w:rPr>
        <w:t>. У 1 (5%) була відмічена велика площа рубцевозмінених тканин.</w:t>
      </w:r>
    </w:p>
    <w:p w:rsidR="0030517B" w:rsidRPr="00CA099F" w:rsidRDefault="0030517B" w:rsidP="0030517B">
      <w:pPr>
        <w:spacing w:after="160" w:line="360" w:lineRule="auto"/>
        <w:ind w:firstLine="708"/>
        <w:jc w:val="both"/>
        <w:rPr>
          <w:rFonts w:eastAsia="Calibri" w:cs="Calibri"/>
          <w:sz w:val="28"/>
          <w:szCs w:val="28"/>
        </w:rPr>
      </w:pPr>
      <w:r w:rsidRPr="00CA099F">
        <w:rPr>
          <w:rFonts w:eastAsia="Calibri" w:cs="Calibri"/>
          <w:sz w:val="28"/>
          <w:szCs w:val="28"/>
        </w:rPr>
        <w:t xml:space="preserve">У </w:t>
      </w:r>
      <w:r w:rsidR="00D96DA9">
        <w:rPr>
          <w:rFonts w:eastAsia="Calibri" w:cs="Calibri"/>
          <w:sz w:val="28"/>
          <w:szCs w:val="28"/>
        </w:rPr>
        <w:t>пацієнтів</w:t>
      </w:r>
      <w:r w:rsidRPr="00CA099F">
        <w:rPr>
          <w:rFonts w:eastAsia="Calibri" w:cs="Calibri"/>
          <w:sz w:val="28"/>
          <w:szCs w:val="28"/>
        </w:rPr>
        <w:t xml:space="preserve"> 1 групи ознака малої площі </w:t>
      </w:r>
      <w:r w:rsidR="0046780B">
        <w:rPr>
          <w:rFonts w:eastAsia="Calibri" w:cs="Calibri"/>
          <w:sz w:val="28"/>
          <w:szCs w:val="28"/>
        </w:rPr>
        <w:t>була зафіксована</w:t>
      </w:r>
      <w:r w:rsidRPr="00CA099F">
        <w:rPr>
          <w:rFonts w:eastAsia="Calibri" w:cs="Calibri"/>
          <w:sz w:val="28"/>
          <w:szCs w:val="28"/>
        </w:rPr>
        <w:t xml:space="preserve"> </w:t>
      </w:r>
      <w:r w:rsidR="0046780B">
        <w:rPr>
          <w:rFonts w:eastAsia="Calibri" w:cs="Calibri"/>
          <w:sz w:val="28"/>
          <w:szCs w:val="28"/>
        </w:rPr>
        <w:t xml:space="preserve">у </w:t>
      </w:r>
      <w:r w:rsidRPr="00CA099F">
        <w:rPr>
          <w:rFonts w:eastAsia="Calibri" w:cs="Calibri"/>
          <w:sz w:val="28"/>
          <w:szCs w:val="28"/>
        </w:rPr>
        <w:t>18 пацієнтів</w:t>
      </w:r>
      <w:r w:rsidR="0046780B">
        <w:rPr>
          <w:rFonts w:eastAsia="Calibri" w:cs="Calibri"/>
          <w:sz w:val="28"/>
          <w:szCs w:val="28"/>
        </w:rPr>
        <w:t xml:space="preserve"> </w:t>
      </w:r>
      <w:r w:rsidR="0046780B" w:rsidRPr="00CA099F">
        <w:rPr>
          <w:rFonts w:eastAsia="Calibri" w:cs="Calibri"/>
          <w:sz w:val="28"/>
          <w:szCs w:val="28"/>
        </w:rPr>
        <w:t>(90%)</w:t>
      </w:r>
      <w:r w:rsidRPr="00CA099F">
        <w:rPr>
          <w:rFonts w:eastAsia="Calibri" w:cs="Calibri"/>
          <w:sz w:val="28"/>
          <w:szCs w:val="28"/>
        </w:rPr>
        <w:t xml:space="preserve">, середня площа </w:t>
      </w:r>
      <w:r w:rsidR="0046780B">
        <w:rPr>
          <w:rFonts w:eastAsia="Calibri" w:cs="Calibri"/>
          <w:sz w:val="28"/>
          <w:szCs w:val="28"/>
        </w:rPr>
        <w:t>–</w:t>
      </w:r>
      <w:r w:rsidRPr="00CA099F">
        <w:rPr>
          <w:rFonts w:eastAsia="Calibri" w:cs="Calibri"/>
          <w:sz w:val="28"/>
          <w:szCs w:val="28"/>
        </w:rPr>
        <w:t xml:space="preserve"> у 2 (10%) (не перевищувала 8,1 мм</w:t>
      </w:r>
      <w:r w:rsidRPr="00CA099F">
        <w:rPr>
          <w:rFonts w:eastAsia="Calibri" w:cs="Calibri"/>
          <w:sz w:val="28"/>
          <w:szCs w:val="28"/>
          <w:vertAlign w:val="superscript"/>
        </w:rPr>
        <w:t>2</w:t>
      </w:r>
      <w:r w:rsidRPr="00CA099F">
        <w:rPr>
          <w:rFonts w:eastAsia="Calibri" w:cs="Calibri"/>
          <w:sz w:val="28"/>
          <w:szCs w:val="28"/>
        </w:rPr>
        <w:t xml:space="preserve">) та </w:t>
      </w:r>
      <w:r w:rsidR="0046780B">
        <w:rPr>
          <w:rFonts w:eastAsia="Calibri" w:cs="Calibri"/>
          <w:sz w:val="28"/>
          <w:szCs w:val="28"/>
        </w:rPr>
        <w:t>пацієнти</w:t>
      </w:r>
      <w:r w:rsidRPr="00CA099F">
        <w:rPr>
          <w:rFonts w:eastAsia="Calibri" w:cs="Calibri"/>
          <w:sz w:val="28"/>
          <w:szCs w:val="28"/>
        </w:rPr>
        <w:t>, які мали ознаку великої площі</w:t>
      </w:r>
      <w:r w:rsidR="0046780B">
        <w:rPr>
          <w:rFonts w:eastAsia="Calibri" w:cs="Calibri"/>
          <w:sz w:val="28"/>
          <w:szCs w:val="28"/>
        </w:rPr>
        <w:t xml:space="preserve"> були</w:t>
      </w:r>
      <w:r w:rsidR="0046780B" w:rsidRPr="0046780B">
        <w:rPr>
          <w:rFonts w:eastAsia="Calibri" w:cs="Calibri"/>
          <w:sz w:val="28"/>
          <w:szCs w:val="28"/>
        </w:rPr>
        <w:t xml:space="preserve"> </w:t>
      </w:r>
      <w:r w:rsidR="0046780B">
        <w:rPr>
          <w:rFonts w:eastAsia="Calibri" w:cs="Calibri"/>
          <w:sz w:val="28"/>
          <w:szCs w:val="28"/>
        </w:rPr>
        <w:t>відсутні</w:t>
      </w:r>
      <w:r w:rsidRPr="00CA099F">
        <w:rPr>
          <w:rFonts w:eastAsia="Calibri" w:cs="Calibri"/>
          <w:sz w:val="28"/>
          <w:szCs w:val="28"/>
        </w:rPr>
        <w:t>.</w:t>
      </w:r>
    </w:p>
    <w:p w:rsidR="0030517B" w:rsidRPr="00CA099F" w:rsidRDefault="0030517B" w:rsidP="0030517B">
      <w:pPr>
        <w:spacing w:after="160" w:line="360" w:lineRule="auto"/>
        <w:ind w:firstLine="708"/>
        <w:jc w:val="both"/>
        <w:rPr>
          <w:rFonts w:eastAsia="Calibri" w:cs="Calibri"/>
          <w:sz w:val="28"/>
          <w:szCs w:val="28"/>
        </w:rPr>
      </w:pPr>
      <w:r w:rsidRPr="00EE78C9">
        <w:rPr>
          <w:rFonts w:eastAsia="Calibri" w:cs="Calibri"/>
          <w:sz w:val="28"/>
          <w:szCs w:val="28"/>
        </w:rPr>
        <w:t xml:space="preserve">В 2 групі пацієнтів ознака малої площі </w:t>
      </w:r>
      <w:r w:rsidR="007E37DA">
        <w:rPr>
          <w:rFonts w:eastAsia="Calibri" w:cs="Calibri"/>
          <w:sz w:val="28"/>
          <w:szCs w:val="28"/>
        </w:rPr>
        <w:t>спостерігалася у</w:t>
      </w:r>
      <w:r w:rsidRPr="00EE78C9">
        <w:rPr>
          <w:rFonts w:eastAsia="Calibri" w:cs="Calibri"/>
          <w:sz w:val="28"/>
          <w:szCs w:val="28"/>
        </w:rPr>
        <w:t xml:space="preserve"> 19 </w:t>
      </w:r>
      <w:r w:rsidR="007E37DA" w:rsidRPr="00EE78C9">
        <w:rPr>
          <w:rFonts w:eastAsia="Calibri" w:cs="Calibri"/>
          <w:sz w:val="28"/>
          <w:szCs w:val="28"/>
        </w:rPr>
        <w:t xml:space="preserve">пацієнтів </w:t>
      </w:r>
      <w:r w:rsidRPr="00EE78C9">
        <w:rPr>
          <w:rFonts w:eastAsia="Calibri" w:cs="Calibri"/>
          <w:sz w:val="28"/>
          <w:szCs w:val="28"/>
        </w:rPr>
        <w:t>(95%), у 1 (5%) були зафіксовані дані щодо середньої площі</w:t>
      </w:r>
      <w:r w:rsidR="007E37DA">
        <w:rPr>
          <w:rFonts w:eastAsia="Calibri" w:cs="Calibri"/>
          <w:sz w:val="28"/>
          <w:szCs w:val="28"/>
        </w:rPr>
        <w:t>,</w:t>
      </w:r>
      <w:r w:rsidRPr="00EE78C9">
        <w:rPr>
          <w:rFonts w:eastAsia="Calibri" w:cs="Calibri"/>
          <w:sz w:val="28"/>
          <w:szCs w:val="28"/>
        </w:rPr>
        <w:t xml:space="preserve"> яка не перевищувала 7,1 мм</w:t>
      </w:r>
      <w:r w:rsidRPr="00EE78C9">
        <w:rPr>
          <w:rFonts w:eastAsia="Calibri" w:cs="Calibri"/>
          <w:sz w:val="28"/>
          <w:szCs w:val="28"/>
          <w:vertAlign w:val="superscript"/>
        </w:rPr>
        <w:t>2</w:t>
      </w:r>
      <w:r w:rsidRPr="00EE78C9">
        <w:rPr>
          <w:rFonts w:eastAsia="Calibri" w:cs="Calibri"/>
          <w:sz w:val="28"/>
          <w:szCs w:val="28"/>
        </w:rPr>
        <w:t>. Ознак великої площі рубцевозмінених тканин нами не зафіксовано.</w:t>
      </w:r>
    </w:p>
    <w:p w:rsidR="0030517B" w:rsidRPr="00CA099F" w:rsidRDefault="0030517B" w:rsidP="0030517B">
      <w:pPr>
        <w:spacing w:after="160" w:line="360" w:lineRule="auto"/>
        <w:ind w:firstLine="708"/>
        <w:jc w:val="both"/>
        <w:rPr>
          <w:rFonts w:eastAsia="Calibri" w:cs="Calibri"/>
          <w:sz w:val="28"/>
          <w:szCs w:val="28"/>
        </w:rPr>
      </w:pPr>
      <w:r w:rsidRPr="00CA099F">
        <w:rPr>
          <w:rFonts w:eastAsia="Calibri" w:cs="Calibri"/>
          <w:sz w:val="28"/>
          <w:szCs w:val="28"/>
        </w:rPr>
        <w:t>Аналіз динаміки змін температури рубцевозмінених тканин шкіри встановив, що на 12 місяць досліджень середня температура в центральній частині рубця в контрольній групі складала 29,7</w:t>
      </w:r>
      <w:r w:rsidRPr="00CA099F">
        <w:rPr>
          <w:rFonts w:eastAsia="Calibri" w:cs="Times New Roman"/>
          <w:sz w:val="28"/>
          <w:szCs w:val="28"/>
        </w:rPr>
        <w:t>±</w:t>
      </w:r>
      <w:r w:rsidRPr="00CA099F">
        <w:rPr>
          <w:rFonts w:eastAsia="Calibri" w:cs="Calibri"/>
          <w:sz w:val="28"/>
          <w:szCs w:val="28"/>
        </w:rPr>
        <w:t>0,7</w:t>
      </w:r>
      <w:r w:rsidRPr="00CA099F">
        <w:rPr>
          <w:rFonts w:eastAsia="Calibri" w:cs="Times New Roman"/>
          <w:sz w:val="28"/>
          <w:szCs w:val="28"/>
        </w:rPr>
        <w:t xml:space="preserve">° </w:t>
      </w:r>
      <w:r w:rsidRPr="00CA099F">
        <w:rPr>
          <w:rFonts w:eastAsia="Calibri" w:cs="Calibri"/>
          <w:sz w:val="28"/>
          <w:szCs w:val="28"/>
        </w:rPr>
        <w:t>С. Достовірно вища температура зафіксована в периферичних краях: у медіальному - 32,3</w:t>
      </w:r>
      <w:r w:rsidRPr="00CA099F">
        <w:rPr>
          <w:rFonts w:eastAsia="Calibri" w:cs="Times New Roman"/>
          <w:sz w:val="28"/>
          <w:szCs w:val="28"/>
        </w:rPr>
        <w:t>±</w:t>
      </w:r>
      <w:r w:rsidRPr="00CA099F">
        <w:rPr>
          <w:rFonts w:eastAsia="Calibri" w:cs="Calibri"/>
          <w:sz w:val="28"/>
          <w:szCs w:val="28"/>
        </w:rPr>
        <w:t>1,2</w:t>
      </w:r>
      <w:r w:rsidRPr="00CA099F">
        <w:rPr>
          <w:rFonts w:eastAsia="Calibri" w:cs="Times New Roman"/>
          <w:sz w:val="28"/>
          <w:szCs w:val="28"/>
        </w:rPr>
        <w:t xml:space="preserve">° </w:t>
      </w:r>
      <w:r w:rsidRPr="00CA099F">
        <w:rPr>
          <w:rFonts w:eastAsia="Calibri" w:cs="Calibri"/>
          <w:sz w:val="28"/>
          <w:szCs w:val="28"/>
        </w:rPr>
        <w:t>С та в латеральному - 32,9</w:t>
      </w:r>
      <w:r w:rsidRPr="00CA099F">
        <w:rPr>
          <w:rFonts w:eastAsia="Calibri" w:cs="Times New Roman"/>
          <w:sz w:val="28"/>
          <w:szCs w:val="28"/>
        </w:rPr>
        <w:t>±</w:t>
      </w:r>
      <w:r w:rsidRPr="00CA099F">
        <w:rPr>
          <w:rFonts w:eastAsia="Calibri" w:cs="Calibri"/>
          <w:sz w:val="28"/>
          <w:szCs w:val="28"/>
        </w:rPr>
        <w:t>1,5</w:t>
      </w:r>
      <w:r w:rsidRPr="00CA099F">
        <w:rPr>
          <w:rFonts w:eastAsia="Calibri" w:cs="Times New Roman"/>
          <w:sz w:val="28"/>
          <w:szCs w:val="28"/>
        </w:rPr>
        <w:t xml:space="preserve">° </w:t>
      </w:r>
      <w:r w:rsidRPr="00CA099F">
        <w:rPr>
          <w:rFonts w:eastAsia="Calibri" w:cs="Calibri"/>
          <w:sz w:val="28"/>
          <w:szCs w:val="28"/>
        </w:rPr>
        <w:t>С.</w:t>
      </w:r>
    </w:p>
    <w:p w:rsidR="0030517B" w:rsidRPr="00CA099F" w:rsidRDefault="0030517B" w:rsidP="0030517B">
      <w:pPr>
        <w:spacing w:after="160" w:line="360" w:lineRule="auto"/>
        <w:ind w:firstLine="708"/>
        <w:jc w:val="both"/>
        <w:rPr>
          <w:rFonts w:eastAsia="Calibri" w:cs="Calibri"/>
          <w:sz w:val="28"/>
          <w:szCs w:val="28"/>
        </w:rPr>
      </w:pPr>
      <w:r w:rsidRPr="00CA099F">
        <w:rPr>
          <w:rFonts w:eastAsia="Calibri" w:cs="Calibri"/>
          <w:sz w:val="28"/>
          <w:szCs w:val="28"/>
        </w:rPr>
        <w:t xml:space="preserve">В 1 групі різниця в діапазоні середніх температур достовірно підвищилася. </w:t>
      </w:r>
      <w:r w:rsidR="00EE78C9">
        <w:rPr>
          <w:rFonts w:eastAsia="Calibri" w:cs="Calibri"/>
          <w:sz w:val="28"/>
          <w:szCs w:val="28"/>
        </w:rPr>
        <w:t>У</w:t>
      </w:r>
      <w:r w:rsidRPr="00CA099F">
        <w:rPr>
          <w:rFonts w:eastAsia="Calibri" w:cs="Calibri"/>
          <w:sz w:val="28"/>
          <w:szCs w:val="28"/>
        </w:rPr>
        <w:t xml:space="preserve"> центрі рубця вона фіксувалася найнижчою та становила 30,2</w:t>
      </w:r>
      <w:r w:rsidRPr="00CA099F">
        <w:rPr>
          <w:rFonts w:eastAsia="Calibri" w:cs="Times New Roman"/>
          <w:sz w:val="28"/>
          <w:szCs w:val="28"/>
        </w:rPr>
        <w:t>±</w:t>
      </w:r>
      <w:r w:rsidRPr="00CA099F">
        <w:rPr>
          <w:rFonts w:eastAsia="Calibri" w:cs="Calibri"/>
          <w:sz w:val="28"/>
          <w:szCs w:val="28"/>
        </w:rPr>
        <w:t>0,8</w:t>
      </w:r>
      <w:r w:rsidRPr="00CA099F">
        <w:rPr>
          <w:rFonts w:eastAsia="Calibri" w:cs="Times New Roman"/>
          <w:sz w:val="28"/>
          <w:szCs w:val="28"/>
        </w:rPr>
        <w:t xml:space="preserve">° </w:t>
      </w:r>
      <w:r w:rsidRPr="00CA099F">
        <w:rPr>
          <w:rFonts w:eastAsia="Calibri" w:cs="Calibri"/>
          <w:sz w:val="28"/>
          <w:szCs w:val="28"/>
        </w:rPr>
        <w:t>С. Слід зауважити, що в периферійних ділянках рубця температура суттєво підвищилася: найвища температура зафіксована в ділянці латерального краю - 33,8</w:t>
      </w:r>
      <w:r w:rsidRPr="00CA099F">
        <w:rPr>
          <w:rFonts w:eastAsia="Calibri" w:cs="Times New Roman"/>
          <w:sz w:val="28"/>
          <w:szCs w:val="28"/>
        </w:rPr>
        <w:t>±</w:t>
      </w:r>
      <w:r w:rsidRPr="00CA099F">
        <w:rPr>
          <w:rFonts w:eastAsia="Calibri" w:cs="Calibri"/>
          <w:sz w:val="28"/>
          <w:szCs w:val="28"/>
        </w:rPr>
        <w:t>1,6</w:t>
      </w:r>
      <w:r w:rsidRPr="00CA099F">
        <w:rPr>
          <w:rFonts w:eastAsia="Calibri" w:cs="Times New Roman"/>
          <w:sz w:val="28"/>
          <w:szCs w:val="28"/>
        </w:rPr>
        <w:t xml:space="preserve">° </w:t>
      </w:r>
      <w:r w:rsidR="00EE78C9">
        <w:rPr>
          <w:rFonts w:eastAsia="Calibri" w:cs="Calibri"/>
          <w:sz w:val="28"/>
          <w:szCs w:val="28"/>
        </w:rPr>
        <w:t>С. У</w:t>
      </w:r>
      <w:r w:rsidRPr="00CA099F">
        <w:rPr>
          <w:rFonts w:eastAsia="Calibri" w:cs="Calibri"/>
          <w:sz w:val="28"/>
          <w:szCs w:val="28"/>
        </w:rPr>
        <w:t xml:space="preserve"> медіальному краю спостерігалися проміжні значення, які дорівнювали 33,6</w:t>
      </w:r>
      <w:r w:rsidRPr="00CA099F">
        <w:rPr>
          <w:rFonts w:eastAsia="Calibri" w:cs="Times New Roman"/>
          <w:sz w:val="28"/>
          <w:szCs w:val="28"/>
        </w:rPr>
        <w:t>±</w:t>
      </w:r>
      <w:r w:rsidRPr="00CA099F">
        <w:rPr>
          <w:rFonts w:eastAsia="Calibri" w:cs="Calibri"/>
          <w:sz w:val="28"/>
          <w:szCs w:val="28"/>
        </w:rPr>
        <w:t>1,4</w:t>
      </w:r>
      <w:r w:rsidRPr="00CA099F">
        <w:rPr>
          <w:rFonts w:eastAsia="Calibri" w:cs="Times New Roman"/>
          <w:sz w:val="28"/>
          <w:szCs w:val="28"/>
        </w:rPr>
        <w:t xml:space="preserve">° </w:t>
      </w:r>
      <w:r w:rsidRPr="00CA099F">
        <w:rPr>
          <w:rFonts w:eastAsia="Calibri" w:cs="Calibri"/>
          <w:sz w:val="28"/>
          <w:szCs w:val="28"/>
        </w:rPr>
        <w:t>С.</w:t>
      </w:r>
    </w:p>
    <w:p w:rsidR="0030517B" w:rsidRPr="00CA099F" w:rsidRDefault="00EE78C9" w:rsidP="0030517B">
      <w:pPr>
        <w:spacing w:after="160" w:line="360" w:lineRule="auto"/>
        <w:ind w:firstLine="708"/>
        <w:jc w:val="both"/>
        <w:rPr>
          <w:rFonts w:eastAsia="Calibri" w:cs="Calibri"/>
          <w:sz w:val="28"/>
          <w:szCs w:val="28"/>
        </w:rPr>
      </w:pPr>
      <w:r>
        <w:rPr>
          <w:rFonts w:eastAsia="Calibri" w:cs="Calibri"/>
          <w:sz w:val="28"/>
          <w:szCs w:val="28"/>
        </w:rPr>
        <w:t>У</w:t>
      </w:r>
      <w:r w:rsidR="0030517B" w:rsidRPr="00CA099F">
        <w:rPr>
          <w:rFonts w:eastAsia="Calibri" w:cs="Calibri"/>
          <w:sz w:val="28"/>
          <w:szCs w:val="28"/>
        </w:rPr>
        <w:t xml:space="preserve"> 2 групі нами зафіксовано найвище підвищення середньої температури. На 10 місяць спостереження в центрі рубцевозмінених тканин вона складала 33,9</w:t>
      </w:r>
      <w:r w:rsidR="0030517B" w:rsidRPr="00CA099F">
        <w:rPr>
          <w:rFonts w:eastAsia="Calibri" w:cs="Times New Roman"/>
          <w:sz w:val="28"/>
          <w:szCs w:val="28"/>
        </w:rPr>
        <w:t>±</w:t>
      </w:r>
      <w:r w:rsidR="0030517B" w:rsidRPr="00CA099F">
        <w:rPr>
          <w:rFonts w:eastAsia="Calibri" w:cs="Calibri"/>
          <w:sz w:val="28"/>
          <w:szCs w:val="28"/>
        </w:rPr>
        <w:t>1,7</w:t>
      </w:r>
      <w:r w:rsidR="0030517B" w:rsidRPr="00CA099F">
        <w:rPr>
          <w:rFonts w:eastAsia="Calibri" w:cs="Times New Roman"/>
          <w:sz w:val="28"/>
          <w:szCs w:val="28"/>
        </w:rPr>
        <w:t xml:space="preserve">° </w:t>
      </w:r>
      <w:r w:rsidR="0030517B" w:rsidRPr="00CA099F">
        <w:rPr>
          <w:rFonts w:eastAsia="Calibri" w:cs="Calibri"/>
          <w:sz w:val="28"/>
          <w:szCs w:val="28"/>
        </w:rPr>
        <w:t>С. У латеральній частині рубця продовжувалися фіксуватися найвищі значення, які дорівнювали 34,5</w:t>
      </w:r>
      <w:r w:rsidR="0030517B" w:rsidRPr="00CA099F">
        <w:rPr>
          <w:rFonts w:eastAsia="Calibri" w:cs="Times New Roman"/>
          <w:sz w:val="28"/>
          <w:szCs w:val="28"/>
        </w:rPr>
        <w:t>±</w:t>
      </w:r>
      <w:r w:rsidR="0030517B" w:rsidRPr="00CA099F">
        <w:rPr>
          <w:rFonts w:eastAsia="Calibri" w:cs="Calibri"/>
          <w:sz w:val="28"/>
          <w:szCs w:val="28"/>
        </w:rPr>
        <w:t>1,8</w:t>
      </w:r>
      <w:r w:rsidR="0030517B" w:rsidRPr="00CA099F">
        <w:rPr>
          <w:rFonts w:eastAsia="Calibri" w:cs="Times New Roman"/>
          <w:sz w:val="28"/>
          <w:szCs w:val="28"/>
        </w:rPr>
        <w:t xml:space="preserve">° </w:t>
      </w:r>
      <w:r w:rsidR="007E37DA">
        <w:rPr>
          <w:rFonts w:eastAsia="Calibri" w:cs="Calibri"/>
          <w:sz w:val="28"/>
          <w:szCs w:val="28"/>
        </w:rPr>
        <w:t>С. У</w:t>
      </w:r>
      <w:r w:rsidR="0030517B" w:rsidRPr="00CA099F">
        <w:rPr>
          <w:rFonts w:eastAsia="Calibri" w:cs="Calibri"/>
          <w:sz w:val="28"/>
          <w:szCs w:val="28"/>
        </w:rPr>
        <w:t xml:space="preserve"> медіальній частині спостерігалися дещо нижчі показники, які в цій групі складали 34,4</w:t>
      </w:r>
      <w:r w:rsidR="0030517B" w:rsidRPr="00CA099F">
        <w:rPr>
          <w:rFonts w:eastAsia="Calibri" w:cs="Times New Roman"/>
          <w:sz w:val="28"/>
          <w:szCs w:val="28"/>
        </w:rPr>
        <w:t>±</w:t>
      </w:r>
      <w:r w:rsidR="0030517B" w:rsidRPr="00CA099F">
        <w:rPr>
          <w:rFonts w:eastAsia="Calibri" w:cs="Calibri"/>
          <w:sz w:val="28"/>
          <w:szCs w:val="28"/>
        </w:rPr>
        <w:t>1,7</w:t>
      </w:r>
      <w:r w:rsidR="0030517B" w:rsidRPr="00CA099F">
        <w:rPr>
          <w:rFonts w:eastAsia="Calibri" w:cs="Times New Roman"/>
          <w:sz w:val="28"/>
          <w:szCs w:val="28"/>
        </w:rPr>
        <w:t xml:space="preserve">° </w:t>
      </w:r>
      <w:r w:rsidR="0030517B" w:rsidRPr="00CA099F">
        <w:rPr>
          <w:rFonts w:eastAsia="Calibri" w:cs="Calibri"/>
          <w:sz w:val="28"/>
          <w:szCs w:val="28"/>
        </w:rPr>
        <w:t>С.</w:t>
      </w:r>
    </w:p>
    <w:p w:rsidR="0030517B" w:rsidRPr="00CA099F" w:rsidRDefault="0030517B" w:rsidP="0030517B">
      <w:pPr>
        <w:spacing w:after="160" w:line="360" w:lineRule="auto"/>
        <w:ind w:firstLine="708"/>
        <w:jc w:val="both"/>
        <w:rPr>
          <w:rFonts w:eastAsia="Calibri" w:cs="Calibri"/>
          <w:sz w:val="28"/>
          <w:szCs w:val="28"/>
        </w:rPr>
      </w:pPr>
      <w:r w:rsidRPr="00CA099F">
        <w:rPr>
          <w:rFonts w:eastAsia="Calibri" w:cs="Calibri"/>
          <w:sz w:val="28"/>
          <w:szCs w:val="28"/>
        </w:rPr>
        <w:lastRenderedPageBreak/>
        <w:t>Графік динаміки змін показників середньої температури у різних зонах рубцевозмінених тканин в залежності від виду інтра- та пост-операційної профілактики на 12 місяць досліджень наведено на рис. 3.7.</w:t>
      </w:r>
    </w:p>
    <w:p w:rsidR="0030517B" w:rsidRPr="00CA099F" w:rsidRDefault="0030517B" w:rsidP="0030517B">
      <w:pPr>
        <w:spacing w:after="160" w:line="360" w:lineRule="auto"/>
        <w:ind w:firstLine="708"/>
        <w:jc w:val="both"/>
        <w:rPr>
          <w:rFonts w:eastAsia="Calibri" w:cs="Calibri"/>
          <w:sz w:val="28"/>
          <w:szCs w:val="28"/>
        </w:rPr>
      </w:pPr>
      <w:r w:rsidRPr="00CA099F">
        <w:rPr>
          <w:rFonts w:eastAsia="Calibri" w:cs="Calibri"/>
          <w:noProof/>
          <w:sz w:val="28"/>
          <w:szCs w:val="28"/>
          <w:lang w:val="ru-RU" w:eastAsia="ru-RU"/>
        </w:rPr>
        <w:drawing>
          <wp:inline distT="0" distB="0" distL="0" distR="0" wp14:anchorId="0F12221F" wp14:editId="45B3C1DF">
            <wp:extent cx="5486400" cy="4914900"/>
            <wp:effectExtent l="0" t="0" r="0" b="0"/>
            <wp:docPr id="4"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30517B" w:rsidRPr="00CA099F" w:rsidRDefault="0030517B" w:rsidP="0030517B">
      <w:pPr>
        <w:spacing w:after="160" w:line="360" w:lineRule="auto"/>
        <w:ind w:firstLine="708"/>
        <w:jc w:val="both"/>
        <w:rPr>
          <w:rFonts w:eastAsia="Calibri" w:cs="Calibri"/>
          <w:sz w:val="28"/>
          <w:szCs w:val="28"/>
        </w:rPr>
      </w:pPr>
      <w:r w:rsidRPr="00CA099F">
        <w:rPr>
          <w:rFonts w:eastAsia="Calibri" w:cs="Calibri"/>
          <w:sz w:val="28"/>
          <w:szCs w:val="28"/>
        </w:rPr>
        <w:t>Рис. 3.7. Графік динаміки змін показників середньої температури у різних зонах рубцевозмінених тканин на 12 місяць післяопераційного періоду.</w:t>
      </w:r>
    </w:p>
    <w:p w:rsidR="0030517B" w:rsidRPr="00CA099F" w:rsidRDefault="0030517B" w:rsidP="0030517B">
      <w:pPr>
        <w:spacing w:after="160" w:line="360" w:lineRule="auto"/>
        <w:jc w:val="both"/>
        <w:rPr>
          <w:rFonts w:eastAsia="Calibri" w:cs="Calibri"/>
          <w:sz w:val="28"/>
          <w:szCs w:val="28"/>
        </w:rPr>
      </w:pPr>
    </w:p>
    <w:p w:rsidR="0030517B" w:rsidRPr="00CA099F" w:rsidRDefault="0030517B" w:rsidP="0030517B">
      <w:pPr>
        <w:spacing w:after="160" w:line="360" w:lineRule="auto"/>
        <w:ind w:firstLine="708"/>
        <w:jc w:val="both"/>
        <w:rPr>
          <w:rFonts w:eastAsia="Calibri" w:cs="Calibri"/>
          <w:sz w:val="28"/>
          <w:szCs w:val="28"/>
        </w:rPr>
      </w:pPr>
      <w:r w:rsidRPr="00CA099F">
        <w:rPr>
          <w:rFonts w:eastAsia="Calibri" w:cs="Calibri"/>
          <w:sz w:val="28"/>
          <w:szCs w:val="28"/>
        </w:rPr>
        <w:t xml:space="preserve">Таким чином, аналіз динаміки клінічних показників цифрових параметрів типу, консистенції, кольору, чутливості, площі рубцевозмінених тканин шкіри після оперативних втручань з приводу кіст шиї ембріонального походження та їх бальної системи оцінки, аналіз динаміки змін цифрових показників температури зовнішньої поверхні рубців в різних ділянках дозволяє дійти до висновку, що застосування авторської методики </w:t>
      </w:r>
      <w:r w:rsidRPr="00CA099F">
        <w:rPr>
          <w:rFonts w:eastAsia="Calibri" w:cs="Calibri"/>
          <w:sz w:val="28"/>
          <w:szCs w:val="28"/>
        </w:rPr>
        <w:lastRenderedPageBreak/>
        <w:t xml:space="preserve">інтраопераційної профілактики утворення патологічних рубців шкіри в 1 групі зменшує наявність скарг </w:t>
      </w:r>
      <w:r w:rsidR="00D96DA9">
        <w:rPr>
          <w:rFonts w:eastAsia="Calibri" w:cs="Calibri"/>
          <w:sz w:val="28"/>
          <w:szCs w:val="28"/>
        </w:rPr>
        <w:t>пацієнтів</w:t>
      </w:r>
      <w:r w:rsidRPr="00CA099F">
        <w:rPr>
          <w:rFonts w:eastAsia="Calibri" w:cs="Calibri"/>
          <w:sz w:val="28"/>
          <w:szCs w:val="28"/>
        </w:rPr>
        <w:t xml:space="preserve">, прискорює строки епітелізації рани та покращує їх зовнішній вигляд. </w:t>
      </w:r>
    </w:p>
    <w:p w:rsidR="0030517B" w:rsidRPr="00CA099F" w:rsidRDefault="0030517B" w:rsidP="0030517B">
      <w:pPr>
        <w:spacing w:after="160" w:line="360" w:lineRule="auto"/>
        <w:ind w:firstLine="708"/>
        <w:jc w:val="both"/>
        <w:rPr>
          <w:rFonts w:eastAsia="Calibri" w:cs="Calibri"/>
          <w:sz w:val="28"/>
          <w:szCs w:val="28"/>
        </w:rPr>
      </w:pPr>
      <w:r w:rsidRPr="00CA099F">
        <w:rPr>
          <w:rFonts w:eastAsia="Calibri" w:cs="Calibri"/>
          <w:sz w:val="28"/>
          <w:szCs w:val="28"/>
        </w:rPr>
        <w:t xml:space="preserve">Найкращі функціональні та естетичні результати отримані в 2 групі пацієнтів де разом з інтраопераційним введенням в рану </w:t>
      </w:r>
      <w:r w:rsidRPr="00CA099F">
        <w:rPr>
          <w:rFonts w:eastAsia="Calibri" w:cs="Calibri"/>
          <w:sz w:val="28"/>
          <w:szCs w:val="28"/>
          <w:lang w:val="en-US"/>
        </w:rPr>
        <w:t>PRF</w:t>
      </w:r>
      <w:r w:rsidRPr="00CA099F">
        <w:rPr>
          <w:rFonts w:eastAsia="Calibri" w:cs="Calibri"/>
          <w:sz w:val="28"/>
          <w:szCs w:val="28"/>
        </w:rPr>
        <w:t xml:space="preserve"> мембран на етапах післяопераційного періоду в профілактичних цілях застосовувався церулоплазмін.</w:t>
      </w:r>
    </w:p>
    <w:p w:rsidR="0030517B" w:rsidRPr="00CA099F" w:rsidRDefault="0030517B" w:rsidP="0030517B">
      <w:pPr>
        <w:spacing w:after="0" w:line="360" w:lineRule="auto"/>
        <w:ind w:firstLine="709"/>
        <w:contextualSpacing/>
        <w:jc w:val="both"/>
        <w:rPr>
          <w:rFonts w:eastAsia="Calibri" w:cs="Times New Roman"/>
          <w:sz w:val="28"/>
          <w:szCs w:val="28"/>
        </w:rPr>
      </w:pPr>
      <w:r w:rsidRPr="00CA099F">
        <w:rPr>
          <w:rFonts w:eastAsia="Calibri" w:cs="Times New Roman"/>
          <w:snapToGrid w:val="0"/>
          <w:sz w:val="28"/>
          <w:szCs w:val="28"/>
        </w:rPr>
        <w:t>Дані, що наведені в розділі викладені в наступних працях:</w:t>
      </w:r>
    </w:p>
    <w:p w:rsidR="0030517B" w:rsidRPr="00CA099F" w:rsidRDefault="0030517B" w:rsidP="003236D6">
      <w:pPr>
        <w:spacing w:after="0" w:line="360" w:lineRule="auto"/>
        <w:ind w:firstLine="708"/>
        <w:contextualSpacing/>
        <w:jc w:val="both"/>
        <w:rPr>
          <w:rFonts w:eastAsia="Calibri" w:cs="Calibri"/>
          <w:sz w:val="28"/>
          <w:szCs w:val="28"/>
        </w:rPr>
      </w:pPr>
      <w:r w:rsidRPr="00CA099F">
        <w:rPr>
          <w:rFonts w:eastAsia="Calibri" w:cs="Calibri"/>
          <w:sz w:val="28"/>
          <w:szCs w:val="28"/>
        </w:rPr>
        <w:t>Аналіз динаміки клінічних змін рубцевозмінених тканин після хірургічного лікування бранхіогенних кіст у хронологічному аспекті / С.М.</w:t>
      </w:r>
      <w:r w:rsidRPr="00CA099F">
        <w:rPr>
          <w:rFonts w:eastAsia="Calibri" w:cs="Calibri"/>
          <w:sz w:val="28"/>
          <w:szCs w:val="28"/>
          <w:lang w:val="ru-RU"/>
        </w:rPr>
        <w:t> </w:t>
      </w:r>
      <w:r w:rsidRPr="00CA099F">
        <w:rPr>
          <w:rFonts w:eastAsia="Calibri" w:cs="Calibri"/>
          <w:sz w:val="28"/>
          <w:szCs w:val="28"/>
        </w:rPr>
        <w:t xml:space="preserve">Григоров, </w:t>
      </w:r>
      <w:r w:rsidRPr="00CA099F">
        <w:rPr>
          <w:rFonts w:eastAsia="Calibri" w:cs="Calibri"/>
          <w:b/>
          <w:sz w:val="28"/>
          <w:szCs w:val="28"/>
        </w:rPr>
        <w:t>Л.Р.</w:t>
      </w:r>
      <w:r w:rsidRPr="00CA099F">
        <w:rPr>
          <w:rFonts w:eastAsia="Calibri" w:cs="Calibri"/>
          <w:b/>
          <w:sz w:val="28"/>
          <w:szCs w:val="28"/>
          <w:lang w:val="ru-RU"/>
        </w:rPr>
        <w:t> </w:t>
      </w:r>
      <w:r w:rsidRPr="00CA099F">
        <w:rPr>
          <w:rFonts w:eastAsia="Calibri" w:cs="Calibri"/>
          <w:b/>
          <w:sz w:val="28"/>
          <w:szCs w:val="28"/>
        </w:rPr>
        <w:t>Криничко</w:t>
      </w:r>
      <w:r w:rsidRPr="00CA099F">
        <w:rPr>
          <w:rFonts w:eastAsia="Calibri" w:cs="Calibri"/>
          <w:sz w:val="28"/>
          <w:szCs w:val="28"/>
        </w:rPr>
        <w:t>, С.О.</w:t>
      </w:r>
      <w:r w:rsidRPr="00CA099F">
        <w:rPr>
          <w:rFonts w:eastAsia="Calibri" w:cs="Calibri"/>
          <w:sz w:val="28"/>
          <w:szCs w:val="28"/>
          <w:lang w:val="ru-RU"/>
        </w:rPr>
        <w:t> </w:t>
      </w:r>
      <w:r w:rsidRPr="00CA099F">
        <w:rPr>
          <w:rFonts w:eastAsia="Calibri" w:cs="Calibri"/>
          <w:sz w:val="28"/>
          <w:szCs w:val="28"/>
        </w:rPr>
        <w:t>Ставицький</w:t>
      </w:r>
      <w:r w:rsidR="00B030BA">
        <w:rPr>
          <w:rFonts w:eastAsia="Calibri" w:cs="Calibri"/>
          <w:sz w:val="28"/>
          <w:szCs w:val="28"/>
        </w:rPr>
        <w:t xml:space="preserve"> </w:t>
      </w:r>
      <w:r w:rsidR="00B030BA" w:rsidRPr="00CA099F">
        <w:rPr>
          <w:rFonts w:eastAsia="Calibri" w:cs="Calibri"/>
          <w:sz w:val="28"/>
          <w:szCs w:val="28"/>
        </w:rPr>
        <w:t>[та ін.]</w:t>
      </w:r>
      <w:r w:rsidR="00B030BA">
        <w:rPr>
          <w:rFonts w:eastAsia="Calibri" w:cs="Calibri"/>
          <w:sz w:val="28"/>
          <w:szCs w:val="28"/>
        </w:rPr>
        <w:t xml:space="preserve"> </w:t>
      </w:r>
      <w:r w:rsidRPr="00CA099F">
        <w:rPr>
          <w:rFonts w:eastAsia="Calibri" w:cs="Calibri"/>
          <w:sz w:val="28"/>
          <w:szCs w:val="28"/>
        </w:rPr>
        <w:t>// Клінічна хірургія. – 2018. – Т. 85 (№6). – С. 33-35.</w:t>
      </w:r>
    </w:p>
    <w:p w:rsidR="0030517B" w:rsidRPr="00CA099F" w:rsidRDefault="0030517B" w:rsidP="003236D6">
      <w:pPr>
        <w:spacing w:after="0" w:line="360" w:lineRule="auto"/>
        <w:ind w:firstLine="708"/>
        <w:contextualSpacing/>
        <w:jc w:val="both"/>
        <w:rPr>
          <w:rFonts w:eastAsia="Calibri" w:cs="Calibri"/>
          <w:sz w:val="28"/>
          <w:szCs w:val="28"/>
        </w:rPr>
      </w:pPr>
      <w:r w:rsidRPr="00CA099F">
        <w:rPr>
          <w:rFonts w:eastAsia="Calibri" w:cs="Calibri"/>
          <w:sz w:val="28"/>
          <w:szCs w:val="28"/>
        </w:rPr>
        <w:t xml:space="preserve">Сучасний погляд на експериментальне і клінічне обґрунтування використання </w:t>
      </w:r>
      <w:r w:rsidRPr="00CA099F">
        <w:rPr>
          <w:rFonts w:eastAsia="Calibri" w:cs="Calibri"/>
          <w:sz w:val="28"/>
          <w:szCs w:val="28"/>
          <w:lang w:val="ru-RU"/>
        </w:rPr>
        <w:t>PRF</w:t>
      </w:r>
      <w:r w:rsidRPr="00CA099F">
        <w:rPr>
          <w:rFonts w:eastAsia="Calibri" w:cs="Calibri"/>
          <w:sz w:val="28"/>
          <w:szCs w:val="28"/>
        </w:rPr>
        <w:t xml:space="preserve"> у процесі репаративної регенерації шкіри / </w:t>
      </w:r>
      <w:r w:rsidRPr="00CA099F">
        <w:rPr>
          <w:rFonts w:eastAsia="Calibri" w:cs="Calibri"/>
          <w:b/>
          <w:sz w:val="28"/>
          <w:szCs w:val="28"/>
        </w:rPr>
        <w:t>Л.Р.</w:t>
      </w:r>
      <w:r w:rsidRPr="00CA099F">
        <w:rPr>
          <w:rFonts w:eastAsia="Calibri" w:cs="Calibri"/>
          <w:b/>
          <w:sz w:val="28"/>
          <w:szCs w:val="28"/>
          <w:lang w:val="ru-RU"/>
        </w:rPr>
        <w:t> </w:t>
      </w:r>
      <w:r w:rsidRPr="00CA099F">
        <w:rPr>
          <w:rFonts w:eastAsia="Calibri" w:cs="Calibri"/>
          <w:b/>
          <w:sz w:val="28"/>
          <w:szCs w:val="28"/>
        </w:rPr>
        <w:t>Криничко</w:t>
      </w:r>
      <w:r w:rsidRPr="00CA099F">
        <w:rPr>
          <w:rFonts w:eastAsia="Calibri" w:cs="Calibri"/>
          <w:sz w:val="28"/>
          <w:szCs w:val="28"/>
        </w:rPr>
        <w:t>, С.М.</w:t>
      </w:r>
      <w:r w:rsidRPr="00CA099F">
        <w:rPr>
          <w:rFonts w:eastAsia="Calibri" w:cs="Calibri"/>
          <w:sz w:val="28"/>
          <w:szCs w:val="28"/>
          <w:lang w:val="ru-RU"/>
        </w:rPr>
        <w:t> </w:t>
      </w:r>
      <w:r w:rsidRPr="00CA099F">
        <w:rPr>
          <w:rFonts w:eastAsia="Calibri" w:cs="Calibri"/>
          <w:sz w:val="28"/>
          <w:szCs w:val="28"/>
        </w:rPr>
        <w:t>Григоров, Д.В.</w:t>
      </w:r>
      <w:r w:rsidRPr="00CA099F">
        <w:rPr>
          <w:rFonts w:eastAsia="Calibri" w:cs="Calibri"/>
          <w:sz w:val="28"/>
          <w:szCs w:val="28"/>
          <w:lang w:val="ru-RU"/>
        </w:rPr>
        <w:t> </w:t>
      </w:r>
      <w:r w:rsidRPr="00CA099F">
        <w:rPr>
          <w:rFonts w:eastAsia="Calibri" w:cs="Calibri"/>
          <w:sz w:val="28"/>
          <w:szCs w:val="28"/>
        </w:rPr>
        <w:t>Стебловський [та ін.] // Український стоматологічний альманах. – 2018. - №2. – С.</w:t>
      </w:r>
      <w:r w:rsidRPr="00CA099F">
        <w:rPr>
          <w:rFonts w:eastAsia="Calibri" w:cs="Calibri"/>
          <w:sz w:val="28"/>
          <w:szCs w:val="28"/>
          <w:lang w:val="ru-RU"/>
        </w:rPr>
        <w:t> </w:t>
      </w:r>
      <w:r w:rsidRPr="00CA099F">
        <w:rPr>
          <w:rFonts w:eastAsia="Calibri" w:cs="Calibri"/>
          <w:sz w:val="28"/>
          <w:szCs w:val="28"/>
        </w:rPr>
        <w:t>45-48.</w:t>
      </w:r>
    </w:p>
    <w:p w:rsidR="0030517B" w:rsidRPr="00CA099F" w:rsidRDefault="0030517B" w:rsidP="003236D6">
      <w:pPr>
        <w:spacing w:after="0" w:line="360" w:lineRule="auto"/>
        <w:ind w:firstLine="708"/>
        <w:contextualSpacing/>
        <w:jc w:val="both"/>
        <w:rPr>
          <w:rFonts w:eastAsia="Calibri" w:cs="Calibri"/>
          <w:sz w:val="28"/>
          <w:szCs w:val="28"/>
        </w:rPr>
      </w:pPr>
      <w:r w:rsidRPr="00CA099F">
        <w:rPr>
          <w:rFonts w:eastAsia="Calibri" w:cs="Calibri"/>
          <w:sz w:val="28"/>
          <w:szCs w:val="28"/>
        </w:rPr>
        <w:t xml:space="preserve">Динаміка змін показників рубцевозмінених тканин на 3 місяць післяопераційного періоду / </w:t>
      </w:r>
      <w:r w:rsidRPr="00CA099F">
        <w:rPr>
          <w:rFonts w:eastAsia="Calibri" w:cs="Calibri"/>
          <w:b/>
          <w:sz w:val="28"/>
          <w:szCs w:val="28"/>
        </w:rPr>
        <w:t>Л.Р.</w:t>
      </w:r>
      <w:r w:rsidRPr="00CA099F">
        <w:rPr>
          <w:rFonts w:eastAsia="Calibri" w:cs="Calibri"/>
          <w:b/>
          <w:sz w:val="28"/>
          <w:szCs w:val="28"/>
          <w:lang w:val="ru-RU"/>
        </w:rPr>
        <w:t> </w:t>
      </w:r>
      <w:r w:rsidRPr="00CA099F">
        <w:rPr>
          <w:rFonts w:eastAsia="Calibri" w:cs="Calibri"/>
          <w:b/>
          <w:sz w:val="28"/>
          <w:szCs w:val="28"/>
        </w:rPr>
        <w:t>Криничко</w:t>
      </w:r>
      <w:r w:rsidRPr="00CA099F">
        <w:rPr>
          <w:rFonts w:eastAsia="Calibri" w:cs="Calibri"/>
          <w:sz w:val="28"/>
          <w:szCs w:val="28"/>
        </w:rPr>
        <w:t>, С.М.</w:t>
      </w:r>
      <w:r w:rsidRPr="00CA099F">
        <w:rPr>
          <w:rFonts w:eastAsia="Calibri" w:cs="Calibri"/>
          <w:sz w:val="28"/>
          <w:szCs w:val="28"/>
          <w:lang w:val="ru-RU"/>
        </w:rPr>
        <w:t> </w:t>
      </w:r>
      <w:r w:rsidRPr="00CA099F">
        <w:rPr>
          <w:rFonts w:eastAsia="Calibri" w:cs="Calibri"/>
          <w:sz w:val="28"/>
          <w:szCs w:val="28"/>
        </w:rPr>
        <w:t>Григоров, С.О.</w:t>
      </w:r>
      <w:r w:rsidRPr="00CA099F">
        <w:rPr>
          <w:rFonts w:eastAsia="Calibri" w:cs="Calibri"/>
          <w:sz w:val="28"/>
          <w:szCs w:val="28"/>
          <w:lang w:val="ru-RU"/>
        </w:rPr>
        <w:t> </w:t>
      </w:r>
      <w:r w:rsidRPr="00CA099F">
        <w:rPr>
          <w:rFonts w:eastAsia="Calibri" w:cs="Calibri"/>
          <w:sz w:val="28"/>
          <w:szCs w:val="28"/>
        </w:rPr>
        <w:t>Ставицький</w:t>
      </w:r>
      <w:r w:rsidR="00B030BA">
        <w:rPr>
          <w:rFonts w:eastAsia="Calibri" w:cs="Calibri"/>
          <w:sz w:val="28"/>
          <w:szCs w:val="28"/>
        </w:rPr>
        <w:t xml:space="preserve"> </w:t>
      </w:r>
      <w:r w:rsidR="00B030BA" w:rsidRPr="00CA099F">
        <w:rPr>
          <w:rFonts w:eastAsia="Calibri" w:cs="Calibri"/>
          <w:sz w:val="28"/>
          <w:szCs w:val="28"/>
        </w:rPr>
        <w:t>[та ін.]</w:t>
      </w:r>
      <w:r w:rsidR="00B030BA">
        <w:rPr>
          <w:rFonts w:eastAsia="Calibri" w:cs="Calibri"/>
          <w:sz w:val="28"/>
          <w:szCs w:val="28"/>
        </w:rPr>
        <w:t xml:space="preserve"> </w:t>
      </w:r>
      <w:r w:rsidRPr="00CA099F">
        <w:rPr>
          <w:rFonts w:eastAsia="Calibri" w:cs="Calibri"/>
          <w:sz w:val="28"/>
          <w:szCs w:val="28"/>
        </w:rPr>
        <w:t>// Актуальні проблеми сучасної медицини : Вісник УМСА. – 2018. – Т.</w:t>
      </w:r>
      <w:r w:rsidRPr="00CA099F">
        <w:rPr>
          <w:rFonts w:eastAsia="Calibri" w:cs="Calibri"/>
          <w:sz w:val="28"/>
          <w:szCs w:val="28"/>
          <w:lang w:val="ru-RU"/>
        </w:rPr>
        <w:t> </w:t>
      </w:r>
      <w:r w:rsidRPr="00CA099F">
        <w:rPr>
          <w:rFonts w:eastAsia="Calibri" w:cs="Calibri"/>
          <w:sz w:val="28"/>
          <w:szCs w:val="28"/>
        </w:rPr>
        <w:t>18., Вип.2 (62). – С.</w:t>
      </w:r>
      <w:r w:rsidRPr="00CA099F">
        <w:rPr>
          <w:rFonts w:eastAsia="Calibri" w:cs="Calibri"/>
          <w:sz w:val="28"/>
          <w:szCs w:val="28"/>
          <w:lang w:val="ru-RU"/>
        </w:rPr>
        <w:t> </w:t>
      </w:r>
      <w:r w:rsidRPr="00CA099F">
        <w:rPr>
          <w:rFonts w:eastAsia="Calibri" w:cs="Calibri"/>
          <w:sz w:val="28"/>
          <w:szCs w:val="28"/>
        </w:rPr>
        <w:t>197-200.</w:t>
      </w:r>
    </w:p>
    <w:p w:rsidR="0030517B" w:rsidRPr="00CA099F" w:rsidRDefault="0030517B" w:rsidP="00B030BA">
      <w:pPr>
        <w:spacing w:after="0" w:line="360" w:lineRule="auto"/>
        <w:ind w:firstLine="708"/>
        <w:contextualSpacing/>
        <w:jc w:val="both"/>
        <w:rPr>
          <w:rFonts w:eastAsia="Calibri" w:cs="Calibri"/>
          <w:sz w:val="28"/>
          <w:szCs w:val="28"/>
        </w:rPr>
      </w:pPr>
      <w:r w:rsidRPr="00CA099F">
        <w:rPr>
          <w:rFonts w:eastAsia="Calibri" w:cs="Calibri"/>
          <w:sz w:val="28"/>
          <w:szCs w:val="28"/>
          <w:shd w:val="clear" w:color="auto" w:fill="FFFFFF"/>
        </w:rPr>
        <w:t xml:space="preserve">Патент 109267 </w:t>
      </w:r>
      <w:r w:rsidRPr="00CA099F">
        <w:rPr>
          <w:rFonts w:eastAsia="Calibri" w:cs="Calibri"/>
          <w:sz w:val="28"/>
          <w:szCs w:val="28"/>
          <w:shd w:val="clear" w:color="auto" w:fill="FFFFFF"/>
          <w:lang w:val="ru-RU"/>
        </w:rPr>
        <w:t>UA</w:t>
      </w:r>
      <w:r w:rsidRPr="00CA099F">
        <w:rPr>
          <w:rFonts w:eastAsia="Calibri" w:cs="Calibri"/>
          <w:sz w:val="28"/>
          <w:szCs w:val="28"/>
          <w:shd w:val="clear" w:color="auto" w:fill="FFFFFF"/>
        </w:rPr>
        <w:t xml:space="preserve">, МПК </w:t>
      </w:r>
      <w:r w:rsidRPr="00CA099F">
        <w:rPr>
          <w:rFonts w:eastAsia="Calibri" w:cs="Calibri"/>
          <w:sz w:val="28"/>
          <w:szCs w:val="28"/>
          <w:shd w:val="clear" w:color="auto" w:fill="FFFFFF"/>
          <w:lang w:val="ru-RU"/>
        </w:rPr>
        <w:t>A</w:t>
      </w:r>
      <w:r w:rsidRPr="00CA099F">
        <w:rPr>
          <w:rFonts w:eastAsia="Calibri" w:cs="Calibri"/>
          <w:sz w:val="28"/>
          <w:szCs w:val="28"/>
          <w:shd w:val="clear" w:color="auto" w:fill="FFFFFF"/>
        </w:rPr>
        <w:t>61</w:t>
      </w:r>
      <w:r w:rsidRPr="00CA099F">
        <w:rPr>
          <w:rFonts w:eastAsia="Calibri" w:cs="Calibri"/>
          <w:sz w:val="28"/>
          <w:szCs w:val="28"/>
          <w:shd w:val="clear" w:color="auto" w:fill="FFFFFF"/>
          <w:lang w:val="ru-RU"/>
        </w:rPr>
        <w:t>K</w:t>
      </w:r>
      <w:r w:rsidRPr="00CA099F">
        <w:rPr>
          <w:rFonts w:eastAsia="Calibri" w:cs="Calibri"/>
          <w:sz w:val="28"/>
          <w:szCs w:val="28"/>
          <w:shd w:val="clear" w:color="auto" w:fill="FFFFFF"/>
        </w:rPr>
        <w:t xml:space="preserve"> 31/00 (2016.01) </w:t>
      </w:r>
      <w:r w:rsidRPr="00CA099F">
        <w:rPr>
          <w:rFonts w:eastAsia="Calibri" w:cs="Calibri"/>
          <w:sz w:val="28"/>
          <w:szCs w:val="28"/>
          <w:shd w:val="clear" w:color="auto" w:fill="FFFFFF"/>
          <w:lang w:val="ru-RU"/>
        </w:rPr>
        <w:t>A</w:t>
      </w:r>
      <w:r w:rsidRPr="00CA099F">
        <w:rPr>
          <w:rFonts w:eastAsia="Calibri" w:cs="Calibri"/>
          <w:sz w:val="28"/>
          <w:szCs w:val="28"/>
          <w:shd w:val="clear" w:color="auto" w:fill="FFFFFF"/>
        </w:rPr>
        <w:t>61</w:t>
      </w:r>
      <w:r w:rsidRPr="00CA099F">
        <w:rPr>
          <w:rFonts w:eastAsia="Calibri" w:cs="Calibri"/>
          <w:sz w:val="28"/>
          <w:szCs w:val="28"/>
          <w:shd w:val="clear" w:color="auto" w:fill="FFFFFF"/>
          <w:lang w:val="ru-RU"/>
        </w:rPr>
        <w:t>P</w:t>
      </w:r>
      <w:r w:rsidRPr="00CA099F">
        <w:rPr>
          <w:rFonts w:eastAsia="Calibri" w:cs="Calibri"/>
          <w:sz w:val="28"/>
          <w:szCs w:val="28"/>
          <w:shd w:val="clear" w:color="auto" w:fill="FFFFFF"/>
        </w:rPr>
        <w:t xml:space="preserve"> 17/02 (2006.01) Спосіб інтраопераційної профілактики виникнення келоїдних та гіпертрофічних рубців шкіри при лікуванні кист шиї ембріонального походження / Григоров С. М., Криничко Л. Р., Ставицький С. О., Яценко І. В. ; заявник ВДНЗУ УМСА. — № </w:t>
      </w:r>
      <w:r w:rsidRPr="00CA099F">
        <w:rPr>
          <w:rFonts w:eastAsia="Calibri" w:cs="Calibri"/>
          <w:sz w:val="28"/>
          <w:szCs w:val="28"/>
          <w:shd w:val="clear" w:color="auto" w:fill="FFFFFF"/>
          <w:lang w:val="ru-RU"/>
        </w:rPr>
        <w:t>u</w:t>
      </w:r>
      <w:r w:rsidRPr="00CA099F">
        <w:rPr>
          <w:rFonts w:eastAsia="Calibri" w:cs="Calibri"/>
          <w:sz w:val="28"/>
          <w:szCs w:val="28"/>
          <w:shd w:val="clear" w:color="auto" w:fill="FFFFFF"/>
        </w:rPr>
        <w:t xml:space="preserve"> 2015 00026 ; заявл. </w:t>
      </w:r>
      <w:r w:rsidRPr="003236D6">
        <w:rPr>
          <w:rFonts w:eastAsia="Calibri" w:cs="Calibri"/>
          <w:sz w:val="28"/>
          <w:szCs w:val="28"/>
          <w:shd w:val="clear" w:color="auto" w:fill="FFFFFF"/>
        </w:rPr>
        <w:t>04.01.2016 ; опубл. 25.08.2016, Бюл. № 16.</w:t>
      </w:r>
      <w:r w:rsidRPr="00CA099F">
        <w:rPr>
          <w:rFonts w:eastAsia="Calibri" w:cs="Calibri"/>
          <w:sz w:val="28"/>
          <w:szCs w:val="28"/>
        </w:rPr>
        <w:br w:type="page"/>
      </w:r>
    </w:p>
    <w:p w:rsidR="0030517B" w:rsidRPr="00CA099F" w:rsidRDefault="0030517B" w:rsidP="0030517B">
      <w:pPr>
        <w:spacing w:after="0" w:line="360" w:lineRule="auto"/>
        <w:jc w:val="center"/>
        <w:rPr>
          <w:rFonts w:eastAsia="Calibri" w:cs="Times New Roman"/>
          <w:b/>
          <w:sz w:val="28"/>
          <w:szCs w:val="28"/>
        </w:rPr>
      </w:pPr>
      <w:r w:rsidRPr="00CA099F">
        <w:rPr>
          <w:rFonts w:eastAsia="Calibri" w:cs="Times New Roman"/>
          <w:b/>
          <w:sz w:val="28"/>
          <w:szCs w:val="28"/>
        </w:rPr>
        <w:lastRenderedPageBreak/>
        <w:t>РОЗДІЛ 4</w:t>
      </w:r>
    </w:p>
    <w:p w:rsidR="0030517B" w:rsidRPr="00CA099F" w:rsidRDefault="0030517B" w:rsidP="0030517B">
      <w:pPr>
        <w:spacing w:after="0" w:line="360" w:lineRule="auto"/>
        <w:ind w:firstLine="709"/>
        <w:jc w:val="center"/>
        <w:rPr>
          <w:rFonts w:eastAsia="Calibri" w:cs="Times New Roman"/>
          <w:b/>
          <w:sz w:val="28"/>
          <w:szCs w:val="28"/>
        </w:rPr>
      </w:pPr>
    </w:p>
    <w:p w:rsidR="0030517B" w:rsidRPr="00CA099F" w:rsidRDefault="0030517B" w:rsidP="0030517B">
      <w:pPr>
        <w:spacing w:after="0" w:line="360" w:lineRule="auto"/>
        <w:ind w:firstLine="709"/>
        <w:jc w:val="center"/>
        <w:rPr>
          <w:rFonts w:eastAsia="Calibri" w:cs="Times New Roman"/>
          <w:b/>
          <w:sz w:val="28"/>
          <w:szCs w:val="28"/>
        </w:rPr>
      </w:pPr>
    </w:p>
    <w:p w:rsidR="0030517B" w:rsidRPr="00CA099F" w:rsidRDefault="00270657" w:rsidP="0030517B">
      <w:pPr>
        <w:spacing w:after="0" w:line="360" w:lineRule="auto"/>
        <w:jc w:val="center"/>
        <w:rPr>
          <w:rFonts w:eastAsia="Calibri" w:cs="Times New Roman"/>
          <w:b/>
          <w:sz w:val="28"/>
          <w:szCs w:val="28"/>
        </w:rPr>
      </w:pPr>
      <w:r>
        <w:rPr>
          <w:rFonts w:eastAsia="Calibri" w:cs="Times New Roman"/>
          <w:b/>
          <w:sz w:val="28"/>
          <w:szCs w:val="28"/>
        </w:rPr>
        <w:t>РЕЗУЛЬТАТИ</w:t>
      </w:r>
      <w:r w:rsidR="0030517B" w:rsidRPr="00CA099F">
        <w:rPr>
          <w:rFonts w:eastAsia="Calibri" w:cs="Times New Roman"/>
          <w:b/>
          <w:sz w:val="28"/>
          <w:szCs w:val="28"/>
        </w:rPr>
        <w:t xml:space="preserve"> ГІСТОТОПОГРАФІЇ РУБЦІВ ШКІРИ НА РІЗНИХ ЕТАПАХ ПІСЛЯОПЕРАЦІЙНОГО ПЕРІОДУ</w:t>
      </w:r>
    </w:p>
    <w:p w:rsidR="0030517B" w:rsidRPr="00CA099F" w:rsidRDefault="0030517B" w:rsidP="0030517B">
      <w:pPr>
        <w:spacing w:after="0" w:line="360" w:lineRule="auto"/>
        <w:ind w:firstLine="709"/>
        <w:jc w:val="both"/>
        <w:rPr>
          <w:rFonts w:eastAsia="Calibri" w:cs="Times New Roman"/>
          <w:sz w:val="28"/>
          <w:szCs w:val="28"/>
        </w:rPr>
      </w:pPr>
    </w:p>
    <w:p w:rsidR="0030517B" w:rsidRPr="00CA099F" w:rsidRDefault="0030517B" w:rsidP="0030517B">
      <w:pPr>
        <w:spacing w:after="0" w:line="360" w:lineRule="auto"/>
        <w:ind w:firstLine="709"/>
        <w:jc w:val="both"/>
        <w:rPr>
          <w:rFonts w:eastAsia="Calibri" w:cs="Times New Roman"/>
          <w:sz w:val="28"/>
          <w:szCs w:val="28"/>
        </w:rPr>
      </w:pPr>
    </w:p>
    <w:p w:rsidR="0030517B" w:rsidRPr="00CA099F" w:rsidRDefault="0030517B" w:rsidP="0030517B">
      <w:pPr>
        <w:spacing w:after="0" w:line="360" w:lineRule="auto"/>
        <w:ind w:firstLine="709"/>
        <w:jc w:val="both"/>
        <w:rPr>
          <w:rFonts w:eastAsia="Calibri" w:cs="Times New Roman"/>
          <w:b/>
          <w:sz w:val="28"/>
          <w:szCs w:val="28"/>
        </w:rPr>
      </w:pPr>
      <w:r w:rsidRPr="00CA099F">
        <w:rPr>
          <w:rFonts w:eastAsia="Calibri" w:cs="Times New Roman"/>
          <w:b/>
          <w:sz w:val="28"/>
          <w:szCs w:val="28"/>
        </w:rPr>
        <w:t>4.1 Особливості морфологічної будови рубцевозмінених тканин на 3 місяць післяопераційного періоду</w:t>
      </w:r>
    </w:p>
    <w:p w:rsidR="0030517B" w:rsidRPr="00CA099F" w:rsidRDefault="0030517B" w:rsidP="0030517B">
      <w:pPr>
        <w:spacing w:after="0" w:line="360" w:lineRule="auto"/>
        <w:ind w:firstLine="709"/>
        <w:jc w:val="both"/>
        <w:rPr>
          <w:rFonts w:eastAsia="Calibri" w:cs="Times New Roman"/>
          <w:sz w:val="28"/>
          <w:szCs w:val="28"/>
        </w:rPr>
      </w:pPr>
    </w:p>
    <w:p w:rsidR="0030517B" w:rsidRPr="00CA099F" w:rsidRDefault="0030517B" w:rsidP="0030517B">
      <w:pPr>
        <w:spacing w:after="0" w:line="360" w:lineRule="auto"/>
        <w:ind w:firstLine="709"/>
        <w:jc w:val="both"/>
        <w:rPr>
          <w:rFonts w:eastAsia="Calibri" w:cs="Times New Roman"/>
          <w:sz w:val="28"/>
          <w:szCs w:val="28"/>
        </w:rPr>
      </w:pPr>
      <w:r w:rsidRPr="00CA099F">
        <w:rPr>
          <w:rFonts w:eastAsia="Calibri" w:cs="Times New Roman"/>
          <w:sz w:val="28"/>
          <w:szCs w:val="28"/>
        </w:rPr>
        <w:t>Мікроскопічне дослідження рубцевозмінених тканин у пацієнтів контрольної групи в області оперативного втручання дозволило виявити наявність епітеліального покриву над усією поверхнею сполучнотканинного рубця, який формується, що свідчило про практично завершений процес епітелізації.</w:t>
      </w:r>
    </w:p>
    <w:p w:rsidR="0030517B" w:rsidRPr="00CA099F" w:rsidRDefault="0030517B" w:rsidP="0030517B">
      <w:pPr>
        <w:spacing w:after="0" w:line="360" w:lineRule="auto"/>
        <w:ind w:firstLine="709"/>
        <w:jc w:val="both"/>
        <w:rPr>
          <w:rFonts w:eastAsia="Calibri" w:cs="Times New Roman"/>
          <w:sz w:val="28"/>
          <w:szCs w:val="28"/>
        </w:rPr>
      </w:pPr>
      <w:r w:rsidRPr="00CA099F">
        <w:rPr>
          <w:rFonts w:eastAsia="Calibri" w:cs="Times New Roman"/>
          <w:sz w:val="28"/>
          <w:szCs w:val="28"/>
        </w:rPr>
        <w:t>Детальне вивчення покривного епітелію за допомогою великих збільшень світлового мікроскопа дозволило виявити в ньому деякі відмінності, від описаної в літературі будови незміненого епідермісу цієї області</w:t>
      </w:r>
      <w:r w:rsidR="00BF604D">
        <w:rPr>
          <w:rFonts w:eastAsia="Calibri" w:cs="Times New Roman"/>
          <w:sz w:val="28"/>
          <w:szCs w:val="28"/>
        </w:rPr>
        <w:t xml:space="preserve"> </w:t>
      </w:r>
      <w:r w:rsidR="00BF604D" w:rsidRPr="00CA099F">
        <w:rPr>
          <w:rFonts w:eastAsia="Calibri" w:cs="Times New Roman"/>
          <w:sz w:val="28"/>
          <w:szCs w:val="28"/>
        </w:rPr>
        <w:t>[222]</w:t>
      </w:r>
      <w:r w:rsidRPr="00CA099F">
        <w:rPr>
          <w:rFonts w:eastAsia="Calibri" w:cs="Times New Roman"/>
          <w:sz w:val="28"/>
          <w:szCs w:val="28"/>
        </w:rPr>
        <w:t xml:space="preserve">. Так, у більшості спостережень епітеліальний покрив був представлений пластом багатошарового плоского ороговіваючого епітелію, завтовшки 32 ± 5 мкм, що дещо менше, ніж товщина інтактного епідермісу. </w:t>
      </w:r>
    </w:p>
    <w:p w:rsidR="0030517B" w:rsidRPr="00CA099F" w:rsidRDefault="0030517B" w:rsidP="0030517B">
      <w:pPr>
        <w:spacing w:after="0" w:line="360" w:lineRule="auto"/>
        <w:ind w:firstLine="709"/>
        <w:jc w:val="both"/>
        <w:rPr>
          <w:rFonts w:eastAsia="Calibri" w:cs="Times New Roman"/>
          <w:sz w:val="28"/>
          <w:szCs w:val="28"/>
        </w:rPr>
      </w:pPr>
      <w:r w:rsidRPr="00CA099F">
        <w:rPr>
          <w:rFonts w:eastAsia="Calibri" w:cs="Times New Roman"/>
          <w:sz w:val="28"/>
          <w:szCs w:val="28"/>
        </w:rPr>
        <w:t>Стратифікація епітеліального пласту в цілому відповідала такій же незміненого епідермісу. Базальний шар був представлений розташованими в один ряд клітинними елементами кубічної форми з овальними ядрами. Досить часто у базальному шарі виявлялися мітотичні фігури. Наявність значної кількості останніх, що досить часто визначається терміном «базальноклітинна активність»</w:t>
      </w:r>
      <w:r w:rsidR="00DA29C8">
        <w:rPr>
          <w:rFonts w:eastAsia="Calibri" w:cs="Times New Roman"/>
          <w:sz w:val="28"/>
          <w:szCs w:val="28"/>
        </w:rPr>
        <w:t>,</w:t>
      </w:r>
      <w:r w:rsidRPr="00CA099F">
        <w:rPr>
          <w:rFonts w:eastAsia="Calibri" w:cs="Times New Roman"/>
          <w:sz w:val="28"/>
          <w:szCs w:val="28"/>
        </w:rPr>
        <w:t xml:space="preserve"> побічно свідчило про активізацію проліферативних процесів в епітеліальному пласті. </w:t>
      </w:r>
    </w:p>
    <w:p w:rsidR="0030517B" w:rsidRPr="00CA099F" w:rsidRDefault="0030517B" w:rsidP="0030517B">
      <w:pPr>
        <w:spacing w:after="0" w:line="360" w:lineRule="auto"/>
        <w:ind w:firstLine="709"/>
        <w:jc w:val="both"/>
        <w:rPr>
          <w:rFonts w:eastAsia="Calibri" w:cs="Times New Roman"/>
          <w:sz w:val="28"/>
          <w:szCs w:val="28"/>
        </w:rPr>
      </w:pPr>
      <w:r w:rsidRPr="00CA099F">
        <w:rPr>
          <w:rFonts w:eastAsia="Calibri" w:cs="Times New Roman"/>
          <w:sz w:val="28"/>
          <w:szCs w:val="28"/>
        </w:rPr>
        <w:t xml:space="preserve">Також періодично серед епітеліоцитів базального шару, а в окремих випадках і серед епітеліальних клітин розташованого вище шипуватого шару, </w:t>
      </w:r>
      <w:r w:rsidRPr="00CA099F">
        <w:rPr>
          <w:rFonts w:eastAsia="Calibri" w:cs="Times New Roman"/>
          <w:sz w:val="28"/>
          <w:szCs w:val="28"/>
        </w:rPr>
        <w:lastRenderedPageBreak/>
        <w:t xml:space="preserve">нам зустрічалися інтраепітеліальні лімфоцити, що мігрували в епітеліальний пласт із підлеглої дерми, здолавши базальну мембрану. Прийнято вважати, що наявність великої кількості лімфоцитів у покривному епітелії, свідчить про наявність в підлеглих тканинах хронічного запального процесу, часто з імунним компонентом [223, 224]. </w:t>
      </w:r>
    </w:p>
    <w:p w:rsidR="0030517B" w:rsidRPr="00CA099F" w:rsidRDefault="0030517B" w:rsidP="0030517B">
      <w:pPr>
        <w:spacing w:after="0" w:line="360" w:lineRule="auto"/>
        <w:ind w:firstLine="709"/>
        <w:jc w:val="both"/>
        <w:rPr>
          <w:rFonts w:eastAsia="Calibri" w:cs="Times New Roman"/>
          <w:sz w:val="28"/>
          <w:szCs w:val="28"/>
        </w:rPr>
      </w:pPr>
      <w:r w:rsidRPr="00CA099F">
        <w:rPr>
          <w:rFonts w:eastAsia="Calibri" w:cs="Times New Roman"/>
          <w:sz w:val="28"/>
          <w:szCs w:val="28"/>
        </w:rPr>
        <w:t xml:space="preserve">У шипуватому шарі, в порівнянні з інтактним епідермісом відповідної області у більшості випадків мало місце зменшення кількості клітинних рядів, місцями до 3-4, що було причиною зменшення загальної товщини епідермісу. Поверх шипуватого шару в усіх спостереженнях визначалися </w:t>
      </w:r>
      <w:r w:rsidRPr="006D382D">
        <w:rPr>
          <w:rFonts w:eastAsia="Calibri" w:cs="Times New Roman"/>
          <w:sz w:val="28"/>
          <w:szCs w:val="28"/>
        </w:rPr>
        <w:t>розташовані суці</w:t>
      </w:r>
      <w:r w:rsidR="00E45759" w:rsidRPr="006D382D">
        <w:rPr>
          <w:rFonts w:eastAsia="Calibri" w:cs="Times New Roman"/>
          <w:sz w:val="28"/>
          <w:szCs w:val="28"/>
        </w:rPr>
        <w:t>льним пластом рогові лусочки, які</w:t>
      </w:r>
      <w:r w:rsidR="006D382D" w:rsidRPr="006D382D">
        <w:rPr>
          <w:rFonts w:eastAsia="Calibri" w:cs="Times New Roman"/>
          <w:sz w:val="28"/>
          <w:szCs w:val="28"/>
        </w:rPr>
        <w:t xml:space="preserve"> утворювали</w:t>
      </w:r>
      <w:r w:rsidRPr="006D382D">
        <w:rPr>
          <w:rFonts w:eastAsia="Calibri" w:cs="Times New Roman"/>
          <w:sz w:val="28"/>
          <w:szCs w:val="28"/>
        </w:rPr>
        <w:t xml:space="preserve"> </w:t>
      </w:r>
      <w:r w:rsidR="00E45759" w:rsidRPr="006D382D">
        <w:rPr>
          <w:rFonts w:eastAsia="Calibri" w:cs="Times New Roman"/>
          <w:sz w:val="28"/>
          <w:szCs w:val="28"/>
        </w:rPr>
        <w:t>найбільш</w:t>
      </w:r>
      <w:r w:rsidRPr="006D382D">
        <w:rPr>
          <w:rFonts w:eastAsia="Calibri" w:cs="Times New Roman"/>
          <w:sz w:val="28"/>
          <w:szCs w:val="28"/>
        </w:rPr>
        <w:t xml:space="preserve"> поверхневий роговий шар, що побічно свідчить </w:t>
      </w:r>
      <w:r w:rsidR="006D382D" w:rsidRPr="006D382D">
        <w:rPr>
          <w:rFonts w:eastAsia="Calibri" w:cs="Times New Roman"/>
          <w:sz w:val="28"/>
          <w:szCs w:val="28"/>
        </w:rPr>
        <w:t xml:space="preserve">про </w:t>
      </w:r>
      <w:r w:rsidRPr="006D382D">
        <w:rPr>
          <w:rFonts w:eastAsia="Calibri" w:cs="Times New Roman"/>
          <w:sz w:val="28"/>
          <w:szCs w:val="28"/>
        </w:rPr>
        <w:t>практично повн</w:t>
      </w:r>
      <w:r w:rsidR="006D382D" w:rsidRPr="006D382D">
        <w:rPr>
          <w:rFonts w:eastAsia="Calibri" w:cs="Times New Roman"/>
          <w:sz w:val="28"/>
          <w:szCs w:val="28"/>
        </w:rPr>
        <w:t>е дозрівання</w:t>
      </w:r>
      <w:r w:rsidRPr="006D382D">
        <w:rPr>
          <w:rFonts w:eastAsia="Calibri" w:cs="Times New Roman"/>
          <w:sz w:val="28"/>
          <w:szCs w:val="28"/>
        </w:rPr>
        <w:t xml:space="preserve"> покривного епітелію на описуваному етапі репаративного процесу. Також, як і шипуватий, роговий шар досить часто мав дещо меншу</w:t>
      </w:r>
      <w:r w:rsidRPr="00CA099F">
        <w:rPr>
          <w:rFonts w:eastAsia="Calibri" w:cs="Times New Roman"/>
          <w:sz w:val="28"/>
          <w:szCs w:val="28"/>
        </w:rPr>
        <w:t xml:space="preserve"> товщину в порівнянні з таким інтактного епідермісу. </w:t>
      </w:r>
    </w:p>
    <w:p w:rsidR="0030517B" w:rsidRPr="00CA099F" w:rsidRDefault="0030517B" w:rsidP="0030517B">
      <w:pPr>
        <w:spacing w:after="0" w:line="360" w:lineRule="auto"/>
        <w:ind w:firstLine="709"/>
        <w:jc w:val="both"/>
        <w:rPr>
          <w:rFonts w:eastAsia="Calibri" w:cs="Times New Roman"/>
          <w:sz w:val="28"/>
          <w:szCs w:val="28"/>
        </w:rPr>
      </w:pPr>
      <w:r w:rsidRPr="00CA099F">
        <w:rPr>
          <w:rFonts w:eastAsia="Calibri" w:cs="Times New Roman"/>
          <w:sz w:val="28"/>
          <w:szCs w:val="28"/>
        </w:rPr>
        <w:t>Окрім описаної вище типової картини епітелізації післяопераційної рани через 3 місяці, зрідка ми спостерігали поруш</w:t>
      </w:r>
      <w:r w:rsidR="00F433C8">
        <w:rPr>
          <w:rFonts w:eastAsia="Calibri" w:cs="Times New Roman"/>
          <w:sz w:val="28"/>
          <w:szCs w:val="28"/>
        </w:rPr>
        <w:t>ення цього процесу, що проявляло</w:t>
      </w:r>
      <w:r w:rsidRPr="00CA099F">
        <w:rPr>
          <w:rFonts w:eastAsia="Calibri" w:cs="Times New Roman"/>
          <w:sz w:val="28"/>
          <w:szCs w:val="28"/>
        </w:rPr>
        <w:t xml:space="preserve">ся як в недостатньому утворенні покривного епітелію (8 спостережень), так і в надмірній його проліферації з порушенням процесу кератинізації (6 спостережень). </w:t>
      </w:r>
    </w:p>
    <w:p w:rsidR="0030517B" w:rsidRPr="00CA099F" w:rsidRDefault="0030517B" w:rsidP="0030517B">
      <w:pPr>
        <w:spacing w:after="0" w:line="360" w:lineRule="auto"/>
        <w:ind w:firstLine="709"/>
        <w:jc w:val="both"/>
        <w:rPr>
          <w:rFonts w:eastAsia="Calibri" w:cs="Times New Roman"/>
          <w:sz w:val="28"/>
          <w:szCs w:val="28"/>
        </w:rPr>
      </w:pPr>
      <w:r w:rsidRPr="00CA099F">
        <w:rPr>
          <w:rFonts w:eastAsia="Calibri" w:cs="Times New Roman"/>
          <w:sz w:val="28"/>
          <w:szCs w:val="28"/>
        </w:rPr>
        <w:t xml:space="preserve">У першому випадку нам зустрічалися ділянки, як в проекції післяопераційного рубця, що формується, так і у безпосередній близькості від останнього покриті відносно тонким пластом покривного епітелію. В останньому також представлялося можливим розрізнити базальний, шипуватий, зернистий і роговий шари, проте в шипуватому шарі в подібних випадках налічувалися всього 1-2 шари клітинних елементів, при цьому по своїх морфологічних особливостях усі клітинні елементи епітеліального пласту не відрізнялися від описаних вище. </w:t>
      </w:r>
    </w:p>
    <w:p w:rsidR="0030517B" w:rsidRPr="00CA099F" w:rsidRDefault="0030517B" w:rsidP="0030517B">
      <w:pPr>
        <w:spacing w:after="0" w:line="360" w:lineRule="auto"/>
        <w:ind w:firstLine="709"/>
        <w:jc w:val="both"/>
        <w:rPr>
          <w:rFonts w:eastAsia="Calibri" w:cs="Times New Roman"/>
          <w:sz w:val="28"/>
          <w:szCs w:val="28"/>
        </w:rPr>
      </w:pPr>
      <w:r w:rsidRPr="00CA099F">
        <w:rPr>
          <w:rFonts w:eastAsia="Calibri" w:cs="Times New Roman"/>
          <w:sz w:val="28"/>
          <w:szCs w:val="28"/>
        </w:rPr>
        <w:t>Дещо частіше нам доводилося спостерігати надмірну прол</w:t>
      </w:r>
      <w:r w:rsidR="00EF4C56">
        <w:rPr>
          <w:rFonts w:eastAsia="Calibri" w:cs="Times New Roman"/>
          <w:sz w:val="28"/>
          <w:szCs w:val="28"/>
        </w:rPr>
        <w:t>іферацію епітелію, що проявляло</w:t>
      </w:r>
      <w:r w:rsidRPr="00CA099F">
        <w:rPr>
          <w:rFonts w:eastAsia="Calibri" w:cs="Times New Roman"/>
          <w:sz w:val="28"/>
          <w:szCs w:val="28"/>
        </w:rPr>
        <w:t xml:space="preserve">ся як відносно рівномірним потовщенням пласта </w:t>
      </w:r>
      <w:r w:rsidRPr="00CA099F">
        <w:rPr>
          <w:rFonts w:eastAsia="Calibri" w:cs="Times New Roman"/>
          <w:sz w:val="28"/>
          <w:szCs w:val="28"/>
        </w:rPr>
        <w:lastRenderedPageBreak/>
        <w:t>останнього, так і появою, в одиничних випадках тяжів епітелію занурених всередину рубця, що формується.</w:t>
      </w:r>
    </w:p>
    <w:p w:rsidR="0030517B" w:rsidRPr="00CA099F" w:rsidRDefault="0030517B" w:rsidP="0030517B">
      <w:pPr>
        <w:spacing w:after="0" w:line="360" w:lineRule="auto"/>
        <w:ind w:firstLine="709"/>
        <w:jc w:val="both"/>
        <w:rPr>
          <w:rFonts w:eastAsia="Calibri" w:cs="Times New Roman"/>
          <w:sz w:val="28"/>
          <w:szCs w:val="28"/>
        </w:rPr>
      </w:pPr>
      <w:r w:rsidRPr="00CA099F">
        <w:rPr>
          <w:rFonts w:eastAsia="Calibri" w:cs="Times New Roman"/>
          <w:sz w:val="28"/>
          <w:szCs w:val="28"/>
        </w:rPr>
        <w:t>Подібні епітеліальні комплекси розташовувалися відносно глибоко в рубці, що формується, і були практично повністю ізольовані від пласта покривного епітелію. Подібне поєднання явищ акантозу з масивною проліферацією епітелію спостерігається зазвичай у країв хронічних виразок, при дерматозах з явищами вегетації деякими авторами позначається як «псевдоепітеліоматозна гіперплазія» [96] (рис. 4.1).</w:t>
      </w:r>
    </w:p>
    <w:tbl>
      <w:tblPr>
        <w:tblW w:w="0" w:type="auto"/>
        <w:tblLook w:val="01E0" w:firstRow="1" w:lastRow="1" w:firstColumn="1" w:lastColumn="1" w:noHBand="0" w:noVBand="0"/>
      </w:tblPr>
      <w:tblGrid>
        <w:gridCol w:w="9355"/>
      </w:tblGrid>
      <w:tr w:rsidR="0030517B" w:rsidRPr="00CA099F" w:rsidTr="00E1448E">
        <w:tc>
          <w:tcPr>
            <w:tcW w:w="9356" w:type="dxa"/>
          </w:tcPr>
          <w:p w:rsidR="0030517B" w:rsidRPr="00CA099F" w:rsidRDefault="0030517B" w:rsidP="00E1448E">
            <w:pPr>
              <w:spacing w:after="0" w:line="360" w:lineRule="auto"/>
              <w:ind w:firstLine="709"/>
              <w:jc w:val="both"/>
              <w:rPr>
                <w:rFonts w:eastAsia="Calibri" w:cs="Times New Roman"/>
                <w:szCs w:val="28"/>
              </w:rPr>
            </w:pPr>
            <w:r w:rsidRPr="00CA099F">
              <w:rPr>
                <w:rFonts w:eastAsia="Calibri" w:cs="Times New Roman"/>
                <w:noProof/>
                <w:sz w:val="28"/>
                <w:szCs w:val="28"/>
                <w:lang w:val="ru-RU" w:eastAsia="ru-RU"/>
              </w:rPr>
              <w:drawing>
                <wp:inline distT="0" distB="0" distL="0" distR="0" wp14:anchorId="1C217436" wp14:editId="4A73FA2F">
                  <wp:extent cx="5391150" cy="3743325"/>
                  <wp:effectExtent l="0" t="0" r="0" b="9525"/>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391150" cy="3743325"/>
                          </a:xfrm>
                          <a:prstGeom prst="rect">
                            <a:avLst/>
                          </a:prstGeom>
                          <a:noFill/>
                          <a:ln>
                            <a:noFill/>
                          </a:ln>
                        </pic:spPr>
                      </pic:pic>
                    </a:graphicData>
                  </a:graphic>
                </wp:inline>
              </w:drawing>
            </w:r>
          </w:p>
        </w:tc>
      </w:tr>
      <w:tr w:rsidR="0030517B" w:rsidRPr="00CA099F" w:rsidTr="00E1448E">
        <w:tc>
          <w:tcPr>
            <w:tcW w:w="9356" w:type="dxa"/>
          </w:tcPr>
          <w:p w:rsidR="0030517B" w:rsidRPr="00CA099F" w:rsidRDefault="0030517B" w:rsidP="00E1448E">
            <w:pPr>
              <w:spacing w:after="0" w:line="360" w:lineRule="auto"/>
              <w:jc w:val="both"/>
              <w:rPr>
                <w:rFonts w:eastAsia="Calibri" w:cs="Times New Roman"/>
                <w:szCs w:val="28"/>
              </w:rPr>
            </w:pPr>
            <w:r w:rsidRPr="00CA099F">
              <w:rPr>
                <w:rFonts w:eastAsia="Calibri" w:cs="Times New Roman"/>
                <w:sz w:val="28"/>
                <w:szCs w:val="28"/>
              </w:rPr>
              <w:t xml:space="preserve">          Рис. 4.1. Епітеліальний покрив рубця, що формується, через 3 місяці після оперативного втручання. Контрольна група. Забарвлення гематоксилін-еозином. Об. 40х., ок. 10х. 1 – базальний шар епітелію; 2 – шипуватий шар епітелію; 3 – епітеліальний комплекс, занурений в рубець, що формується;  4 – сполучна тканина рубця. </w:t>
            </w:r>
          </w:p>
        </w:tc>
      </w:tr>
      <w:tr w:rsidR="0030517B" w:rsidRPr="00CA099F" w:rsidTr="00E1448E">
        <w:tc>
          <w:tcPr>
            <w:tcW w:w="9356" w:type="dxa"/>
          </w:tcPr>
          <w:p w:rsidR="0030517B" w:rsidRPr="00CA099F" w:rsidRDefault="0030517B" w:rsidP="00E1448E">
            <w:pPr>
              <w:spacing w:after="0" w:line="360" w:lineRule="auto"/>
              <w:jc w:val="both"/>
              <w:rPr>
                <w:rFonts w:eastAsia="Calibri" w:cs="Times New Roman"/>
                <w:szCs w:val="28"/>
              </w:rPr>
            </w:pPr>
          </w:p>
        </w:tc>
      </w:tr>
    </w:tbl>
    <w:p w:rsidR="0030517B" w:rsidRPr="00CA099F" w:rsidRDefault="0030517B" w:rsidP="0030517B">
      <w:pPr>
        <w:spacing w:after="0" w:line="360" w:lineRule="auto"/>
        <w:ind w:firstLine="708"/>
        <w:jc w:val="both"/>
        <w:rPr>
          <w:rFonts w:eastAsia="Calibri" w:cs="Times New Roman"/>
          <w:sz w:val="28"/>
          <w:szCs w:val="28"/>
        </w:rPr>
      </w:pPr>
      <w:r w:rsidRPr="00CA099F">
        <w:rPr>
          <w:rFonts w:eastAsia="Calibri" w:cs="Times New Roman"/>
          <w:sz w:val="28"/>
          <w:szCs w:val="28"/>
        </w:rPr>
        <w:t xml:space="preserve">Поява описаних комплексів може побічно свідчити про деяку затримку репаративного процесу в післяопераційній рані, яке мало місце в </w:t>
      </w:r>
      <w:r w:rsidR="00EF4C56">
        <w:rPr>
          <w:rFonts w:eastAsia="Calibri" w:cs="Times New Roman"/>
          <w:sz w:val="28"/>
          <w:szCs w:val="28"/>
        </w:rPr>
        <w:t>поодиноких</w:t>
      </w:r>
      <w:r w:rsidRPr="00CA099F">
        <w:rPr>
          <w:rFonts w:eastAsia="Calibri" w:cs="Times New Roman"/>
          <w:sz w:val="28"/>
          <w:szCs w:val="28"/>
        </w:rPr>
        <w:t xml:space="preserve"> випадках. Причиною цієї обставини, можливо, слід вважати індивідуальні </w:t>
      </w:r>
      <w:r w:rsidRPr="00CA099F">
        <w:rPr>
          <w:rFonts w:eastAsia="Calibri" w:cs="Times New Roman"/>
          <w:sz w:val="28"/>
          <w:szCs w:val="28"/>
        </w:rPr>
        <w:lastRenderedPageBreak/>
        <w:t>особливості окремих пацієнтів, що обумовлюють інтенсивність репаративних процесів в організмі.</w:t>
      </w:r>
    </w:p>
    <w:p w:rsidR="0030517B" w:rsidRPr="00CA099F" w:rsidRDefault="0030517B" w:rsidP="0030517B">
      <w:pPr>
        <w:spacing w:after="0" w:line="360" w:lineRule="auto"/>
        <w:ind w:firstLine="709"/>
        <w:jc w:val="both"/>
        <w:rPr>
          <w:rFonts w:eastAsia="Calibri" w:cs="Times New Roman"/>
          <w:sz w:val="28"/>
          <w:szCs w:val="28"/>
        </w:rPr>
      </w:pPr>
      <w:r w:rsidRPr="00CA099F">
        <w:rPr>
          <w:rFonts w:eastAsia="Calibri" w:cs="Times New Roman"/>
          <w:sz w:val="28"/>
          <w:szCs w:val="28"/>
        </w:rPr>
        <w:t>Межа між описаним вище покривним епітелієм і підлеглим сполучнотканинним рубцем</w:t>
      </w:r>
      <w:r w:rsidR="0042749C">
        <w:rPr>
          <w:rFonts w:eastAsia="Calibri" w:cs="Times New Roman"/>
          <w:sz w:val="28"/>
          <w:szCs w:val="28"/>
        </w:rPr>
        <w:t>,</w:t>
      </w:r>
      <w:r w:rsidRPr="00CA099F">
        <w:rPr>
          <w:rFonts w:eastAsia="Calibri" w:cs="Times New Roman"/>
          <w:sz w:val="28"/>
          <w:szCs w:val="28"/>
        </w:rPr>
        <w:t xml:space="preserve"> що формується</w:t>
      </w:r>
      <w:r w:rsidR="0042749C">
        <w:rPr>
          <w:rFonts w:eastAsia="Calibri" w:cs="Times New Roman"/>
          <w:sz w:val="28"/>
          <w:szCs w:val="28"/>
        </w:rPr>
        <w:t>,</w:t>
      </w:r>
      <w:r w:rsidRPr="00CA099F">
        <w:rPr>
          <w:rFonts w:eastAsia="Calibri" w:cs="Times New Roman"/>
          <w:sz w:val="28"/>
          <w:szCs w:val="28"/>
        </w:rPr>
        <w:t xml:space="preserve"> в усіх випадках мала звивистий характер, обумовлений чергуванням сполучнотканинних сосочків, що проникають до епітеліального пласта, і розташованими між ними пластами багатошарового плоского епітелію. У переважній більшості спостереження сосочки мали загальний план будови, типовий для такого інтактного епідермісу, проте помітно відрізнялися один від одного за метричними характеристиками, в першу чергу по висоті. </w:t>
      </w:r>
    </w:p>
    <w:p w:rsidR="0030517B" w:rsidRPr="00CA099F" w:rsidRDefault="0030517B" w:rsidP="0030517B">
      <w:pPr>
        <w:spacing w:after="0" w:line="360" w:lineRule="auto"/>
        <w:ind w:firstLine="709"/>
        <w:jc w:val="both"/>
        <w:rPr>
          <w:rFonts w:eastAsia="Calibri" w:cs="Times New Roman"/>
          <w:sz w:val="28"/>
          <w:szCs w:val="28"/>
        </w:rPr>
      </w:pPr>
      <w:r w:rsidRPr="00CA099F">
        <w:rPr>
          <w:rFonts w:eastAsia="Calibri" w:cs="Times New Roman"/>
          <w:sz w:val="28"/>
          <w:szCs w:val="28"/>
        </w:rPr>
        <w:t>Так</w:t>
      </w:r>
      <w:r w:rsidR="0042749C">
        <w:rPr>
          <w:rFonts w:eastAsia="Calibri" w:cs="Times New Roman"/>
          <w:sz w:val="28"/>
          <w:szCs w:val="28"/>
        </w:rPr>
        <w:t>,</w:t>
      </w:r>
      <w:r w:rsidRPr="00CA099F">
        <w:rPr>
          <w:rFonts w:eastAsia="Calibri" w:cs="Times New Roman"/>
          <w:sz w:val="28"/>
          <w:szCs w:val="28"/>
        </w:rPr>
        <w:t xml:space="preserve"> найчастіше нам зустрічалися сп</w:t>
      </w:r>
      <w:r w:rsidR="0042749C">
        <w:rPr>
          <w:rFonts w:eastAsia="Calibri" w:cs="Times New Roman"/>
          <w:sz w:val="28"/>
          <w:szCs w:val="28"/>
        </w:rPr>
        <w:t>лощені сосочки, що характеризувалис</w:t>
      </w:r>
      <w:r w:rsidRPr="00CA099F">
        <w:rPr>
          <w:rFonts w:eastAsia="Calibri" w:cs="Times New Roman"/>
          <w:sz w:val="28"/>
          <w:szCs w:val="28"/>
        </w:rPr>
        <w:t>я відносно невеликою висотою. Останні розташовувалися переважно, в проекції центральної зони рубця, що формується, і відрізнялися варіабельною формою і розмірами. У них досить часто виявлялися дрібні вогнища кліт</w:t>
      </w:r>
      <w:r w:rsidR="00922F57">
        <w:rPr>
          <w:rFonts w:eastAsia="Calibri" w:cs="Times New Roman"/>
          <w:sz w:val="28"/>
          <w:szCs w:val="28"/>
        </w:rPr>
        <w:t>инної інфільтрації, що складали</w:t>
      </w:r>
      <w:r w:rsidRPr="00CA099F">
        <w:rPr>
          <w:rFonts w:eastAsia="Calibri" w:cs="Times New Roman"/>
          <w:sz w:val="28"/>
          <w:szCs w:val="28"/>
        </w:rPr>
        <w:t xml:space="preserve">ся переважно з лімфоцитів і плазматичних клітин.  </w:t>
      </w:r>
    </w:p>
    <w:p w:rsidR="0030517B" w:rsidRPr="00CA099F" w:rsidRDefault="0030517B" w:rsidP="0030517B">
      <w:pPr>
        <w:spacing w:after="0" w:line="360" w:lineRule="auto"/>
        <w:ind w:firstLine="709"/>
        <w:jc w:val="both"/>
        <w:rPr>
          <w:rFonts w:eastAsia="Calibri" w:cs="Times New Roman"/>
          <w:sz w:val="28"/>
          <w:szCs w:val="28"/>
        </w:rPr>
      </w:pPr>
      <w:r w:rsidRPr="00CA099F">
        <w:rPr>
          <w:rFonts w:eastAsia="Calibri" w:cs="Times New Roman"/>
          <w:sz w:val="28"/>
          <w:szCs w:val="28"/>
        </w:rPr>
        <w:t xml:space="preserve">Над периферичними відділами рубця, що формується, в </w:t>
      </w:r>
      <w:r w:rsidR="00922F57">
        <w:rPr>
          <w:rFonts w:eastAsia="Calibri" w:cs="Times New Roman"/>
          <w:sz w:val="28"/>
          <w:szCs w:val="28"/>
        </w:rPr>
        <w:t>ділянці</w:t>
      </w:r>
      <w:r w:rsidRPr="00CA099F">
        <w:rPr>
          <w:rFonts w:eastAsia="Calibri" w:cs="Times New Roman"/>
          <w:sz w:val="28"/>
          <w:szCs w:val="28"/>
        </w:rPr>
        <w:t xml:space="preserve"> межі з незміненою дермою, сполучнотканинні сосочки мали більшу висоту, порівняну з такою в незміненій дермі і помітно не відрізнялися один від одного за формою і метричним показником. </w:t>
      </w:r>
      <w:r w:rsidR="00922F57">
        <w:rPr>
          <w:rFonts w:eastAsia="Calibri" w:cs="Times New Roman"/>
          <w:sz w:val="28"/>
          <w:szCs w:val="28"/>
        </w:rPr>
        <w:t>В</w:t>
      </w:r>
      <w:r w:rsidRPr="00CA099F">
        <w:rPr>
          <w:rFonts w:eastAsia="Calibri" w:cs="Times New Roman"/>
          <w:sz w:val="28"/>
          <w:szCs w:val="28"/>
        </w:rPr>
        <w:t xml:space="preserve"> описаній зоні лімфоплазмоцитарні інфільтрати виявлялися значно рідше. У той же час, періодично по краю рубця виявлялися ділянки, в яких спостерігалося як стоншування епідермісу</w:t>
      </w:r>
      <w:r w:rsidR="00922F57">
        <w:rPr>
          <w:rFonts w:eastAsia="Calibri" w:cs="Times New Roman"/>
          <w:sz w:val="28"/>
          <w:szCs w:val="28"/>
        </w:rPr>
        <w:t>,</w:t>
      </w:r>
      <w:r w:rsidRPr="00CA099F">
        <w:rPr>
          <w:rFonts w:eastAsia="Calibri" w:cs="Times New Roman"/>
          <w:sz w:val="28"/>
          <w:szCs w:val="28"/>
        </w:rPr>
        <w:t xml:space="preserve"> так і зменшення висоти сосочків.</w:t>
      </w:r>
    </w:p>
    <w:p w:rsidR="0030517B" w:rsidRPr="00CA099F" w:rsidRDefault="0030517B" w:rsidP="0030517B">
      <w:pPr>
        <w:spacing w:after="0" w:line="360" w:lineRule="auto"/>
        <w:ind w:firstLine="709"/>
        <w:jc w:val="both"/>
        <w:rPr>
          <w:rFonts w:eastAsia="Calibri" w:cs="Times New Roman"/>
          <w:sz w:val="28"/>
          <w:szCs w:val="28"/>
        </w:rPr>
      </w:pPr>
      <w:r w:rsidRPr="00CA099F">
        <w:rPr>
          <w:rFonts w:eastAsia="Calibri" w:cs="Times New Roman"/>
          <w:sz w:val="28"/>
          <w:szCs w:val="28"/>
        </w:rPr>
        <w:t>Зрідка, в поверхневих шарах покривного епіт</w:t>
      </w:r>
      <w:r w:rsidR="00922F57">
        <w:rPr>
          <w:rFonts w:eastAsia="Calibri" w:cs="Times New Roman"/>
          <w:sz w:val="28"/>
          <w:szCs w:val="28"/>
        </w:rPr>
        <w:t>елію нам зустрічалися кістоподібні</w:t>
      </w:r>
      <w:r w:rsidRPr="00CA099F">
        <w:rPr>
          <w:rFonts w:eastAsia="Calibri" w:cs="Times New Roman"/>
          <w:sz w:val="28"/>
          <w:szCs w:val="28"/>
        </w:rPr>
        <w:t xml:space="preserve"> утворення, заповнені роговими масами (рис. 4.2). </w:t>
      </w:r>
    </w:p>
    <w:p w:rsidR="0030517B" w:rsidRPr="00CA099F" w:rsidRDefault="0030517B" w:rsidP="0030517B">
      <w:pPr>
        <w:spacing w:after="0" w:line="360" w:lineRule="auto"/>
        <w:ind w:firstLine="709"/>
        <w:jc w:val="both"/>
        <w:rPr>
          <w:rFonts w:eastAsia="Calibri" w:cs="Times New Roman"/>
          <w:sz w:val="28"/>
          <w:szCs w:val="28"/>
        </w:rPr>
      </w:pPr>
      <w:r w:rsidRPr="00CA099F">
        <w:rPr>
          <w:rFonts w:eastAsia="Calibri" w:cs="Times New Roman"/>
          <w:noProof/>
          <w:sz w:val="28"/>
          <w:szCs w:val="28"/>
          <w:lang w:val="ru-RU" w:eastAsia="ru-RU"/>
        </w:rPr>
        <w:lastRenderedPageBreak/>
        <w:drawing>
          <wp:inline distT="0" distB="0" distL="0" distR="0" wp14:anchorId="5E51AA40" wp14:editId="7DFD3688">
            <wp:extent cx="5400675" cy="3752850"/>
            <wp:effectExtent l="0" t="0" r="9525"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400675" cy="3752850"/>
                    </a:xfrm>
                    <a:prstGeom prst="rect">
                      <a:avLst/>
                    </a:prstGeom>
                    <a:noFill/>
                    <a:ln>
                      <a:noFill/>
                    </a:ln>
                  </pic:spPr>
                </pic:pic>
              </a:graphicData>
            </a:graphic>
          </wp:inline>
        </w:drawing>
      </w:r>
    </w:p>
    <w:p w:rsidR="0030517B" w:rsidRPr="00CA099F" w:rsidRDefault="0030517B" w:rsidP="0030517B">
      <w:pPr>
        <w:spacing w:after="0" w:line="360" w:lineRule="auto"/>
        <w:ind w:firstLine="708"/>
        <w:jc w:val="both"/>
        <w:rPr>
          <w:rFonts w:eastAsia="Calibri" w:cs="Times New Roman"/>
          <w:sz w:val="28"/>
          <w:szCs w:val="28"/>
        </w:rPr>
      </w:pPr>
      <w:r w:rsidRPr="00CA099F">
        <w:rPr>
          <w:rFonts w:eastAsia="Calibri" w:cs="Times New Roman"/>
          <w:sz w:val="28"/>
          <w:szCs w:val="28"/>
        </w:rPr>
        <w:t>Рис. 4.2. Епітеліальний покрив рубця, що формується, через 3 місяці після оперативного втручання. Контрольна група. Забарвлення гематоксилін-еозином. Об. 40х., ок. 10х. 1 – кістоподібні утворення, заповнені роговими масами; 2 – покривний епітелій; 3 – сполучна тканина рубця.</w:t>
      </w:r>
    </w:p>
    <w:p w:rsidR="0030517B" w:rsidRPr="00CA099F" w:rsidRDefault="0030517B" w:rsidP="0030517B">
      <w:pPr>
        <w:spacing w:after="0" w:line="360" w:lineRule="auto"/>
        <w:ind w:firstLine="708"/>
        <w:jc w:val="both"/>
        <w:rPr>
          <w:rFonts w:eastAsia="Calibri" w:cs="Times New Roman"/>
          <w:sz w:val="28"/>
          <w:szCs w:val="28"/>
        </w:rPr>
      </w:pPr>
    </w:p>
    <w:p w:rsidR="0030517B" w:rsidRPr="00CA099F" w:rsidRDefault="0030517B" w:rsidP="0030517B">
      <w:pPr>
        <w:spacing w:after="0" w:line="360" w:lineRule="auto"/>
        <w:ind w:firstLine="708"/>
        <w:jc w:val="both"/>
        <w:rPr>
          <w:rFonts w:eastAsia="Calibri" w:cs="Times New Roman"/>
          <w:sz w:val="28"/>
          <w:szCs w:val="28"/>
        </w:rPr>
      </w:pPr>
      <w:r w:rsidRPr="00CA099F">
        <w:rPr>
          <w:rFonts w:eastAsia="Calibri" w:cs="Times New Roman"/>
          <w:sz w:val="28"/>
          <w:szCs w:val="28"/>
        </w:rPr>
        <w:t xml:space="preserve">Окрім описаних вище утворень, що дуже нагадують епідермоїдні </w:t>
      </w:r>
      <w:r w:rsidR="00D13B7F">
        <w:rPr>
          <w:rFonts w:eastAsia="Calibri" w:cs="Times New Roman"/>
          <w:sz w:val="28"/>
          <w:szCs w:val="28"/>
        </w:rPr>
        <w:t>кісти, в поодиноких</w:t>
      </w:r>
      <w:r w:rsidRPr="00CA099F">
        <w:rPr>
          <w:rFonts w:eastAsia="Calibri" w:cs="Times New Roman"/>
          <w:sz w:val="28"/>
          <w:szCs w:val="28"/>
        </w:rPr>
        <w:t xml:space="preserve"> спостереженнях над центральними зонами рубця, що формується, в розташованих між сполучнотканинними сосочками епітеліальних пластів виявлялися концентричні структури, утворені епітеліальними клітинами,</w:t>
      </w:r>
      <w:r w:rsidR="00D13B7F">
        <w:rPr>
          <w:rFonts w:eastAsia="Calibri" w:cs="Times New Roman"/>
          <w:sz w:val="28"/>
          <w:szCs w:val="28"/>
        </w:rPr>
        <w:t xml:space="preserve"> які</w:t>
      </w:r>
      <w:r w:rsidRPr="00CA099F">
        <w:rPr>
          <w:rFonts w:eastAsia="Calibri" w:cs="Times New Roman"/>
          <w:sz w:val="28"/>
          <w:szCs w:val="28"/>
        </w:rPr>
        <w:t xml:space="preserve"> за морфологічними властивостями</w:t>
      </w:r>
      <w:r w:rsidR="00D13B7F">
        <w:rPr>
          <w:rFonts w:eastAsia="Calibri" w:cs="Times New Roman"/>
          <w:sz w:val="28"/>
          <w:szCs w:val="28"/>
        </w:rPr>
        <w:t xml:space="preserve"> </w:t>
      </w:r>
      <w:r w:rsidRPr="00CA099F">
        <w:rPr>
          <w:rFonts w:eastAsia="Calibri" w:cs="Times New Roman"/>
          <w:sz w:val="28"/>
          <w:szCs w:val="28"/>
        </w:rPr>
        <w:t>нагадують епітеліоцити зернистого шару, в центрі яких зрідка виявлялися рогові маси. Ці структури дуже нагадують «ракові перлини», що виявляються, при деяких шкірних захворюваннях пухлинної і запальної природи і є проявами рогової дистрофії, свідчать про порушення процесу кератинізації в епітеліальному пласті.</w:t>
      </w:r>
    </w:p>
    <w:p w:rsidR="0030517B" w:rsidRPr="00CA099F" w:rsidRDefault="0030517B" w:rsidP="0030517B">
      <w:pPr>
        <w:spacing w:after="0" w:line="360" w:lineRule="auto"/>
        <w:ind w:firstLine="709"/>
        <w:jc w:val="both"/>
        <w:rPr>
          <w:rFonts w:eastAsia="Calibri" w:cs="Times New Roman"/>
          <w:sz w:val="28"/>
          <w:szCs w:val="28"/>
        </w:rPr>
      </w:pPr>
      <w:r w:rsidRPr="00CA099F">
        <w:rPr>
          <w:rFonts w:eastAsia="Calibri" w:cs="Times New Roman"/>
          <w:sz w:val="28"/>
          <w:szCs w:val="28"/>
        </w:rPr>
        <w:t xml:space="preserve">Іноді структури подібні до описаних вище, містили дрібні порожнини, заповнені масами кератогіаліну. Перераховані розлади процесу епітелізації </w:t>
      </w:r>
      <w:r w:rsidRPr="00CA099F">
        <w:rPr>
          <w:rFonts w:eastAsia="Calibri" w:cs="Times New Roman"/>
          <w:sz w:val="28"/>
          <w:szCs w:val="28"/>
        </w:rPr>
        <w:lastRenderedPageBreak/>
        <w:t>післяопераційного рубця, мабуть, пов'язані з індивідуальними особливостями, про що вже було сказано вище.</w:t>
      </w:r>
    </w:p>
    <w:p w:rsidR="0030517B" w:rsidRPr="00CA099F" w:rsidRDefault="0030517B" w:rsidP="0030517B">
      <w:pPr>
        <w:spacing w:after="0" w:line="360" w:lineRule="auto"/>
        <w:ind w:firstLine="709"/>
        <w:jc w:val="both"/>
        <w:rPr>
          <w:rFonts w:eastAsia="Calibri" w:cs="Times New Roman"/>
          <w:sz w:val="28"/>
          <w:szCs w:val="28"/>
        </w:rPr>
      </w:pPr>
      <w:r w:rsidRPr="00CA099F">
        <w:rPr>
          <w:rFonts w:eastAsia="Calibri" w:cs="Times New Roman"/>
          <w:sz w:val="28"/>
          <w:szCs w:val="28"/>
        </w:rPr>
        <w:t>Сполучнотканинний рубець, що формується, розташований під описаним вище епітелієм, містив помірну кількість клітинних елементів і фібриляр</w:t>
      </w:r>
      <w:r w:rsidR="00C96113">
        <w:rPr>
          <w:rFonts w:eastAsia="Calibri" w:cs="Times New Roman"/>
          <w:sz w:val="28"/>
          <w:szCs w:val="28"/>
        </w:rPr>
        <w:t>них структур, що виразно виявляли</w:t>
      </w:r>
      <w:r w:rsidRPr="00CA099F">
        <w:rPr>
          <w:rFonts w:eastAsia="Calibri" w:cs="Times New Roman"/>
          <w:sz w:val="28"/>
          <w:szCs w:val="28"/>
        </w:rPr>
        <w:t>ся при забарвленні пікрофуксином. Проведені морфометричні дослідження свідчать, що питома вага розташування клітин в рубці, що формується, складала в середньому 350±27 в 10000 мкм</w:t>
      </w:r>
      <w:r w:rsidRPr="00CA099F">
        <w:rPr>
          <w:rFonts w:eastAsia="Calibri" w:cs="Times New Roman"/>
          <w:sz w:val="28"/>
          <w:szCs w:val="28"/>
          <w:vertAlign w:val="superscript"/>
        </w:rPr>
        <w:t>2</w:t>
      </w:r>
      <w:r w:rsidRPr="00CA099F">
        <w:rPr>
          <w:rFonts w:eastAsia="Calibri" w:cs="Times New Roman"/>
          <w:sz w:val="28"/>
          <w:szCs w:val="28"/>
        </w:rPr>
        <w:t>.</w:t>
      </w:r>
    </w:p>
    <w:p w:rsidR="0030517B" w:rsidRPr="00CA099F" w:rsidRDefault="0030517B" w:rsidP="0030517B">
      <w:pPr>
        <w:spacing w:after="0" w:line="360" w:lineRule="auto"/>
        <w:ind w:firstLine="709"/>
        <w:jc w:val="both"/>
        <w:rPr>
          <w:rFonts w:eastAsia="Calibri" w:cs="Times New Roman"/>
          <w:sz w:val="28"/>
          <w:szCs w:val="28"/>
        </w:rPr>
      </w:pPr>
      <w:r w:rsidRPr="00CA099F">
        <w:rPr>
          <w:rFonts w:eastAsia="Calibri" w:cs="Times New Roman"/>
          <w:sz w:val="28"/>
          <w:szCs w:val="28"/>
        </w:rPr>
        <w:t>Як вже було сказано вище, серед клітинних елементів фіброблас</w:t>
      </w:r>
      <w:r w:rsidR="00C96113">
        <w:rPr>
          <w:rFonts w:eastAsia="Calibri" w:cs="Times New Roman"/>
          <w:sz w:val="28"/>
          <w:szCs w:val="28"/>
        </w:rPr>
        <w:t>тичного ряду виявлялися як мало</w:t>
      </w:r>
      <w:r w:rsidRPr="00CA099F">
        <w:rPr>
          <w:rFonts w:eastAsia="Calibri" w:cs="Times New Roman"/>
          <w:sz w:val="28"/>
          <w:szCs w:val="28"/>
        </w:rPr>
        <w:t>спеціалізовані (юні) фібробласти</w:t>
      </w:r>
      <w:r w:rsidR="00C96113">
        <w:rPr>
          <w:rFonts w:eastAsia="Calibri" w:cs="Times New Roman"/>
          <w:sz w:val="28"/>
          <w:szCs w:val="28"/>
        </w:rPr>
        <w:t>,</w:t>
      </w:r>
      <w:r w:rsidRPr="00CA099F">
        <w:rPr>
          <w:rFonts w:eastAsia="Calibri" w:cs="Times New Roman"/>
          <w:sz w:val="28"/>
          <w:szCs w:val="28"/>
        </w:rPr>
        <w:t xml:space="preserve"> так і зрілі, диференційовані форми. Останні зустрічалися значно частіше і характеризувалися витягнутою, веретеноподібною формою, базофільною</w:t>
      </w:r>
      <w:r w:rsidR="00C96113">
        <w:rPr>
          <w:rFonts w:eastAsia="Calibri" w:cs="Times New Roman"/>
          <w:sz w:val="28"/>
          <w:szCs w:val="28"/>
        </w:rPr>
        <w:t xml:space="preserve"> цитоплазмою, в якій розташовувало</w:t>
      </w:r>
      <w:r w:rsidRPr="00CA099F">
        <w:rPr>
          <w:rFonts w:eastAsia="Calibri" w:cs="Times New Roman"/>
          <w:sz w:val="28"/>
          <w:szCs w:val="28"/>
        </w:rPr>
        <w:t>ся світле, овальної форми ядро з 1-2 ядерцями. Малоспеціалізовані фібробласти</w:t>
      </w:r>
      <w:r w:rsidR="009612E7">
        <w:rPr>
          <w:rFonts w:eastAsia="Calibri" w:cs="Times New Roman"/>
          <w:sz w:val="28"/>
          <w:szCs w:val="28"/>
        </w:rPr>
        <w:t>, які</w:t>
      </w:r>
      <w:r w:rsidRPr="00CA099F">
        <w:rPr>
          <w:rFonts w:eastAsia="Calibri" w:cs="Times New Roman"/>
          <w:sz w:val="28"/>
          <w:szCs w:val="28"/>
        </w:rPr>
        <w:t xml:space="preserve"> зустрічалися нам в невеликій кількості переважно в апікальних відділах рубця, що формується, і, у ряді випадків, у безпосередній близькості від кровоносних мікросудин, були представлені досить поліморфною клітинною популяцією, що </w:t>
      </w:r>
      <w:r w:rsidR="009612E7">
        <w:rPr>
          <w:rFonts w:eastAsia="Calibri" w:cs="Times New Roman"/>
          <w:sz w:val="28"/>
          <w:szCs w:val="28"/>
        </w:rPr>
        <w:t>вочевидь</w:t>
      </w:r>
      <w:r w:rsidRPr="00CA099F">
        <w:rPr>
          <w:rFonts w:eastAsia="Calibri" w:cs="Times New Roman"/>
          <w:sz w:val="28"/>
          <w:szCs w:val="28"/>
        </w:rPr>
        <w:t>, відбивало різні етапи розвитку і диференціювання цих клітинних елементів. Так</w:t>
      </w:r>
      <w:r w:rsidR="009612E7">
        <w:rPr>
          <w:rFonts w:eastAsia="Calibri" w:cs="Times New Roman"/>
          <w:sz w:val="28"/>
          <w:szCs w:val="28"/>
        </w:rPr>
        <w:t>,</w:t>
      </w:r>
      <w:r w:rsidRPr="00CA099F">
        <w:rPr>
          <w:rFonts w:eastAsia="Calibri" w:cs="Times New Roman"/>
          <w:sz w:val="28"/>
          <w:szCs w:val="28"/>
        </w:rPr>
        <w:t xml:space="preserve"> досить часто нам зустрічалися відносно невеликі клітини округлої форми, ядро в яких займало велику частину цитоплазми. У той же час, виявлялися клітинні елементи великих розмірів, переважно овальної форми, в цитоплазмі яких також розташов</w:t>
      </w:r>
      <w:r w:rsidR="009612E7">
        <w:rPr>
          <w:rFonts w:eastAsia="Calibri" w:cs="Times New Roman"/>
          <w:sz w:val="28"/>
          <w:szCs w:val="28"/>
        </w:rPr>
        <w:t>увалися округлі ядра, що займали</w:t>
      </w:r>
      <w:r w:rsidRPr="00CA099F">
        <w:rPr>
          <w:rFonts w:eastAsia="Calibri" w:cs="Times New Roman"/>
          <w:sz w:val="28"/>
          <w:szCs w:val="28"/>
        </w:rPr>
        <w:t xml:space="preserve"> набагато менший об'єм внутрішньоклітинного простору. </w:t>
      </w:r>
    </w:p>
    <w:p w:rsidR="0030517B" w:rsidRPr="00CA099F" w:rsidRDefault="0030517B" w:rsidP="0030517B">
      <w:pPr>
        <w:spacing w:after="0" w:line="360" w:lineRule="auto"/>
        <w:ind w:firstLine="709"/>
        <w:jc w:val="both"/>
        <w:rPr>
          <w:rFonts w:eastAsia="Calibri" w:cs="Times New Roman"/>
          <w:sz w:val="28"/>
          <w:szCs w:val="28"/>
        </w:rPr>
      </w:pPr>
      <w:r w:rsidRPr="00CA099F">
        <w:rPr>
          <w:rFonts w:eastAsia="Calibri" w:cs="Times New Roman"/>
          <w:sz w:val="28"/>
          <w:szCs w:val="28"/>
        </w:rPr>
        <w:t>Серед клітинних елементів гематогенного походження нам пос</w:t>
      </w:r>
      <w:r w:rsidR="00597D48">
        <w:rPr>
          <w:rFonts w:eastAsia="Calibri" w:cs="Times New Roman"/>
          <w:sz w:val="28"/>
          <w:szCs w:val="28"/>
        </w:rPr>
        <w:t>тійно зустрічалися локалізовані</w:t>
      </w:r>
      <w:r w:rsidRPr="00CA099F">
        <w:rPr>
          <w:rFonts w:eastAsia="Calibri" w:cs="Times New Roman"/>
          <w:sz w:val="28"/>
          <w:szCs w:val="28"/>
        </w:rPr>
        <w:t xml:space="preserve"> переважно в апікальних відділах рубця, що формується, лімфоцити і плазматичні клітини, які в окремих випадках утворювали невеликі клітинні скупчення. Мастоцити візуалізувалися у безпосередній близькості від кровоносних судин, кількість їх у порівнянні з іншими клітинними елементами була невелика. Досить рідко в рубці, що </w:t>
      </w:r>
      <w:r w:rsidRPr="00CA099F">
        <w:rPr>
          <w:rFonts w:eastAsia="Calibri" w:cs="Times New Roman"/>
          <w:sz w:val="28"/>
          <w:szCs w:val="28"/>
        </w:rPr>
        <w:lastRenderedPageBreak/>
        <w:t>формується, виявлялися макрофаги, які практично в усіх випадках були представлені зрілими, диференційованими формами (рис. 4.3).</w:t>
      </w:r>
    </w:p>
    <w:p w:rsidR="0030517B" w:rsidRPr="00CA099F" w:rsidRDefault="0030517B" w:rsidP="0030517B">
      <w:pPr>
        <w:spacing w:after="0" w:line="360" w:lineRule="auto"/>
        <w:ind w:firstLine="709"/>
        <w:jc w:val="both"/>
        <w:rPr>
          <w:rFonts w:eastAsia="Calibri" w:cs="Times New Roman"/>
          <w:sz w:val="28"/>
          <w:szCs w:val="28"/>
        </w:rPr>
      </w:pPr>
      <w:r w:rsidRPr="00CA099F">
        <w:rPr>
          <w:rFonts w:eastAsia="Calibri" w:cs="Times New Roman"/>
          <w:sz w:val="28"/>
          <w:szCs w:val="28"/>
        </w:rPr>
        <w:t>Кровоносні судини в рубці, що формується, були відносно нечисленними, серед них вдавалося диференціювати усі сегменти сформованого кровоносного мікроциркуляторного русла. Найбільша щільність кровоносних мікросудин відмічалася в апікальних відділах рубця, що формується, за рахунок наявності відносно великої кількості тонкостінних мікросудин капілярного типу.</w:t>
      </w:r>
    </w:p>
    <w:p w:rsidR="0030517B" w:rsidRPr="00CA099F" w:rsidRDefault="0030517B" w:rsidP="0030517B">
      <w:pPr>
        <w:spacing w:after="0" w:line="360" w:lineRule="auto"/>
        <w:ind w:firstLine="709"/>
        <w:jc w:val="both"/>
        <w:rPr>
          <w:rFonts w:eastAsia="Calibri" w:cs="Times New Roman"/>
          <w:sz w:val="28"/>
          <w:szCs w:val="28"/>
        </w:rPr>
      </w:pPr>
    </w:p>
    <w:tbl>
      <w:tblPr>
        <w:tblW w:w="0" w:type="auto"/>
        <w:tblLook w:val="01E0" w:firstRow="1" w:lastRow="1" w:firstColumn="1" w:lastColumn="1" w:noHBand="0" w:noVBand="0"/>
      </w:tblPr>
      <w:tblGrid>
        <w:gridCol w:w="9355"/>
      </w:tblGrid>
      <w:tr w:rsidR="0030517B" w:rsidRPr="00CA099F" w:rsidTr="00E1448E">
        <w:tc>
          <w:tcPr>
            <w:tcW w:w="9571" w:type="dxa"/>
          </w:tcPr>
          <w:p w:rsidR="0030517B" w:rsidRPr="00CA099F" w:rsidRDefault="0030517B" w:rsidP="00E1448E">
            <w:pPr>
              <w:spacing w:after="0" w:line="360" w:lineRule="auto"/>
              <w:ind w:firstLine="709"/>
              <w:jc w:val="both"/>
              <w:rPr>
                <w:rFonts w:eastAsia="Calibri" w:cs="Times New Roman"/>
                <w:szCs w:val="28"/>
              </w:rPr>
            </w:pPr>
            <w:r w:rsidRPr="00CA099F">
              <w:rPr>
                <w:rFonts w:eastAsia="Calibri" w:cs="Times New Roman"/>
                <w:noProof/>
                <w:sz w:val="28"/>
                <w:szCs w:val="28"/>
                <w:lang w:val="ru-RU" w:eastAsia="ru-RU"/>
              </w:rPr>
              <w:drawing>
                <wp:inline distT="0" distB="0" distL="0" distR="0" wp14:anchorId="76220513" wp14:editId="1229ABE8">
                  <wp:extent cx="5400675" cy="3638550"/>
                  <wp:effectExtent l="0" t="0" r="9525" b="0"/>
                  <wp:docPr id="15" name="Рисунок 15" descr="Tv22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Tv22a"/>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400675" cy="3638550"/>
                          </a:xfrm>
                          <a:prstGeom prst="rect">
                            <a:avLst/>
                          </a:prstGeom>
                          <a:noFill/>
                          <a:ln>
                            <a:noFill/>
                          </a:ln>
                        </pic:spPr>
                      </pic:pic>
                    </a:graphicData>
                  </a:graphic>
                </wp:inline>
              </w:drawing>
            </w:r>
          </w:p>
        </w:tc>
      </w:tr>
      <w:tr w:rsidR="0030517B" w:rsidRPr="00CA099F" w:rsidTr="00E1448E">
        <w:tc>
          <w:tcPr>
            <w:tcW w:w="9571" w:type="dxa"/>
          </w:tcPr>
          <w:p w:rsidR="0030517B" w:rsidRPr="00CA099F" w:rsidRDefault="0030517B" w:rsidP="00E1448E">
            <w:pPr>
              <w:spacing w:after="0" w:line="360" w:lineRule="auto"/>
              <w:jc w:val="both"/>
              <w:rPr>
                <w:rFonts w:eastAsia="Calibri" w:cs="Times New Roman"/>
                <w:szCs w:val="28"/>
              </w:rPr>
            </w:pPr>
            <w:r w:rsidRPr="00CA099F">
              <w:rPr>
                <w:rFonts w:eastAsia="Calibri" w:cs="Times New Roman"/>
                <w:sz w:val="28"/>
                <w:szCs w:val="28"/>
              </w:rPr>
              <w:t xml:space="preserve">          Рис. 4.3. Сполучнотканинний рубець, що формується, через 3 місяці після оперативного втручання. Контрольна група. Забарвлення гематоксилін-еозином. Об. 40х., ок. 10х. 1 – лімфоцити; 2 – кровоносна мікросудина; 3 – мастоцити; 4 – фібробласти. </w:t>
            </w:r>
          </w:p>
        </w:tc>
      </w:tr>
    </w:tbl>
    <w:p w:rsidR="0030517B" w:rsidRPr="00CA099F" w:rsidRDefault="0030517B" w:rsidP="0030517B">
      <w:pPr>
        <w:spacing w:after="0" w:line="360" w:lineRule="auto"/>
        <w:ind w:firstLine="709"/>
        <w:jc w:val="both"/>
        <w:rPr>
          <w:rFonts w:eastAsia="Calibri" w:cs="Times New Roman"/>
          <w:sz w:val="28"/>
          <w:szCs w:val="28"/>
        </w:rPr>
      </w:pPr>
    </w:p>
    <w:p w:rsidR="0030517B" w:rsidRPr="00CA099F" w:rsidRDefault="00FA646B" w:rsidP="0030517B">
      <w:pPr>
        <w:spacing w:after="0" w:line="360" w:lineRule="auto"/>
        <w:ind w:firstLine="709"/>
        <w:jc w:val="both"/>
        <w:rPr>
          <w:rFonts w:eastAsia="Calibri" w:cs="Times New Roman"/>
          <w:sz w:val="28"/>
          <w:szCs w:val="28"/>
        </w:rPr>
      </w:pPr>
      <w:r>
        <w:rPr>
          <w:rFonts w:eastAsia="Calibri" w:cs="Times New Roman"/>
          <w:sz w:val="28"/>
          <w:szCs w:val="28"/>
        </w:rPr>
        <w:t>При проведенні іму</w:t>
      </w:r>
      <w:r w:rsidRPr="00CA099F">
        <w:rPr>
          <w:rFonts w:eastAsia="Calibri" w:cs="Times New Roman"/>
          <w:sz w:val="28"/>
          <w:szCs w:val="28"/>
        </w:rPr>
        <w:t>ногістохімічного дослідження з антитілами до універсального маркера проліферативної активності Кі - 67, у базальному шарі багатошарового плоского епітелію, приблизно в 30% клітинних елементів ми спостерігали інт</w:t>
      </w:r>
      <w:r>
        <w:rPr>
          <w:rFonts w:eastAsia="Calibri" w:cs="Times New Roman"/>
          <w:sz w:val="28"/>
          <w:szCs w:val="28"/>
        </w:rPr>
        <w:t>р</w:t>
      </w:r>
      <w:r w:rsidRPr="00CA099F">
        <w:rPr>
          <w:rFonts w:eastAsia="Calibri" w:cs="Times New Roman"/>
          <w:sz w:val="28"/>
          <w:szCs w:val="28"/>
        </w:rPr>
        <w:t xml:space="preserve">ануклеарну експресію цього маркера високої або середньої </w:t>
      </w:r>
      <w:r w:rsidRPr="00CA099F">
        <w:rPr>
          <w:rFonts w:eastAsia="Calibri" w:cs="Times New Roman"/>
          <w:sz w:val="28"/>
          <w:szCs w:val="28"/>
        </w:rPr>
        <w:lastRenderedPageBreak/>
        <w:t>інтенсивності. Також позитивна реакція до цих антитіл, але відносно рідше</w:t>
      </w:r>
      <w:r>
        <w:rPr>
          <w:rFonts w:eastAsia="Calibri" w:cs="Times New Roman"/>
          <w:sz w:val="28"/>
          <w:szCs w:val="28"/>
        </w:rPr>
        <w:t>,</w:t>
      </w:r>
      <w:r w:rsidRPr="00CA099F">
        <w:rPr>
          <w:rFonts w:eastAsia="Calibri" w:cs="Times New Roman"/>
          <w:sz w:val="28"/>
          <w:szCs w:val="28"/>
        </w:rPr>
        <w:t xml:space="preserve"> виявлялася в клітинних елементах фібробластичного ряду, переважно локалізованих в апікальних відділах рубця і структурах стінки дрібних кровоносних судин (як у ендотелії, так і в клітинних елементах зовнішньої оболонки). </w:t>
      </w:r>
      <w:r w:rsidR="0030517B" w:rsidRPr="00CA099F">
        <w:rPr>
          <w:rFonts w:eastAsia="Calibri" w:cs="Times New Roman"/>
          <w:sz w:val="28"/>
          <w:szCs w:val="28"/>
        </w:rPr>
        <w:t>У прилеглих до рубця, що формується, м'яких тканин</w:t>
      </w:r>
      <w:r w:rsidR="003C4020">
        <w:rPr>
          <w:rFonts w:eastAsia="Calibri" w:cs="Times New Roman"/>
          <w:sz w:val="28"/>
          <w:szCs w:val="28"/>
        </w:rPr>
        <w:t xml:space="preserve">ах і незміненій дермі, що </w:t>
      </w:r>
      <w:r w:rsidR="003C4020" w:rsidRPr="00CA099F">
        <w:rPr>
          <w:rFonts w:eastAsia="Calibri" w:cs="Times New Roman"/>
          <w:sz w:val="28"/>
          <w:szCs w:val="28"/>
        </w:rPr>
        <w:t>його</w:t>
      </w:r>
      <w:r w:rsidR="003C4020">
        <w:rPr>
          <w:rFonts w:eastAsia="Calibri" w:cs="Times New Roman"/>
          <w:sz w:val="28"/>
          <w:szCs w:val="28"/>
        </w:rPr>
        <w:t xml:space="preserve"> оточувала, в цій групі виявлялися не</w:t>
      </w:r>
      <w:r w:rsidR="0030517B" w:rsidRPr="00CA099F">
        <w:rPr>
          <w:rFonts w:eastAsia="Calibri" w:cs="Times New Roman"/>
          <w:sz w:val="28"/>
          <w:szCs w:val="28"/>
        </w:rPr>
        <w:t>численні дрібні клітинні інфільтрати, представлені переважно лімфоцитами і плазматичними клітинами, помірне повнокров’я венозних мікросудин, дрібні периваскулярні крововиливи.</w:t>
      </w:r>
    </w:p>
    <w:p w:rsidR="0030517B" w:rsidRPr="00CA099F" w:rsidRDefault="0030517B" w:rsidP="0030517B">
      <w:pPr>
        <w:spacing w:after="0" w:line="360" w:lineRule="auto"/>
        <w:ind w:firstLine="709"/>
        <w:jc w:val="both"/>
        <w:rPr>
          <w:rFonts w:eastAsia="Calibri" w:cs="Times New Roman"/>
          <w:sz w:val="28"/>
          <w:szCs w:val="28"/>
        </w:rPr>
      </w:pPr>
      <w:r w:rsidRPr="00CA099F">
        <w:rPr>
          <w:rFonts w:eastAsia="Calibri" w:cs="Times New Roman"/>
          <w:sz w:val="28"/>
          <w:szCs w:val="28"/>
        </w:rPr>
        <w:t>У пацієнтів 1 групи, яким був введений PRF-згусток, через 3 місяці макроскопічно область післяопераційного рубця не мала видимих відмінностей від контрольної групи.</w:t>
      </w:r>
    </w:p>
    <w:p w:rsidR="0030517B" w:rsidRPr="00CA099F" w:rsidRDefault="0030517B" w:rsidP="0030517B">
      <w:pPr>
        <w:spacing w:after="0" w:line="360" w:lineRule="auto"/>
        <w:ind w:firstLine="709"/>
        <w:jc w:val="both"/>
        <w:rPr>
          <w:rFonts w:eastAsia="Calibri" w:cs="Times New Roman"/>
          <w:sz w:val="28"/>
          <w:szCs w:val="28"/>
        </w:rPr>
      </w:pPr>
      <w:r w:rsidRPr="00CA099F">
        <w:rPr>
          <w:rFonts w:eastAsia="Calibri" w:cs="Times New Roman"/>
          <w:sz w:val="28"/>
          <w:szCs w:val="28"/>
        </w:rPr>
        <w:t xml:space="preserve">Мікроскопічне вивчення посіченого рубця при невеликих збільшеннях світлового мікроскопа дозволило виявити наявність пласта багатошарового плоского епітелію над усією поверхнею сполучнотканинного рубця, що формується. </w:t>
      </w:r>
      <w:r w:rsidR="003F7735">
        <w:rPr>
          <w:rFonts w:eastAsia="Calibri" w:cs="Times New Roman"/>
          <w:sz w:val="28"/>
          <w:szCs w:val="28"/>
        </w:rPr>
        <w:t>Майже</w:t>
      </w:r>
      <w:r w:rsidRPr="00CA099F">
        <w:rPr>
          <w:rFonts w:eastAsia="Calibri" w:cs="Times New Roman"/>
          <w:sz w:val="28"/>
          <w:szCs w:val="28"/>
        </w:rPr>
        <w:t xml:space="preserve"> в усіх спостереженнях товщина епітеліального покриву – 34 ± 5 мкм практично не відрізнялася від аналогічного показника в контрольній групі. Як і в контрольній групі, мало місце чітке розділення епітеліального пласта на чотири шари: базальний, шипуватий, зернистий і роговий.</w:t>
      </w:r>
    </w:p>
    <w:p w:rsidR="0030517B" w:rsidRPr="00CA099F" w:rsidRDefault="0030517B" w:rsidP="0030517B">
      <w:pPr>
        <w:spacing w:after="0" w:line="360" w:lineRule="auto"/>
        <w:ind w:firstLine="709"/>
        <w:jc w:val="both"/>
        <w:rPr>
          <w:rFonts w:eastAsia="Calibri" w:cs="Times New Roman"/>
          <w:sz w:val="28"/>
          <w:szCs w:val="28"/>
        </w:rPr>
      </w:pPr>
      <w:r w:rsidRPr="00CA099F">
        <w:rPr>
          <w:rFonts w:eastAsia="Calibri" w:cs="Times New Roman"/>
          <w:sz w:val="28"/>
          <w:szCs w:val="28"/>
        </w:rPr>
        <w:t>Слід зазначити, що випадки порушення процесу епітелізації в описуваній групі зустрічалися дещо рідше – 4 випадки затримки процесу, 6 спостережень над</w:t>
      </w:r>
      <w:r w:rsidR="003F7735">
        <w:rPr>
          <w:rFonts w:eastAsia="Calibri" w:cs="Times New Roman"/>
          <w:sz w:val="28"/>
          <w:szCs w:val="28"/>
        </w:rPr>
        <w:t>мірної проліферації, що проявляли</w:t>
      </w:r>
      <w:r w:rsidRPr="00CA099F">
        <w:rPr>
          <w:rFonts w:eastAsia="Calibri" w:cs="Times New Roman"/>
          <w:sz w:val="28"/>
          <w:szCs w:val="28"/>
        </w:rPr>
        <w:t>ся надмірним акантозом і кератинізацією.</w:t>
      </w:r>
    </w:p>
    <w:p w:rsidR="0030517B" w:rsidRPr="00CA099F" w:rsidRDefault="0030517B" w:rsidP="0030517B">
      <w:pPr>
        <w:spacing w:after="0" w:line="360" w:lineRule="auto"/>
        <w:ind w:firstLine="709"/>
        <w:jc w:val="both"/>
        <w:rPr>
          <w:rFonts w:eastAsia="Calibri" w:cs="Times New Roman"/>
          <w:sz w:val="28"/>
          <w:szCs w:val="28"/>
        </w:rPr>
      </w:pPr>
      <w:r w:rsidRPr="00CA099F">
        <w:rPr>
          <w:rFonts w:eastAsia="Calibri" w:cs="Times New Roman"/>
          <w:sz w:val="28"/>
          <w:szCs w:val="28"/>
        </w:rPr>
        <w:t xml:space="preserve">Окрім описаної вище типової картини епітелізації </w:t>
      </w:r>
      <w:r w:rsidRPr="00396FF0">
        <w:rPr>
          <w:rFonts w:eastAsia="Calibri" w:cs="Times New Roman"/>
          <w:sz w:val="28"/>
          <w:szCs w:val="28"/>
        </w:rPr>
        <w:t>післяопераційної рани</w:t>
      </w:r>
      <w:r w:rsidRPr="00CA099F">
        <w:rPr>
          <w:rFonts w:eastAsia="Calibri" w:cs="Times New Roman"/>
          <w:sz w:val="28"/>
          <w:szCs w:val="28"/>
        </w:rPr>
        <w:t xml:space="preserve"> через 3 місяці, зрідка ми спостерігали поруше</w:t>
      </w:r>
      <w:r w:rsidR="003F7735">
        <w:rPr>
          <w:rFonts w:eastAsia="Calibri" w:cs="Times New Roman"/>
          <w:sz w:val="28"/>
          <w:szCs w:val="28"/>
        </w:rPr>
        <w:t>ння цього процесу, що проявляло</w:t>
      </w:r>
      <w:r w:rsidRPr="00CA099F">
        <w:rPr>
          <w:rFonts w:eastAsia="Calibri" w:cs="Times New Roman"/>
          <w:sz w:val="28"/>
          <w:szCs w:val="28"/>
        </w:rPr>
        <w:t xml:space="preserve">ся як в недостатньому утворенні покривного епітелію (4 спостереження), так і в надмірній його проліферації з порушенням процесу кератинізації (6 спостережень). </w:t>
      </w:r>
    </w:p>
    <w:p w:rsidR="0030517B" w:rsidRPr="00CA099F" w:rsidRDefault="0030517B" w:rsidP="0030517B">
      <w:pPr>
        <w:spacing w:after="0" w:line="360" w:lineRule="auto"/>
        <w:ind w:firstLine="709"/>
        <w:jc w:val="both"/>
        <w:rPr>
          <w:rFonts w:eastAsia="Calibri" w:cs="Times New Roman"/>
          <w:sz w:val="28"/>
          <w:szCs w:val="28"/>
        </w:rPr>
      </w:pPr>
      <w:r w:rsidRPr="00CA099F">
        <w:rPr>
          <w:rFonts w:eastAsia="Calibri" w:cs="Times New Roman"/>
          <w:sz w:val="28"/>
          <w:szCs w:val="28"/>
        </w:rPr>
        <w:lastRenderedPageBreak/>
        <w:t>Межа між покривним епітелієм і сполучнотканинним рубцем, що формується, також в усіх випадках мала звивистий характер за рахунок чергування пластів епітелію і сполучнотканинних сосочків. Останні мали типовий план будови і в порівнянні з такими в контрольній групі мали менш варіабельні форму і розміри над усією площею рубця, що формується. Тим не менше, в окремих випадках нам доводилося зустрічати як сплощені</w:t>
      </w:r>
      <w:r w:rsidR="005A3701">
        <w:rPr>
          <w:rFonts w:eastAsia="Calibri" w:cs="Times New Roman"/>
          <w:sz w:val="28"/>
          <w:szCs w:val="28"/>
        </w:rPr>
        <w:t>,</w:t>
      </w:r>
      <w:r w:rsidRPr="00CA099F">
        <w:rPr>
          <w:rFonts w:eastAsia="Calibri" w:cs="Times New Roman"/>
          <w:sz w:val="28"/>
          <w:szCs w:val="28"/>
        </w:rPr>
        <w:t xml:space="preserve"> так і подовжені сосочки, особливості будови яких було описано нами раніше. Формування епітеліальних кіст і вогнищ дискератозу в цій клінічній групі нами виявлено не було. </w:t>
      </w:r>
    </w:p>
    <w:p w:rsidR="0030517B" w:rsidRPr="00CA099F" w:rsidRDefault="0030517B" w:rsidP="0030517B">
      <w:pPr>
        <w:spacing w:after="0" w:line="360" w:lineRule="auto"/>
        <w:ind w:firstLine="709"/>
        <w:jc w:val="both"/>
        <w:rPr>
          <w:rFonts w:eastAsia="Calibri" w:cs="Times New Roman"/>
          <w:sz w:val="28"/>
          <w:szCs w:val="28"/>
        </w:rPr>
      </w:pPr>
      <w:r w:rsidRPr="00CA099F">
        <w:rPr>
          <w:rFonts w:eastAsia="Calibri" w:cs="Times New Roman"/>
          <w:sz w:val="28"/>
          <w:szCs w:val="28"/>
        </w:rPr>
        <w:t>Вивчення сполучнотканинного рубця, що формується, не дозволило виявити помітних змін в його будові по порівнянню описаному вище. Проте, проведені морфометричні дослідження виявили деякі відмінності в кількісному і якісному складі клітинних елементів. Так, загальна питома вага розташування клітинних елементів була дещо менш</w:t>
      </w:r>
      <w:r w:rsidR="00630AC5">
        <w:rPr>
          <w:rFonts w:eastAsia="Calibri" w:cs="Times New Roman"/>
          <w:sz w:val="28"/>
          <w:szCs w:val="28"/>
        </w:rPr>
        <w:t>ою</w:t>
      </w:r>
      <w:r w:rsidRPr="00CA099F">
        <w:rPr>
          <w:rFonts w:eastAsia="Calibri" w:cs="Times New Roman"/>
          <w:sz w:val="28"/>
          <w:szCs w:val="28"/>
        </w:rPr>
        <w:t xml:space="preserve"> і складала в середньому 320 ± 22 в 10000 мкм. Серед клітинних елементів</w:t>
      </w:r>
      <w:r w:rsidR="00630AC5">
        <w:rPr>
          <w:rFonts w:eastAsia="Calibri" w:cs="Times New Roman"/>
          <w:sz w:val="28"/>
          <w:szCs w:val="28"/>
        </w:rPr>
        <w:t>, як і</w:t>
      </w:r>
      <w:r w:rsidRPr="00CA099F">
        <w:rPr>
          <w:rFonts w:eastAsia="Calibri" w:cs="Times New Roman"/>
          <w:sz w:val="28"/>
          <w:szCs w:val="28"/>
        </w:rPr>
        <w:t xml:space="preserve"> в описаній вище групі</w:t>
      </w:r>
      <w:r w:rsidR="00630AC5">
        <w:rPr>
          <w:rFonts w:eastAsia="Calibri" w:cs="Times New Roman"/>
          <w:sz w:val="28"/>
          <w:szCs w:val="28"/>
        </w:rPr>
        <w:t>,</w:t>
      </w:r>
      <w:r w:rsidRPr="00CA099F">
        <w:rPr>
          <w:rFonts w:eastAsia="Calibri" w:cs="Times New Roman"/>
          <w:sz w:val="28"/>
          <w:szCs w:val="28"/>
        </w:rPr>
        <w:t xml:space="preserve"> переважали фібробласти, вони складали 77 ±.5 % від усієї клітинної популяції, відповідно, на долю клітин гематогенного походження доводилося решта 23 ± 3. %.</w:t>
      </w:r>
    </w:p>
    <w:p w:rsidR="0030517B" w:rsidRPr="00CA099F" w:rsidRDefault="0030517B" w:rsidP="0030517B">
      <w:pPr>
        <w:spacing w:after="0" w:line="360" w:lineRule="auto"/>
        <w:ind w:firstLine="709"/>
        <w:jc w:val="both"/>
        <w:rPr>
          <w:rFonts w:eastAsia="Calibri" w:cs="Times New Roman"/>
          <w:sz w:val="28"/>
          <w:szCs w:val="28"/>
        </w:rPr>
      </w:pPr>
      <w:r w:rsidRPr="00CA099F">
        <w:rPr>
          <w:rFonts w:eastAsia="Calibri" w:cs="Times New Roman"/>
          <w:sz w:val="28"/>
          <w:szCs w:val="28"/>
        </w:rPr>
        <w:t>Слід зазначити, що в цій групі зберігалася тенденція до нерівномірного розподілу клітинних елементів у рубці. Найбільшу щільність розташування клітин ми спостеріга</w:t>
      </w:r>
      <w:r w:rsidR="00630AC5">
        <w:rPr>
          <w:rFonts w:eastAsia="Calibri" w:cs="Times New Roman"/>
          <w:sz w:val="28"/>
          <w:szCs w:val="28"/>
        </w:rPr>
        <w:t>ли</w:t>
      </w:r>
      <w:r w:rsidRPr="00CA099F">
        <w:rPr>
          <w:rFonts w:eastAsia="Calibri" w:cs="Times New Roman"/>
          <w:sz w:val="28"/>
          <w:szCs w:val="28"/>
        </w:rPr>
        <w:t xml:space="preserve"> в апікальних відділах рубця, що формується, тут же візуалізувалася найбільша кількість клітинних елементів гематогенного походження і нечисленні м</w:t>
      </w:r>
      <w:r w:rsidR="0049240C">
        <w:rPr>
          <w:rFonts w:eastAsia="Calibri" w:cs="Times New Roman"/>
          <w:sz w:val="28"/>
          <w:szCs w:val="28"/>
        </w:rPr>
        <w:t>ало</w:t>
      </w:r>
      <w:r w:rsidRPr="00CA099F">
        <w:rPr>
          <w:rFonts w:eastAsia="Calibri" w:cs="Times New Roman"/>
          <w:sz w:val="28"/>
          <w:szCs w:val="28"/>
        </w:rPr>
        <w:t>диференційовані фібробласти.</w:t>
      </w:r>
    </w:p>
    <w:p w:rsidR="0030517B" w:rsidRPr="00CA099F" w:rsidRDefault="0030517B" w:rsidP="0030517B">
      <w:pPr>
        <w:spacing w:after="0" w:line="360" w:lineRule="auto"/>
        <w:ind w:firstLine="709"/>
        <w:jc w:val="both"/>
        <w:rPr>
          <w:rFonts w:eastAsia="Calibri" w:cs="Times New Roman"/>
          <w:sz w:val="28"/>
          <w:szCs w:val="28"/>
        </w:rPr>
      </w:pPr>
      <w:r w:rsidRPr="00CA099F">
        <w:rPr>
          <w:rFonts w:eastAsia="Calibri" w:cs="Times New Roman"/>
          <w:sz w:val="28"/>
          <w:szCs w:val="28"/>
        </w:rPr>
        <w:t>Найменша кількість клітин, практично тільки диференційованих фібробластів</w:t>
      </w:r>
      <w:r w:rsidR="0049240C">
        <w:rPr>
          <w:rFonts w:eastAsia="Calibri" w:cs="Times New Roman"/>
          <w:sz w:val="28"/>
          <w:szCs w:val="28"/>
        </w:rPr>
        <w:t>, виявляла</w:t>
      </w:r>
      <w:r w:rsidRPr="00CA099F">
        <w:rPr>
          <w:rFonts w:eastAsia="Calibri" w:cs="Times New Roman"/>
          <w:sz w:val="28"/>
          <w:szCs w:val="28"/>
        </w:rPr>
        <w:t>ся у базальних відділах. Прицільне виявлення колагенових волокон за допомогою фарбування гістологічни</w:t>
      </w:r>
      <w:r w:rsidR="0049240C">
        <w:rPr>
          <w:rFonts w:eastAsia="Calibri" w:cs="Times New Roman"/>
          <w:sz w:val="28"/>
          <w:szCs w:val="28"/>
        </w:rPr>
        <w:t>х зрізів пикрофуксином, дозволяло</w:t>
      </w:r>
      <w:r w:rsidRPr="00CA099F">
        <w:rPr>
          <w:rFonts w:eastAsia="Calibri" w:cs="Times New Roman"/>
          <w:sz w:val="28"/>
          <w:szCs w:val="28"/>
        </w:rPr>
        <w:t xml:space="preserve"> виявити найбільшу кількість останніх у базальних відділах рубця, що формується, де вони забарвлювалися в яскраво червоний колір і формували відносно товсті пучки, що перепліта</w:t>
      </w:r>
      <w:r w:rsidR="0049240C">
        <w:rPr>
          <w:rFonts w:eastAsia="Calibri" w:cs="Times New Roman"/>
          <w:sz w:val="28"/>
          <w:szCs w:val="28"/>
        </w:rPr>
        <w:t>ли</w:t>
      </w:r>
      <w:r w:rsidRPr="00CA099F">
        <w:rPr>
          <w:rFonts w:eastAsia="Calibri" w:cs="Times New Roman"/>
          <w:sz w:val="28"/>
          <w:szCs w:val="28"/>
        </w:rPr>
        <w:t xml:space="preserve">ся між собою. </w:t>
      </w:r>
      <w:r w:rsidRPr="00CA099F">
        <w:rPr>
          <w:rFonts w:eastAsia="Calibri" w:cs="Times New Roman"/>
          <w:sz w:val="28"/>
          <w:szCs w:val="28"/>
        </w:rPr>
        <w:lastRenderedPageBreak/>
        <w:t>Найменша кількість колагенових волокон візуалізувалася в поверхневих відділах рубця, що формується.</w:t>
      </w:r>
    </w:p>
    <w:p w:rsidR="0030517B" w:rsidRPr="00CA099F" w:rsidRDefault="0049240C" w:rsidP="0030517B">
      <w:pPr>
        <w:spacing w:after="0" w:line="360" w:lineRule="auto"/>
        <w:ind w:firstLine="709"/>
        <w:jc w:val="both"/>
        <w:rPr>
          <w:rFonts w:eastAsia="Calibri" w:cs="Times New Roman"/>
          <w:sz w:val="28"/>
          <w:szCs w:val="28"/>
        </w:rPr>
      </w:pPr>
      <w:r>
        <w:rPr>
          <w:rFonts w:eastAsia="Calibri" w:cs="Times New Roman"/>
          <w:sz w:val="28"/>
          <w:szCs w:val="28"/>
        </w:rPr>
        <w:t>Помітних відмінностей у</w:t>
      </w:r>
      <w:r w:rsidR="0030517B" w:rsidRPr="00CA099F">
        <w:rPr>
          <w:rFonts w:eastAsia="Calibri" w:cs="Times New Roman"/>
          <w:sz w:val="28"/>
          <w:szCs w:val="28"/>
        </w:rPr>
        <w:t xml:space="preserve"> структурній організації кровоносного мікроциркуляторного русла сполучнотканинного рубця, що формується, в описуваній групі виявлено не було.</w:t>
      </w:r>
    </w:p>
    <w:p w:rsidR="0030517B" w:rsidRPr="00CA099F" w:rsidRDefault="0030517B" w:rsidP="0030517B">
      <w:pPr>
        <w:spacing w:after="0" w:line="360" w:lineRule="auto"/>
        <w:ind w:firstLine="709"/>
        <w:jc w:val="both"/>
        <w:rPr>
          <w:rFonts w:eastAsia="Calibri" w:cs="Times New Roman"/>
          <w:sz w:val="28"/>
          <w:szCs w:val="28"/>
        </w:rPr>
      </w:pPr>
      <w:r w:rsidRPr="00CA099F">
        <w:rPr>
          <w:rFonts w:eastAsia="Calibri" w:cs="Times New Roman"/>
          <w:sz w:val="28"/>
          <w:szCs w:val="28"/>
        </w:rPr>
        <w:t>Проведене нами імуногістохімічне дослідження з антитілами до універсального маркера про</w:t>
      </w:r>
      <w:r w:rsidR="00A94D98">
        <w:rPr>
          <w:rFonts w:eastAsia="Calibri" w:cs="Times New Roman"/>
          <w:sz w:val="28"/>
          <w:szCs w:val="28"/>
        </w:rPr>
        <w:t>ліферативної активності Кі - 67</w:t>
      </w:r>
      <w:r w:rsidRPr="00CA099F">
        <w:rPr>
          <w:rFonts w:eastAsia="Calibri" w:cs="Times New Roman"/>
          <w:sz w:val="28"/>
          <w:szCs w:val="28"/>
        </w:rPr>
        <w:t xml:space="preserve"> також дозволило приблизно в 30% базальних епітеліоцитів виявити інтрануклеарну експресію. Позитивна реакція до цих антитіл, як і в попередній групі, зрідка зустрічалася у фібробластах і клітинних структурах стінки дрібних кровоносних судин (рис. 4.4).</w:t>
      </w:r>
    </w:p>
    <w:tbl>
      <w:tblPr>
        <w:tblW w:w="0" w:type="auto"/>
        <w:tblLook w:val="01E0" w:firstRow="1" w:lastRow="1" w:firstColumn="1" w:lastColumn="1" w:noHBand="0" w:noVBand="0"/>
      </w:tblPr>
      <w:tblGrid>
        <w:gridCol w:w="9355"/>
      </w:tblGrid>
      <w:tr w:rsidR="0030517B" w:rsidRPr="00CA099F" w:rsidTr="00E1448E">
        <w:tc>
          <w:tcPr>
            <w:tcW w:w="9571" w:type="dxa"/>
          </w:tcPr>
          <w:p w:rsidR="0030517B" w:rsidRPr="00CA099F" w:rsidRDefault="0030517B" w:rsidP="00E1448E">
            <w:pPr>
              <w:spacing w:after="0" w:line="360" w:lineRule="auto"/>
              <w:ind w:firstLine="709"/>
              <w:jc w:val="both"/>
              <w:rPr>
                <w:rFonts w:eastAsia="Calibri" w:cs="Times New Roman"/>
                <w:szCs w:val="28"/>
              </w:rPr>
            </w:pPr>
            <w:r w:rsidRPr="00CA099F">
              <w:rPr>
                <w:rFonts w:eastAsia="Calibri" w:cs="Times New Roman"/>
                <w:noProof/>
                <w:sz w:val="28"/>
                <w:szCs w:val="28"/>
                <w:lang w:val="ru-RU" w:eastAsia="ru-RU"/>
              </w:rPr>
              <w:drawing>
                <wp:inline distT="0" distB="0" distL="0" distR="0" wp14:anchorId="63B49C73" wp14:editId="22E2D852">
                  <wp:extent cx="5400675" cy="3600450"/>
                  <wp:effectExtent l="0" t="0" r="9525"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400675" cy="3600450"/>
                          </a:xfrm>
                          <a:prstGeom prst="rect">
                            <a:avLst/>
                          </a:prstGeom>
                          <a:noFill/>
                          <a:ln>
                            <a:noFill/>
                          </a:ln>
                        </pic:spPr>
                      </pic:pic>
                    </a:graphicData>
                  </a:graphic>
                </wp:inline>
              </w:drawing>
            </w:r>
          </w:p>
        </w:tc>
      </w:tr>
      <w:tr w:rsidR="0030517B" w:rsidRPr="00F03FBC" w:rsidTr="00E1448E">
        <w:tc>
          <w:tcPr>
            <w:tcW w:w="9571" w:type="dxa"/>
          </w:tcPr>
          <w:p w:rsidR="0030517B" w:rsidRPr="00F03FBC" w:rsidRDefault="002B33FD" w:rsidP="00E1448E">
            <w:pPr>
              <w:spacing w:after="0" w:line="360" w:lineRule="auto"/>
              <w:jc w:val="both"/>
              <w:rPr>
                <w:rFonts w:eastAsia="Calibri" w:cs="Times New Roman"/>
                <w:szCs w:val="28"/>
              </w:rPr>
            </w:pPr>
            <w:r w:rsidRPr="00F03FBC">
              <w:rPr>
                <w:rFonts w:eastAsia="Calibri" w:cs="Times New Roman"/>
                <w:sz w:val="28"/>
                <w:szCs w:val="28"/>
              </w:rPr>
              <w:t xml:space="preserve">          Рис. 4.4</w:t>
            </w:r>
            <w:r w:rsidR="0030517B" w:rsidRPr="00F03FBC">
              <w:rPr>
                <w:rFonts w:eastAsia="Calibri" w:cs="Times New Roman"/>
                <w:sz w:val="28"/>
                <w:szCs w:val="28"/>
              </w:rPr>
              <w:t xml:space="preserve"> Реакція моноклональних антитіл до Кі - 67 в сполучнотканинному рубці, що </w:t>
            </w:r>
            <w:r w:rsidRPr="00F03FBC">
              <w:rPr>
                <w:rFonts w:eastAsia="Calibri" w:cs="Times New Roman"/>
                <w:sz w:val="28"/>
                <w:szCs w:val="28"/>
              </w:rPr>
              <w:t>сформувався</w:t>
            </w:r>
            <w:r w:rsidR="0030517B" w:rsidRPr="00F03FBC">
              <w:rPr>
                <w:rFonts w:eastAsia="Calibri" w:cs="Times New Roman"/>
                <w:sz w:val="28"/>
                <w:szCs w:val="28"/>
              </w:rPr>
              <w:t>, через 3 місяці після оперативного втручання із введенням PRF-згустка. Об. 10х., ок. 10х. Спостеріга</w:t>
            </w:r>
            <w:r w:rsidR="00F03FBC" w:rsidRPr="00F03FBC">
              <w:rPr>
                <w:rFonts w:eastAsia="Calibri" w:cs="Times New Roman"/>
                <w:sz w:val="28"/>
                <w:szCs w:val="28"/>
              </w:rPr>
              <w:t>ла</w:t>
            </w:r>
            <w:r w:rsidR="0030517B" w:rsidRPr="00F03FBC">
              <w:rPr>
                <w:rFonts w:eastAsia="Calibri" w:cs="Times New Roman"/>
                <w:sz w:val="28"/>
                <w:szCs w:val="28"/>
              </w:rPr>
              <w:t>ся позитивна експресія в нечисленних фібробластах і клітинних елементах стінки кровоносної судини.</w:t>
            </w:r>
          </w:p>
          <w:p w:rsidR="0030517B" w:rsidRPr="00F03FBC" w:rsidRDefault="0030517B" w:rsidP="00E1448E">
            <w:pPr>
              <w:spacing w:after="0" w:line="360" w:lineRule="auto"/>
              <w:ind w:firstLine="709"/>
              <w:jc w:val="both"/>
              <w:rPr>
                <w:rFonts w:eastAsia="Calibri" w:cs="Times New Roman"/>
                <w:szCs w:val="28"/>
              </w:rPr>
            </w:pPr>
          </w:p>
        </w:tc>
      </w:tr>
      <w:tr w:rsidR="0030517B" w:rsidRPr="00CA099F" w:rsidTr="00E1448E">
        <w:tc>
          <w:tcPr>
            <w:tcW w:w="9571" w:type="dxa"/>
          </w:tcPr>
          <w:p w:rsidR="0030517B" w:rsidRPr="00CA099F" w:rsidRDefault="0030517B" w:rsidP="00E1448E">
            <w:pPr>
              <w:spacing w:after="0" w:line="360" w:lineRule="auto"/>
              <w:jc w:val="both"/>
              <w:rPr>
                <w:rFonts w:eastAsia="Calibri" w:cs="Times New Roman"/>
                <w:szCs w:val="28"/>
              </w:rPr>
            </w:pPr>
          </w:p>
        </w:tc>
      </w:tr>
    </w:tbl>
    <w:p w:rsidR="0030517B" w:rsidRPr="00CA099F" w:rsidRDefault="0030517B" w:rsidP="0030517B">
      <w:pPr>
        <w:spacing w:after="0" w:line="360" w:lineRule="auto"/>
        <w:ind w:firstLine="709"/>
        <w:jc w:val="both"/>
        <w:rPr>
          <w:rFonts w:eastAsia="Calibri" w:cs="Times New Roman"/>
          <w:sz w:val="28"/>
          <w:szCs w:val="28"/>
        </w:rPr>
      </w:pPr>
      <w:r w:rsidRPr="00CA099F">
        <w:rPr>
          <w:rFonts w:eastAsia="Calibri" w:cs="Times New Roman"/>
          <w:sz w:val="28"/>
          <w:szCs w:val="28"/>
        </w:rPr>
        <w:lastRenderedPageBreak/>
        <w:t xml:space="preserve">Навколо рубця, що формується, як в </w:t>
      </w:r>
      <w:r w:rsidR="006D2681">
        <w:rPr>
          <w:rFonts w:eastAsia="Calibri" w:cs="Times New Roman"/>
          <w:sz w:val="28"/>
          <w:szCs w:val="28"/>
        </w:rPr>
        <w:t>підлеглих</w:t>
      </w:r>
      <w:r w:rsidRPr="00CA099F">
        <w:rPr>
          <w:rFonts w:eastAsia="Calibri" w:cs="Times New Roman"/>
          <w:sz w:val="28"/>
          <w:szCs w:val="28"/>
        </w:rPr>
        <w:t xml:space="preserve"> тканинах так і в незміненій дермі нам періодично зустрічалися дрібні лімфоплазмоцитарні інфільтрати, незначні крововиливи.</w:t>
      </w:r>
    </w:p>
    <w:p w:rsidR="0030517B" w:rsidRPr="00CA099F" w:rsidRDefault="0030517B" w:rsidP="0030517B">
      <w:pPr>
        <w:spacing w:after="0" w:line="360" w:lineRule="auto"/>
        <w:ind w:firstLine="709"/>
        <w:jc w:val="both"/>
        <w:rPr>
          <w:rFonts w:eastAsia="Calibri" w:cs="Times New Roman"/>
          <w:sz w:val="28"/>
          <w:szCs w:val="28"/>
        </w:rPr>
      </w:pPr>
      <w:r w:rsidRPr="00CA099F">
        <w:rPr>
          <w:rFonts w:eastAsia="Calibri" w:cs="Times New Roman"/>
          <w:sz w:val="28"/>
          <w:szCs w:val="28"/>
        </w:rPr>
        <w:t xml:space="preserve">У 2 групі </w:t>
      </w:r>
      <w:r w:rsidR="00D96DA9">
        <w:rPr>
          <w:rFonts w:eastAsia="Calibri" w:cs="Times New Roman"/>
          <w:sz w:val="28"/>
          <w:szCs w:val="28"/>
        </w:rPr>
        <w:t>пацієнтів</w:t>
      </w:r>
      <w:r w:rsidRPr="00CA099F">
        <w:rPr>
          <w:rFonts w:eastAsia="Calibri" w:cs="Times New Roman"/>
          <w:sz w:val="28"/>
          <w:szCs w:val="28"/>
        </w:rPr>
        <w:t xml:space="preserve">, які разом з введенням PRF-згустка отримували препарат «Біоцирулін» область післяопераційного втручання через 3 місяці, при візуальному огляді практично не відрізнялася від такої у попередніх груп. </w:t>
      </w:r>
    </w:p>
    <w:p w:rsidR="0030517B" w:rsidRPr="00CA099F" w:rsidRDefault="0030517B" w:rsidP="0030517B">
      <w:pPr>
        <w:spacing w:after="0" w:line="360" w:lineRule="auto"/>
        <w:ind w:firstLine="709"/>
        <w:jc w:val="both"/>
        <w:rPr>
          <w:rFonts w:eastAsia="Calibri" w:cs="Times New Roman"/>
          <w:sz w:val="28"/>
          <w:szCs w:val="28"/>
        </w:rPr>
      </w:pPr>
      <w:r w:rsidRPr="00CA099F">
        <w:rPr>
          <w:rFonts w:eastAsia="Calibri" w:cs="Times New Roman"/>
          <w:sz w:val="28"/>
          <w:szCs w:val="28"/>
        </w:rPr>
        <w:t>Мікроскопічно на препаратах забарвлених гематоксиліном і еозином над рубцем, що формується, всюди визначався багатошаровий плоский епітелій, товщина якого була дещо більше, ніж в попередніх групах і склад</w:t>
      </w:r>
      <w:r w:rsidR="005001AD">
        <w:rPr>
          <w:rFonts w:eastAsia="Calibri" w:cs="Times New Roman"/>
          <w:sz w:val="28"/>
          <w:szCs w:val="28"/>
        </w:rPr>
        <w:t>ала, в середньому, 38 ± 6 мкм. В</w:t>
      </w:r>
      <w:r w:rsidRPr="00CA099F">
        <w:rPr>
          <w:rFonts w:eastAsia="Calibri" w:cs="Times New Roman"/>
          <w:sz w:val="28"/>
          <w:szCs w:val="28"/>
        </w:rPr>
        <w:t xml:space="preserve"> епітеліальному пласті який покрива</w:t>
      </w:r>
      <w:r w:rsidR="005001AD">
        <w:rPr>
          <w:rFonts w:eastAsia="Calibri" w:cs="Times New Roman"/>
          <w:sz w:val="28"/>
          <w:szCs w:val="28"/>
        </w:rPr>
        <w:t>в</w:t>
      </w:r>
      <w:r w:rsidRPr="00CA099F">
        <w:rPr>
          <w:rFonts w:eastAsia="Calibri" w:cs="Times New Roman"/>
          <w:sz w:val="28"/>
          <w:szCs w:val="28"/>
        </w:rPr>
        <w:t xml:space="preserve"> рубець, що формується, простежувалося чітке розділення останнього на чотири шари: базальний, ш</w:t>
      </w:r>
      <w:r w:rsidR="005001AD">
        <w:rPr>
          <w:rFonts w:eastAsia="Calibri" w:cs="Times New Roman"/>
          <w:sz w:val="28"/>
          <w:szCs w:val="28"/>
        </w:rPr>
        <w:t>ипуватий, зернистий і роговий. У</w:t>
      </w:r>
      <w:r w:rsidRPr="00CA099F">
        <w:rPr>
          <w:rFonts w:eastAsia="Calibri" w:cs="Times New Roman"/>
          <w:sz w:val="28"/>
          <w:szCs w:val="28"/>
        </w:rPr>
        <w:t xml:space="preserve"> порівнянні з попередніми групами, в шипуватому шарі спостерігалося деяке збільшення клітинних рядів до 4-5, за рахунок чого і відбувалося збільшення загальної товщини епітеліального пласта. У описуваній групі нам практично не зустрічалися морфологічні ознаки порушення епітелізації у вигляді акантозу і дискератозу, описуваний епітеліальний пласт </w:t>
      </w:r>
      <w:r w:rsidR="005001AD" w:rsidRPr="00CA099F">
        <w:rPr>
          <w:rFonts w:eastAsia="Calibri" w:cs="Times New Roman"/>
          <w:sz w:val="28"/>
          <w:szCs w:val="28"/>
        </w:rPr>
        <w:t xml:space="preserve">мав </w:t>
      </w:r>
      <w:r w:rsidRPr="00CA099F">
        <w:rPr>
          <w:rFonts w:eastAsia="Calibri" w:cs="Times New Roman"/>
          <w:sz w:val="28"/>
          <w:szCs w:val="28"/>
        </w:rPr>
        <w:t xml:space="preserve">практично </w:t>
      </w:r>
      <w:r w:rsidR="005001AD">
        <w:rPr>
          <w:rFonts w:eastAsia="Calibri" w:cs="Times New Roman"/>
          <w:sz w:val="28"/>
          <w:szCs w:val="28"/>
        </w:rPr>
        <w:t xml:space="preserve">однакову </w:t>
      </w:r>
      <w:r w:rsidRPr="00CA099F">
        <w:rPr>
          <w:rFonts w:eastAsia="Calibri" w:cs="Times New Roman"/>
          <w:sz w:val="28"/>
          <w:szCs w:val="28"/>
        </w:rPr>
        <w:t>товщину</w:t>
      </w:r>
      <w:r w:rsidR="005001AD" w:rsidRPr="005001AD">
        <w:rPr>
          <w:rFonts w:eastAsia="Calibri" w:cs="Times New Roman"/>
          <w:sz w:val="28"/>
          <w:szCs w:val="28"/>
        </w:rPr>
        <w:t xml:space="preserve"> </w:t>
      </w:r>
      <w:r w:rsidR="005001AD" w:rsidRPr="00CA099F">
        <w:rPr>
          <w:rFonts w:eastAsia="Calibri" w:cs="Times New Roman"/>
          <w:sz w:val="28"/>
          <w:szCs w:val="28"/>
        </w:rPr>
        <w:t>з незначними коливаннями</w:t>
      </w:r>
      <w:r w:rsidRPr="00CA099F">
        <w:rPr>
          <w:rFonts w:eastAsia="Calibri" w:cs="Times New Roman"/>
          <w:sz w:val="28"/>
          <w:szCs w:val="28"/>
        </w:rPr>
        <w:t>.</w:t>
      </w:r>
    </w:p>
    <w:p w:rsidR="0030517B" w:rsidRPr="00CA099F" w:rsidRDefault="0030517B" w:rsidP="0030517B">
      <w:pPr>
        <w:spacing w:after="0" w:line="360" w:lineRule="auto"/>
        <w:ind w:firstLine="709"/>
        <w:jc w:val="both"/>
        <w:rPr>
          <w:rFonts w:eastAsia="Calibri" w:cs="Times New Roman"/>
          <w:sz w:val="28"/>
          <w:szCs w:val="28"/>
        </w:rPr>
      </w:pPr>
      <w:r w:rsidRPr="00CA099F">
        <w:rPr>
          <w:rFonts w:eastAsia="Calibri" w:cs="Times New Roman"/>
          <w:sz w:val="28"/>
          <w:szCs w:val="28"/>
        </w:rPr>
        <w:t xml:space="preserve">Як і в попередніх групах спостережень межа між покривним епітелієм і рубцем, що формується, була представлена чергуванням пластів епітелію і сполучнотканинних сосочків. Межа між покривним епітелієм і сполучнотканинним рубцем, що формується, також в усіх випадках мала звивистий характер за рахунок чергування пластів епітелію і сполучнотканинних сосочків. Сосочки характеризувалися типовою, досить мономорфною будовою, і помітно не відрізнялися від таких в інтактній шкірі. Сплощені сосочки зустрічалися виключно рідко, подовжених сосочків нами виявлено не було. Зрідка, в апікальних відділах сосочків зустрічалися дрібновогнищеві лімфоплазмоцитарні клітинні інфільтрати (рис. 4.5). </w:t>
      </w:r>
    </w:p>
    <w:p w:rsidR="0030517B" w:rsidRPr="00CA099F" w:rsidRDefault="0030517B" w:rsidP="0030517B">
      <w:pPr>
        <w:spacing w:after="0" w:line="360" w:lineRule="auto"/>
        <w:ind w:firstLine="709"/>
        <w:jc w:val="both"/>
        <w:rPr>
          <w:rFonts w:eastAsia="Calibri" w:cs="Times New Roman"/>
          <w:sz w:val="28"/>
          <w:szCs w:val="28"/>
        </w:rPr>
      </w:pPr>
      <w:r w:rsidRPr="00CA099F">
        <w:rPr>
          <w:rFonts w:eastAsia="Calibri" w:cs="Times New Roman"/>
          <w:sz w:val="28"/>
          <w:szCs w:val="28"/>
        </w:rPr>
        <w:t xml:space="preserve">Розташований під покривним епітелієм рубець, що формується, мав деякі відмінності від такого в описаних раніше групах. Найбільш характерною </w:t>
      </w:r>
      <w:r w:rsidRPr="00CA099F">
        <w:rPr>
          <w:rFonts w:eastAsia="Calibri" w:cs="Times New Roman"/>
          <w:sz w:val="28"/>
          <w:szCs w:val="28"/>
        </w:rPr>
        <w:lastRenderedPageBreak/>
        <w:t>відмінністю було помітне зменшення питомої ваги розташування клітинних елементів 290 ± 25 в 10000 мкм</w:t>
      </w:r>
      <w:r w:rsidRPr="00CA099F">
        <w:rPr>
          <w:rFonts w:eastAsia="Calibri" w:cs="Times New Roman"/>
          <w:sz w:val="28"/>
          <w:szCs w:val="28"/>
          <w:vertAlign w:val="superscript"/>
        </w:rPr>
        <w:t>2</w:t>
      </w:r>
      <w:r w:rsidRPr="00CA099F">
        <w:rPr>
          <w:rFonts w:eastAsia="Calibri" w:cs="Times New Roman"/>
          <w:sz w:val="28"/>
          <w:szCs w:val="28"/>
        </w:rPr>
        <w:t>.</w:t>
      </w:r>
    </w:p>
    <w:p w:rsidR="0030517B" w:rsidRPr="00CA099F" w:rsidRDefault="0030517B" w:rsidP="0030517B">
      <w:pPr>
        <w:spacing w:after="0" w:line="360" w:lineRule="auto"/>
        <w:ind w:firstLine="709"/>
        <w:jc w:val="both"/>
        <w:rPr>
          <w:rFonts w:eastAsia="Calibri" w:cs="Times New Roman"/>
          <w:sz w:val="28"/>
          <w:szCs w:val="28"/>
        </w:rPr>
      </w:pPr>
      <w:r w:rsidRPr="00CA099F">
        <w:rPr>
          <w:rFonts w:eastAsia="Calibri" w:cs="Times New Roman"/>
          <w:noProof/>
          <w:sz w:val="28"/>
          <w:szCs w:val="28"/>
          <w:lang w:val="ru-RU" w:eastAsia="ru-RU"/>
        </w:rPr>
        <w:drawing>
          <wp:inline distT="0" distB="0" distL="0" distR="0" wp14:anchorId="739194E2" wp14:editId="33098CCD">
            <wp:extent cx="5400675" cy="3886200"/>
            <wp:effectExtent l="0" t="0" r="9525"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400675" cy="3886200"/>
                    </a:xfrm>
                    <a:prstGeom prst="rect">
                      <a:avLst/>
                    </a:prstGeom>
                    <a:noFill/>
                    <a:ln>
                      <a:noFill/>
                    </a:ln>
                  </pic:spPr>
                </pic:pic>
              </a:graphicData>
            </a:graphic>
          </wp:inline>
        </w:drawing>
      </w:r>
    </w:p>
    <w:p w:rsidR="0030517B" w:rsidRPr="00CA099F" w:rsidRDefault="0030517B" w:rsidP="0030517B">
      <w:pPr>
        <w:spacing w:after="0" w:line="360" w:lineRule="auto"/>
        <w:ind w:firstLine="708"/>
        <w:jc w:val="both"/>
        <w:rPr>
          <w:rFonts w:eastAsia="Calibri" w:cs="Times New Roman"/>
          <w:sz w:val="28"/>
          <w:szCs w:val="28"/>
        </w:rPr>
      </w:pPr>
      <w:r w:rsidRPr="00CA099F">
        <w:rPr>
          <w:rFonts w:eastAsia="Calibri" w:cs="Times New Roman"/>
          <w:sz w:val="28"/>
          <w:szCs w:val="28"/>
        </w:rPr>
        <w:t xml:space="preserve">Рис. 4.5. Апікальний відділ сполучнотканинного рубця, що формується, в 2 групі через 3 місяці після оперативного втручання. Забарвлення гематоксилін-еозином. Об. 40х., ок. 10х. 1 – кровоносні мікросудини; 2 – периваскулярні скупчення лімфоцитів і плазматичних клітин; 3 – фібробласти. </w:t>
      </w:r>
    </w:p>
    <w:p w:rsidR="0030517B" w:rsidRPr="00CA099F" w:rsidRDefault="0030517B" w:rsidP="0030517B">
      <w:pPr>
        <w:spacing w:after="0" w:line="360" w:lineRule="auto"/>
        <w:ind w:firstLine="709"/>
        <w:jc w:val="both"/>
        <w:rPr>
          <w:rFonts w:eastAsia="Calibri" w:cs="Times New Roman"/>
          <w:sz w:val="28"/>
          <w:szCs w:val="28"/>
        </w:rPr>
      </w:pPr>
    </w:p>
    <w:p w:rsidR="0030517B" w:rsidRPr="00CA099F" w:rsidRDefault="0030517B" w:rsidP="0030517B">
      <w:pPr>
        <w:spacing w:after="0" w:line="360" w:lineRule="auto"/>
        <w:ind w:firstLine="709"/>
        <w:jc w:val="both"/>
        <w:rPr>
          <w:rFonts w:eastAsia="Calibri" w:cs="Times New Roman"/>
          <w:sz w:val="28"/>
          <w:szCs w:val="28"/>
        </w:rPr>
      </w:pPr>
      <w:r w:rsidRPr="00CA099F">
        <w:rPr>
          <w:rFonts w:eastAsia="Calibri" w:cs="Times New Roman"/>
          <w:sz w:val="28"/>
          <w:szCs w:val="28"/>
        </w:rPr>
        <w:t>У порівнянні з попередніми групами, рубець, що формується, мав більше мономорфну будову, внаслідок чого помітна різниця в щільності розташування і якіс</w:t>
      </w:r>
      <w:r w:rsidR="006A757A">
        <w:rPr>
          <w:rFonts w:eastAsia="Calibri" w:cs="Times New Roman"/>
          <w:sz w:val="28"/>
          <w:szCs w:val="28"/>
        </w:rPr>
        <w:t>ному складі клітинних елементів</w:t>
      </w:r>
      <w:r w:rsidRPr="00CA099F">
        <w:rPr>
          <w:rFonts w:eastAsia="Calibri" w:cs="Times New Roman"/>
          <w:sz w:val="28"/>
          <w:szCs w:val="28"/>
        </w:rPr>
        <w:t xml:space="preserve"> у базальних і апікальних відділах була виражена досить слабо.</w:t>
      </w:r>
    </w:p>
    <w:p w:rsidR="0030517B" w:rsidRPr="00CA099F" w:rsidRDefault="0030517B" w:rsidP="0030517B">
      <w:pPr>
        <w:spacing w:after="0" w:line="360" w:lineRule="auto"/>
        <w:ind w:firstLine="709"/>
        <w:jc w:val="both"/>
        <w:rPr>
          <w:rFonts w:eastAsia="Calibri" w:cs="Times New Roman"/>
          <w:sz w:val="28"/>
          <w:szCs w:val="28"/>
        </w:rPr>
      </w:pPr>
      <w:r w:rsidRPr="00CA099F">
        <w:rPr>
          <w:rFonts w:eastAsia="Calibri" w:cs="Times New Roman"/>
          <w:sz w:val="28"/>
          <w:szCs w:val="28"/>
        </w:rPr>
        <w:t>Вивчення препаратів, забарвлених пикрофуксином</w:t>
      </w:r>
      <w:r w:rsidR="006A757A">
        <w:rPr>
          <w:rFonts w:eastAsia="Calibri" w:cs="Times New Roman"/>
          <w:sz w:val="28"/>
          <w:szCs w:val="28"/>
        </w:rPr>
        <w:t>,</w:t>
      </w:r>
      <w:r w:rsidRPr="00CA099F">
        <w:rPr>
          <w:rFonts w:eastAsia="Calibri" w:cs="Times New Roman"/>
          <w:sz w:val="28"/>
          <w:szCs w:val="28"/>
        </w:rPr>
        <w:t xml:space="preserve"> дозволило разом з клітинами прицільно вивчити фібрилярний компонент рубця, що формується, в першу чергу колагенові волокна. Останні інтенсивно забарвлювалися в яскраво - червоний кол</w:t>
      </w:r>
      <w:r w:rsidR="006A757A">
        <w:rPr>
          <w:rFonts w:eastAsia="Calibri" w:cs="Times New Roman"/>
          <w:sz w:val="28"/>
          <w:szCs w:val="28"/>
        </w:rPr>
        <w:t xml:space="preserve">ір, виявлялися як в апікальному, </w:t>
      </w:r>
      <w:r w:rsidRPr="00CA099F">
        <w:rPr>
          <w:rFonts w:eastAsia="Calibri" w:cs="Times New Roman"/>
          <w:sz w:val="28"/>
          <w:szCs w:val="28"/>
        </w:rPr>
        <w:t xml:space="preserve">так і у базальному відділах рубця, що формується, практично в усіх спостереженнях компонувалися в пучки, які хаотично перепліталися між собою. </w:t>
      </w:r>
      <w:r w:rsidR="006A757A">
        <w:rPr>
          <w:rFonts w:eastAsia="Calibri" w:cs="Times New Roman"/>
          <w:sz w:val="28"/>
          <w:szCs w:val="28"/>
        </w:rPr>
        <w:t>У</w:t>
      </w:r>
      <w:r w:rsidRPr="00CA099F">
        <w:rPr>
          <w:rFonts w:eastAsia="Calibri" w:cs="Times New Roman"/>
          <w:sz w:val="28"/>
          <w:szCs w:val="28"/>
        </w:rPr>
        <w:t xml:space="preserve"> порівнянні </w:t>
      </w:r>
      <w:r w:rsidRPr="00CA099F">
        <w:rPr>
          <w:rFonts w:eastAsia="Calibri" w:cs="Times New Roman"/>
          <w:sz w:val="28"/>
          <w:szCs w:val="28"/>
        </w:rPr>
        <w:lastRenderedPageBreak/>
        <w:t xml:space="preserve">з описаними раніше групами відносна кількість колагенових волокон була помітно більша, утворені ними пучки мали дещо </w:t>
      </w:r>
      <w:r w:rsidR="00005754">
        <w:rPr>
          <w:rFonts w:eastAsia="Calibri" w:cs="Times New Roman"/>
          <w:sz w:val="28"/>
          <w:szCs w:val="28"/>
        </w:rPr>
        <w:t>більшу товщину та</w:t>
      </w:r>
      <w:r w:rsidRPr="00CA099F">
        <w:rPr>
          <w:rFonts w:eastAsia="Calibri" w:cs="Times New Roman"/>
          <w:sz w:val="28"/>
          <w:szCs w:val="28"/>
        </w:rPr>
        <w:t xml:space="preserve"> інтенсивніше забарвлення, що побічно свідчило про практично повне дозрівання останніх.</w:t>
      </w:r>
    </w:p>
    <w:p w:rsidR="0030517B" w:rsidRPr="00CA099F" w:rsidRDefault="0030517B" w:rsidP="0030517B">
      <w:pPr>
        <w:spacing w:after="0" w:line="360" w:lineRule="auto"/>
        <w:ind w:firstLine="709"/>
        <w:jc w:val="both"/>
        <w:rPr>
          <w:rFonts w:eastAsia="Calibri" w:cs="Times New Roman"/>
          <w:sz w:val="28"/>
          <w:szCs w:val="28"/>
        </w:rPr>
      </w:pPr>
      <w:r w:rsidRPr="00CA099F">
        <w:rPr>
          <w:rFonts w:eastAsia="Calibri" w:cs="Times New Roman"/>
          <w:sz w:val="28"/>
          <w:szCs w:val="28"/>
        </w:rPr>
        <w:t xml:space="preserve">До особливостей васкуляризації рубця, що формується, в описуваній групі слід віднести деяке незначне зменшення загальної кількості обмінних кровоносних судин, внаслідок редукції, </w:t>
      </w:r>
      <w:r w:rsidR="000D1971">
        <w:rPr>
          <w:rFonts w:eastAsia="Calibri" w:cs="Times New Roman"/>
          <w:sz w:val="28"/>
          <w:szCs w:val="28"/>
        </w:rPr>
        <w:t>яка мала</w:t>
      </w:r>
      <w:r w:rsidRPr="00CA099F">
        <w:rPr>
          <w:rFonts w:eastAsia="Calibri" w:cs="Times New Roman"/>
          <w:sz w:val="28"/>
          <w:szCs w:val="28"/>
        </w:rPr>
        <w:t xml:space="preserve"> місце при дозріванні сполучнотканинного рубця. Також слід зазначити більш рівномірне розташування обмінних судин в усіх відділах рубця, що формується.</w:t>
      </w:r>
    </w:p>
    <w:p w:rsidR="0030517B" w:rsidRPr="00CA099F" w:rsidRDefault="0030517B" w:rsidP="0030517B">
      <w:pPr>
        <w:spacing w:after="0" w:line="360" w:lineRule="auto"/>
        <w:ind w:firstLine="709"/>
        <w:jc w:val="both"/>
        <w:rPr>
          <w:rFonts w:eastAsia="Calibri" w:cs="Times New Roman"/>
          <w:sz w:val="28"/>
          <w:szCs w:val="28"/>
        </w:rPr>
      </w:pPr>
      <w:r w:rsidRPr="00CA099F">
        <w:rPr>
          <w:rFonts w:eastAsia="Calibri" w:cs="Times New Roman"/>
          <w:sz w:val="28"/>
          <w:szCs w:val="28"/>
        </w:rPr>
        <w:t>Визначення проліферативної активності клітинних елементів в області рубця, що формується, за допомогою універсального маркера проліферативної активності Кі - 67, не дозволило виявити помітних відмінностей в мітотичній активності клітин базального шару покривного епітелію, інтрануклеарна експресія цього маркера мала місце приблизно в 30% клітин.</w:t>
      </w:r>
    </w:p>
    <w:p w:rsidR="0030517B" w:rsidRPr="00CA099F" w:rsidRDefault="0030517B" w:rsidP="0030517B">
      <w:pPr>
        <w:spacing w:after="0" w:line="360" w:lineRule="auto"/>
        <w:ind w:firstLine="709"/>
        <w:jc w:val="both"/>
        <w:rPr>
          <w:rFonts w:eastAsia="Calibri" w:cs="Times New Roman"/>
          <w:sz w:val="28"/>
          <w:szCs w:val="28"/>
        </w:rPr>
      </w:pPr>
      <w:r w:rsidRPr="00CA099F">
        <w:rPr>
          <w:rFonts w:eastAsia="Calibri" w:cs="Times New Roman"/>
          <w:sz w:val="28"/>
          <w:szCs w:val="28"/>
        </w:rPr>
        <w:t xml:space="preserve">У той же час, безпосередньо в клітинних елементах рубця, що формується, - фібробластах позитивна експресія цього маркера практично не виявлялася, що побічно може свідчити про дозрівання останніх в спеціалізовані фібробласти, основною функцією яких, як відомо, </w:t>
      </w:r>
      <w:r w:rsidR="00DE6032">
        <w:rPr>
          <w:rFonts w:eastAsia="Calibri" w:cs="Times New Roman"/>
          <w:sz w:val="28"/>
          <w:szCs w:val="28"/>
        </w:rPr>
        <w:t>є</w:t>
      </w:r>
      <w:r w:rsidRPr="00CA099F">
        <w:rPr>
          <w:rFonts w:eastAsia="Calibri" w:cs="Times New Roman"/>
          <w:sz w:val="28"/>
          <w:szCs w:val="28"/>
        </w:rPr>
        <w:t xml:space="preserve"> синтез колагену, внаслідок чого і спостерігалося збільшення кількості колагенових волокон. У клітинних елементах стінок кровоносних мікросудин позитивна реакція до Кі - 67 нами відмічена не була, що підтверджу</w:t>
      </w:r>
      <w:r w:rsidR="00DE6032">
        <w:rPr>
          <w:rFonts w:eastAsia="Calibri" w:cs="Times New Roman"/>
          <w:sz w:val="28"/>
          <w:szCs w:val="28"/>
        </w:rPr>
        <w:t>вало</w:t>
      </w:r>
      <w:r w:rsidRPr="00CA099F">
        <w:rPr>
          <w:rFonts w:eastAsia="Calibri" w:cs="Times New Roman"/>
          <w:sz w:val="28"/>
          <w:szCs w:val="28"/>
        </w:rPr>
        <w:t xml:space="preserve"> висловлене раніше нами припущення про редукційні зміни в кровоносному мікроциркуляторному руслі рубця, що формується.</w:t>
      </w:r>
    </w:p>
    <w:p w:rsidR="0030517B" w:rsidRPr="00CA099F" w:rsidRDefault="0030517B" w:rsidP="0030517B">
      <w:pPr>
        <w:spacing w:after="0" w:line="360" w:lineRule="auto"/>
        <w:ind w:firstLine="709"/>
        <w:jc w:val="both"/>
        <w:rPr>
          <w:rFonts w:eastAsia="Calibri" w:cs="Times New Roman"/>
          <w:sz w:val="28"/>
          <w:szCs w:val="28"/>
        </w:rPr>
      </w:pPr>
      <w:r w:rsidRPr="00CA099F">
        <w:rPr>
          <w:rFonts w:eastAsia="Calibri" w:cs="Times New Roman"/>
          <w:sz w:val="28"/>
          <w:szCs w:val="28"/>
        </w:rPr>
        <w:t>Помітних змін в неушкодженій дермі, яка оточує рубець</w:t>
      </w:r>
      <w:r w:rsidR="00DE6032">
        <w:rPr>
          <w:rFonts w:eastAsia="Calibri" w:cs="Times New Roman"/>
          <w:sz w:val="28"/>
          <w:szCs w:val="28"/>
        </w:rPr>
        <w:t>, що формується, ми не виявляли.</w:t>
      </w:r>
      <w:r w:rsidRPr="00CA099F">
        <w:rPr>
          <w:rFonts w:eastAsia="Calibri" w:cs="Times New Roman"/>
          <w:sz w:val="28"/>
          <w:szCs w:val="28"/>
        </w:rPr>
        <w:t xml:space="preserve"> </w:t>
      </w:r>
      <w:r w:rsidR="00DE6032">
        <w:rPr>
          <w:rFonts w:eastAsia="Calibri" w:cs="Times New Roman"/>
          <w:sz w:val="28"/>
          <w:szCs w:val="28"/>
        </w:rPr>
        <w:t>Я</w:t>
      </w:r>
      <w:r w:rsidRPr="00CA099F">
        <w:rPr>
          <w:rFonts w:eastAsia="Calibri" w:cs="Times New Roman"/>
          <w:sz w:val="28"/>
          <w:szCs w:val="28"/>
        </w:rPr>
        <w:t>к і в описаних раніше групах найбільш стереотипними змінами були розладу кровообігу у вигляді повнокров’я дрібних венозних судин, дрібних периваскулярних крововиливів і клітинних реакцій у вигляді дрібновогнищевих скупчень лімфоцитів і плазматичних клітин.</w:t>
      </w:r>
    </w:p>
    <w:p w:rsidR="0030517B" w:rsidRPr="00CA099F" w:rsidRDefault="0030517B" w:rsidP="0030517B">
      <w:pPr>
        <w:spacing w:after="0" w:line="360" w:lineRule="auto"/>
        <w:ind w:firstLine="709"/>
        <w:jc w:val="both"/>
        <w:rPr>
          <w:rFonts w:eastAsia="Calibri" w:cs="Times New Roman"/>
          <w:sz w:val="28"/>
          <w:szCs w:val="28"/>
        </w:rPr>
      </w:pPr>
    </w:p>
    <w:p w:rsidR="0030517B" w:rsidRPr="00CA099F" w:rsidRDefault="0030517B" w:rsidP="0030517B">
      <w:pPr>
        <w:spacing w:after="0" w:line="360" w:lineRule="auto"/>
        <w:ind w:firstLine="709"/>
        <w:jc w:val="both"/>
        <w:rPr>
          <w:rFonts w:eastAsia="Calibri" w:cs="Times New Roman"/>
          <w:b/>
          <w:sz w:val="28"/>
          <w:szCs w:val="28"/>
        </w:rPr>
      </w:pPr>
      <w:r w:rsidRPr="00CA099F">
        <w:rPr>
          <w:rFonts w:eastAsia="Calibri" w:cs="Times New Roman"/>
          <w:b/>
          <w:sz w:val="28"/>
          <w:szCs w:val="28"/>
        </w:rPr>
        <w:lastRenderedPageBreak/>
        <w:t>4.2 Особливості морфологічної будови рубцевозмінених тканин на 6 місяць післяопераційного періоду</w:t>
      </w:r>
    </w:p>
    <w:p w:rsidR="0030517B" w:rsidRPr="00CA099F" w:rsidRDefault="0030517B" w:rsidP="0030517B">
      <w:pPr>
        <w:spacing w:after="0" w:line="360" w:lineRule="auto"/>
        <w:ind w:firstLine="709"/>
        <w:jc w:val="both"/>
        <w:rPr>
          <w:rFonts w:eastAsia="Calibri" w:cs="Times New Roman"/>
          <w:sz w:val="28"/>
          <w:szCs w:val="28"/>
        </w:rPr>
      </w:pPr>
    </w:p>
    <w:p w:rsidR="0030517B" w:rsidRPr="00CA099F" w:rsidRDefault="0030517B" w:rsidP="0030517B">
      <w:pPr>
        <w:spacing w:after="0" w:line="360" w:lineRule="auto"/>
        <w:ind w:firstLine="709"/>
        <w:jc w:val="both"/>
        <w:rPr>
          <w:rFonts w:eastAsia="Calibri" w:cs="Times New Roman"/>
          <w:sz w:val="28"/>
          <w:szCs w:val="28"/>
        </w:rPr>
      </w:pPr>
      <w:r w:rsidRPr="00CA099F">
        <w:rPr>
          <w:rFonts w:eastAsia="Calibri" w:cs="Times New Roman"/>
          <w:sz w:val="28"/>
          <w:szCs w:val="28"/>
        </w:rPr>
        <w:t xml:space="preserve">Мікроскопічне дослідження рубцевої тканини пацієнтів контрольної групи дозволило виявити в усіх випадках над рубцем наявність суцільного епітеліального покриву, який при малих збільшеннях світлового мікроскопа практично не мав помітних відмінностей від інтактного епідермісу, що свідчило про завершений процес епітелізації. </w:t>
      </w:r>
    </w:p>
    <w:p w:rsidR="0030517B" w:rsidRPr="00CA099F" w:rsidRDefault="0030517B" w:rsidP="0030517B">
      <w:pPr>
        <w:spacing w:after="0" w:line="360" w:lineRule="auto"/>
        <w:ind w:firstLine="709"/>
        <w:jc w:val="both"/>
        <w:rPr>
          <w:rFonts w:eastAsia="Calibri" w:cs="Times New Roman"/>
          <w:sz w:val="28"/>
          <w:szCs w:val="28"/>
        </w:rPr>
      </w:pPr>
      <w:r w:rsidRPr="00CA099F">
        <w:rPr>
          <w:rFonts w:eastAsia="Calibri" w:cs="Times New Roman"/>
          <w:sz w:val="28"/>
          <w:szCs w:val="28"/>
        </w:rPr>
        <w:t xml:space="preserve">Вивчення епітеліального покриву при великих збільшеннях світлового мікроскопа в переважній більшості спостережень дозволило виявити стратифікацію і клітинні елементи типові для незміненого епітелію цієї області, при цьому товщина його 39 ± 7 мкм, приблизно відповідала аналогічному показнику для інтактної шкіри. </w:t>
      </w:r>
    </w:p>
    <w:p w:rsidR="0030517B" w:rsidRPr="00CA099F" w:rsidRDefault="0030517B" w:rsidP="0030517B">
      <w:pPr>
        <w:spacing w:after="0" w:line="360" w:lineRule="auto"/>
        <w:ind w:firstLine="709"/>
        <w:jc w:val="both"/>
        <w:rPr>
          <w:rFonts w:eastAsia="Calibri" w:cs="Times New Roman"/>
          <w:sz w:val="28"/>
          <w:szCs w:val="28"/>
        </w:rPr>
      </w:pPr>
      <w:r w:rsidRPr="00CA099F">
        <w:rPr>
          <w:rFonts w:eastAsia="Calibri" w:cs="Times New Roman"/>
          <w:sz w:val="28"/>
          <w:szCs w:val="28"/>
        </w:rPr>
        <w:t>У 5 спостереженнях нами відзначалися порушення типового процесу епітелізації, пов'язані, мабуть, з деяким порушенням проліферативної активності епітеліоцитів і процесом їх диференціювання. Як і в попередньому терміні інколи ми спостерігали стоншування епітеліального пласта, що відбувається, переважно за рахунок зменшення кількості рядів клітин шипуватого шару, при збереженні зернистого і рогового.</w:t>
      </w:r>
    </w:p>
    <w:p w:rsidR="0030517B" w:rsidRPr="00CA099F" w:rsidRDefault="0030517B" w:rsidP="0030517B">
      <w:pPr>
        <w:spacing w:after="0" w:line="360" w:lineRule="auto"/>
        <w:ind w:firstLine="709"/>
        <w:jc w:val="both"/>
        <w:rPr>
          <w:rFonts w:eastAsia="Calibri" w:cs="Times New Roman"/>
          <w:sz w:val="28"/>
          <w:szCs w:val="28"/>
        </w:rPr>
      </w:pPr>
      <w:r w:rsidRPr="00CA099F">
        <w:rPr>
          <w:rFonts w:eastAsia="Calibri" w:cs="Times New Roman"/>
          <w:sz w:val="28"/>
          <w:szCs w:val="28"/>
        </w:rPr>
        <w:t>На описаних ділянках епітеліоцити базального і шипуватого шарів диференціювалися насилу і істотно відрізнялися від типових. Так в першу чергу слід зазначити деякий поліморфізм даних епітеліоцитів у різних зонах епітеліального покриву сполучнотканинного рубця. На одних ділянках вони мали округлу або полігональну форму, чіткі контури. У таких клітинах досить часто навколо ядра визначався прозорий, оптично порожній обідок, що займає у ряді випадків велику частину цитоплазми. Саме ядро мало досить інтенсивне забарвлення</w:t>
      </w:r>
      <w:r w:rsidR="006B4EB6">
        <w:rPr>
          <w:rFonts w:eastAsia="Calibri" w:cs="Times New Roman"/>
          <w:sz w:val="28"/>
          <w:szCs w:val="28"/>
        </w:rPr>
        <w:t xml:space="preserve"> і ядерце в нім не виявлялося. В окремих клітинах навколо</w:t>
      </w:r>
      <w:r w:rsidRPr="00CA099F">
        <w:rPr>
          <w:rFonts w:eastAsia="Calibri" w:cs="Times New Roman"/>
          <w:sz w:val="28"/>
          <w:szCs w:val="28"/>
        </w:rPr>
        <w:t xml:space="preserve">ядерні світлі зони не виявлялися, </w:t>
      </w:r>
      <w:r w:rsidR="006B4EB6">
        <w:rPr>
          <w:rFonts w:eastAsia="Calibri" w:cs="Times New Roman"/>
          <w:sz w:val="28"/>
          <w:szCs w:val="28"/>
        </w:rPr>
        <w:t>у</w:t>
      </w:r>
      <w:r w:rsidRPr="00CA099F">
        <w:rPr>
          <w:rFonts w:eastAsia="Calibri" w:cs="Times New Roman"/>
          <w:sz w:val="28"/>
          <w:szCs w:val="28"/>
        </w:rPr>
        <w:t xml:space="preserve"> той же час в цитоплазмі таких епітеліоцитів визначалися дрібні округлі прозорі вакуолі. У деяких клітинах ядро не виявлялося зовсім, а на його місці визначалася прозора вакуоль (рис. 4.6). </w:t>
      </w:r>
    </w:p>
    <w:p w:rsidR="0030517B" w:rsidRPr="00CA099F" w:rsidRDefault="006B4EB6" w:rsidP="0030517B">
      <w:pPr>
        <w:spacing w:after="0" w:line="360" w:lineRule="auto"/>
        <w:ind w:firstLine="709"/>
        <w:jc w:val="both"/>
        <w:rPr>
          <w:rFonts w:eastAsia="Calibri" w:cs="Times New Roman"/>
          <w:sz w:val="28"/>
          <w:szCs w:val="28"/>
        </w:rPr>
      </w:pPr>
      <w:r>
        <w:rPr>
          <w:rFonts w:eastAsia="Calibri" w:cs="Times New Roman"/>
          <w:sz w:val="28"/>
          <w:szCs w:val="28"/>
        </w:rPr>
        <w:lastRenderedPageBreak/>
        <w:t>По-</w:t>
      </w:r>
      <w:r w:rsidR="0030517B" w:rsidRPr="00CA099F">
        <w:rPr>
          <w:rFonts w:eastAsia="Calibri" w:cs="Times New Roman"/>
          <w:sz w:val="28"/>
          <w:szCs w:val="28"/>
        </w:rPr>
        <w:t>видимому, описані морфологічні зміни свідчать про внутрішньоклітинну дистрофію, що пустувала в епітеліальному пласті внаслідок розладу трофічних процесів. На інших ділянках епітеліальні клітини вакуолей не утримували, мали переважно витягнуту форму, нечітко виражені міжклітинні межі, ядра їх відрізнялися різною інтенсивністю забарвлення і містили у більшості спостереження 1-2 ядерця.</w:t>
      </w:r>
    </w:p>
    <w:p w:rsidR="0030517B" w:rsidRPr="00CA099F" w:rsidRDefault="0030517B" w:rsidP="0030517B">
      <w:pPr>
        <w:spacing w:after="0" w:line="360" w:lineRule="auto"/>
        <w:ind w:firstLine="709"/>
        <w:jc w:val="both"/>
        <w:rPr>
          <w:rFonts w:eastAsia="Calibri" w:cs="Times New Roman"/>
          <w:sz w:val="28"/>
          <w:szCs w:val="28"/>
        </w:rPr>
      </w:pPr>
      <w:r w:rsidRPr="00CA099F">
        <w:rPr>
          <w:rFonts w:eastAsia="Calibri" w:cs="Times New Roman"/>
          <w:noProof/>
          <w:sz w:val="28"/>
          <w:szCs w:val="28"/>
          <w:lang w:val="ru-RU" w:eastAsia="ru-RU"/>
        </w:rPr>
        <w:drawing>
          <wp:inline distT="0" distB="0" distL="0" distR="0" wp14:anchorId="106B6121" wp14:editId="0279DB80">
            <wp:extent cx="5400675" cy="3771900"/>
            <wp:effectExtent l="0" t="0" r="9525"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400675" cy="3771900"/>
                    </a:xfrm>
                    <a:prstGeom prst="rect">
                      <a:avLst/>
                    </a:prstGeom>
                    <a:noFill/>
                    <a:ln>
                      <a:noFill/>
                    </a:ln>
                  </pic:spPr>
                </pic:pic>
              </a:graphicData>
            </a:graphic>
          </wp:inline>
        </w:drawing>
      </w:r>
    </w:p>
    <w:tbl>
      <w:tblPr>
        <w:tblW w:w="0" w:type="auto"/>
        <w:tblLook w:val="01E0" w:firstRow="1" w:lastRow="1" w:firstColumn="1" w:lastColumn="1" w:noHBand="0" w:noVBand="0"/>
      </w:tblPr>
      <w:tblGrid>
        <w:gridCol w:w="9355"/>
      </w:tblGrid>
      <w:tr w:rsidR="0030517B" w:rsidRPr="00CA099F" w:rsidTr="00E1448E">
        <w:tc>
          <w:tcPr>
            <w:tcW w:w="9464" w:type="dxa"/>
          </w:tcPr>
          <w:p w:rsidR="0030517B" w:rsidRPr="00CA099F" w:rsidRDefault="0030517B" w:rsidP="00E1448E">
            <w:pPr>
              <w:spacing w:after="0" w:line="360" w:lineRule="auto"/>
              <w:jc w:val="both"/>
              <w:rPr>
                <w:rFonts w:eastAsia="Calibri" w:cs="Times New Roman"/>
                <w:szCs w:val="28"/>
              </w:rPr>
            </w:pPr>
            <w:r w:rsidRPr="00CA099F">
              <w:rPr>
                <w:rFonts w:eastAsia="Calibri" w:cs="Times New Roman"/>
                <w:sz w:val="28"/>
                <w:szCs w:val="28"/>
              </w:rPr>
              <w:t>Рис. 4.6. Епітеліальний покрив сполучнотканинного рубця через 6 місяців після оперативного втручання. Контрольна група. Забарвлення гематоксилін-еозином. Об. 40х., ок. 10х. 1 – роговий шар; 2 – зернистий шар; 3 – клітини шипуватого шару з дистрофічними змінами. 4 – базальний шар; 5 – апікальний відділ сполучнотканинного рубця.</w:t>
            </w:r>
          </w:p>
        </w:tc>
      </w:tr>
    </w:tbl>
    <w:p w:rsidR="0030517B" w:rsidRPr="00CA099F" w:rsidRDefault="0030517B" w:rsidP="0030517B">
      <w:pPr>
        <w:spacing w:after="0" w:line="360" w:lineRule="auto"/>
        <w:ind w:firstLine="709"/>
        <w:jc w:val="both"/>
        <w:rPr>
          <w:rFonts w:eastAsia="Calibri" w:cs="Times New Roman"/>
          <w:sz w:val="28"/>
          <w:szCs w:val="28"/>
        </w:rPr>
      </w:pPr>
    </w:p>
    <w:p w:rsidR="0030517B" w:rsidRPr="00CA099F" w:rsidRDefault="0030517B" w:rsidP="0030517B">
      <w:pPr>
        <w:spacing w:after="0" w:line="360" w:lineRule="auto"/>
        <w:ind w:firstLine="709"/>
        <w:jc w:val="both"/>
        <w:rPr>
          <w:rFonts w:eastAsia="Calibri" w:cs="Times New Roman"/>
          <w:sz w:val="28"/>
          <w:szCs w:val="28"/>
        </w:rPr>
      </w:pPr>
      <w:r w:rsidRPr="00CA099F">
        <w:rPr>
          <w:rFonts w:eastAsia="Calibri" w:cs="Times New Roman"/>
          <w:sz w:val="28"/>
          <w:szCs w:val="28"/>
        </w:rPr>
        <w:t>Слід з</w:t>
      </w:r>
      <w:r w:rsidR="00172638">
        <w:rPr>
          <w:rFonts w:eastAsia="Calibri" w:cs="Times New Roman"/>
          <w:sz w:val="28"/>
          <w:szCs w:val="28"/>
        </w:rPr>
        <w:t>азначити, що явищ акантозу, будь</w:t>
      </w:r>
      <w:r w:rsidRPr="00CA099F">
        <w:rPr>
          <w:rFonts w:eastAsia="Calibri" w:cs="Times New Roman"/>
          <w:sz w:val="28"/>
          <w:szCs w:val="28"/>
        </w:rPr>
        <w:t>-</w:t>
      </w:r>
      <w:r w:rsidR="00172638">
        <w:rPr>
          <w:rFonts w:eastAsia="Calibri" w:cs="Times New Roman"/>
          <w:sz w:val="28"/>
          <w:szCs w:val="28"/>
        </w:rPr>
        <w:t>яких</w:t>
      </w:r>
      <w:r w:rsidRPr="00CA099F">
        <w:rPr>
          <w:rFonts w:eastAsia="Calibri" w:cs="Times New Roman"/>
          <w:sz w:val="28"/>
          <w:szCs w:val="28"/>
        </w:rPr>
        <w:t xml:space="preserve"> ознак проліферативної активності епітелію на цих ділянках не спостерігалося, сполучнотканинні сосочки дерми практично не відрізнялися від таких в інтактній шкірі. </w:t>
      </w:r>
    </w:p>
    <w:p w:rsidR="0030517B" w:rsidRPr="00CA099F" w:rsidRDefault="0030517B" w:rsidP="0030517B">
      <w:pPr>
        <w:spacing w:after="0" w:line="360" w:lineRule="auto"/>
        <w:ind w:firstLine="709"/>
        <w:jc w:val="both"/>
        <w:rPr>
          <w:rFonts w:eastAsia="Calibri" w:cs="Times New Roman"/>
          <w:sz w:val="28"/>
          <w:szCs w:val="28"/>
        </w:rPr>
      </w:pPr>
      <w:r w:rsidRPr="00CA099F">
        <w:rPr>
          <w:rFonts w:eastAsia="Calibri" w:cs="Times New Roman"/>
          <w:sz w:val="28"/>
          <w:szCs w:val="28"/>
        </w:rPr>
        <w:t xml:space="preserve">Розташований під епітелієм сполучнотканинний післяопераційний рубець, на описуваному етапі репаративного процесу зазнав значні зміни, що </w:t>
      </w:r>
      <w:r w:rsidRPr="00CA099F">
        <w:rPr>
          <w:rFonts w:eastAsia="Calibri" w:cs="Times New Roman"/>
          <w:sz w:val="28"/>
          <w:szCs w:val="28"/>
        </w:rPr>
        <w:lastRenderedPageBreak/>
        <w:t>стосуються як клітинно-фібрилярного його компонента, так і кровоносного мікросудинного русла. Так, у першу чергу слід зазначити значне зменшення питомої ваги розташування клітинних елементів у сполучнотканинному рубці, у порівнянні з попереднім терміном, яка, згідно проведеним мор</w:t>
      </w:r>
      <w:r w:rsidR="00A6190F">
        <w:rPr>
          <w:rFonts w:eastAsia="Calibri" w:cs="Times New Roman"/>
          <w:sz w:val="28"/>
          <w:szCs w:val="28"/>
        </w:rPr>
        <w:t>фометричним дослідженням складала</w:t>
      </w:r>
      <w:r w:rsidRPr="00CA099F">
        <w:rPr>
          <w:rFonts w:eastAsia="Calibri" w:cs="Times New Roman"/>
          <w:sz w:val="28"/>
          <w:szCs w:val="28"/>
        </w:rPr>
        <w:t xml:space="preserve"> в середньому 247 ± 14 в 10000 мкм</w:t>
      </w:r>
      <w:r w:rsidRPr="00CA099F">
        <w:rPr>
          <w:rFonts w:eastAsia="Calibri" w:cs="Times New Roman"/>
          <w:sz w:val="28"/>
          <w:szCs w:val="28"/>
          <w:vertAlign w:val="superscript"/>
        </w:rPr>
        <w:t>2</w:t>
      </w:r>
      <w:r w:rsidRPr="00CA099F">
        <w:rPr>
          <w:rFonts w:eastAsia="Calibri" w:cs="Times New Roman"/>
          <w:sz w:val="28"/>
          <w:szCs w:val="28"/>
        </w:rPr>
        <w:t>.</w:t>
      </w:r>
    </w:p>
    <w:p w:rsidR="0030517B" w:rsidRPr="00CA099F" w:rsidRDefault="0030517B" w:rsidP="0030517B">
      <w:pPr>
        <w:spacing w:after="0" w:line="360" w:lineRule="auto"/>
        <w:ind w:firstLine="709"/>
        <w:jc w:val="both"/>
        <w:rPr>
          <w:rFonts w:eastAsia="Calibri" w:cs="Times New Roman"/>
          <w:sz w:val="28"/>
          <w:szCs w:val="28"/>
        </w:rPr>
      </w:pPr>
      <w:r w:rsidRPr="00CA099F">
        <w:rPr>
          <w:rFonts w:eastAsia="Calibri" w:cs="Times New Roman"/>
          <w:sz w:val="28"/>
          <w:szCs w:val="28"/>
        </w:rPr>
        <w:t>Окрім фібробластів у рубцевій тканині в незначній кількості визначаються лімфоцити, плазматичні клітини, лаброцити. Сумарна доля перерахованих клітинних елементів склала 9 ± 2 % усіх клітинних популяцій. Слід зазначити, що характер розподілу клітинних структур практично однорідний в усіх відділах рубця, що не дозволя</w:t>
      </w:r>
      <w:r w:rsidR="00A6190F">
        <w:rPr>
          <w:rFonts w:eastAsia="Calibri" w:cs="Times New Roman"/>
          <w:sz w:val="28"/>
          <w:szCs w:val="28"/>
        </w:rPr>
        <w:t>ло</w:t>
      </w:r>
      <w:r w:rsidRPr="00CA099F">
        <w:rPr>
          <w:rFonts w:eastAsia="Calibri" w:cs="Times New Roman"/>
          <w:sz w:val="28"/>
          <w:szCs w:val="28"/>
        </w:rPr>
        <w:t xml:space="preserve"> виділити в н</w:t>
      </w:r>
      <w:r w:rsidR="00A6190F">
        <w:rPr>
          <w:rFonts w:eastAsia="Calibri" w:cs="Times New Roman"/>
          <w:sz w:val="28"/>
          <w:szCs w:val="28"/>
        </w:rPr>
        <w:t>ьому</w:t>
      </w:r>
      <w:r w:rsidRPr="00CA099F">
        <w:rPr>
          <w:rFonts w:eastAsia="Calibri" w:cs="Times New Roman"/>
          <w:sz w:val="28"/>
          <w:szCs w:val="28"/>
        </w:rPr>
        <w:t xml:space="preserve"> як раніше, окремі зони. </w:t>
      </w:r>
    </w:p>
    <w:p w:rsidR="0030517B" w:rsidRPr="00CA099F" w:rsidRDefault="0030517B" w:rsidP="0030517B">
      <w:pPr>
        <w:spacing w:after="0" w:line="360" w:lineRule="auto"/>
        <w:ind w:firstLine="709"/>
        <w:jc w:val="both"/>
        <w:rPr>
          <w:rFonts w:eastAsia="Calibri" w:cs="Times New Roman"/>
          <w:sz w:val="28"/>
          <w:szCs w:val="28"/>
        </w:rPr>
      </w:pPr>
      <w:r w:rsidRPr="00CA099F">
        <w:rPr>
          <w:rFonts w:eastAsia="Calibri" w:cs="Times New Roman"/>
          <w:sz w:val="28"/>
          <w:szCs w:val="28"/>
        </w:rPr>
        <w:t xml:space="preserve">Помітно в рубці зросла відносна кількість колагенових волокон, пучки яких на препаратах забарвлених гематоксиліном і еозином мали вигляд еозинофільних, гомогенних тяжів, а пикрофуксином інтенсивно забарвлювалися в яскраво-червоний колір. Пучки колагенових волокон розташовувалися в апікальних частинах рубця переважно перпендикулярно по відношенню до епітеліального покриву, а в середніх і базальних відділах, в основному подовжньо. Слід зазначити, що подібне орієнтування </w:t>
      </w:r>
      <w:r w:rsidR="0090257C">
        <w:rPr>
          <w:rFonts w:eastAsia="Calibri" w:cs="Times New Roman"/>
          <w:sz w:val="28"/>
          <w:szCs w:val="28"/>
        </w:rPr>
        <w:t>колагенових волокон не співпадало</w:t>
      </w:r>
      <w:r w:rsidRPr="00CA099F">
        <w:rPr>
          <w:rFonts w:eastAsia="Calibri" w:cs="Times New Roman"/>
          <w:sz w:val="28"/>
          <w:szCs w:val="28"/>
        </w:rPr>
        <w:t xml:space="preserve"> з напрямом фібрилярних структур неушкодженої дерми, що разом з відсутністю придатків шкіри, є характерною відмінною ознакою післяопераційного рубця від неушкодженої дерми. </w:t>
      </w:r>
    </w:p>
    <w:p w:rsidR="0030517B" w:rsidRPr="00CA099F" w:rsidRDefault="0030517B" w:rsidP="0030517B">
      <w:pPr>
        <w:spacing w:after="0" w:line="360" w:lineRule="auto"/>
        <w:ind w:firstLine="709"/>
        <w:jc w:val="both"/>
        <w:rPr>
          <w:rFonts w:eastAsia="Calibri" w:cs="Times New Roman"/>
          <w:sz w:val="28"/>
          <w:szCs w:val="28"/>
        </w:rPr>
      </w:pPr>
      <w:r w:rsidRPr="00CA099F">
        <w:rPr>
          <w:rFonts w:eastAsia="Calibri" w:cs="Times New Roman"/>
          <w:sz w:val="28"/>
          <w:szCs w:val="28"/>
        </w:rPr>
        <w:t>Значно, в порівнянні з попереднім етапом репаративного процесу</w:t>
      </w:r>
      <w:r w:rsidR="004D0CF5">
        <w:rPr>
          <w:rFonts w:eastAsia="Calibri" w:cs="Times New Roman"/>
          <w:sz w:val="28"/>
          <w:szCs w:val="28"/>
        </w:rPr>
        <w:t>,</w:t>
      </w:r>
      <w:r w:rsidRPr="00CA099F">
        <w:rPr>
          <w:rFonts w:eastAsia="Calibri" w:cs="Times New Roman"/>
          <w:sz w:val="28"/>
          <w:szCs w:val="28"/>
        </w:rPr>
        <w:t xml:space="preserve"> в сполучнотканинному рубці зменшилася кількість кровоносних мікросудин. </w:t>
      </w:r>
      <w:r w:rsidR="004D0CF5">
        <w:rPr>
          <w:rFonts w:eastAsia="Calibri" w:cs="Times New Roman"/>
          <w:sz w:val="28"/>
          <w:szCs w:val="28"/>
        </w:rPr>
        <w:t>Останні</w:t>
      </w:r>
      <w:r w:rsidRPr="00CA099F">
        <w:rPr>
          <w:rFonts w:eastAsia="Calibri" w:cs="Times New Roman"/>
          <w:sz w:val="28"/>
          <w:szCs w:val="28"/>
        </w:rPr>
        <w:t xml:space="preserve"> в незначній кількості виявлялися в усіх відділах рубця і</w:t>
      </w:r>
      <w:r w:rsidR="004D0CF5">
        <w:rPr>
          <w:rFonts w:eastAsia="Calibri" w:cs="Times New Roman"/>
          <w:sz w:val="28"/>
          <w:szCs w:val="28"/>
        </w:rPr>
        <w:t>,</w:t>
      </w:r>
      <w:r w:rsidRPr="00CA099F">
        <w:rPr>
          <w:rFonts w:eastAsia="Calibri" w:cs="Times New Roman"/>
          <w:sz w:val="28"/>
          <w:szCs w:val="28"/>
        </w:rPr>
        <w:t xml:space="preserve"> у ряді випадків, характеризувалися потовщеною гомогенною стінкою і звуженим просвітом, що може побічно свідчити про тривалі явища редукції кровоносного русла (рис. 4.7).</w:t>
      </w:r>
    </w:p>
    <w:tbl>
      <w:tblPr>
        <w:tblW w:w="0" w:type="auto"/>
        <w:tblLook w:val="01E0" w:firstRow="1" w:lastRow="1" w:firstColumn="1" w:lastColumn="1" w:noHBand="0" w:noVBand="0"/>
      </w:tblPr>
      <w:tblGrid>
        <w:gridCol w:w="9355"/>
      </w:tblGrid>
      <w:tr w:rsidR="0030517B" w:rsidRPr="00CA099F" w:rsidTr="00E1448E">
        <w:tc>
          <w:tcPr>
            <w:tcW w:w="9571" w:type="dxa"/>
          </w:tcPr>
          <w:p w:rsidR="0030517B" w:rsidRPr="00CA099F" w:rsidRDefault="0030517B" w:rsidP="00E1448E">
            <w:pPr>
              <w:spacing w:after="0" w:line="360" w:lineRule="auto"/>
              <w:ind w:firstLine="709"/>
              <w:jc w:val="both"/>
              <w:rPr>
                <w:rFonts w:eastAsia="Calibri" w:cs="Times New Roman"/>
                <w:szCs w:val="28"/>
              </w:rPr>
            </w:pPr>
            <w:r w:rsidRPr="00CA099F">
              <w:rPr>
                <w:rFonts w:eastAsia="Calibri" w:cs="Times New Roman"/>
                <w:noProof/>
                <w:sz w:val="28"/>
                <w:szCs w:val="28"/>
                <w:lang w:val="ru-RU" w:eastAsia="ru-RU"/>
              </w:rPr>
              <w:lastRenderedPageBreak/>
              <w:drawing>
                <wp:inline distT="0" distB="0" distL="0" distR="0" wp14:anchorId="17E66CEF" wp14:editId="7DEDBF7A">
                  <wp:extent cx="5381625" cy="3810000"/>
                  <wp:effectExtent l="0" t="0" r="9525"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381625" cy="3810000"/>
                          </a:xfrm>
                          <a:prstGeom prst="rect">
                            <a:avLst/>
                          </a:prstGeom>
                          <a:noFill/>
                          <a:ln>
                            <a:noFill/>
                          </a:ln>
                        </pic:spPr>
                      </pic:pic>
                    </a:graphicData>
                  </a:graphic>
                </wp:inline>
              </w:drawing>
            </w:r>
          </w:p>
        </w:tc>
      </w:tr>
      <w:tr w:rsidR="0030517B" w:rsidRPr="00CA099F" w:rsidTr="00E1448E">
        <w:tc>
          <w:tcPr>
            <w:tcW w:w="9571" w:type="dxa"/>
          </w:tcPr>
          <w:p w:rsidR="0030517B" w:rsidRPr="00CA099F" w:rsidRDefault="0030517B" w:rsidP="00E1448E">
            <w:pPr>
              <w:spacing w:after="0" w:line="360" w:lineRule="auto"/>
              <w:jc w:val="both"/>
              <w:rPr>
                <w:rFonts w:eastAsia="Calibri" w:cs="Times New Roman"/>
                <w:szCs w:val="28"/>
              </w:rPr>
            </w:pPr>
            <w:r w:rsidRPr="00CA099F">
              <w:rPr>
                <w:rFonts w:eastAsia="Calibri" w:cs="Times New Roman"/>
                <w:sz w:val="28"/>
                <w:szCs w:val="28"/>
              </w:rPr>
              <w:t xml:space="preserve">Рис. 4.7. Будова післяопераційного сполучнотканинного рубця через 6 місяців після оперативного втручання (контрольна група). Забарвлення гематоксилін-еозином. О. 40х., ок. 10х. 1 – кровоносні мікросудини з явищами редукції; 2 – пучки колагенових волокон; 3 – фібробласти; 4 – лімфоцит. </w:t>
            </w:r>
          </w:p>
        </w:tc>
      </w:tr>
    </w:tbl>
    <w:p w:rsidR="0030517B" w:rsidRPr="00CA099F" w:rsidRDefault="0030517B" w:rsidP="0030517B">
      <w:pPr>
        <w:spacing w:after="0" w:line="360" w:lineRule="auto"/>
        <w:ind w:firstLine="709"/>
        <w:jc w:val="both"/>
        <w:rPr>
          <w:rFonts w:eastAsia="Calibri" w:cs="Times New Roman"/>
          <w:sz w:val="28"/>
          <w:szCs w:val="28"/>
        </w:rPr>
      </w:pPr>
    </w:p>
    <w:p w:rsidR="0030517B" w:rsidRPr="00CA099F" w:rsidRDefault="0030517B" w:rsidP="0030517B">
      <w:pPr>
        <w:spacing w:after="0" w:line="360" w:lineRule="auto"/>
        <w:ind w:firstLine="709"/>
        <w:jc w:val="both"/>
        <w:rPr>
          <w:rFonts w:eastAsia="Calibri" w:cs="Times New Roman"/>
          <w:sz w:val="28"/>
          <w:szCs w:val="28"/>
        </w:rPr>
      </w:pPr>
      <w:r w:rsidRPr="00CA099F">
        <w:rPr>
          <w:rFonts w:eastAsia="Calibri" w:cs="Times New Roman"/>
          <w:sz w:val="28"/>
          <w:szCs w:val="28"/>
        </w:rPr>
        <w:t>Проведене імуногістохімічне дослідження з антитілами до білку Кі-67, виявило приблизн</w:t>
      </w:r>
      <w:r w:rsidR="006631C9">
        <w:rPr>
          <w:rFonts w:eastAsia="Calibri" w:cs="Times New Roman"/>
          <w:sz w:val="28"/>
          <w:szCs w:val="28"/>
        </w:rPr>
        <w:t>о в 20% базальних епітеліоцитів</w:t>
      </w:r>
      <w:r w:rsidRPr="00CA099F">
        <w:rPr>
          <w:rFonts w:eastAsia="Calibri" w:cs="Times New Roman"/>
          <w:sz w:val="28"/>
          <w:szCs w:val="28"/>
        </w:rPr>
        <w:t xml:space="preserve"> позитивну інтрануклеарну експресію. Клітини сполучнотканинного рубця лише в </w:t>
      </w:r>
      <w:r w:rsidR="006631C9">
        <w:rPr>
          <w:rFonts w:eastAsia="Calibri" w:cs="Times New Roman"/>
          <w:sz w:val="28"/>
          <w:szCs w:val="28"/>
        </w:rPr>
        <w:t>поодиноких</w:t>
      </w:r>
      <w:r w:rsidRPr="00CA099F">
        <w:rPr>
          <w:rFonts w:eastAsia="Calibri" w:cs="Times New Roman"/>
          <w:sz w:val="28"/>
          <w:szCs w:val="28"/>
        </w:rPr>
        <w:t xml:space="preserve"> спостереженнях були позитивні до вказаного маркера, в клітинних елементах стінок кровоносних мікросудин позитивної реакції нами виявлено не було (рис. 4.8). </w:t>
      </w:r>
    </w:p>
    <w:tbl>
      <w:tblPr>
        <w:tblW w:w="0" w:type="auto"/>
        <w:tblLook w:val="01E0" w:firstRow="1" w:lastRow="1" w:firstColumn="1" w:lastColumn="1" w:noHBand="0" w:noVBand="0"/>
      </w:tblPr>
      <w:tblGrid>
        <w:gridCol w:w="9355"/>
      </w:tblGrid>
      <w:tr w:rsidR="0030517B" w:rsidRPr="00CA099F" w:rsidTr="00E1448E">
        <w:tc>
          <w:tcPr>
            <w:tcW w:w="9571" w:type="dxa"/>
          </w:tcPr>
          <w:p w:rsidR="0030517B" w:rsidRPr="00CA099F" w:rsidRDefault="0030517B" w:rsidP="00E1448E">
            <w:pPr>
              <w:spacing w:after="0" w:line="360" w:lineRule="auto"/>
              <w:ind w:firstLine="709"/>
              <w:jc w:val="both"/>
              <w:rPr>
                <w:rFonts w:eastAsia="Calibri" w:cs="Times New Roman"/>
                <w:szCs w:val="28"/>
              </w:rPr>
            </w:pPr>
            <w:r w:rsidRPr="00CA099F">
              <w:rPr>
                <w:rFonts w:eastAsia="Calibri" w:cs="Times New Roman"/>
                <w:noProof/>
                <w:sz w:val="28"/>
                <w:szCs w:val="28"/>
                <w:lang w:val="ru-RU" w:eastAsia="ru-RU"/>
              </w:rPr>
              <w:lastRenderedPageBreak/>
              <w:drawing>
                <wp:inline distT="0" distB="0" distL="0" distR="0" wp14:anchorId="24D79412" wp14:editId="7D584DFA">
                  <wp:extent cx="5391150" cy="3609975"/>
                  <wp:effectExtent l="0" t="0" r="0" b="9525"/>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391150" cy="3609975"/>
                          </a:xfrm>
                          <a:prstGeom prst="rect">
                            <a:avLst/>
                          </a:prstGeom>
                          <a:noFill/>
                          <a:ln>
                            <a:noFill/>
                          </a:ln>
                        </pic:spPr>
                      </pic:pic>
                    </a:graphicData>
                  </a:graphic>
                </wp:inline>
              </w:drawing>
            </w:r>
          </w:p>
        </w:tc>
      </w:tr>
      <w:tr w:rsidR="006631C9" w:rsidRPr="006631C9" w:rsidTr="00E1448E">
        <w:tc>
          <w:tcPr>
            <w:tcW w:w="9571" w:type="dxa"/>
          </w:tcPr>
          <w:p w:rsidR="0030517B" w:rsidRPr="006631C9" w:rsidRDefault="002B33FD" w:rsidP="006631C9">
            <w:pPr>
              <w:spacing w:after="0" w:line="360" w:lineRule="auto"/>
              <w:jc w:val="both"/>
              <w:rPr>
                <w:rFonts w:eastAsia="Calibri" w:cs="Times New Roman"/>
                <w:szCs w:val="28"/>
              </w:rPr>
            </w:pPr>
            <w:r w:rsidRPr="006631C9">
              <w:rPr>
                <w:rFonts w:eastAsia="Calibri" w:cs="Times New Roman"/>
                <w:sz w:val="28"/>
                <w:szCs w:val="28"/>
              </w:rPr>
              <w:t>Рис. 4.8</w:t>
            </w:r>
            <w:r w:rsidR="0030517B" w:rsidRPr="006631C9">
              <w:rPr>
                <w:rFonts w:eastAsia="Calibri" w:cs="Times New Roman"/>
                <w:sz w:val="28"/>
                <w:szCs w:val="28"/>
              </w:rPr>
              <w:t xml:space="preserve"> Реакція моноклональних антитіл до Кі - 67 в сполучнотканинному рубці через 6 місяців після оперативного втручання (контрольна група)</w:t>
            </w:r>
            <w:r w:rsidR="006631C9" w:rsidRPr="006631C9">
              <w:rPr>
                <w:rFonts w:eastAsia="Calibri" w:cs="Times New Roman"/>
                <w:sz w:val="28"/>
                <w:szCs w:val="28"/>
              </w:rPr>
              <w:t>. Об.10х., ок. 10х. Спостерігалас</w:t>
            </w:r>
            <w:r w:rsidR="0030517B" w:rsidRPr="006631C9">
              <w:rPr>
                <w:rFonts w:eastAsia="Calibri" w:cs="Times New Roman"/>
                <w:sz w:val="28"/>
                <w:szCs w:val="28"/>
              </w:rPr>
              <w:t>я позитивна експресія в нечисленних фібробластах, в клітинних елементах стінки кровоносної судини експресія відсутня.</w:t>
            </w:r>
          </w:p>
        </w:tc>
      </w:tr>
    </w:tbl>
    <w:p w:rsidR="0030517B" w:rsidRPr="00CA099F" w:rsidRDefault="0030517B" w:rsidP="0030517B">
      <w:pPr>
        <w:spacing w:after="0" w:line="360" w:lineRule="auto"/>
        <w:ind w:firstLine="709"/>
        <w:jc w:val="both"/>
        <w:rPr>
          <w:rFonts w:eastAsia="Calibri" w:cs="Times New Roman"/>
          <w:sz w:val="28"/>
          <w:szCs w:val="28"/>
        </w:rPr>
      </w:pPr>
    </w:p>
    <w:p w:rsidR="0030517B" w:rsidRPr="00CA099F" w:rsidRDefault="006631C9" w:rsidP="0030517B">
      <w:pPr>
        <w:spacing w:after="0" w:line="360" w:lineRule="auto"/>
        <w:ind w:firstLine="709"/>
        <w:jc w:val="both"/>
        <w:rPr>
          <w:rFonts w:eastAsia="Calibri" w:cs="Times New Roman"/>
          <w:sz w:val="28"/>
          <w:szCs w:val="28"/>
        </w:rPr>
      </w:pPr>
      <w:r>
        <w:rPr>
          <w:rFonts w:eastAsia="Calibri" w:cs="Times New Roman"/>
          <w:sz w:val="28"/>
          <w:szCs w:val="28"/>
        </w:rPr>
        <w:t>В</w:t>
      </w:r>
      <w:r w:rsidR="0030517B" w:rsidRPr="00CA099F">
        <w:rPr>
          <w:rFonts w:eastAsia="Calibri" w:cs="Times New Roman"/>
          <w:sz w:val="28"/>
          <w:szCs w:val="28"/>
        </w:rPr>
        <w:t xml:space="preserve"> інтактній дермі навколо сполучн</w:t>
      </w:r>
      <w:r w:rsidR="008F5DE6">
        <w:rPr>
          <w:rFonts w:eastAsia="Calibri" w:cs="Times New Roman"/>
          <w:sz w:val="28"/>
          <w:szCs w:val="28"/>
        </w:rPr>
        <w:t>отканинного</w:t>
      </w:r>
      <w:r w:rsidR="0030517B" w:rsidRPr="00CA099F">
        <w:rPr>
          <w:rFonts w:eastAsia="Calibri" w:cs="Times New Roman"/>
          <w:sz w:val="28"/>
          <w:szCs w:val="28"/>
        </w:rPr>
        <w:t xml:space="preserve"> рубця описані раніше клітинні і судинні реакції виявлялися досить рідко і були слабо виражені. У той же час, досить часто нами були відмічені зміни в сальних і п</w:t>
      </w:r>
      <w:r w:rsidR="008F5DE6">
        <w:rPr>
          <w:rFonts w:eastAsia="Calibri" w:cs="Times New Roman"/>
          <w:sz w:val="28"/>
          <w:szCs w:val="28"/>
        </w:rPr>
        <w:t>отових залозах тих, що знаходили</w:t>
      </w:r>
      <w:r w:rsidR="0030517B" w:rsidRPr="00CA099F">
        <w:rPr>
          <w:rFonts w:eastAsia="Calibri" w:cs="Times New Roman"/>
          <w:sz w:val="28"/>
          <w:szCs w:val="28"/>
        </w:rPr>
        <w:t>ся недалеко від сполучнотканинного рубця. Так, звертали на себе увагу гіперпла</w:t>
      </w:r>
      <w:r w:rsidR="008F5DE6">
        <w:rPr>
          <w:rFonts w:eastAsia="Calibri" w:cs="Times New Roman"/>
          <w:sz w:val="28"/>
          <w:szCs w:val="28"/>
        </w:rPr>
        <w:t>стичні процеси, що спостерігали</w:t>
      </w:r>
      <w:r w:rsidR="0030517B" w:rsidRPr="00CA099F">
        <w:rPr>
          <w:rFonts w:eastAsia="Calibri" w:cs="Times New Roman"/>
          <w:sz w:val="28"/>
          <w:szCs w:val="28"/>
        </w:rPr>
        <w:t>ся в кінцевих відділах сальних і потових залоз</w:t>
      </w:r>
      <w:r w:rsidR="008F5DE6">
        <w:rPr>
          <w:rFonts w:eastAsia="Calibri" w:cs="Times New Roman"/>
          <w:sz w:val="28"/>
          <w:szCs w:val="28"/>
        </w:rPr>
        <w:t xml:space="preserve"> і що проявляло</w:t>
      </w:r>
      <w:r w:rsidR="0030517B" w:rsidRPr="00CA099F">
        <w:rPr>
          <w:rFonts w:eastAsia="Calibri" w:cs="Times New Roman"/>
          <w:sz w:val="28"/>
          <w:szCs w:val="28"/>
        </w:rPr>
        <w:t>ся деяким збільшенням їх лінійних розмірів. Швидше за все, цей процес носив компенсаторно-пристосувальний характер і був спрямований</w:t>
      </w:r>
      <w:r w:rsidR="009D34FA">
        <w:rPr>
          <w:rFonts w:eastAsia="Calibri" w:cs="Times New Roman"/>
          <w:sz w:val="28"/>
          <w:szCs w:val="28"/>
        </w:rPr>
        <w:t>,</w:t>
      </w:r>
      <w:r w:rsidR="0030517B" w:rsidRPr="00CA099F">
        <w:rPr>
          <w:rFonts w:eastAsia="Calibri" w:cs="Times New Roman"/>
          <w:sz w:val="28"/>
          <w:szCs w:val="28"/>
        </w:rPr>
        <w:t xml:space="preserve"> в першу чергу</w:t>
      </w:r>
      <w:r w:rsidR="009D34FA">
        <w:rPr>
          <w:rFonts w:eastAsia="Calibri" w:cs="Times New Roman"/>
          <w:sz w:val="28"/>
          <w:szCs w:val="28"/>
        </w:rPr>
        <w:t>,</w:t>
      </w:r>
      <w:r w:rsidR="0030517B" w:rsidRPr="00CA099F">
        <w:rPr>
          <w:rFonts w:eastAsia="Calibri" w:cs="Times New Roman"/>
          <w:sz w:val="28"/>
          <w:szCs w:val="28"/>
        </w:rPr>
        <w:t xml:space="preserve"> на часткову компенсацію функції придатків шкіри, загиблих внаслідок травматичного ушкодження. </w:t>
      </w:r>
    </w:p>
    <w:p w:rsidR="0030517B" w:rsidRPr="00CA099F" w:rsidRDefault="0030517B" w:rsidP="0030517B">
      <w:pPr>
        <w:spacing w:after="0" w:line="360" w:lineRule="auto"/>
        <w:ind w:firstLine="709"/>
        <w:jc w:val="both"/>
        <w:rPr>
          <w:rFonts w:eastAsia="Calibri" w:cs="Times New Roman"/>
          <w:sz w:val="28"/>
          <w:szCs w:val="28"/>
        </w:rPr>
      </w:pPr>
      <w:r w:rsidRPr="00CA099F">
        <w:rPr>
          <w:rFonts w:eastAsia="Calibri" w:cs="Times New Roman"/>
          <w:sz w:val="28"/>
          <w:szCs w:val="28"/>
        </w:rPr>
        <w:t xml:space="preserve">У </w:t>
      </w:r>
      <w:r w:rsidR="00D96DA9">
        <w:rPr>
          <w:rFonts w:eastAsia="Calibri" w:cs="Times New Roman"/>
          <w:sz w:val="28"/>
          <w:szCs w:val="28"/>
        </w:rPr>
        <w:t>пацієнтів</w:t>
      </w:r>
      <w:r w:rsidRPr="00CA099F">
        <w:rPr>
          <w:rFonts w:eastAsia="Calibri" w:cs="Times New Roman"/>
          <w:sz w:val="28"/>
          <w:szCs w:val="28"/>
        </w:rPr>
        <w:t xml:space="preserve"> 1 групи, яким був введений PRF-згусток, через 6 місяців </w:t>
      </w:r>
      <w:r w:rsidR="009D34FA">
        <w:rPr>
          <w:rFonts w:eastAsia="Calibri" w:cs="Times New Roman"/>
          <w:sz w:val="28"/>
          <w:szCs w:val="28"/>
        </w:rPr>
        <w:t>ділянка</w:t>
      </w:r>
      <w:r w:rsidRPr="00CA099F">
        <w:rPr>
          <w:rFonts w:eastAsia="Calibri" w:cs="Times New Roman"/>
          <w:sz w:val="28"/>
          <w:szCs w:val="28"/>
        </w:rPr>
        <w:t xml:space="preserve"> післяопераційного втручання візуально не мала істотних відмінностей від такої в контрольній групі. </w:t>
      </w:r>
    </w:p>
    <w:p w:rsidR="0030517B" w:rsidRPr="00CA099F" w:rsidRDefault="0030517B" w:rsidP="0030517B">
      <w:pPr>
        <w:spacing w:after="0" w:line="360" w:lineRule="auto"/>
        <w:ind w:firstLine="709"/>
        <w:jc w:val="both"/>
        <w:rPr>
          <w:rFonts w:eastAsia="Calibri" w:cs="Times New Roman"/>
          <w:sz w:val="28"/>
          <w:szCs w:val="28"/>
        </w:rPr>
      </w:pPr>
      <w:r w:rsidRPr="00CA099F">
        <w:rPr>
          <w:rFonts w:eastAsia="Calibri" w:cs="Times New Roman"/>
          <w:sz w:val="28"/>
          <w:szCs w:val="28"/>
        </w:rPr>
        <w:lastRenderedPageBreak/>
        <w:t xml:space="preserve">На мікропрепаратах в усіх спостереженнях візуалізувався покривний епітелій, товщина якого коливалася в межах 41 ± 4 мкм, що в цілому відповідало товщині інтактного епідермісу цієї області. </w:t>
      </w:r>
      <w:r w:rsidR="001C7A6D">
        <w:rPr>
          <w:rFonts w:eastAsia="Calibri" w:cs="Times New Roman"/>
          <w:sz w:val="28"/>
          <w:szCs w:val="28"/>
        </w:rPr>
        <w:t>В</w:t>
      </w:r>
      <w:r w:rsidRPr="00CA099F">
        <w:rPr>
          <w:rFonts w:eastAsia="Calibri" w:cs="Times New Roman"/>
          <w:sz w:val="28"/>
          <w:szCs w:val="28"/>
        </w:rPr>
        <w:t xml:space="preserve"> епітеліальному пласті визначалися базальний, шипуватий, зернистий і роговий шари, клітинний склад яких не мав помітних відмінностей від інтактного епідермісу.</w:t>
      </w:r>
    </w:p>
    <w:p w:rsidR="0030517B" w:rsidRPr="00CA099F" w:rsidRDefault="0030517B" w:rsidP="0030517B">
      <w:pPr>
        <w:spacing w:after="0" w:line="360" w:lineRule="auto"/>
        <w:ind w:firstLine="709"/>
        <w:jc w:val="both"/>
        <w:rPr>
          <w:rFonts w:eastAsia="Calibri" w:cs="Times New Roman"/>
          <w:sz w:val="28"/>
          <w:szCs w:val="28"/>
        </w:rPr>
      </w:pPr>
      <w:r w:rsidRPr="00CA099F">
        <w:rPr>
          <w:rFonts w:eastAsia="Calibri" w:cs="Times New Roman"/>
          <w:sz w:val="28"/>
          <w:szCs w:val="28"/>
        </w:rPr>
        <w:t>Описані раніше процеси порушення епітелізації, які мали місце в контрольній групі, зустрічалися значно рідше (3 спостереження) і проявлялися в основному гідропічною дистрофією епітеліоцитів шипуватого шару, нерівномірною товщиною епітеліального покриву над сполучнотканинним рубцем. Сполучнотканинні сосочки, що розділяються акантотичними епітеліальними пластами, мали типову будову, відносно мономорфні розміри і практично не відрізнялися від таких в інтактній шкірі.</w:t>
      </w:r>
    </w:p>
    <w:p w:rsidR="0030517B" w:rsidRPr="00CA099F" w:rsidRDefault="0030517B" w:rsidP="0030517B">
      <w:pPr>
        <w:spacing w:after="0" w:line="360" w:lineRule="auto"/>
        <w:ind w:firstLine="709"/>
        <w:jc w:val="both"/>
        <w:rPr>
          <w:rFonts w:eastAsia="Calibri" w:cs="Times New Roman"/>
          <w:sz w:val="28"/>
          <w:szCs w:val="28"/>
        </w:rPr>
      </w:pPr>
      <w:r w:rsidRPr="00CA099F">
        <w:rPr>
          <w:rFonts w:eastAsia="Calibri" w:cs="Times New Roman"/>
          <w:sz w:val="28"/>
          <w:szCs w:val="28"/>
        </w:rPr>
        <w:t>Сполучнотканинний рубець, розташований під епітеліальним покривом</w:t>
      </w:r>
      <w:r w:rsidR="00A630AC">
        <w:rPr>
          <w:rFonts w:eastAsia="Calibri" w:cs="Times New Roman"/>
          <w:sz w:val="28"/>
          <w:szCs w:val="28"/>
        </w:rPr>
        <w:t>,</w:t>
      </w:r>
      <w:r w:rsidRPr="00CA099F">
        <w:rPr>
          <w:rFonts w:eastAsia="Calibri" w:cs="Times New Roman"/>
          <w:sz w:val="28"/>
          <w:szCs w:val="28"/>
        </w:rPr>
        <w:t xml:space="preserve"> не мав помітних відмінностей від такого в контрольній групі, проте при проведенні</w:t>
      </w:r>
      <w:r w:rsidR="00A630AC">
        <w:rPr>
          <w:rFonts w:eastAsia="Calibri" w:cs="Times New Roman"/>
          <w:sz w:val="28"/>
          <w:szCs w:val="28"/>
        </w:rPr>
        <w:t xml:space="preserve"> морфометричних досліджень вдало</w:t>
      </w:r>
      <w:r w:rsidRPr="00CA099F">
        <w:rPr>
          <w:rFonts w:eastAsia="Calibri" w:cs="Times New Roman"/>
          <w:sz w:val="28"/>
          <w:szCs w:val="28"/>
        </w:rPr>
        <w:t>ся відмітити деяке зменшення питомої ваги розташування клітинних елементів – 269 ± 23 в 10000 мкм</w:t>
      </w:r>
      <w:r w:rsidRPr="00CA099F">
        <w:rPr>
          <w:rFonts w:eastAsia="Calibri" w:cs="Times New Roman"/>
          <w:sz w:val="28"/>
          <w:szCs w:val="28"/>
          <w:vertAlign w:val="superscript"/>
        </w:rPr>
        <w:t>2</w:t>
      </w:r>
      <w:r w:rsidRPr="00CA099F">
        <w:rPr>
          <w:rFonts w:eastAsia="Calibri" w:cs="Times New Roman"/>
          <w:sz w:val="28"/>
          <w:szCs w:val="28"/>
        </w:rPr>
        <w:t>.</w:t>
      </w:r>
    </w:p>
    <w:p w:rsidR="0030517B" w:rsidRPr="00CA099F" w:rsidRDefault="0030517B" w:rsidP="0030517B">
      <w:pPr>
        <w:spacing w:after="0" w:line="360" w:lineRule="auto"/>
        <w:ind w:firstLine="709"/>
        <w:jc w:val="both"/>
        <w:rPr>
          <w:rFonts w:eastAsia="Calibri" w:cs="Times New Roman"/>
          <w:sz w:val="28"/>
          <w:szCs w:val="28"/>
        </w:rPr>
      </w:pPr>
      <w:r w:rsidRPr="00CA099F">
        <w:rPr>
          <w:rFonts w:eastAsia="Calibri" w:cs="Times New Roman"/>
          <w:sz w:val="28"/>
          <w:szCs w:val="28"/>
        </w:rPr>
        <w:t>Розташування пучків колагенових волокон зберігало виявлену раніше тенденцію – в апікальних відділах рубця вони розташовувалися переважно перпендикулярно до покривного епітелію, в середніх і базальних відділах – паралельно. Товщина фібрилярних пучків приблизно відповідала такій в контрольній групі. Слід зазначити, що в цій групі лінійні розміри рубця, візуально визначалися на мікропрепаратах були дещо менші в порівнянні з контрольною групою. Пов'язаний цей фа</w:t>
      </w:r>
      <w:r w:rsidR="008634E4">
        <w:rPr>
          <w:rFonts w:eastAsia="Calibri" w:cs="Times New Roman"/>
          <w:sz w:val="28"/>
          <w:szCs w:val="28"/>
        </w:rPr>
        <w:t>к</w:t>
      </w:r>
      <w:r w:rsidRPr="00CA099F">
        <w:rPr>
          <w:rFonts w:eastAsia="Calibri" w:cs="Times New Roman"/>
          <w:sz w:val="28"/>
          <w:szCs w:val="28"/>
        </w:rPr>
        <w:t xml:space="preserve">т, </w:t>
      </w:r>
      <w:r w:rsidR="008634E4">
        <w:rPr>
          <w:rFonts w:eastAsia="Calibri" w:cs="Times New Roman"/>
          <w:sz w:val="28"/>
          <w:szCs w:val="28"/>
        </w:rPr>
        <w:t>вірогідно, з тим, що активно відбувало</w:t>
      </w:r>
      <w:r w:rsidRPr="00CA099F">
        <w:rPr>
          <w:rFonts w:eastAsia="Calibri" w:cs="Times New Roman"/>
          <w:sz w:val="28"/>
          <w:szCs w:val="28"/>
        </w:rPr>
        <w:t>ся на цьому етапі, під дією проведеної терапії, ущільнення сформованого рубця, що супроводжу</w:t>
      </w:r>
      <w:r w:rsidR="008634E4">
        <w:rPr>
          <w:rFonts w:eastAsia="Calibri" w:cs="Times New Roman"/>
          <w:sz w:val="28"/>
          <w:szCs w:val="28"/>
        </w:rPr>
        <w:t>ва</w:t>
      </w:r>
      <w:r w:rsidRPr="00CA099F">
        <w:rPr>
          <w:rFonts w:eastAsia="Calibri" w:cs="Times New Roman"/>
          <w:sz w:val="28"/>
          <w:szCs w:val="28"/>
        </w:rPr>
        <w:t xml:space="preserve">ся збільшенням в ньому відносної кількості фібрилярних структур і зменшенням </w:t>
      </w:r>
      <w:r w:rsidR="00B544CA">
        <w:rPr>
          <w:rFonts w:eastAsia="Calibri" w:cs="Times New Roman"/>
          <w:sz w:val="28"/>
          <w:szCs w:val="28"/>
        </w:rPr>
        <w:t>лінійних розмірів. Також звертала</w:t>
      </w:r>
      <w:r w:rsidRPr="00CA099F">
        <w:rPr>
          <w:rFonts w:eastAsia="Calibri" w:cs="Times New Roman"/>
          <w:sz w:val="28"/>
          <w:szCs w:val="28"/>
        </w:rPr>
        <w:t xml:space="preserve"> на себе увагу слабка вираженість межі між рубцем і незміненою дермою, в порівнянні з попереднім терміном і контрольною групою.  </w:t>
      </w:r>
    </w:p>
    <w:p w:rsidR="0030517B" w:rsidRPr="00CA099F" w:rsidRDefault="0030517B" w:rsidP="0030517B">
      <w:pPr>
        <w:spacing w:after="0" w:line="360" w:lineRule="auto"/>
        <w:ind w:firstLine="709"/>
        <w:jc w:val="both"/>
        <w:rPr>
          <w:rFonts w:eastAsia="Calibri" w:cs="Times New Roman"/>
          <w:sz w:val="28"/>
          <w:szCs w:val="28"/>
        </w:rPr>
      </w:pPr>
      <w:r w:rsidRPr="00CA099F">
        <w:rPr>
          <w:rFonts w:eastAsia="Calibri" w:cs="Times New Roman"/>
          <w:sz w:val="28"/>
          <w:szCs w:val="28"/>
        </w:rPr>
        <w:t xml:space="preserve">Помітних змін у конструкції кровоносного мікроциркуляторного русла рубця нами виявлено не було, реакція з антитілами до білку Кі - 67, також </w:t>
      </w:r>
      <w:r w:rsidRPr="00CA099F">
        <w:rPr>
          <w:rFonts w:eastAsia="Calibri" w:cs="Times New Roman"/>
          <w:sz w:val="28"/>
          <w:szCs w:val="28"/>
        </w:rPr>
        <w:lastRenderedPageBreak/>
        <w:t>виявило приблизно в 20% базальних епітеліоцитів позитивну інтрануклеарну експресію, що можливо є досить стабільним показником, клітини сполучнотканинного рубця украй рідко були позитивні до вказаного маркера, в клітинних елементах стінок кровоносних мікросудин позитивної реакції нами виявлено не було.</w:t>
      </w:r>
    </w:p>
    <w:p w:rsidR="0030517B" w:rsidRPr="00CA099F" w:rsidRDefault="0030517B" w:rsidP="0030517B">
      <w:pPr>
        <w:spacing w:after="0" w:line="360" w:lineRule="auto"/>
        <w:ind w:firstLine="709"/>
        <w:jc w:val="both"/>
        <w:rPr>
          <w:rFonts w:eastAsia="Calibri" w:cs="Times New Roman"/>
          <w:sz w:val="28"/>
          <w:szCs w:val="28"/>
        </w:rPr>
      </w:pPr>
      <w:r w:rsidRPr="00CA099F">
        <w:rPr>
          <w:rFonts w:eastAsia="Calibri" w:cs="Times New Roman"/>
          <w:sz w:val="28"/>
          <w:szCs w:val="28"/>
        </w:rPr>
        <w:t>Як вже було сказано вище за чітку межу між рубцем і навколишньою незміненою дермою в цій групі не виявлялося, у зв'язку з чим помітних реактивних змін по периферії післяопераційного рубця виявлено не було, проте, як і в контрольній групі, досить часто нам зустрічалися характерні гіперпластичні зміни в сальних і потових залозах, морфогенез яких ми обговорювали раніше.</w:t>
      </w:r>
    </w:p>
    <w:p w:rsidR="0030517B" w:rsidRPr="00CA099F" w:rsidRDefault="0030517B" w:rsidP="0030517B">
      <w:pPr>
        <w:spacing w:after="0" w:line="360" w:lineRule="auto"/>
        <w:ind w:firstLine="709"/>
        <w:jc w:val="both"/>
        <w:rPr>
          <w:rFonts w:eastAsia="Calibri" w:cs="Times New Roman"/>
          <w:sz w:val="28"/>
          <w:szCs w:val="28"/>
        </w:rPr>
      </w:pPr>
      <w:r w:rsidRPr="00CA099F">
        <w:rPr>
          <w:rFonts w:eastAsia="Calibri" w:cs="Times New Roman"/>
          <w:sz w:val="28"/>
          <w:szCs w:val="28"/>
        </w:rPr>
        <w:t xml:space="preserve">У 2 групі </w:t>
      </w:r>
      <w:r w:rsidR="00D96DA9">
        <w:rPr>
          <w:rFonts w:eastAsia="Calibri" w:cs="Times New Roman"/>
          <w:sz w:val="28"/>
          <w:szCs w:val="28"/>
        </w:rPr>
        <w:t>пацієнтів</w:t>
      </w:r>
      <w:r w:rsidRPr="00CA099F">
        <w:rPr>
          <w:rFonts w:eastAsia="Calibri" w:cs="Times New Roman"/>
          <w:sz w:val="28"/>
          <w:szCs w:val="28"/>
        </w:rPr>
        <w:t>, які разом з введенням PRF-згустка отримували препарат «Біоцирулін»</w:t>
      </w:r>
      <w:r w:rsidR="00A43557">
        <w:rPr>
          <w:rFonts w:eastAsia="Calibri" w:cs="Times New Roman"/>
          <w:sz w:val="28"/>
          <w:szCs w:val="28"/>
        </w:rPr>
        <w:t>,</w:t>
      </w:r>
      <w:r w:rsidRPr="00CA099F">
        <w:rPr>
          <w:rFonts w:eastAsia="Calibri" w:cs="Times New Roman"/>
          <w:sz w:val="28"/>
          <w:szCs w:val="28"/>
        </w:rPr>
        <w:t xml:space="preserve"> рубець, сформований в області післяопераційного втручання через 6 місяців, при зовнішньому огляді практично не відрізнявся від такого ж у попередніх груп.</w:t>
      </w:r>
    </w:p>
    <w:p w:rsidR="0030517B" w:rsidRPr="00CA099F" w:rsidRDefault="0030517B" w:rsidP="0030517B">
      <w:pPr>
        <w:spacing w:after="0" w:line="360" w:lineRule="auto"/>
        <w:ind w:firstLine="709"/>
        <w:jc w:val="both"/>
        <w:rPr>
          <w:rFonts w:eastAsia="Calibri" w:cs="Times New Roman"/>
          <w:sz w:val="28"/>
          <w:szCs w:val="28"/>
        </w:rPr>
      </w:pPr>
      <w:r w:rsidRPr="00CA099F">
        <w:rPr>
          <w:rFonts w:eastAsia="Calibri" w:cs="Times New Roman"/>
          <w:sz w:val="28"/>
          <w:szCs w:val="28"/>
        </w:rPr>
        <w:t xml:space="preserve">В усіх випадках спостерігалася повна епітелізація рубця, товщина покривного епітелію складала, в середньому 38 ± 3 мкм, і коливалася в незначних межах. Клітинний склад епітеліального пласта практично не відрізнявся від такого ж інтактного епідермісу. Помітних порушень в процесі епітелізації, в цій групі нами виявлено не було. Зрідка, в шипуватому шарі мала місце надмірна кількість епітеліоцитів з явищами гідропічної дистрофії. Як і в попередній групі, сполучнотканинні сосочки візуально не відрізнялися від таких в інтактній дермі, розташовані між ними епітеліальні пласти характеризувалися мономорфною картиною і відносно однаковими розмірами. Украй рідко мало місце формування акантотичних тяжів, які глибоко занурювалися до підлеглого сполучнотканинного рубця (рис. 4.9). </w:t>
      </w:r>
    </w:p>
    <w:p w:rsidR="0030517B" w:rsidRPr="00CA099F" w:rsidRDefault="0030517B" w:rsidP="0030517B">
      <w:pPr>
        <w:spacing w:after="0" w:line="360" w:lineRule="auto"/>
        <w:ind w:firstLine="709"/>
        <w:jc w:val="both"/>
        <w:rPr>
          <w:rFonts w:eastAsia="Calibri" w:cs="Times New Roman"/>
          <w:sz w:val="28"/>
          <w:szCs w:val="28"/>
        </w:rPr>
      </w:pPr>
      <w:r w:rsidRPr="00CA099F">
        <w:rPr>
          <w:rFonts w:eastAsia="Calibri" w:cs="Times New Roman"/>
          <w:sz w:val="28"/>
          <w:szCs w:val="28"/>
        </w:rPr>
        <w:t>Проведене морфометричне вивчення клітинного складу сполучнотканинного рубця дозволило виявити, в порівнянні з попередніми групами, незначне зменшення кількості клітинних елементів, питома вага розташування яких склала, в середньому 251 ± 19 в 10000 мкм</w:t>
      </w:r>
      <w:r w:rsidRPr="00CA099F">
        <w:rPr>
          <w:rFonts w:eastAsia="Calibri" w:cs="Times New Roman"/>
          <w:sz w:val="28"/>
          <w:szCs w:val="28"/>
          <w:vertAlign w:val="superscript"/>
        </w:rPr>
        <w:t>2</w:t>
      </w:r>
      <w:r w:rsidRPr="00CA099F">
        <w:rPr>
          <w:rFonts w:eastAsia="Calibri" w:cs="Times New Roman"/>
          <w:sz w:val="28"/>
          <w:szCs w:val="28"/>
        </w:rPr>
        <w:t>.</w:t>
      </w:r>
    </w:p>
    <w:p w:rsidR="0030517B" w:rsidRPr="00CA099F" w:rsidRDefault="0030517B" w:rsidP="0030517B">
      <w:pPr>
        <w:spacing w:after="0" w:line="360" w:lineRule="auto"/>
        <w:ind w:firstLine="709"/>
        <w:jc w:val="both"/>
        <w:rPr>
          <w:rFonts w:eastAsia="Calibri" w:cs="Times New Roman"/>
          <w:sz w:val="28"/>
          <w:szCs w:val="28"/>
        </w:rPr>
      </w:pPr>
    </w:p>
    <w:tbl>
      <w:tblPr>
        <w:tblW w:w="0" w:type="auto"/>
        <w:tblLook w:val="01E0" w:firstRow="1" w:lastRow="1" w:firstColumn="1" w:lastColumn="1" w:noHBand="0" w:noVBand="0"/>
      </w:tblPr>
      <w:tblGrid>
        <w:gridCol w:w="9355"/>
      </w:tblGrid>
      <w:tr w:rsidR="0030517B" w:rsidRPr="00CA099F" w:rsidTr="00E1448E">
        <w:tc>
          <w:tcPr>
            <w:tcW w:w="9571" w:type="dxa"/>
          </w:tcPr>
          <w:p w:rsidR="0030517B" w:rsidRPr="00CA099F" w:rsidRDefault="0030517B" w:rsidP="00E1448E">
            <w:pPr>
              <w:spacing w:after="0" w:line="360" w:lineRule="auto"/>
              <w:ind w:firstLine="709"/>
              <w:jc w:val="both"/>
              <w:rPr>
                <w:rFonts w:eastAsia="Calibri" w:cs="Times New Roman"/>
                <w:szCs w:val="28"/>
              </w:rPr>
            </w:pPr>
            <w:r w:rsidRPr="00CA099F">
              <w:rPr>
                <w:rFonts w:eastAsia="Calibri" w:cs="Times New Roman"/>
                <w:noProof/>
                <w:sz w:val="28"/>
                <w:szCs w:val="28"/>
                <w:lang w:val="ru-RU" w:eastAsia="ru-RU"/>
              </w:rPr>
              <w:drawing>
                <wp:inline distT="0" distB="0" distL="0" distR="0" wp14:anchorId="3FB46F0D" wp14:editId="081509B0">
                  <wp:extent cx="5286375" cy="3905250"/>
                  <wp:effectExtent l="0" t="0" r="9525"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286375" cy="3905250"/>
                          </a:xfrm>
                          <a:prstGeom prst="rect">
                            <a:avLst/>
                          </a:prstGeom>
                          <a:noFill/>
                          <a:ln>
                            <a:noFill/>
                          </a:ln>
                        </pic:spPr>
                      </pic:pic>
                    </a:graphicData>
                  </a:graphic>
                </wp:inline>
              </w:drawing>
            </w:r>
          </w:p>
        </w:tc>
      </w:tr>
      <w:tr w:rsidR="0030517B" w:rsidRPr="00CA099F" w:rsidTr="00E1448E">
        <w:tc>
          <w:tcPr>
            <w:tcW w:w="9571" w:type="dxa"/>
          </w:tcPr>
          <w:p w:rsidR="0030517B" w:rsidRPr="00CA099F" w:rsidRDefault="0030517B" w:rsidP="00E1448E">
            <w:pPr>
              <w:spacing w:after="0" w:line="360" w:lineRule="auto"/>
              <w:jc w:val="both"/>
              <w:rPr>
                <w:rFonts w:eastAsia="Calibri" w:cs="Times New Roman"/>
                <w:szCs w:val="28"/>
              </w:rPr>
            </w:pPr>
            <w:r w:rsidRPr="00CA099F">
              <w:rPr>
                <w:rFonts w:eastAsia="Calibri" w:cs="Times New Roman"/>
                <w:sz w:val="28"/>
                <w:szCs w:val="28"/>
              </w:rPr>
              <w:t xml:space="preserve">          Рис. 4.9. Базальний відділ сполучнотканинного рубця через 6 місяців після оперативного втручання. Забарвлення гематоксилін-еозином. Об. 40х., ок. 10х. 1 – зрілі фібробласти; 2 – пучки колагенових волокон; 3–кровоносна мікросудина; 4 – лімфоцит. </w:t>
            </w:r>
          </w:p>
        </w:tc>
      </w:tr>
      <w:tr w:rsidR="0030517B" w:rsidRPr="00CA099F" w:rsidTr="00E1448E">
        <w:tc>
          <w:tcPr>
            <w:tcW w:w="9571" w:type="dxa"/>
          </w:tcPr>
          <w:p w:rsidR="0030517B" w:rsidRPr="00CA099F" w:rsidRDefault="0030517B" w:rsidP="00E1448E">
            <w:pPr>
              <w:spacing w:after="0" w:line="360" w:lineRule="auto"/>
              <w:jc w:val="both"/>
              <w:rPr>
                <w:rFonts w:eastAsia="Calibri" w:cs="Times New Roman"/>
                <w:szCs w:val="28"/>
              </w:rPr>
            </w:pPr>
          </w:p>
        </w:tc>
      </w:tr>
    </w:tbl>
    <w:p w:rsidR="0030517B" w:rsidRPr="00CA099F" w:rsidRDefault="002803D2" w:rsidP="0030517B">
      <w:pPr>
        <w:spacing w:after="0" w:line="360" w:lineRule="auto"/>
        <w:ind w:firstLine="709"/>
        <w:jc w:val="both"/>
        <w:rPr>
          <w:rFonts w:eastAsia="Calibri" w:cs="Times New Roman"/>
          <w:sz w:val="28"/>
          <w:szCs w:val="28"/>
        </w:rPr>
      </w:pPr>
      <w:r>
        <w:rPr>
          <w:rFonts w:eastAsia="Calibri" w:cs="Times New Roman"/>
          <w:sz w:val="28"/>
          <w:szCs w:val="28"/>
        </w:rPr>
        <w:t>Помітні зміни спостерігали</w:t>
      </w:r>
      <w:r w:rsidR="0030517B" w:rsidRPr="00CA099F">
        <w:rPr>
          <w:rFonts w:eastAsia="Calibri" w:cs="Times New Roman"/>
          <w:sz w:val="28"/>
          <w:szCs w:val="28"/>
        </w:rPr>
        <w:t>ся з боку фібрилярного компонент</w:t>
      </w:r>
      <w:r>
        <w:rPr>
          <w:rFonts w:eastAsia="Calibri" w:cs="Times New Roman"/>
          <w:sz w:val="28"/>
          <w:szCs w:val="28"/>
        </w:rPr>
        <w:t>у</w:t>
      </w:r>
      <w:r w:rsidR="0030517B" w:rsidRPr="00CA099F">
        <w:rPr>
          <w:rFonts w:eastAsia="Calibri" w:cs="Times New Roman"/>
          <w:sz w:val="28"/>
          <w:szCs w:val="28"/>
        </w:rPr>
        <w:t xml:space="preserve"> сполучнотканинного рубця. Пучки колагенових волокон, як і в описаних вище групах в апікальних відділах рубця розташовувалися переважно перпендикулярно до покривного епітелію, в середніх і базальних відділах – паралельно. Проте, в середніх і базальних відділах фібрилярні пучки, що </w:t>
      </w:r>
      <w:r w:rsidR="00B4770F">
        <w:rPr>
          <w:rFonts w:eastAsia="Calibri" w:cs="Times New Roman"/>
          <w:sz w:val="28"/>
          <w:szCs w:val="28"/>
        </w:rPr>
        <w:t>переплітали</w:t>
      </w:r>
      <w:r w:rsidR="0030517B" w:rsidRPr="00CA099F">
        <w:rPr>
          <w:rFonts w:eastAsia="Calibri" w:cs="Times New Roman"/>
          <w:sz w:val="28"/>
          <w:szCs w:val="28"/>
        </w:rPr>
        <w:t>ся між собою, формували плексиморфні структури, подібні до таких в сітчастому шарі інтактної дерми, внаслідок чого межу між рубцем і незміненою дермою чі</w:t>
      </w:r>
      <w:r w:rsidR="00B4770F">
        <w:rPr>
          <w:rFonts w:eastAsia="Calibri" w:cs="Times New Roman"/>
          <w:sz w:val="28"/>
          <w:szCs w:val="28"/>
        </w:rPr>
        <w:t>тко виявит</w:t>
      </w:r>
      <w:r w:rsidR="0030517B" w:rsidRPr="00CA099F">
        <w:rPr>
          <w:rFonts w:eastAsia="Calibri" w:cs="Times New Roman"/>
          <w:sz w:val="28"/>
          <w:szCs w:val="28"/>
        </w:rPr>
        <w:t xml:space="preserve">и не </w:t>
      </w:r>
      <w:r w:rsidR="00B4770F">
        <w:rPr>
          <w:rFonts w:eastAsia="Calibri" w:cs="Times New Roman"/>
          <w:sz w:val="28"/>
          <w:szCs w:val="28"/>
        </w:rPr>
        <w:t>було</w:t>
      </w:r>
      <w:r w:rsidR="0030517B" w:rsidRPr="00CA099F">
        <w:rPr>
          <w:rFonts w:eastAsia="Calibri" w:cs="Times New Roman"/>
          <w:sz w:val="28"/>
          <w:szCs w:val="28"/>
        </w:rPr>
        <w:t xml:space="preserve"> можливим. У той же час в апікальних відділах рубця напрям ходу пучків колагенових волокон помітно відрізнявся від такого в незміненій дермі, внаслідок чого в апікальних відділах контури рубця представлялося можливим виявити виразніше. Також, слід </w:t>
      </w:r>
      <w:r w:rsidR="0030517B" w:rsidRPr="00CA099F">
        <w:rPr>
          <w:rFonts w:eastAsia="Calibri" w:cs="Times New Roman"/>
          <w:sz w:val="28"/>
          <w:szCs w:val="28"/>
        </w:rPr>
        <w:lastRenderedPageBreak/>
        <w:t xml:space="preserve">зазначити деяке візуальне зменшення лінійних розмірів рубця, в порівнянні з попередніми групами, проте цей показник не можна вважати абсолютно достовірним, у зв'язку з неможливістю виявлення чіткої межі між рубцем і дермою, про що вже було сказано вище, проте, характерна відсутність придатків шкіри в рубці, дозволяє нам в деякому наближенні судити про його розміри. Проведена реакція з антитілами до білку Кі - 67, виявила проліферативну активність в 20% епітеліальних клітин базального шару епідермісу і практично повну відсутність такий в клітинах сполучнотканинного рубця.  </w:t>
      </w:r>
    </w:p>
    <w:p w:rsidR="0030517B" w:rsidRPr="00CA099F" w:rsidRDefault="0030517B" w:rsidP="0030517B">
      <w:pPr>
        <w:spacing w:after="0" w:line="360" w:lineRule="auto"/>
        <w:ind w:firstLine="709"/>
        <w:jc w:val="both"/>
        <w:rPr>
          <w:rFonts w:eastAsia="Calibri" w:cs="Times New Roman"/>
          <w:sz w:val="28"/>
          <w:szCs w:val="28"/>
        </w:rPr>
      </w:pPr>
      <w:r w:rsidRPr="00CA099F">
        <w:rPr>
          <w:rFonts w:eastAsia="Calibri" w:cs="Times New Roman"/>
          <w:sz w:val="28"/>
          <w:szCs w:val="28"/>
        </w:rPr>
        <w:t xml:space="preserve">Зрідка в незмінній дермі поблизу рубця нам зустрічалися нечисленні потові і сальні залози з ознаками гіперпластичних змін. </w:t>
      </w:r>
    </w:p>
    <w:p w:rsidR="0030517B" w:rsidRPr="00CA099F" w:rsidRDefault="0030517B" w:rsidP="0030517B">
      <w:pPr>
        <w:spacing w:after="0" w:line="360" w:lineRule="auto"/>
        <w:ind w:firstLine="709"/>
        <w:jc w:val="both"/>
        <w:rPr>
          <w:rFonts w:eastAsia="Calibri" w:cs="Times New Roman"/>
          <w:sz w:val="28"/>
          <w:szCs w:val="28"/>
        </w:rPr>
      </w:pPr>
    </w:p>
    <w:p w:rsidR="0030517B" w:rsidRPr="00CA099F" w:rsidRDefault="0030517B" w:rsidP="0030517B">
      <w:pPr>
        <w:spacing w:after="0" w:line="360" w:lineRule="auto"/>
        <w:ind w:firstLine="709"/>
        <w:jc w:val="both"/>
        <w:rPr>
          <w:rFonts w:eastAsia="Calibri" w:cs="Times New Roman"/>
          <w:b/>
          <w:sz w:val="28"/>
          <w:szCs w:val="28"/>
        </w:rPr>
      </w:pPr>
      <w:r w:rsidRPr="009C26CF">
        <w:rPr>
          <w:rFonts w:eastAsia="Calibri" w:cs="Times New Roman"/>
          <w:b/>
          <w:sz w:val="28"/>
          <w:szCs w:val="28"/>
        </w:rPr>
        <w:t>4.3 Особливості морфологічної будови рубцевозмінених тканин на 9 місяц</w:t>
      </w:r>
      <w:r w:rsidR="003B58F0" w:rsidRPr="009C26CF">
        <w:rPr>
          <w:rFonts w:eastAsia="Calibri" w:cs="Times New Roman"/>
          <w:b/>
          <w:sz w:val="28"/>
          <w:szCs w:val="28"/>
        </w:rPr>
        <w:t>ь</w:t>
      </w:r>
      <w:r w:rsidRPr="009C26CF">
        <w:rPr>
          <w:rFonts w:eastAsia="Calibri" w:cs="Times New Roman"/>
          <w:b/>
          <w:sz w:val="28"/>
          <w:szCs w:val="28"/>
        </w:rPr>
        <w:t xml:space="preserve"> післяопераційного періоду</w:t>
      </w:r>
    </w:p>
    <w:p w:rsidR="0030517B" w:rsidRPr="00CA099F" w:rsidRDefault="0030517B" w:rsidP="0030517B">
      <w:pPr>
        <w:spacing w:after="0" w:line="360" w:lineRule="auto"/>
        <w:ind w:firstLine="709"/>
        <w:jc w:val="both"/>
        <w:rPr>
          <w:rFonts w:eastAsia="Calibri" w:cs="Times New Roman"/>
          <w:sz w:val="28"/>
          <w:szCs w:val="28"/>
        </w:rPr>
      </w:pPr>
    </w:p>
    <w:p w:rsidR="0030517B" w:rsidRPr="00CA099F" w:rsidRDefault="0030517B" w:rsidP="0030517B">
      <w:pPr>
        <w:spacing w:after="0" w:line="360" w:lineRule="auto"/>
        <w:ind w:firstLine="709"/>
        <w:jc w:val="both"/>
        <w:rPr>
          <w:rFonts w:eastAsia="Calibri" w:cs="Times New Roman"/>
          <w:sz w:val="28"/>
          <w:szCs w:val="28"/>
        </w:rPr>
      </w:pPr>
      <w:r w:rsidRPr="00CA099F">
        <w:rPr>
          <w:rFonts w:eastAsia="Calibri" w:cs="Times New Roman"/>
          <w:sz w:val="28"/>
          <w:szCs w:val="28"/>
        </w:rPr>
        <w:t xml:space="preserve">На 9 місяць після оперативного втручання у </w:t>
      </w:r>
      <w:r w:rsidR="00D96DA9">
        <w:rPr>
          <w:rFonts w:eastAsia="Calibri" w:cs="Times New Roman"/>
          <w:sz w:val="28"/>
          <w:szCs w:val="28"/>
        </w:rPr>
        <w:t>пацієнтів</w:t>
      </w:r>
      <w:r w:rsidRPr="00CA099F">
        <w:rPr>
          <w:rFonts w:eastAsia="Calibri" w:cs="Times New Roman"/>
          <w:sz w:val="28"/>
          <w:szCs w:val="28"/>
        </w:rPr>
        <w:t xml:space="preserve"> контрольної</w:t>
      </w:r>
      <w:r w:rsidR="009C26CF">
        <w:rPr>
          <w:rFonts w:eastAsia="Calibri" w:cs="Times New Roman"/>
          <w:sz w:val="28"/>
          <w:szCs w:val="28"/>
        </w:rPr>
        <w:t xml:space="preserve"> групи мікроскопічно над усією </w:t>
      </w:r>
      <w:r w:rsidR="009C26CF" w:rsidRPr="009C26CF">
        <w:rPr>
          <w:rFonts w:eastAsia="Calibri" w:cs="Times New Roman"/>
          <w:sz w:val="28"/>
          <w:szCs w:val="28"/>
        </w:rPr>
        <w:t>д</w:t>
      </w:r>
      <w:r w:rsidR="009C26CF">
        <w:rPr>
          <w:rFonts w:eastAsia="Calibri" w:cs="Times New Roman"/>
          <w:sz w:val="28"/>
          <w:szCs w:val="28"/>
        </w:rPr>
        <w:t>ілянкою</w:t>
      </w:r>
      <w:r w:rsidRPr="00CA099F">
        <w:rPr>
          <w:rFonts w:eastAsia="Calibri" w:cs="Times New Roman"/>
          <w:sz w:val="28"/>
          <w:szCs w:val="28"/>
        </w:rPr>
        <w:t xml:space="preserve"> післяопераційного рубця візуалізувався суцільний епітеліальний покрив, який за морфологічними показниками не відрізнявся від інтактного епідермісу. </w:t>
      </w:r>
    </w:p>
    <w:p w:rsidR="0030517B" w:rsidRPr="00CA099F" w:rsidRDefault="0030517B" w:rsidP="0030517B">
      <w:pPr>
        <w:spacing w:after="0" w:line="360" w:lineRule="auto"/>
        <w:ind w:firstLine="709"/>
        <w:jc w:val="both"/>
        <w:rPr>
          <w:rFonts w:eastAsia="Calibri" w:cs="Times New Roman"/>
          <w:sz w:val="28"/>
          <w:szCs w:val="28"/>
        </w:rPr>
      </w:pPr>
      <w:r w:rsidRPr="00CA099F">
        <w:rPr>
          <w:rFonts w:eastAsia="Calibri" w:cs="Times New Roman"/>
          <w:sz w:val="28"/>
          <w:szCs w:val="28"/>
        </w:rPr>
        <w:t xml:space="preserve">Сполучнотканинний рубець, який розташовувався під епітелієм мав дещо менші лінійні розміри в порівнянні з попереднім терміном спостереження. На малих збільшеннях світлового мікроскопа значних помітних характерних змін виявити не вдалося, проте детальніше вивчення рубцевої тканини на препаратах забарвлених пикрофуксином дозволило виявити деякі зміни характеру компонування фібрилярних структур. Так, у базальних відділах пучки колагенових волокон, товщина яких практично відповідала такій в тримісячному терміні спостереження, переплітаючись між собою </w:t>
      </w:r>
      <w:r w:rsidR="00981D29">
        <w:rPr>
          <w:rFonts w:eastAsia="Calibri" w:cs="Times New Roman"/>
          <w:sz w:val="28"/>
          <w:szCs w:val="28"/>
        </w:rPr>
        <w:t>формували структури, що нагадували</w:t>
      </w:r>
      <w:r w:rsidRPr="00CA099F">
        <w:rPr>
          <w:rFonts w:eastAsia="Calibri" w:cs="Times New Roman"/>
          <w:sz w:val="28"/>
          <w:szCs w:val="28"/>
        </w:rPr>
        <w:t xml:space="preserve"> такі в сітчастому шарі дерми, що спостерігалося через 3 місяці у </w:t>
      </w:r>
      <w:r w:rsidR="00D96DA9">
        <w:rPr>
          <w:rFonts w:eastAsia="Calibri" w:cs="Times New Roman"/>
          <w:sz w:val="28"/>
          <w:szCs w:val="28"/>
        </w:rPr>
        <w:t>пацієнтів</w:t>
      </w:r>
      <w:r w:rsidRPr="00CA099F">
        <w:rPr>
          <w:rFonts w:eastAsia="Calibri" w:cs="Times New Roman"/>
          <w:sz w:val="28"/>
          <w:szCs w:val="28"/>
        </w:rPr>
        <w:t xml:space="preserve">, яким разом з введенням PRF-згустка вводили препарат «Біоцирулін». Ця обставина ускладнювала виразне </w:t>
      </w:r>
      <w:r w:rsidRPr="00CA099F">
        <w:rPr>
          <w:rFonts w:eastAsia="Calibri" w:cs="Times New Roman"/>
          <w:sz w:val="28"/>
          <w:szCs w:val="28"/>
        </w:rPr>
        <w:lastRenderedPageBreak/>
        <w:t>виявлення межі між тканиною рубця і незміненою дермою. Помітних клітинних і судинних реакцій по периферії рубця також практично не виявлялося.</w:t>
      </w:r>
    </w:p>
    <w:p w:rsidR="0030517B" w:rsidRPr="00CA099F" w:rsidRDefault="0030517B" w:rsidP="0030517B">
      <w:pPr>
        <w:spacing w:after="0" w:line="360" w:lineRule="auto"/>
        <w:ind w:firstLine="709"/>
        <w:jc w:val="both"/>
        <w:rPr>
          <w:rFonts w:eastAsia="Calibri" w:cs="Times New Roman"/>
          <w:sz w:val="28"/>
          <w:szCs w:val="28"/>
        </w:rPr>
      </w:pPr>
      <w:r w:rsidRPr="00CA099F">
        <w:rPr>
          <w:rFonts w:eastAsia="Calibri" w:cs="Times New Roman"/>
          <w:sz w:val="28"/>
          <w:szCs w:val="28"/>
        </w:rPr>
        <w:t>У той же час, в апікальних відділах рубця колагенові волокна</w:t>
      </w:r>
      <w:r w:rsidR="00151EDB">
        <w:rPr>
          <w:rFonts w:eastAsia="Calibri" w:cs="Times New Roman"/>
          <w:sz w:val="28"/>
          <w:szCs w:val="28"/>
        </w:rPr>
        <w:t xml:space="preserve"> мали переважно перпендикулярне</w:t>
      </w:r>
      <w:r w:rsidRPr="00CA099F">
        <w:rPr>
          <w:rFonts w:eastAsia="Calibri" w:cs="Times New Roman"/>
          <w:sz w:val="28"/>
          <w:szCs w:val="28"/>
        </w:rPr>
        <w:t xml:space="preserve"> по відношенню до епідермісу розташування, внаслідок чого на описуваній ділянці межа між рубцем і незміненою дермою виявлялася досить виразно. В 9 спостереженнях у базальних і середніх відділах рубця, ближче до центральної його частини на препаратах забарвлених гематоксиліном і еозином визначалися </w:t>
      </w:r>
      <w:r w:rsidRPr="006F51BD">
        <w:rPr>
          <w:rFonts w:eastAsia="Calibri" w:cs="Times New Roman"/>
          <w:sz w:val="28"/>
          <w:szCs w:val="28"/>
        </w:rPr>
        <w:t xml:space="preserve">невеликі </w:t>
      </w:r>
      <w:r w:rsidR="00AC01F7">
        <w:rPr>
          <w:rFonts w:eastAsia="Calibri" w:cs="Times New Roman"/>
          <w:sz w:val="28"/>
          <w:szCs w:val="28"/>
        </w:rPr>
        <w:t xml:space="preserve">за </w:t>
      </w:r>
      <w:r w:rsidR="006F51BD">
        <w:rPr>
          <w:rFonts w:eastAsia="Calibri" w:cs="Times New Roman"/>
          <w:sz w:val="28"/>
          <w:szCs w:val="28"/>
        </w:rPr>
        <w:t>протяжністю</w:t>
      </w:r>
      <w:r w:rsidR="00AC01F7">
        <w:rPr>
          <w:rFonts w:eastAsia="Calibri" w:cs="Times New Roman"/>
          <w:sz w:val="28"/>
          <w:szCs w:val="28"/>
        </w:rPr>
        <w:t xml:space="preserve"> </w:t>
      </w:r>
      <w:r w:rsidRPr="00CA099F">
        <w:rPr>
          <w:rFonts w:eastAsia="Calibri" w:cs="Times New Roman"/>
          <w:sz w:val="28"/>
          <w:szCs w:val="28"/>
        </w:rPr>
        <w:t xml:space="preserve"> безструктурні, гомогенні, позбавлені клітинних елементів і кровоносних мікросудин ділянки рожевого кольору з незначною лімфоплазмоцитарною інфільтрацією по периферії. Поді</w:t>
      </w:r>
      <w:r w:rsidR="00151EDB">
        <w:rPr>
          <w:rFonts w:eastAsia="Calibri" w:cs="Times New Roman"/>
          <w:sz w:val="28"/>
          <w:szCs w:val="28"/>
        </w:rPr>
        <w:t>бна морфологічна картина свідчила</w:t>
      </w:r>
      <w:r w:rsidRPr="00CA099F">
        <w:rPr>
          <w:rFonts w:eastAsia="Calibri" w:cs="Times New Roman"/>
          <w:sz w:val="28"/>
          <w:szCs w:val="28"/>
        </w:rPr>
        <w:t>, швидше за все, про розвиток гіалінозу - різновид стромально-судинної дистрофії, який нерідко зустрічається в посттравматичних і післяопераційних рубцях, обумовлюючи, у ряді випадків, їх несприятлив</w:t>
      </w:r>
      <w:r w:rsidR="009B67B6">
        <w:rPr>
          <w:rFonts w:eastAsia="Calibri" w:cs="Times New Roman"/>
          <w:sz w:val="28"/>
          <w:szCs w:val="28"/>
        </w:rPr>
        <w:t>ий перебіг</w:t>
      </w:r>
      <w:r w:rsidRPr="00CA099F">
        <w:rPr>
          <w:rFonts w:eastAsia="Calibri" w:cs="Times New Roman"/>
          <w:sz w:val="28"/>
          <w:szCs w:val="28"/>
        </w:rPr>
        <w:t>.</w:t>
      </w:r>
    </w:p>
    <w:p w:rsidR="0030517B" w:rsidRPr="00CA099F" w:rsidRDefault="0030517B" w:rsidP="0030517B">
      <w:pPr>
        <w:spacing w:after="0" w:line="360" w:lineRule="auto"/>
        <w:ind w:firstLine="709"/>
        <w:jc w:val="both"/>
        <w:rPr>
          <w:rFonts w:eastAsia="Calibri" w:cs="Times New Roman"/>
          <w:sz w:val="28"/>
          <w:szCs w:val="28"/>
        </w:rPr>
      </w:pPr>
      <w:r w:rsidRPr="00CA099F">
        <w:rPr>
          <w:rFonts w:eastAsia="Calibri" w:cs="Times New Roman"/>
          <w:sz w:val="28"/>
          <w:szCs w:val="28"/>
        </w:rPr>
        <w:t>Проведені морфометричні дослідження дозволили виявити незначне зменшення клітинних елементів в рубцевій тканині, яке в середньому склало 244 ± 16 в 10000 мкм</w:t>
      </w:r>
      <w:r w:rsidRPr="00CA099F">
        <w:rPr>
          <w:rFonts w:eastAsia="Calibri" w:cs="Times New Roman"/>
          <w:sz w:val="28"/>
          <w:szCs w:val="28"/>
          <w:vertAlign w:val="superscript"/>
        </w:rPr>
        <w:t>2</w:t>
      </w:r>
      <w:r w:rsidRPr="00CA099F">
        <w:rPr>
          <w:rFonts w:eastAsia="Calibri" w:cs="Times New Roman"/>
          <w:sz w:val="28"/>
          <w:szCs w:val="28"/>
        </w:rPr>
        <w:t>.</w:t>
      </w:r>
    </w:p>
    <w:p w:rsidR="0030517B" w:rsidRPr="00CA099F" w:rsidRDefault="0030517B" w:rsidP="0030517B">
      <w:pPr>
        <w:spacing w:after="0" w:line="360" w:lineRule="auto"/>
        <w:ind w:firstLine="709"/>
        <w:jc w:val="both"/>
        <w:rPr>
          <w:rFonts w:eastAsia="Calibri" w:cs="Times New Roman"/>
          <w:sz w:val="28"/>
          <w:szCs w:val="28"/>
        </w:rPr>
      </w:pPr>
      <w:r w:rsidRPr="00CA099F">
        <w:rPr>
          <w:rFonts w:eastAsia="Calibri" w:cs="Times New Roman"/>
          <w:sz w:val="28"/>
          <w:szCs w:val="28"/>
        </w:rPr>
        <w:t>Помітних змін проліферативної активності клітинних елементів покривного епітелію і сполучнотканинного рубця</w:t>
      </w:r>
      <w:r w:rsidR="009F6A43">
        <w:rPr>
          <w:rFonts w:eastAsia="Calibri" w:cs="Times New Roman"/>
          <w:sz w:val="28"/>
          <w:szCs w:val="28"/>
        </w:rPr>
        <w:t>, що виявлялося за допомогою білка</w:t>
      </w:r>
      <w:r w:rsidRPr="00CA099F">
        <w:rPr>
          <w:rFonts w:eastAsia="Calibri" w:cs="Times New Roman"/>
          <w:sz w:val="28"/>
          <w:szCs w:val="28"/>
        </w:rPr>
        <w:t xml:space="preserve"> Кі - 67, нами відмічено не було.</w:t>
      </w:r>
    </w:p>
    <w:p w:rsidR="0030517B" w:rsidRPr="00CA099F" w:rsidRDefault="0030517B" w:rsidP="0030517B">
      <w:pPr>
        <w:spacing w:after="0" w:line="360" w:lineRule="auto"/>
        <w:ind w:firstLine="709"/>
        <w:jc w:val="both"/>
        <w:rPr>
          <w:rFonts w:eastAsia="Calibri" w:cs="Times New Roman"/>
          <w:sz w:val="28"/>
          <w:szCs w:val="28"/>
        </w:rPr>
      </w:pPr>
      <w:r w:rsidRPr="00CA099F">
        <w:rPr>
          <w:rFonts w:eastAsia="Calibri" w:cs="Times New Roman"/>
          <w:sz w:val="28"/>
          <w:szCs w:val="28"/>
        </w:rPr>
        <w:t xml:space="preserve">У </w:t>
      </w:r>
      <w:r w:rsidR="00D96DA9">
        <w:rPr>
          <w:rFonts w:eastAsia="Calibri" w:cs="Times New Roman"/>
          <w:sz w:val="28"/>
          <w:szCs w:val="28"/>
        </w:rPr>
        <w:t>пацієнтів</w:t>
      </w:r>
      <w:r w:rsidRPr="00CA099F">
        <w:rPr>
          <w:rFonts w:eastAsia="Calibri" w:cs="Times New Roman"/>
          <w:sz w:val="28"/>
          <w:szCs w:val="28"/>
        </w:rPr>
        <w:t xml:space="preserve"> 1 групи, яким був введений PRF-згусток, через 9 місяців область післяопераційного втручання візуально практично не відрізнялася від такої в контрольній групі. </w:t>
      </w:r>
    </w:p>
    <w:p w:rsidR="0030517B" w:rsidRPr="00CA099F" w:rsidRDefault="0030517B" w:rsidP="0030517B">
      <w:pPr>
        <w:spacing w:after="0" w:line="360" w:lineRule="auto"/>
        <w:ind w:firstLine="709"/>
        <w:jc w:val="both"/>
        <w:rPr>
          <w:rFonts w:eastAsia="Calibri" w:cs="Times New Roman"/>
          <w:sz w:val="28"/>
          <w:szCs w:val="28"/>
        </w:rPr>
      </w:pPr>
      <w:r w:rsidRPr="00CA099F">
        <w:rPr>
          <w:rFonts w:eastAsia="Calibri" w:cs="Times New Roman"/>
          <w:sz w:val="28"/>
          <w:szCs w:val="28"/>
        </w:rPr>
        <w:t>В усіх випадках мала місце повна епітелізація післяопераційного рубця, при цьому багатошаровий плоский епітелій, розташований над рубцем не мав помітних метричних і морфологічних відмінностей від інтактного епідермісу. Межа між епітелієм і рубцем, що залягає глибше, мала звивистий характер</w:t>
      </w:r>
      <w:r w:rsidR="0095113A">
        <w:rPr>
          <w:rFonts w:eastAsia="Calibri" w:cs="Times New Roman"/>
          <w:sz w:val="28"/>
          <w:szCs w:val="28"/>
        </w:rPr>
        <w:t>.</w:t>
      </w:r>
      <w:r w:rsidRPr="00CA099F">
        <w:rPr>
          <w:rFonts w:eastAsia="Calibri" w:cs="Times New Roman"/>
          <w:sz w:val="28"/>
          <w:szCs w:val="28"/>
        </w:rPr>
        <w:t xml:space="preserve"> </w:t>
      </w:r>
      <w:r w:rsidR="0095113A">
        <w:rPr>
          <w:rFonts w:eastAsia="Calibri" w:cs="Times New Roman"/>
          <w:sz w:val="28"/>
          <w:szCs w:val="28"/>
        </w:rPr>
        <w:t>С</w:t>
      </w:r>
      <w:r w:rsidRPr="00CA099F">
        <w:rPr>
          <w:rFonts w:eastAsia="Calibri" w:cs="Times New Roman"/>
          <w:sz w:val="28"/>
          <w:szCs w:val="28"/>
        </w:rPr>
        <w:t xml:space="preserve">получнотканинні сосочки, про своїй будові практично повністю відповідали таким в інтактній шкірі. </w:t>
      </w:r>
    </w:p>
    <w:p w:rsidR="0030517B" w:rsidRPr="00CA099F" w:rsidRDefault="0030517B" w:rsidP="0030517B">
      <w:pPr>
        <w:spacing w:after="0" w:line="360" w:lineRule="auto"/>
        <w:ind w:firstLine="709"/>
        <w:jc w:val="both"/>
        <w:rPr>
          <w:rFonts w:eastAsia="Calibri" w:cs="Times New Roman"/>
          <w:sz w:val="28"/>
          <w:szCs w:val="28"/>
        </w:rPr>
      </w:pPr>
      <w:r w:rsidRPr="00CA099F">
        <w:rPr>
          <w:rFonts w:eastAsia="Calibri" w:cs="Times New Roman"/>
          <w:sz w:val="28"/>
          <w:szCs w:val="28"/>
        </w:rPr>
        <w:lastRenderedPageBreak/>
        <w:t>Проведені морфометричні дослідження дозволили виявити незначні зміни у кількості клітинних елементів, питома вага яких склала - 236 ± 14 в 10000 мкм</w:t>
      </w:r>
      <w:r w:rsidRPr="00CA099F">
        <w:rPr>
          <w:rFonts w:eastAsia="Calibri" w:cs="Times New Roman"/>
          <w:sz w:val="28"/>
          <w:szCs w:val="28"/>
          <w:vertAlign w:val="superscript"/>
        </w:rPr>
        <w:t>2</w:t>
      </w:r>
      <w:r w:rsidRPr="00CA099F">
        <w:rPr>
          <w:rFonts w:eastAsia="Calibri" w:cs="Times New Roman"/>
          <w:sz w:val="28"/>
          <w:szCs w:val="28"/>
        </w:rPr>
        <w:t>.</w:t>
      </w:r>
    </w:p>
    <w:p w:rsidR="0030517B" w:rsidRPr="00CA099F" w:rsidRDefault="0030517B" w:rsidP="0030517B">
      <w:pPr>
        <w:spacing w:after="0" w:line="360" w:lineRule="auto"/>
        <w:ind w:firstLine="709"/>
        <w:jc w:val="both"/>
        <w:rPr>
          <w:rFonts w:eastAsia="Calibri" w:cs="Times New Roman"/>
          <w:sz w:val="28"/>
          <w:szCs w:val="28"/>
        </w:rPr>
      </w:pPr>
      <w:r w:rsidRPr="00CA099F">
        <w:rPr>
          <w:rFonts w:eastAsia="Calibri" w:cs="Times New Roman"/>
          <w:sz w:val="28"/>
          <w:szCs w:val="28"/>
        </w:rPr>
        <w:t xml:space="preserve">Помітніші зміни були виявлені з боку фібрилярного компонента сполучнотканинного рубця: характер компонування пучків колагенових волокон, не мав помітних відмінностей від такого в інтактній дермі не лише у базальних, але і в середніх відділах рубця, внаслідок чого межа між останнім і незміненій шкірі ставала ще менш помітною. Проте, слід зазначити, що площа сполучнотканинного рубця, </w:t>
      </w:r>
      <w:r w:rsidR="0014797D">
        <w:rPr>
          <w:rFonts w:eastAsia="Calibri" w:cs="Times New Roman"/>
          <w:sz w:val="28"/>
          <w:szCs w:val="28"/>
        </w:rPr>
        <w:t>яка визначалася</w:t>
      </w:r>
      <w:r w:rsidRPr="00CA099F">
        <w:rPr>
          <w:rFonts w:eastAsia="Calibri" w:cs="Times New Roman"/>
          <w:sz w:val="28"/>
          <w:szCs w:val="28"/>
        </w:rPr>
        <w:t xml:space="preserve"> на гістологічних препаратах, була дещо менше, в порівнянні з контрольною групою, при цьому відбувалося зменшення як його вертикального, так і поперечного розмірів. </w:t>
      </w:r>
    </w:p>
    <w:p w:rsidR="0030517B" w:rsidRPr="00CA099F" w:rsidRDefault="0030517B" w:rsidP="0030517B">
      <w:pPr>
        <w:spacing w:after="0" w:line="360" w:lineRule="auto"/>
        <w:ind w:firstLine="709"/>
        <w:jc w:val="both"/>
        <w:rPr>
          <w:rFonts w:eastAsia="Calibri" w:cs="Times New Roman"/>
          <w:sz w:val="28"/>
          <w:szCs w:val="28"/>
        </w:rPr>
      </w:pPr>
      <w:r w:rsidRPr="00CA099F">
        <w:rPr>
          <w:rFonts w:eastAsia="Calibri" w:cs="Times New Roman"/>
          <w:sz w:val="28"/>
          <w:szCs w:val="28"/>
        </w:rPr>
        <w:t>Пучки колагенових волокон сполучнотканинного рубця за метричними показниками і тенкторіальними властивостями практично не відрізнялися від таких в незміненій дермі. Тільки в найбільш поверхневих відділах рубця періодично виявлялися пучки дещо меншої товщини, які пикрофуксином забарвлювалися у блідо-рожевий колір, що свідчило про морфологічну незрілість останніх.</w:t>
      </w:r>
    </w:p>
    <w:p w:rsidR="0030517B" w:rsidRPr="00CA099F" w:rsidRDefault="0030517B" w:rsidP="0030517B">
      <w:pPr>
        <w:spacing w:after="0" w:line="360" w:lineRule="auto"/>
        <w:ind w:firstLine="709"/>
        <w:jc w:val="both"/>
        <w:rPr>
          <w:rFonts w:eastAsia="Calibri" w:cs="Times New Roman"/>
          <w:sz w:val="28"/>
          <w:szCs w:val="28"/>
        </w:rPr>
      </w:pPr>
      <w:r w:rsidRPr="00CA099F">
        <w:rPr>
          <w:rFonts w:eastAsia="Calibri" w:cs="Times New Roman"/>
          <w:sz w:val="28"/>
          <w:szCs w:val="28"/>
        </w:rPr>
        <w:t>Також слід зазначити, значне зменшення, в описуваній групі випадків виявлення гіалінової дистрофії в сполучнотканинному рубці. Відповідні морфологічні зміни мали місце у 8 випадках.</w:t>
      </w:r>
    </w:p>
    <w:p w:rsidR="0030517B" w:rsidRPr="00CA099F" w:rsidRDefault="0030517B" w:rsidP="0030517B">
      <w:pPr>
        <w:spacing w:after="0" w:line="360" w:lineRule="auto"/>
        <w:ind w:firstLine="709"/>
        <w:jc w:val="both"/>
        <w:rPr>
          <w:rFonts w:eastAsia="Calibri" w:cs="Times New Roman"/>
          <w:sz w:val="28"/>
          <w:szCs w:val="28"/>
        </w:rPr>
      </w:pPr>
      <w:r w:rsidRPr="00CA099F">
        <w:rPr>
          <w:rFonts w:eastAsia="Calibri" w:cs="Times New Roman"/>
          <w:sz w:val="28"/>
          <w:szCs w:val="28"/>
        </w:rPr>
        <w:t xml:space="preserve">Проліферативна активність клітинних елементів покривного епітелію і </w:t>
      </w:r>
      <w:r w:rsidR="00A8018C">
        <w:rPr>
          <w:rFonts w:eastAsia="Calibri" w:cs="Times New Roman"/>
          <w:sz w:val="28"/>
          <w:szCs w:val="28"/>
        </w:rPr>
        <w:t>сполучнотканинного рубця виявляла</w:t>
      </w:r>
      <w:r w:rsidRPr="00CA099F">
        <w:rPr>
          <w:rFonts w:eastAsia="Calibri" w:cs="Times New Roman"/>
          <w:sz w:val="28"/>
          <w:szCs w:val="28"/>
        </w:rPr>
        <w:t xml:space="preserve">ся за допомогою білку Кі </w:t>
      </w:r>
      <w:r w:rsidR="00D55EE9">
        <w:rPr>
          <w:rFonts w:eastAsia="Calibri" w:cs="Times New Roman"/>
          <w:sz w:val="28"/>
          <w:szCs w:val="28"/>
        </w:rPr>
        <w:t>–</w:t>
      </w:r>
      <w:r w:rsidRPr="00CA099F">
        <w:rPr>
          <w:rFonts w:eastAsia="Calibri" w:cs="Times New Roman"/>
          <w:sz w:val="28"/>
          <w:szCs w:val="28"/>
        </w:rPr>
        <w:t xml:space="preserve"> 67</w:t>
      </w:r>
      <w:r w:rsidR="00D55EE9">
        <w:rPr>
          <w:rFonts w:eastAsia="Calibri" w:cs="Times New Roman"/>
          <w:sz w:val="28"/>
          <w:szCs w:val="28"/>
        </w:rPr>
        <w:t xml:space="preserve"> та</w:t>
      </w:r>
      <w:r w:rsidRPr="00CA099F">
        <w:rPr>
          <w:rFonts w:eastAsia="Calibri" w:cs="Times New Roman"/>
          <w:sz w:val="28"/>
          <w:szCs w:val="28"/>
        </w:rPr>
        <w:t xml:space="preserve"> практично відповідала, такій в контрольній групі.</w:t>
      </w:r>
    </w:p>
    <w:p w:rsidR="0030517B" w:rsidRPr="00CA099F" w:rsidRDefault="0030517B" w:rsidP="0030517B">
      <w:pPr>
        <w:spacing w:after="0" w:line="360" w:lineRule="auto"/>
        <w:ind w:firstLine="709"/>
        <w:jc w:val="both"/>
        <w:rPr>
          <w:rFonts w:eastAsia="Calibri" w:cs="Times New Roman"/>
          <w:sz w:val="28"/>
          <w:szCs w:val="28"/>
        </w:rPr>
      </w:pPr>
      <w:r w:rsidRPr="00CA099F">
        <w:rPr>
          <w:rFonts w:eastAsia="Calibri" w:cs="Times New Roman"/>
          <w:sz w:val="28"/>
          <w:szCs w:val="28"/>
        </w:rPr>
        <w:t xml:space="preserve">У 2 групі </w:t>
      </w:r>
      <w:r w:rsidR="00D96DA9">
        <w:rPr>
          <w:rFonts w:eastAsia="Calibri" w:cs="Times New Roman"/>
          <w:sz w:val="28"/>
          <w:szCs w:val="28"/>
        </w:rPr>
        <w:t>пацієнтів</w:t>
      </w:r>
      <w:r w:rsidRPr="00CA099F">
        <w:rPr>
          <w:rFonts w:eastAsia="Calibri" w:cs="Times New Roman"/>
          <w:sz w:val="28"/>
          <w:szCs w:val="28"/>
        </w:rPr>
        <w:t xml:space="preserve">, які разом з введенням PRF-згустка отримували препарат «Біоцирулін» область післяопераційного втручання через 9 місяців, при зовнішньому огляді практично не відрізнялася від такої у попередніх групах цього терміну спостереження. </w:t>
      </w:r>
    </w:p>
    <w:p w:rsidR="0030517B" w:rsidRPr="00CA099F" w:rsidRDefault="0030517B" w:rsidP="0030517B">
      <w:pPr>
        <w:spacing w:after="0" w:line="360" w:lineRule="auto"/>
        <w:ind w:firstLine="709"/>
        <w:jc w:val="both"/>
        <w:rPr>
          <w:rFonts w:eastAsia="Calibri" w:cs="Times New Roman"/>
          <w:sz w:val="28"/>
          <w:szCs w:val="28"/>
        </w:rPr>
      </w:pPr>
      <w:r w:rsidRPr="00CA099F">
        <w:rPr>
          <w:rFonts w:eastAsia="Calibri" w:cs="Times New Roman"/>
          <w:sz w:val="28"/>
          <w:szCs w:val="28"/>
        </w:rPr>
        <w:t xml:space="preserve">Мікроскопічні відмінності від першої групи також були мінімальними. В усіх випадках мала місце повна епітелізація сполучнотканинного рубця, покривний епітелій над усією поверхнею рубця характеризувався </w:t>
      </w:r>
      <w:r w:rsidRPr="00CA099F">
        <w:rPr>
          <w:rFonts w:eastAsia="Calibri" w:cs="Times New Roman"/>
          <w:sz w:val="28"/>
          <w:szCs w:val="28"/>
        </w:rPr>
        <w:lastRenderedPageBreak/>
        <w:t>рівномірною товщиною і чіткою стратифікацією. Порушень процесу епітелізації, подібних до описаних раніше в усіх випадках виявлено не було.</w:t>
      </w:r>
    </w:p>
    <w:p w:rsidR="0030517B" w:rsidRPr="00CA099F" w:rsidRDefault="0030517B" w:rsidP="0030517B">
      <w:pPr>
        <w:spacing w:after="0" w:line="360" w:lineRule="auto"/>
        <w:ind w:firstLine="709"/>
        <w:jc w:val="both"/>
        <w:rPr>
          <w:rFonts w:eastAsia="Calibri" w:cs="Times New Roman"/>
          <w:sz w:val="28"/>
          <w:szCs w:val="28"/>
        </w:rPr>
      </w:pPr>
      <w:r w:rsidRPr="00CA099F">
        <w:rPr>
          <w:rFonts w:eastAsia="Calibri" w:cs="Times New Roman"/>
          <w:sz w:val="28"/>
          <w:szCs w:val="28"/>
        </w:rPr>
        <w:t xml:space="preserve">Серед основних відмінностей структурної організації сполучнотканинного рубця слід зазначити відсутність в усіх спостереженнях помітних дистрофічних змін, наявність зріліших пучків колагенових волокон в апікальних відділах, що проявлялося деяким збільшення їх середньої товщини та інтенсивнішим забарвленням пикрофуксином, внаслідок чого, в типових випадках вони мали яскраво-червоний колір. Помітно змінився також характер компонування пучків колагенових волокон в середніх відділах рубця. </w:t>
      </w:r>
    </w:p>
    <w:p w:rsidR="0030517B" w:rsidRPr="00CA099F" w:rsidRDefault="006F51BD" w:rsidP="0030517B">
      <w:pPr>
        <w:spacing w:after="0" w:line="360" w:lineRule="auto"/>
        <w:ind w:firstLine="709"/>
        <w:jc w:val="both"/>
        <w:rPr>
          <w:rFonts w:eastAsia="Calibri" w:cs="Times New Roman"/>
          <w:sz w:val="28"/>
          <w:szCs w:val="28"/>
        </w:rPr>
      </w:pPr>
      <w:r>
        <w:rPr>
          <w:rFonts w:eastAsia="Calibri" w:cs="Times New Roman"/>
          <w:sz w:val="28"/>
          <w:szCs w:val="28"/>
        </w:rPr>
        <w:t xml:space="preserve">У регіоні, що вивчався, </w:t>
      </w:r>
      <w:r w:rsidR="0030517B" w:rsidRPr="00CA099F">
        <w:rPr>
          <w:rFonts w:eastAsia="Calibri" w:cs="Times New Roman"/>
          <w:sz w:val="28"/>
          <w:szCs w:val="28"/>
        </w:rPr>
        <w:t xml:space="preserve">розташування останніх практично не відрізнялося від інтактної дерми. </w:t>
      </w:r>
      <w:r w:rsidR="0030517B" w:rsidRPr="00425DEA">
        <w:rPr>
          <w:rFonts w:eastAsia="Calibri" w:cs="Times New Roman"/>
          <w:sz w:val="28"/>
          <w:szCs w:val="28"/>
        </w:rPr>
        <w:t xml:space="preserve">Таким чином, в цій групі має місце практично повне ремоделювання фібрилярного компонента базальних і середніх відділів сполучнотканинного рубця, що не дозволяє </w:t>
      </w:r>
      <w:r w:rsidR="00425DEA" w:rsidRPr="00425DEA">
        <w:rPr>
          <w:rFonts w:eastAsia="Calibri" w:cs="Times New Roman"/>
          <w:sz w:val="28"/>
          <w:szCs w:val="28"/>
        </w:rPr>
        <w:t>візуалізувати чітку межу</w:t>
      </w:r>
      <w:r w:rsidR="0030517B" w:rsidRPr="00425DEA">
        <w:rPr>
          <w:rFonts w:eastAsia="Calibri" w:cs="Times New Roman"/>
          <w:sz w:val="28"/>
          <w:szCs w:val="28"/>
        </w:rPr>
        <w:t xml:space="preserve"> між останнім і неушкодженою дермою</w:t>
      </w:r>
      <w:r w:rsidR="0030517B" w:rsidRPr="00CA099F">
        <w:rPr>
          <w:rFonts w:eastAsia="Calibri" w:cs="Times New Roman"/>
          <w:sz w:val="28"/>
          <w:szCs w:val="28"/>
        </w:rPr>
        <w:t>. Єдиною достовірною ознакою на цьому етапі ре</w:t>
      </w:r>
      <w:r w:rsidR="006179C3">
        <w:rPr>
          <w:rFonts w:eastAsia="Calibri" w:cs="Times New Roman"/>
          <w:sz w:val="28"/>
          <w:szCs w:val="28"/>
        </w:rPr>
        <w:t>паративного процесу, що дозволяла</w:t>
      </w:r>
      <w:r w:rsidR="0030517B" w:rsidRPr="00CA099F">
        <w:rPr>
          <w:rFonts w:eastAsia="Calibri" w:cs="Times New Roman"/>
          <w:sz w:val="28"/>
          <w:szCs w:val="28"/>
        </w:rPr>
        <w:t xml:space="preserve"> відрізнити інтактну дерму від с</w:t>
      </w:r>
      <w:r w:rsidR="006179C3">
        <w:rPr>
          <w:rFonts w:eastAsia="Calibri" w:cs="Times New Roman"/>
          <w:sz w:val="28"/>
          <w:szCs w:val="28"/>
        </w:rPr>
        <w:t>получнотканинного рубця залишала</w:t>
      </w:r>
      <w:r w:rsidR="0030517B" w:rsidRPr="00CA099F">
        <w:rPr>
          <w:rFonts w:eastAsia="Calibri" w:cs="Times New Roman"/>
          <w:sz w:val="28"/>
          <w:szCs w:val="28"/>
        </w:rPr>
        <w:t xml:space="preserve">ся повна відсутність в зоні останнього придатків шкіри. </w:t>
      </w:r>
    </w:p>
    <w:p w:rsidR="0030517B" w:rsidRPr="00CA099F" w:rsidRDefault="00E74185" w:rsidP="0030517B">
      <w:pPr>
        <w:spacing w:after="0" w:line="360" w:lineRule="auto"/>
        <w:ind w:firstLine="709"/>
        <w:jc w:val="both"/>
        <w:rPr>
          <w:rFonts w:eastAsia="Calibri" w:cs="Times New Roman"/>
          <w:sz w:val="28"/>
          <w:szCs w:val="28"/>
        </w:rPr>
      </w:pPr>
      <w:r>
        <w:rPr>
          <w:rFonts w:eastAsia="Calibri" w:cs="Times New Roman"/>
          <w:sz w:val="28"/>
          <w:szCs w:val="28"/>
        </w:rPr>
        <w:t>У</w:t>
      </w:r>
      <w:r w:rsidR="0030517B" w:rsidRPr="00CA099F">
        <w:rPr>
          <w:rFonts w:eastAsia="Calibri" w:cs="Times New Roman"/>
          <w:sz w:val="28"/>
          <w:szCs w:val="28"/>
        </w:rPr>
        <w:t xml:space="preserve"> порівнянні з поп</w:t>
      </w:r>
      <w:r>
        <w:rPr>
          <w:rFonts w:eastAsia="Calibri" w:cs="Times New Roman"/>
          <w:sz w:val="28"/>
          <w:szCs w:val="28"/>
        </w:rPr>
        <w:t>ередніми групами не спостерігало</w:t>
      </w:r>
      <w:r w:rsidR="0030517B" w:rsidRPr="00CA099F">
        <w:rPr>
          <w:rFonts w:eastAsia="Calibri" w:cs="Times New Roman"/>
          <w:sz w:val="28"/>
          <w:szCs w:val="28"/>
        </w:rPr>
        <w:t xml:space="preserve">ся помітних змін в </w:t>
      </w:r>
      <w:r w:rsidR="0030517B" w:rsidRPr="0095796A">
        <w:rPr>
          <w:rFonts w:eastAsia="Calibri" w:cs="Times New Roman"/>
          <w:sz w:val="28"/>
          <w:szCs w:val="28"/>
        </w:rPr>
        <w:t>клітинному складі рубця</w:t>
      </w:r>
      <w:r w:rsidR="0095796A" w:rsidRPr="0095796A">
        <w:rPr>
          <w:rFonts w:eastAsia="Calibri" w:cs="Times New Roman"/>
          <w:sz w:val="28"/>
          <w:szCs w:val="28"/>
        </w:rPr>
        <w:t>:</w:t>
      </w:r>
      <w:r w:rsidR="0030517B" w:rsidRPr="0095796A">
        <w:rPr>
          <w:rFonts w:eastAsia="Calibri" w:cs="Times New Roman"/>
          <w:sz w:val="28"/>
          <w:szCs w:val="28"/>
        </w:rPr>
        <w:t xml:space="preserve"> питома вага клітинних елементів склала 234 ± 14 в 10000 мкм</w:t>
      </w:r>
      <w:r w:rsidR="0030517B" w:rsidRPr="0095796A">
        <w:rPr>
          <w:rFonts w:eastAsia="Calibri" w:cs="Times New Roman"/>
          <w:sz w:val="28"/>
          <w:szCs w:val="28"/>
          <w:vertAlign w:val="superscript"/>
        </w:rPr>
        <w:t>2</w:t>
      </w:r>
      <w:r w:rsidRPr="0095796A">
        <w:rPr>
          <w:rFonts w:eastAsia="Calibri" w:cs="Times New Roman"/>
          <w:sz w:val="28"/>
          <w:szCs w:val="28"/>
        </w:rPr>
        <w:t>,</w:t>
      </w:r>
      <w:r w:rsidR="0030517B" w:rsidRPr="0095796A">
        <w:rPr>
          <w:rFonts w:eastAsia="Calibri" w:cs="Times New Roman"/>
          <w:sz w:val="28"/>
          <w:szCs w:val="28"/>
          <w:vertAlign w:val="superscript"/>
        </w:rPr>
        <w:t xml:space="preserve"> </w:t>
      </w:r>
      <w:r w:rsidR="0030517B" w:rsidRPr="0095796A">
        <w:rPr>
          <w:rFonts w:eastAsia="Calibri" w:cs="Times New Roman"/>
          <w:sz w:val="28"/>
          <w:szCs w:val="28"/>
        </w:rPr>
        <w:t xml:space="preserve"> 92,6 ± 4 % усіх клітинних популяцій 7,4 ± 2 %. Слід зазначити практично рівномірний розподіл клітин</w:t>
      </w:r>
      <w:r w:rsidR="0030517B" w:rsidRPr="00CA099F">
        <w:rPr>
          <w:rFonts w:eastAsia="Calibri" w:cs="Times New Roman"/>
          <w:sz w:val="28"/>
          <w:szCs w:val="28"/>
        </w:rPr>
        <w:t xml:space="preserve"> по усій товщі сполучнотканинного рубця, при цьому щільність їх розташування, кількісний і якісний склад, показники пролі</w:t>
      </w:r>
      <w:r w:rsidR="000B6DDC">
        <w:rPr>
          <w:rFonts w:eastAsia="Calibri" w:cs="Times New Roman"/>
          <w:sz w:val="28"/>
          <w:szCs w:val="28"/>
        </w:rPr>
        <w:t>феративної активності наближали</w:t>
      </w:r>
      <w:r w:rsidR="0030517B" w:rsidRPr="00CA099F">
        <w:rPr>
          <w:rFonts w:eastAsia="Calibri" w:cs="Times New Roman"/>
          <w:sz w:val="28"/>
          <w:szCs w:val="28"/>
        </w:rPr>
        <w:t>ся до відповідних показників сітчастого шару інтактної дерми.</w:t>
      </w:r>
    </w:p>
    <w:p w:rsidR="0030517B" w:rsidRPr="00CA099F" w:rsidRDefault="0030517B" w:rsidP="0030517B">
      <w:pPr>
        <w:spacing w:after="0" w:line="360" w:lineRule="auto"/>
        <w:ind w:firstLine="709"/>
        <w:jc w:val="both"/>
        <w:rPr>
          <w:rFonts w:eastAsia="Calibri" w:cs="Times New Roman"/>
          <w:sz w:val="28"/>
          <w:szCs w:val="28"/>
        </w:rPr>
      </w:pPr>
    </w:p>
    <w:p w:rsidR="0030517B" w:rsidRPr="00CA099F" w:rsidRDefault="0030517B" w:rsidP="0030517B">
      <w:pPr>
        <w:spacing w:after="0" w:line="360" w:lineRule="auto"/>
        <w:ind w:firstLine="709"/>
        <w:jc w:val="both"/>
        <w:rPr>
          <w:rFonts w:eastAsia="Calibri" w:cs="Times New Roman"/>
          <w:b/>
          <w:sz w:val="28"/>
          <w:szCs w:val="28"/>
        </w:rPr>
      </w:pPr>
      <w:r w:rsidRPr="00CA099F">
        <w:rPr>
          <w:rFonts w:eastAsia="Calibri" w:cs="Times New Roman"/>
          <w:b/>
          <w:sz w:val="28"/>
          <w:szCs w:val="28"/>
        </w:rPr>
        <w:t>4.4 Особливості морфологічної будови рубцевозмінених тканин на 12 місяць післяопераційного періоду</w:t>
      </w:r>
    </w:p>
    <w:p w:rsidR="0030517B" w:rsidRPr="00CA099F" w:rsidRDefault="0030517B" w:rsidP="0030517B">
      <w:pPr>
        <w:spacing w:after="0" w:line="360" w:lineRule="auto"/>
        <w:ind w:firstLine="709"/>
        <w:jc w:val="both"/>
        <w:rPr>
          <w:rFonts w:eastAsia="Calibri" w:cs="Times New Roman"/>
          <w:sz w:val="28"/>
          <w:szCs w:val="28"/>
        </w:rPr>
      </w:pPr>
    </w:p>
    <w:p w:rsidR="0030517B" w:rsidRPr="00CA099F" w:rsidRDefault="00725115" w:rsidP="0030517B">
      <w:pPr>
        <w:spacing w:after="0" w:line="360" w:lineRule="auto"/>
        <w:ind w:firstLine="709"/>
        <w:jc w:val="both"/>
        <w:rPr>
          <w:rFonts w:eastAsia="Calibri" w:cs="Times New Roman"/>
          <w:sz w:val="28"/>
          <w:szCs w:val="28"/>
        </w:rPr>
      </w:pPr>
      <w:r>
        <w:rPr>
          <w:rFonts w:eastAsia="Calibri" w:cs="Times New Roman"/>
          <w:sz w:val="28"/>
          <w:szCs w:val="28"/>
        </w:rPr>
        <w:t>В</w:t>
      </w:r>
      <w:r w:rsidR="0030517B" w:rsidRPr="00CA099F">
        <w:rPr>
          <w:rFonts w:eastAsia="Calibri" w:cs="Times New Roman"/>
          <w:sz w:val="28"/>
          <w:szCs w:val="28"/>
        </w:rPr>
        <w:t xml:space="preserve"> обговорюваний термін згідно даних літератури [77, 164, 225] і отриманих нами попередніх результатів має місце практично повне </w:t>
      </w:r>
      <w:r w:rsidR="0030517B" w:rsidRPr="00CA099F">
        <w:rPr>
          <w:rFonts w:eastAsia="Calibri" w:cs="Times New Roman"/>
          <w:sz w:val="28"/>
          <w:szCs w:val="28"/>
        </w:rPr>
        <w:lastRenderedPageBreak/>
        <w:t xml:space="preserve">завершення формування післяопераційного рубця, у зв'язку з чим, слід чекати мінімальних, таких, що виявляються доступними нам методами, морфологічних відмінностей між окремими групами. Таким чином, ми вважаємо доцільним акцентувати увагу лише на найбільш характерних показниках, які надалі, дозволять нам зробити висновок про переваги і недоліки методів лікування, що </w:t>
      </w:r>
      <w:r w:rsidR="00344078" w:rsidRPr="00CA099F">
        <w:rPr>
          <w:rFonts w:eastAsia="Calibri" w:cs="Times New Roman"/>
          <w:sz w:val="28"/>
          <w:szCs w:val="28"/>
        </w:rPr>
        <w:t xml:space="preserve">нами </w:t>
      </w:r>
      <w:r w:rsidR="0030517B" w:rsidRPr="00CA099F">
        <w:rPr>
          <w:rFonts w:eastAsia="Calibri" w:cs="Times New Roman"/>
          <w:sz w:val="28"/>
          <w:szCs w:val="28"/>
        </w:rPr>
        <w:t xml:space="preserve">вивчаються. </w:t>
      </w:r>
    </w:p>
    <w:p w:rsidR="0030517B" w:rsidRPr="00CA099F" w:rsidRDefault="0030517B" w:rsidP="0030517B">
      <w:pPr>
        <w:spacing w:after="0" w:line="360" w:lineRule="auto"/>
        <w:ind w:firstLine="709"/>
        <w:jc w:val="both"/>
        <w:rPr>
          <w:rFonts w:eastAsia="Calibri" w:cs="Times New Roman"/>
          <w:sz w:val="28"/>
          <w:szCs w:val="28"/>
        </w:rPr>
      </w:pPr>
      <w:r w:rsidRPr="00CA099F">
        <w:rPr>
          <w:rFonts w:eastAsia="Calibri" w:cs="Times New Roman"/>
          <w:sz w:val="28"/>
          <w:szCs w:val="28"/>
        </w:rPr>
        <w:t xml:space="preserve">Як і в контрольній групі в 12-ти місячний термін в усіх випадках мала місце повна епітелізація сполучнотканинного рубця, при цьому покривний епітелій повністю відповідав інтактному епідермісу, помітних порушень процесів епітелізації виявлено нами не було. </w:t>
      </w:r>
    </w:p>
    <w:p w:rsidR="0030517B" w:rsidRPr="00CA099F" w:rsidRDefault="0030517B" w:rsidP="0030517B">
      <w:pPr>
        <w:spacing w:after="0" w:line="360" w:lineRule="auto"/>
        <w:ind w:firstLine="709"/>
        <w:jc w:val="both"/>
        <w:rPr>
          <w:rFonts w:eastAsia="Calibri" w:cs="Times New Roman"/>
          <w:sz w:val="28"/>
          <w:szCs w:val="28"/>
        </w:rPr>
      </w:pPr>
      <w:r w:rsidRPr="00CA099F">
        <w:rPr>
          <w:rFonts w:eastAsia="Calibri" w:cs="Times New Roman"/>
          <w:sz w:val="28"/>
          <w:szCs w:val="28"/>
        </w:rPr>
        <w:t>Сполучнотканинний рубець характеризувався рівномірним розподілом клітинних елементів по усій глибині, питома вага розташування яких склала 228 ± 12 в 10000 мкм</w:t>
      </w:r>
      <w:r w:rsidRPr="00CA099F">
        <w:rPr>
          <w:rFonts w:eastAsia="Calibri" w:cs="Times New Roman"/>
          <w:sz w:val="28"/>
          <w:szCs w:val="28"/>
          <w:vertAlign w:val="superscript"/>
        </w:rPr>
        <w:t>2</w:t>
      </w:r>
      <w:r w:rsidRPr="00CA099F">
        <w:rPr>
          <w:rFonts w:eastAsia="Calibri" w:cs="Times New Roman"/>
          <w:sz w:val="28"/>
          <w:szCs w:val="28"/>
        </w:rPr>
        <w:t>.</w:t>
      </w:r>
    </w:p>
    <w:p w:rsidR="0030517B" w:rsidRPr="00CA099F" w:rsidRDefault="0030517B" w:rsidP="0030517B">
      <w:pPr>
        <w:spacing w:after="0" w:line="360" w:lineRule="auto"/>
        <w:ind w:firstLine="709"/>
        <w:jc w:val="both"/>
        <w:rPr>
          <w:rFonts w:eastAsia="Calibri" w:cs="Times New Roman"/>
          <w:sz w:val="28"/>
          <w:szCs w:val="28"/>
        </w:rPr>
      </w:pPr>
      <w:r w:rsidRPr="00CA099F">
        <w:rPr>
          <w:rFonts w:eastAsia="Calibri" w:cs="Times New Roman"/>
          <w:sz w:val="28"/>
          <w:szCs w:val="28"/>
        </w:rPr>
        <w:t xml:space="preserve">Характер розподілу пучків колагенових волокон в нижній третині рубця практично повністю відповідав такому в сітчастому шарі інтактної дерми, у базальних відділах рубця волокна були орієнтовані переважно перпендикулярно по відношенню до епідермісу. Дещо рідше, ніж в контрольній групі 9-ти місячного терміну виявлялися незрілі волокна, морфологічні ознаки яких були описані нами раніше. </w:t>
      </w:r>
    </w:p>
    <w:p w:rsidR="003B7FCB" w:rsidRDefault="0030517B" w:rsidP="0030517B">
      <w:pPr>
        <w:spacing w:after="0" w:line="360" w:lineRule="auto"/>
        <w:ind w:firstLine="709"/>
        <w:jc w:val="both"/>
        <w:rPr>
          <w:rFonts w:eastAsia="Calibri" w:cs="Times New Roman"/>
          <w:sz w:val="28"/>
          <w:szCs w:val="28"/>
        </w:rPr>
      </w:pPr>
      <w:r w:rsidRPr="00CA099F">
        <w:rPr>
          <w:rFonts w:eastAsia="Calibri" w:cs="Times New Roman"/>
          <w:sz w:val="28"/>
          <w:szCs w:val="28"/>
        </w:rPr>
        <w:t xml:space="preserve">Слід відмітити появу в середніх і базальних відділах рубця окремих, хаотично розташованих пучків колагенових волокон. Незважаючи на значну товщину, для них досить часто була характерна слабковиражена фуксинофілія, що є непрямою ознакою початкових стадій розвитку дистрофічних процесів. Мабуть, описані пучки волокон, зазнавши дегенеративних змін не братимуть надалі </w:t>
      </w:r>
      <w:r w:rsidR="00735EFC">
        <w:rPr>
          <w:rFonts w:eastAsia="Calibri" w:cs="Times New Roman"/>
          <w:sz w:val="28"/>
          <w:szCs w:val="28"/>
        </w:rPr>
        <w:t>участі у репаративном процесі, оскільки вони є</w:t>
      </w:r>
      <w:r w:rsidRPr="00CA099F">
        <w:rPr>
          <w:rFonts w:eastAsia="Calibri" w:cs="Times New Roman"/>
          <w:sz w:val="28"/>
          <w:szCs w:val="28"/>
        </w:rPr>
        <w:t>, по суті</w:t>
      </w:r>
      <w:r w:rsidR="006071EA">
        <w:rPr>
          <w:rFonts w:eastAsia="Calibri" w:cs="Times New Roman"/>
          <w:sz w:val="28"/>
          <w:szCs w:val="28"/>
        </w:rPr>
        <w:t>,</w:t>
      </w:r>
      <w:r w:rsidRPr="00CA099F">
        <w:rPr>
          <w:rFonts w:eastAsia="Calibri" w:cs="Times New Roman"/>
          <w:sz w:val="28"/>
          <w:szCs w:val="28"/>
        </w:rPr>
        <w:t xml:space="preserve"> абортивними структурами (рис. 4.10).</w:t>
      </w:r>
    </w:p>
    <w:p w:rsidR="0030517B" w:rsidRPr="00CA099F" w:rsidRDefault="0030517B" w:rsidP="0030517B">
      <w:pPr>
        <w:spacing w:after="0" w:line="360" w:lineRule="auto"/>
        <w:ind w:firstLine="709"/>
        <w:jc w:val="both"/>
        <w:rPr>
          <w:rFonts w:eastAsia="Calibri" w:cs="Times New Roman"/>
          <w:sz w:val="28"/>
          <w:szCs w:val="28"/>
        </w:rPr>
      </w:pPr>
      <w:r w:rsidRPr="00CA099F">
        <w:rPr>
          <w:rFonts w:eastAsia="Calibri" w:cs="Times New Roman"/>
          <w:sz w:val="28"/>
          <w:szCs w:val="28"/>
        </w:rPr>
        <w:t xml:space="preserve"> </w:t>
      </w:r>
    </w:p>
    <w:tbl>
      <w:tblPr>
        <w:tblW w:w="0" w:type="auto"/>
        <w:tblLook w:val="01E0" w:firstRow="1" w:lastRow="1" w:firstColumn="1" w:lastColumn="1" w:noHBand="0" w:noVBand="0"/>
      </w:tblPr>
      <w:tblGrid>
        <w:gridCol w:w="9355"/>
      </w:tblGrid>
      <w:tr w:rsidR="0030517B" w:rsidRPr="00CA099F" w:rsidTr="00E1448E">
        <w:tc>
          <w:tcPr>
            <w:tcW w:w="9571" w:type="dxa"/>
          </w:tcPr>
          <w:p w:rsidR="0030517B" w:rsidRPr="00CA099F" w:rsidRDefault="0030517B" w:rsidP="00E1448E">
            <w:pPr>
              <w:spacing w:after="0" w:line="360" w:lineRule="auto"/>
              <w:ind w:firstLine="709"/>
              <w:jc w:val="both"/>
              <w:rPr>
                <w:rFonts w:eastAsia="Calibri" w:cs="Times New Roman"/>
                <w:szCs w:val="28"/>
              </w:rPr>
            </w:pPr>
            <w:r w:rsidRPr="00CA099F">
              <w:rPr>
                <w:rFonts w:eastAsia="Calibri" w:cs="Times New Roman"/>
                <w:noProof/>
                <w:sz w:val="28"/>
                <w:szCs w:val="28"/>
                <w:lang w:val="ru-RU" w:eastAsia="ru-RU"/>
              </w:rPr>
              <w:lastRenderedPageBreak/>
              <w:drawing>
                <wp:inline distT="0" distB="0" distL="0" distR="0" wp14:anchorId="2A214EC0" wp14:editId="5AD6DCDD">
                  <wp:extent cx="5381625" cy="3790950"/>
                  <wp:effectExtent l="0" t="0" r="9525"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381625" cy="3790950"/>
                          </a:xfrm>
                          <a:prstGeom prst="rect">
                            <a:avLst/>
                          </a:prstGeom>
                          <a:noFill/>
                          <a:ln>
                            <a:noFill/>
                          </a:ln>
                        </pic:spPr>
                      </pic:pic>
                    </a:graphicData>
                  </a:graphic>
                </wp:inline>
              </w:drawing>
            </w:r>
          </w:p>
        </w:tc>
      </w:tr>
      <w:tr w:rsidR="0030517B" w:rsidRPr="00CA099F" w:rsidTr="00E1448E">
        <w:tc>
          <w:tcPr>
            <w:tcW w:w="9571" w:type="dxa"/>
          </w:tcPr>
          <w:p w:rsidR="0030517B" w:rsidRPr="00CA099F" w:rsidRDefault="0030517B" w:rsidP="00E1448E">
            <w:pPr>
              <w:spacing w:after="0" w:line="360" w:lineRule="auto"/>
              <w:jc w:val="both"/>
              <w:rPr>
                <w:rFonts w:eastAsia="Calibri" w:cs="Times New Roman"/>
                <w:szCs w:val="28"/>
              </w:rPr>
            </w:pPr>
            <w:r w:rsidRPr="00CA099F">
              <w:rPr>
                <w:rFonts w:eastAsia="Calibri" w:cs="Times New Roman"/>
                <w:sz w:val="28"/>
                <w:szCs w:val="28"/>
              </w:rPr>
              <w:t xml:space="preserve">          Рис. 4.10. Хаотично розташовані пучки колагенових волокон із слабко вираженою фуксинофілією в сполучнотканинному рубці через 12 місяців після оперативного втручання Забарвлення за ван Гізон. Об. 40х., ок. 10х. </w:t>
            </w:r>
          </w:p>
        </w:tc>
      </w:tr>
      <w:tr w:rsidR="0030517B" w:rsidRPr="00CA099F" w:rsidTr="00E1448E">
        <w:tc>
          <w:tcPr>
            <w:tcW w:w="9571" w:type="dxa"/>
          </w:tcPr>
          <w:p w:rsidR="0030517B" w:rsidRPr="00CA099F" w:rsidRDefault="0030517B" w:rsidP="00E1448E">
            <w:pPr>
              <w:spacing w:after="0" w:line="360" w:lineRule="auto"/>
              <w:jc w:val="both"/>
              <w:rPr>
                <w:rFonts w:eastAsia="Calibri" w:cs="Times New Roman"/>
                <w:szCs w:val="28"/>
              </w:rPr>
            </w:pPr>
          </w:p>
        </w:tc>
      </w:tr>
    </w:tbl>
    <w:p w:rsidR="0030517B" w:rsidRPr="00CA099F" w:rsidRDefault="0030517B" w:rsidP="0030517B">
      <w:pPr>
        <w:spacing w:after="0" w:line="360" w:lineRule="auto"/>
        <w:ind w:firstLine="709"/>
        <w:jc w:val="both"/>
        <w:rPr>
          <w:rFonts w:eastAsia="Calibri" w:cs="Times New Roman"/>
          <w:sz w:val="28"/>
          <w:szCs w:val="28"/>
        </w:rPr>
      </w:pPr>
      <w:r w:rsidRPr="00CA099F">
        <w:rPr>
          <w:rFonts w:eastAsia="Calibri" w:cs="Times New Roman"/>
          <w:sz w:val="28"/>
          <w:szCs w:val="28"/>
        </w:rPr>
        <w:t xml:space="preserve">Підтвердженням цієї гіпотези є те, що періодично </w:t>
      </w:r>
      <w:r w:rsidR="006071EA" w:rsidRPr="00CA099F">
        <w:rPr>
          <w:rFonts w:eastAsia="Calibri" w:cs="Times New Roman"/>
          <w:sz w:val="28"/>
          <w:szCs w:val="28"/>
        </w:rPr>
        <w:t xml:space="preserve">нами </w:t>
      </w:r>
      <w:r w:rsidR="006071EA">
        <w:rPr>
          <w:rFonts w:eastAsia="Calibri" w:cs="Times New Roman"/>
          <w:sz w:val="28"/>
          <w:szCs w:val="28"/>
        </w:rPr>
        <w:t>виявляли</w:t>
      </w:r>
      <w:r w:rsidRPr="00CA099F">
        <w:rPr>
          <w:rFonts w:eastAsia="Calibri" w:cs="Times New Roman"/>
          <w:sz w:val="28"/>
          <w:szCs w:val="28"/>
        </w:rPr>
        <w:t>ся (у 7 спостереженнях) явища гіалінозу, який, як відомо, у ряді випадків є фінальною стадією розвитку дегенеративних процесів в сполучній тканині.</w:t>
      </w:r>
    </w:p>
    <w:p w:rsidR="0030517B" w:rsidRPr="00CA099F" w:rsidRDefault="0030517B" w:rsidP="0030517B">
      <w:pPr>
        <w:spacing w:after="0" w:line="360" w:lineRule="auto"/>
        <w:ind w:firstLine="709"/>
        <w:jc w:val="both"/>
        <w:rPr>
          <w:rFonts w:eastAsia="Calibri" w:cs="Times New Roman"/>
          <w:sz w:val="28"/>
          <w:szCs w:val="28"/>
        </w:rPr>
      </w:pPr>
      <w:r w:rsidRPr="00CA099F">
        <w:rPr>
          <w:rFonts w:eastAsia="Calibri" w:cs="Times New Roman"/>
          <w:sz w:val="28"/>
          <w:szCs w:val="28"/>
        </w:rPr>
        <w:t>При введенні PRF-згустка в термін, що вивчається, покривний епітелій не відрізнявся від такого в контрольній групі і мав повну структурну схожість з інтактним епідермісом.</w:t>
      </w:r>
    </w:p>
    <w:p w:rsidR="0030517B" w:rsidRPr="00CA099F" w:rsidRDefault="0030517B" w:rsidP="0030517B">
      <w:pPr>
        <w:spacing w:after="0" w:line="360" w:lineRule="auto"/>
        <w:ind w:firstLine="709"/>
        <w:jc w:val="both"/>
        <w:rPr>
          <w:rFonts w:eastAsia="Calibri" w:cs="Times New Roman"/>
          <w:sz w:val="28"/>
          <w:szCs w:val="28"/>
        </w:rPr>
      </w:pPr>
      <w:r w:rsidRPr="00CA099F">
        <w:rPr>
          <w:rFonts w:eastAsia="Calibri" w:cs="Times New Roman"/>
          <w:sz w:val="28"/>
          <w:szCs w:val="28"/>
        </w:rPr>
        <w:t>Післяопераційний сполучнотканинний рубець в усіх відділах мав відносно мономорфну будову, при цьому, питома вага розташування клітинних елементів помітно не відрізнялася від контрольної групи і складала, в середньому, 223 ± 12 в 10000 мкм</w:t>
      </w:r>
      <w:r w:rsidRPr="00CA099F">
        <w:rPr>
          <w:rFonts w:eastAsia="Calibri" w:cs="Times New Roman"/>
          <w:sz w:val="28"/>
          <w:szCs w:val="28"/>
          <w:vertAlign w:val="superscript"/>
        </w:rPr>
        <w:t>2</w:t>
      </w:r>
      <w:r w:rsidRPr="00CA099F">
        <w:rPr>
          <w:rFonts w:eastAsia="Calibri" w:cs="Times New Roman"/>
          <w:sz w:val="28"/>
          <w:szCs w:val="28"/>
        </w:rPr>
        <w:t xml:space="preserve">. Клітини фибробластического ряду припадали на частку 92,8 ± 4 % усіх клітинних популяцій, на клітини гематогенного походження – 7,2 ± 2 %. Серед фібробластів частіше за інші нам зустрічалися зрілі, спеціалізовані форми, мало спеціалізовані фібробласти </w:t>
      </w:r>
      <w:r w:rsidRPr="00CA099F">
        <w:rPr>
          <w:rFonts w:eastAsia="Calibri" w:cs="Times New Roman"/>
          <w:sz w:val="28"/>
          <w:szCs w:val="28"/>
        </w:rPr>
        <w:lastRenderedPageBreak/>
        <w:t>виявлялися украй рідко в навколосудинному просторі апікальних відділів рубця.</w:t>
      </w:r>
    </w:p>
    <w:p w:rsidR="0030517B" w:rsidRPr="00CA099F" w:rsidRDefault="0030517B" w:rsidP="0030517B">
      <w:pPr>
        <w:spacing w:after="0" w:line="360" w:lineRule="auto"/>
        <w:ind w:firstLine="709"/>
        <w:jc w:val="both"/>
        <w:rPr>
          <w:rFonts w:eastAsia="Calibri" w:cs="Times New Roman"/>
          <w:sz w:val="28"/>
          <w:szCs w:val="28"/>
        </w:rPr>
      </w:pPr>
      <w:r w:rsidRPr="00CA099F">
        <w:rPr>
          <w:rFonts w:eastAsia="Calibri" w:cs="Times New Roman"/>
          <w:sz w:val="28"/>
          <w:szCs w:val="28"/>
        </w:rPr>
        <w:t>Колагенові волокна у базальних і середніх відділах рубця, переплітаючись між собою</w:t>
      </w:r>
      <w:r w:rsidR="00133E3F">
        <w:rPr>
          <w:rFonts w:eastAsia="Calibri" w:cs="Times New Roman"/>
          <w:sz w:val="28"/>
          <w:szCs w:val="28"/>
        </w:rPr>
        <w:t>,</w:t>
      </w:r>
      <w:r w:rsidRPr="00CA099F">
        <w:rPr>
          <w:rFonts w:eastAsia="Calibri" w:cs="Times New Roman"/>
          <w:sz w:val="28"/>
          <w:szCs w:val="28"/>
        </w:rPr>
        <w:t xml:space="preserve"> практично повністю повторювали напрям</w:t>
      </w:r>
      <w:r w:rsidR="00793BD4">
        <w:rPr>
          <w:rFonts w:eastAsia="Calibri" w:cs="Times New Roman"/>
          <w:sz w:val="28"/>
          <w:szCs w:val="28"/>
        </w:rPr>
        <w:t>ок</w:t>
      </w:r>
      <w:r w:rsidRPr="00CA099F">
        <w:rPr>
          <w:rFonts w:eastAsia="Calibri" w:cs="Times New Roman"/>
          <w:sz w:val="28"/>
          <w:szCs w:val="28"/>
        </w:rPr>
        <w:t xml:space="preserve"> волокон сітчастого шару дерми, помітно не відрізняючись від останніх по товщині. У апікальних відділах пучки колагенових волокон зберігали перпендикулярний, по відношенню до епідермісу напрям</w:t>
      </w:r>
      <w:r w:rsidR="00793BD4">
        <w:rPr>
          <w:rFonts w:eastAsia="Calibri" w:cs="Times New Roman"/>
          <w:sz w:val="28"/>
          <w:szCs w:val="28"/>
        </w:rPr>
        <w:t>ок</w:t>
      </w:r>
      <w:r w:rsidRPr="00CA099F">
        <w:rPr>
          <w:rFonts w:eastAsia="Calibri" w:cs="Times New Roman"/>
          <w:sz w:val="28"/>
          <w:szCs w:val="28"/>
        </w:rPr>
        <w:t xml:space="preserve">, незрілих форм серед них не виявлялося. </w:t>
      </w:r>
    </w:p>
    <w:p w:rsidR="0030517B" w:rsidRPr="00CA099F" w:rsidRDefault="0030517B" w:rsidP="0030517B">
      <w:pPr>
        <w:spacing w:after="0" w:line="360" w:lineRule="auto"/>
        <w:ind w:firstLine="709"/>
        <w:jc w:val="both"/>
        <w:rPr>
          <w:rFonts w:eastAsia="Calibri" w:cs="Times New Roman"/>
          <w:sz w:val="28"/>
          <w:szCs w:val="28"/>
        </w:rPr>
      </w:pPr>
      <w:r w:rsidRPr="00CA099F">
        <w:rPr>
          <w:rFonts w:eastAsia="Calibri" w:cs="Times New Roman"/>
          <w:sz w:val="28"/>
          <w:szCs w:val="28"/>
        </w:rPr>
        <w:t xml:space="preserve">Набагато рідше, в порівнянні з контрольною групою (3 спостереження) ми спостерігали явища гіалінозу в сполучнотканинному рубці, також значно рідше нам зустрічалися колагенові волокна з початковими ознаками альтеративных змін. </w:t>
      </w:r>
      <w:r w:rsidRPr="00716654">
        <w:rPr>
          <w:rFonts w:eastAsia="Calibri" w:cs="Times New Roman"/>
          <w:sz w:val="28"/>
          <w:szCs w:val="28"/>
        </w:rPr>
        <w:t>Як і в контрольній групі, ознаки проліферативної активності, дослідження, що виявляються за допомогою імунногістохімічних методів, виявляли</w:t>
      </w:r>
      <w:r w:rsidR="00716654" w:rsidRPr="00716654">
        <w:rPr>
          <w:rFonts w:eastAsia="Calibri" w:cs="Times New Roman"/>
          <w:sz w:val="28"/>
          <w:szCs w:val="28"/>
        </w:rPr>
        <w:t>ся</w:t>
      </w:r>
      <w:r w:rsidRPr="00716654">
        <w:rPr>
          <w:rFonts w:eastAsia="Calibri" w:cs="Times New Roman"/>
          <w:sz w:val="28"/>
          <w:szCs w:val="28"/>
        </w:rPr>
        <w:t xml:space="preserve"> у базальному шарі епітелію і в одиничних клітинах фібробластичного ряду,</w:t>
      </w:r>
      <w:r w:rsidRPr="00CA099F">
        <w:rPr>
          <w:rFonts w:eastAsia="Calibri" w:cs="Times New Roman"/>
          <w:sz w:val="28"/>
          <w:szCs w:val="28"/>
        </w:rPr>
        <w:t xml:space="preserve"> розташованих у безпосередній близькості від дрібних кровоносних судин в апікальних відділах рубця.</w:t>
      </w:r>
    </w:p>
    <w:p w:rsidR="0030517B" w:rsidRPr="00CA099F" w:rsidRDefault="0030517B" w:rsidP="0030517B">
      <w:pPr>
        <w:spacing w:after="0" w:line="360" w:lineRule="auto"/>
        <w:ind w:firstLine="709"/>
        <w:jc w:val="both"/>
        <w:rPr>
          <w:rFonts w:eastAsia="Calibri" w:cs="Times New Roman"/>
          <w:sz w:val="28"/>
          <w:szCs w:val="28"/>
        </w:rPr>
      </w:pPr>
      <w:r w:rsidRPr="00CA099F">
        <w:rPr>
          <w:rFonts w:eastAsia="Calibri" w:cs="Times New Roman"/>
          <w:sz w:val="28"/>
          <w:szCs w:val="28"/>
        </w:rPr>
        <w:t>Додаткове введення разом з PRF-згустком препарату «Біоцирулін» не при</w:t>
      </w:r>
      <w:r w:rsidR="00DC0151">
        <w:rPr>
          <w:rFonts w:eastAsia="Calibri" w:cs="Times New Roman"/>
          <w:sz w:val="28"/>
          <w:szCs w:val="28"/>
        </w:rPr>
        <w:t>з</w:t>
      </w:r>
      <w:r w:rsidRPr="00CA099F">
        <w:rPr>
          <w:rFonts w:eastAsia="Calibri" w:cs="Times New Roman"/>
          <w:sz w:val="28"/>
          <w:szCs w:val="28"/>
        </w:rPr>
        <w:t>вело до помітних змін в епітелізації рубця через 12 місяців після оперативного втручання в порівнянні з попередньою групою. Не спостерігалося також помітних змін в ангіоархітектоніці та клітинному складі післяопераційного рубця. Так, щільність розташування клітинних елементів складала, в середньому - 218 ± 15 в 10000 мкм</w:t>
      </w:r>
      <w:r w:rsidRPr="00CA099F">
        <w:rPr>
          <w:rFonts w:eastAsia="Calibri" w:cs="Times New Roman"/>
          <w:sz w:val="28"/>
          <w:szCs w:val="28"/>
          <w:vertAlign w:val="superscript"/>
        </w:rPr>
        <w:t>2</w:t>
      </w:r>
      <w:r w:rsidRPr="00CA099F">
        <w:rPr>
          <w:rFonts w:eastAsia="Calibri" w:cs="Times New Roman"/>
          <w:sz w:val="28"/>
          <w:szCs w:val="28"/>
        </w:rPr>
        <w:t>, при цьому фібробласти складали 93,1 ± 4% усієї клітинної популяції, клітини гематогенного походження, відповідно - 6,9 ± 2 %.</w:t>
      </w:r>
    </w:p>
    <w:p w:rsidR="0030517B" w:rsidRPr="00CA099F" w:rsidRDefault="0030517B" w:rsidP="0030517B">
      <w:pPr>
        <w:spacing w:after="0" w:line="360" w:lineRule="auto"/>
        <w:ind w:firstLine="709"/>
        <w:jc w:val="both"/>
        <w:rPr>
          <w:rFonts w:eastAsia="Calibri" w:cs="Times New Roman"/>
          <w:sz w:val="28"/>
          <w:szCs w:val="28"/>
        </w:rPr>
      </w:pPr>
      <w:r w:rsidRPr="00CA099F">
        <w:rPr>
          <w:rFonts w:eastAsia="Calibri" w:cs="Times New Roman"/>
          <w:sz w:val="28"/>
          <w:szCs w:val="28"/>
        </w:rPr>
        <w:t xml:space="preserve">Заслуговуючи на увагу відмінності мали місце в характері розташування пучків колагенових волокон, характер напряму яких практично по усій глибині рубця, аж до самих апікальних відділів співпадав з таким же в інтактній дермі. При цьому пучки колагенових волокон післяопераційного рубця за тинкторіальними характеристиками і метричними показниками практично не відрізнялися від таких в незміненій дермі, через що було </w:t>
      </w:r>
      <w:r w:rsidRPr="00CA099F">
        <w:rPr>
          <w:rFonts w:eastAsia="Calibri" w:cs="Times New Roman"/>
          <w:sz w:val="28"/>
          <w:szCs w:val="28"/>
        </w:rPr>
        <w:lastRenderedPageBreak/>
        <w:t xml:space="preserve">неможливо, у ряді випадків, навіть приблизно визначити межі зони післяопераційного рубця. </w:t>
      </w:r>
      <w:r w:rsidR="00792DB2">
        <w:rPr>
          <w:rFonts w:eastAsia="Calibri" w:cs="Times New Roman"/>
          <w:sz w:val="28"/>
          <w:szCs w:val="28"/>
        </w:rPr>
        <w:t>П</w:t>
      </w:r>
      <w:r w:rsidR="00792DB2" w:rsidRPr="00CA099F">
        <w:rPr>
          <w:rFonts w:eastAsia="Calibri" w:cs="Times New Roman"/>
          <w:sz w:val="28"/>
          <w:szCs w:val="28"/>
        </w:rPr>
        <w:t>роте</w:t>
      </w:r>
      <w:r w:rsidR="00792DB2">
        <w:rPr>
          <w:rFonts w:eastAsia="Calibri" w:cs="Times New Roman"/>
          <w:sz w:val="28"/>
          <w:szCs w:val="28"/>
        </w:rPr>
        <w:t>,</w:t>
      </w:r>
      <w:r w:rsidR="00792DB2" w:rsidRPr="00CA099F">
        <w:rPr>
          <w:rFonts w:eastAsia="Calibri" w:cs="Times New Roman"/>
          <w:sz w:val="28"/>
          <w:szCs w:val="28"/>
        </w:rPr>
        <w:t xml:space="preserve"> </w:t>
      </w:r>
      <w:r w:rsidR="00792DB2">
        <w:rPr>
          <w:rFonts w:eastAsia="Calibri" w:cs="Times New Roman"/>
          <w:sz w:val="28"/>
          <w:szCs w:val="28"/>
        </w:rPr>
        <w:t>н</w:t>
      </w:r>
      <w:r w:rsidRPr="00CA099F">
        <w:rPr>
          <w:rFonts w:eastAsia="Calibri" w:cs="Times New Roman"/>
          <w:sz w:val="28"/>
          <w:szCs w:val="28"/>
        </w:rPr>
        <w:t>еобхідно відмітити, що, як і раніше в зоні післяопераційного рубця мала місце повна відсутність потових і сальних залоз, що підтверджу</w:t>
      </w:r>
      <w:r w:rsidR="001062EE">
        <w:rPr>
          <w:rFonts w:eastAsia="Calibri" w:cs="Times New Roman"/>
          <w:sz w:val="28"/>
          <w:szCs w:val="28"/>
        </w:rPr>
        <w:t>вало</w:t>
      </w:r>
      <w:r w:rsidRPr="00CA099F">
        <w:rPr>
          <w:rFonts w:eastAsia="Calibri" w:cs="Times New Roman"/>
          <w:sz w:val="28"/>
          <w:szCs w:val="28"/>
        </w:rPr>
        <w:t xml:space="preserve"> неможливість реституції цих структур. Мабуть, часткова компенсація функції загиблих залозистих структур відбувається за рахунок гіперпластичних процесів у потових і сальних залозах, розташованих в незміненій дермі поблизу області оперативного втручання, про що вже було сказано вище.</w:t>
      </w:r>
    </w:p>
    <w:p w:rsidR="0030517B" w:rsidRPr="00CA099F" w:rsidRDefault="0030517B" w:rsidP="0030517B">
      <w:pPr>
        <w:spacing w:after="0" w:line="360" w:lineRule="auto"/>
        <w:ind w:firstLine="709"/>
        <w:jc w:val="both"/>
        <w:rPr>
          <w:rFonts w:eastAsia="Calibri" w:cs="Times New Roman"/>
          <w:sz w:val="28"/>
          <w:szCs w:val="28"/>
        </w:rPr>
      </w:pPr>
      <w:r w:rsidRPr="00CA099F">
        <w:rPr>
          <w:rFonts w:eastAsia="Calibri" w:cs="Times New Roman"/>
          <w:sz w:val="28"/>
          <w:szCs w:val="28"/>
        </w:rPr>
        <w:t>Також слід зазначити, що пучки колагенових волокон мали відносно рівномірну товщину, волокна з ознаками альтеративних змін зустрічалися нам украй рідко. У той же час, ознак гіалінозу нами не було виявлено ні в одному із спостережень.</w:t>
      </w:r>
    </w:p>
    <w:p w:rsidR="0030517B" w:rsidRPr="00CA099F" w:rsidRDefault="0030517B" w:rsidP="0030517B">
      <w:pPr>
        <w:spacing w:after="0" w:line="360" w:lineRule="auto"/>
        <w:ind w:firstLine="709"/>
        <w:jc w:val="both"/>
        <w:rPr>
          <w:rFonts w:eastAsia="Calibri" w:cs="Times New Roman"/>
          <w:sz w:val="28"/>
          <w:szCs w:val="28"/>
        </w:rPr>
      </w:pPr>
      <w:r w:rsidRPr="00CA099F">
        <w:rPr>
          <w:rFonts w:eastAsia="Calibri" w:cs="Times New Roman"/>
          <w:sz w:val="28"/>
          <w:szCs w:val="28"/>
        </w:rPr>
        <w:t xml:space="preserve">Таким чином, викладені в цьому розділі результати морфологічних досліджень дозволяють виявити деякі відмінності в </w:t>
      </w:r>
      <w:r w:rsidR="00616635">
        <w:rPr>
          <w:rFonts w:eastAsia="Calibri" w:cs="Times New Roman"/>
          <w:sz w:val="28"/>
          <w:szCs w:val="28"/>
        </w:rPr>
        <w:t>перебігу</w:t>
      </w:r>
      <w:r w:rsidRPr="00CA099F">
        <w:rPr>
          <w:rFonts w:eastAsia="Calibri" w:cs="Times New Roman"/>
          <w:sz w:val="28"/>
          <w:szCs w:val="28"/>
        </w:rPr>
        <w:t xml:space="preserve"> репаративного процесу при використанні різних методів лікування. Так, отримані дані свідчать про істотну оптимізацію регенераторних процесів при комбінованому введенні PRF-згустка і препарату «Біоцирулін». На ранніх етапах морфологічного дослідження це проявилося</w:t>
      </w:r>
      <w:r w:rsidR="00616635">
        <w:rPr>
          <w:rFonts w:eastAsia="Calibri" w:cs="Times New Roman"/>
          <w:sz w:val="28"/>
          <w:szCs w:val="28"/>
        </w:rPr>
        <w:t>,</w:t>
      </w:r>
      <w:r w:rsidRPr="00CA099F">
        <w:rPr>
          <w:rFonts w:eastAsia="Calibri" w:cs="Times New Roman"/>
          <w:sz w:val="28"/>
          <w:szCs w:val="28"/>
        </w:rPr>
        <w:t xml:space="preserve"> в першу чергу</w:t>
      </w:r>
      <w:r w:rsidR="00616635">
        <w:rPr>
          <w:rFonts w:eastAsia="Calibri" w:cs="Times New Roman"/>
          <w:sz w:val="28"/>
          <w:szCs w:val="28"/>
        </w:rPr>
        <w:t>,</w:t>
      </w:r>
      <w:r w:rsidRPr="00CA099F">
        <w:rPr>
          <w:rFonts w:eastAsia="Calibri" w:cs="Times New Roman"/>
          <w:sz w:val="28"/>
          <w:szCs w:val="28"/>
        </w:rPr>
        <w:t xml:space="preserve"> прискоренням динаміки зменшення відносної кількості клітин гематогенного походження і, навпаки, збільшення числа клітинних елементів механоцитарного дифферона сполучної тканини. </w:t>
      </w:r>
    </w:p>
    <w:p w:rsidR="0030517B" w:rsidRPr="00CA099F" w:rsidRDefault="0030517B" w:rsidP="0030517B">
      <w:pPr>
        <w:spacing w:after="0" w:line="360" w:lineRule="auto"/>
        <w:ind w:firstLine="709"/>
        <w:jc w:val="both"/>
        <w:rPr>
          <w:rFonts w:eastAsia="Calibri" w:cs="Times New Roman"/>
          <w:sz w:val="28"/>
          <w:szCs w:val="28"/>
        </w:rPr>
      </w:pPr>
      <w:r w:rsidRPr="00CA099F">
        <w:rPr>
          <w:rFonts w:eastAsia="Calibri" w:cs="Times New Roman"/>
          <w:sz w:val="28"/>
          <w:szCs w:val="28"/>
        </w:rPr>
        <w:t>Цей процес свідчив про прискорений процес дозрівання сполучної тканини, при цьому виникали передумови для оптимізації процесу епітелізації післяопераційного рубця, що виникли, мабуть, внаслідок кращої трофіки базального шару епітелію, внаслідок чого ми спостерігали більш високу проліферативну активність останнього і практично повну відсутність дисрегенерації. Дещо гірше ці процеси протікали при ізольованому застосуванні PRF-згустка в післяопераційному періоді.</w:t>
      </w:r>
    </w:p>
    <w:p w:rsidR="0030517B" w:rsidRPr="00CA099F" w:rsidRDefault="001473B4" w:rsidP="0030517B">
      <w:pPr>
        <w:spacing w:after="0" w:line="360" w:lineRule="auto"/>
        <w:ind w:firstLine="709"/>
        <w:jc w:val="both"/>
        <w:rPr>
          <w:rFonts w:eastAsia="Calibri" w:cs="Times New Roman"/>
          <w:sz w:val="28"/>
          <w:szCs w:val="28"/>
        </w:rPr>
      </w:pPr>
      <w:r>
        <w:rPr>
          <w:rFonts w:eastAsia="Calibri" w:cs="Times New Roman"/>
          <w:sz w:val="28"/>
          <w:szCs w:val="28"/>
        </w:rPr>
        <w:t>У</w:t>
      </w:r>
      <w:r w:rsidR="0030517B" w:rsidRPr="00CA099F">
        <w:rPr>
          <w:rFonts w:eastAsia="Calibri" w:cs="Times New Roman"/>
          <w:sz w:val="28"/>
          <w:szCs w:val="28"/>
        </w:rPr>
        <w:t xml:space="preserve"> період 6-12 місяців після оперативного втручання вплив застосованих лікарських засобів на динаміку зміни клітинного складу рубця і процес </w:t>
      </w:r>
      <w:r w:rsidR="0030517B" w:rsidRPr="00CA099F">
        <w:rPr>
          <w:rFonts w:eastAsia="Calibri" w:cs="Times New Roman"/>
          <w:sz w:val="28"/>
          <w:szCs w:val="28"/>
        </w:rPr>
        <w:lastRenderedPageBreak/>
        <w:t>епітелізації останнього помітно знижується. На цьому етапі позитивний вплив застосування PRF-згустка і препарату «Біоцирулін» проявляється прискоренням ремоделювання фібрилярного компонента дерми в області післяопераційного рубця, більш тісної, конформної інтеграції останнього з навколишніми тканинами, помітним зменшенням кількості дистрофічних ушкоджень колагенових волокон, наслідки яких, як відомо, часто призводять до розвитку келоїдних рубців.</w:t>
      </w:r>
    </w:p>
    <w:p w:rsidR="0030517B" w:rsidRPr="00CA099F" w:rsidRDefault="0030517B" w:rsidP="0030517B">
      <w:pPr>
        <w:spacing w:after="0" w:line="360" w:lineRule="auto"/>
        <w:ind w:firstLine="709"/>
        <w:jc w:val="both"/>
        <w:rPr>
          <w:rFonts w:eastAsia="Calibri" w:cs="Times New Roman"/>
          <w:sz w:val="28"/>
          <w:szCs w:val="28"/>
        </w:rPr>
      </w:pPr>
    </w:p>
    <w:p w:rsidR="0030517B" w:rsidRPr="00CA099F" w:rsidRDefault="0030517B" w:rsidP="0030517B">
      <w:pPr>
        <w:spacing w:after="0" w:line="360" w:lineRule="auto"/>
        <w:ind w:firstLine="709"/>
        <w:contextualSpacing/>
        <w:jc w:val="both"/>
        <w:rPr>
          <w:rFonts w:eastAsia="Calibri" w:cs="Times New Roman"/>
          <w:sz w:val="28"/>
          <w:szCs w:val="28"/>
        </w:rPr>
      </w:pPr>
      <w:r w:rsidRPr="00CA099F">
        <w:rPr>
          <w:rFonts w:eastAsia="Calibri" w:cs="Times New Roman"/>
          <w:snapToGrid w:val="0"/>
          <w:sz w:val="28"/>
          <w:szCs w:val="28"/>
        </w:rPr>
        <w:t>Дані, що наведені в розділі викладені в наступних працях:</w:t>
      </w:r>
    </w:p>
    <w:p w:rsidR="0030517B" w:rsidRPr="00CA099F" w:rsidRDefault="0030517B" w:rsidP="0030517B">
      <w:pPr>
        <w:spacing w:after="0" w:line="360" w:lineRule="auto"/>
        <w:ind w:firstLine="708"/>
        <w:jc w:val="both"/>
        <w:rPr>
          <w:rFonts w:eastAsia="Calibri" w:cs="Times New Roman"/>
          <w:sz w:val="28"/>
          <w:szCs w:val="28"/>
        </w:rPr>
      </w:pPr>
      <w:r w:rsidRPr="00CA099F">
        <w:rPr>
          <w:rFonts w:eastAsia="Calibri" w:cs="Times New Roman"/>
          <w:sz w:val="28"/>
          <w:szCs w:val="28"/>
        </w:rPr>
        <w:t xml:space="preserve">Гістотопографічні особливості регенеративних процесів, що відбуваються в шкірі шиї на 3-й місяць післяопераційного періоду / </w:t>
      </w:r>
      <w:r w:rsidRPr="00CA099F">
        <w:rPr>
          <w:rFonts w:eastAsia="Calibri" w:cs="Times New Roman"/>
          <w:b/>
          <w:sz w:val="28"/>
          <w:szCs w:val="28"/>
        </w:rPr>
        <w:t>Л.Р. Криничко</w:t>
      </w:r>
      <w:r w:rsidRPr="00CA099F">
        <w:rPr>
          <w:rFonts w:eastAsia="Calibri" w:cs="Times New Roman"/>
          <w:sz w:val="28"/>
          <w:szCs w:val="28"/>
        </w:rPr>
        <w:t>, С.М. Григоров, С.О. Ставицький [та ін.] // Вісник проблем біології і медицини. – 2018. – Bип. 2(144). – С. 315-319.</w:t>
      </w:r>
    </w:p>
    <w:p w:rsidR="009B1E15" w:rsidRPr="009B1E15" w:rsidRDefault="009B1E15" w:rsidP="009B1E15">
      <w:pPr>
        <w:spacing w:after="0" w:line="360" w:lineRule="auto"/>
        <w:ind w:firstLine="709"/>
        <w:contextualSpacing/>
        <w:jc w:val="both"/>
        <w:rPr>
          <w:rFonts w:eastAsia="Times New Roman" w:cs="Times New Roman"/>
          <w:sz w:val="28"/>
          <w:szCs w:val="20"/>
          <w:lang w:eastAsia="uk-UA"/>
        </w:rPr>
      </w:pPr>
      <w:r w:rsidRPr="009B1E15">
        <w:rPr>
          <w:rFonts w:eastAsia="Times New Roman" w:cs="Times New Roman"/>
          <w:sz w:val="28"/>
          <w:szCs w:val="20"/>
          <w:lang w:eastAsia="uk-UA"/>
        </w:rPr>
        <w:t>Криничко Л.Р. Особливості морфологічної будови рубцевозмінених тканин шкіри при хірургічному лікуванні кіст шиї ембріонального походження на 6, 9 та 12 місяць післяопераційного періоду / Л.Р. Криничко // Актуальні проблеми сучасної медицини : Вісник УМСА. – 2018. – Т. 18., Вип. 3 (63). – С. 219-222.</w:t>
      </w:r>
    </w:p>
    <w:p w:rsidR="0030517B" w:rsidRPr="00CA099F" w:rsidRDefault="0030517B" w:rsidP="0030517B">
      <w:pPr>
        <w:spacing w:after="0" w:line="360" w:lineRule="auto"/>
        <w:ind w:left="709"/>
        <w:jc w:val="both"/>
        <w:rPr>
          <w:rFonts w:eastAsia="Calibri" w:cs="Times New Roman"/>
          <w:sz w:val="28"/>
          <w:szCs w:val="28"/>
        </w:rPr>
      </w:pPr>
    </w:p>
    <w:p w:rsidR="0030517B" w:rsidRPr="00CA099F" w:rsidRDefault="0030517B" w:rsidP="0030517B">
      <w:pPr>
        <w:rPr>
          <w:rFonts w:eastAsia="Calibri" w:cs="Calibri"/>
          <w:sz w:val="28"/>
          <w:szCs w:val="28"/>
        </w:rPr>
      </w:pPr>
      <w:r w:rsidRPr="00CA099F">
        <w:rPr>
          <w:rFonts w:eastAsia="Calibri" w:cs="Calibri"/>
          <w:sz w:val="28"/>
          <w:szCs w:val="28"/>
        </w:rPr>
        <w:br w:type="page"/>
      </w:r>
    </w:p>
    <w:p w:rsidR="0030517B" w:rsidRPr="00CA099F" w:rsidRDefault="0030517B" w:rsidP="0030517B">
      <w:pPr>
        <w:spacing w:after="0" w:line="360" w:lineRule="auto"/>
        <w:jc w:val="center"/>
        <w:rPr>
          <w:rFonts w:eastAsia="Times New Roman" w:cs="Times New Roman"/>
          <w:b/>
          <w:sz w:val="28"/>
          <w:szCs w:val="28"/>
        </w:rPr>
      </w:pPr>
      <w:r w:rsidRPr="00CA099F">
        <w:rPr>
          <w:rFonts w:eastAsia="Times New Roman" w:cs="Times New Roman"/>
          <w:b/>
          <w:sz w:val="28"/>
          <w:szCs w:val="28"/>
        </w:rPr>
        <w:lastRenderedPageBreak/>
        <w:t>РОЗДІЛ 5</w:t>
      </w:r>
    </w:p>
    <w:p w:rsidR="0030517B" w:rsidRPr="00CA099F" w:rsidRDefault="0030517B" w:rsidP="0030517B">
      <w:pPr>
        <w:spacing w:after="0" w:line="360" w:lineRule="auto"/>
        <w:jc w:val="center"/>
        <w:rPr>
          <w:rFonts w:eastAsia="Times New Roman" w:cs="Times New Roman"/>
          <w:b/>
          <w:sz w:val="28"/>
          <w:szCs w:val="28"/>
        </w:rPr>
      </w:pPr>
    </w:p>
    <w:p w:rsidR="0030517B" w:rsidRPr="00CA099F" w:rsidRDefault="0030517B" w:rsidP="0030517B">
      <w:pPr>
        <w:spacing w:after="0" w:line="360" w:lineRule="auto"/>
        <w:jc w:val="center"/>
        <w:rPr>
          <w:rFonts w:eastAsia="Times New Roman" w:cs="Times New Roman"/>
          <w:b/>
          <w:sz w:val="28"/>
          <w:szCs w:val="28"/>
        </w:rPr>
      </w:pPr>
    </w:p>
    <w:p w:rsidR="0030517B" w:rsidRPr="00CA099F" w:rsidRDefault="002B33FD" w:rsidP="0030517B">
      <w:pPr>
        <w:spacing w:after="0" w:line="360" w:lineRule="auto"/>
        <w:jc w:val="center"/>
        <w:rPr>
          <w:rFonts w:eastAsia="Times New Roman" w:cs="Times New Roman"/>
          <w:b/>
          <w:sz w:val="28"/>
          <w:szCs w:val="28"/>
        </w:rPr>
      </w:pPr>
      <w:r>
        <w:rPr>
          <w:rFonts w:eastAsia="Times New Roman" w:cs="Times New Roman"/>
          <w:b/>
          <w:sz w:val="28"/>
          <w:szCs w:val="28"/>
        </w:rPr>
        <w:t>РЕЗУЛЬТАТИ ПОРІВНЯННЯ</w:t>
      </w:r>
      <w:r w:rsidR="000D5686">
        <w:rPr>
          <w:rFonts w:eastAsia="Times New Roman" w:cs="Times New Roman"/>
          <w:b/>
          <w:sz w:val="28"/>
          <w:szCs w:val="28"/>
        </w:rPr>
        <w:t xml:space="preserve"> ЗМІН БІОХІМІЧНИХ ПОКАЗНИКІВ </w:t>
      </w:r>
      <w:r w:rsidR="000D5686" w:rsidRPr="000D5686">
        <w:rPr>
          <w:rFonts w:eastAsia="Times New Roman" w:cs="Times New Roman"/>
          <w:b/>
          <w:sz w:val="28"/>
          <w:szCs w:val="28"/>
        </w:rPr>
        <w:t>У</w:t>
      </w:r>
      <w:r w:rsidR="0030517B" w:rsidRPr="00CA099F">
        <w:rPr>
          <w:rFonts w:eastAsia="Times New Roman" w:cs="Times New Roman"/>
          <w:b/>
          <w:sz w:val="28"/>
          <w:szCs w:val="28"/>
        </w:rPr>
        <w:t xml:space="preserve"> ГОМОГЕНАТАХ РУБЦЕВОЗМІНЕНИХ ТКАНИН В РІЗНІ ТЕРМІНИ ПІСЛЯОПЕРАЦІЙНОГО ПЕРІОДУ </w:t>
      </w:r>
    </w:p>
    <w:p w:rsidR="0030517B" w:rsidRPr="00CA099F" w:rsidRDefault="0030517B" w:rsidP="0030517B">
      <w:pPr>
        <w:spacing w:after="0" w:line="360" w:lineRule="auto"/>
        <w:jc w:val="both"/>
        <w:rPr>
          <w:rFonts w:eastAsia="Times New Roman" w:cs="Times New Roman"/>
          <w:b/>
          <w:sz w:val="28"/>
          <w:szCs w:val="28"/>
        </w:rPr>
      </w:pPr>
    </w:p>
    <w:p w:rsidR="0030517B" w:rsidRPr="00CA099F" w:rsidRDefault="0030517B" w:rsidP="0030517B">
      <w:pPr>
        <w:spacing w:after="0" w:line="360" w:lineRule="auto"/>
        <w:jc w:val="both"/>
        <w:rPr>
          <w:rFonts w:eastAsia="Times New Roman" w:cs="Times New Roman"/>
          <w:b/>
          <w:sz w:val="28"/>
          <w:szCs w:val="28"/>
        </w:rPr>
      </w:pPr>
    </w:p>
    <w:p w:rsidR="0030517B" w:rsidRPr="000D5686" w:rsidRDefault="0030517B" w:rsidP="0030517B">
      <w:pPr>
        <w:spacing w:after="0" w:line="360" w:lineRule="auto"/>
        <w:jc w:val="both"/>
        <w:rPr>
          <w:rFonts w:eastAsia="Times New Roman" w:cs="Times New Roman"/>
          <w:b/>
          <w:sz w:val="28"/>
          <w:szCs w:val="28"/>
        </w:rPr>
      </w:pPr>
      <w:r w:rsidRPr="000D5686">
        <w:rPr>
          <w:rFonts w:eastAsia="Times New Roman" w:cs="Times New Roman"/>
          <w:b/>
          <w:sz w:val="28"/>
          <w:szCs w:val="28"/>
        </w:rPr>
        <w:t>5.1 Динаміка змін показників продукції активних форм оксигену</w:t>
      </w:r>
    </w:p>
    <w:p w:rsidR="0030517B" w:rsidRPr="00CA099F" w:rsidRDefault="0030517B" w:rsidP="0030517B">
      <w:pPr>
        <w:spacing w:after="0" w:line="360" w:lineRule="auto"/>
        <w:jc w:val="both"/>
        <w:rPr>
          <w:rFonts w:eastAsia="Times New Roman" w:cs="Times New Roman"/>
          <w:b/>
          <w:sz w:val="28"/>
          <w:szCs w:val="28"/>
        </w:rPr>
      </w:pPr>
    </w:p>
    <w:p w:rsidR="0030517B" w:rsidRPr="00CA099F" w:rsidRDefault="004A0205" w:rsidP="0030517B">
      <w:pPr>
        <w:spacing w:after="0" w:line="360" w:lineRule="auto"/>
        <w:jc w:val="both"/>
        <w:rPr>
          <w:rFonts w:eastAsia="Times New Roman" w:cs="Times New Roman"/>
          <w:sz w:val="28"/>
          <w:szCs w:val="28"/>
        </w:rPr>
      </w:pPr>
      <w:r>
        <w:rPr>
          <w:rFonts w:eastAsia="Times New Roman" w:cs="Times New Roman"/>
          <w:sz w:val="28"/>
          <w:szCs w:val="28"/>
        </w:rPr>
        <w:tab/>
      </w:r>
      <w:r w:rsidR="0030517B" w:rsidRPr="00CA099F">
        <w:rPr>
          <w:rFonts w:eastAsia="Times New Roman" w:cs="Times New Roman"/>
          <w:sz w:val="28"/>
          <w:szCs w:val="28"/>
        </w:rPr>
        <w:t>Дослідження показни</w:t>
      </w:r>
      <w:r>
        <w:rPr>
          <w:rFonts w:eastAsia="Times New Roman" w:cs="Times New Roman"/>
          <w:sz w:val="28"/>
          <w:szCs w:val="28"/>
        </w:rPr>
        <w:t>ків вільнорадикального окислення</w:t>
      </w:r>
      <w:r w:rsidR="0030517B" w:rsidRPr="00CA099F">
        <w:rPr>
          <w:rFonts w:eastAsia="Times New Roman" w:cs="Times New Roman"/>
          <w:sz w:val="28"/>
          <w:szCs w:val="28"/>
        </w:rPr>
        <w:t xml:space="preserve"> вказує на достовірні відмінності загоювання рани, що залежало від виду інтра- та післяопераційної профілактики патологічних рубців шкіри при хірургічному лікуванні кіст шиї ембріонального походження. Враховуючи те, що будь-який адаптаційний чи патол</w:t>
      </w:r>
      <w:r w:rsidR="000337E1">
        <w:rPr>
          <w:rFonts w:eastAsia="Times New Roman" w:cs="Times New Roman"/>
          <w:sz w:val="28"/>
          <w:szCs w:val="28"/>
        </w:rPr>
        <w:t>огічний процес перебігає на тлі</w:t>
      </w:r>
      <w:r w:rsidR="0030517B" w:rsidRPr="00CA099F">
        <w:rPr>
          <w:rFonts w:eastAsia="Times New Roman" w:cs="Times New Roman"/>
          <w:sz w:val="28"/>
          <w:szCs w:val="28"/>
        </w:rPr>
        <w:t xml:space="preserve"> гіперпродукції активних форм оксигену (АФО), насамперед, було вивчено динаміку їх змін у гомоген</w:t>
      </w:r>
      <w:r>
        <w:rPr>
          <w:rFonts w:eastAsia="Times New Roman" w:cs="Times New Roman"/>
          <w:sz w:val="28"/>
          <w:szCs w:val="28"/>
        </w:rPr>
        <w:t>аті шкіри людей різних</w:t>
      </w:r>
      <w:r w:rsidR="0030517B" w:rsidRPr="00CA099F">
        <w:rPr>
          <w:rFonts w:eastAsia="Times New Roman" w:cs="Times New Roman"/>
          <w:sz w:val="28"/>
          <w:szCs w:val="28"/>
        </w:rPr>
        <w:t xml:space="preserve"> груп</w:t>
      </w:r>
      <w:r>
        <w:rPr>
          <w:rFonts w:eastAsia="Times New Roman" w:cs="Times New Roman"/>
          <w:sz w:val="28"/>
          <w:szCs w:val="28"/>
        </w:rPr>
        <w:t xml:space="preserve"> обстеження</w:t>
      </w:r>
      <w:r w:rsidR="0030517B" w:rsidRPr="00CA099F">
        <w:rPr>
          <w:rFonts w:eastAsia="Times New Roman" w:cs="Times New Roman"/>
          <w:sz w:val="28"/>
          <w:szCs w:val="28"/>
        </w:rPr>
        <w:t>.</w:t>
      </w:r>
    </w:p>
    <w:p w:rsidR="0030517B" w:rsidRPr="00CA099F" w:rsidRDefault="004A0205" w:rsidP="0030517B">
      <w:pPr>
        <w:spacing w:after="0" w:line="360" w:lineRule="auto"/>
        <w:jc w:val="both"/>
        <w:rPr>
          <w:rFonts w:eastAsia="Times New Roman" w:cs="Times New Roman"/>
          <w:sz w:val="28"/>
          <w:szCs w:val="28"/>
        </w:rPr>
      </w:pPr>
      <w:r>
        <w:rPr>
          <w:rFonts w:eastAsia="Times New Roman" w:cs="Times New Roman"/>
          <w:sz w:val="28"/>
          <w:szCs w:val="28"/>
        </w:rPr>
        <w:tab/>
      </w:r>
      <w:r w:rsidR="0030517B" w:rsidRPr="00CA099F">
        <w:rPr>
          <w:rFonts w:eastAsia="Times New Roman" w:cs="Times New Roman"/>
          <w:sz w:val="28"/>
          <w:szCs w:val="28"/>
        </w:rPr>
        <w:t xml:space="preserve">Встановлено, що у пацієнтів, яким під час оперативного втручання введено PRF-згусток (перша група), відсоток АФО через 3 місяці спостереження був достовірно меншим на 26,6 % , через 6 місяців – на 10,9 % і через 9 місяців – на 12,2 %, стосовно даних пацієнтів контрольної (третьої) групи. У пацієнтів першої і третьої груп через 12 місяців спостереження відсоток АФО практично не відрізнявся (рис. 5.1). </w:t>
      </w:r>
    </w:p>
    <w:p w:rsidR="0030517B" w:rsidRPr="00CA099F" w:rsidRDefault="004A0205" w:rsidP="0030517B">
      <w:pPr>
        <w:spacing w:after="0" w:line="360" w:lineRule="auto"/>
        <w:jc w:val="both"/>
        <w:rPr>
          <w:rFonts w:eastAsia="Times New Roman" w:cs="Times New Roman"/>
          <w:sz w:val="28"/>
          <w:szCs w:val="28"/>
        </w:rPr>
      </w:pPr>
      <w:r>
        <w:rPr>
          <w:rFonts w:eastAsia="Times New Roman" w:cs="Times New Roman"/>
          <w:sz w:val="28"/>
          <w:szCs w:val="28"/>
        </w:rPr>
        <w:tab/>
      </w:r>
      <w:r w:rsidR="0030517B" w:rsidRPr="00CA099F">
        <w:rPr>
          <w:rFonts w:eastAsia="Times New Roman" w:cs="Times New Roman"/>
          <w:sz w:val="28"/>
          <w:szCs w:val="28"/>
        </w:rPr>
        <w:t>Слід зазначити, що рівень досліджуваного показника змінювався впродовж терміну спостереження. Так, у пацієнтів, яким під час оперативного втручання введено PRF-згусток, через 6 місяців відсоток АФО був на 18,5 % нижчий, стосовно даних попереднього терміну спостереження, відповідно, через 9 місяців – на 16,2 % (</w:t>
      </w:r>
      <w:r w:rsidR="0030517B" w:rsidRPr="00CA099F">
        <w:rPr>
          <w:rFonts w:eastAsia="Times New Roman" w:cs="Times New Roman"/>
          <w:color w:val="000000"/>
          <w:sz w:val="28"/>
          <w:szCs w:val="28"/>
        </w:rPr>
        <w:t>р&lt;0,01)</w:t>
      </w:r>
      <w:r w:rsidR="0030517B" w:rsidRPr="00CA099F">
        <w:rPr>
          <w:rFonts w:eastAsia="Times New Roman" w:cs="Times New Roman"/>
          <w:sz w:val="28"/>
          <w:szCs w:val="28"/>
        </w:rPr>
        <w:t xml:space="preserve">. </w:t>
      </w:r>
    </w:p>
    <w:p w:rsidR="0030517B" w:rsidRPr="00CA099F" w:rsidRDefault="004A0205" w:rsidP="0030517B">
      <w:pPr>
        <w:spacing w:after="0" w:line="360" w:lineRule="auto"/>
        <w:jc w:val="both"/>
        <w:rPr>
          <w:rFonts w:eastAsia="Times New Roman" w:cs="Times New Roman"/>
          <w:sz w:val="28"/>
          <w:szCs w:val="28"/>
        </w:rPr>
      </w:pPr>
      <w:r>
        <w:rPr>
          <w:rFonts w:eastAsia="Times New Roman" w:cs="Times New Roman"/>
          <w:sz w:val="28"/>
          <w:szCs w:val="28"/>
        </w:rPr>
        <w:tab/>
      </w:r>
      <w:r w:rsidR="0030517B" w:rsidRPr="00CA099F">
        <w:rPr>
          <w:rFonts w:eastAsia="Times New Roman" w:cs="Times New Roman"/>
          <w:sz w:val="28"/>
          <w:szCs w:val="28"/>
        </w:rPr>
        <w:t xml:space="preserve">Аналіз динаміки змін відсотку АФО стосовно показника пацієнтів інтактної групи свідчить про позитивну динаміку з нормалізацією </w:t>
      </w:r>
      <w:r w:rsidR="0030517B" w:rsidRPr="00CA099F">
        <w:rPr>
          <w:rFonts w:eastAsia="Times New Roman" w:cs="Times New Roman"/>
          <w:sz w:val="28"/>
          <w:szCs w:val="28"/>
        </w:rPr>
        <w:lastRenderedPageBreak/>
        <w:t>досліджуваних величин через 12 місяців спостереження. Так, відсоток АФО у всіх дослідних групах через 3 і 6 місяців був достовірн</w:t>
      </w:r>
      <w:r w:rsidR="00F66EC0">
        <w:rPr>
          <w:rFonts w:eastAsia="Times New Roman" w:cs="Times New Roman"/>
          <w:sz w:val="28"/>
          <w:szCs w:val="28"/>
        </w:rPr>
        <w:t>о вищий рівня інтактної групи (</w:t>
      </w:r>
      <w:r w:rsidR="0030517B" w:rsidRPr="00CA099F">
        <w:rPr>
          <w:rFonts w:eastAsia="Times New Roman" w:cs="Times New Roman"/>
          <w:sz w:val="28"/>
          <w:szCs w:val="28"/>
        </w:rPr>
        <w:t xml:space="preserve">13,63±0,60 %). </w:t>
      </w:r>
    </w:p>
    <w:p w:rsidR="0030517B" w:rsidRPr="00CA099F" w:rsidRDefault="0030517B" w:rsidP="00F66EC0">
      <w:pPr>
        <w:spacing w:after="0" w:line="360" w:lineRule="auto"/>
        <w:ind w:firstLine="709"/>
        <w:jc w:val="both"/>
        <w:rPr>
          <w:rFonts w:eastAsia="Times New Roman" w:cs="Times New Roman"/>
          <w:sz w:val="28"/>
          <w:szCs w:val="28"/>
        </w:rPr>
      </w:pPr>
      <w:r w:rsidRPr="00CA099F">
        <w:rPr>
          <w:rFonts w:eastAsia="Times New Roman" w:cs="Times New Roman"/>
          <w:sz w:val="28"/>
          <w:szCs w:val="28"/>
        </w:rPr>
        <w:t xml:space="preserve">Через 9 місяців спостереження відмічена позитивна динаміка, яка характеризувалася достовірним зниженням відсотку АФО у всіх дослідних групах, стосовно даних через 3 місяці спостереження, при цьому рівень досліджуваного показника у другій групі досягав контрольних значень. </w:t>
      </w:r>
    </w:p>
    <w:p w:rsidR="0030517B" w:rsidRPr="00CA099F" w:rsidRDefault="0030517B" w:rsidP="00F66EC0">
      <w:pPr>
        <w:spacing w:after="0" w:line="360" w:lineRule="auto"/>
        <w:ind w:firstLine="709"/>
        <w:jc w:val="both"/>
        <w:rPr>
          <w:rFonts w:eastAsia="Times New Roman" w:cs="Times New Roman"/>
          <w:sz w:val="28"/>
          <w:szCs w:val="28"/>
        </w:rPr>
      </w:pPr>
      <w:r w:rsidRPr="00CA099F">
        <w:rPr>
          <w:rFonts w:eastAsia="Times New Roman" w:cs="Times New Roman"/>
          <w:sz w:val="28"/>
          <w:szCs w:val="28"/>
        </w:rPr>
        <w:t>Заслуговує на увагу той факт, що у пацієнтів другої і третьої  груп через 12 місяців відсоток АФО практично не відрізнявся від даних інтактної групи (рис. 5.2).</w:t>
      </w:r>
    </w:p>
    <w:p w:rsidR="0030517B" w:rsidRPr="00CA099F" w:rsidRDefault="0030517B" w:rsidP="0030517B">
      <w:pPr>
        <w:spacing w:after="0" w:line="360" w:lineRule="auto"/>
        <w:jc w:val="both"/>
        <w:rPr>
          <w:rFonts w:eastAsia="Times New Roman" w:cs="Times New Roman"/>
          <w:sz w:val="28"/>
          <w:szCs w:val="28"/>
        </w:rPr>
      </w:pPr>
      <w:r w:rsidRPr="00CA099F">
        <w:rPr>
          <w:rFonts w:eastAsia="Times New Roman" w:cs="Times New Roman"/>
          <w:noProof/>
          <w:sz w:val="28"/>
          <w:szCs w:val="28"/>
          <w:lang w:val="ru-RU" w:eastAsia="ru-RU"/>
        </w:rPr>
        <w:drawing>
          <wp:inline distT="0" distB="0" distL="0" distR="0" wp14:anchorId="7FE3DE34" wp14:editId="63D05B83">
            <wp:extent cx="5699760" cy="3697605"/>
            <wp:effectExtent l="0" t="0" r="15240" b="17145"/>
            <wp:docPr id="31" name="Диаграмма 3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rsidR="0030517B" w:rsidRPr="00CA099F" w:rsidRDefault="0030517B" w:rsidP="0030517B">
      <w:pPr>
        <w:spacing w:after="0" w:line="360" w:lineRule="auto"/>
        <w:jc w:val="both"/>
        <w:rPr>
          <w:rFonts w:eastAsia="Times New Roman" w:cs="Times New Roman"/>
          <w:sz w:val="28"/>
          <w:szCs w:val="28"/>
        </w:rPr>
      </w:pPr>
    </w:p>
    <w:p w:rsidR="0030517B" w:rsidRPr="00CA099F" w:rsidRDefault="004A0205" w:rsidP="0030517B">
      <w:pPr>
        <w:spacing w:after="0" w:line="360" w:lineRule="auto"/>
        <w:jc w:val="both"/>
        <w:rPr>
          <w:rFonts w:eastAsia="Times New Roman" w:cs="Times New Roman"/>
          <w:sz w:val="28"/>
          <w:szCs w:val="28"/>
        </w:rPr>
      </w:pPr>
      <w:r>
        <w:rPr>
          <w:rFonts w:eastAsia="Times New Roman" w:cs="Times New Roman"/>
          <w:sz w:val="28"/>
          <w:szCs w:val="28"/>
        </w:rPr>
        <w:t>Рис. 5.1</w:t>
      </w:r>
      <w:r w:rsidR="0030517B" w:rsidRPr="00CA099F">
        <w:rPr>
          <w:rFonts w:eastAsia="Times New Roman" w:cs="Times New Roman"/>
          <w:sz w:val="28"/>
          <w:szCs w:val="28"/>
        </w:rPr>
        <w:t xml:space="preserve"> </w:t>
      </w:r>
      <w:r>
        <w:rPr>
          <w:rFonts w:eastAsia="Times New Roman" w:cs="Times New Roman"/>
          <w:sz w:val="28"/>
          <w:szCs w:val="28"/>
        </w:rPr>
        <w:t>Графічне зображення рівня</w:t>
      </w:r>
      <w:r w:rsidR="0030517B" w:rsidRPr="00CA099F">
        <w:rPr>
          <w:rFonts w:eastAsia="Times New Roman" w:cs="Times New Roman"/>
          <w:sz w:val="28"/>
          <w:szCs w:val="28"/>
        </w:rPr>
        <w:t xml:space="preserve"> активних форм оксигену </w:t>
      </w:r>
      <w:r w:rsidR="00F66EC0">
        <w:rPr>
          <w:rFonts w:eastAsia="Times New Roman" w:cs="Times New Roman"/>
          <w:sz w:val="28"/>
          <w:szCs w:val="28"/>
        </w:rPr>
        <w:t>в</w:t>
      </w:r>
      <w:r w:rsidR="0030517B" w:rsidRPr="00CA099F">
        <w:rPr>
          <w:rFonts w:eastAsia="Times New Roman" w:cs="Times New Roman"/>
          <w:sz w:val="28"/>
          <w:szCs w:val="28"/>
        </w:rPr>
        <w:t xml:space="preserve"> лейкоцитарній фракції гомогенату шкіри пацієнтів з різними видами інтра- та післяопераційної профілактики патологічних рубців шкіри при хірургічному лікуванні кіст шиї ембріонального походження.</w:t>
      </w:r>
    </w:p>
    <w:p w:rsidR="0030517B" w:rsidRPr="00CA099F" w:rsidRDefault="0030517B" w:rsidP="0030517B">
      <w:pPr>
        <w:spacing w:after="0" w:line="360" w:lineRule="auto"/>
        <w:jc w:val="both"/>
        <w:rPr>
          <w:rFonts w:eastAsia="Times New Roman" w:cs="Times New Roman"/>
          <w:sz w:val="28"/>
          <w:szCs w:val="28"/>
        </w:rPr>
      </w:pPr>
    </w:p>
    <w:p w:rsidR="0030517B" w:rsidRPr="00CA099F" w:rsidRDefault="0030517B" w:rsidP="0030517B">
      <w:pPr>
        <w:spacing w:after="0" w:line="360" w:lineRule="auto"/>
        <w:jc w:val="both"/>
        <w:rPr>
          <w:rFonts w:eastAsia="Times New Roman" w:cs="Times New Roman"/>
          <w:sz w:val="28"/>
          <w:szCs w:val="28"/>
        </w:rPr>
      </w:pPr>
      <w:r w:rsidRPr="00CA099F">
        <w:rPr>
          <w:rFonts w:eastAsia="Times New Roman" w:cs="Times New Roman"/>
          <w:noProof/>
          <w:sz w:val="28"/>
          <w:szCs w:val="28"/>
          <w:lang w:val="ru-RU" w:eastAsia="ru-RU"/>
        </w:rPr>
        <w:lastRenderedPageBreak/>
        <w:drawing>
          <wp:inline distT="0" distB="0" distL="0" distR="0" wp14:anchorId="4B539CB6" wp14:editId="61AFD013">
            <wp:extent cx="5795010" cy="3383280"/>
            <wp:effectExtent l="0" t="0" r="15240" b="26670"/>
            <wp:docPr id="30" name="Диаграмма 30"/>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rsidR="0030517B" w:rsidRPr="00CA099F" w:rsidRDefault="004A0205" w:rsidP="0030517B">
      <w:pPr>
        <w:spacing w:after="0" w:line="360" w:lineRule="auto"/>
        <w:jc w:val="both"/>
        <w:rPr>
          <w:rFonts w:eastAsia="Times New Roman" w:cs="Times New Roman"/>
          <w:sz w:val="28"/>
          <w:szCs w:val="28"/>
        </w:rPr>
      </w:pPr>
      <w:r>
        <w:rPr>
          <w:rFonts w:eastAsia="Times New Roman" w:cs="Times New Roman"/>
          <w:sz w:val="28"/>
          <w:szCs w:val="28"/>
        </w:rPr>
        <w:t>Рис. 5.2 Графічне зображення</w:t>
      </w:r>
      <w:r w:rsidR="0030517B" w:rsidRPr="00CA099F">
        <w:rPr>
          <w:rFonts w:eastAsia="Times New Roman" w:cs="Times New Roman"/>
          <w:sz w:val="28"/>
          <w:szCs w:val="28"/>
        </w:rPr>
        <w:t xml:space="preserve"> відсотку активних форм оксигену </w:t>
      </w:r>
      <w:r w:rsidR="006B6C8C">
        <w:rPr>
          <w:rFonts w:eastAsia="Times New Roman" w:cs="Times New Roman"/>
          <w:sz w:val="28"/>
          <w:szCs w:val="28"/>
        </w:rPr>
        <w:t>в</w:t>
      </w:r>
      <w:r w:rsidR="0030517B" w:rsidRPr="00CA099F">
        <w:rPr>
          <w:rFonts w:eastAsia="Times New Roman" w:cs="Times New Roman"/>
          <w:sz w:val="28"/>
          <w:szCs w:val="28"/>
        </w:rPr>
        <w:t xml:space="preserve"> лейкоцитарній фракції гомогенату шкіри пацієнтів з різними видами інтра- та післяопераційної профілактики патологічних рубців шкіри при хірургічному лікуванні кіст шиї ембріонального походження (*- різниця достовірна стосовно даних інтактної групи).</w:t>
      </w:r>
    </w:p>
    <w:p w:rsidR="0030517B" w:rsidRPr="00CA099F" w:rsidRDefault="0030517B" w:rsidP="0030517B">
      <w:pPr>
        <w:spacing w:after="0" w:line="360" w:lineRule="auto"/>
        <w:jc w:val="both"/>
        <w:rPr>
          <w:rFonts w:eastAsia="Times New Roman" w:cs="Times New Roman"/>
          <w:sz w:val="28"/>
          <w:szCs w:val="28"/>
        </w:rPr>
      </w:pPr>
    </w:p>
    <w:p w:rsidR="0030517B" w:rsidRPr="006B6C8C" w:rsidRDefault="0030517B" w:rsidP="0030517B">
      <w:pPr>
        <w:spacing w:after="0" w:line="360" w:lineRule="auto"/>
        <w:jc w:val="both"/>
        <w:rPr>
          <w:rFonts w:eastAsia="Times New Roman" w:cs="Times New Roman"/>
          <w:b/>
          <w:sz w:val="28"/>
          <w:szCs w:val="28"/>
        </w:rPr>
      </w:pPr>
      <w:r w:rsidRPr="006B6C8C">
        <w:rPr>
          <w:rFonts w:eastAsia="Times New Roman" w:cs="Times New Roman"/>
          <w:b/>
          <w:sz w:val="28"/>
          <w:szCs w:val="28"/>
        </w:rPr>
        <w:t>5</w:t>
      </w:r>
      <w:r w:rsidR="001A4A21">
        <w:rPr>
          <w:rFonts w:eastAsia="Times New Roman" w:cs="Times New Roman"/>
          <w:b/>
          <w:sz w:val="28"/>
          <w:szCs w:val="28"/>
        </w:rPr>
        <w:t>.2 Динаміка змін показників пере</w:t>
      </w:r>
      <w:r w:rsidRPr="006B6C8C">
        <w:rPr>
          <w:rFonts w:eastAsia="Times New Roman" w:cs="Times New Roman"/>
          <w:b/>
          <w:sz w:val="28"/>
          <w:szCs w:val="28"/>
        </w:rPr>
        <w:t>ки</w:t>
      </w:r>
      <w:r w:rsidR="001A4A21">
        <w:rPr>
          <w:rFonts w:eastAsia="Times New Roman" w:cs="Times New Roman"/>
          <w:b/>
          <w:sz w:val="28"/>
          <w:szCs w:val="28"/>
        </w:rPr>
        <w:t>с</w:t>
      </w:r>
      <w:r w:rsidRPr="006B6C8C">
        <w:rPr>
          <w:rFonts w:eastAsia="Times New Roman" w:cs="Times New Roman"/>
          <w:b/>
          <w:sz w:val="28"/>
          <w:szCs w:val="28"/>
        </w:rPr>
        <w:t>ного окиснення ліпідів</w:t>
      </w:r>
    </w:p>
    <w:p w:rsidR="0030517B" w:rsidRPr="00CA099F" w:rsidRDefault="0030517B" w:rsidP="0030517B">
      <w:pPr>
        <w:spacing w:after="0" w:line="360" w:lineRule="auto"/>
        <w:jc w:val="both"/>
        <w:rPr>
          <w:rFonts w:eastAsia="Times New Roman" w:cs="Times New Roman"/>
          <w:b/>
          <w:sz w:val="28"/>
          <w:szCs w:val="28"/>
        </w:rPr>
      </w:pPr>
    </w:p>
    <w:p w:rsidR="0030517B" w:rsidRPr="00CA099F" w:rsidRDefault="004A0205" w:rsidP="0030517B">
      <w:pPr>
        <w:spacing w:after="0" w:line="360" w:lineRule="auto"/>
        <w:jc w:val="both"/>
        <w:rPr>
          <w:rFonts w:eastAsia="Times New Roman" w:cs="Times New Roman"/>
          <w:sz w:val="28"/>
          <w:szCs w:val="28"/>
        </w:rPr>
      </w:pPr>
      <w:r>
        <w:rPr>
          <w:rFonts w:eastAsia="Times New Roman" w:cs="Times New Roman"/>
          <w:sz w:val="28"/>
          <w:szCs w:val="28"/>
        </w:rPr>
        <w:tab/>
      </w:r>
      <w:r w:rsidR="0030517B" w:rsidRPr="00CA099F">
        <w:rPr>
          <w:rFonts w:eastAsia="Times New Roman" w:cs="Times New Roman"/>
          <w:sz w:val="28"/>
          <w:szCs w:val="28"/>
        </w:rPr>
        <w:t>Активація пер</w:t>
      </w:r>
      <w:r w:rsidR="001A4A21">
        <w:rPr>
          <w:rFonts w:eastAsia="Times New Roman" w:cs="Times New Roman"/>
          <w:sz w:val="28"/>
          <w:szCs w:val="28"/>
        </w:rPr>
        <w:t>е</w:t>
      </w:r>
      <w:r w:rsidR="0030517B" w:rsidRPr="00CA099F">
        <w:rPr>
          <w:rFonts w:eastAsia="Times New Roman" w:cs="Times New Roman"/>
          <w:sz w:val="28"/>
          <w:szCs w:val="28"/>
        </w:rPr>
        <w:t>ки</w:t>
      </w:r>
      <w:r w:rsidR="001A4A21">
        <w:rPr>
          <w:rFonts w:eastAsia="Times New Roman" w:cs="Times New Roman"/>
          <w:sz w:val="28"/>
          <w:szCs w:val="28"/>
        </w:rPr>
        <w:t>с</w:t>
      </w:r>
      <w:r w:rsidR="0030517B" w:rsidRPr="00CA099F">
        <w:rPr>
          <w:rFonts w:eastAsia="Times New Roman" w:cs="Times New Roman"/>
          <w:sz w:val="28"/>
          <w:szCs w:val="28"/>
        </w:rPr>
        <w:t>ного окиснення ліпідів (ПОЛ) є одним із пускових механізмів стресорних ушкоджень із порушенням метаболізму клітин, які, у першу чергу, пов'язані з пошкодженням клітинних і субклітинних мембран. До продуктів ПОЛ відносяться гідроперекиси ліпідів, дієнові і трієнові кон’югати, ТБК- активні продукти. Встановлено, що у пацієнтів, яким під час оперативного втручання введено PRF-згусток, концентрація ГПЛ через 3 місяці спостереження була достовірно меншою на 26,7 % , через 6 місяців – на 15,6 % і через 9 – на 7,0 %, стосовно даних третьої групи. У пацієнтів першої і третьої  груп через 12 місяців спостереження концентрація ГПЛ практично не відрізнялася (табл. 5.1).</w:t>
      </w:r>
    </w:p>
    <w:p w:rsidR="0030517B" w:rsidRPr="00CA099F" w:rsidRDefault="004A0205" w:rsidP="0030517B">
      <w:pPr>
        <w:spacing w:after="0" w:line="360" w:lineRule="auto"/>
        <w:jc w:val="both"/>
        <w:rPr>
          <w:rFonts w:eastAsia="Times New Roman" w:cs="Times New Roman"/>
          <w:sz w:val="28"/>
          <w:szCs w:val="28"/>
        </w:rPr>
      </w:pPr>
      <w:r>
        <w:rPr>
          <w:rFonts w:eastAsia="Times New Roman" w:cs="Times New Roman"/>
          <w:sz w:val="28"/>
          <w:szCs w:val="28"/>
        </w:rPr>
        <w:lastRenderedPageBreak/>
        <w:tab/>
      </w:r>
      <w:r w:rsidR="0030517B" w:rsidRPr="00CA099F">
        <w:rPr>
          <w:rFonts w:eastAsia="Times New Roman" w:cs="Times New Roman"/>
          <w:sz w:val="28"/>
          <w:szCs w:val="28"/>
        </w:rPr>
        <w:t>Слід зазначити, що досліджуваний показник змінювався впродовж терміну спостереження. Так, у пацієнтів, яким під час оперативного втручання введено PRF-згусток, через 6 місяців концентрація ГПЛ була на 19,7 % нижча, стосовно даних попереднього терміну спостереження, відповідно, через 9 і 12 місяців рівень досліджуваної величини був менший на 9,5 % і 3,4 % (</w:t>
      </w:r>
      <w:r w:rsidR="0030517B" w:rsidRPr="00CA099F">
        <w:rPr>
          <w:rFonts w:eastAsia="Times New Roman" w:cs="Times New Roman"/>
          <w:color w:val="000000"/>
          <w:sz w:val="28"/>
          <w:szCs w:val="28"/>
        </w:rPr>
        <w:t>р&lt;0,05)</w:t>
      </w:r>
      <w:r w:rsidR="0030517B" w:rsidRPr="00CA099F">
        <w:rPr>
          <w:rFonts w:eastAsia="Times New Roman" w:cs="Times New Roman"/>
          <w:sz w:val="28"/>
          <w:szCs w:val="28"/>
        </w:rPr>
        <w:t xml:space="preserve">. </w:t>
      </w:r>
    </w:p>
    <w:p w:rsidR="0030517B" w:rsidRPr="00CA099F" w:rsidRDefault="00F46CA5" w:rsidP="0030517B">
      <w:pPr>
        <w:spacing w:after="0" w:line="360" w:lineRule="auto"/>
        <w:jc w:val="both"/>
        <w:rPr>
          <w:rFonts w:eastAsia="Times New Roman" w:cs="Times New Roman"/>
          <w:sz w:val="28"/>
          <w:szCs w:val="28"/>
        </w:rPr>
      </w:pPr>
      <w:r>
        <w:rPr>
          <w:rFonts w:eastAsia="Times New Roman" w:cs="Times New Roman"/>
          <w:sz w:val="28"/>
          <w:szCs w:val="28"/>
        </w:rPr>
        <w:tab/>
      </w:r>
      <w:r w:rsidR="0030517B" w:rsidRPr="00CA099F">
        <w:rPr>
          <w:rFonts w:eastAsia="Times New Roman" w:cs="Times New Roman"/>
          <w:sz w:val="28"/>
          <w:szCs w:val="28"/>
        </w:rPr>
        <w:t>У пацієнтів, яким під час оперативного втручання введено PRF-згусток, концентрація ДК через 3 місяці спостереже</w:t>
      </w:r>
      <w:r w:rsidR="003A6E92">
        <w:rPr>
          <w:rFonts w:eastAsia="Times New Roman" w:cs="Times New Roman"/>
          <w:sz w:val="28"/>
          <w:szCs w:val="28"/>
        </w:rPr>
        <w:t>ння була достовірно меншою на 24,1 %</w:t>
      </w:r>
      <w:r w:rsidR="0030517B" w:rsidRPr="00CA099F">
        <w:rPr>
          <w:rFonts w:eastAsia="Times New Roman" w:cs="Times New Roman"/>
          <w:sz w:val="28"/>
          <w:szCs w:val="28"/>
        </w:rPr>
        <w:t>, через 6 місяців – на 19,7 %, через 9 – на 13,8 % і через 12 – на 6,1 %, стосовно даних третьої групи (</w:t>
      </w:r>
      <w:r w:rsidR="0030517B" w:rsidRPr="00CA099F">
        <w:rPr>
          <w:rFonts w:eastAsia="Times New Roman" w:cs="Times New Roman"/>
          <w:color w:val="000000"/>
          <w:sz w:val="28"/>
          <w:szCs w:val="28"/>
        </w:rPr>
        <w:t>р&lt;0,05)</w:t>
      </w:r>
      <w:r w:rsidR="0030517B" w:rsidRPr="00CA099F">
        <w:rPr>
          <w:rFonts w:eastAsia="Times New Roman" w:cs="Times New Roman"/>
          <w:sz w:val="28"/>
          <w:szCs w:val="28"/>
        </w:rPr>
        <w:t>. Слід зазначити, що досліджуваний показник змінювався впродовж терміну спостереження. Так, у пацієнтів, яким під час оперативного втручання введено PRF-згусток, через 6 місяців концентрація ДК була на 23,8 % нижча, стосовно даних попереднього терміну спостереження, відповідно, через 9 і 12 місяців рівень досліджуваної величини був менший на 13,9 % і 4,0 % (</w:t>
      </w:r>
      <w:r w:rsidR="0030517B" w:rsidRPr="00CA099F">
        <w:rPr>
          <w:rFonts w:eastAsia="Times New Roman" w:cs="Times New Roman"/>
          <w:color w:val="000000"/>
          <w:sz w:val="28"/>
          <w:szCs w:val="28"/>
        </w:rPr>
        <w:t>р&lt;0,05)</w:t>
      </w:r>
      <w:r w:rsidR="0030517B" w:rsidRPr="00CA099F">
        <w:rPr>
          <w:rFonts w:eastAsia="Times New Roman" w:cs="Times New Roman"/>
          <w:sz w:val="28"/>
          <w:szCs w:val="28"/>
        </w:rPr>
        <w:t>. Така ж тенденція відмічена щодо змін концентрації ТК у гомогенаті шкіри пацієнтів першої і третьої дослідних груп у різні терміни спостереження (табл. 5.1).</w:t>
      </w:r>
    </w:p>
    <w:p w:rsidR="0030517B" w:rsidRPr="00CA099F" w:rsidRDefault="00F46CA5" w:rsidP="0030517B">
      <w:pPr>
        <w:spacing w:after="0" w:line="360" w:lineRule="auto"/>
        <w:jc w:val="both"/>
        <w:rPr>
          <w:rFonts w:eastAsia="Times New Roman" w:cs="Times New Roman"/>
          <w:sz w:val="28"/>
          <w:szCs w:val="28"/>
        </w:rPr>
      </w:pPr>
      <w:r>
        <w:rPr>
          <w:rFonts w:eastAsia="Times New Roman" w:cs="Times New Roman"/>
          <w:sz w:val="28"/>
          <w:szCs w:val="28"/>
        </w:rPr>
        <w:tab/>
      </w:r>
      <w:r w:rsidR="0030517B" w:rsidRPr="00CA099F">
        <w:rPr>
          <w:rFonts w:eastAsia="Times New Roman" w:cs="Times New Roman"/>
          <w:sz w:val="28"/>
          <w:szCs w:val="28"/>
        </w:rPr>
        <w:t>Аналіз рівня ТБК-активних продуктів у гомогенаті шкіри пацієнтів, яким під час оперативного втручання введено PRF-згусток, показав, що концентрація ТБК-АП через 3 місяці спостереження була достовірно меншою на 17,8 % , через 6 – на 22,8 % і через 9 – на 5,0 %, стосовно даних третьої групи (</w:t>
      </w:r>
      <w:r w:rsidR="0030517B" w:rsidRPr="00CA099F">
        <w:rPr>
          <w:rFonts w:eastAsia="Times New Roman" w:cs="Times New Roman"/>
          <w:color w:val="000000"/>
          <w:sz w:val="28"/>
          <w:szCs w:val="28"/>
        </w:rPr>
        <w:t>р&lt;0,05)</w:t>
      </w:r>
      <w:r w:rsidR="0030517B" w:rsidRPr="00CA099F">
        <w:rPr>
          <w:rFonts w:eastAsia="Times New Roman" w:cs="Times New Roman"/>
          <w:sz w:val="28"/>
          <w:szCs w:val="28"/>
        </w:rPr>
        <w:t>. У пацієнтів першої і третьої груп через 12 місяців спостереження концентрація ТБК-АП практично не відрізнялася. Слід зазначити, що рівень досліджуваного показника змінювався впродовж 9 місяців спостереження. Так, у пацієнтів, яким під час оперативного втручання введено PRF-згусток, через 6 місяців концентрація ТБК-АП була на 25,0 % нижча, стосовно даних попереднього терміну спостереження, відповідно, через 9 місяців рівень досліджув</w:t>
      </w:r>
      <w:r w:rsidR="00E879AB">
        <w:rPr>
          <w:rFonts w:eastAsia="Times New Roman" w:cs="Times New Roman"/>
          <w:sz w:val="28"/>
          <w:szCs w:val="28"/>
        </w:rPr>
        <w:t>аної величини був менший на 7,4 </w:t>
      </w:r>
      <w:r w:rsidR="0030517B" w:rsidRPr="00CA099F">
        <w:rPr>
          <w:rFonts w:eastAsia="Times New Roman" w:cs="Times New Roman"/>
          <w:sz w:val="28"/>
          <w:szCs w:val="28"/>
        </w:rPr>
        <w:t>% (</w:t>
      </w:r>
      <w:r w:rsidR="0030517B" w:rsidRPr="00CA099F">
        <w:rPr>
          <w:rFonts w:eastAsia="Times New Roman" w:cs="Times New Roman"/>
          <w:color w:val="000000"/>
          <w:sz w:val="28"/>
          <w:szCs w:val="28"/>
        </w:rPr>
        <w:t xml:space="preserve">р&lt;0,05) </w:t>
      </w:r>
      <w:r w:rsidR="0030517B" w:rsidRPr="00CA099F">
        <w:rPr>
          <w:rFonts w:eastAsia="Times New Roman" w:cs="Times New Roman"/>
          <w:sz w:val="28"/>
          <w:szCs w:val="28"/>
        </w:rPr>
        <w:t>(табл. 5.1).</w:t>
      </w:r>
    </w:p>
    <w:p w:rsidR="0030517B" w:rsidRPr="00CA099F" w:rsidRDefault="0030517B" w:rsidP="0030517B">
      <w:pPr>
        <w:spacing w:after="0" w:line="360" w:lineRule="auto"/>
        <w:jc w:val="both"/>
        <w:rPr>
          <w:rFonts w:eastAsia="Times New Roman" w:cs="Times New Roman"/>
          <w:sz w:val="28"/>
          <w:szCs w:val="28"/>
        </w:rPr>
      </w:pPr>
    </w:p>
    <w:p w:rsidR="0030517B" w:rsidRPr="00CA099F" w:rsidRDefault="0030517B" w:rsidP="0030517B">
      <w:pPr>
        <w:spacing w:after="0" w:line="360" w:lineRule="auto"/>
        <w:jc w:val="right"/>
        <w:rPr>
          <w:rFonts w:eastAsia="Times New Roman" w:cs="Times New Roman"/>
          <w:i/>
          <w:sz w:val="28"/>
          <w:szCs w:val="28"/>
        </w:rPr>
      </w:pPr>
      <w:r w:rsidRPr="00CA099F">
        <w:rPr>
          <w:rFonts w:eastAsia="Times New Roman" w:cs="Times New Roman"/>
          <w:i/>
          <w:sz w:val="28"/>
          <w:szCs w:val="28"/>
        </w:rPr>
        <w:t>Таблиця 5.1</w:t>
      </w:r>
    </w:p>
    <w:p w:rsidR="0030517B" w:rsidRPr="00CA099F" w:rsidRDefault="0030517B" w:rsidP="0030517B">
      <w:pPr>
        <w:spacing w:after="0" w:line="360" w:lineRule="auto"/>
        <w:jc w:val="center"/>
        <w:rPr>
          <w:rFonts w:eastAsia="Times New Roman" w:cs="Times New Roman"/>
          <w:sz w:val="28"/>
          <w:szCs w:val="28"/>
        </w:rPr>
      </w:pPr>
      <w:r w:rsidRPr="00CA099F">
        <w:rPr>
          <w:rFonts w:eastAsia="Times New Roman" w:cs="Times New Roman"/>
          <w:sz w:val="28"/>
          <w:szCs w:val="28"/>
        </w:rPr>
        <w:lastRenderedPageBreak/>
        <w:t>Показники вільнорадикального окиснення ліпідів у гомогенаті шкіри за умови використання PRF-згустка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229"/>
        <w:gridCol w:w="1089"/>
        <w:gridCol w:w="824"/>
        <w:gridCol w:w="1088"/>
        <w:gridCol w:w="1049"/>
        <w:gridCol w:w="1088"/>
        <w:gridCol w:w="1049"/>
        <w:gridCol w:w="994"/>
        <w:gridCol w:w="935"/>
      </w:tblGrid>
      <w:tr w:rsidR="0030517B" w:rsidRPr="00CA099F" w:rsidTr="00DC5C24">
        <w:tc>
          <w:tcPr>
            <w:tcW w:w="658" w:type="pct"/>
            <w:vMerge w:val="restart"/>
            <w:vAlign w:val="center"/>
          </w:tcPr>
          <w:p w:rsidR="0030517B" w:rsidRPr="00CA099F" w:rsidRDefault="0030517B" w:rsidP="00E1448E">
            <w:pPr>
              <w:spacing w:after="0"/>
              <w:jc w:val="center"/>
              <w:rPr>
                <w:rFonts w:eastAsia="Times New Roman" w:cs="Times New Roman"/>
                <w:szCs w:val="24"/>
              </w:rPr>
            </w:pPr>
            <w:r w:rsidRPr="00CA099F">
              <w:rPr>
                <w:rFonts w:eastAsia="Times New Roman" w:cs="Times New Roman"/>
                <w:szCs w:val="24"/>
              </w:rPr>
              <w:t>Показник</w:t>
            </w:r>
          </w:p>
        </w:tc>
        <w:tc>
          <w:tcPr>
            <w:tcW w:w="1024" w:type="pct"/>
            <w:gridSpan w:val="2"/>
          </w:tcPr>
          <w:p w:rsidR="0030517B" w:rsidRPr="00CA099F" w:rsidRDefault="0030517B" w:rsidP="00E1448E">
            <w:pPr>
              <w:spacing w:after="0"/>
              <w:jc w:val="center"/>
              <w:rPr>
                <w:rFonts w:eastAsia="Times New Roman" w:cs="Times New Roman"/>
                <w:szCs w:val="28"/>
              </w:rPr>
            </w:pPr>
            <w:r w:rsidRPr="00CA099F">
              <w:rPr>
                <w:rFonts w:eastAsia="Times New Roman" w:cs="Times New Roman"/>
                <w:sz w:val="28"/>
                <w:szCs w:val="28"/>
              </w:rPr>
              <w:t>3 місяці</w:t>
            </w:r>
          </w:p>
        </w:tc>
        <w:tc>
          <w:tcPr>
            <w:tcW w:w="1143" w:type="pct"/>
            <w:gridSpan w:val="2"/>
          </w:tcPr>
          <w:p w:rsidR="0030517B" w:rsidRPr="00CA099F" w:rsidRDefault="0030517B" w:rsidP="00E1448E">
            <w:pPr>
              <w:spacing w:after="0"/>
              <w:jc w:val="center"/>
              <w:rPr>
                <w:rFonts w:eastAsia="Times New Roman" w:cs="Times New Roman"/>
                <w:szCs w:val="28"/>
              </w:rPr>
            </w:pPr>
            <w:r w:rsidRPr="00CA099F">
              <w:rPr>
                <w:rFonts w:eastAsia="Times New Roman" w:cs="Times New Roman"/>
                <w:sz w:val="28"/>
                <w:szCs w:val="28"/>
              </w:rPr>
              <w:t>6 місяців</w:t>
            </w:r>
          </w:p>
        </w:tc>
        <w:tc>
          <w:tcPr>
            <w:tcW w:w="1143" w:type="pct"/>
            <w:gridSpan w:val="2"/>
          </w:tcPr>
          <w:p w:rsidR="0030517B" w:rsidRPr="00CA099F" w:rsidRDefault="0030517B" w:rsidP="00E1448E">
            <w:pPr>
              <w:spacing w:after="0"/>
              <w:jc w:val="center"/>
              <w:rPr>
                <w:rFonts w:eastAsia="Times New Roman" w:cs="Times New Roman"/>
                <w:szCs w:val="28"/>
              </w:rPr>
            </w:pPr>
            <w:r w:rsidRPr="00CA099F">
              <w:rPr>
                <w:rFonts w:eastAsia="Times New Roman" w:cs="Times New Roman"/>
                <w:sz w:val="28"/>
                <w:szCs w:val="28"/>
              </w:rPr>
              <w:t>9 місяців</w:t>
            </w:r>
          </w:p>
        </w:tc>
        <w:tc>
          <w:tcPr>
            <w:tcW w:w="1033" w:type="pct"/>
            <w:gridSpan w:val="2"/>
          </w:tcPr>
          <w:p w:rsidR="0030517B" w:rsidRPr="00CA099F" w:rsidRDefault="0030517B" w:rsidP="00E1448E">
            <w:pPr>
              <w:spacing w:after="0"/>
              <w:jc w:val="center"/>
              <w:rPr>
                <w:rFonts w:eastAsia="Times New Roman" w:cs="Times New Roman"/>
                <w:szCs w:val="28"/>
              </w:rPr>
            </w:pPr>
            <w:r w:rsidRPr="00CA099F">
              <w:rPr>
                <w:rFonts w:eastAsia="Times New Roman" w:cs="Times New Roman"/>
                <w:sz w:val="28"/>
                <w:szCs w:val="28"/>
              </w:rPr>
              <w:t>12 місяців</w:t>
            </w:r>
          </w:p>
        </w:tc>
      </w:tr>
      <w:tr w:rsidR="0030517B" w:rsidRPr="00CA099F" w:rsidTr="00DC5C24">
        <w:tc>
          <w:tcPr>
            <w:tcW w:w="658" w:type="pct"/>
            <w:vMerge/>
          </w:tcPr>
          <w:p w:rsidR="0030517B" w:rsidRPr="00CA099F" w:rsidRDefault="0030517B" w:rsidP="00E1448E">
            <w:pPr>
              <w:spacing w:after="0"/>
              <w:jc w:val="center"/>
              <w:rPr>
                <w:rFonts w:eastAsia="Times New Roman" w:cs="Times New Roman"/>
                <w:szCs w:val="28"/>
              </w:rPr>
            </w:pPr>
          </w:p>
        </w:tc>
        <w:tc>
          <w:tcPr>
            <w:tcW w:w="583" w:type="pct"/>
          </w:tcPr>
          <w:p w:rsidR="0030517B" w:rsidRPr="00CA099F" w:rsidRDefault="0030517B" w:rsidP="00E1448E">
            <w:pPr>
              <w:spacing w:after="0"/>
              <w:ind w:right="-87"/>
              <w:jc w:val="center"/>
              <w:rPr>
                <w:rFonts w:eastAsia="Times New Roman" w:cs="Times New Roman"/>
                <w:szCs w:val="24"/>
              </w:rPr>
            </w:pPr>
            <w:r w:rsidRPr="00CA099F">
              <w:rPr>
                <w:rFonts w:eastAsia="Times New Roman" w:cs="Times New Roman"/>
                <w:szCs w:val="24"/>
              </w:rPr>
              <w:t>Група контролю</w:t>
            </w:r>
            <w:r w:rsidR="00F46CA5">
              <w:rPr>
                <w:rFonts w:eastAsia="Times New Roman" w:cs="Times New Roman"/>
                <w:szCs w:val="24"/>
              </w:rPr>
              <w:t xml:space="preserve"> (</w:t>
            </w:r>
            <w:r w:rsidR="00F46CA5">
              <w:rPr>
                <w:rFonts w:eastAsia="Times New Roman" w:cs="Times New Roman"/>
                <w:szCs w:val="24"/>
                <w:lang w:val="en-US"/>
              </w:rPr>
              <w:t>n=20</w:t>
            </w:r>
            <w:r w:rsidR="00F46CA5">
              <w:rPr>
                <w:rFonts w:eastAsia="Times New Roman" w:cs="Times New Roman"/>
                <w:szCs w:val="24"/>
              </w:rPr>
              <w:t>)</w:t>
            </w:r>
          </w:p>
        </w:tc>
        <w:tc>
          <w:tcPr>
            <w:tcW w:w="441" w:type="pct"/>
          </w:tcPr>
          <w:p w:rsidR="0030517B" w:rsidRDefault="0030517B" w:rsidP="00E1448E">
            <w:pPr>
              <w:spacing w:after="0"/>
              <w:ind w:right="-87"/>
              <w:jc w:val="center"/>
              <w:rPr>
                <w:rFonts w:eastAsia="Times New Roman" w:cs="Times New Roman"/>
                <w:szCs w:val="24"/>
                <w:lang w:val="en-US"/>
              </w:rPr>
            </w:pPr>
            <w:r w:rsidRPr="00CA099F">
              <w:rPr>
                <w:rFonts w:eastAsia="Times New Roman" w:cs="Times New Roman"/>
                <w:szCs w:val="24"/>
              </w:rPr>
              <w:t>1 група</w:t>
            </w:r>
          </w:p>
          <w:p w:rsidR="00F46CA5" w:rsidRPr="00F46CA5" w:rsidRDefault="00F46CA5" w:rsidP="00E1448E">
            <w:pPr>
              <w:spacing w:after="0"/>
              <w:ind w:right="-87"/>
              <w:jc w:val="center"/>
              <w:rPr>
                <w:rFonts w:eastAsia="Times New Roman" w:cs="Times New Roman"/>
                <w:szCs w:val="24"/>
                <w:lang w:val="en-US"/>
              </w:rPr>
            </w:pPr>
            <w:r>
              <w:rPr>
                <w:rFonts w:eastAsia="Times New Roman" w:cs="Times New Roman"/>
                <w:szCs w:val="24"/>
              </w:rPr>
              <w:t>(</w:t>
            </w:r>
            <w:r>
              <w:rPr>
                <w:rFonts w:eastAsia="Times New Roman" w:cs="Times New Roman"/>
                <w:szCs w:val="24"/>
                <w:lang w:val="en-US"/>
              </w:rPr>
              <w:t>n=20</w:t>
            </w:r>
            <w:r>
              <w:rPr>
                <w:rFonts w:eastAsia="Times New Roman" w:cs="Times New Roman"/>
                <w:szCs w:val="24"/>
              </w:rPr>
              <w:t>)</w:t>
            </w:r>
          </w:p>
        </w:tc>
        <w:tc>
          <w:tcPr>
            <w:tcW w:w="582" w:type="pct"/>
          </w:tcPr>
          <w:p w:rsidR="0030517B" w:rsidRPr="00F46CA5" w:rsidRDefault="0030517B" w:rsidP="00E1448E">
            <w:pPr>
              <w:spacing w:after="0"/>
              <w:ind w:right="-87"/>
              <w:jc w:val="center"/>
              <w:rPr>
                <w:rFonts w:eastAsia="Times New Roman" w:cs="Times New Roman"/>
                <w:szCs w:val="24"/>
                <w:lang w:val="en-US"/>
              </w:rPr>
            </w:pPr>
            <w:r w:rsidRPr="00CA099F">
              <w:rPr>
                <w:rFonts w:eastAsia="Times New Roman" w:cs="Times New Roman"/>
                <w:szCs w:val="24"/>
              </w:rPr>
              <w:t>Група контролю</w:t>
            </w:r>
            <w:r w:rsidR="00F46CA5">
              <w:rPr>
                <w:rFonts w:eastAsia="Times New Roman" w:cs="Times New Roman"/>
                <w:szCs w:val="24"/>
                <w:lang w:val="en-US"/>
              </w:rPr>
              <w:t xml:space="preserve"> </w:t>
            </w:r>
            <w:r w:rsidR="00F46CA5">
              <w:rPr>
                <w:rFonts w:eastAsia="Times New Roman" w:cs="Times New Roman"/>
                <w:szCs w:val="24"/>
              </w:rPr>
              <w:t>(</w:t>
            </w:r>
            <w:r w:rsidR="00F46CA5">
              <w:rPr>
                <w:rFonts w:eastAsia="Times New Roman" w:cs="Times New Roman"/>
                <w:szCs w:val="24"/>
                <w:lang w:val="en-US"/>
              </w:rPr>
              <w:t>n=20</w:t>
            </w:r>
            <w:r w:rsidR="00F46CA5">
              <w:rPr>
                <w:rFonts w:eastAsia="Times New Roman" w:cs="Times New Roman"/>
                <w:szCs w:val="24"/>
              </w:rPr>
              <w:t>)</w:t>
            </w:r>
          </w:p>
        </w:tc>
        <w:tc>
          <w:tcPr>
            <w:tcW w:w="560" w:type="pct"/>
          </w:tcPr>
          <w:p w:rsidR="0030517B" w:rsidRDefault="0030517B" w:rsidP="00E1448E">
            <w:pPr>
              <w:spacing w:after="0"/>
              <w:ind w:right="-87"/>
              <w:jc w:val="center"/>
              <w:rPr>
                <w:rFonts w:eastAsia="Times New Roman" w:cs="Times New Roman"/>
                <w:szCs w:val="24"/>
                <w:lang w:val="en-US"/>
              </w:rPr>
            </w:pPr>
            <w:r w:rsidRPr="00CA099F">
              <w:rPr>
                <w:rFonts w:eastAsia="Times New Roman" w:cs="Times New Roman"/>
                <w:szCs w:val="24"/>
              </w:rPr>
              <w:t>1 група</w:t>
            </w:r>
          </w:p>
          <w:p w:rsidR="00F46CA5" w:rsidRPr="00F46CA5" w:rsidRDefault="00F46CA5" w:rsidP="00E1448E">
            <w:pPr>
              <w:spacing w:after="0"/>
              <w:ind w:right="-87"/>
              <w:jc w:val="center"/>
              <w:rPr>
                <w:rFonts w:eastAsia="Times New Roman" w:cs="Times New Roman"/>
                <w:szCs w:val="24"/>
                <w:lang w:val="en-US"/>
              </w:rPr>
            </w:pPr>
            <w:r>
              <w:rPr>
                <w:rFonts w:eastAsia="Times New Roman" w:cs="Times New Roman"/>
                <w:szCs w:val="24"/>
              </w:rPr>
              <w:t>(</w:t>
            </w:r>
            <w:r>
              <w:rPr>
                <w:rFonts w:eastAsia="Times New Roman" w:cs="Times New Roman"/>
                <w:szCs w:val="24"/>
                <w:lang w:val="en-US"/>
              </w:rPr>
              <w:t>n=20</w:t>
            </w:r>
            <w:r>
              <w:rPr>
                <w:rFonts w:eastAsia="Times New Roman" w:cs="Times New Roman"/>
                <w:szCs w:val="24"/>
              </w:rPr>
              <w:t>)</w:t>
            </w:r>
          </w:p>
        </w:tc>
        <w:tc>
          <w:tcPr>
            <w:tcW w:w="582" w:type="pct"/>
          </w:tcPr>
          <w:p w:rsidR="0030517B" w:rsidRPr="00F46CA5" w:rsidRDefault="0030517B" w:rsidP="00E1448E">
            <w:pPr>
              <w:spacing w:after="0"/>
              <w:ind w:right="-87"/>
              <w:jc w:val="center"/>
              <w:rPr>
                <w:rFonts w:eastAsia="Times New Roman" w:cs="Times New Roman"/>
                <w:szCs w:val="24"/>
                <w:lang w:val="en-US"/>
              </w:rPr>
            </w:pPr>
            <w:r w:rsidRPr="00CA099F">
              <w:rPr>
                <w:rFonts w:eastAsia="Times New Roman" w:cs="Times New Roman"/>
                <w:szCs w:val="24"/>
              </w:rPr>
              <w:t>Група контролю</w:t>
            </w:r>
            <w:r w:rsidR="00F46CA5">
              <w:rPr>
                <w:rFonts w:eastAsia="Times New Roman" w:cs="Times New Roman"/>
                <w:szCs w:val="24"/>
                <w:lang w:val="en-US"/>
              </w:rPr>
              <w:t xml:space="preserve"> </w:t>
            </w:r>
            <w:r w:rsidR="00F46CA5">
              <w:rPr>
                <w:rFonts w:eastAsia="Times New Roman" w:cs="Times New Roman"/>
                <w:szCs w:val="24"/>
              </w:rPr>
              <w:t>(</w:t>
            </w:r>
            <w:r w:rsidR="00F46CA5">
              <w:rPr>
                <w:rFonts w:eastAsia="Times New Roman" w:cs="Times New Roman"/>
                <w:szCs w:val="24"/>
                <w:lang w:val="en-US"/>
              </w:rPr>
              <w:t>n=20</w:t>
            </w:r>
            <w:r w:rsidR="00F46CA5">
              <w:rPr>
                <w:rFonts w:eastAsia="Times New Roman" w:cs="Times New Roman"/>
                <w:szCs w:val="24"/>
              </w:rPr>
              <w:t>)</w:t>
            </w:r>
          </w:p>
        </w:tc>
        <w:tc>
          <w:tcPr>
            <w:tcW w:w="560" w:type="pct"/>
          </w:tcPr>
          <w:p w:rsidR="0030517B" w:rsidRDefault="0030517B" w:rsidP="00E1448E">
            <w:pPr>
              <w:spacing w:after="0"/>
              <w:ind w:right="-87"/>
              <w:jc w:val="center"/>
              <w:rPr>
                <w:rFonts w:eastAsia="Times New Roman" w:cs="Times New Roman"/>
                <w:szCs w:val="24"/>
                <w:lang w:val="en-US"/>
              </w:rPr>
            </w:pPr>
            <w:r w:rsidRPr="00CA099F">
              <w:rPr>
                <w:rFonts w:eastAsia="Times New Roman" w:cs="Times New Roman"/>
                <w:szCs w:val="24"/>
              </w:rPr>
              <w:t>1 група</w:t>
            </w:r>
          </w:p>
          <w:p w:rsidR="00F46CA5" w:rsidRPr="00F46CA5" w:rsidRDefault="00F46CA5" w:rsidP="00E1448E">
            <w:pPr>
              <w:spacing w:after="0"/>
              <w:ind w:right="-87"/>
              <w:jc w:val="center"/>
              <w:rPr>
                <w:rFonts w:eastAsia="Times New Roman" w:cs="Times New Roman"/>
                <w:szCs w:val="24"/>
                <w:lang w:val="en-US"/>
              </w:rPr>
            </w:pPr>
            <w:r>
              <w:rPr>
                <w:rFonts w:eastAsia="Times New Roman" w:cs="Times New Roman"/>
                <w:szCs w:val="24"/>
              </w:rPr>
              <w:t>(</w:t>
            </w:r>
            <w:r>
              <w:rPr>
                <w:rFonts w:eastAsia="Times New Roman" w:cs="Times New Roman"/>
                <w:szCs w:val="24"/>
                <w:lang w:val="en-US"/>
              </w:rPr>
              <w:t>n=20</w:t>
            </w:r>
            <w:r>
              <w:rPr>
                <w:rFonts w:eastAsia="Times New Roman" w:cs="Times New Roman"/>
                <w:szCs w:val="24"/>
              </w:rPr>
              <w:t>)</w:t>
            </w:r>
          </w:p>
        </w:tc>
        <w:tc>
          <w:tcPr>
            <w:tcW w:w="532" w:type="pct"/>
          </w:tcPr>
          <w:p w:rsidR="0030517B" w:rsidRPr="00F46CA5" w:rsidRDefault="0030517B" w:rsidP="00DC5C24">
            <w:pPr>
              <w:spacing w:after="0"/>
              <w:ind w:left="-83" w:right="-87"/>
              <w:jc w:val="center"/>
              <w:rPr>
                <w:rFonts w:eastAsia="Times New Roman" w:cs="Times New Roman"/>
                <w:szCs w:val="24"/>
                <w:lang w:val="en-US"/>
              </w:rPr>
            </w:pPr>
            <w:r w:rsidRPr="00CA099F">
              <w:rPr>
                <w:rFonts w:eastAsia="Times New Roman" w:cs="Times New Roman"/>
                <w:szCs w:val="24"/>
              </w:rPr>
              <w:t>Група контролю</w:t>
            </w:r>
            <w:r w:rsidR="00F46CA5">
              <w:rPr>
                <w:rFonts w:eastAsia="Times New Roman" w:cs="Times New Roman"/>
                <w:szCs w:val="24"/>
                <w:lang w:val="en-US"/>
              </w:rPr>
              <w:t xml:space="preserve"> </w:t>
            </w:r>
            <w:r w:rsidR="00F46CA5">
              <w:rPr>
                <w:rFonts w:eastAsia="Times New Roman" w:cs="Times New Roman"/>
                <w:szCs w:val="24"/>
              </w:rPr>
              <w:t>(</w:t>
            </w:r>
            <w:r w:rsidR="00F46CA5">
              <w:rPr>
                <w:rFonts w:eastAsia="Times New Roman" w:cs="Times New Roman"/>
                <w:szCs w:val="24"/>
                <w:lang w:val="en-US"/>
              </w:rPr>
              <w:t>n=20</w:t>
            </w:r>
            <w:r w:rsidR="00F46CA5">
              <w:rPr>
                <w:rFonts w:eastAsia="Times New Roman" w:cs="Times New Roman"/>
                <w:szCs w:val="24"/>
              </w:rPr>
              <w:t>)</w:t>
            </w:r>
          </w:p>
        </w:tc>
        <w:tc>
          <w:tcPr>
            <w:tcW w:w="500" w:type="pct"/>
          </w:tcPr>
          <w:p w:rsidR="0030517B" w:rsidRDefault="0030517B" w:rsidP="00E1448E">
            <w:pPr>
              <w:spacing w:after="0"/>
              <w:ind w:right="-87"/>
              <w:jc w:val="center"/>
              <w:rPr>
                <w:rFonts w:eastAsia="Times New Roman" w:cs="Times New Roman"/>
                <w:szCs w:val="24"/>
                <w:lang w:val="en-US"/>
              </w:rPr>
            </w:pPr>
            <w:r w:rsidRPr="00CA099F">
              <w:rPr>
                <w:rFonts w:eastAsia="Times New Roman" w:cs="Times New Roman"/>
                <w:szCs w:val="24"/>
              </w:rPr>
              <w:t>1 група</w:t>
            </w:r>
          </w:p>
          <w:p w:rsidR="00F46CA5" w:rsidRPr="00F46CA5" w:rsidRDefault="00F46CA5" w:rsidP="00E1448E">
            <w:pPr>
              <w:spacing w:after="0"/>
              <w:ind w:right="-87"/>
              <w:jc w:val="center"/>
              <w:rPr>
                <w:rFonts w:eastAsia="Times New Roman" w:cs="Times New Roman"/>
                <w:szCs w:val="24"/>
                <w:lang w:val="en-US"/>
              </w:rPr>
            </w:pPr>
            <w:r>
              <w:rPr>
                <w:rFonts w:eastAsia="Times New Roman" w:cs="Times New Roman"/>
                <w:szCs w:val="24"/>
              </w:rPr>
              <w:t>(</w:t>
            </w:r>
            <w:r>
              <w:rPr>
                <w:rFonts w:eastAsia="Times New Roman" w:cs="Times New Roman"/>
                <w:szCs w:val="24"/>
                <w:lang w:val="en-US"/>
              </w:rPr>
              <w:t>n=20</w:t>
            </w:r>
            <w:r>
              <w:rPr>
                <w:rFonts w:eastAsia="Times New Roman" w:cs="Times New Roman"/>
                <w:szCs w:val="24"/>
              </w:rPr>
              <w:t>)</w:t>
            </w:r>
          </w:p>
        </w:tc>
      </w:tr>
      <w:tr w:rsidR="0030517B" w:rsidRPr="00CA099F" w:rsidTr="00DC5C24">
        <w:tc>
          <w:tcPr>
            <w:tcW w:w="658" w:type="pct"/>
          </w:tcPr>
          <w:p w:rsidR="0030517B" w:rsidRPr="00CA099F" w:rsidRDefault="0030517B" w:rsidP="00716654">
            <w:pPr>
              <w:spacing w:after="0"/>
              <w:ind w:right="-118"/>
              <w:jc w:val="center"/>
              <w:rPr>
                <w:rFonts w:eastAsia="Times New Roman" w:cs="Times New Roman"/>
                <w:szCs w:val="28"/>
              </w:rPr>
            </w:pPr>
            <w:r w:rsidRPr="00716654">
              <w:rPr>
                <w:rFonts w:eastAsia="Times New Roman" w:cs="Times New Roman"/>
                <w:sz w:val="28"/>
                <w:szCs w:val="28"/>
              </w:rPr>
              <w:t>ГПЛ, ум.од./</w:t>
            </w:r>
            <w:r w:rsidR="00F46CA5" w:rsidRPr="00716654">
              <w:rPr>
                <w:rFonts w:eastAsia="Times New Roman" w:cs="Times New Roman"/>
                <w:sz w:val="28"/>
                <w:szCs w:val="28"/>
              </w:rPr>
              <w:t>к</w:t>
            </w:r>
            <w:r w:rsidR="00716654" w:rsidRPr="00716654">
              <w:rPr>
                <w:rFonts w:eastAsia="Times New Roman" w:cs="Times New Roman"/>
                <w:sz w:val="28"/>
                <w:szCs w:val="28"/>
              </w:rPr>
              <w:t>г</w:t>
            </w:r>
          </w:p>
        </w:tc>
        <w:tc>
          <w:tcPr>
            <w:tcW w:w="583" w:type="pct"/>
          </w:tcPr>
          <w:p w:rsidR="0030517B" w:rsidRPr="00CA099F" w:rsidRDefault="0030517B" w:rsidP="00E1448E">
            <w:pPr>
              <w:spacing w:after="0"/>
              <w:jc w:val="center"/>
              <w:rPr>
                <w:rFonts w:eastAsia="Times New Roman" w:cs="Times New Roman"/>
                <w:szCs w:val="28"/>
              </w:rPr>
            </w:pPr>
            <w:r w:rsidRPr="00CA099F">
              <w:rPr>
                <w:rFonts w:eastAsia="Times New Roman" w:cs="Times New Roman"/>
                <w:sz w:val="28"/>
                <w:szCs w:val="28"/>
              </w:rPr>
              <w:t>6,14±</w:t>
            </w:r>
          </w:p>
          <w:p w:rsidR="0030517B" w:rsidRPr="00CA099F" w:rsidRDefault="0030517B" w:rsidP="00E1448E">
            <w:pPr>
              <w:spacing w:after="0"/>
              <w:jc w:val="center"/>
              <w:rPr>
                <w:rFonts w:eastAsia="Times New Roman" w:cs="Times New Roman"/>
                <w:szCs w:val="28"/>
              </w:rPr>
            </w:pPr>
            <w:r w:rsidRPr="00CA099F">
              <w:rPr>
                <w:rFonts w:eastAsia="Times New Roman" w:cs="Times New Roman"/>
                <w:sz w:val="28"/>
                <w:szCs w:val="28"/>
              </w:rPr>
              <w:t>0,13</w:t>
            </w:r>
          </w:p>
        </w:tc>
        <w:tc>
          <w:tcPr>
            <w:tcW w:w="441" w:type="pct"/>
          </w:tcPr>
          <w:p w:rsidR="0030517B" w:rsidRPr="00CA099F" w:rsidRDefault="0030517B" w:rsidP="00E1448E">
            <w:pPr>
              <w:spacing w:after="0"/>
              <w:jc w:val="center"/>
              <w:rPr>
                <w:rFonts w:eastAsia="Times New Roman" w:cs="Times New Roman"/>
                <w:szCs w:val="28"/>
              </w:rPr>
            </w:pPr>
            <w:r w:rsidRPr="00CA099F">
              <w:rPr>
                <w:rFonts w:eastAsia="Times New Roman" w:cs="Times New Roman"/>
                <w:sz w:val="28"/>
                <w:szCs w:val="28"/>
              </w:rPr>
              <w:t>4,50±</w:t>
            </w:r>
          </w:p>
          <w:p w:rsidR="0030517B" w:rsidRPr="00CA099F" w:rsidRDefault="0030517B" w:rsidP="00E1448E">
            <w:pPr>
              <w:spacing w:after="0"/>
              <w:jc w:val="center"/>
              <w:rPr>
                <w:rFonts w:eastAsia="Times New Roman" w:cs="Times New Roman"/>
                <w:szCs w:val="28"/>
              </w:rPr>
            </w:pPr>
            <w:r w:rsidRPr="00CA099F">
              <w:rPr>
                <w:rFonts w:eastAsia="Times New Roman" w:cs="Times New Roman"/>
                <w:sz w:val="28"/>
                <w:szCs w:val="28"/>
              </w:rPr>
              <w:t>0,10*</w:t>
            </w:r>
          </w:p>
        </w:tc>
        <w:tc>
          <w:tcPr>
            <w:tcW w:w="582" w:type="pct"/>
          </w:tcPr>
          <w:p w:rsidR="0030517B" w:rsidRPr="00CA099F" w:rsidRDefault="0030517B" w:rsidP="00E1448E">
            <w:pPr>
              <w:spacing w:after="0"/>
              <w:jc w:val="center"/>
              <w:rPr>
                <w:rFonts w:eastAsia="Times New Roman" w:cs="Times New Roman"/>
                <w:szCs w:val="28"/>
              </w:rPr>
            </w:pPr>
            <w:r w:rsidRPr="00CA099F">
              <w:rPr>
                <w:rFonts w:eastAsia="Times New Roman" w:cs="Times New Roman"/>
                <w:sz w:val="28"/>
                <w:szCs w:val="28"/>
              </w:rPr>
              <w:t>4,26±</w:t>
            </w:r>
          </w:p>
          <w:p w:rsidR="0030517B" w:rsidRPr="00CA099F" w:rsidRDefault="0030517B" w:rsidP="00E1448E">
            <w:pPr>
              <w:spacing w:after="0"/>
              <w:jc w:val="center"/>
              <w:rPr>
                <w:rFonts w:eastAsia="Times New Roman" w:cs="Times New Roman"/>
                <w:szCs w:val="28"/>
              </w:rPr>
            </w:pPr>
            <w:r w:rsidRPr="00CA099F">
              <w:rPr>
                <w:rFonts w:eastAsia="Times New Roman" w:cs="Times New Roman"/>
                <w:sz w:val="28"/>
                <w:szCs w:val="28"/>
              </w:rPr>
              <w:t>0,09</w:t>
            </w:r>
          </w:p>
        </w:tc>
        <w:tc>
          <w:tcPr>
            <w:tcW w:w="560" w:type="pct"/>
          </w:tcPr>
          <w:p w:rsidR="0030517B" w:rsidRPr="00CA099F" w:rsidRDefault="0030517B" w:rsidP="00E1448E">
            <w:pPr>
              <w:spacing w:after="0"/>
              <w:jc w:val="center"/>
              <w:rPr>
                <w:rFonts w:eastAsia="Times New Roman" w:cs="Times New Roman"/>
                <w:szCs w:val="28"/>
              </w:rPr>
            </w:pPr>
            <w:r w:rsidRPr="00CA099F">
              <w:rPr>
                <w:rFonts w:eastAsia="Times New Roman" w:cs="Times New Roman"/>
                <w:sz w:val="28"/>
                <w:szCs w:val="28"/>
              </w:rPr>
              <w:t>3,61±</w:t>
            </w:r>
          </w:p>
          <w:p w:rsidR="0030517B" w:rsidRPr="00CA099F" w:rsidRDefault="0030517B" w:rsidP="00E1448E">
            <w:pPr>
              <w:spacing w:after="0"/>
              <w:jc w:val="center"/>
              <w:rPr>
                <w:rFonts w:eastAsia="Times New Roman" w:cs="Times New Roman"/>
                <w:szCs w:val="28"/>
              </w:rPr>
            </w:pPr>
            <w:r w:rsidRPr="00CA099F">
              <w:rPr>
                <w:rFonts w:eastAsia="Times New Roman" w:cs="Times New Roman"/>
                <w:sz w:val="28"/>
                <w:szCs w:val="28"/>
              </w:rPr>
              <w:t>0,13*</w:t>
            </w:r>
          </w:p>
        </w:tc>
        <w:tc>
          <w:tcPr>
            <w:tcW w:w="582" w:type="pct"/>
          </w:tcPr>
          <w:p w:rsidR="0030517B" w:rsidRPr="00CA099F" w:rsidRDefault="0030517B" w:rsidP="00E1448E">
            <w:pPr>
              <w:spacing w:after="0"/>
              <w:jc w:val="center"/>
              <w:rPr>
                <w:rFonts w:eastAsia="Times New Roman" w:cs="Times New Roman"/>
                <w:szCs w:val="28"/>
              </w:rPr>
            </w:pPr>
            <w:r w:rsidRPr="00CA099F">
              <w:rPr>
                <w:rFonts w:eastAsia="Times New Roman" w:cs="Times New Roman"/>
                <w:sz w:val="28"/>
                <w:szCs w:val="28"/>
              </w:rPr>
              <w:t>3,52±</w:t>
            </w:r>
          </w:p>
          <w:p w:rsidR="0030517B" w:rsidRPr="00CA099F" w:rsidRDefault="0030517B" w:rsidP="00E1448E">
            <w:pPr>
              <w:spacing w:after="0"/>
              <w:jc w:val="center"/>
              <w:rPr>
                <w:rFonts w:eastAsia="Times New Roman" w:cs="Times New Roman"/>
                <w:szCs w:val="28"/>
              </w:rPr>
            </w:pPr>
            <w:r w:rsidRPr="00CA099F">
              <w:rPr>
                <w:rFonts w:eastAsia="Times New Roman" w:cs="Times New Roman"/>
                <w:sz w:val="28"/>
                <w:szCs w:val="28"/>
              </w:rPr>
              <w:t>0,07</w:t>
            </w:r>
          </w:p>
        </w:tc>
        <w:tc>
          <w:tcPr>
            <w:tcW w:w="560" w:type="pct"/>
          </w:tcPr>
          <w:p w:rsidR="0030517B" w:rsidRPr="00CA099F" w:rsidRDefault="0030517B" w:rsidP="00E1448E">
            <w:pPr>
              <w:spacing w:after="0"/>
              <w:jc w:val="center"/>
              <w:rPr>
                <w:rFonts w:eastAsia="Times New Roman" w:cs="Times New Roman"/>
                <w:szCs w:val="28"/>
              </w:rPr>
            </w:pPr>
            <w:r w:rsidRPr="00CA099F">
              <w:rPr>
                <w:rFonts w:eastAsia="Times New Roman" w:cs="Times New Roman"/>
                <w:sz w:val="28"/>
                <w:szCs w:val="28"/>
              </w:rPr>
              <w:t>3,27±</w:t>
            </w:r>
          </w:p>
          <w:p w:rsidR="0030517B" w:rsidRPr="00CA099F" w:rsidRDefault="0030517B" w:rsidP="00E1448E">
            <w:pPr>
              <w:spacing w:after="0"/>
              <w:jc w:val="center"/>
              <w:rPr>
                <w:rFonts w:eastAsia="Times New Roman" w:cs="Times New Roman"/>
                <w:szCs w:val="28"/>
              </w:rPr>
            </w:pPr>
            <w:r w:rsidRPr="00CA099F">
              <w:rPr>
                <w:rFonts w:eastAsia="Times New Roman" w:cs="Times New Roman"/>
                <w:sz w:val="28"/>
                <w:szCs w:val="28"/>
              </w:rPr>
              <w:t>0,09*</w:t>
            </w:r>
          </w:p>
        </w:tc>
        <w:tc>
          <w:tcPr>
            <w:tcW w:w="532" w:type="pct"/>
          </w:tcPr>
          <w:p w:rsidR="0030517B" w:rsidRPr="00CA099F" w:rsidRDefault="0030517B" w:rsidP="00E1448E">
            <w:pPr>
              <w:spacing w:after="0"/>
              <w:jc w:val="center"/>
              <w:rPr>
                <w:rFonts w:eastAsia="Times New Roman" w:cs="Times New Roman"/>
                <w:szCs w:val="28"/>
              </w:rPr>
            </w:pPr>
            <w:r w:rsidRPr="00CA099F">
              <w:rPr>
                <w:rFonts w:eastAsia="Times New Roman" w:cs="Times New Roman"/>
                <w:sz w:val="28"/>
                <w:szCs w:val="28"/>
              </w:rPr>
              <w:t>3,23±</w:t>
            </w:r>
          </w:p>
          <w:p w:rsidR="0030517B" w:rsidRPr="00CA099F" w:rsidRDefault="0030517B" w:rsidP="00E1448E">
            <w:pPr>
              <w:spacing w:after="0"/>
              <w:jc w:val="center"/>
              <w:rPr>
                <w:rFonts w:eastAsia="Times New Roman" w:cs="Times New Roman"/>
                <w:szCs w:val="28"/>
              </w:rPr>
            </w:pPr>
            <w:r w:rsidRPr="00CA099F">
              <w:rPr>
                <w:rFonts w:eastAsia="Times New Roman" w:cs="Times New Roman"/>
                <w:sz w:val="28"/>
                <w:szCs w:val="28"/>
              </w:rPr>
              <w:t>0,12</w:t>
            </w:r>
          </w:p>
        </w:tc>
        <w:tc>
          <w:tcPr>
            <w:tcW w:w="500" w:type="pct"/>
          </w:tcPr>
          <w:p w:rsidR="0030517B" w:rsidRPr="00CA099F" w:rsidRDefault="0030517B" w:rsidP="00E1448E">
            <w:pPr>
              <w:spacing w:after="0"/>
              <w:jc w:val="center"/>
              <w:rPr>
                <w:rFonts w:eastAsia="Times New Roman" w:cs="Times New Roman"/>
                <w:szCs w:val="28"/>
              </w:rPr>
            </w:pPr>
            <w:r w:rsidRPr="00CA099F">
              <w:rPr>
                <w:rFonts w:eastAsia="Times New Roman" w:cs="Times New Roman"/>
                <w:sz w:val="28"/>
                <w:szCs w:val="28"/>
              </w:rPr>
              <w:t>3,16±</w:t>
            </w:r>
          </w:p>
          <w:p w:rsidR="0030517B" w:rsidRPr="00CA099F" w:rsidRDefault="0030517B" w:rsidP="00E1448E">
            <w:pPr>
              <w:spacing w:after="0"/>
              <w:jc w:val="center"/>
              <w:rPr>
                <w:rFonts w:eastAsia="Times New Roman" w:cs="Times New Roman"/>
                <w:szCs w:val="28"/>
              </w:rPr>
            </w:pPr>
            <w:r w:rsidRPr="00CA099F">
              <w:rPr>
                <w:rFonts w:eastAsia="Times New Roman" w:cs="Times New Roman"/>
                <w:sz w:val="28"/>
                <w:szCs w:val="28"/>
              </w:rPr>
              <w:t>0,07</w:t>
            </w:r>
          </w:p>
        </w:tc>
      </w:tr>
      <w:tr w:rsidR="0030517B" w:rsidRPr="00CA099F" w:rsidTr="00DC5C24">
        <w:tc>
          <w:tcPr>
            <w:tcW w:w="658" w:type="pct"/>
          </w:tcPr>
          <w:p w:rsidR="0030517B" w:rsidRPr="00CA099F" w:rsidRDefault="0030517B" w:rsidP="00E1448E">
            <w:pPr>
              <w:spacing w:after="0"/>
              <w:jc w:val="center"/>
              <w:rPr>
                <w:rFonts w:eastAsia="Times New Roman" w:cs="Times New Roman"/>
                <w:szCs w:val="28"/>
              </w:rPr>
            </w:pPr>
          </w:p>
        </w:tc>
        <w:tc>
          <w:tcPr>
            <w:tcW w:w="583" w:type="pct"/>
          </w:tcPr>
          <w:p w:rsidR="0030517B" w:rsidRPr="00CA099F" w:rsidRDefault="0030517B" w:rsidP="00E1448E">
            <w:pPr>
              <w:spacing w:after="0"/>
              <w:jc w:val="center"/>
              <w:rPr>
                <w:rFonts w:eastAsia="Times New Roman" w:cs="Times New Roman"/>
                <w:szCs w:val="28"/>
              </w:rPr>
            </w:pPr>
          </w:p>
        </w:tc>
        <w:tc>
          <w:tcPr>
            <w:tcW w:w="441" w:type="pct"/>
          </w:tcPr>
          <w:p w:rsidR="0030517B" w:rsidRPr="00CA099F" w:rsidRDefault="0030517B" w:rsidP="00DC5C24">
            <w:pPr>
              <w:spacing w:after="0"/>
              <w:ind w:left="-85" w:right="-131"/>
              <w:jc w:val="center"/>
              <w:rPr>
                <w:rFonts w:eastAsia="Times New Roman" w:cs="Times New Roman"/>
                <w:szCs w:val="28"/>
              </w:rPr>
            </w:pPr>
          </w:p>
        </w:tc>
        <w:tc>
          <w:tcPr>
            <w:tcW w:w="582" w:type="pct"/>
          </w:tcPr>
          <w:p w:rsidR="0030517B" w:rsidRPr="00CA099F" w:rsidRDefault="0030517B" w:rsidP="00DC5C24">
            <w:pPr>
              <w:spacing w:after="0"/>
              <w:ind w:left="-85" w:right="-131"/>
              <w:jc w:val="center"/>
              <w:rPr>
                <w:rFonts w:eastAsia="Times New Roman" w:cs="Times New Roman"/>
                <w:szCs w:val="28"/>
              </w:rPr>
            </w:pPr>
          </w:p>
        </w:tc>
        <w:tc>
          <w:tcPr>
            <w:tcW w:w="560" w:type="pct"/>
          </w:tcPr>
          <w:p w:rsidR="0030517B" w:rsidRPr="00CA099F" w:rsidRDefault="0030517B" w:rsidP="00DC5C24">
            <w:pPr>
              <w:spacing w:after="0"/>
              <w:ind w:left="-85" w:right="-131"/>
              <w:jc w:val="center"/>
              <w:rPr>
                <w:rFonts w:eastAsia="Times New Roman" w:cs="Times New Roman"/>
                <w:szCs w:val="28"/>
              </w:rPr>
            </w:pPr>
            <w:r w:rsidRPr="00CA099F">
              <w:rPr>
                <w:rFonts w:eastAsia="Times New Roman" w:cs="Times New Roman"/>
                <w:color w:val="000000"/>
                <w:sz w:val="28"/>
                <w:szCs w:val="28"/>
              </w:rPr>
              <w:t>р</w:t>
            </w:r>
            <w:r w:rsidRPr="00CA099F">
              <w:rPr>
                <w:rFonts w:eastAsia="Times New Roman" w:cs="Times New Roman"/>
                <w:color w:val="000000"/>
                <w:sz w:val="28"/>
                <w:szCs w:val="28"/>
                <w:vertAlign w:val="subscript"/>
              </w:rPr>
              <w:t>1</w:t>
            </w:r>
            <w:r w:rsidRPr="00CA099F">
              <w:rPr>
                <w:rFonts w:eastAsia="Times New Roman" w:cs="Times New Roman"/>
                <w:color w:val="000000"/>
                <w:sz w:val="28"/>
                <w:szCs w:val="28"/>
              </w:rPr>
              <w:t>&lt;0,01</w:t>
            </w:r>
          </w:p>
        </w:tc>
        <w:tc>
          <w:tcPr>
            <w:tcW w:w="582" w:type="pct"/>
          </w:tcPr>
          <w:p w:rsidR="0030517B" w:rsidRPr="00CA099F" w:rsidRDefault="0030517B" w:rsidP="00DC5C24">
            <w:pPr>
              <w:spacing w:after="0"/>
              <w:ind w:left="-85" w:right="-131"/>
              <w:jc w:val="center"/>
              <w:rPr>
                <w:rFonts w:eastAsia="Times New Roman" w:cs="Times New Roman"/>
                <w:szCs w:val="28"/>
              </w:rPr>
            </w:pPr>
          </w:p>
        </w:tc>
        <w:tc>
          <w:tcPr>
            <w:tcW w:w="560" w:type="pct"/>
          </w:tcPr>
          <w:p w:rsidR="0030517B" w:rsidRPr="00CA099F" w:rsidRDefault="0030517B" w:rsidP="00DC5C24">
            <w:pPr>
              <w:spacing w:after="0"/>
              <w:ind w:left="-85" w:right="-131"/>
              <w:jc w:val="center"/>
              <w:rPr>
                <w:rFonts w:eastAsia="Times New Roman" w:cs="Times New Roman"/>
                <w:szCs w:val="28"/>
              </w:rPr>
            </w:pPr>
            <w:r w:rsidRPr="00CA099F">
              <w:rPr>
                <w:rFonts w:eastAsia="Times New Roman" w:cs="Times New Roman"/>
                <w:color w:val="000000"/>
                <w:sz w:val="28"/>
                <w:szCs w:val="28"/>
              </w:rPr>
              <w:t>р</w:t>
            </w:r>
            <w:r w:rsidRPr="00CA099F">
              <w:rPr>
                <w:rFonts w:eastAsia="Times New Roman" w:cs="Times New Roman"/>
                <w:color w:val="000000"/>
                <w:sz w:val="28"/>
                <w:szCs w:val="28"/>
                <w:vertAlign w:val="subscript"/>
              </w:rPr>
              <w:t>2</w:t>
            </w:r>
            <w:r w:rsidRPr="00CA099F">
              <w:rPr>
                <w:rFonts w:eastAsia="Times New Roman" w:cs="Times New Roman"/>
                <w:color w:val="000000"/>
                <w:sz w:val="28"/>
                <w:szCs w:val="28"/>
              </w:rPr>
              <w:t>&lt;0,01</w:t>
            </w:r>
          </w:p>
        </w:tc>
        <w:tc>
          <w:tcPr>
            <w:tcW w:w="532" w:type="pct"/>
          </w:tcPr>
          <w:p w:rsidR="0030517B" w:rsidRPr="00CA099F" w:rsidRDefault="0030517B" w:rsidP="00DC5C24">
            <w:pPr>
              <w:spacing w:after="0"/>
              <w:ind w:left="-85" w:right="-131"/>
              <w:jc w:val="center"/>
              <w:rPr>
                <w:rFonts w:eastAsia="Times New Roman" w:cs="Times New Roman"/>
                <w:szCs w:val="28"/>
              </w:rPr>
            </w:pPr>
          </w:p>
        </w:tc>
        <w:tc>
          <w:tcPr>
            <w:tcW w:w="500" w:type="pct"/>
          </w:tcPr>
          <w:p w:rsidR="0030517B" w:rsidRPr="00CA099F" w:rsidRDefault="0030517B" w:rsidP="00DC5C24">
            <w:pPr>
              <w:spacing w:after="0"/>
              <w:ind w:left="-85" w:right="-131"/>
              <w:jc w:val="center"/>
              <w:rPr>
                <w:rFonts w:eastAsia="Times New Roman" w:cs="Times New Roman"/>
                <w:szCs w:val="28"/>
              </w:rPr>
            </w:pPr>
            <w:r w:rsidRPr="00CA099F">
              <w:rPr>
                <w:rFonts w:eastAsia="Times New Roman" w:cs="Times New Roman"/>
                <w:color w:val="000000"/>
                <w:sz w:val="28"/>
                <w:szCs w:val="28"/>
              </w:rPr>
              <w:t>р</w:t>
            </w:r>
            <w:r w:rsidRPr="00CA099F">
              <w:rPr>
                <w:rFonts w:eastAsia="Times New Roman" w:cs="Times New Roman"/>
                <w:color w:val="000000"/>
                <w:sz w:val="28"/>
                <w:szCs w:val="28"/>
                <w:vertAlign w:val="subscript"/>
              </w:rPr>
              <w:t>3</w:t>
            </w:r>
            <w:r w:rsidRPr="00CA099F">
              <w:rPr>
                <w:rFonts w:eastAsia="Times New Roman" w:cs="Times New Roman"/>
                <w:color w:val="000000"/>
                <w:sz w:val="28"/>
                <w:szCs w:val="28"/>
              </w:rPr>
              <w:t>&lt;0,05</w:t>
            </w:r>
          </w:p>
        </w:tc>
      </w:tr>
      <w:tr w:rsidR="0030517B" w:rsidRPr="00CA099F" w:rsidTr="00DC5C24">
        <w:tc>
          <w:tcPr>
            <w:tcW w:w="658" w:type="pct"/>
          </w:tcPr>
          <w:p w:rsidR="0030517B" w:rsidRPr="00CA099F" w:rsidRDefault="0030517B" w:rsidP="00E1448E">
            <w:pPr>
              <w:spacing w:after="0"/>
              <w:jc w:val="center"/>
              <w:rPr>
                <w:rFonts w:eastAsia="Times New Roman" w:cs="Times New Roman"/>
                <w:szCs w:val="28"/>
              </w:rPr>
            </w:pPr>
            <w:r w:rsidRPr="00CA099F">
              <w:rPr>
                <w:rFonts w:eastAsia="Times New Roman" w:cs="Times New Roman"/>
                <w:sz w:val="28"/>
                <w:szCs w:val="28"/>
              </w:rPr>
              <w:t>ДК, ум.од./кг</w:t>
            </w:r>
          </w:p>
        </w:tc>
        <w:tc>
          <w:tcPr>
            <w:tcW w:w="583" w:type="pct"/>
          </w:tcPr>
          <w:p w:rsidR="0030517B" w:rsidRPr="00CA099F" w:rsidRDefault="0030517B" w:rsidP="00E1448E">
            <w:pPr>
              <w:spacing w:after="0"/>
              <w:jc w:val="center"/>
              <w:rPr>
                <w:rFonts w:eastAsia="Times New Roman" w:cs="Times New Roman"/>
                <w:szCs w:val="28"/>
              </w:rPr>
            </w:pPr>
            <w:r w:rsidRPr="00CA099F">
              <w:rPr>
                <w:rFonts w:eastAsia="Times New Roman" w:cs="Times New Roman"/>
                <w:sz w:val="28"/>
                <w:szCs w:val="28"/>
              </w:rPr>
              <w:t>4,49±</w:t>
            </w:r>
          </w:p>
          <w:p w:rsidR="0030517B" w:rsidRPr="00CA099F" w:rsidRDefault="0030517B" w:rsidP="00E1448E">
            <w:pPr>
              <w:spacing w:after="0"/>
              <w:jc w:val="center"/>
              <w:rPr>
                <w:rFonts w:eastAsia="Times New Roman" w:cs="Times New Roman"/>
                <w:szCs w:val="28"/>
              </w:rPr>
            </w:pPr>
            <w:r w:rsidRPr="00CA099F">
              <w:rPr>
                <w:rFonts w:eastAsia="Times New Roman" w:cs="Times New Roman"/>
                <w:sz w:val="28"/>
                <w:szCs w:val="28"/>
              </w:rPr>
              <w:t>0,06</w:t>
            </w:r>
          </w:p>
        </w:tc>
        <w:tc>
          <w:tcPr>
            <w:tcW w:w="441" w:type="pct"/>
          </w:tcPr>
          <w:p w:rsidR="0030517B" w:rsidRPr="00CA099F" w:rsidRDefault="0030517B" w:rsidP="00E1448E">
            <w:pPr>
              <w:spacing w:after="0"/>
              <w:jc w:val="center"/>
              <w:rPr>
                <w:rFonts w:eastAsia="Times New Roman" w:cs="Times New Roman"/>
                <w:szCs w:val="28"/>
              </w:rPr>
            </w:pPr>
            <w:r w:rsidRPr="00CA099F">
              <w:rPr>
                <w:rFonts w:eastAsia="Times New Roman" w:cs="Times New Roman"/>
                <w:sz w:val="28"/>
                <w:szCs w:val="28"/>
              </w:rPr>
              <w:t>3,41±</w:t>
            </w:r>
          </w:p>
          <w:p w:rsidR="0030517B" w:rsidRPr="00CA099F" w:rsidRDefault="0030517B" w:rsidP="00E1448E">
            <w:pPr>
              <w:spacing w:after="0"/>
              <w:jc w:val="center"/>
              <w:rPr>
                <w:rFonts w:eastAsia="Times New Roman" w:cs="Times New Roman"/>
                <w:szCs w:val="28"/>
              </w:rPr>
            </w:pPr>
            <w:r w:rsidRPr="00CA099F">
              <w:rPr>
                <w:rFonts w:eastAsia="Times New Roman" w:cs="Times New Roman"/>
                <w:sz w:val="28"/>
                <w:szCs w:val="28"/>
              </w:rPr>
              <w:t>0,03*</w:t>
            </w:r>
          </w:p>
        </w:tc>
        <w:tc>
          <w:tcPr>
            <w:tcW w:w="582" w:type="pct"/>
          </w:tcPr>
          <w:p w:rsidR="0030517B" w:rsidRPr="00CA099F" w:rsidRDefault="0030517B" w:rsidP="00E1448E">
            <w:pPr>
              <w:spacing w:after="0"/>
              <w:jc w:val="center"/>
              <w:rPr>
                <w:rFonts w:eastAsia="Times New Roman" w:cs="Times New Roman"/>
                <w:szCs w:val="28"/>
              </w:rPr>
            </w:pPr>
            <w:r w:rsidRPr="00CA099F">
              <w:rPr>
                <w:rFonts w:eastAsia="Times New Roman" w:cs="Times New Roman"/>
                <w:sz w:val="28"/>
                <w:szCs w:val="28"/>
              </w:rPr>
              <w:t>3,24±</w:t>
            </w:r>
          </w:p>
          <w:p w:rsidR="0030517B" w:rsidRPr="00CA099F" w:rsidRDefault="0030517B" w:rsidP="00E1448E">
            <w:pPr>
              <w:spacing w:after="0"/>
              <w:jc w:val="center"/>
              <w:rPr>
                <w:rFonts w:eastAsia="Times New Roman" w:cs="Times New Roman"/>
                <w:szCs w:val="28"/>
              </w:rPr>
            </w:pPr>
            <w:r w:rsidRPr="00CA099F">
              <w:rPr>
                <w:rFonts w:eastAsia="Times New Roman" w:cs="Times New Roman"/>
                <w:sz w:val="28"/>
                <w:szCs w:val="28"/>
              </w:rPr>
              <w:t>0,02</w:t>
            </w:r>
          </w:p>
        </w:tc>
        <w:tc>
          <w:tcPr>
            <w:tcW w:w="560" w:type="pct"/>
          </w:tcPr>
          <w:p w:rsidR="0030517B" w:rsidRPr="00CA099F" w:rsidRDefault="0030517B" w:rsidP="00E1448E">
            <w:pPr>
              <w:spacing w:after="0"/>
              <w:jc w:val="center"/>
              <w:rPr>
                <w:rFonts w:eastAsia="Times New Roman" w:cs="Times New Roman"/>
                <w:szCs w:val="28"/>
              </w:rPr>
            </w:pPr>
            <w:r w:rsidRPr="00CA099F">
              <w:rPr>
                <w:rFonts w:eastAsia="Times New Roman" w:cs="Times New Roman"/>
                <w:sz w:val="28"/>
                <w:szCs w:val="28"/>
              </w:rPr>
              <w:t>2,60±</w:t>
            </w:r>
          </w:p>
          <w:p w:rsidR="0030517B" w:rsidRPr="00CA099F" w:rsidRDefault="0030517B" w:rsidP="00E1448E">
            <w:pPr>
              <w:spacing w:after="0"/>
              <w:jc w:val="center"/>
              <w:rPr>
                <w:rFonts w:eastAsia="Times New Roman" w:cs="Times New Roman"/>
                <w:szCs w:val="28"/>
              </w:rPr>
            </w:pPr>
            <w:r w:rsidRPr="00CA099F">
              <w:rPr>
                <w:rFonts w:eastAsia="Times New Roman" w:cs="Times New Roman"/>
                <w:sz w:val="28"/>
                <w:szCs w:val="28"/>
              </w:rPr>
              <w:t>0,05*</w:t>
            </w:r>
          </w:p>
        </w:tc>
        <w:tc>
          <w:tcPr>
            <w:tcW w:w="582" w:type="pct"/>
          </w:tcPr>
          <w:p w:rsidR="0030517B" w:rsidRPr="00CA099F" w:rsidRDefault="0030517B" w:rsidP="00E1448E">
            <w:pPr>
              <w:spacing w:after="0"/>
              <w:jc w:val="center"/>
              <w:rPr>
                <w:rFonts w:eastAsia="Times New Roman" w:cs="Times New Roman"/>
                <w:szCs w:val="28"/>
              </w:rPr>
            </w:pPr>
            <w:r w:rsidRPr="00CA099F">
              <w:rPr>
                <w:rFonts w:eastAsia="Times New Roman" w:cs="Times New Roman"/>
                <w:sz w:val="28"/>
                <w:szCs w:val="28"/>
              </w:rPr>
              <w:t>2,60±</w:t>
            </w:r>
          </w:p>
          <w:p w:rsidR="0030517B" w:rsidRPr="00CA099F" w:rsidRDefault="0030517B" w:rsidP="00E1448E">
            <w:pPr>
              <w:spacing w:after="0"/>
              <w:jc w:val="center"/>
              <w:rPr>
                <w:rFonts w:eastAsia="Times New Roman" w:cs="Times New Roman"/>
                <w:szCs w:val="28"/>
              </w:rPr>
            </w:pPr>
            <w:r w:rsidRPr="00CA099F">
              <w:rPr>
                <w:rFonts w:eastAsia="Times New Roman" w:cs="Times New Roman"/>
                <w:sz w:val="28"/>
                <w:szCs w:val="28"/>
              </w:rPr>
              <w:t>0,04</w:t>
            </w:r>
          </w:p>
        </w:tc>
        <w:tc>
          <w:tcPr>
            <w:tcW w:w="560" w:type="pct"/>
          </w:tcPr>
          <w:p w:rsidR="0030517B" w:rsidRPr="00CA099F" w:rsidRDefault="0030517B" w:rsidP="00E1448E">
            <w:pPr>
              <w:spacing w:after="0"/>
              <w:jc w:val="center"/>
              <w:rPr>
                <w:rFonts w:eastAsia="Times New Roman" w:cs="Times New Roman"/>
                <w:szCs w:val="28"/>
              </w:rPr>
            </w:pPr>
            <w:r w:rsidRPr="00CA099F">
              <w:rPr>
                <w:rFonts w:eastAsia="Times New Roman" w:cs="Times New Roman"/>
                <w:sz w:val="28"/>
                <w:szCs w:val="28"/>
              </w:rPr>
              <w:t>2,24±</w:t>
            </w:r>
          </w:p>
          <w:p w:rsidR="0030517B" w:rsidRPr="00CA099F" w:rsidRDefault="0030517B" w:rsidP="00E1448E">
            <w:pPr>
              <w:spacing w:after="0"/>
              <w:jc w:val="center"/>
              <w:rPr>
                <w:rFonts w:eastAsia="Times New Roman" w:cs="Times New Roman"/>
                <w:szCs w:val="28"/>
              </w:rPr>
            </w:pPr>
            <w:r w:rsidRPr="00CA099F">
              <w:rPr>
                <w:rFonts w:eastAsia="Times New Roman" w:cs="Times New Roman"/>
                <w:sz w:val="28"/>
                <w:szCs w:val="28"/>
              </w:rPr>
              <w:t>0,03*</w:t>
            </w:r>
          </w:p>
        </w:tc>
        <w:tc>
          <w:tcPr>
            <w:tcW w:w="532" w:type="pct"/>
          </w:tcPr>
          <w:p w:rsidR="0030517B" w:rsidRPr="00CA099F" w:rsidRDefault="0030517B" w:rsidP="00E1448E">
            <w:pPr>
              <w:spacing w:after="0"/>
              <w:jc w:val="center"/>
              <w:rPr>
                <w:rFonts w:eastAsia="Times New Roman" w:cs="Times New Roman"/>
                <w:szCs w:val="28"/>
              </w:rPr>
            </w:pPr>
            <w:r w:rsidRPr="00CA099F">
              <w:rPr>
                <w:rFonts w:eastAsia="Times New Roman" w:cs="Times New Roman"/>
                <w:sz w:val="28"/>
                <w:szCs w:val="28"/>
              </w:rPr>
              <w:t>2,29±</w:t>
            </w:r>
          </w:p>
          <w:p w:rsidR="0030517B" w:rsidRPr="00CA099F" w:rsidRDefault="0030517B" w:rsidP="00E1448E">
            <w:pPr>
              <w:spacing w:after="0"/>
              <w:jc w:val="center"/>
              <w:rPr>
                <w:rFonts w:eastAsia="Times New Roman" w:cs="Times New Roman"/>
                <w:szCs w:val="28"/>
              </w:rPr>
            </w:pPr>
            <w:r w:rsidRPr="00CA099F">
              <w:rPr>
                <w:rFonts w:eastAsia="Times New Roman" w:cs="Times New Roman"/>
                <w:sz w:val="28"/>
                <w:szCs w:val="28"/>
              </w:rPr>
              <w:t>0,02</w:t>
            </w:r>
          </w:p>
        </w:tc>
        <w:tc>
          <w:tcPr>
            <w:tcW w:w="500" w:type="pct"/>
          </w:tcPr>
          <w:p w:rsidR="0030517B" w:rsidRPr="00CA099F" w:rsidRDefault="0030517B" w:rsidP="00E1448E">
            <w:pPr>
              <w:spacing w:after="0"/>
              <w:jc w:val="center"/>
              <w:rPr>
                <w:rFonts w:eastAsia="Times New Roman" w:cs="Times New Roman"/>
                <w:szCs w:val="28"/>
              </w:rPr>
            </w:pPr>
            <w:r w:rsidRPr="00CA099F">
              <w:rPr>
                <w:rFonts w:eastAsia="Times New Roman" w:cs="Times New Roman"/>
                <w:sz w:val="28"/>
                <w:szCs w:val="28"/>
              </w:rPr>
              <w:t>2,15±</w:t>
            </w:r>
          </w:p>
          <w:p w:rsidR="0030517B" w:rsidRPr="00CA099F" w:rsidRDefault="0030517B" w:rsidP="00E1448E">
            <w:pPr>
              <w:spacing w:after="0"/>
              <w:jc w:val="center"/>
              <w:rPr>
                <w:rFonts w:eastAsia="Times New Roman" w:cs="Times New Roman"/>
                <w:szCs w:val="28"/>
              </w:rPr>
            </w:pPr>
            <w:r w:rsidRPr="00CA099F">
              <w:rPr>
                <w:rFonts w:eastAsia="Times New Roman" w:cs="Times New Roman"/>
                <w:sz w:val="28"/>
                <w:szCs w:val="28"/>
              </w:rPr>
              <w:t>0,03*</w:t>
            </w:r>
          </w:p>
        </w:tc>
      </w:tr>
      <w:tr w:rsidR="0030517B" w:rsidRPr="00CA099F" w:rsidTr="00DC5C24">
        <w:tc>
          <w:tcPr>
            <w:tcW w:w="658" w:type="pct"/>
          </w:tcPr>
          <w:p w:rsidR="0030517B" w:rsidRPr="00CA099F" w:rsidRDefault="0030517B" w:rsidP="00E1448E">
            <w:pPr>
              <w:spacing w:after="0"/>
              <w:jc w:val="center"/>
              <w:rPr>
                <w:rFonts w:eastAsia="Times New Roman" w:cs="Times New Roman"/>
                <w:szCs w:val="28"/>
              </w:rPr>
            </w:pPr>
          </w:p>
        </w:tc>
        <w:tc>
          <w:tcPr>
            <w:tcW w:w="583" w:type="pct"/>
          </w:tcPr>
          <w:p w:rsidR="0030517B" w:rsidRPr="00CA099F" w:rsidRDefault="0030517B" w:rsidP="00E1448E">
            <w:pPr>
              <w:spacing w:after="0"/>
              <w:jc w:val="center"/>
              <w:rPr>
                <w:rFonts w:eastAsia="Times New Roman" w:cs="Times New Roman"/>
                <w:szCs w:val="28"/>
              </w:rPr>
            </w:pPr>
          </w:p>
        </w:tc>
        <w:tc>
          <w:tcPr>
            <w:tcW w:w="441" w:type="pct"/>
          </w:tcPr>
          <w:p w:rsidR="0030517B" w:rsidRPr="00CA099F" w:rsidRDefault="0030517B" w:rsidP="00E1448E">
            <w:pPr>
              <w:spacing w:after="0"/>
              <w:jc w:val="center"/>
              <w:rPr>
                <w:rFonts w:eastAsia="Times New Roman" w:cs="Times New Roman"/>
                <w:szCs w:val="28"/>
              </w:rPr>
            </w:pPr>
          </w:p>
        </w:tc>
        <w:tc>
          <w:tcPr>
            <w:tcW w:w="582" w:type="pct"/>
          </w:tcPr>
          <w:p w:rsidR="0030517B" w:rsidRPr="00CA099F" w:rsidRDefault="0030517B" w:rsidP="00E1448E">
            <w:pPr>
              <w:spacing w:after="0"/>
              <w:jc w:val="center"/>
              <w:rPr>
                <w:rFonts w:eastAsia="Times New Roman" w:cs="Times New Roman"/>
                <w:szCs w:val="28"/>
              </w:rPr>
            </w:pPr>
          </w:p>
        </w:tc>
        <w:tc>
          <w:tcPr>
            <w:tcW w:w="560" w:type="pct"/>
          </w:tcPr>
          <w:p w:rsidR="0030517B" w:rsidRPr="00CA099F" w:rsidRDefault="0030517B" w:rsidP="003B7FCB">
            <w:pPr>
              <w:spacing w:after="0"/>
              <w:ind w:right="-170"/>
              <w:jc w:val="center"/>
              <w:rPr>
                <w:rFonts w:eastAsia="Times New Roman" w:cs="Times New Roman"/>
                <w:szCs w:val="28"/>
              </w:rPr>
            </w:pPr>
            <w:r w:rsidRPr="00CA099F">
              <w:rPr>
                <w:rFonts w:eastAsia="Times New Roman" w:cs="Times New Roman"/>
                <w:color w:val="000000"/>
                <w:sz w:val="28"/>
                <w:szCs w:val="28"/>
              </w:rPr>
              <w:t>р</w:t>
            </w:r>
            <w:r w:rsidRPr="00CA099F">
              <w:rPr>
                <w:rFonts w:eastAsia="Times New Roman" w:cs="Times New Roman"/>
                <w:color w:val="000000"/>
                <w:sz w:val="28"/>
                <w:szCs w:val="28"/>
                <w:vertAlign w:val="subscript"/>
              </w:rPr>
              <w:t>1</w:t>
            </w:r>
            <w:r w:rsidRPr="00CA099F">
              <w:rPr>
                <w:rFonts w:eastAsia="Times New Roman" w:cs="Times New Roman"/>
                <w:color w:val="000000"/>
                <w:sz w:val="28"/>
                <w:szCs w:val="28"/>
              </w:rPr>
              <w:t>&lt;0,01</w:t>
            </w:r>
          </w:p>
        </w:tc>
        <w:tc>
          <w:tcPr>
            <w:tcW w:w="582" w:type="pct"/>
          </w:tcPr>
          <w:p w:rsidR="0030517B" w:rsidRPr="00CA099F" w:rsidRDefault="0030517B" w:rsidP="003B7FCB">
            <w:pPr>
              <w:spacing w:after="0"/>
              <w:ind w:right="-170"/>
              <w:jc w:val="center"/>
              <w:rPr>
                <w:rFonts w:eastAsia="Times New Roman" w:cs="Times New Roman"/>
                <w:szCs w:val="28"/>
              </w:rPr>
            </w:pPr>
          </w:p>
        </w:tc>
        <w:tc>
          <w:tcPr>
            <w:tcW w:w="560" w:type="pct"/>
          </w:tcPr>
          <w:p w:rsidR="0030517B" w:rsidRPr="00CA099F" w:rsidRDefault="0030517B" w:rsidP="003B7FCB">
            <w:pPr>
              <w:spacing w:after="0"/>
              <w:ind w:right="-170"/>
              <w:jc w:val="center"/>
              <w:rPr>
                <w:rFonts w:eastAsia="Times New Roman" w:cs="Times New Roman"/>
                <w:szCs w:val="28"/>
              </w:rPr>
            </w:pPr>
            <w:r w:rsidRPr="00CA099F">
              <w:rPr>
                <w:rFonts w:eastAsia="Times New Roman" w:cs="Times New Roman"/>
                <w:color w:val="000000"/>
                <w:sz w:val="28"/>
                <w:szCs w:val="28"/>
              </w:rPr>
              <w:t>р</w:t>
            </w:r>
            <w:r w:rsidRPr="00CA099F">
              <w:rPr>
                <w:rFonts w:eastAsia="Times New Roman" w:cs="Times New Roman"/>
                <w:color w:val="000000"/>
                <w:sz w:val="28"/>
                <w:szCs w:val="28"/>
                <w:vertAlign w:val="subscript"/>
              </w:rPr>
              <w:t>2</w:t>
            </w:r>
            <w:r w:rsidRPr="00CA099F">
              <w:rPr>
                <w:rFonts w:eastAsia="Times New Roman" w:cs="Times New Roman"/>
                <w:color w:val="000000"/>
                <w:sz w:val="28"/>
                <w:szCs w:val="28"/>
              </w:rPr>
              <w:t>&lt;0,01</w:t>
            </w:r>
          </w:p>
        </w:tc>
        <w:tc>
          <w:tcPr>
            <w:tcW w:w="532" w:type="pct"/>
          </w:tcPr>
          <w:p w:rsidR="0030517B" w:rsidRPr="00CA099F" w:rsidRDefault="0030517B" w:rsidP="003B7FCB">
            <w:pPr>
              <w:spacing w:after="0"/>
              <w:ind w:right="-170"/>
              <w:jc w:val="center"/>
              <w:rPr>
                <w:rFonts w:eastAsia="Times New Roman" w:cs="Times New Roman"/>
                <w:szCs w:val="28"/>
              </w:rPr>
            </w:pPr>
          </w:p>
        </w:tc>
        <w:tc>
          <w:tcPr>
            <w:tcW w:w="500" w:type="pct"/>
          </w:tcPr>
          <w:p w:rsidR="0030517B" w:rsidRPr="00CA099F" w:rsidRDefault="0030517B" w:rsidP="00DC5C24">
            <w:pPr>
              <w:spacing w:after="0"/>
              <w:ind w:left="-62" w:right="-170"/>
              <w:jc w:val="center"/>
              <w:rPr>
                <w:rFonts w:eastAsia="Times New Roman" w:cs="Times New Roman"/>
                <w:szCs w:val="28"/>
              </w:rPr>
            </w:pPr>
            <w:r w:rsidRPr="00CA099F">
              <w:rPr>
                <w:rFonts w:eastAsia="Times New Roman" w:cs="Times New Roman"/>
                <w:color w:val="000000"/>
                <w:sz w:val="28"/>
                <w:szCs w:val="28"/>
              </w:rPr>
              <w:t>р</w:t>
            </w:r>
            <w:r w:rsidRPr="00CA099F">
              <w:rPr>
                <w:rFonts w:eastAsia="Times New Roman" w:cs="Times New Roman"/>
                <w:color w:val="000000"/>
                <w:sz w:val="28"/>
                <w:szCs w:val="28"/>
                <w:vertAlign w:val="subscript"/>
              </w:rPr>
              <w:t>3</w:t>
            </w:r>
            <w:r w:rsidRPr="00CA099F">
              <w:rPr>
                <w:rFonts w:eastAsia="Times New Roman" w:cs="Times New Roman"/>
                <w:color w:val="000000"/>
                <w:sz w:val="28"/>
                <w:szCs w:val="28"/>
              </w:rPr>
              <w:t>&lt;0,05</w:t>
            </w:r>
          </w:p>
        </w:tc>
      </w:tr>
      <w:tr w:rsidR="0030517B" w:rsidRPr="00CA099F" w:rsidTr="00DC5C24">
        <w:tc>
          <w:tcPr>
            <w:tcW w:w="658" w:type="pct"/>
          </w:tcPr>
          <w:p w:rsidR="0030517B" w:rsidRPr="00CA099F" w:rsidRDefault="0030517B" w:rsidP="00E1448E">
            <w:pPr>
              <w:spacing w:after="0"/>
              <w:jc w:val="center"/>
              <w:rPr>
                <w:rFonts w:eastAsia="Times New Roman" w:cs="Times New Roman"/>
                <w:szCs w:val="28"/>
              </w:rPr>
            </w:pPr>
            <w:r w:rsidRPr="00CA099F">
              <w:rPr>
                <w:rFonts w:eastAsia="Times New Roman" w:cs="Times New Roman"/>
                <w:sz w:val="28"/>
                <w:szCs w:val="28"/>
              </w:rPr>
              <w:t>ТК, ум.од./кг</w:t>
            </w:r>
          </w:p>
        </w:tc>
        <w:tc>
          <w:tcPr>
            <w:tcW w:w="583" w:type="pct"/>
          </w:tcPr>
          <w:p w:rsidR="0030517B" w:rsidRPr="00CA099F" w:rsidRDefault="0030517B" w:rsidP="00E1448E">
            <w:pPr>
              <w:spacing w:after="0"/>
              <w:jc w:val="center"/>
              <w:rPr>
                <w:rFonts w:eastAsia="Times New Roman" w:cs="Times New Roman"/>
                <w:szCs w:val="28"/>
              </w:rPr>
            </w:pPr>
            <w:r w:rsidRPr="00CA099F">
              <w:rPr>
                <w:rFonts w:eastAsia="Times New Roman" w:cs="Times New Roman"/>
                <w:sz w:val="28"/>
                <w:szCs w:val="28"/>
              </w:rPr>
              <w:t>4,56±</w:t>
            </w:r>
          </w:p>
          <w:p w:rsidR="0030517B" w:rsidRPr="00CA099F" w:rsidRDefault="0030517B" w:rsidP="00E1448E">
            <w:pPr>
              <w:spacing w:after="0"/>
              <w:jc w:val="center"/>
              <w:rPr>
                <w:rFonts w:eastAsia="Times New Roman" w:cs="Times New Roman"/>
                <w:szCs w:val="28"/>
              </w:rPr>
            </w:pPr>
            <w:r w:rsidRPr="00CA099F">
              <w:rPr>
                <w:rFonts w:eastAsia="Times New Roman" w:cs="Times New Roman"/>
                <w:sz w:val="28"/>
                <w:szCs w:val="28"/>
              </w:rPr>
              <w:t>0,10</w:t>
            </w:r>
          </w:p>
        </w:tc>
        <w:tc>
          <w:tcPr>
            <w:tcW w:w="441" w:type="pct"/>
          </w:tcPr>
          <w:p w:rsidR="0030517B" w:rsidRPr="00CA099F" w:rsidRDefault="0030517B" w:rsidP="00E1448E">
            <w:pPr>
              <w:spacing w:after="0"/>
              <w:jc w:val="center"/>
              <w:rPr>
                <w:rFonts w:eastAsia="Times New Roman" w:cs="Times New Roman"/>
                <w:szCs w:val="28"/>
              </w:rPr>
            </w:pPr>
            <w:r w:rsidRPr="00CA099F">
              <w:rPr>
                <w:rFonts w:eastAsia="Times New Roman" w:cs="Times New Roman"/>
                <w:sz w:val="28"/>
                <w:szCs w:val="28"/>
              </w:rPr>
              <w:t>3,79±</w:t>
            </w:r>
          </w:p>
          <w:p w:rsidR="0030517B" w:rsidRPr="00CA099F" w:rsidRDefault="0030517B" w:rsidP="00E1448E">
            <w:pPr>
              <w:spacing w:after="0"/>
              <w:jc w:val="center"/>
              <w:rPr>
                <w:rFonts w:eastAsia="Times New Roman" w:cs="Times New Roman"/>
                <w:szCs w:val="28"/>
              </w:rPr>
            </w:pPr>
            <w:r w:rsidRPr="00CA099F">
              <w:rPr>
                <w:rFonts w:eastAsia="Times New Roman" w:cs="Times New Roman"/>
                <w:sz w:val="28"/>
                <w:szCs w:val="28"/>
              </w:rPr>
              <w:t>0,08*</w:t>
            </w:r>
          </w:p>
        </w:tc>
        <w:tc>
          <w:tcPr>
            <w:tcW w:w="582" w:type="pct"/>
          </w:tcPr>
          <w:p w:rsidR="0030517B" w:rsidRPr="00CA099F" w:rsidRDefault="0030517B" w:rsidP="00E1448E">
            <w:pPr>
              <w:spacing w:after="0"/>
              <w:jc w:val="center"/>
              <w:rPr>
                <w:rFonts w:eastAsia="Times New Roman" w:cs="Times New Roman"/>
                <w:szCs w:val="28"/>
              </w:rPr>
            </w:pPr>
            <w:r w:rsidRPr="00CA099F">
              <w:rPr>
                <w:rFonts w:eastAsia="Times New Roman" w:cs="Times New Roman"/>
                <w:sz w:val="28"/>
                <w:szCs w:val="28"/>
              </w:rPr>
              <w:t>3,43±</w:t>
            </w:r>
          </w:p>
          <w:p w:rsidR="0030517B" w:rsidRPr="00CA099F" w:rsidRDefault="0030517B" w:rsidP="00E1448E">
            <w:pPr>
              <w:spacing w:after="0"/>
              <w:jc w:val="center"/>
              <w:rPr>
                <w:rFonts w:eastAsia="Times New Roman" w:cs="Times New Roman"/>
                <w:szCs w:val="28"/>
              </w:rPr>
            </w:pPr>
            <w:r w:rsidRPr="00CA099F">
              <w:rPr>
                <w:rFonts w:eastAsia="Times New Roman" w:cs="Times New Roman"/>
                <w:sz w:val="28"/>
                <w:szCs w:val="28"/>
              </w:rPr>
              <w:t>0,04</w:t>
            </w:r>
          </w:p>
        </w:tc>
        <w:tc>
          <w:tcPr>
            <w:tcW w:w="560" w:type="pct"/>
          </w:tcPr>
          <w:p w:rsidR="0030517B" w:rsidRPr="00CA099F" w:rsidRDefault="0030517B" w:rsidP="00E1448E">
            <w:pPr>
              <w:spacing w:after="0"/>
              <w:jc w:val="center"/>
              <w:rPr>
                <w:rFonts w:eastAsia="Times New Roman" w:cs="Times New Roman"/>
                <w:szCs w:val="28"/>
              </w:rPr>
            </w:pPr>
            <w:r w:rsidRPr="00CA099F">
              <w:rPr>
                <w:rFonts w:eastAsia="Times New Roman" w:cs="Times New Roman"/>
                <w:sz w:val="28"/>
                <w:szCs w:val="28"/>
              </w:rPr>
              <w:t>2,68±</w:t>
            </w:r>
          </w:p>
          <w:p w:rsidR="0030517B" w:rsidRPr="00CA099F" w:rsidRDefault="0030517B" w:rsidP="00E1448E">
            <w:pPr>
              <w:spacing w:after="0"/>
              <w:jc w:val="center"/>
              <w:rPr>
                <w:rFonts w:eastAsia="Times New Roman" w:cs="Times New Roman"/>
                <w:szCs w:val="28"/>
              </w:rPr>
            </w:pPr>
            <w:r w:rsidRPr="00CA099F">
              <w:rPr>
                <w:rFonts w:eastAsia="Times New Roman" w:cs="Times New Roman"/>
                <w:sz w:val="28"/>
                <w:szCs w:val="28"/>
              </w:rPr>
              <w:t>0,03*</w:t>
            </w:r>
          </w:p>
        </w:tc>
        <w:tc>
          <w:tcPr>
            <w:tcW w:w="582" w:type="pct"/>
          </w:tcPr>
          <w:p w:rsidR="0030517B" w:rsidRPr="00CA099F" w:rsidRDefault="0030517B" w:rsidP="00E1448E">
            <w:pPr>
              <w:spacing w:after="0"/>
              <w:jc w:val="center"/>
              <w:rPr>
                <w:rFonts w:eastAsia="Times New Roman" w:cs="Times New Roman"/>
                <w:szCs w:val="28"/>
              </w:rPr>
            </w:pPr>
            <w:r w:rsidRPr="00CA099F">
              <w:rPr>
                <w:rFonts w:eastAsia="Times New Roman" w:cs="Times New Roman"/>
                <w:sz w:val="28"/>
                <w:szCs w:val="28"/>
              </w:rPr>
              <w:t>2,69±</w:t>
            </w:r>
          </w:p>
          <w:p w:rsidR="0030517B" w:rsidRPr="00CA099F" w:rsidRDefault="0030517B" w:rsidP="00E1448E">
            <w:pPr>
              <w:spacing w:after="0"/>
              <w:jc w:val="center"/>
              <w:rPr>
                <w:rFonts w:eastAsia="Times New Roman" w:cs="Times New Roman"/>
                <w:szCs w:val="28"/>
              </w:rPr>
            </w:pPr>
            <w:r w:rsidRPr="00CA099F">
              <w:rPr>
                <w:rFonts w:eastAsia="Times New Roman" w:cs="Times New Roman"/>
                <w:sz w:val="28"/>
                <w:szCs w:val="28"/>
              </w:rPr>
              <w:t>0,03</w:t>
            </w:r>
          </w:p>
        </w:tc>
        <w:tc>
          <w:tcPr>
            <w:tcW w:w="560" w:type="pct"/>
          </w:tcPr>
          <w:p w:rsidR="0030517B" w:rsidRPr="00CA099F" w:rsidRDefault="0030517B" w:rsidP="00E1448E">
            <w:pPr>
              <w:spacing w:after="0"/>
              <w:jc w:val="center"/>
              <w:rPr>
                <w:rFonts w:eastAsia="Times New Roman" w:cs="Times New Roman"/>
                <w:szCs w:val="28"/>
              </w:rPr>
            </w:pPr>
            <w:r w:rsidRPr="00CA099F">
              <w:rPr>
                <w:rFonts w:eastAsia="Times New Roman" w:cs="Times New Roman"/>
                <w:sz w:val="28"/>
                <w:szCs w:val="28"/>
              </w:rPr>
              <w:t>2,32±</w:t>
            </w:r>
          </w:p>
          <w:p w:rsidR="0030517B" w:rsidRPr="00CA099F" w:rsidRDefault="0030517B" w:rsidP="00E1448E">
            <w:pPr>
              <w:spacing w:after="0"/>
              <w:jc w:val="center"/>
              <w:rPr>
                <w:rFonts w:eastAsia="Times New Roman" w:cs="Times New Roman"/>
                <w:szCs w:val="28"/>
              </w:rPr>
            </w:pPr>
            <w:r w:rsidRPr="00CA099F">
              <w:rPr>
                <w:rFonts w:eastAsia="Times New Roman" w:cs="Times New Roman"/>
                <w:sz w:val="28"/>
                <w:szCs w:val="28"/>
              </w:rPr>
              <w:t>0,07*</w:t>
            </w:r>
          </w:p>
        </w:tc>
        <w:tc>
          <w:tcPr>
            <w:tcW w:w="532" w:type="pct"/>
          </w:tcPr>
          <w:p w:rsidR="0030517B" w:rsidRPr="00CA099F" w:rsidRDefault="0030517B" w:rsidP="00E1448E">
            <w:pPr>
              <w:spacing w:after="0"/>
              <w:jc w:val="center"/>
              <w:rPr>
                <w:rFonts w:eastAsia="Times New Roman" w:cs="Times New Roman"/>
                <w:szCs w:val="28"/>
              </w:rPr>
            </w:pPr>
            <w:r w:rsidRPr="00CA099F">
              <w:rPr>
                <w:rFonts w:eastAsia="Times New Roman" w:cs="Times New Roman"/>
                <w:sz w:val="28"/>
                <w:szCs w:val="28"/>
              </w:rPr>
              <w:t>2,42±</w:t>
            </w:r>
          </w:p>
          <w:p w:rsidR="0030517B" w:rsidRPr="00CA099F" w:rsidRDefault="0030517B" w:rsidP="00E1448E">
            <w:pPr>
              <w:spacing w:after="0"/>
              <w:jc w:val="center"/>
              <w:rPr>
                <w:rFonts w:eastAsia="Times New Roman" w:cs="Times New Roman"/>
                <w:szCs w:val="28"/>
              </w:rPr>
            </w:pPr>
            <w:r w:rsidRPr="00CA099F">
              <w:rPr>
                <w:rFonts w:eastAsia="Times New Roman" w:cs="Times New Roman"/>
                <w:sz w:val="28"/>
                <w:szCs w:val="28"/>
              </w:rPr>
              <w:t>0,03</w:t>
            </w:r>
          </w:p>
        </w:tc>
        <w:tc>
          <w:tcPr>
            <w:tcW w:w="500" w:type="pct"/>
          </w:tcPr>
          <w:p w:rsidR="0030517B" w:rsidRPr="00CA099F" w:rsidRDefault="0030517B" w:rsidP="00E1448E">
            <w:pPr>
              <w:spacing w:after="0"/>
              <w:jc w:val="center"/>
              <w:rPr>
                <w:rFonts w:eastAsia="Times New Roman" w:cs="Times New Roman"/>
                <w:szCs w:val="28"/>
              </w:rPr>
            </w:pPr>
            <w:r w:rsidRPr="00CA099F">
              <w:rPr>
                <w:rFonts w:eastAsia="Times New Roman" w:cs="Times New Roman"/>
                <w:sz w:val="28"/>
                <w:szCs w:val="28"/>
              </w:rPr>
              <w:t>2,21±</w:t>
            </w:r>
          </w:p>
          <w:p w:rsidR="0030517B" w:rsidRPr="00CA099F" w:rsidRDefault="0030517B" w:rsidP="00E1448E">
            <w:pPr>
              <w:spacing w:after="0"/>
              <w:jc w:val="center"/>
              <w:rPr>
                <w:rFonts w:eastAsia="Times New Roman" w:cs="Times New Roman"/>
                <w:szCs w:val="28"/>
              </w:rPr>
            </w:pPr>
            <w:r w:rsidRPr="00CA099F">
              <w:rPr>
                <w:rFonts w:eastAsia="Times New Roman" w:cs="Times New Roman"/>
                <w:sz w:val="28"/>
                <w:szCs w:val="28"/>
              </w:rPr>
              <w:t>0,03*</w:t>
            </w:r>
          </w:p>
        </w:tc>
      </w:tr>
      <w:tr w:rsidR="0030517B" w:rsidRPr="00CA099F" w:rsidTr="00DC5C24">
        <w:tc>
          <w:tcPr>
            <w:tcW w:w="658" w:type="pct"/>
          </w:tcPr>
          <w:p w:rsidR="0030517B" w:rsidRPr="00CA099F" w:rsidRDefault="0030517B" w:rsidP="00E1448E">
            <w:pPr>
              <w:spacing w:after="0"/>
              <w:jc w:val="center"/>
              <w:rPr>
                <w:rFonts w:eastAsia="Times New Roman" w:cs="Times New Roman"/>
                <w:szCs w:val="28"/>
              </w:rPr>
            </w:pPr>
          </w:p>
        </w:tc>
        <w:tc>
          <w:tcPr>
            <w:tcW w:w="583" w:type="pct"/>
          </w:tcPr>
          <w:p w:rsidR="0030517B" w:rsidRPr="00CA099F" w:rsidRDefault="0030517B" w:rsidP="00E1448E">
            <w:pPr>
              <w:spacing w:after="0"/>
              <w:jc w:val="center"/>
              <w:rPr>
                <w:rFonts w:eastAsia="Times New Roman" w:cs="Times New Roman"/>
                <w:szCs w:val="28"/>
              </w:rPr>
            </w:pPr>
          </w:p>
        </w:tc>
        <w:tc>
          <w:tcPr>
            <w:tcW w:w="441" w:type="pct"/>
          </w:tcPr>
          <w:p w:rsidR="0030517B" w:rsidRPr="00CA099F" w:rsidRDefault="0030517B" w:rsidP="00E1448E">
            <w:pPr>
              <w:spacing w:after="0"/>
              <w:jc w:val="center"/>
              <w:rPr>
                <w:rFonts w:eastAsia="Times New Roman" w:cs="Times New Roman"/>
                <w:szCs w:val="28"/>
              </w:rPr>
            </w:pPr>
          </w:p>
        </w:tc>
        <w:tc>
          <w:tcPr>
            <w:tcW w:w="582" w:type="pct"/>
          </w:tcPr>
          <w:p w:rsidR="0030517B" w:rsidRPr="00CA099F" w:rsidRDefault="0030517B" w:rsidP="00E1448E">
            <w:pPr>
              <w:spacing w:after="0"/>
              <w:jc w:val="center"/>
              <w:rPr>
                <w:rFonts w:eastAsia="Times New Roman" w:cs="Times New Roman"/>
                <w:szCs w:val="28"/>
              </w:rPr>
            </w:pPr>
          </w:p>
        </w:tc>
        <w:tc>
          <w:tcPr>
            <w:tcW w:w="560" w:type="pct"/>
          </w:tcPr>
          <w:p w:rsidR="0030517B" w:rsidRPr="00CA099F" w:rsidRDefault="0030517B" w:rsidP="00DC5C24">
            <w:pPr>
              <w:spacing w:after="0"/>
              <w:ind w:left="-61" w:right="-170"/>
              <w:jc w:val="center"/>
              <w:rPr>
                <w:rFonts w:eastAsia="Times New Roman" w:cs="Times New Roman"/>
                <w:szCs w:val="28"/>
              </w:rPr>
            </w:pPr>
            <w:r w:rsidRPr="00CA099F">
              <w:rPr>
                <w:rFonts w:eastAsia="Times New Roman" w:cs="Times New Roman"/>
                <w:color w:val="000000"/>
                <w:sz w:val="28"/>
                <w:szCs w:val="28"/>
              </w:rPr>
              <w:t>р</w:t>
            </w:r>
            <w:r w:rsidRPr="00CA099F">
              <w:rPr>
                <w:rFonts w:eastAsia="Times New Roman" w:cs="Times New Roman"/>
                <w:color w:val="000000"/>
                <w:sz w:val="28"/>
                <w:szCs w:val="28"/>
                <w:vertAlign w:val="subscript"/>
              </w:rPr>
              <w:t>1</w:t>
            </w:r>
            <w:r w:rsidRPr="00CA099F">
              <w:rPr>
                <w:rFonts w:eastAsia="Times New Roman" w:cs="Times New Roman"/>
                <w:color w:val="000000"/>
                <w:sz w:val="28"/>
                <w:szCs w:val="28"/>
              </w:rPr>
              <w:t>&lt;0,01</w:t>
            </w:r>
          </w:p>
        </w:tc>
        <w:tc>
          <w:tcPr>
            <w:tcW w:w="582" w:type="pct"/>
          </w:tcPr>
          <w:p w:rsidR="0030517B" w:rsidRPr="00CA099F" w:rsidRDefault="0030517B" w:rsidP="00DC5C24">
            <w:pPr>
              <w:spacing w:after="0"/>
              <w:ind w:left="-61" w:right="-170"/>
              <w:jc w:val="center"/>
              <w:rPr>
                <w:rFonts w:eastAsia="Times New Roman" w:cs="Times New Roman"/>
                <w:szCs w:val="28"/>
              </w:rPr>
            </w:pPr>
          </w:p>
        </w:tc>
        <w:tc>
          <w:tcPr>
            <w:tcW w:w="560" w:type="pct"/>
          </w:tcPr>
          <w:p w:rsidR="0030517B" w:rsidRPr="00CA099F" w:rsidRDefault="0030517B" w:rsidP="00DC5C24">
            <w:pPr>
              <w:spacing w:after="0"/>
              <w:ind w:left="-61" w:right="-170"/>
              <w:jc w:val="center"/>
              <w:rPr>
                <w:rFonts w:eastAsia="Times New Roman" w:cs="Times New Roman"/>
                <w:szCs w:val="28"/>
              </w:rPr>
            </w:pPr>
            <w:r w:rsidRPr="00CA099F">
              <w:rPr>
                <w:rFonts w:eastAsia="Times New Roman" w:cs="Times New Roman"/>
                <w:color w:val="000000"/>
                <w:sz w:val="28"/>
                <w:szCs w:val="28"/>
              </w:rPr>
              <w:t>р</w:t>
            </w:r>
            <w:r w:rsidRPr="00CA099F">
              <w:rPr>
                <w:rFonts w:eastAsia="Times New Roman" w:cs="Times New Roman"/>
                <w:color w:val="000000"/>
                <w:sz w:val="28"/>
                <w:szCs w:val="28"/>
                <w:vertAlign w:val="subscript"/>
              </w:rPr>
              <w:t>2</w:t>
            </w:r>
            <w:r w:rsidRPr="00CA099F">
              <w:rPr>
                <w:rFonts w:eastAsia="Times New Roman" w:cs="Times New Roman"/>
                <w:color w:val="000000"/>
                <w:sz w:val="28"/>
                <w:szCs w:val="28"/>
              </w:rPr>
              <w:t>&lt;0,01</w:t>
            </w:r>
          </w:p>
        </w:tc>
        <w:tc>
          <w:tcPr>
            <w:tcW w:w="532" w:type="pct"/>
          </w:tcPr>
          <w:p w:rsidR="0030517B" w:rsidRPr="00CA099F" w:rsidRDefault="0030517B" w:rsidP="00DC5C24">
            <w:pPr>
              <w:spacing w:after="0"/>
              <w:ind w:left="-61" w:right="-170"/>
              <w:jc w:val="center"/>
              <w:rPr>
                <w:rFonts w:eastAsia="Times New Roman" w:cs="Times New Roman"/>
                <w:szCs w:val="28"/>
              </w:rPr>
            </w:pPr>
          </w:p>
        </w:tc>
        <w:tc>
          <w:tcPr>
            <w:tcW w:w="500" w:type="pct"/>
          </w:tcPr>
          <w:p w:rsidR="0030517B" w:rsidRPr="00CA099F" w:rsidRDefault="0030517B" w:rsidP="00DC5C24">
            <w:pPr>
              <w:spacing w:after="0"/>
              <w:ind w:left="-61" w:right="-170"/>
              <w:jc w:val="center"/>
              <w:rPr>
                <w:rFonts w:eastAsia="Times New Roman" w:cs="Times New Roman"/>
                <w:szCs w:val="28"/>
              </w:rPr>
            </w:pPr>
            <w:r w:rsidRPr="00CA099F">
              <w:rPr>
                <w:rFonts w:eastAsia="Times New Roman" w:cs="Times New Roman"/>
                <w:color w:val="000000"/>
                <w:sz w:val="28"/>
                <w:szCs w:val="28"/>
              </w:rPr>
              <w:t>р</w:t>
            </w:r>
            <w:r w:rsidRPr="00CA099F">
              <w:rPr>
                <w:rFonts w:eastAsia="Times New Roman" w:cs="Times New Roman"/>
                <w:color w:val="000000"/>
                <w:sz w:val="28"/>
                <w:szCs w:val="28"/>
                <w:vertAlign w:val="subscript"/>
              </w:rPr>
              <w:t>3</w:t>
            </w:r>
            <w:r w:rsidRPr="00CA099F">
              <w:rPr>
                <w:rFonts w:eastAsia="Times New Roman" w:cs="Times New Roman"/>
                <w:color w:val="000000"/>
                <w:sz w:val="28"/>
                <w:szCs w:val="28"/>
              </w:rPr>
              <w:t>&lt;0,05</w:t>
            </w:r>
          </w:p>
        </w:tc>
      </w:tr>
      <w:tr w:rsidR="0030517B" w:rsidRPr="00CA099F" w:rsidTr="00DC5C24">
        <w:tc>
          <w:tcPr>
            <w:tcW w:w="658" w:type="pct"/>
          </w:tcPr>
          <w:p w:rsidR="0030517B" w:rsidRPr="00CA099F" w:rsidRDefault="0030517B" w:rsidP="00065B03">
            <w:pPr>
              <w:spacing w:after="0"/>
              <w:ind w:right="-118"/>
              <w:jc w:val="center"/>
              <w:rPr>
                <w:rFonts w:eastAsia="Times New Roman" w:cs="Times New Roman"/>
                <w:szCs w:val="28"/>
              </w:rPr>
            </w:pPr>
            <w:r w:rsidRPr="00CA099F">
              <w:rPr>
                <w:rFonts w:eastAsia="Times New Roman" w:cs="Times New Roman"/>
                <w:sz w:val="28"/>
                <w:szCs w:val="28"/>
              </w:rPr>
              <w:t>ТБК-АП, ммоль/кг</w:t>
            </w:r>
          </w:p>
        </w:tc>
        <w:tc>
          <w:tcPr>
            <w:tcW w:w="583" w:type="pct"/>
          </w:tcPr>
          <w:p w:rsidR="0030517B" w:rsidRPr="00CA099F" w:rsidRDefault="0030517B" w:rsidP="00E1448E">
            <w:pPr>
              <w:spacing w:after="0"/>
              <w:jc w:val="center"/>
              <w:rPr>
                <w:rFonts w:eastAsia="Times New Roman" w:cs="Times New Roman"/>
                <w:szCs w:val="28"/>
              </w:rPr>
            </w:pPr>
            <w:r w:rsidRPr="00CA099F">
              <w:rPr>
                <w:rFonts w:eastAsia="Times New Roman" w:cs="Times New Roman"/>
                <w:sz w:val="28"/>
                <w:szCs w:val="28"/>
              </w:rPr>
              <w:t>4,63±</w:t>
            </w:r>
          </w:p>
          <w:p w:rsidR="0030517B" w:rsidRPr="00CA099F" w:rsidRDefault="0030517B" w:rsidP="00E1448E">
            <w:pPr>
              <w:spacing w:after="0"/>
              <w:jc w:val="center"/>
              <w:rPr>
                <w:rFonts w:eastAsia="Times New Roman" w:cs="Times New Roman"/>
                <w:szCs w:val="28"/>
              </w:rPr>
            </w:pPr>
            <w:r w:rsidRPr="00CA099F">
              <w:rPr>
                <w:rFonts w:eastAsia="Times New Roman" w:cs="Times New Roman"/>
                <w:sz w:val="28"/>
                <w:szCs w:val="28"/>
              </w:rPr>
              <w:t>0,07</w:t>
            </w:r>
          </w:p>
          <w:p w:rsidR="0030517B" w:rsidRPr="00CA099F" w:rsidRDefault="0030517B" w:rsidP="00E1448E">
            <w:pPr>
              <w:spacing w:after="0"/>
              <w:jc w:val="center"/>
              <w:rPr>
                <w:rFonts w:eastAsia="Times New Roman" w:cs="Times New Roman"/>
                <w:szCs w:val="28"/>
              </w:rPr>
            </w:pPr>
          </w:p>
        </w:tc>
        <w:tc>
          <w:tcPr>
            <w:tcW w:w="441" w:type="pct"/>
          </w:tcPr>
          <w:p w:rsidR="0030517B" w:rsidRPr="00CA099F" w:rsidRDefault="0030517B" w:rsidP="00E1448E">
            <w:pPr>
              <w:spacing w:after="0"/>
              <w:jc w:val="center"/>
              <w:rPr>
                <w:rFonts w:eastAsia="Times New Roman" w:cs="Times New Roman"/>
                <w:szCs w:val="28"/>
              </w:rPr>
            </w:pPr>
            <w:r w:rsidRPr="00CA099F">
              <w:rPr>
                <w:rFonts w:eastAsia="Times New Roman" w:cs="Times New Roman"/>
                <w:sz w:val="28"/>
                <w:szCs w:val="28"/>
              </w:rPr>
              <w:t>3,81±</w:t>
            </w:r>
          </w:p>
          <w:p w:rsidR="0030517B" w:rsidRPr="00CA099F" w:rsidRDefault="0030517B" w:rsidP="00E1448E">
            <w:pPr>
              <w:spacing w:after="0"/>
              <w:jc w:val="center"/>
              <w:rPr>
                <w:rFonts w:eastAsia="Times New Roman" w:cs="Times New Roman"/>
                <w:szCs w:val="28"/>
              </w:rPr>
            </w:pPr>
            <w:r w:rsidRPr="00CA099F">
              <w:rPr>
                <w:rFonts w:eastAsia="Times New Roman" w:cs="Times New Roman"/>
                <w:sz w:val="28"/>
                <w:szCs w:val="28"/>
              </w:rPr>
              <w:t>0,07*</w:t>
            </w:r>
          </w:p>
        </w:tc>
        <w:tc>
          <w:tcPr>
            <w:tcW w:w="582" w:type="pct"/>
          </w:tcPr>
          <w:p w:rsidR="0030517B" w:rsidRPr="00CA099F" w:rsidRDefault="0030517B" w:rsidP="00E1448E">
            <w:pPr>
              <w:spacing w:after="0"/>
              <w:jc w:val="center"/>
              <w:rPr>
                <w:rFonts w:eastAsia="Times New Roman" w:cs="Times New Roman"/>
                <w:szCs w:val="28"/>
              </w:rPr>
            </w:pPr>
            <w:r w:rsidRPr="00CA099F">
              <w:rPr>
                <w:rFonts w:eastAsia="Times New Roman" w:cs="Times New Roman"/>
                <w:sz w:val="28"/>
                <w:szCs w:val="28"/>
              </w:rPr>
              <w:t>3,70±</w:t>
            </w:r>
          </w:p>
          <w:p w:rsidR="0030517B" w:rsidRPr="00CA099F" w:rsidRDefault="0030517B" w:rsidP="00E1448E">
            <w:pPr>
              <w:spacing w:after="0"/>
              <w:jc w:val="center"/>
              <w:rPr>
                <w:rFonts w:eastAsia="Times New Roman" w:cs="Times New Roman"/>
                <w:szCs w:val="28"/>
              </w:rPr>
            </w:pPr>
            <w:r w:rsidRPr="00CA099F">
              <w:rPr>
                <w:rFonts w:eastAsia="Times New Roman" w:cs="Times New Roman"/>
                <w:sz w:val="28"/>
                <w:szCs w:val="28"/>
              </w:rPr>
              <w:t>0,03</w:t>
            </w:r>
          </w:p>
        </w:tc>
        <w:tc>
          <w:tcPr>
            <w:tcW w:w="560" w:type="pct"/>
          </w:tcPr>
          <w:p w:rsidR="0030517B" w:rsidRPr="00CA099F" w:rsidRDefault="0030517B" w:rsidP="00E1448E">
            <w:pPr>
              <w:spacing w:after="0"/>
              <w:jc w:val="center"/>
              <w:rPr>
                <w:rFonts w:eastAsia="Times New Roman" w:cs="Times New Roman"/>
                <w:szCs w:val="28"/>
              </w:rPr>
            </w:pPr>
            <w:r w:rsidRPr="00CA099F">
              <w:rPr>
                <w:rFonts w:eastAsia="Times New Roman" w:cs="Times New Roman"/>
                <w:sz w:val="28"/>
                <w:szCs w:val="28"/>
              </w:rPr>
              <w:t>2,86±</w:t>
            </w:r>
          </w:p>
          <w:p w:rsidR="0030517B" w:rsidRPr="00CA099F" w:rsidRDefault="0030517B" w:rsidP="00E1448E">
            <w:pPr>
              <w:spacing w:after="0"/>
              <w:jc w:val="center"/>
              <w:rPr>
                <w:rFonts w:eastAsia="Times New Roman" w:cs="Times New Roman"/>
                <w:szCs w:val="28"/>
              </w:rPr>
            </w:pPr>
            <w:r w:rsidRPr="00CA099F">
              <w:rPr>
                <w:rFonts w:eastAsia="Times New Roman" w:cs="Times New Roman"/>
                <w:sz w:val="28"/>
                <w:szCs w:val="28"/>
              </w:rPr>
              <w:t>0,03*</w:t>
            </w:r>
          </w:p>
        </w:tc>
        <w:tc>
          <w:tcPr>
            <w:tcW w:w="582" w:type="pct"/>
          </w:tcPr>
          <w:p w:rsidR="0030517B" w:rsidRPr="00CA099F" w:rsidRDefault="0030517B" w:rsidP="00E1448E">
            <w:pPr>
              <w:spacing w:after="0"/>
              <w:jc w:val="center"/>
              <w:rPr>
                <w:rFonts w:eastAsia="Times New Roman" w:cs="Times New Roman"/>
                <w:szCs w:val="28"/>
              </w:rPr>
            </w:pPr>
            <w:r w:rsidRPr="00CA099F">
              <w:rPr>
                <w:rFonts w:eastAsia="Times New Roman" w:cs="Times New Roman"/>
                <w:sz w:val="28"/>
                <w:szCs w:val="28"/>
              </w:rPr>
              <w:t>2,79±</w:t>
            </w:r>
          </w:p>
          <w:p w:rsidR="0030517B" w:rsidRPr="00CA099F" w:rsidRDefault="0030517B" w:rsidP="00E1448E">
            <w:pPr>
              <w:spacing w:after="0"/>
              <w:jc w:val="center"/>
              <w:rPr>
                <w:rFonts w:eastAsia="Times New Roman" w:cs="Times New Roman"/>
                <w:szCs w:val="28"/>
              </w:rPr>
            </w:pPr>
            <w:r w:rsidRPr="00CA099F">
              <w:rPr>
                <w:rFonts w:eastAsia="Times New Roman" w:cs="Times New Roman"/>
                <w:sz w:val="28"/>
                <w:szCs w:val="28"/>
              </w:rPr>
              <w:t>0,03</w:t>
            </w:r>
          </w:p>
        </w:tc>
        <w:tc>
          <w:tcPr>
            <w:tcW w:w="560" w:type="pct"/>
          </w:tcPr>
          <w:p w:rsidR="0030517B" w:rsidRPr="00CA099F" w:rsidRDefault="0030517B" w:rsidP="00E1448E">
            <w:pPr>
              <w:spacing w:after="0"/>
              <w:jc w:val="center"/>
              <w:rPr>
                <w:rFonts w:eastAsia="Times New Roman" w:cs="Times New Roman"/>
                <w:szCs w:val="28"/>
              </w:rPr>
            </w:pPr>
            <w:r w:rsidRPr="00CA099F">
              <w:rPr>
                <w:rFonts w:eastAsia="Times New Roman" w:cs="Times New Roman"/>
                <w:sz w:val="28"/>
                <w:szCs w:val="28"/>
              </w:rPr>
              <w:t>2,65±</w:t>
            </w:r>
          </w:p>
          <w:p w:rsidR="0030517B" w:rsidRPr="00CA099F" w:rsidRDefault="0030517B" w:rsidP="00E1448E">
            <w:pPr>
              <w:spacing w:after="0"/>
              <w:jc w:val="center"/>
              <w:rPr>
                <w:rFonts w:eastAsia="Times New Roman" w:cs="Times New Roman"/>
                <w:szCs w:val="28"/>
              </w:rPr>
            </w:pPr>
            <w:r w:rsidRPr="00CA099F">
              <w:rPr>
                <w:rFonts w:eastAsia="Times New Roman" w:cs="Times New Roman"/>
                <w:sz w:val="28"/>
                <w:szCs w:val="28"/>
              </w:rPr>
              <w:t>0,06*</w:t>
            </w:r>
          </w:p>
        </w:tc>
        <w:tc>
          <w:tcPr>
            <w:tcW w:w="532" w:type="pct"/>
          </w:tcPr>
          <w:p w:rsidR="0030517B" w:rsidRPr="00CA099F" w:rsidRDefault="0030517B" w:rsidP="00E1448E">
            <w:pPr>
              <w:spacing w:after="0"/>
              <w:jc w:val="center"/>
              <w:rPr>
                <w:rFonts w:eastAsia="Times New Roman" w:cs="Times New Roman"/>
                <w:szCs w:val="28"/>
              </w:rPr>
            </w:pPr>
            <w:r w:rsidRPr="00CA099F">
              <w:rPr>
                <w:rFonts w:eastAsia="Times New Roman" w:cs="Times New Roman"/>
                <w:sz w:val="28"/>
                <w:szCs w:val="28"/>
              </w:rPr>
              <w:t>2,64±</w:t>
            </w:r>
          </w:p>
          <w:p w:rsidR="0030517B" w:rsidRPr="00CA099F" w:rsidRDefault="0030517B" w:rsidP="00E1448E">
            <w:pPr>
              <w:spacing w:after="0"/>
              <w:jc w:val="center"/>
              <w:rPr>
                <w:rFonts w:eastAsia="Times New Roman" w:cs="Times New Roman"/>
                <w:szCs w:val="28"/>
              </w:rPr>
            </w:pPr>
            <w:r w:rsidRPr="00CA099F">
              <w:rPr>
                <w:rFonts w:eastAsia="Times New Roman" w:cs="Times New Roman"/>
                <w:sz w:val="28"/>
                <w:szCs w:val="28"/>
              </w:rPr>
              <w:t>0,03</w:t>
            </w:r>
          </w:p>
        </w:tc>
        <w:tc>
          <w:tcPr>
            <w:tcW w:w="500" w:type="pct"/>
          </w:tcPr>
          <w:p w:rsidR="0030517B" w:rsidRPr="00CA099F" w:rsidRDefault="0030517B" w:rsidP="00E1448E">
            <w:pPr>
              <w:spacing w:after="0"/>
              <w:jc w:val="center"/>
              <w:rPr>
                <w:rFonts w:eastAsia="Times New Roman" w:cs="Times New Roman"/>
                <w:szCs w:val="28"/>
              </w:rPr>
            </w:pPr>
            <w:r w:rsidRPr="00CA099F">
              <w:rPr>
                <w:rFonts w:eastAsia="Times New Roman" w:cs="Times New Roman"/>
                <w:sz w:val="28"/>
                <w:szCs w:val="28"/>
              </w:rPr>
              <w:t>2,56±</w:t>
            </w:r>
          </w:p>
          <w:p w:rsidR="0030517B" w:rsidRPr="00CA099F" w:rsidRDefault="0030517B" w:rsidP="00E1448E">
            <w:pPr>
              <w:spacing w:after="0"/>
              <w:jc w:val="center"/>
              <w:rPr>
                <w:rFonts w:eastAsia="Times New Roman" w:cs="Times New Roman"/>
                <w:szCs w:val="28"/>
              </w:rPr>
            </w:pPr>
            <w:r w:rsidRPr="00CA099F">
              <w:rPr>
                <w:rFonts w:eastAsia="Times New Roman" w:cs="Times New Roman"/>
                <w:sz w:val="28"/>
                <w:szCs w:val="28"/>
              </w:rPr>
              <w:t>0,05</w:t>
            </w:r>
          </w:p>
        </w:tc>
      </w:tr>
      <w:tr w:rsidR="0030517B" w:rsidRPr="00CA099F" w:rsidTr="00DC5C24">
        <w:tc>
          <w:tcPr>
            <w:tcW w:w="658" w:type="pct"/>
          </w:tcPr>
          <w:p w:rsidR="0030517B" w:rsidRPr="00CA099F" w:rsidRDefault="0030517B" w:rsidP="00E1448E">
            <w:pPr>
              <w:spacing w:after="0"/>
              <w:jc w:val="center"/>
              <w:rPr>
                <w:rFonts w:eastAsia="Times New Roman" w:cs="Times New Roman"/>
                <w:szCs w:val="28"/>
              </w:rPr>
            </w:pPr>
          </w:p>
        </w:tc>
        <w:tc>
          <w:tcPr>
            <w:tcW w:w="583" w:type="pct"/>
          </w:tcPr>
          <w:p w:rsidR="0030517B" w:rsidRPr="00CA099F" w:rsidRDefault="0030517B" w:rsidP="00E1448E">
            <w:pPr>
              <w:spacing w:after="0"/>
              <w:jc w:val="center"/>
              <w:rPr>
                <w:rFonts w:eastAsia="Times New Roman" w:cs="Times New Roman"/>
                <w:szCs w:val="28"/>
              </w:rPr>
            </w:pPr>
          </w:p>
        </w:tc>
        <w:tc>
          <w:tcPr>
            <w:tcW w:w="441" w:type="pct"/>
          </w:tcPr>
          <w:p w:rsidR="0030517B" w:rsidRPr="00CA099F" w:rsidRDefault="0030517B" w:rsidP="00E1448E">
            <w:pPr>
              <w:spacing w:after="0"/>
              <w:jc w:val="center"/>
              <w:rPr>
                <w:rFonts w:eastAsia="Times New Roman" w:cs="Times New Roman"/>
                <w:szCs w:val="28"/>
              </w:rPr>
            </w:pPr>
          </w:p>
        </w:tc>
        <w:tc>
          <w:tcPr>
            <w:tcW w:w="582" w:type="pct"/>
          </w:tcPr>
          <w:p w:rsidR="0030517B" w:rsidRPr="00CA099F" w:rsidRDefault="0030517B" w:rsidP="00E1448E">
            <w:pPr>
              <w:spacing w:after="0"/>
              <w:jc w:val="center"/>
              <w:rPr>
                <w:rFonts w:eastAsia="Times New Roman" w:cs="Times New Roman"/>
                <w:szCs w:val="28"/>
              </w:rPr>
            </w:pPr>
          </w:p>
        </w:tc>
        <w:tc>
          <w:tcPr>
            <w:tcW w:w="560" w:type="pct"/>
          </w:tcPr>
          <w:p w:rsidR="0030517B" w:rsidRPr="00CA099F" w:rsidRDefault="0030517B" w:rsidP="001C5630">
            <w:pPr>
              <w:spacing w:after="0"/>
              <w:ind w:right="-53"/>
              <w:jc w:val="center"/>
              <w:rPr>
                <w:rFonts w:eastAsia="Times New Roman" w:cs="Times New Roman"/>
                <w:szCs w:val="28"/>
              </w:rPr>
            </w:pPr>
            <w:r w:rsidRPr="00CA099F">
              <w:rPr>
                <w:rFonts w:eastAsia="Times New Roman" w:cs="Times New Roman"/>
                <w:color w:val="000000"/>
                <w:sz w:val="28"/>
                <w:szCs w:val="28"/>
              </w:rPr>
              <w:t>р</w:t>
            </w:r>
            <w:r w:rsidRPr="00CA099F">
              <w:rPr>
                <w:rFonts w:eastAsia="Times New Roman" w:cs="Times New Roman"/>
                <w:color w:val="000000"/>
                <w:sz w:val="28"/>
                <w:szCs w:val="28"/>
                <w:vertAlign w:val="subscript"/>
              </w:rPr>
              <w:t>1</w:t>
            </w:r>
            <w:r w:rsidRPr="00CA099F">
              <w:rPr>
                <w:rFonts w:eastAsia="Times New Roman" w:cs="Times New Roman"/>
                <w:color w:val="000000"/>
                <w:sz w:val="28"/>
                <w:szCs w:val="28"/>
              </w:rPr>
              <w:t>&lt;0,01</w:t>
            </w:r>
          </w:p>
        </w:tc>
        <w:tc>
          <w:tcPr>
            <w:tcW w:w="582" w:type="pct"/>
          </w:tcPr>
          <w:p w:rsidR="0030517B" w:rsidRPr="00CA099F" w:rsidRDefault="0030517B" w:rsidP="001C5630">
            <w:pPr>
              <w:spacing w:after="0"/>
              <w:ind w:right="-53"/>
              <w:jc w:val="center"/>
              <w:rPr>
                <w:rFonts w:eastAsia="Times New Roman" w:cs="Times New Roman"/>
                <w:szCs w:val="28"/>
              </w:rPr>
            </w:pPr>
          </w:p>
        </w:tc>
        <w:tc>
          <w:tcPr>
            <w:tcW w:w="560" w:type="pct"/>
          </w:tcPr>
          <w:p w:rsidR="0030517B" w:rsidRPr="00CA099F" w:rsidRDefault="0030517B" w:rsidP="001C5630">
            <w:pPr>
              <w:spacing w:after="0"/>
              <w:ind w:right="-53"/>
              <w:jc w:val="center"/>
              <w:rPr>
                <w:rFonts w:eastAsia="Times New Roman" w:cs="Times New Roman"/>
                <w:szCs w:val="28"/>
              </w:rPr>
            </w:pPr>
            <w:r w:rsidRPr="00CA099F">
              <w:rPr>
                <w:rFonts w:eastAsia="Times New Roman" w:cs="Times New Roman"/>
                <w:color w:val="000000"/>
                <w:sz w:val="28"/>
                <w:szCs w:val="28"/>
              </w:rPr>
              <w:t>р</w:t>
            </w:r>
            <w:r w:rsidRPr="00CA099F">
              <w:rPr>
                <w:rFonts w:eastAsia="Times New Roman" w:cs="Times New Roman"/>
                <w:color w:val="000000"/>
                <w:sz w:val="28"/>
                <w:szCs w:val="28"/>
                <w:vertAlign w:val="subscript"/>
              </w:rPr>
              <w:t>2</w:t>
            </w:r>
            <w:r w:rsidRPr="00CA099F">
              <w:rPr>
                <w:rFonts w:eastAsia="Times New Roman" w:cs="Times New Roman"/>
                <w:color w:val="000000"/>
                <w:sz w:val="28"/>
                <w:szCs w:val="28"/>
              </w:rPr>
              <w:t>&lt;0,01</w:t>
            </w:r>
          </w:p>
        </w:tc>
        <w:tc>
          <w:tcPr>
            <w:tcW w:w="532" w:type="pct"/>
          </w:tcPr>
          <w:p w:rsidR="0030517B" w:rsidRPr="00CA099F" w:rsidRDefault="0030517B" w:rsidP="00E1448E">
            <w:pPr>
              <w:spacing w:after="0"/>
              <w:jc w:val="center"/>
              <w:rPr>
                <w:rFonts w:eastAsia="Times New Roman" w:cs="Times New Roman"/>
                <w:szCs w:val="28"/>
              </w:rPr>
            </w:pPr>
          </w:p>
        </w:tc>
        <w:tc>
          <w:tcPr>
            <w:tcW w:w="500" w:type="pct"/>
          </w:tcPr>
          <w:p w:rsidR="0030517B" w:rsidRPr="00CA099F" w:rsidRDefault="0030517B" w:rsidP="00E1448E">
            <w:pPr>
              <w:spacing w:after="0"/>
              <w:jc w:val="center"/>
              <w:rPr>
                <w:rFonts w:eastAsia="Times New Roman" w:cs="Times New Roman"/>
                <w:szCs w:val="28"/>
              </w:rPr>
            </w:pPr>
          </w:p>
        </w:tc>
      </w:tr>
      <w:tr w:rsidR="0030517B" w:rsidRPr="00CA099F" w:rsidTr="00DC5C24">
        <w:tc>
          <w:tcPr>
            <w:tcW w:w="5000" w:type="pct"/>
            <w:gridSpan w:val="9"/>
          </w:tcPr>
          <w:p w:rsidR="0030517B" w:rsidRPr="00CA099F" w:rsidRDefault="0030517B" w:rsidP="00E1448E">
            <w:pPr>
              <w:spacing w:after="0" w:line="240" w:lineRule="auto"/>
              <w:jc w:val="both"/>
              <w:rPr>
                <w:rFonts w:eastAsia="Times New Roman" w:cs="Times New Roman"/>
                <w:szCs w:val="28"/>
              </w:rPr>
            </w:pPr>
            <w:r w:rsidRPr="00CA099F">
              <w:rPr>
                <w:rFonts w:eastAsia="Times New Roman" w:cs="Times New Roman"/>
                <w:sz w:val="28"/>
                <w:szCs w:val="28"/>
              </w:rPr>
              <w:t>Примітка:</w:t>
            </w:r>
          </w:p>
          <w:p w:rsidR="0030517B" w:rsidRPr="00CA099F" w:rsidRDefault="0030517B" w:rsidP="00E1448E">
            <w:pPr>
              <w:spacing w:after="0" w:line="240" w:lineRule="auto"/>
              <w:jc w:val="both"/>
              <w:rPr>
                <w:rFonts w:eastAsia="Times New Roman" w:cs="Times New Roman"/>
                <w:szCs w:val="28"/>
              </w:rPr>
            </w:pPr>
            <w:r w:rsidRPr="00CA099F">
              <w:rPr>
                <w:rFonts w:eastAsia="Times New Roman" w:cs="Times New Roman"/>
                <w:sz w:val="28"/>
                <w:szCs w:val="28"/>
              </w:rPr>
              <w:t>*- різниця достовірна стосовно даних групи порівняння в межах одного терміну спостереження</w:t>
            </w:r>
          </w:p>
          <w:p w:rsidR="0030517B" w:rsidRPr="00CA099F" w:rsidRDefault="0030517B" w:rsidP="00E1448E">
            <w:pPr>
              <w:tabs>
                <w:tab w:val="left" w:pos="709"/>
              </w:tabs>
              <w:spacing w:after="0" w:line="240" w:lineRule="auto"/>
              <w:ind w:right="-6"/>
              <w:jc w:val="both"/>
              <w:rPr>
                <w:rFonts w:eastAsia="Times New Roman" w:cs="Times New Roman"/>
                <w:color w:val="000000"/>
                <w:szCs w:val="28"/>
              </w:rPr>
            </w:pPr>
            <w:r w:rsidRPr="00CA099F">
              <w:rPr>
                <w:rFonts w:eastAsia="Times New Roman" w:cs="Times New Roman"/>
                <w:color w:val="000000"/>
                <w:sz w:val="28"/>
                <w:szCs w:val="28"/>
              </w:rPr>
              <w:t>р</w:t>
            </w:r>
            <w:r w:rsidRPr="00CA099F">
              <w:rPr>
                <w:rFonts w:eastAsia="Times New Roman" w:cs="Times New Roman"/>
                <w:color w:val="000000"/>
                <w:sz w:val="28"/>
                <w:szCs w:val="28"/>
                <w:vertAlign w:val="subscript"/>
              </w:rPr>
              <w:t>1</w:t>
            </w:r>
            <w:r w:rsidRPr="00CA099F">
              <w:rPr>
                <w:rFonts w:eastAsia="Times New Roman" w:cs="Times New Roman"/>
                <w:color w:val="000000"/>
                <w:sz w:val="28"/>
                <w:szCs w:val="28"/>
              </w:rPr>
              <w:t xml:space="preserve"> –показник достовірності між дослідними групами, термін спостереження 3 і 6 місяців; </w:t>
            </w:r>
          </w:p>
          <w:p w:rsidR="0030517B" w:rsidRPr="00CA099F" w:rsidRDefault="0030517B" w:rsidP="00E1448E">
            <w:pPr>
              <w:spacing w:after="0" w:line="240" w:lineRule="auto"/>
              <w:jc w:val="both"/>
              <w:rPr>
                <w:rFonts w:eastAsia="Times New Roman" w:cs="Times New Roman"/>
                <w:color w:val="000000"/>
                <w:szCs w:val="28"/>
              </w:rPr>
            </w:pPr>
            <w:r w:rsidRPr="00CA099F">
              <w:rPr>
                <w:rFonts w:eastAsia="Times New Roman" w:cs="Times New Roman"/>
                <w:color w:val="000000"/>
                <w:sz w:val="28"/>
                <w:szCs w:val="28"/>
              </w:rPr>
              <w:t>р</w:t>
            </w:r>
            <w:r w:rsidRPr="00CA099F">
              <w:rPr>
                <w:rFonts w:eastAsia="Times New Roman" w:cs="Times New Roman"/>
                <w:color w:val="000000"/>
                <w:sz w:val="28"/>
                <w:szCs w:val="28"/>
                <w:vertAlign w:val="subscript"/>
              </w:rPr>
              <w:t xml:space="preserve">2 </w:t>
            </w:r>
            <w:r w:rsidRPr="00CA099F">
              <w:rPr>
                <w:rFonts w:eastAsia="Times New Roman" w:cs="Times New Roman"/>
                <w:color w:val="000000"/>
                <w:sz w:val="28"/>
                <w:szCs w:val="28"/>
              </w:rPr>
              <w:t>–показник достовірності між дослідними групами, термін спостереження 6 і 9 місяців;</w:t>
            </w:r>
          </w:p>
          <w:p w:rsidR="0030517B" w:rsidRPr="00CA099F" w:rsidRDefault="0030517B" w:rsidP="00E1448E">
            <w:pPr>
              <w:spacing w:after="0" w:line="240" w:lineRule="auto"/>
              <w:jc w:val="both"/>
              <w:rPr>
                <w:rFonts w:eastAsia="Times New Roman" w:cs="Times New Roman"/>
                <w:szCs w:val="28"/>
              </w:rPr>
            </w:pPr>
            <w:r w:rsidRPr="00CA099F">
              <w:rPr>
                <w:rFonts w:eastAsia="Times New Roman" w:cs="Times New Roman"/>
                <w:color w:val="000000"/>
                <w:sz w:val="28"/>
                <w:szCs w:val="28"/>
              </w:rPr>
              <w:t>р</w:t>
            </w:r>
            <w:r w:rsidRPr="00CA099F">
              <w:rPr>
                <w:rFonts w:eastAsia="Times New Roman" w:cs="Times New Roman"/>
                <w:color w:val="000000"/>
                <w:sz w:val="28"/>
                <w:szCs w:val="28"/>
                <w:vertAlign w:val="subscript"/>
              </w:rPr>
              <w:t xml:space="preserve">3 </w:t>
            </w:r>
            <w:r w:rsidRPr="00CA099F">
              <w:rPr>
                <w:rFonts w:eastAsia="Times New Roman" w:cs="Times New Roman"/>
                <w:color w:val="000000"/>
                <w:sz w:val="28"/>
                <w:szCs w:val="28"/>
              </w:rPr>
              <w:t>–показник достовірності між дослідними групами, термін спостереження 9 і 12 місяців</w:t>
            </w:r>
          </w:p>
        </w:tc>
      </w:tr>
    </w:tbl>
    <w:p w:rsidR="0030517B" w:rsidRPr="00CA099F" w:rsidRDefault="0030517B" w:rsidP="0030517B">
      <w:pPr>
        <w:spacing w:after="0"/>
        <w:jc w:val="both"/>
        <w:rPr>
          <w:rFonts w:eastAsia="Times New Roman" w:cs="Times New Roman"/>
          <w:sz w:val="28"/>
          <w:szCs w:val="28"/>
        </w:rPr>
      </w:pPr>
    </w:p>
    <w:p w:rsidR="0030517B" w:rsidRPr="00CA099F" w:rsidRDefault="00432A0D" w:rsidP="0030517B">
      <w:pPr>
        <w:spacing w:after="0" w:line="360" w:lineRule="auto"/>
        <w:jc w:val="both"/>
        <w:rPr>
          <w:rFonts w:eastAsia="Times New Roman" w:cs="Times New Roman"/>
          <w:sz w:val="28"/>
          <w:szCs w:val="28"/>
        </w:rPr>
      </w:pPr>
      <w:r w:rsidRPr="00D96DA9">
        <w:rPr>
          <w:rFonts w:eastAsia="Times New Roman" w:cs="Times New Roman"/>
          <w:sz w:val="28"/>
          <w:szCs w:val="28"/>
          <w:lang w:val="ru-RU"/>
        </w:rPr>
        <w:tab/>
      </w:r>
      <w:r w:rsidR="0030517B" w:rsidRPr="00CA099F">
        <w:rPr>
          <w:rFonts w:eastAsia="Times New Roman" w:cs="Times New Roman"/>
          <w:sz w:val="28"/>
          <w:szCs w:val="28"/>
        </w:rPr>
        <w:t xml:space="preserve">Встановлено, що у пацієнтів, яким під час оперативного втручання введено PRF-згусток, а на післяопераційному етапі було застосовано </w:t>
      </w:r>
      <w:r w:rsidR="001B1A4E">
        <w:rPr>
          <w:rFonts w:eastAsia="Times New Roman" w:cs="Times New Roman"/>
          <w:sz w:val="28"/>
          <w:szCs w:val="28"/>
        </w:rPr>
        <w:t>церулоплазмін</w:t>
      </w:r>
      <w:r w:rsidR="0030517B" w:rsidRPr="00CA099F">
        <w:rPr>
          <w:rFonts w:eastAsia="Times New Roman" w:cs="Times New Roman"/>
          <w:sz w:val="28"/>
          <w:szCs w:val="28"/>
        </w:rPr>
        <w:t xml:space="preserve">, концентрація ГПЛ через 3 місяці спостереження була </w:t>
      </w:r>
      <w:r w:rsidR="0030517B" w:rsidRPr="00CA099F">
        <w:rPr>
          <w:rFonts w:eastAsia="Times New Roman" w:cs="Times New Roman"/>
          <w:sz w:val="28"/>
          <w:szCs w:val="28"/>
        </w:rPr>
        <w:lastRenderedPageBreak/>
        <w:t>достовірно меншою на 39,0 % , через 6</w:t>
      </w:r>
      <w:r w:rsidR="004E3904">
        <w:rPr>
          <w:rFonts w:eastAsia="Times New Roman" w:cs="Times New Roman"/>
          <w:sz w:val="28"/>
          <w:szCs w:val="28"/>
        </w:rPr>
        <w:t xml:space="preserve"> </w:t>
      </w:r>
      <w:r w:rsidR="0030517B" w:rsidRPr="00CA099F">
        <w:rPr>
          <w:rFonts w:eastAsia="Times New Roman" w:cs="Times New Roman"/>
          <w:sz w:val="28"/>
          <w:szCs w:val="28"/>
        </w:rPr>
        <w:t>– на 19,7 % і через 9 – на 9,2 %, стосовно даних 3-ої групи. У пацієнтів 2-ої і 3-ої груп через 12 місяців спостереження концентрація ГПЛ практично не відрізнялася.</w:t>
      </w:r>
    </w:p>
    <w:p w:rsidR="0030517B" w:rsidRPr="00CA099F" w:rsidRDefault="00432A0D" w:rsidP="0030517B">
      <w:pPr>
        <w:spacing w:after="0" w:line="360" w:lineRule="auto"/>
        <w:jc w:val="both"/>
        <w:rPr>
          <w:rFonts w:eastAsia="Times New Roman" w:cs="Times New Roman"/>
          <w:sz w:val="28"/>
          <w:szCs w:val="28"/>
        </w:rPr>
      </w:pPr>
      <w:r w:rsidRPr="00D96DA9">
        <w:rPr>
          <w:rFonts w:eastAsia="Times New Roman" w:cs="Times New Roman"/>
          <w:sz w:val="28"/>
          <w:szCs w:val="28"/>
          <w:lang w:val="ru-RU"/>
        </w:rPr>
        <w:tab/>
      </w:r>
      <w:r w:rsidR="0030517B" w:rsidRPr="00CA099F">
        <w:rPr>
          <w:rFonts w:eastAsia="Times New Roman" w:cs="Times New Roman"/>
          <w:sz w:val="28"/>
          <w:szCs w:val="28"/>
        </w:rPr>
        <w:t>Слід зазначити, що рівень досліджуваного показника змінювався впродовж терміну спостереження. Так, у пацієнтів другої групи через 6 місяців концентрація ГПЛ була на 8,6 % нижча (</w:t>
      </w:r>
      <w:r w:rsidR="0030517B" w:rsidRPr="00CA099F">
        <w:rPr>
          <w:rFonts w:eastAsia="Times New Roman" w:cs="Times New Roman"/>
          <w:color w:val="000000"/>
          <w:sz w:val="28"/>
          <w:szCs w:val="28"/>
        </w:rPr>
        <w:t>р&lt;0,01)</w:t>
      </w:r>
      <w:r w:rsidR="0030517B" w:rsidRPr="00CA099F">
        <w:rPr>
          <w:rFonts w:eastAsia="Times New Roman" w:cs="Times New Roman"/>
          <w:sz w:val="28"/>
          <w:szCs w:val="28"/>
        </w:rPr>
        <w:t>, стосовно даних попереднього терміну спостереження, відповідно, через 9 місяців рівень досліджуваної величини був менший на 6,7 % (</w:t>
      </w:r>
      <w:r w:rsidR="0030517B" w:rsidRPr="00CA099F">
        <w:rPr>
          <w:rFonts w:eastAsia="Times New Roman" w:cs="Times New Roman"/>
          <w:color w:val="000000"/>
          <w:sz w:val="28"/>
          <w:szCs w:val="28"/>
        </w:rPr>
        <w:t>р&lt;0,01)</w:t>
      </w:r>
      <w:r w:rsidR="0030517B" w:rsidRPr="00CA099F">
        <w:rPr>
          <w:rFonts w:eastAsia="Times New Roman" w:cs="Times New Roman"/>
          <w:sz w:val="28"/>
          <w:szCs w:val="28"/>
        </w:rPr>
        <w:t xml:space="preserve">, тоді як через 12 </w:t>
      </w:r>
      <w:r w:rsidR="004E3904">
        <w:rPr>
          <w:rFonts w:eastAsia="Times New Roman" w:cs="Times New Roman"/>
          <w:sz w:val="28"/>
          <w:szCs w:val="28"/>
        </w:rPr>
        <w:t xml:space="preserve">– </w:t>
      </w:r>
      <w:r w:rsidR="0030517B" w:rsidRPr="00CA099F">
        <w:rPr>
          <w:rFonts w:eastAsia="Times New Roman" w:cs="Times New Roman"/>
          <w:sz w:val="28"/>
          <w:szCs w:val="28"/>
        </w:rPr>
        <w:t xml:space="preserve">концентрація ГПЛ у першій і третій групах була практично однакова. </w:t>
      </w:r>
    </w:p>
    <w:p w:rsidR="0030517B" w:rsidRPr="00CA099F" w:rsidRDefault="0030517B" w:rsidP="004E3904">
      <w:pPr>
        <w:spacing w:after="0" w:line="360" w:lineRule="auto"/>
        <w:ind w:firstLine="709"/>
        <w:jc w:val="both"/>
        <w:rPr>
          <w:rFonts w:eastAsia="Times New Roman" w:cs="Times New Roman"/>
          <w:sz w:val="28"/>
          <w:szCs w:val="28"/>
        </w:rPr>
      </w:pPr>
      <w:r w:rsidRPr="00CA099F">
        <w:rPr>
          <w:rFonts w:eastAsia="Times New Roman" w:cs="Times New Roman"/>
          <w:sz w:val="28"/>
          <w:szCs w:val="28"/>
        </w:rPr>
        <w:t>У пацієнтів другої групи, яким під час оперативного втручання введено PRF-згусток, а на післяопераційному етапі було застос</w:t>
      </w:r>
      <w:r w:rsidR="001B1A4E">
        <w:rPr>
          <w:rFonts w:eastAsia="Times New Roman" w:cs="Times New Roman"/>
          <w:sz w:val="28"/>
          <w:szCs w:val="28"/>
        </w:rPr>
        <w:t>овано церулоплазмін</w:t>
      </w:r>
      <w:r w:rsidRPr="00CA099F">
        <w:rPr>
          <w:rFonts w:eastAsia="Times New Roman" w:cs="Times New Roman"/>
          <w:sz w:val="28"/>
          <w:szCs w:val="28"/>
        </w:rPr>
        <w:t>, концентрація ДК через 3 місяці спостереження була достові</w:t>
      </w:r>
      <w:r w:rsidR="004E3904">
        <w:rPr>
          <w:rFonts w:eastAsia="Times New Roman" w:cs="Times New Roman"/>
          <w:sz w:val="28"/>
          <w:szCs w:val="28"/>
        </w:rPr>
        <w:t>рно меншою на 38,6 % , через 6</w:t>
      </w:r>
      <w:r w:rsidRPr="00CA099F">
        <w:rPr>
          <w:rFonts w:eastAsia="Times New Roman" w:cs="Times New Roman"/>
          <w:sz w:val="28"/>
          <w:szCs w:val="28"/>
        </w:rPr>
        <w:t xml:space="preserve"> – на 25,3 % і через 9</w:t>
      </w:r>
      <w:r w:rsidR="004E3904">
        <w:rPr>
          <w:rFonts w:eastAsia="Times New Roman" w:cs="Times New Roman"/>
          <w:sz w:val="28"/>
          <w:szCs w:val="28"/>
        </w:rPr>
        <w:t xml:space="preserve"> </w:t>
      </w:r>
      <w:r w:rsidRPr="00CA099F">
        <w:rPr>
          <w:rFonts w:eastAsia="Times New Roman" w:cs="Times New Roman"/>
          <w:sz w:val="28"/>
          <w:szCs w:val="28"/>
        </w:rPr>
        <w:t xml:space="preserve">– на 13,0 %, стосовно даних третьої групи. У пацієнтів 2-ої і 3-ої груп через 12 місяців спостереження концентрація ДК практично не відрізнялася. </w:t>
      </w:r>
    </w:p>
    <w:p w:rsidR="0030517B" w:rsidRPr="00CA099F" w:rsidRDefault="00432A0D" w:rsidP="0030517B">
      <w:pPr>
        <w:spacing w:after="0" w:line="360" w:lineRule="auto"/>
        <w:jc w:val="both"/>
        <w:rPr>
          <w:rFonts w:eastAsia="Times New Roman" w:cs="Times New Roman"/>
          <w:sz w:val="28"/>
          <w:szCs w:val="28"/>
        </w:rPr>
      </w:pPr>
      <w:r w:rsidRPr="00D96DA9">
        <w:rPr>
          <w:rFonts w:eastAsia="Times New Roman" w:cs="Times New Roman"/>
          <w:sz w:val="28"/>
          <w:szCs w:val="28"/>
          <w:lang w:val="ru-RU"/>
        </w:rPr>
        <w:tab/>
      </w:r>
      <w:r w:rsidR="0030517B" w:rsidRPr="00CA099F">
        <w:rPr>
          <w:rFonts w:eastAsia="Times New Roman" w:cs="Times New Roman"/>
          <w:sz w:val="28"/>
          <w:szCs w:val="28"/>
        </w:rPr>
        <w:t xml:space="preserve">Звертає на себе увагу, що рівень досліджуваного показника змінювався впродовж 9 місяців спостереження. Так, у пацієнтів, яким під час оперативного втручання введено PRF-згусток, а на післяопераційному етапі було застосовано препарат </w:t>
      </w:r>
      <w:r w:rsidR="001B1A4E">
        <w:rPr>
          <w:rFonts w:eastAsia="Times New Roman" w:cs="Times New Roman"/>
          <w:sz w:val="28"/>
          <w:szCs w:val="28"/>
        </w:rPr>
        <w:t>церулоплазмін</w:t>
      </w:r>
      <w:r w:rsidR="0030517B" w:rsidRPr="00CA099F">
        <w:rPr>
          <w:rFonts w:eastAsia="Times New Roman" w:cs="Times New Roman"/>
          <w:sz w:val="28"/>
          <w:szCs w:val="28"/>
        </w:rPr>
        <w:t>, через 6 місяців концентрація ДК була на 12,4 % нижча, стосовно даних попереднього терміну спостереження, відповідно, через 9 місяців рівень досліджув</w:t>
      </w:r>
      <w:r w:rsidR="00E80214">
        <w:rPr>
          <w:rFonts w:eastAsia="Times New Roman" w:cs="Times New Roman"/>
          <w:sz w:val="28"/>
          <w:szCs w:val="28"/>
        </w:rPr>
        <w:t>аної величини був менший на 6,6 </w:t>
      </w:r>
      <w:r w:rsidR="0030517B" w:rsidRPr="00CA099F">
        <w:rPr>
          <w:rFonts w:eastAsia="Times New Roman" w:cs="Times New Roman"/>
          <w:sz w:val="28"/>
          <w:szCs w:val="28"/>
        </w:rPr>
        <w:t>% (</w:t>
      </w:r>
      <w:r w:rsidR="0030517B" w:rsidRPr="00CA099F">
        <w:rPr>
          <w:rFonts w:eastAsia="Times New Roman" w:cs="Times New Roman"/>
          <w:color w:val="000000"/>
          <w:sz w:val="28"/>
          <w:szCs w:val="28"/>
        </w:rPr>
        <w:t xml:space="preserve">р&lt;0,01). </w:t>
      </w:r>
      <w:r w:rsidR="0030517B" w:rsidRPr="00CA099F">
        <w:rPr>
          <w:rFonts w:eastAsia="Times New Roman" w:cs="Times New Roman"/>
          <w:sz w:val="28"/>
          <w:szCs w:val="28"/>
        </w:rPr>
        <w:t>Така ж тенденція відмічена щодо змін концентрації ТК у гомогенаті шкіри пацієнтів другої і третьої груп у різні терміни спостереження (табл. 5.2).</w:t>
      </w:r>
    </w:p>
    <w:p w:rsidR="0030517B" w:rsidRPr="00CA099F" w:rsidRDefault="00432A0D" w:rsidP="0030517B">
      <w:pPr>
        <w:spacing w:after="0" w:line="360" w:lineRule="auto"/>
        <w:jc w:val="both"/>
        <w:rPr>
          <w:rFonts w:eastAsia="Times New Roman" w:cs="Times New Roman"/>
          <w:sz w:val="28"/>
          <w:szCs w:val="28"/>
        </w:rPr>
      </w:pPr>
      <w:r w:rsidRPr="00D96DA9">
        <w:rPr>
          <w:rFonts w:eastAsia="Times New Roman" w:cs="Times New Roman"/>
          <w:sz w:val="28"/>
          <w:szCs w:val="28"/>
        </w:rPr>
        <w:tab/>
      </w:r>
      <w:r w:rsidR="0030517B" w:rsidRPr="00CA099F">
        <w:rPr>
          <w:rFonts w:eastAsia="Times New Roman" w:cs="Times New Roman"/>
          <w:sz w:val="28"/>
          <w:szCs w:val="28"/>
        </w:rPr>
        <w:t>Аналіз рівня ТБК-активних продуктів у шкірі пацієнтів другої групи показав, що концентрація ТБК-АП через 3 місяці спостереження достовірно зменшувалася на 35,1 %, через 6 – на 27,7 % і через 9</w:t>
      </w:r>
      <w:r w:rsidR="00E80214">
        <w:rPr>
          <w:rFonts w:eastAsia="Times New Roman" w:cs="Times New Roman"/>
          <w:sz w:val="28"/>
          <w:szCs w:val="28"/>
        </w:rPr>
        <w:t xml:space="preserve"> </w:t>
      </w:r>
      <w:r w:rsidR="0030517B" w:rsidRPr="00CA099F">
        <w:rPr>
          <w:rFonts w:eastAsia="Times New Roman" w:cs="Times New Roman"/>
          <w:sz w:val="28"/>
          <w:szCs w:val="28"/>
        </w:rPr>
        <w:t xml:space="preserve">– 8,7 на %, стосовно даних третьої групи. У пацієнтів другої і третьої груп через 12 місяців спостереження концентрація ТБК-АП практично не відрізнялася (табл. 5.2). Нами встановлено, що рівень досліджуваного показника змінювався впродовж </w:t>
      </w:r>
      <w:r w:rsidR="0030517B" w:rsidRPr="00CA099F">
        <w:rPr>
          <w:rFonts w:eastAsia="Times New Roman" w:cs="Times New Roman"/>
          <w:sz w:val="28"/>
          <w:szCs w:val="28"/>
        </w:rPr>
        <w:lastRenderedPageBreak/>
        <w:t>терміну спостереження. Так, у пацієнтів, яким під час оперативного втручання введено PRF-згусток, а на післяопераційн</w:t>
      </w:r>
      <w:r w:rsidR="001B1A4E">
        <w:rPr>
          <w:rFonts w:eastAsia="Times New Roman" w:cs="Times New Roman"/>
          <w:sz w:val="28"/>
          <w:szCs w:val="28"/>
        </w:rPr>
        <w:t>ому етапі застосовано церулоплазмін</w:t>
      </w:r>
      <w:r w:rsidR="0030517B" w:rsidRPr="00CA099F">
        <w:rPr>
          <w:rFonts w:eastAsia="Times New Roman" w:cs="Times New Roman"/>
          <w:sz w:val="28"/>
          <w:szCs w:val="28"/>
        </w:rPr>
        <w:t>, через 6 місяців концентрація ТБК-АП була на 10,9 % нижча, стосовно даних попереднього терміну спостереження, відповідно, через 9 - на 3,1 % і через 12 місяців рівень досліджуваної величини практично не відрізнявся від даних третьої групи (табл. 5.2).</w:t>
      </w:r>
    </w:p>
    <w:p w:rsidR="0030517B" w:rsidRPr="00CA099F" w:rsidRDefault="0030517B" w:rsidP="0030517B">
      <w:pPr>
        <w:spacing w:after="0" w:line="360" w:lineRule="auto"/>
        <w:jc w:val="right"/>
        <w:rPr>
          <w:rFonts w:eastAsia="Times New Roman" w:cs="Times New Roman"/>
          <w:i/>
          <w:sz w:val="28"/>
          <w:szCs w:val="28"/>
        </w:rPr>
      </w:pPr>
      <w:r w:rsidRPr="00CA099F">
        <w:rPr>
          <w:rFonts w:eastAsia="Times New Roman" w:cs="Times New Roman"/>
          <w:i/>
          <w:sz w:val="28"/>
          <w:szCs w:val="28"/>
        </w:rPr>
        <w:t>Таблиця 5.2</w:t>
      </w:r>
    </w:p>
    <w:p w:rsidR="0030517B" w:rsidRPr="00CA099F" w:rsidRDefault="0030517B" w:rsidP="0030517B">
      <w:pPr>
        <w:spacing w:after="0" w:line="360" w:lineRule="auto"/>
        <w:jc w:val="center"/>
        <w:rPr>
          <w:rFonts w:eastAsia="Times New Roman" w:cs="Times New Roman"/>
          <w:sz w:val="28"/>
          <w:szCs w:val="28"/>
        </w:rPr>
      </w:pPr>
      <w:r w:rsidRPr="00CA099F">
        <w:rPr>
          <w:rFonts w:eastAsia="Times New Roman" w:cs="Times New Roman"/>
          <w:sz w:val="28"/>
          <w:szCs w:val="28"/>
        </w:rPr>
        <w:t>Показники вільнорадикального окиснення ліпідів у гомогенаті шкіри за умови використання PRF-згустка та церулоплазміну</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94"/>
        <w:gridCol w:w="1139"/>
        <w:gridCol w:w="817"/>
        <w:gridCol w:w="1140"/>
        <w:gridCol w:w="979"/>
        <w:gridCol w:w="1140"/>
        <w:gridCol w:w="979"/>
        <w:gridCol w:w="1140"/>
        <w:gridCol w:w="817"/>
      </w:tblGrid>
      <w:tr w:rsidR="0030517B" w:rsidRPr="00CA099F" w:rsidTr="00E1448E">
        <w:tc>
          <w:tcPr>
            <w:tcW w:w="483" w:type="pct"/>
            <w:vMerge w:val="restart"/>
            <w:vAlign w:val="center"/>
          </w:tcPr>
          <w:p w:rsidR="0030517B" w:rsidRPr="00CA099F" w:rsidRDefault="0030517B" w:rsidP="00E1448E">
            <w:pPr>
              <w:spacing w:after="0" w:line="240" w:lineRule="auto"/>
              <w:jc w:val="center"/>
              <w:rPr>
                <w:rFonts w:eastAsia="Times New Roman" w:cs="Times New Roman"/>
                <w:szCs w:val="24"/>
              </w:rPr>
            </w:pPr>
            <w:r w:rsidRPr="00CA099F">
              <w:rPr>
                <w:rFonts w:eastAsia="Times New Roman" w:cs="Times New Roman"/>
                <w:szCs w:val="24"/>
              </w:rPr>
              <w:t>Показник</w:t>
            </w:r>
          </w:p>
        </w:tc>
        <w:tc>
          <w:tcPr>
            <w:tcW w:w="1132" w:type="pct"/>
            <w:gridSpan w:val="2"/>
          </w:tcPr>
          <w:p w:rsidR="0030517B" w:rsidRPr="00CA099F" w:rsidRDefault="0030517B" w:rsidP="00E1448E">
            <w:pPr>
              <w:spacing w:after="0" w:line="240" w:lineRule="auto"/>
              <w:jc w:val="center"/>
              <w:rPr>
                <w:rFonts w:eastAsia="Times New Roman" w:cs="Times New Roman"/>
                <w:szCs w:val="28"/>
              </w:rPr>
            </w:pPr>
            <w:r w:rsidRPr="00CA099F">
              <w:rPr>
                <w:rFonts w:eastAsia="Times New Roman" w:cs="Times New Roman"/>
                <w:sz w:val="28"/>
                <w:szCs w:val="28"/>
              </w:rPr>
              <w:t>3 місяці</w:t>
            </w:r>
          </w:p>
        </w:tc>
        <w:tc>
          <w:tcPr>
            <w:tcW w:w="1138" w:type="pct"/>
            <w:gridSpan w:val="2"/>
          </w:tcPr>
          <w:p w:rsidR="0030517B" w:rsidRPr="00CA099F" w:rsidRDefault="0030517B" w:rsidP="00E1448E">
            <w:pPr>
              <w:spacing w:after="0" w:line="240" w:lineRule="auto"/>
              <w:jc w:val="center"/>
              <w:rPr>
                <w:rFonts w:eastAsia="Times New Roman" w:cs="Times New Roman"/>
                <w:szCs w:val="28"/>
              </w:rPr>
            </w:pPr>
            <w:r w:rsidRPr="00CA099F">
              <w:rPr>
                <w:rFonts w:eastAsia="Times New Roman" w:cs="Times New Roman"/>
                <w:sz w:val="28"/>
                <w:szCs w:val="28"/>
              </w:rPr>
              <w:t>6 місяців</w:t>
            </w:r>
          </w:p>
        </w:tc>
        <w:tc>
          <w:tcPr>
            <w:tcW w:w="1137" w:type="pct"/>
            <w:gridSpan w:val="2"/>
          </w:tcPr>
          <w:p w:rsidR="0030517B" w:rsidRPr="00CA099F" w:rsidRDefault="0030517B" w:rsidP="00E1448E">
            <w:pPr>
              <w:spacing w:after="0" w:line="240" w:lineRule="auto"/>
              <w:jc w:val="center"/>
              <w:rPr>
                <w:rFonts w:eastAsia="Times New Roman" w:cs="Times New Roman"/>
                <w:szCs w:val="28"/>
              </w:rPr>
            </w:pPr>
            <w:r w:rsidRPr="00CA099F">
              <w:rPr>
                <w:rFonts w:eastAsia="Times New Roman" w:cs="Times New Roman"/>
                <w:sz w:val="28"/>
                <w:szCs w:val="28"/>
              </w:rPr>
              <w:t>9 місяців</w:t>
            </w:r>
          </w:p>
        </w:tc>
        <w:tc>
          <w:tcPr>
            <w:tcW w:w="1111" w:type="pct"/>
            <w:gridSpan w:val="2"/>
          </w:tcPr>
          <w:p w:rsidR="0030517B" w:rsidRPr="00CA099F" w:rsidRDefault="0030517B" w:rsidP="00E1448E">
            <w:pPr>
              <w:spacing w:after="0" w:line="240" w:lineRule="auto"/>
              <w:jc w:val="center"/>
              <w:rPr>
                <w:rFonts w:eastAsia="Times New Roman" w:cs="Times New Roman"/>
                <w:szCs w:val="28"/>
              </w:rPr>
            </w:pPr>
            <w:r w:rsidRPr="00CA099F">
              <w:rPr>
                <w:rFonts w:eastAsia="Times New Roman" w:cs="Times New Roman"/>
                <w:sz w:val="28"/>
                <w:szCs w:val="28"/>
              </w:rPr>
              <w:t>12 місяців</w:t>
            </w:r>
          </w:p>
        </w:tc>
      </w:tr>
      <w:tr w:rsidR="0030517B" w:rsidRPr="00CA099F" w:rsidTr="00E1448E">
        <w:tc>
          <w:tcPr>
            <w:tcW w:w="483" w:type="pct"/>
            <w:vMerge/>
          </w:tcPr>
          <w:p w:rsidR="0030517B" w:rsidRPr="00CA099F" w:rsidRDefault="0030517B" w:rsidP="00E1448E">
            <w:pPr>
              <w:spacing w:after="0" w:line="240" w:lineRule="auto"/>
              <w:jc w:val="center"/>
              <w:rPr>
                <w:rFonts w:eastAsia="Times New Roman" w:cs="Times New Roman"/>
                <w:szCs w:val="28"/>
              </w:rPr>
            </w:pPr>
          </w:p>
        </w:tc>
        <w:tc>
          <w:tcPr>
            <w:tcW w:w="565" w:type="pct"/>
          </w:tcPr>
          <w:p w:rsidR="00432A0D" w:rsidRDefault="0030517B" w:rsidP="00E1448E">
            <w:pPr>
              <w:spacing w:after="0" w:line="240" w:lineRule="auto"/>
              <w:ind w:right="-87"/>
              <w:jc w:val="center"/>
              <w:rPr>
                <w:rFonts w:eastAsia="Times New Roman" w:cs="Times New Roman"/>
                <w:szCs w:val="24"/>
                <w:lang w:val="en-US"/>
              </w:rPr>
            </w:pPr>
            <w:r w:rsidRPr="00CA099F">
              <w:rPr>
                <w:rFonts w:eastAsia="Times New Roman" w:cs="Times New Roman"/>
                <w:szCs w:val="24"/>
              </w:rPr>
              <w:t>Група контролю</w:t>
            </w:r>
          </w:p>
          <w:p w:rsidR="0030517B" w:rsidRPr="00432A0D" w:rsidRDefault="00432A0D" w:rsidP="00E1448E">
            <w:pPr>
              <w:spacing w:after="0" w:line="240" w:lineRule="auto"/>
              <w:ind w:right="-87"/>
              <w:jc w:val="center"/>
              <w:rPr>
                <w:rFonts w:eastAsia="Times New Roman" w:cs="Times New Roman"/>
                <w:szCs w:val="24"/>
                <w:lang w:val="en-US"/>
              </w:rPr>
            </w:pPr>
            <w:r>
              <w:rPr>
                <w:rFonts w:eastAsia="Times New Roman" w:cs="Times New Roman"/>
                <w:szCs w:val="24"/>
              </w:rPr>
              <w:t>(</w:t>
            </w:r>
            <w:r>
              <w:rPr>
                <w:rFonts w:eastAsia="Times New Roman" w:cs="Times New Roman"/>
                <w:szCs w:val="24"/>
                <w:lang w:val="en-US"/>
              </w:rPr>
              <w:t>n=20</w:t>
            </w:r>
            <w:r>
              <w:rPr>
                <w:rFonts w:eastAsia="Times New Roman" w:cs="Times New Roman"/>
                <w:szCs w:val="24"/>
              </w:rPr>
              <w:t>)</w:t>
            </w:r>
            <w:r>
              <w:rPr>
                <w:rFonts w:eastAsia="Times New Roman" w:cs="Times New Roman"/>
                <w:szCs w:val="24"/>
                <w:lang w:val="en-US"/>
              </w:rPr>
              <w:t xml:space="preserve"> </w:t>
            </w:r>
          </w:p>
        </w:tc>
        <w:tc>
          <w:tcPr>
            <w:tcW w:w="567" w:type="pct"/>
          </w:tcPr>
          <w:p w:rsidR="0030517B" w:rsidRDefault="0030517B" w:rsidP="00E1448E">
            <w:pPr>
              <w:spacing w:after="0" w:line="240" w:lineRule="auto"/>
              <w:ind w:right="-87"/>
              <w:jc w:val="center"/>
              <w:rPr>
                <w:rFonts w:eastAsia="Times New Roman" w:cs="Times New Roman"/>
                <w:szCs w:val="24"/>
                <w:lang w:val="en-US"/>
              </w:rPr>
            </w:pPr>
            <w:r w:rsidRPr="00CA099F">
              <w:rPr>
                <w:rFonts w:eastAsia="Times New Roman" w:cs="Times New Roman"/>
                <w:szCs w:val="24"/>
              </w:rPr>
              <w:t>2 група</w:t>
            </w:r>
          </w:p>
          <w:p w:rsidR="00432A0D" w:rsidRPr="00432A0D" w:rsidRDefault="00432A0D" w:rsidP="00E1448E">
            <w:pPr>
              <w:spacing w:after="0" w:line="240" w:lineRule="auto"/>
              <w:ind w:right="-87"/>
              <w:jc w:val="center"/>
              <w:rPr>
                <w:rFonts w:eastAsia="Times New Roman" w:cs="Times New Roman"/>
                <w:szCs w:val="24"/>
                <w:lang w:val="en-US"/>
              </w:rPr>
            </w:pPr>
            <w:r>
              <w:rPr>
                <w:rFonts w:eastAsia="Times New Roman" w:cs="Times New Roman"/>
                <w:szCs w:val="24"/>
              </w:rPr>
              <w:t>(</w:t>
            </w:r>
            <w:r>
              <w:rPr>
                <w:rFonts w:eastAsia="Times New Roman" w:cs="Times New Roman"/>
                <w:szCs w:val="24"/>
                <w:lang w:val="en-US"/>
              </w:rPr>
              <w:t>n=20</w:t>
            </w:r>
            <w:r>
              <w:rPr>
                <w:rFonts w:eastAsia="Times New Roman" w:cs="Times New Roman"/>
                <w:szCs w:val="24"/>
              </w:rPr>
              <w:t>)</w:t>
            </w:r>
          </w:p>
        </w:tc>
        <w:tc>
          <w:tcPr>
            <w:tcW w:w="566" w:type="pct"/>
          </w:tcPr>
          <w:p w:rsidR="0030517B" w:rsidRPr="00432A0D" w:rsidRDefault="0030517B" w:rsidP="00E1448E">
            <w:pPr>
              <w:spacing w:after="0" w:line="240" w:lineRule="auto"/>
              <w:ind w:right="-87"/>
              <w:jc w:val="center"/>
              <w:rPr>
                <w:rFonts w:eastAsia="Times New Roman" w:cs="Times New Roman"/>
                <w:szCs w:val="24"/>
                <w:lang w:val="en-US"/>
              </w:rPr>
            </w:pPr>
            <w:r w:rsidRPr="00CA099F">
              <w:rPr>
                <w:rFonts w:eastAsia="Times New Roman" w:cs="Times New Roman"/>
                <w:szCs w:val="24"/>
              </w:rPr>
              <w:t>Група контролю</w:t>
            </w:r>
            <w:r w:rsidR="00432A0D">
              <w:rPr>
                <w:rFonts w:eastAsia="Times New Roman" w:cs="Times New Roman"/>
                <w:szCs w:val="24"/>
                <w:lang w:val="en-US"/>
              </w:rPr>
              <w:t xml:space="preserve"> </w:t>
            </w:r>
            <w:r w:rsidR="00432A0D">
              <w:rPr>
                <w:rFonts w:eastAsia="Times New Roman" w:cs="Times New Roman"/>
                <w:szCs w:val="24"/>
              </w:rPr>
              <w:t>(</w:t>
            </w:r>
            <w:r w:rsidR="00432A0D">
              <w:rPr>
                <w:rFonts w:eastAsia="Times New Roman" w:cs="Times New Roman"/>
                <w:szCs w:val="24"/>
                <w:lang w:val="en-US"/>
              </w:rPr>
              <w:t>n=20</w:t>
            </w:r>
            <w:r w:rsidR="00432A0D">
              <w:rPr>
                <w:rFonts w:eastAsia="Times New Roman" w:cs="Times New Roman"/>
                <w:szCs w:val="24"/>
              </w:rPr>
              <w:t>)</w:t>
            </w:r>
          </w:p>
        </w:tc>
        <w:tc>
          <w:tcPr>
            <w:tcW w:w="572" w:type="pct"/>
          </w:tcPr>
          <w:p w:rsidR="0030517B" w:rsidRDefault="0030517B" w:rsidP="00E1448E">
            <w:pPr>
              <w:spacing w:after="0" w:line="240" w:lineRule="auto"/>
              <w:ind w:right="-87"/>
              <w:jc w:val="center"/>
              <w:rPr>
                <w:rFonts w:eastAsia="Times New Roman" w:cs="Times New Roman"/>
                <w:szCs w:val="24"/>
                <w:lang w:val="en-US"/>
              </w:rPr>
            </w:pPr>
            <w:r w:rsidRPr="00CA099F">
              <w:rPr>
                <w:rFonts w:eastAsia="Times New Roman" w:cs="Times New Roman"/>
                <w:szCs w:val="24"/>
              </w:rPr>
              <w:t>2 група</w:t>
            </w:r>
          </w:p>
          <w:p w:rsidR="00432A0D" w:rsidRPr="00432A0D" w:rsidRDefault="00432A0D" w:rsidP="00E1448E">
            <w:pPr>
              <w:spacing w:after="0" w:line="240" w:lineRule="auto"/>
              <w:ind w:right="-87"/>
              <w:jc w:val="center"/>
              <w:rPr>
                <w:rFonts w:eastAsia="Times New Roman" w:cs="Times New Roman"/>
                <w:szCs w:val="24"/>
                <w:lang w:val="en-US"/>
              </w:rPr>
            </w:pPr>
            <w:r>
              <w:rPr>
                <w:rFonts w:eastAsia="Times New Roman" w:cs="Times New Roman"/>
                <w:szCs w:val="24"/>
              </w:rPr>
              <w:t>(</w:t>
            </w:r>
            <w:r>
              <w:rPr>
                <w:rFonts w:eastAsia="Times New Roman" w:cs="Times New Roman"/>
                <w:szCs w:val="24"/>
                <w:lang w:val="en-US"/>
              </w:rPr>
              <w:t>n=20</w:t>
            </w:r>
            <w:r>
              <w:rPr>
                <w:rFonts w:eastAsia="Times New Roman" w:cs="Times New Roman"/>
                <w:szCs w:val="24"/>
              </w:rPr>
              <w:t>)</w:t>
            </w:r>
          </w:p>
        </w:tc>
        <w:tc>
          <w:tcPr>
            <w:tcW w:w="565" w:type="pct"/>
          </w:tcPr>
          <w:p w:rsidR="0030517B" w:rsidRPr="00432A0D" w:rsidRDefault="0030517B" w:rsidP="00E1448E">
            <w:pPr>
              <w:spacing w:after="0" w:line="240" w:lineRule="auto"/>
              <w:ind w:right="-87"/>
              <w:jc w:val="center"/>
              <w:rPr>
                <w:rFonts w:eastAsia="Times New Roman" w:cs="Times New Roman"/>
                <w:szCs w:val="24"/>
                <w:lang w:val="en-US"/>
              </w:rPr>
            </w:pPr>
            <w:r w:rsidRPr="00CA099F">
              <w:rPr>
                <w:rFonts w:eastAsia="Times New Roman" w:cs="Times New Roman"/>
                <w:szCs w:val="24"/>
              </w:rPr>
              <w:t>Група контролю</w:t>
            </w:r>
            <w:r w:rsidR="00432A0D">
              <w:rPr>
                <w:rFonts w:eastAsia="Times New Roman" w:cs="Times New Roman"/>
                <w:szCs w:val="24"/>
                <w:lang w:val="en-US"/>
              </w:rPr>
              <w:t xml:space="preserve"> </w:t>
            </w:r>
            <w:r w:rsidR="00432A0D">
              <w:rPr>
                <w:rFonts w:eastAsia="Times New Roman" w:cs="Times New Roman"/>
                <w:szCs w:val="24"/>
              </w:rPr>
              <w:t>(</w:t>
            </w:r>
            <w:r w:rsidR="00432A0D">
              <w:rPr>
                <w:rFonts w:eastAsia="Times New Roman" w:cs="Times New Roman"/>
                <w:szCs w:val="24"/>
                <w:lang w:val="en-US"/>
              </w:rPr>
              <w:t>n=20</w:t>
            </w:r>
            <w:r w:rsidR="00432A0D">
              <w:rPr>
                <w:rFonts w:eastAsia="Times New Roman" w:cs="Times New Roman"/>
                <w:szCs w:val="24"/>
              </w:rPr>
              <w:t>)</w:t>
            </w:r>
          </w:p>
        </w:tc>
        <w:tc>
          <w:tcPr>
            <w:tcW w:w="572" w:type="pct"/>
          </w:tcPr>
          <w:p w:rsidR="0030517B" w:rsidRPr="00432A0D" w:rsidRDefault="0030517B" w:rsidP="00E1448E">
            <w:pPr>
              <w:spacing w:after="0" w:line="240" w:lineRule="auto"/>
              <w:ind w:right="-87"/>
              <w:jc w:val="center"/>
              <w:rPr>
                <w:rFonts w:eastAsia="Times New Roman" w:cs="Times New Roman"/>
                <w:szCs w:val="24"/>
                <w:lang w:val="en-US"/>
              </w:rPr>
            </w:pPr>
            <w:r w:rsidRPr="00CA099F">
              <w:rPr>
                <w:rFonts w:eastAsia="Times New Roman" w:cs="Times New Roman"/>
                <w:szCs w:val="24"/>
              </w:rPr>
              <w:t>2 група</w:t>
            </w:r>
            <w:r w:rsidR="00432A0D">
              <w:rPr>
                <w:rFonts w:eastAsia="Times New Roman" w:cs="Times New Roman"/>
                <w:szCs w:val="24"/>
                <w:lang w:val="en-US"/>
              </w:rPr>
              <w:t xml:space="preserve"> </w:t>
            </w:r>
            <w:r w:rsidR="00432A0D">
              <w:rPr>
                <w:rFonts w:eastAsia="Times New Roman" w:cs="Times New Roman"/>
                <w:szCs w:val="24"/>
              </w:rPr>
              <w:t>(</w:t>
            </w:r>
            <w:r w:rsidR="00432A0D">
              <w:rPr>
                <w:rFonts w:eastAsia="Times New Roman" w:cs="Times New Roman"/>
                <w:szCs w:val="24"/>
                <w:lang w:val="en-US"/>
              </w:rPr>
              <w:t>n=20</w:t>
            </w:r>
            <w:r w:rsidR="00432A0D">
              <w:rPr>
                <w:rFonts w:eastAsia="Times New Roman" w:cs="Times New Roman"/>
                <w:szCs w:val="24"/>
              </w:rPr>
              <w:t>)</w:t>
            </w:r>
          </w:p>
        </w:tc>
        <w:tc>
          <w:tcPr>
            <w:tcW w:w="535" w:type="pct"/>
          </w:tcPr>
          <w:p w:rsidR="0030517B" w:rsidRPr="00432A0D" w:rsidRDefault="0030517B" w:rsidP="00E1448E">
            <w:pPr>
              <w:spacing w:after="0" w:line="240" w:lineRule="auto"/>
              <w:ind w:right="-87"/>
              <w:jc w:val="center"/>
              <w:rPr>
                <w:rFonts w:eastAsia="Times New Roman" w:cs="Times New Roman"/>
                <w:szCs w:val="24"/>
                <w:lang w:val="en-US"/>
              </w:rPr>
            </w:pPr>
            <w:r w:rsidRPr="00CA099F">
              <w:rPr>
                <w:rFonts w:eastAsia="Times New Roman" w:cs="Times New Roman"/>
                <w:szCs w:val="24"/>
              </w:rPr>
              <w:t>Група контролю</w:t>
            </w:r>
            <w:r w:rsidR="00432A0D">
              <w:rPr>
                <w:rFonts w:eastAsia="Times New Roman" w:cs="Times New Roman"/>
                <w:szCs w:val="24"/>
                <w:lang w:val="en-US"/>
              </w:rPr>
              <w:t xml:space="preserve"> </w:t>
            </w:r>
            <w:r w:rsidR="00432A0D">
              <w:rPr>
                <w:rFonts w:eastAsia="Times New Roman" w:cs="Times New Roman"/>
                <w:szCs w:val="24"/>
              </w:rPr>
              <w:t>(</w:t>
            </w:r>
            <w:r w:rsidR="00432A0D">
              <w:rPr>
                <w:rFonts w:eastAsia="Times New Roman" w:cs="Times New Roman"/>
                <w:szCs w:val="24"/>
                <w:lang w:val="en-US"/>
              </w:rPr>
              <w:t>n=20</w:t>
            </w:r>
            <w:r w:rsidR="00432A0D">
              <w:rPr>
                <w:rFonts w:eastAsia="Times New Roman" w:cs="Times New Roman"/>
                <w:szCs w:val="24"/>
              </w:rPr>
              <w:t>)</w:t>
            </w:r>
          </w:p>
        </w:tc>
        <w:tc>
          <w:tcPr>
            <w:tcW w:w="575" w:type="pct"/>
          </w:tcPr>
          <w:p w:rsidR="0030517B" w:rsidRDefault="0030517B" w:rsidP="00E1448E">
            <w:pPr>
              <w:spacing w:after="0" w:line="240" w:lineRule="auto"/>
              <w:ind w:right="-87"/>
              <w:jc w:val="center"/>
              <w:rPr>
                <w:rFonts w:eastAsia="Times New Roman" w:cs="Times New Roman"/>
                <w:szCs w:val="24"/>
                <w:lang w:val="en-US"/>
              </w:rPr>
            </w:pPr>
            <w:r w:rsidRPr="00CA099F">
              <w:rPr>
                <w:rFonts w:eastAsia="Times New Roman" w:cs="Times New Roman"/>
                <w:szCs w:val="24"/>
              </w:rPr>
              <w:t>2 група</w:t>
            </w:r>
          </w:p>
          <w:p w:rsidR="00432A0D" w:rsidRPr="00432A0D" w:rsidRDefault="00432A0D" w:rsidP="00E1448E">
            <w:pPr>
              <w:spacing w:after="0" w:line="240" w:lineRule="auto"/>
              <w:ind w:right="-87"/>
              <w:jc w:val="center"/>
              <w:rPr>
                <w:rFonts w:eastAsia="Times New Roman" w:cs="Times New Roman"/>
                <w:szCs w:val="24"/>
                <w:lang w:val="en-US"/>
              </w:rPr>
            </w:pPr>
            <w:r>
              <w:rPr>
                <w:rFonts w:eastAsia="Times New Roman" w:cs="Times New Roman"/>
                <w:szCs w:val="24"/>
              </w:rPr>
              <w:t>(</w:t>
            </w:r>
            <w:r>
              <w:rPr>
                <w:rFonts w:eastAsia="Times New Roman" w:cs="Times New Roman"/>
                <w:szCs w:val="24"/>
                <w:lang w:val="en-US"/>
              </w:rPr>
              <w:t>n=20</w:t>
            </w:r>
            <w:r>
              <w:rPr>
                <w:rFonts w:eastAsia="Times New Roman" w:cs="Times New Roman"/>
                <w:szCs w:val="24"/>
              </w:rPr>
              <w:t>)</w:t>
            </w:r>
          </w:p>
        </w:tc>
      </w:tr>
      <w:tr w:rsidR="0030517B" w:rsidRPr="00CA099F" w:rsidTr="00E1448E">
        <w:tc>
          <w:tcPr>
            <w:tcW w:w="483" w:type="pct"/>
          </w:tcPr>
          <w:p w:rsidR="0030517B" w:rsidRPr="00CA099F" w:rsidRDefault="0030517B" w:rsidP="00065B03">
            <w:pPr>
              <w:spacing w:after="0"/>
              <w:ind w:right="-88"/>
              <w:jc w:val="center"/>
              <w:rPr>
                <w:rFonts w:eastAsia="Times New Roman" w:cs="Times New Roman"/>
                <w:szCs w:val="28"/>
              </w:rPr>
            </w:pPr>
            <w:r w:rsidRPr="00065B03">
              <w:rPr>
                <w:rFonts w:eastAsia="Times New Roman" w:cs="Times New Roman"/>
                <w:sz w:val="28"/>
                <w:szCs w:val="28"/>
              </w:rPr>
              <w:t>ГПЛ, ум.од./</w:t>
            </w:r>
            <w:r w:rsidR="00432A0D" w:rsidRPr="00065B03">
              <w:rPr>
                <w:rFonts w:eastAsia="Times New Roman" w:cs="Times New Roman"/>
                <w:sz w:val="28"/>
                <w:szCs w:val="28"/>
              </w:rPr>
              <w:t>к</w:t>
            </w:r>
            <w:r w:rsidR="00065B03" w:rsidRPr="00065B03">
              <w:rPr>
                <w:rFonts w:eastAsia="Times New Roman" w:cs="Times New Roman"/>
                <w:sz w:val="28"/>
                <w:szCs w:val="28"/>
              </w:rPr>
              <w:t>г</w:t>
            </w:r>
          </w:p>
        </w:tc>
        <w:tc>
          <w:tcPr>
            <w:tcW w:w="565" w:type="pct"/>
          </w:tcPr>
          <w:p w:rsidR="0030517B" w:rsidRPr="00CA099F" w:rsidRDefault="0030517B" w:rsidP="00E1448E">
            <w:pPr>
              <w:spacing w:after="0" w:line="240" w:lineRule="auto"/>
              <w:jc w:val="center"/>
              <w:rPr>
                <w:rFonts w:eastAsia="Times New Roman" w:cs="Times New Roman"/>
                <w:szCs w:val="28"/>
              </w:rPr>
            </w:pPr>
            <w:r w:rsidRPr="00CA099F">
              <w:rPr>
                <w:rFonts w:eastAsia="Times New Roman" w:cs="Times New Roman"/>
                <w:sz w:val="28"/>
                <w:szCs w:val="28"/>
              </w:rPr>
              <w:t>6,14±</w:t>
            </w:r>
          </w:p>
          <w:p w:rsidR="0030517B" w:rsidRPr="00CA099F" w:rsidRDefault="0030517B" w:rsidP="00E1448E">
            <w:pPr>
              <w:spacing w:after="0" w:line="240" w:lineRule="auto"/>
              <w:jc w:val="center"/>
              <w:rPr>
                <w:rFonts w:eastAsia="Times New Roman" w:cs="Times New Roman"/>
                <w:szCs w:val="28"/>
              </w:rPr>
            </w:pPr>
            <w:r w:rsidRPr="00CA099F">
              <w:rPr>
                <w:rFonts w:eastAsia="Times New Roman" w:cs="Times New Roman"/>
                <w:sz w:val="28"/>
                <w:szCs w:val="28"/>
              </w:rPr>
              <w:t>0,13</w:t>
            </w:r>
          </w:p>
        </w:tc>
        <w:tc>
          <w:tcPr>
            <w:tcW w:w="567" w:type="pct"/>
          </w:tcPr>
          <w:p w:rsidR="0030517B" w:rsidRPr="00CA099F" w:rsidRDefault="0030517B" w:rsidP="00E1448E">
            <w:pPr>
              <w:spacing w:after="0" w:line="240" w:lineRule="auto"/>
              <w:jc w:val="center"/>
              <w:rPr>
                <w:rFonts w:eastAsia="Times New Roman" w:cs="Times New Roman"/>
                <w:szCs w:val="28"/>
              </w:rPr>
            </w:pPr>
            <w:r w:rsidRPr="00CA099F">
              <w:rPr>
                <w:rFonts w:eastAsia="Times New Roman" w:cs="Times New Roman"/>
                <w:sz w:val="28"/>
                <w:szCs w:val="28"/>
              </w:rPr>
              <w:t>3,74±</w:t>
            </w:r>
          </w:p>
          <w:p w:rsidR="0030517B" w:rsidRPr="00CA099F" w:rsidRDefault="0030517B" w:rsidP="00E1448E">
            <w:pPr>
              <w:spacing w:after="0" w:line="240" w:lineRule="auto"/>
              <w:jc w:val="center"/>
              <w:rPr>
                <w:rFonts w:eastAsia="Times New Roman" w:cs="Times New Roman"/>
                <w:szCs w:val="28"/>
              </w:rPr>
            </w:pPr>
            <w:r w:rsidRPr="00CA099F">
              <w:rPr>
                <w:rFonts w:eastAsia="Times New Roman" w:cs="Times New Roman"/>
                <w:sz w:val="28"/>
                <w:szCs w:val="28"/>
              </w:rPr>
              <w:t>0,09</w:t>
            </w:r>
          </w:p>
        </w:tc>
        <w:tc>
          <w:tcPr>
            <w:tcW w:w="566" w:type="pct"/>
          </w:tcPr>
          <w:p w:rsidR="0030517B" w:rsidRPr="00CA099F" w:rsidRDefault="0030517B" w:rsidP="00E1448E">
            <w:pPr>
              <w:spacing w:after="0" w:line="240" w:lineRule="auto"/>
              <w:jc w:val="center"/>
              <w:rPr>
                <w:rFonts w:eastAsia="Times New Roman" w:cs="Times New Roman"/>
                <w:szCs w:val="28"/>
              </w:rPr>
            </w:pPr>
            <w:r w:rsidRPr="00CA099F">
              <w:rPr>
                <w:rFonts w:eastAsia="Times New Roman" w:cs="Times New Roman"/>
                <w:sz w:val="28"/>
                <w:szCs w:val="28"/>
              </w:rPr>
              <w:t>4,26±</w:t>
            </w:r>
          </w:p>
          <w:p w:rsidR="0030517B" w:rsidRPr="00CA099F" w:rsidRDefault="0030517B" w:rsidP="00E1448E">
            <w:pPr>
              <w:spacing w:after="0" w:line="240" w:lineRule="auto"/>
              <w:jc w:val="center"/>
              <w:rPr>
                <w:rFonts w:eastAsia="Times New Roman" w:cs="Times New Roman"/>
                <w:szCs w:val="28"/>
              </w:rPr>
            </w:pPr>
            <w:r w:rsidRPr="00CA099F">
              <w:rPr>
                <w:rFonts w:eastAsia="Times New Roman" w:cs="Times New Roman"/>
                <w:sz w:val="28"/>
                <w:szCs w:val="28"/>
              </w:rPr>
              <w:t>0,09</w:t>
            </w:r>
          </w:p>
        </w:tc>
        <w:tc>
          <w:tcPr>
            <w:tcW w:w="572" w:type="pct"/>
          </w:tcPr>
          <w:p w:rsidR="0030517B" w:rsidRPr="00CA099F" w:rsidRDefault="0030517B" w:rsidP="00E1448E">
            <w:pPr>
              <w:spacing w:after="0" w:line="240" w:lineRule="auto"/>
              <w:jc w:val="center"/>
              <w:rPr>
                <w:rFonts w:eastAsia="Times New Roman" w:cs="Times New Roman"/>
                <w:szCs w:val="28"/>
              </w:rPr>
            </w:pPr>
            <w:r w:rsidRPr="00CA099F">
              <w:rPr>
                <w:rFonts w:eastAsia="Times New Roman" w:cs="Times New Roman"/>
                <w:sz w:val="28"/>
                <w:szCs w:val="28"/>
              </w:rPr>
              <w:t>3,42±</w:t>
            </w:r>
          </w:p>
          <w:p w:rsidR="0030517B" w:rsidRPr="00CA099F" w:rsidRDefault="0030517B" w:rsidP="00E1448E">
            <w:pPr>
              <w:spacing w:after="0" w:line="240" w:lineRule="auto"/>
              <w:jc w:val="center"/>
              <w:rPr>
                <w:rFonts w:eastAsia="Times New Roman" w:cs="Times New Roman"/>
                <w:szCs w:val="28"/>
              </w:rPr>
            </w:pPr>
            <w:r w:rsidRPr="00CA099F">
              <w:rPr>
                <w:rFonts w:eastAsia="Times New Roman" w:cs="Times New Roman"/>
                <w:sz w:val="28"/>
                <w:szCs w:val="28"/>
              </w:rPr>
              <w:t>0,11</w:t>
            </w:r>
          </w:p>
        </w:tc>
        <w:tc>
          <w:tcPr>
            <w:tcW w:w="565" w:type="pct"/>
          </w:tcPr>
          <w:p w:rsidR="0030517B" w:rsidRPr="00CA099F" w:rsidRDefault="0030517B" w:rsidP="00E1448E">
            <w:pPr>
              <w:spacing w:after="0" w:line="240" w:lineRule="auto"/>
              <w:jc w:val="center"/>
              <w:rPr>
                <w:rFonts w:eastAsia="Times New Roman" w:cs="Times New Roman"/>
                <w:szCs w:val="28"/>
              </w:rPr>
            </w:pPr>
            <w:r w:rsidRPr="00CA099F">
              <w:rPr>
                <w:rFonts w:eastAsia="Times New Roman" w:cs="Times New Roman"/>
                <w:sz w:val="28"/>
                <w:szCs w:val="28"/>
              </w:rPr>
              <w:t>3,52±</w:t>
            </w:r>
          </w:p>
          <w:p w:rsidR="0030517B" w:rsidRPr="00CA099F" w:rsidRDefault="0030517B" w:rsidP="00E1448E">
            <w:pPr>
              <w:spacing w:after="0" w:line="240" w:lineRule="auto"/>
              <w:jc w:val="center"/>
              <w:rPr>
                <w:rFonts w:eastAsia="Times New Roman" w:cs="Times New Roman"/>
                <w:szCs w:val="28"/>
              </w:rPr>
            </w:pPr>
            <w:r w:rsidRPr="00CA099F">
              <w:rPr>
                <w:rFonts w:eastAsia="Times New Roman" w:cs="Times New Roman"/>
                <w:sz w:val="28"/>
                <w:szCs w:val="28"/>
              </w:rPr>
              <w:t>0,07</w:t>
            </w:r>
          </w:p>
        </w:tc>
        <w:tc>
          <w:tcPr>
            <w:tcW w:w="572" w:type="pct"/>
          </w:tcPr>
          <w:p w:rsidR="0030517B" w:rsidRPr="00CA099F" w:rsidRDefault="0030517B" w:rsidP="00E1448E">
            <w:pPr>
              <w:spacing w:after="0" w:line="240" w:lineRule="auto"/>
              <w:jc w:val="center"/>
              <w:rPr>
                <w:rFonts w:eastAsia="Times New Roman" w:cs="Times New Roman"/>
                <w:szCs w:val="28"/>
              </w:rPr>
            </w:pPr>
            <w:r w:rsidRPr="00CA099F">
              <w:rPr>
                <w:rFonts w:eastAsia="Times New Roman" w:cs="Times New Roman"/>
                <w:sz w:val="28"/>
                <w:szCs w:val="28"/>
              </w:rPr>
              <w:t>3,19±</w:t>
            </w:r>
          </w:p>
          <w:p w:rsidR="0030517B" w:rsidRPr="00CA099F" w:rsidRDefault="0030517B" w:rsidP="00E1448E">
            <w:pPr>
              <w:spacing w:after="0" w:line="240" w:lineRule="auto"/>
              <w:jc w:val="center"/>
              <w:rPr>
                <w:rFonts w:eastAsia="Times New Roman" w:cs="Times New Roman"/>
                <w:szCs w:val="28"/>
              </w:rPr>
            </w:pPr>
            <w:r w:rsidRPr="00CA099F">
              <w:rPr>
                <w:rFonts w:eastAsia="Times New Roman" w:cs="Times New Roman"/>
                <w:sz w:val="28"/>
                <w:szCs w:val="28"/>
              </w:rPr>
              <w:t>0,09</w:t>
            </w:r>
          </w:p>
        </w:tc>
        <w:tc>
          <w:tcPr>
            <w:tcW w:w="535" w:type="pct"/>
          </w:tcPr>
          <w:p w:rsidR="0030517B" w:rsidRPr="00CA099F" w:rsidRDefault="0030517B" w:rsidP="00E1448E">
            <w:pPr>
              <w:spacing w:after="0" w:line="240" w:lineRule="auto"/>
              <w:jc w:val="center"/>
              <w:rPr>
                <w:rFonts w:eastAsia="Times New Roman" w:cs="Times New Roman"/>
                <w:szCs w:val="28"/>
              </w:rPr>
            </w:pPr>
            <w:r w:rsidRPr="00CA099F">
              <w:rPr>
                <w:rFonts w:eastAsia="Times New Roman" w:cs="Times New Roman"/>
                <w:sz w:val="28"/>
                <w:szCs w:val="28"/>
              </w:rPr>
              <w:t>3,23±</w:t>
            </w:r>
          </w:p>
          <w:p w:rsidR="0030517B" w:rsidRPr="00CA099F" w:rsidRDefault="0030517B" w:rsidP="00E1448E">
            <w:pPr>
              <w:spacing w:after="0" w:line="240" w:lineRule="auto"/>
              <w:jc w:val="center"/>
              <w:rPr>
                <w:rFonts w:eastAsia="Times New Roman" w:cs="Times New Roman"/>
                <w:szCs w:val="28"/>
              </w:rPr>
            </w:pPr>
            <w:r w:rsidRPr="00CA099F">
              <w:rPr>
                <w:rFonts w:eastAsia="Times New Roman" w:cs="Times New Roman"/>
                <w:sz w:val="28"/>
                <w:szCs w:val="28"/>
              </w:rPr>
              <w:t>0,12</w:t>
            </w:r>
          </w:p>
        </w:tc>
        <w:tc>
          <w:tcPr>
            <w:tcW w:w="575" w:type="pct"/>
          </w:tcPr>
          <w:p w:rsidR="0030517B" w:rsidRPr="00CA099F" w:rsidRDefault="0030517B" w:rsidP="00E1448E">
            <w:pPr>
              <w:spacing w:after="0" w:line="240" w:lineRule="auto"/>
              <w:jc w:val="center"/>
              <w:rPr>
                <w:rFonts w:eastAsia="Times New Roman" w:cs="Times New Roman"/>
                <w:szCs w:val="28"/>
              </w:rPr>
            </w:pPr>
            <w:r w:rsidRPr="00CA099F">
              <w:rPr>
                <w:rFonts w:eastAsia="Times New Roman" w:cs="Times New Roman"/>
                <w:sz w:val="28"/>
                <w:szCs w:val="28"/>
              </w:rPr>
              <w:t>3,14±</w:t>
            </w:r>
          </w:p>
          <w:p w:rsidR="0030517B" w:rsidRPr="00CA099F" w:rsidRDefault="0030517B" w:rsidP="00E1448E">
            <w:pPr>
              <w:spacing w:after="0" w:line="240" w:lineRule="auto"/>
              <w:jc w:val="center"/>
              <w:rPr>
                <w:rFonts w:eastAsia="Times New Roman" w:cs="Times New Roman"/>
                <w:szCs w:val="28"/>
              </w:rPr>
            </w:pPr>
            <w:r w:rsidRPr="00CA099F">
              <w:rPr>
                <w:rFonts w:eastAsia="Times New Roman" w:cs="Times New Roman"/>
                <w:sz w:val="28"/>
                <w:szCs w:val="28"/>
              </w:rPr>
              <w:t>0,07</w:t>
            </w:r>
          </w:p>
        </w:tc>
      </w:tr>
      <w:tr w:rsidR="0030517B" w:rsidRPr="00CA099F" w:rsidTr="00E1448E">
        <w:tc>
          <w:tcPr>
            <w:tcW w:w="483" w:type="pct"/>
          </w:tcPr>
          <w:p w:rsidR="0030517B" w:rsidRPr="00CA099F" w:rsidRDefault="0030517B" w:rsidP="00E1448E">
            <w:pPr>
              <w:spacing w:after="0"/>
              <w:jc w:val="center"/>
              <w:rPr>
                <w:rFonts w:eastAsia="Times New Roman" w:cs="Times New Roman"/>
                <w:szCs w:val="28"/>
              </w:rPr>
            </w:pPr>
          </w:p>
        </w:tc>
        <w:tc>
          <w:tcPr>
            <w:tcW w:w="565" w:type="pct"/>
          </w:tcPr>
          <w:p w:rsidR="0030517B" w:rsidRPr="00CA099F" w:rsidRDefault="0030517B" w:rsidP="00E1448E">
            <w:pPr>
              <w:spacing w:after="0" w:line="240" w:lineRule="auto"/>
              <w:jc w:val="center"/>
              <w:rPr>
                <w:rFonts w:eastAsia="Times New Roman" w:cs="Times New Roman"/>
                <w:szCs w:val="28"/>
              </w:rPr>
            </w:pPr>
          </w:p>
        </w:tc>
        <w:tc>
          <w:tcPr>
            <w:tcW w:w="567" w:type="pct"/>
          </w:tcPr>
          <w:p w:rsidR="0030517B" w:rsidRPr="00CA099F" w:rsidRDefault="0030517B" w:rsidP="00E1448E">
            <w:pPr>
              <w:spacing w:after="0" w:line="240" w:lineRule="auto"/>
              <w:jc w:val="center"/>
              <w:rPr>
                <w:rFonts w:eastAsia="Times New Roman" w:cs="Times New Roman"/>
                <w:szCs w:val="28"/>
              </w:rPr>
            </w:pPr>
          </w:p>
        </w:tc>
        <w:tc>
          <w:tcPr>
            <w:tcW w:w="566" w:type="pct"/>
          </w:tcPr>
          <w:p w:rsidR="0030517B" w:rsidRPr="00CA099F" w:rsidRDefault="0030517B" w:rsidP="00E1448E">
            <w:pPr>
              <w:spacing w:after="0" w:line="240" w:lineRule="auto"/>
              <w:jc w:val="center"/>
              <w:rPr>
                <w:rFonts w:eastAsia="Times New Roman" w:cs="Times New Roman"/>
                <w:szCs w:val="28"/>
              </w:rPr>
            </w:pPr>
          </w:p>
        </w:tc>
        <w:tc>
          <w:tcPr>
            <w:tcW w:w="572" w:type="pct"/>
          </w:tcPr>
          <w:p w:rsidR="0030517B" w:rsidRPr="00CA099F" w:rsidRDefault="0030517B" w:rsidP="001C5630">
            <w:pPr>
              <w:spacing w:after="0"/>
              <w:ind w:left="-44"/>
              <w:jc w:val="center"/>
              <w:rPr>
                <w:rFonts w:eastAsia="Times New Roman" w:cs="Times New Roman"/>
                <w:szCs w:val="28"/>
              </w:rPr>
            </w:pPr>
            <w:r w:rsidRPr="00CA099F">
              <w:rPr>
                <w:rFonts w:eastAsia="Times New Roman" w:cs="Times New Roman"/>
                <w:color w:val="000000"/>
                <w:sz w:val="28"/>
                <w:szCs w:val="28"/>
              </w:rPr>
              <w:t>р</w:t>
            </w:r>
            <w:r w:rsidRPr="00CA099F">
              <w:rPr>
                <w:rFonts w:eastAsia="Times New Roman" w:cs="Times New Roman"/>
                <w:color w:val="000000"/>
                <w:sz w:val="28"/>
                <w:szCs w:val="28"/>
                <w:vertAlign w:val="subscript"/>
              </w:rPr>
              <w:t>1</w:t>
            </w:r>
            <w:r w:rsidRPr="00CA099F">
              <w:rPr>
                <w:rFonts w:eastAsia="Times New Roman" w:cs="Times New Roman"/>
                <w:color w:val="000000"/>
                <w:sz w:val="28"/>
                <w:szCs w:val="28"/>
              </w:rPr>
              <w:t>&lt;0,01</w:t>
            </w:r>
          </w:p>
        </w:tc>
        <w:tc>
          <w:tcPr>
            <w:tcW w:w="565" w:type="pct"/>
          </w:tcPr>
          <w:p w:rsidR="0030517B" w:rsidRPr="00CA099F" w:rsidRDefault="0030517B" w:rsidP="001C5630">
            <w:pPr>
              <w:spacing w:after="0"/>
              <w:ind w:left="-44"/>
              <w:jc w:val="center"/>
              <w:rPr>
                <w:rFonts w:eastAsia="Times New Roman" w:cs="Times New Roman"/>
                <w:szCs w:val="28"/>
              </w:rPr>
            </w:pPr>
          </w:p>
        </w:tc>
        <w:tc>
          <w:tcPr>
            <w:tcW w:w="572" w:type="pct"/>
          </w:tcPr>
          <w:p w:rsidR="0030517B" w:rsidRPr="00CA099F" w:rsidRDefault="0030517B" w:rsidP="001C5630">
            <w:pPr>
              <w:spacing w:after="0"/>
              <w:ind w:left="-44"/>
              <w:jc w:val="center"/>
              <w:rPr>
                <w:rFonts w:eastAsia="Times New Roman" w:cs="Times New Roman"/>
                <w:szCs w:val="28"/>
              </w:rPr>
            </w:pPr>
            <w:r w:rsidRPr="00CA099F">
              <w:rPr>
                <w:rFonts w:eastAsia="Times New Roman" w:cs="Times New Roman"/>
                <w:color w:val="000000"/>
                <w:sz w:val="28"/>
                <w:szCs w:val="28"/>
              </w:rPr>
              <w:t>р</w:t>
            </w:r>
            <w:r w:rsidRPr="00CA099F">
              <w:rPr>
                <w:rFonts w:eastAsia="Times New Roman" w:cs="Times New Roman"/>
                <w:color w:val="000000"/>
                <w:sz w:val="28"/>
                <w:szCs w:val="28"/>
                <w:vertAlign w:val="subscript"/>
              </w:rPr>
              <w:t>2</w:t>
            </w:r>
            <w:r w:rsidRPr="00CA099F">
              <w:rPr>
                <w:rFonts w:eastAsia="Times New Roman" w:cs="Times New Roman"/>
                <w:color w:val="000000"/>
                <w:sz w:val="28"/>
                <w:szCs w:val="28"/>
              </w:rPr>
              <w:t>&lt;0,01</w:t>
            </w:r>
          </w:p>
        </w:tc>
        <w:tc>
          <w:tcPr>
            <w:tcW w:w="535" w:type="pct"/>
          </w:tcPr>
          <w:p w:rsidR="0030517B" w:rsidRPr="00CA099F" w:rsidRDefault="0030517B" w:rsidP="00E1448E">
            <w:pPr>
              <w:spacing w:after="0"/>
              <w:jc w:val="center"/>
              <w:rPr>
                <w:rFonts w:eastAsia="Times New Roman" w:cs="Times New Roman"/>
                <w:szCs w:val="28"/>
              </w:rPr>
            </w:pPr>
          </w:p>
        </w:tc>
        <w:tc>
          <w:tcPr>
            <w:tcW w:w="575" w:type="pct"/>
          </w:tcPr>
          <w:p w:rsidR="0030517B" w:rsidRPr="00CA099F" w:rsidRDefault="0030517B" w:rsidP="00E1448E">
            <w:pPr>
              <w:spacing w:after="0"/>
              <w:jc w:val="center"/>
              <w:rPr>
                <w:rFonts w:eastAsia="Times New Roman" w:cs="Times New Roman"/>
                <w:szCs w:val="28"/>
              </w:rPr>
            </w:pPr>
          </w:p>
        </w:tc>
      </w:tr>
      <w:tr w:rsidR="0030517B" w:rsidRPr="00CA099F" w:rsidTr="00E1448E">
        <w:tc>
          <w:tcPr>
            <w:tcW w:w="483" w:type="pct"/>
          </w:tcPr>
          <w:p w:rsidR="0030517B" w:rsidRPr="00CA099F" w:rsidRDefault="0030517B" w:rsidP="00065B03">
            <w:pPr>
              <w:spacing w:after="0"/>
              <w:ind w:right="-88"/>
              <w:jc w:val="center"/>
              <w:rPr>
                <w:rFonts w:eastAsia="Times New Roman" w:cs="Times New Roman"/>
                <w:szCs w:val="28"/>
              </w:rPr>
            </w:pPr>
            <w:r w:rsidRPr="00CA099F">
              <w:rPr>
                <w:rFonts w:eastAsia="Times New Roman" w:cs="Times New Roman"/>
                <w:sz w:val="28"/>
                <w:szCs w:val="28"/>
              </w:rPr>
              <w:t>ДК, ум.од./кг</w:t>
            </w:r>
          </w:p>
        </w:tc>
        <w:tc>
          <w:tcPr>
            <w:tcW w:w="565" w:type="pct"/>
          </w:tcPr>
          <w:p w:rsidR="0030517B" w:rsidRPr="00CA099F" w:rsidRDefault="0030517B" w:rsidP="00E1448E">
            <w:pPr>
              <w:spacing w:after="0" w:line="240" w:lineRule="auto"/>
              <w:jc w:val="center"/>
              <w:rPr>
                <w:rFonts w:eastAsia="Times New Roman" w:cs="Times New Roman"/>
                <w:szCs w:val="28"/>
              </w:rPr>
            </w:pPr>
            <w:r w:rsidRPr="00CA099F">
              <w:rPr>
                <w:rFonts w:eastAsia="Times New Roman" w:cs="Times New Roman"/>
                <w:sz w:val="28"/>
                <w:szCs w:val="28"/>
              </w:rPr>
              <w:t>4,49±</w:t>
            </w:r>
          </w:p>
          <w:p w:rsidR="0030517B" w:rsidRPr="00CA099F" w:rsidRDefault="0030517B" w:rsidP="00E1448E">
            <w:pPr>
              <w:spacing w:after="0" w:line="240" w:lineRule="auto"/>
              <w:jc w:val="center"/>
              <w:rPr>
                <w:rFonts w:eastAsia="Times New Roman" w:cs="Times New Roman"/>
                <w:szCs w:val="28"/>
              </w:rPr>
            </w:pPr>
            <w:r w:rsidRPr="00CA099F">
              <w:rPr>
                <w:rFonts w:eastAsia="Times New Roman" w:cs="Times New Roman"/>
                <w:sz w:val="28"/>
                <w:szCs w:val="28"/>
              </w:rPr>
              <w:t>0,06</w:t>
            </w:r>
          </w:p>
        </w:tc>
        <w:tc>
          <w:tcPr>
            <w:tcW w:w="567" w:type="pct"/>
          </w:tcPr>
          <w:p w:rsidR="0030517B" w:rsidRPr="00CA099F" w:rsidRDefault="0030517B" w:rsidP="00E1448E">
            <w:pPr>
              <w:spacing w:after="0" w:line="240" w:lineRule="auto"/>
              <w:jc w:val="center"/>
              <w:rPr>
                <w:rFonts w:eastAsia="Times New Roman" w:cs="Times New Roman"/>
                <w:szCs w:val="28"/>
              </w:rPr>
            </w:pPr>
            <w:r w:rsidRPr="00CA099F">
              <w:rPr>
                <w:rFonts w:eastAsia="Times New Roman" w:cs="Times New Roman"/>
                <w:sz w:val="28"/>
                <w:szCs w:val="28"/>
              </w:rPr>
              <w:t>2,76±</w:t>
            </w:r>
          </w:p>
          <w:p w:rsidR="0030517B" w:rsidRPr="00CA099F" w:rsidRDefault="0030517B" w:rsidP="00E1448E">
            <w:pPr>
              <w:spacing w:after="0" w:line="240" w:lineRule="auto"/>
              <w:jc w:val="center"/>
              <w:rPr>
                <w:rFonts w:eastAsia="Times New Roman" w:cs="Times New Roman"/>
                <w:szCs w:val="28"/>
              </w:rPr>
            </w:pPr>
            <w:r w:rsidRPr="00CA099F">
              <w:rPr>
                <w:rFonts w:eastAsia="Times New Roman" w:cs="Times New Roman"/>
                <w:sz w:val="28"/>
                <w:szCs w:val="28"/>
              </w:rPr>
              <w:t>0,06</w:t>
            </w:r>
          </w:p>
        </w:tc>
        <w:tc>
          <w:tcPr>
            <w:tcW w:w="566" w:type="pct"/>
          </w:tcPr>
          <w:p w:rsidR="0030517B" w:rsidRPr="00CA099F" w:rsidRDefault="0030517B" w:rsidP="00E1448E">
            <w:pPr>
              <w:spacing w:after="0" w:line="240" w:lineRule="auto"/>
              <w:jc w:val="center"/>
              <w:rPr>
                <w:rFonts w:eastAsia="Times New Roman" w:cs="Times New Roman"/>
                <w:szCs w:val="28"/>
              </w:rPr>
            </w:pPr>
            <w:r w:rsidRPr="00CA099F">
              <w:rPr>
                <w:rFonts w:eastAsia="Times New Roman" w:cs="Times New Roman"/>
                <w:sz w:val="28"/>
                <w:szCs w:val="28"/>
              </w:rPr>
              <w:t>3,24±</w:t>
            </w:r>
          </w:p>
          <w:p w:rsidR="0030517B" w:rsidRPr="00CA099F" w:rsidRDefault="0030517B" w:rsidP="00E1448E">
            <w:pPr>
              <w:spacing w:after="0" w:line="240" w:lineRule="auto"/>
              <w:jc w:val="center"/>
              <w:rPr>
                <w:rFonts w:eastAsia="Times New Roman" w:cs="Times New Roman"/>
                <w:szCs w:val="28"/>
              </w:rPr>
            </w:pPr>
            <w:r w:rsidRPr="00CA099F">
              <w:rPr>
                <w:rFonts w:eastAsia="Times New Roman" w:cs="Times New Roman"/>
                <w:sz w:val="28"/>
                <w:szCs w:val="28"/>
              </w:rPr>
              <w:t>0,02</w:t>
            </w:r>
          </w:p>
        </w:tc>
        <w:tc>
          <w:tcPr>
            <w:tcW w:w="572" w:type="pct"/>
          </w:tcPr>
          <w:p w:rsidR="0030517B" w:rsidRPr="00CA099F" w:rsidRDefault="0030517B" w:rsidP="00E1448E">
            <w:pPr>
              <w:spacing w:after="0" w:line="240" w:lineRule="auto"/>
              <w:jc w:val="center"/>
              <w:rPr>
                <w:rFonts w:eastAsia="Times New Roman" w:cs="Times New Roman"/>
                <w:szCs w:val="28"/>
              </w:rPr>
            </w:pPr>
            <w:r w:rsidRPr="00CA099F">
              <w:rPr>
                <w:rFonts w:eastAsia="Times New Roman" w:cs="Times New Roman"/>
                <w:sz w:val="28"/>
                <w:szCs w:val="28"/>
              </w:rPr>
              <w:t>2,42±</w:t>
            </w:r>
          </w:p>
          <w:p w:rsidR="0030517B" w:rsidRPr="00CA099F" w:rsidRDefault="0030517B" w:rsidP="00E1448E">
            <w:pPr>
              <w:spacing w:after="0" w:line="240" w:lineRule="auto"/>
              <w:jc w:val="center"/>
              <w:rPr>
                <w:rFonts w:eastAsia="Times New Roman" w:cs="Times New Roman"/>
                <w:szCs w:val="28"/>
              </w:rPr>
            </w:pPr>
            <w:r w:rsidRPr="00CA099F">
              <w:rPr>
                <w:rFonts w:eastAsia="Times New Roman" w:cs="Times New Roman"/>
                <w:sz w:val="28"/>
                <w:szCs w:val="28"/>
              </w:rPr>
              <w:t>0,03</w:t>
            </w:r>
          </w:p>
        </w:tc>
        <w:tc>
          <w:tcPr>
            <w:tcW w:w="565" w:type="pct"/>
          </w:tcPr>
          <w:p w:rsidR="0030517B" w:rsidRPr="00CA099F" w:rsidRDefault="0030517B" w:rsidP="00E1448E">
            <w:pPr>
              <w:spacing w:after="0" w:line="240" w:lineRule="auto"/>
              <w:jc w:val="center"/>
              <w:rPr>
                <w:rFonts w:eastAsia="Times New Roman" w:cs="Times New Roman"/>
                <w:szCs w:val="28"/>
              </w:rPr>
            </w:pPr>
            <w:r w:rsidRPr="00CA099F">
              <w:rPr>
                <w:rFonts w:eastAsia="Times New Roman" w:cs="Times New Roman"/>
                <w:sz w:val="28"/>
                <w:szCs w:val="28"/>
              </w:rPr>
              <w:t>2,60±</w:t>
            </w:r>
          </w:p>
          <w:p w:rsidR="0030517B" w:rsidRPr="00CA099F" w:rsidRDefault="0030517B" w:rsidP="00E1448E">
            <w:pPr>
              <w:spacing w:after="0" w:line="240" w:lineRule="auto"/>
              <w:jc w:val="center"/>
              <w:rPr>
                <w:rFonts w:eastAsia="Times New Roman" w:cs="Times New Roman"/>
                <w:szCs w:val="28"/>
              </w:rPr>
            </w:pPr>
            <w:r w:rsidRPr="00CA099F">
              <w:rPr>
                <w:rFonts w:eastAsia="Times New Roman" w:cs="Times New Roman"/>
                <w:sz w:val="28"/>
                <w:szCs w:val="28"/>
              </w:rPr>
              <w:t>0,04</w:t>
            </w:r>
          </w:p>
        </w:tc>
        <w:tc>
          <w:tcPr>
            <w:tcW w:w="572" w:type="pct"/>
          </w:tcPr>
          <w:p w:rsidR="0030517B" w:rsidRPr="00CA099F" w:rsidRDefault="0030517B" w:rsidP="00E1448E">
            <w:pPr>
              <w:spacing w:after="0" w:line="240" w:lineRule="auto"/>
              <w:jc w:val="center"/>
              <w:rPr>
                <w:rFonts w:eastAsia="Times New Roman" w:cs="Times New Roman"/>
                <w:szCs w:val="28"/>
              </w:rPr>
            </w:pPr>
            <w:r w:rsidRPr="00CA099F">
              <w:rPr>
                <w:rFonts w:eastAsia="Times New Roman" w:cs="Times New Roman"/>
                <w:sz w:val="28"/>
                <w:szCs w:val="28"/>
              </w:rPr>
              <w:t>2,26±</w:t>
            </w:r>
          </w:p>
          <w:p w:rsidR="0030517B" w:rsidRPr="00CA099F" w:rsidRDefault="0030517B" w:rsidP="00E1448E">
            <w:pPr>
              <w:spacing w:after="0" w:line="240" w:lineRule="auto"/>
              <w:jc w:val="center"/>
              <w:rPr>
                <w:rFonts w:eastAsia="Times New Roman" w:cs="Times New Roman"/>
                <w:szCs w:val="28"/>
              </w:rPr>
            </w:pPr>
            <w:r w:rsidRPr="00CA099F">
              <w:rPr>
                <w:rFonts w:eastAsia="Times New Roman" w:cs="Times New Roman"/>
                <w:sz w:val="28"/>
                <w:szCs w:val="28"/>
              </w:rPr>
              <w:t>0,02</w:t>
            </w:r>
          </w:p>
        </w:tc>
        <w:tc>
          <w:tcPr>
            <w:tcW w:w="535" w:type="pct"/>
          </w:tcPr>
          <w:p w:rsidR="0030517B" w:rsidRPr="00CA099F" w:rsidRDefault="0030517B" w:rsidP="00E1448E">
            <w:pPr>
              <w:spacing w:after="0" w:line="240" w:lineRule="auto"/>
              <w:jc w:val="center"/>
              <w:rPr>
                <w:rFonts w:eastAsia="Times New Roman" w:cs="Times New Roman"/>
                <w:szCs w:val="28"/>
              </w:rPr>
            </w:pPr>
            <w:r w:rsidRPr="00CA099F">
              <w:rPr>
                <w:rFonts w:eastAsia="Times New Roman" w:cs="Times New Roman"/>
                <w:sz w:val="28"/>
                <w:szCs w:val="28"/>
              </w:rPr>
              <w:t>2,29±</w:t>
            </w:r>
          </w:p>
          <w:p w:rsidR="0030517B" w:rsidRPr="00CA099F" w:rsidRDefault="0030517B" w:rsidP="00E1448E">
            <w:pPr>
              <w:spacing w:after="0" w:line="240" w:lineRule="auto"/>
              <w:jc w:val="center"/>
              <w:rPr>
                <w:rFonts w:eastAsia="Times New Roman" w:cs="Times New Roman"/>
                <w:szCs w:val="28"/>
              </w:rPr>
            </w:pPr>
            <w:r w:rsidRPr="00CA099F">
              <w:rPr>
                <w:rFonts w:eastAsia="Times New Roman" w:cs="Times New Roman"/>
                <w:sz w:val="28"/>
                <w:szCs w:val="28"/>
              </w:rPr>
              <w:t>0,02</w:t>
            </w:r>
          </w:p>
        </w:tc>
        <w:tc>
          <w:tcPr>
            <w:tcW w:w="575" w:type="pct"/>
          </w:tcPr>
          <w:p w:rsidR="0030517B" w:rsidRPr="00CA099F" w:rsidRDefault="0030517B" w:rsidP="00E1448E">
            <w:pPr>
              <w:spacing w:after="0" w:line="240" w:lineRule="auto"/>
              <w:jc w:val="center"/>
              <w:rPr>
                <w:rFonts w:eastAsia="Times New Roman" w:cs="Times New Roman"/>
                <w:szCs w:val="28"/>
              </w:rPr>
            </w:pPr>
            <w:r w:rsidRPr="00CA099F">
              <w:rPr>
                <w:rFonts w:eastAsia="Times New Roman" w:cs="Times New Roman"/>
                <w:sz w:val="28"/>
                <w:szCs w:val="28"/>
              </w:rPr>
              <w:t>2,21±</w:t>
            </w:r>
          </w:p>
          <w:p w:rsidR="0030517B" w:rsidRPr="00CA099F" w:rsidRDefault="0030517B" w:rsidP="00E1448E">
            <w:pPr>
              <w:spacing w:after="0" w:line="240" w:lineRule="auto"/>
              <w:jc w:val="center"/>
              <w:rPr>
                <w:rFonts w:eastAsia="Times New Roman" w:cs="Times New Roman"/>
                <w:szCs w:val="28"/>
              </w:rPr>
            </w:pPr>
            <w:r w:rsidRPr="00CA099F">
              <w:rPr>
                <w:rFonts w:eastAsia="Times New Roman" w:cs="Times New Roman"/>
                <w:sz w:val="28"/>
                <w:szCs w:val="28"/>
              </w:rPr>
              <w:t>0,02</w:t>
            </w:r>
          </w:p>
        </w:tc>
      </w:tr>
      <w:tr w:rsidR="0030517B" w:rsidRPr="00CA099F" w:rsidTr="00E1448E">
        <w:tc>
          <w:tcPr>
            <w:tcW w:w="483" w:type="pct"/>
          </w:tcPr>
          <w:p w:rsidR="0030517B" w:rsidRPr="00CA099F" w:rsidRDefault="0030517B" w:rsidP="00065B03">
            <w:pPr>
              <w:spacing w:after="0"/>
              <w:ind w:right="-88"/>
              <w:jc w:val="center"/>
              <w:rPr>
                <w:rFonts w:eastAsia="Times New Roman" w:cs="Times New Roman"/>
                <w:szCs w:val="28"/>
              </w:rPr>
            </w:pPr>
          </w:p>
        </w:tc>
        <w:tc>
          <w:tcPr>
            <w:tcW w:w="565" w:type="pct"/>
          </w:tcPr>
          <w:p w:rsidR="0030517B" w:rsidRPr="00CA099F" w:rsidRDefault="0030517B" w:rsidP="00E1448E">
            <w:pPr>
              <w:spacing w:after="0" w:line="240" w:lineRule="auto"/>
              <w:jc w:val="center"/>
              <w:rPr>
                <w:rFonts w:eastAsia="Times New Roman" w:cs="Times New Roman"/>
                <w:szCs w:val="28"/>
              </w:rPr>
            </w:pPr>
          </w:p>
        </w:tc>
        <w:tc>
          <w:tcPr>
            <w:tcW w:w="567" w:type="pct"/>
          </w:tcPr>
          <w:p w:rsidR="0030517B" w:rsidRPr="00CA099F" w:rsidRDefault="0030517B" w:rsidP="00E1448E">
            <w:pPr>
              <w:spacing w:after="0" w:line="240" w:lineRule="auto"/>
              <w:jc w:val="center"/>
              <w:rPr>
                <w:rFonts w:eastAsia="Times New Roman" w:cs="Times New Roman"/>
                <w:szCs w:val="28"/>
              </w:rPr>
            </w:pPr>
          </w:p>
        </w:tc>
        <w:tc>
          <w:tcPr>
            <w:tcW w:w="566" w:type="pct"/>
          </w:tcPr>
          <w:p w:rsidR="0030517B" w:rsidRPr="00CA099F" w:rsidRDefault="0030517B" w:rsidP="00E1448E">
            <w:pPr>
              <w:spacing w:after="0" w:line="240" w:lineRule="auto"/>
              <w:jc w:val="center"/>
              <w:rPr>
                <w:rFonts w:eastAsia="Times New Roman" w:cs="Times New Roman"/>
                <w:szCs w:val="28"/>
              </w:rPr>
            </w:pPr>
          </w:p>
        </w:tc>
        <w:tc>
          <w:tcPr>
            <w:tcW w:w="572" w:type="pct"/>
          </w:tcPr>
          <w:p w:rsidR="0030517B" w:rsidRPr="00CA099F" w:rsidRDefault="0030517B" w:rsidP="001C5630">
            <w:pPr>
              <w:spacing w:after="0"/>
              <w:ind w:left="-44"/>
              <w:jc w:val="center"/>
              <w:rPr>
                <w:rFonts w:eastAsia="Times New Roman" w:cs="Times New Roman"/>
                <w:szCs w:val="28"/>
              </w:rPr>
            </w:pPr>
            <w:r w:rsidRPr="00CA099F">
              <w:rPr>
                <w:rFonts w:eastAsia="Times New Roman" w:cs="Times New Roman"/>
                <w:color w:val="000000"/>
                <w:sz w:val="28"/>
                <w:szCs w:val="28"/>
              </w:rPr>
              <w:t>р</w:t>
            </w:r>
            <w:r w:rsidRPr="00CA099F">
              <w:rPr>
                <w:rFonts w:eastAsia="Times New Roman" w:cs="Times New Roman"/>
                <w:color w:val="000000"/>
                <w:sz w:val="28"/>
                <w:szCs w:val="28"/>
                <w:vertAlign w:val="subscript"/>
              </w:rPr>
              <w:t>1</w:t>
            </w:r>
            <w:r w:rsidRPr="00CA099F">
              <w:rPr>
                <w:rFonts w:eastAsia="Times New Roman" w:cs="Times New Roman"/>
                <w:color w:val="000000"/>
                <w:sz w:val="28"/>
                <w:szCs w:val="28"/>
              </w:rPr>
              <w:t>&lt;0,01</w:t>
            </w:r>
          </w:p>
        </w:tc>
        <w:tc>
          <w:tcPr>
            <w:tcW w:w="565" w:type="pct"/>
          </w:tcPr>
          <w:p w:rsidR="0030517B" w:rsidRPr="00CA099F" w:rsidRDefault="0030517B" w:rsidP="001C5630">
            <w:pPr>
              <w:spacing w:after="0"/>
              <w:ind w:left="-44"/>
              <w:jc w:val="center"/>
              <w:rPr>
                <w:rFonts w:eastAsia="Times New Roman" w:cs="Times New Roman"/>
                <w:szCs w:val="28"/>
              </w:rPr>
            </w:pPr>
          </w:p>
        </w:tc>
        <w:tc>
          <w:tcPr>
            <w:tcW w:w="572" w:type="pct"/>
          </w:tcPr>
          <w:p w:rsidR="0030517B" w:rsidRPr="00CA099F" w:rsidRDefault="0030517B" w:rsidP="001C5630">
            <w:pPr>
              <w:spacing w:after="0"/>
              <w:ind w:left="-44"/>
              <w:jc w:val="center"/>
              <w:rPr>
                <w:rFonts w:eastAsia="Times New Roman" w:cs="Times New Roman"/>
                <w:szCs w:val="28"/>
              </w:rPr>
            </w:pPr>
            <w:r w:rsidRPr="00CA099F">
              <w:rPr>
                <w:rFonts w:eastAsia="Times New Roman" w:cs="Times New Roman"/>
                <w:sz w:val="28"/>
                <w:szCs w:val="28"/>
              </w:rPr>
              <w:t>р</w:t>
            </w:r>
            <w:r w:rsidRPr="00CA099F">
              <w:rPr>
                <w:rFonts w:eastAsia="Times New Roman" w:cs="Times New Roman"/>
                <w:sz w:val="28"/>
                <w:szCs w:val="28"/>
                <w:vertAlign w:val="subscript"/>
              </w:rPr>
              <w:t>2</w:t>
            </w:r>
            <w:r w:rsidRPr="00CA099F">
              <w:rPr>
                <w:rFonts w:eastAsia="Times New Roman" w:cs="Times New Roman"/>
                <w:sz w:val="28"/>
                <w:szCs w:val="28"/>
              </w:rPr>
              <w:t>&lt;0,01</w:t>
            </w:r>
          </w:p>
        </w:tc>
        <w:tc>
          <w:tcPr>
            <w:tcW w:w="535" w:type="pct"/>
          </w:tcPr>
          <w:p w:rsidR="0030517B" w:rsidRPr="00CA099F" w:rsidRDefault="0030517B" w:rsidP="00E1448E">
            <w:pPr>
              <w:spacing w:after="0"/>
              <w:jc w:val="center"/>
              <w:rPr>
                <w:rFonts w:eastAsia="Times New Roman" w:cs="Times New Roman"/>
                <w:szCs w:val="28"/>
              </w:rPr>
            </w:pPr>
          </w:p>
        </w:tc>
        <w:tc>
          <w:tcPr>
            <w:tcW w:w="575" w:type="pct"/>
          </w:tcPr>
          <w:p w:rsidR="0030517B" w:rsidRPr="00CA099F" w:rsidRDefault="0030517B" w:rsidP="00E1448E">
            <w:pPr>
              <w:spacing w:after="0"/>
              <w:jc w:val="center"/>
              <w:rPr>
                <w:rFonts w:eastAsia="Times New Roman" w:cs="Times New Roman"/>
                <w:szCs w:val="28"/>
              </w:rPr>
            </w:pPr>
          </w:p>
        </w:tc>
      </w:tr>
      <w:tr w:rsidR="0030517B" w:rsidRPr="00CA099F" w:rsidTr="00E1448E">
        <w:tc>
          <w:tcPr>
            <w:tcW w:w="483" w:type="pct"/>
          </w:tcPr>
          <w:p w:rsidR="0030517B" w:rsidRPr="00CA099F" w:rsidRDefault="0030517B" w:rsidP="00065B03">
            <w:pPr>
              <w:spacing w:after="0"/>
              <w:ind w:right="-88"/>
              <w:jc w:val="center"/>
              <w:rPr>
                <w:rFonts w:eastAsia="Times New Roman" w:cs="Times New Roman"/>
                <w:szCs w:val="28"/>
              </w:rPr>
            </w:pPr>
            <w:r w:rsidRPr="00CA099F">
              <w:rPr>
                <w:rFonts w:eastAsia="Times New Roman" w:cs="Times New Roman"/>
                <w:sz w:val="28"/>
                <w:szCs w:val="28"/>
              </w:rPr>
              <w:t>ТК, ум.од./кг</w:t>
            </w:r>
          </w:p>
        </w:tc>
        <w:tc>
          <w:tcPr>
            <w:tcW w:w="565" w:type="pct"/>
          </w:tcPr>
          <w:p w:rsidR="0030517B" w:rsidRPr="00CA099F" w:rsidRDefault="0030517B" w:rsidP="00E1448E">
            <w:pPr>
              <w:spacing w:after="0" w:line="240" w:lineRule="auto"/>
              <w:jc w:val="center"/>
              <w:rPr>
                <w:rFonts w:eastAsia="Times New Roman" w:cs="Times New Roman"/>
                <w:szCs w:val="28"/>
              </w:rPr>
            </w:pPr>
            <w:r w:rsidRPr="00CA099F">
              <w:rPr>
                <w:rFonts w:eastAsia="Times New Roman" w:cs="Times New Roman"/>
                <w:sz w:val="28"/>
                <w:szCs w:val="28"/>
              </w:rPr>
              <w:t>4,56±</w:t>
            </w:r>
          </w:p>
          <w:p w:rsidR="0030517B" w:rsidRPr="00CA099F" w:rsidRDefault="0030517B" w:rsidP="00E1448E">
            <w:pPr>
              <w:spacing w:after="0" w:line="240" w:lineRule="auto"/>
              <w:jc w:val="center"/>
              <w:rPr>
                <w:rFonts w:eastAsia="Times New Roman" w:cs="Times New Roman"/>
                <w:szCs w:val="28"/>
              </w:rPr>
            </w:pPr>
            <w:r w:rsidRPr="00CA099F">
              <w:rPr>
                <w:rFonts w:eastAsia="Times New Roman" w:cs="Times New Roman"/>
                <w:sz w:val="28"/>
                <w:szCs w:val="28"/>
              </w:rPr>
              <w:t>0,10</w:t>
            </w:r>
          </w:p>
        </w:tc>
        <w:tc>
          <w:tcPr>
            <w:tcW w:w="567" w:type="pct"/>
          </w:tcPr>
          <w:p w:rsidR="0030517B" w:rsidRPr="00CA099F" w:rsidRDefault="0030517B" w:rsidP="00E1448E">
            <w:pPr>
              <w:spacing w:after="0" w:line="240" w:lineRule="auto"/>
              <w:jc w:val="center"/>
              <w:rPr>
                <w:rFonts w:eastAsia="Times New Roman" w:cs="Times New Roman"/>
                <w:szCs w:val="28"/>
              </w:rPr>
            </w:pPr>
            <w:r w:rsidRPr="00CA099F">
              <w:rPr>
                <w:rFonts w:eastAsia="Times New Roman" w:cs="Times New Roman"/>
                <w:sz w:val="28"/>
                <w:szCs w:val="28"/>
              </w:rPr>
              <w:t>3,21±</w:t>
            </w:r>
          </w:p>
          <w:p w:rsidR="0030517B" w:rsidRPr="00CA099F" w:rsidRDefault="0030517B" w:rsidP="00E1448E">
            <w:pPr>
              <w:spacing w:after="0" w:line="240" w:lineRule="auto"/>
              <w:jc w:val="center"/>
              <w:rPr>
                <w:rFonts w:eastAsia="Times New Roman" w:cs="Times New Roman"/>
                <w:szCs w:val="28"/>
              </w:rPr>
            </w:pPr>
            <w:r w:rsidRPr="00CA099F">
              <w:rPr>
                <w:rFonts w:eastAsia="Times New Roman" w:cs="Times New Roman"/>
                <w:sz w:val="28"/>
                <w:szCs w:val="28"/>
              </w:rPr>
              <w:t>0,07</w:t>
            </w:r>
          </w:p>
        </w:tc>
        <w:tc>
          <w:tcPr>
            <w:tcW w:w="566" w:type="pct"/>
          </w:tcPr>
          <w:p w:rsidR="0030517B" w:rsidRPr="00CA099F" w:rsidRDefault="0030517B" w:rsidP="00E1448E">
            <w:pPr>
              <w:spacing w:after="0" w:line="240" w:lineRule="auto"/>
              <w:jc w:val="center"/>
              <w:rPr>
                <w:rFonts w:eastAsia="Times New Roman" w:cs="Times New Roman"/>
                <w:szCs w:val="28"/>
              </w:rPr>
            </w:pPr>
            <w:r w:rsidRPr="00CA099F">
              <w:rPr>
                <w:rFonts w:eastAsia="Times New Roman" w:cs="Times New Roman"/>
                <w:sz w:val="28"/>
                <w:szCs w:val="28"/>
              </w:rPr>
              <w:t>3,43±</w:t>
            </w:r>
          </w:p>
          <w:p w:rsidR="0030517B" w:rsidRPr="00CA099F" w:rsidRDefault="0030517B" w:rsidP="00E1448E">
            <w:pPr>
              <w:spacing w:after="0" w:line="240" w:lineRule="auto"/>
              <w:jc w:val="center"/>
              <w:rPr>
                <w:rFonts w:eastAsia="Times New Roman" w:cs="Times New Roman"/>
                <w:szCs w:val="28"/>
              </w:rPr>
            </w:pPr>
            <w:r w:rsidRPr="00CA099F">
              <w:rPr>
                <w:rFonts w:eastAsia="Times New Roman" w:cs="Times New Roman"/>
                <w:sz w:val="28"/>
                <w:szCs w:val="28"/>
              </w:rPr>
              <w:t>0,04</w:t>
            </w:r>
          </w:p>
        </w:tc>
        <w:tc>
          <w:tcPr>
            <w:tcW w:w="572" w:type="pct"/>
          </w:tcPr>
          <w:p w:rsidR="0030517B" w:rsidRPr="00CA099F" w:rsidRDefault="0030517B" w:rsidP="00E1448E">
            <w:pPr>
              <w:spacing w:after="0" w:line="240" w:lineRule="auto"/>
              <w:jc w:val="center"/>
              <w:rPr>
                <w:rFonts w:eastAsia="Times New Roman" w:cs="Times New Roman"/>
                <w:szCs w:val="28"/>
              </w:rPr>
            </w:pPr>
            <w:r w:rsidRPr="00CA099F">
              <w:rPr>
                <w:rFonts w:eastAsia="Times New Roman" w:cs="Times New Roman"/>
                <w:sz w:val="28"/>
                <w:szCs w:val="28"/>
              </w:rPr>
              <w:t>2,61±</w:t>
            </w:r>
          </w:p>
          <w:p w:rsidR="0030517B" w:rsidRPr="00CA099F" w:rsidRDefault="0030517B" w:rsidP="00E1448E">
            <w:pPr>
              <w:spacing w:after="0" w:line="240" w:lineRule="auto"/>
              <w:jc w:val="center"/>
              <w:rPr>
                <w:rFonts w:eastAsia="Times New Roman" w:cs="Times New Roman"/>
                <w:szCs w:val="28"/>
              </w:rPr>
            </w:pPr>
            <w:r w:rsidRPr="00CA099F">
              <w:rPr>
                <w:rFonts w:eastAsia="Times New Roman" w:cs="Times New Roman"/>
                <w:sz w:val="28"/>
                <w:szCs w:val="28"/>
              </w:rPr>
              <w:t>0,07</w:t>
            </w:r>
          </w:p>
        </w:tc>
        <w:tc>
          <w:tcPr>
            <w:tcW w:w="565" w:type="pct"/>
          </w:tcPr>
          <w:p w:rsidR="0030517B" w:rsidRPr="00CA099F" w:rsidRDefault="0030517B" w:rsidP="00E1448E">
            <w:pPr>
              <w:spacing w:after="0" w:line="240" w:lineRule="auto"/>
              <w:jc w:val="center"/>
              <w:rPr>
                <w:rFonts w:eastAsia="Times New Roman" w:cs="Times New Roman"/>
                <w:szCs w:val="28"/>
              </w:rPr>
            </w:pPr>
            <w:r w:rsidRPr="00CA099F">
              <w:rPr>
                <w:rFonts w:eastAsia="Times New Roman" w:cs="Times New Roman"/>
                <w:sz w:val="28"/>
                <w:szCs w:val="28"/>
              </w:rPr>
              <w:t>2,69±</w:t>
            </w:r>
          </w:p>
          <w:p w:rsidR="0030517B" w:rsidRPr="00CA099F" w:rsidRDefault="0030517B" w:rsidP="00E1448E">
            <w:pPr>
              <w:spacing w:after="0" w:line="240" w:lineRule="auto"/>
              <w:jc w:val="center"/>
              <w:rPr>
                <w:rFonts w:eastAsia="Times New Roman" w:cs="Times New Roman"/>
                <w:szCs w:val="28"/>
              </w:rPr>
            </w:pPr>
            <w:r w:rsidRPr="00CA099F">
              <w:rPr>
                <w:rFonts w:eastAsia="Times New Roman" w:cs="Times New Roman"/>
                <w:sz w:val="28"/>
                <w:szCs w:val="28"/>
              </w:rPr>
              <w:t>0,03</w:t>
            </w:r>
          </w:p>
        </w:tc>
        <w:tc>
          <w:tcPr>
            <w:tcW w:w="572" w:type="pct"/>
          </w:tcPr>
          <w:p w:rsidR="0030517B" w:rsidRPr="00CA099F" w:rsidRDefault="0030517B" w:rsidP="00E1448E">
            <w:pPr>
              <w:spacing w:after="0" w:line="240" w:lineRule="auto"/>
              <w:jc w:val="center"/>
              <w:rPr>
                <w:rFonts w:eastAsia="Times New Roman" w:cs="Times New Roman"/>
                <w:szCs w:val="28"/>
              </w:rPr>
            </w:pPr>
            <w:r w:rsidRPr="00CA099F">
              <w:rPr>
                <w:rFonts w:eastAsia="Times New Roman" w:cs="Times New Roman"/>
                <w:sz w:val="28"/>
                <w:szCs w:val="28"/>
              </w:rPr>
              <w:t>2,39±</w:t>
            </w:r>
          </w:p>
          <w:p w:rsidR="0030517B" w:rsidRPr="00CA099F" w:rsidRDefault="0030517B" w:rsidP="00E1448E">
            <w:pPr>
              <w:spacing w:after="0" w:line="240" w:lineRule="auto"/>
              <w:jc w:val="center"/>
              <w:rPr>
                <w:rFonts w:eastAsia="Times New Roman" w:cs="Times New Roman"/>
                <w:szCs w:val="28"/>
              </w:rPr>
            </w:pPr>
            <w:r w:rsidRPr="00CA099F">
              <w:rPr>
                <w:rFonts w:eastAsia="Times New Roman" w:cs="Times New Roman"/>
                <w:sz w:val="28"/>
                <w:szCs w:val="28"/>
              </w:rPr>
              <w:t>0,04</w:t>
            </w:r>
          </w:p>
        </w:tc>
        <w:tc>
          <w:tcPr>
            <w:tcW w:w="535" w:type="pct"/>
          </w:tcPr>
          <w:p w:rsidR="0030517B" w:rsidRPr="00CA099F" w:rsidRDefault="0030517B" w:rsidP="00E1448E">
            <w:pPr>
              <w:spacing w:after="0" w:line="240" w:lineRule="auto"/>
              <w:jc w:val="center"/>
              <w:rPr>
                <w:rFonts w:eastAsia="Times New Roman" w:cs="Times New Roman"/>
                <w:szCs w:val="28"/>
              </w:rPr>
            </w:pPr>
            <w:r w:rsidRPr="00CA099F">
              <w:rPr>
                <w:rFonts w:eastAsia="Times New Roman" w:cs="Times New Roman"/>
                <w:sz w:val="28"/>
                <w:szCs w:val="28"/>
              </w:rPr>
              <w:t>2,42±</w:t>
            </w:r>
          </w:p>
          <w:p w:rsidR="0030517B" w:rsidRPr="00CA099F" w:rsidRDefault="0030517B" w:rsidP="00E1448E">
            <w:pPr>
              <w:spacing w:after="0" w:line="240" w:lineRule="auto"/>
              <w:jc w:val="center"/>
              <w:rPr>
                <w:rFonts w:eastAsia="Times New Roman" w:cs="Times New Roman"/>
                <w:szCs w:val="28"/>
              </w:rPr>
            </w:pPr>
            <w:r w:rsidRPr="00CA099F">
              <w:rPr>
                <w:rFonts w:eastAsia="Times New Roman" w:cs="Times New Roman"/>
                <w:sz w:val="28"/>
                <w:szCs w:val="28"/>
              </w:rPr>
              <w:t>0,03</w:t>
            </w:r>
          </w:p>
        </w:tc>
        <w:tc>
          <w:tcPr>
            <w:tcW w:w="575" w:type="pct"/>
          </w:tcPr>
          <w:p w:rsidR="0030517B" w:rsidRPr="00CA099F" w:rsidRDefault="0030517B" w:rsidP="00E1448E">
            <w:pPr>
              <w:spacing w:after="0" w:line="240" w:lineRule="auto"/>
              <w:jc w:val="center"/>
              <w:rPr>
                <w:rFonts w:eastAsia="Times New Roman" w:cs="Times New Roman"/>
                <w:szCs w:val="28"/>
              </w:rPr>
            </w:pPr>
            <w:r w:rsidRPr="00CA099F">
              <w:rPr>
                <w:rFonts w:eastAsia="Times New Roman" w:cs="Times New Roman"/>
                <w:sz w:val="28"/>
                <w:szCs w:val="28"/>
              </w:rPr>
              <w:t>2,44±</w:t>
            </w:r>
          </w:p>
          <w:p w:rsidR="0030517B" w:rsidRPr="00CA099F" w:rsidRDefault="0030517B" w:rsidP="00E1448E">
            <w:pPr>
              <w:spacing w:after="0" w:line="240" w:lineRule="auto"/>
              <w:jc w:val="center"/>
              <w:rPr>
                <w:rFonts w:eastAsia="Times New Roman" w:cs="Times New Roman"/>
                <w:szCs w:val="28"/>
              </w:rPr>
            </w:pPr>
            <w:r w:rsidRPr="00CA099F">
              <w:rPr>
                <w:rFonts w:eastAsia="Times New Roman" w:cs="Times New Roman"/>
                <w:sz w:val="28"/>
                <w:szCs w:val="28"/>
              </w:rPr>
              <w:t xml:space="preserve">0,04 </w:t>
            </w:r>
          </w:p>
        </w:tc>
      </w:tr>
      <w:tr w:rsidR="0030517B" w:rsidRPr="00CA099F" w:rsidTr="00E1448E">
        <w:tc>
          <w:tcPr>
            <w:tcW w:w="483" w:type="pct"/>
          </w:tcPr>
          <w:p w:rsidR="0030517B" w:rsidRPr="00CA099F" w:rsidRDefault="0030517B" w:rsidP="00E1448E">
            <w:pPr>
              <w:spacing w:after="0"/>
              <w:jc w:val="center"/>
              <w:rPr>
                <w:rFonts w:eastAsia="Times New Roman" w:cs="Times New Roman"/>
                <w:szCs w:val="28"/>
              </w:rPr>
            </w:pPr>
          </w:p>
        </w:tc>
        <w:tc>
          <w:tcPr>
            <w:tcW w:w="565" w:type="pct"/>
          </w:tcPr>
          <w:p w:rsidR="0030517B" w:rsidRPr="00CA099F" w:rsidRDefault="0030517B" w:rsidP="00E1448E">
            <w:pPr>
              <w:spacing w:after="0" w:line="240" w:lineRule="auto"/>
              <w:jc w:val="center"/>
              <w:rPr>
                <w:rFonts w:eastAsia="Times New Roman" w:cs="Times New Roman"/>
                <w:szCs w:val="28"/>
              </w:rPr>
            </w:pPr>
          </w:p>
        </w:tc>
        <w:tc>
          <w:tcPr>
            <w:tcW w:w="567" w:type="pct"/>
          </w:tcPr>
          <w:p w:rsidR="0030517B" w:rsidRPr="00CA099F" w:rsidRDefault="0030517B" w:rsidP="00E1448E">
            <w:pPr>
              <w:spacing w:after="0" w:line="240" w:lineRule="auto"/>
              <w:jc w:val="center"/>
              <w:rPr>
                <w:rFonts w:eastAsia="Times New Roman" w:cs="Times New Roman"/>
                <w:szCs w:val="28"/>
              </w:rPr>
            </w:pPr>
          </w:p>
        </w:tc>
        <w:tc>
          <w:tcPr>
            <w:tcW w:w="566" w:type="pct"/>
          </w:tcPr>
          <w:p w:rsidR="0030517B" w:rsidRPr="00CA099F" w:rsidRDefault="0030517B" w:rsidP="00E1448E">
            <w:pPr>
              <w:spacing w:after="0" w:line="240" w:lineRule="auto"/>
              <w:jc w:val="center"/>
              <w:rPr>
                <w:rFonts w:eastAsia="Times New Roman" w:cs="Times New Roman"/>
                <w:szCs w:val="28"/>
              </w:rPr>
            </w:pPr>
          </w:p>
        </w:tc>
        <w:tc>
          <w:tcPr>
            <w:tcW w:w="572" w:type="pct"/>
          </w:tcPr>
          <w:p w:rsidR="0030517B" w:rsidRPr="00CA099F" w:rsidRDefault="0030517B" w:rsidP="001C5630">
            <w:pPr>
              <w:spacing w:after="0"/>
              <w:ind w:left="-44"/>
              <w:jc w:val="center"/>
              <w:rPr>
                <w:rFonts w:eastAsia="Times New Roman" w:cs="Times New Roman"/>
                <w:szCs w:val="28"/>
              </w:rPr>
            </w:pPr>
            <w:r w:rsidRPr="00CA099F">
              <w:rPr>
                <w:rFonts w:eastAsia="Times New Roman" w:cs="Times New Roman"/>
                <w:color w:val="000000"/>
                <w:sz w:val="28"/>
                <w:szCs w:val="28"/>
              </w:rPr>
              <w:t>р</w:t>
            </w:r>
            <w:r w:rsidRPr="00CA099F">
              <w:rPr>
                <w:rFonts w:eastAsia="Times New Roman" w:cs="Times New Roman"/>
                <w:color w:val="000000"/>
                <w:sz w:val="28"/>
                <w:szCs w:val="28"/>
                <w:vertAlign w:val="subscript"/>
              </w:rPr>
              <w:t>1</w:t>
            </w:r>
            <w:r w:rsidRPr="00CA099F">
              <w:rPr>
                <w:rFonts w:eastAsia="Times New Roman" w:cs="Times New Roman"/>
                <w:color w:val="000000"/>
                <w:sz w:val="28"/>
                <w:szCs w:val="28"/>
              </w:rPr>
              <w:t>&lt;0,01</w:t>
            </w:r>
          </w:p>
        </w:tc>
        <w:tc>
          <w:tcPr>
            <w:tcW w:w="565" w:type="pct"/>
          </w:tcPr>
          <w:p w:rsidR="0030517B" w:rsidRPr="00CA099F" w:rsidRDefault="0030517B" w:rsidP="001C5630">
            <w:pPr>
              <w:spacing w:after="0"/>
              <w:ind w:left="-44"/>
              <w:jc w:val="center"/>
              <w:rPr>
                <w:rFonts w:eastAsia="Times New Roman" w:cs="Times New Roman"/>
                <w:szCs w:val="28"/>
              </w:rPr>
            </w:pPr>
          </w:p>
        </w:tc>
        <w:tc>
          <w:tcPr>
            <w:tcW w:w="572" w:type="pct"/>
          </w:tcPr>
          <w:p w:rsidR="0030517B" w:rsidRPr="00CA099F" w:rsidRDefault="0030517B" w:rsidP="001C5630">
            <w:pPr>
              <w:spacing w:after="0"/>
              <w:ind w:left="-44"/>
              <w:jc w:val="center"/>
              <w:rPr>
                <w:rFonts w:eastAsia="Times New Roman" w:cs="Times New Roman"/>
                <w:szCs w:val="28"/>
              </w:rPr>
            </w:pPr>
            <w:r w:rsidRPr="00CA099F">
              <w:rPr>
                <w:rFonts w:eastAsia="Times New Roman" w:cs="Times New Roman"/>
                <w:color w:val="000000"/>
                <w:sz w:val="28"/>
                <w:szCs w:val="28"/>
              </w:rPr>
              <w:t>р</w:t>
            </w:r>
            <w:r w:rsidRPr="00CA099F">
              <w:rPr>
                <w:rFonts w:eastAsia="Times New Roman" w:cs="Times New Roman"/>
                <w:color w:val="000000"/>
                <w:sz w:val="28"/>
                <w:szCs w:val="28"/>
                <w:vertAlign w:val="subscript"/>
              </w:rPr>
              <w:t>2</w:t>
            </w:r>
            <w:r w:rsidRPr="00CA099F">
              <w:rPr>
                <w:rFonts w:eastAsia="Times New Roman" w:cs="Times New Roman"/>
                <w:color w:val="000000"/>
                <w:sz w:val="28"/>
                <w:szCs w:val="28"/>
              </w:rPr>
              <w:t>&lt;0,01</w:t>
            </w:r>
          </w:p>
        </w:tc>
        <w:tc>
          <w:tcPr>
            <w:tcW w:w="535" w:type="pct"/>
          </w:tcPr>
          <w:p w:rsidR="0030517B" w:rsidRPr="00CA099F" w:rsidRDefault="0030517B" w:rsidP="00E1448E">
            <w:pPr>
              <w:spacing w:after="0"/>
              <w:jc w:val="center"/>
              <w:rPr>
                <w:rFonts w:eastAsia="Times New Roman" w:cs="Times New Roman"/>
                <w:szCs w:val="28"/>
              </w:rPr>
            </w:pPr>
          </w:p>
        </w:tc>
        <w:tc>
          <w:tcPr>
            <w:tcW w:w="575" w:type="pct"/>
          </w:tcPr>
          <w:p w:rsidR="0030517B" w:rsidRPr="00CA099F" w:rsidRDefault="0030517B" w:rsidP="00E1448E">
            <w:pPr>
              <w:spacing w:after="0"/>
              <w:jc w:val="center"/>
              <w:rPr>
                <w:rFonts w:eastAsia="Times New Roman" w:cs="Times New Roman"/>
                <w:szCs w:val="28"/>
              </w:rPr>
            </w:pPr>
          </w:p>
        </w:tc>
      </w:tr>
      <w:tr w:rsidR="0030517B" w:rsidRPr="00CA099F" w:rsidTr="00E1448E">
        <w:tc>
          <w:tcPr>
            <w:tcW w:w="483" w:type="pct"/>
          </w:tcPr>
          <w:p w:rsidR="0030517B" w:rsidRPr="00CA099F" w:rsidRDefault="0030517B" w:rsidP="00065B03">
            <w:pPr>
              <w:spacing w:after="0"/>
              <w:ind w:left="-142" w:right="-65"/>
              <w:jc w:val="center"/>
              <w:rPr>
                <w:rFonts w:eastAsia="Times New Roman" w:cs="Times New Roman"/>
                <w:szCs w:val="28"/>
              </w:rPr>
            </w:pPr>
            <w:r w:rsidRPr="00CA099F">
              <w:rPr>
                <w:rFonts w:eastAsia="Times New Roman" w:cs="Times New Roman"/>
                <w:sz w:val="28"/>
                <w:szCs w:val="28"/>
              </w:rPr>
              <w:t>ТБК-АП, ммоль/кг</w:t>
            </w:r>
          </w:p>
        </w:tc>
        <w:tc>
          <w:tcPr>
            <w:tcW w:w="565" w:type="pct"/>
          </w:tcPr>
          <w:p w:rsidR="0030517B" w:rsidRPr="00CA099F" w:rsidRDefault="0030517B" w:rsidP="00E1448E">
            <w:pPr>
              <w:spacing w:after="0" w:line="240" w:lineRule="auto"/>
              <w:jc w:val="center"/>
              <w:rPr>
                <w:rFonts w:eastAsia="Times New Roman" w:cs="Times New Roman"/>
                <w:szCs w:val="28"/>
              </w:rPr>
            </w:pPr>
            <w:r w:rsidRPr="00CA099F">
              <w:rPr>
                <w:rFonts w:eastAsia="Times New Roman" w:cs="Times New Roman"/>
                <w:sz w:val="28"/>
                <w:szCs w:val="28"/>
              </w:rPr>
              <w:t>4,63±</w:t>
            </w:r>
          </w:p>
          <w:p w:rsidR="0030517B" w:rsidRPr="00CA099F" w:rsidRDefault="0030517B" w:rsidP="00E1448E">
            <w:pPr>
              <w:spacing w:after="0" w:line="240" w:lineRule="auto"/>
              <w:jc w:val="center"/>
              <w:rPr>
                <w:rFonts w:eastAsia="Times New Roman" w:cs="Times New Roman"/>
                <w:szCs w:val="28"/>
              </w:rPr>
            </w:pPr>
            <w:r w:rsidRPr="00CA099F">
              <w:rPr>
                <w:rFonts w:eastAsia="Times New Roman" w:cs="Times New Roman"/>
                <w:sz w:val="28"/>
                <w:szCs w:val="28"/>
              </w:rPr>
              <w:t>0,07</w:t>
            </w:r>
          </w:p>
        </w:tc>
        <w:tc>
          <w:tcPr>
            <w:tcW w:w="567" w:type="pct"/>
          </w:tcPr>
          <w:p w:rsidR="0030517B" w:rsidRPr="00CA099F" w:rsidRDefault="0030517B" w:rsidP="00E1448E">
            <w:pPr>
              <w:spacing w:after="0" w:line="240" w:lineRule="auto"/>
              <w:jc w:val="center"/>
              <w:rPr>
                <w:rFonts w:eastAsia="Times New Roman" w:cs="Times New Roman"/>
                <w:szCs w:val="28"/>
              </w:rPr>
            </w:pPr>
            <w:r w:rsidRPr="00CA099F">
              <w:rPr>
                <w:rFonts w:eastAsia="Times New Roman" w:cs="Times New Roman"/>
                <w:sz w:val="28"/>
                <w:szCs w:val="28"/>
              </w:rPr>
              <w:t>3,00±</w:t>
            </w:r>
          </w:p>
          <w:p w:rsidR="0030517B" w:rsidRPr="00CA099F" w:rsidRDefault="0030517B" w:rsidP="00E1448E">
            <w:pPr>
              <w:spacing w:after="0" w:line="240" w:lineRule="auto"/>
              <w:jc w:val="center"/>
              <w:rPr>
                <w:rFonts w:eastAsia="Times New Roman" w:cs="Times New Roman"/>
                <w:szCs w:val="28"/>
              </w:rPr>
            </w:pPr>
            <w:r w:rsidRPr="00CA099F">
              <w:rPr>
                <w:rFonts w:eastAsia="Times New Roman" w:cs="Times New Roman"/>
                <w:sz w:val="28"/>
                <w:szCs w:val="28"/>
              </w:rPr>
              <w:t>0,07</w:t>
            </w:r>
          </w:p>
        </w:tc>
        <w:tc>
          <w:tcPr>
            <w:tcW w:w="566" w:type="pct"/>
          </w:tcPr>
          <w:p w:rsidR="0030517B" w:rsidRPr="00CA099F" w:rsidRDefault="0030517B" w:rsidP="00E1448E">
            <w:pPr>
              <w:spacing w:after="0" w:line="240" w:lineRule="auto"/>
              <w:jc w:val="center"/>
              <w:rPr>
                <w:rFonts w:eastAsia="Times New Roman" w:cs="Times New Roman"/>
                <w:szCs w:val="28"/>
              </w:rPr>
            </w:pPr>
            <w:r w:rsidRPr="00CA099F">
              <w:rPr>
                <w:rFonts w:eastAsia="Times New Roman" w:cs="Times New Roman"/>
                <w:sz w:val="28"/>
                <w:szCs w:val="28"/>
              </w:rPr>
              <w:t>3,70±</w:t>
            </w:r>
          </w:p>
          <w:p w:rsidR="0030517B" w:rsidRPr="00CA099F" w:rsidRDefault="0030517B" w:rsidP="00E1448E">
            <w:pPr>
              <w:spacing w:after="0" w:line="240" w:lineRule="auto"/>
              <w:jc w:val="center"/>
              <w:rPr>
                <w:rFonts w:eastAsia="Times New Roman" w:cs="Times New Roman"/>
                <w:szCs w:val="28"/>
              </w:rPr>
            </w:pPr>
            <w:r w:rsidRPr="00CA099F">
              <w:rPr>
                <w:rFonts w:eastAsia="Times New Roman" w:cs="Times New Roman"/>
                <w:sz w:val="28"/>
                <w:szCs w:val="28"/>
              </w:rPr>
              <w:t>0,03</w:t>
            </w:r>
          </w:p>
        </w:tc>
        <w:tc>
          <w:tcPr>
            <w:tcW w:w="572" w:type="pct"/>
          </w:tcPr>
          <w:p w:rsidR="0030517B" w:rsidRPr="00CA099F" w:rsidRDefault="0030517B" w:rsidP="00E1448E">
            <w:pPr>
              <w:spacing w:after="0" w:line="240" w:lineRule="auto"/>
              <w:jc w:val="center"/>
              <w:rPr>
                <w:rFonts w:eastAsia="Times New Roman" w:cs="Times New Roman"/>
                <w:szCs w:val="28"/>
              </w:rPr>
            </w:pPr>
            <w:r w:rsidRPr="00CA099F">
              <w:rPr>
                <w:rFonts w:eastAsia="Times New Roman" w:cs="Times New Roman"/>
                <w:sz w:val="28"/>
                <w:szCs w:val="28"/>
              </w:rPr>
              <w:t>2,68±</w:t>
            </w:r>
          </w:p>
          <w:p w:rsidR="0030517B" w:rsidRPr="00CA099F" w:rsidRDefault="0030517B" w:rsidP="00E1448E">
            <w:pPr>
              <w:spacing w:after="0" w:line="240" w:lineRule="auto"/>
              <w:jc w:val="center"/>
              <w:rPr>
                <w:rFonts w:eastAsia="Times New Roman" w:cs="Times New Roman"/>
                <w:szCs w:val="28"/>
              </w:rPr>
            </w:pPr>
            <w:r w:rsidRPr="00CA099F">
              <w:rPr>
                <w:rFonts w:eastAsia="Times New Roman" w:cs="Times New Roman"/>
                <w:sz w:val="28"/>
                <w:szCs w:val="28"/>
              </w:rPr>
              <w:t>0,04</w:t>
            </w:r>
          </w:p>
        </w:tc>
        <w:tc>
          <w:tcPr>
            <w:tcW w:w="565" w:type="pct"/>
          </w:tcPr>
          <w:p w:rsidR="0030517B" w:rsidRPr="00CA099F" w:rsidRDefault="0030517B" w:rsidP="00E1448E">
            <w:pPr>
              <w:spacing w:after="0" w:line="240" w:lineRule="auto"/>
              <w:jc w:val="center"/>
              <w:rPr>
                <w:rFonts w:eastAsia="Times New Roman" w:cs="Times New Roman"/>
                <w:szCs w:val="28"/>
              </w:rPr>
            </w:pPr>
            <w:r w:rsidRPr="00CA099F">
              <w:rPr>
                <w:rFonts w:eastAsia="Times New Roman" w:cs="Times New Roman"/>
                <w:sz w:val="28"/>
                <w:szCs w:val="28"/>
              </w:rPr>
              <w:t>2,79±</w:t>
            </w:r>
          </w:p>
          <w:p w:rsidR="0030517B" w:rsidRPr="00CA099F" w:rsidRDefault="0030517B" w:rsidP="00E1448E">
            <w:pPr>
              <w:spacing w:after="0" w:line="240" w:lineRule="auto"/>
              <w:jc w:val="center"/>
              <w:rPr>
                <w:rFonts w:eastAsia="Times New Roman" w:cs="Times New Roman"/>
                <w:szCs w:val="28"/>
              </w:rPr>
            </w:pPr>
            <w:r w:rsidRPr="00CA099F">
              <w:rPr>
                <w:rFonts w:eastAsia="Times New Roman" w:cs="Times New Roman"/>
                <w:sz w:val="28"/>
                <w:szCs w:val="28"/>
              </w:rPr>
              <w:t>0,03</w:t>
            </w:r>
          </w:p>
        </w:tc>
        <w:tc>
          <w:tcPr>
            <w:tcW w:w="572" w:type="pct"/>
          </w:tcPr>
          <w:p w:rsidR="0030517B" w:rsidRPr="00CA099F" w:rsidRDefault="0030517B" w:rsidP="00E1448E">
            <w:pPr>
              <w:spacing w:after="0" w:line="240" w:lineRule="auto"/>
              <w:jc w:val="center"/>
              <w:rPr>
                <w:rFonts w:eastAsia="Times New Roman" w:cs="Times New Roman"/>
                <w:szCs w:val="28"/>
              </w:rPr>
            </w:pPr>
            <w:r w:rsidRPr="00CA099F">
              <w:rPr>
                <w:rFonts w:eastAsia="Times New Roman" w:cs="Times New Roman"/>
                <w:sz w:val="28"/>
                <w:szCs w:val="28"/>
              </w:rPr>
              <w:t>2,54±</w:t>
            </w:r>
          </w:p>
          <w:p w:rsidR="0030517B" w:rsidRPr="00CA099F" w:rsidRDefault="0030517B" w:rsidP="00E1448E">
            <w:pPr>
              <w:spacing w:after="0" w:line="240" w:lineRule="auto"/>
              <w:jc w:val="center"/>
              <w:rPr>
                <w:rFonts w:eastAsia="Times New Roman" w:cs="Times New Roman"/>
                <w:szCs w:val="28"/>
              </w:rPr>
            </w:pPr>
            <w:r w:rsidRPr="00CA099F">
              <w:rPr>
                <w:rFonts w:eastAsia="Times New Roman" w:cs="Times New Roman"/>
                <w:sz w:val="28"/>
                <w:szCs w:val="28"/>
              </w:rPr>
              <w:t>0,02</w:t>
            </w:r>
          </w:p>
        </w:tc>
        <w:tc>
          <w:tcPr>
            <w:tcW w:w="535" w:type="pct"/>
          </w:tcPr>
          <w:p w:rsidR="0030517B" w:rsidRPr="00CA099F" w:rsidRDefault="0030517B" w:rsidP="00E1448E">
            <w:pPr>
              <w:spacing w:after="0" w:line="240" w:lineRule="auto"/>
              <w:jc w:val="center"/>
              <w:rPr>
                <w:rFonts w:eastAsia="Times New Roman" w:cs="Times New Roman"/>
                <w:szCs w:val="28"/>
              </w:rPr>
            </w:pPr>
            <w:r w:rsidRPr="00CA099F">
              <w:rPr>
                <w:rFonts w:eastAsia="Times New Roman" w:cs="Times New Roman"/>
                <w:sz w:val="28"/>
                <w:szCs w:val="28"/>
              </w:rPr>
              <w:t>2,64±</w:t>
            </w:r>
          </w:p>
          <w:p w:rsidR="0030517B" w:rsidRPr="00CA099F" w:rsidRDefault="0030517B" w:rsidP="00E1448E">
            <w:pPr>
              <w:spacing w:after="0" w:line="240" w:lineRule="auto"/>
              <w:jc w:val="center"/>
              <w:rPr>
                <w:rFonts w:eastAsia="Times New Roman" w:cs="Times New Roman"/>
                <w:szCs w:val="28"/>
              </w:rPr>
            </w:pPr>
            <w:r w:rsidRPr="00CA099F">
              <w:rPr>
                <w:rFonts w:eastAsia="Times New Roman" w:cs="Times New Roman"/>
                <w:sz w:val="28"/>
                <w:szCs w:val="28"/>
              </w:rPr>
              <w:t>0,03</w:t>
            </w:r>
          </w:p>
        </w:tc>
        <w:tc>
          <w:tcPr>
            <w:tcW w:w="575" w:type="pct"/>
          </w:tcPr>
          <w:p w:rsidR="0030517B" w:rsidRPr="00CA099F" w:rsidRDefault="0030517B" w:rsidP="00E1448E">
            <w:pPr>
              <w:spacing w:after="0" w:line="240" w:lineRule="auto"/>
              <w:jc w:val="center"/>
              <w:rPr>
                <w:rFonts w:eastAsia="Times New Roman" w:cs="Times New Roman"/>
                <w:szCs w:val="28"/>
              </w:rPr>
            </w:pPr>
            <w:r w:rsidRPr="00CA099F">
              <w:rPr>
                <w:rFonts w:eastAsia="Times New Roman" w:cs="Times New Roman"/>
                <w:sz w:val="28"/>
                <w:szCs w:val="28"/>
              </w:rPr>
              <w:t>2,50±</w:t>
            </w:r>
          </w:p>
          <w:p w:rsidR="0030517B" w:rsidRPr="00CA099F" w:rsidRDefault="0030517B" w:rsidP="00E1448E">
            <w:pPr>
              <w:spacing w:after="0" w:line="240" w:lineRule="auto"/>
              <w:jc w:val="center"/>
              <w:rPr>
                <w:rFonts w:eastAsia="Times New Roman" w:cs="Times New Roman"/>
                <w:szCs w:val="28"/>
              </w:rPr>
            </w:pPr>
            <w:r w:rsidRPr="00CA099F">
              <w:rPr>
                <w:rFonts w:eastAsia="Times New Roman" w:cs="Times New Roman"/>
                <w:sz w:val="28"/>
                <w:szCs w:val="28"/>
              </w:rPr>
              <w:t>0,03</w:t>
            </w:r>
          </w:p>
        </w:tc>
      </w:tr>
      <w:tr w:rsidR="0030517B" w:rsidRPr="00CA099F" w:rsidTr="00E1448E">
        <w:tc>
          <w:tcPr>
            <w:tcW w:w="483" w:type="pct"/>
          </w:tcPr>
          <w:p w:rsidR="0030517B" w:rsidRPr="00CA099F" w:rsidRDefault="0030517B" w:rsidP="00E1448E">
            <w:pPr>
              <w:spacing w:after="0" w:line="240" w:lineRule="auto"/>
              <w:jc w:val="center"/>
              <w:rPr>
                <w:rFonts w:eastAsia="Times New Roman" w:cs="Times New Roman"/>
                <w:szCs w:val="28"/>
              </w:rPr>
            </w:pPr>
          </w:p>
        </w:tc>
        <w:tc>
          <w:tcPr>
            <w:tcW w:w="565" w:type="pct"/>
          </w:tcPr>
          <w:p w:rsidR="0030517B" w:rsidRPr="00CA099F" w:rsidRDefault="0030517B" w:rsidP="00E1448E">
            <w:pPr>
              <w:spacing w:after="0" w:line="240" w:lineRule="auto"/>
              <w:jc w:val="center"/>
              <w:rPr>
                <w:rFonts w:eastAsia="Times New Roman" w:cs="Times New Roman"/>
                <w:szCs w:val="28"/>
              </w:rPr>
            </w:pPr>
          </w:p>
        </w:tc>
        <w:tc>
          <w:tcPr>
            <w:tcW w:w="567" w:type="pct"/>
          </w:tcPr>
          <w:p w:rsidR="0030517B" w:rsidRPr="00CA099F" w:rsidRDefault="0030517B" w:rsidP="00E1448E">
            <w:pPr>
              <w:spacing w:after="0" w:line="240" w:lineRule="auto"/>
              <w:jc w:val="center"/>
              <w:rPr>
                <w:rFonts w:eastAsia="Times New Roman" w:cs="Times New Roman"/>
                <w:szCs w:val="28"/>
              </w:rPr>
            </w:pPr>
          </w:p>
        </w:tc>
        <w:tc>
          <w:tcPr>
            <w:tcW w:w="566" w:type="pct"/>
          </w:tcPr>
          <w:p w:rsidR="0030517B" w:rsidRPr="00CA099F" w:rsidRDefault="0030517B" w:rsidP="00E1448E">
            <w:pPr>
              <w:spacing w:after="0" w:line="240" w:lineRule="auto"/>
              <w:jc w:val="center"/>
              <w:rPr>
                <w:rFonts w:eastAsia="Times New Roman" w:cs="Times New Roman"/>
                <w:szCs w:val="28"/>
              </w:rPr>
            </w:pPr>
          </w:p>
        </w:tc>
        <w:tc>
          <w:tcPr>
            <w:tcW w:w="572" w:type="pct"/>
          </w:tcPr>
          <w:p w:rsidR="0030517B" w:rsidRPr="00CA099F" w:rsidRDefault="0030517B" w:rsidP="001C5630">
            <w:pPr>
              <w:spacing w:after="0"/>
              <w:ind w:left="-44"/>
              <w:jc w:val="center"/>
              <w:rPr>
                <w:rFonts w:eastAsia="Times New Roman" w:cs="Times New Roman"/>
                <w:szCs w:val="28"/>
              </w:rPr>
            </w:pPr>
            <w:r w:rsidRPr="00CA099F">
              <w:rPr>
                <w:rFonts w:eastAsia="Times New Roman" w:cs="Times New Roman"/>
                <w:color w:val="000000"/>
                <w:sz w:val="28"/>
                <w:szCs w:val="28"/>
              </w:rPr>
              <w:t>р</w:t>
            </w:r>
            <w:r w:rsidRPr="00CA099F">
              <w:rPr>
                <w:rFonts w:eastAsia="Times New Roman" w:cs="Times New Roman"/>
                <w:color w:val="000000"/>
                <w:sz w:val="28"/>
                <w:szCs w:val="28"/>
                <w:vertAlign w:val="subscript"/>
              </w:rPr>
              <w:t>1</w:t>
            </w:r>
            <w:r w:rsidRPr="00CA099F">
              <w:rPr>
                <w:rFonts w:eastAsia="Times New Roman" w:cs="Times New Roman"/>
                <w:color w:val="000000"/>
                <w:sz w:val="28"/>
                <w:szCs w:val="28"/>
              </w:rPr>
              <w:t>&lt;0,01</w:t>
            </w:r>
          </w:p>
        </w:tc>
        <w:tc>
          <w:tcPr>
            <w:tcW w:w="565" w:type="pct"/>
          </w:tcPr>
          <w:p w:rsidR="0030517B" w:rsidRPr="00CA099F" w:rsidRDefault="0030517B" w:rsidP="001C5630">
            <w:pPr>
              <w:spacing w:after="0"/>
              <w:ind w:left="-44"/>
              <w:jc w:val="center"/>
              <w:rPr>
                <w:rFonts w:eastAsia="Times New Roman" w:cs="Times New Roman"/>
                <w:szCs w:val="28"/>
              </w:rPr>
            </w:pPr>
          </w:p>
        </w:tc>
        <w:tc>
          <w:tcPr>
            <w:tcW w:w="572" w:type="pct"/>
          </w:tcPr>
          <w:p w:rsidR="0030517B" w:rsidRPr="00CA099F" w:rsidRDefault="0030517B" w:rsidP="001C5630">
            <w:pPr>
              <w:spacing w:after="0"/>
              <w:ind w:left="-44"/>
              <w:jc w:val="center"/>
              <w:rPr>
                <w:rFonts w:eastAsia="Times New Roman" w:cs="Times New Roman"/>
                <w:szCs w:val="28"/>
              </w:rPr>
            </w:pPr>
            <w:r w:rsidRPr="00CA099F">
              <w:rPr>
                <w:rFonts w:eastAsia="Times New Roman" w:cs="Times New Roman"/>
                <w:color w:val="000000"/>
                <w:sz w:val="28"/>
                <w:szCs w:val="28"/>
              </w:rPr>
              <w:t>р</w:t>
            </w:r>
            <w:r w:rsidRPr="00CA099F">
              <w:rPr>
                <w:rFonts w:eastAsia="Times New Roman" w:cs="Times New Roman"/>
                <w:color w:val="000000"/>
                <w:sz w:val="28"/>
                <w:szCs w:val="28"/>
                <w:vertAlign w:val="subscript"/>
              </w:rPr>
              <w:t>2</w:t>
            </w:r>
            <w:r w:rsidRPr="00CA099F">
              <w:rPr>
                <w:rFonts w:eastAsia="Times New Roman" w:cs="Times New Roman"/>
                <w:color w:val="000000"/>
                <w:sz w:val="28"/>
                <w:szCs w:val="28"/>
              </w:rPr>
              <w:t>&lt;0,05</w:t>
            </w:r>
          </w:p>
        </w:tc>
        <w:tc>
          <w:tcPr>
            <w:tcW w:w="535" w:type="pct"/>
          </w:tcPr>
          <w:p w:rsidR="0030517B" w:rsidRPr="00CA099F" w:rsidRDefault="0030517B" w:rsidP="00E1448E">
            <w:pPr>
              <w:spacing w:after="0"/>
              <w:jc w:val="center"/>
              <w:rPr>
                <w:rFonts w:eastAsia="Times New Roman" w:cs="Times New Roman"/>
                <w:szCs w:val="28"/>
              </w:rPr>
            </w:pPr>
          </w:p>
        </w:tc>
        <w:tc>
          <w:tcPr>
            <w:tcW w:w="575" w:type="pct"/>
          </w:tcPr>
          <w:p w:rsidR="0030517B" w:rsidRPr="00CA099F" w:rsidRDefault="0030517B" w:rsidP="00E1448E">
            <w:pPr>
              <w:spacing w:after="0"/>
              <w:jc w:val="center"/>
              <w:rPr>
                <w:rFonts w:eastAsia="Times New Roman" w:cs="Times New Roman"/>
                <w:szCs w:val="28"/>
              </w:rPr>
            </w:pPr>
          </w:p>
        </w:tc>
      </w:tr>
      <w:tr w:rsidR="0030517B" w:rsidRPr="00CA099F" w:rsidTr="00E1448E">
        <w:tc>
          <w:tcPr>
            <w:tcW w:w="5000" w:type="pct"/>
            <w:gridSpan w:val="9"/>
          </w:tcPr>
          <w:p w:rsidR="0030517B" w:rsidRPr="00CA099F" w:rsidRDefault="0030517B" w:rsidP="00E1448E">
            <w:pPr>
              <w:spacing w:after="0" w:line="240" w:lineRule="auto"/>
              <w:jc w:val="both"/>
              <w:rPr>
                <w:rFonts w:eastAsia="Times New Roman" w:cs="Times New Roman"/>
                <w:szCs w:val="28"/>
              </w:rPr>
            </w:pPr>
            <w:r w:rsidRPr="00CA099F">
              <w:rPr>
                <w:rFonts w:eastAsia="Times New Roman" w:cs="Times New Roman"/>
                <w:sz w:val="28"/>
                <w:szCs w:val="28"/>
              </w:rPr>
              <w:t>Примітка:</w:t>
            </w:r>
          </w:p>
          <w:p w:rsidR="0030517B" w:rsidRPr="00CA099F" w:rsidRDefault="0030517B" w:rsidP="00E1448E">
            <w:pPr>
              <w:spacing w:after="0" w:line="240" w:lineRule="auto"/>
              <w:jc w:val="both"/>
              <w:rPr>
                <w:rFonts w:eastAsia="Times New Roman" w:cs="Times New Roman"/>
                <w:szCs w:val="28"/>
              </w:rPr>
            </w:pPr>
            <w:r w:rsidRPr="00CA099F">
              <w:rPr>
                <w:rFonts w:eastAsia="Times New Roman" w:cs="Times New Roman"/>
                <w:sz w:val="28"/>
                <w:szCs w:val="28"/>
              </w:rPr>
              <w:t>*- різниця достовірна стосовно даних групи порівняння в межах одного терміну спостереження</w:t>
            </w:r>
          </w:p>
          <w:p w:rsidR="0030517B" w:rsidRPr="00CA099F" w:rsidRDefault="0030517B" w:rsidP="00E1448E">
            <w:pPr>
              <w:tabs>
                <w:tab w:val="left" w:pos="709"/>
              </w:tabs>
              <w:spacing w:after="0" w:line="240" w:lineRule="auto"/>
              <w:ind w:right="-6"/>
              <w:jc w:val="both"/>
              <w:rPr>
                <w:rFonts w:eastAsia="Times New Roman" w:cs="Times New Roman"/>
                <w:color w:val="000000"/>
                <w:szCs w:val="28"/>
              </w:rPr>
            </w:pPr>
            <w:r w:rsidRPr="00CA099F">
              <w:rPr>
                <w:rFonts w:eastAsia="Times New Roman" w:cs="Times New Roman"/>
                <w:color w:val="000000"/>
                <w:sz w:val="28"/>
                <w:szCs w:val="28"/>
              </w:rPr>
              <w:lastRenderedPageBreak/>
              <w:t>р</w:t>
            </w:r>
            <w:r w:rsidRPr="00CA099F">
              <w:rPr>
                <w:rFonts w:eastAsia="Times New Roman" w:cs="Times New Roman"/>
                <w:color w:val="000000"/>
                <w:sz w:val="28"/>
                <w:szCs w:val="28"/>
                <w:vertAlign w:val="subscript"/>
              </w:rPr>
              <w:t>1</w:t>
            </w:r>
            <w:r w:rsidRPr="00CA099F">
              <w:rPr>
                <w:rFonts w:eastAsia="Times New Roman" w:cs="Times New Roman"/>
                <w:color w:val="000000"/>
                <w:sz w:val="28"/>
                <w:szCs w:val="28"/>
              </w:rPr>
              <w:t xml:space="preserve"> –показник достовірності між дослідними групами, термін спостереження 3 і 6 місяців; </w:t>
            </w:r>
          </w:p>
          <w:p w:rsidR="0030517B" w:rsidRPr="00CA099F" w:rsidRDefault="0030517B" w:rsidP="00E1448E">
            <w:pPr>
              <w:spacing w:after="0" w:line="240" w:lineRule="auto"/>
              <w:jc w:val="both"/>
              <w:rPr>
                <w:rFonts w:eastAsia="Times New Roman" w:cs="Times New Roman"/>
                <w:color w:val="000000"/>
                <w:szCs w:val="28"/>
              </w:rPr>
            </w:pPr>
            <w:r w:rsidRPr="00CA099F">
              <w:rPr>
                <w:rFonts w:eastAsia="Times New Roman" w:cs="Times New Roman"/>
                <w:color w:val="000000"/>
                <w:sz w:val="28"/>
                <w:szCs w:val="28"/>
              </w:rPr>
              <w:t>р</w:t>
            </w:r>
            <w:r w:rsidRPr="00CA099F">
              <w:rPr>
                <w:rFonts w:eastAsia="Times New Roman" w:cs="Times New Roman"/>
                <w:color w:val="000000"/>
                <w:sz w:val="28"/>
                <w:szCs w:val="28"/>
                <w:vertAlign w:val="subscript"/>
              </w:rPr>
              <w:t xml:space="preserve">2 </w:t>
            </w:r>
            <w:r w:rsidRPr="00CA099F">
              <w:rPr>
                <w:rFonts w:eastAsia="Times New Roman" w:cs="Times New Roman"/>
                <w:color w:val="000000"/>
                <w:sz w:val="28"/>
                <w:szCs w:val="28"/>
              </w:rPr>
              <w:t>–показник достовірності між дослідними групами, термін спостереження 6 і 9 місяців;</w:t>
            </w:r>
          </w:p>
          <w:p w:rsidR="0030517B" w:rsidRPr="00CA099F" w:rsidRDefault="0030517B" w:rsidP="00E1448E">
            <w:pPr>
              <w:spacing w:after="0" w:line="240" w:lineRule="auto"/>
              <w:rPr>
                <w:rFonts w:eastAsia="Times New Roman" w:cs="Times New Roman"/>
                <w:szCs w:val="28"/>
              </w:rPr>
            </w:pPr>
            <w:r w:rsidRPr="00CA099F">
              <w:rPr>
                <w:rFonts w:eastAsia="Times New Roman" w:cs="Times New Roman"/>
                <w:color w:val="000000"/>
                <w:sz w:val="28"/>
                <w:szCs w:val="28"/>
              </w:rPr>
              <w:t>р</w:t>
            </w:r>
            <w:r w:rsidRPr="00CA099F">
              <w:rPr>
                <w:rFonts w:eastAsia="Times New Roman" w:cs="Times New Roman"/>
                <w:color w:val="000000"/>
                <w:sz w:val="28"/>
                <w:szCs w:val="28"/>
                <w:vertAlign w:val="subscript"/>
              </w:rPr>
              <w:t xml:space="preserve">3 </w:t>
            </w:r>
            <w:r w:rsidRPr="00CA099F">
              <w:rPr>
                <w:rFonts w:eastAsia="Times New Roman" w:cs="Times New Roman"/>
                <w:color w:val="000000"/>
                <w:sz w:val="28"/>
                <w:szCs w:val="28"/>
              </w:rPr>
              <w:t>–показник достовірності між дослідними групами, термін спостереження 9 і 12 місяців</w:t>
            </w:r>
          </w:p>
        </w:tc>
      </w:tr>
    </w:tbl>
    <w:p w:rsidR="0030517B" w:rsidRPr="00CA099F" w:rsidRDefault="0030517B" w:rsidP="0030517B">
      <w:pPr>
        <w:spacing w:after="0"/>
        <w:jc w:val="center"/>
        <w:rPr>
          <w:rFonts w:eastAsia="Times New Roman" w:cs="Times New Roman"/>
          <w:b/>
          <w:sz w:val="28"/>
          <w:szCs w:val="28"/>
        </w:rPr>
      </w:pPr>
    </w:p>
    <w:p w:rsidR="0030517B" w:rsidRPr="00CA099F" w:rsidRDefault="00432A0D" w:rsidP="0030517B">
      <w:pPr>
        <w:spacing w:after="0" w:line="360" w:lineRule="auto"/>
        <w:jc w:val="both"/>
        <w:rPr>
          <w:rFonts w:eastAsia="Times New Roman" w:cs="Times New Roman"/>
          <w:sz w:val="28"/>
          <w:szCs w:val="28"/>
        </w:rPr>
      </w:pPr>
      <w:r w:rsidRPr="00D96DA9">
        <w:rPr>
          <w:rFonts w:eastAsia="Times New Roman" w:cs="Times New Roman"/>
          <w:sz w:val="28"/>
          <w:szCs w:val="28"/>
          <w:lang w:val="ru-RU"/>
        </w:rPr>
        <w:tab/>
      </w:r>
      <w:r w:rsidR="0030517B" w:rsidRPr="00CA099F">
        <w:rPr>
          <w:rFonts w:eastAsia="Times New Roman" w:cs="Times New Roman"/>
          <w:sz w:val="28"/>
          <w:szCs w:val="28"/>
        </w:rPr>
        <w:t xml:space="preserve">Отримані дані мають важливе значення для оцінки біохімічних процесів, що протікають в тканині рубця пацієнта, оскільки накопичення </w:t>
      </w:r>
      <w:r w:rsidR="0030517B" w:rsidRPr="00065B03">
        <w:rPr>
          <w:rFonts w:eastAsia="Times New Roman" w:cs="Times New Roman"/>
          <w:sz w:val="28"/>
          <w:szCs w:val="28"/>
        </w:rPr>
        <w:t>гідропере</w:t>
      </w:r>
      <w:r w:rsidR="00065B03" w:rsidRPr="00065B03">
        <w:rPr>
          <w:rFonts w:eastAsia="Times New Roman" w:cs="Times New Roman"/>
          <w:sz w:val="28"/>
          <w:szCs w:val="28"/>
        </w:rPr>
        <w:t>ки</w:t>
      </w:r>
      <w:r w:rsidR="0030517B" w:rsidRPr="00065B03">
        <w:rPr>
          <w:rFonts w:eastAsia="Times New Roman" w:cs="Times New Roman"/>
          <w:sz w:val="28"/>
          <w:szCs w:val="28"/>
        </w:rPr>
        <w:t>сів</w:t>
      </w:r>
      <w:r w:rsidR="0030517B" w:rsidRPr="00CA099F">
        <w:rPr>
          <w:rFonts w:eastAsia="Times New Roman" w:cs="Times New Roman"/>
          <w:sz w:val="28"/>
          <w:szCs w:val="28"/>
        </w:rPr>
        <w:t xml:space="preserve"> ліпідів свідчить про активний перебіг початкових стадій ланцюгового окиснення ліпідів, а підвищення концентрації ТБК-активних продуктів свідчить про тривалий патологічний процес, що не втрачає своєї гостроти. </w:t>
      </w:r>
    </w:p>
    <w:p w:rsidR="0030517B" w:rsidRPr="00CA099F" w:rsidRDefault="00432A0D" w:rsidP="0030517B">
      <w:pPr>
        <w:spacing w:after="0" w:line="360" w:lineRule="auto"/>
        <w:jc w:val="both"/>
        <w:rPr>
          <w:rFonts w:eastAsia="Times New Roman" w:cs="Times New Roman"/>
          <w:sz w:val="28"/>
          <w:szCs w:val="28"/>
        </w:rPr>
      </w:pPr>
      <w:r w:rsidRPr="00D96DA9">
        <w:rPr>
          <w:rFonts w:eastAsia="Times New Roman" w:cs="Times New Roman"/>
          <w:sz w:val="28"/>
          <w:szCs w:val="28"/>
          <w:lang w:val="ru-RU"/>
        </w:rPr>
        <w:tab/>
      </w:r>
      <w:r w:rsidR="0030517B" w:rsidRPr="00CA099F">
        <w:rPr>
          <w:rFonts w:eastAsia="Times New Roman" w:cs="Times New Roman"/>
          <w:sz w:val="28"/>
          <w:szCs w:val="28"/>
        </w:rPr>
        <w:t>Аналіз динаміки змін показників вільнорадикального окиснення стосовно рівня інтактної групи свідчить про спільні тенденції з поступовою нормалізацією досліджуваних величин через 12 місяців спостереження. Так, вміст ГПЛ у всіх дослідних групах через 3 місяці був достовірно вищий рівня інтактної групи ((3,02±0,04) ум.од./кг). Через 6 місяців відмічена позитивна динаміка, яка характеризувалася достовірним зниженням вмісту ГПЛ у всіх дослідних групах, стосовно даних через 3 місяці, проте досліджувана величина все ще була вища значень інтактної групи. У пацієнтів другої і третьої груп через 9 місяців і до кінця терміну спостереження рівень ГПЛ відповідав значенням інтактної групи (рис. 5.3)</w:t>
      </w:r>
    </w:p>
    <w:p w:rsidR="0030517B" w:rsidRPr="00CA099F" w:rsidRDefault="0030517B" w:rsidP="0030517B">
      <w:pPr>
        <w:spacing w:after="0"/>
        <w:jc w:val="center"/>
        <w:rPr>
          <w:rFonts w:ascii="Calibri" w:eastAsia="Times New Roman" w:hAnsi="Calibri" w:cs="Times New Roman"/>
          <w:sz w:val="22"/>
        </w:rPr>
      </w:pPr>
      <w:r w:rsidRPr="00CA099F">
        <w:rPr>
          <w:rFonts w:ascii="Calibri" w:eastAsia="Times New Roman" w:hAnsi="Calibri" w:cs="Times New Roman"/>
          <w:noProof/>
          <w:sz w:val="22"/>
          <w:lang w:val="ru-RU" w:eastAsia="ru-RU"/>
        </w:rPr>
        <w:drawing>
          <wp:inline distT="0" distB="0" distL="0" distR="0" wp14:anchorId="30CE6090" wp14:editId="785B5138">
            <wp:extent cx="5657850" cy="2724150"/>
            <wp:effectExtent l="0" t="0" r="0" b="0"/>
            <wp:docPr id="29" name="Диаграмма 2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30517B" w:rsidRPr="00CA099F" w:rsidRDefault="00432A0D" w:rsidP="0030517B">
      <w:pPr>
        <w:spacing w:after="0" w:line="360" w:lineRule="auto"/>
        <w:jc w:val="both"/>
        <w:rPr>
          <w:rFonts w:eastAsia="Times New Roman" w:cs="Times New Roman"/>
          <w:sz w:val="28"/>
          <w:szCs w:val="28"/>
        </w:rPr>
      </w:pPr>
      <w:r>
        <w:rPr>
          <w:rFonts w:eastAsia="Times New Roman" w:cs="Times New Roman"/>
          <w:sz w:val="28"/>
          <w:szCs w:val="28"/>
        </w:rPr>
        <w:lastRenderedPageBreak/>
        <w:t>Рис. 5.3. Графічне зображення</w:t>
      </w:r>
      <w:r w:rsidR="0030517B" w:rsidRPr="00CA099F">
        <w:rPr>
          <w:rFonts w:eastAsia="Times New Roman" w:cs="Times New Roman"/>
          <w:sz w:val="28"/>
          <w:szCs w:val="28"/>
        </w:rPr>
        <w:t xml:space="preserve"> змін вмісту гідроперекисів ліпідів у гомогенаті шкіри пацієнтів з різними видами інтра- та післяопераційної профілактики патологічних рубців шкіри при хірургічному лікуванні кіст шиї ембріонального походження (*- різниця достовірна стосовно даних інтактної групи).</w:t>
      </w:r>
    </w:p>
    <w:p w:rsidR="0030517B" w:rsidRPr="00CA099F" w:rsidRDefault="00432A0D" w:rsidP="0030517B">
      <w:pPr>
        <w:spacing w:after="0" w:line="360" w:lineRule="auto"/>
        <w:jc w:val="both"/>
        <w:rPr>
          <w:rFonts w:eastAsia="Times New Roman" w:cs="Times New Roman"/>
          <w:sz w:val="28"/>
          <w:szCs w:val="28"/>
        </w:rPr>
      </w:pPr>
      <w:r>
        <w:rPr>
          <w:rFonts w:eastAsia="Times New Roman" w:cs="Times New Roman"/>
          <w:sz w:val="28"/>
          <w:szCs w:val="28"/>
        </w:rPr>
        <w:tab/>
      </w:r>
      <w:r w:rsidR="0030517B" w:rsidRPr="00CA099F">
        <w:rPr>
          <w:rFonts w:eastAsia="Times New Roman" w:cs="Times New Roman"/>
          <w:sz w:val="28"/>
          <w:szCs w:val="28"/>
        </w:rPr>
        <w:t>Вміст ДК у всіх дослідних групах через 3, 6 і 9 місяців був достовірн</w:t>
      </w:r>
      <w:r w:rsidR="00F77D41">
        <w:rPr>
          <w:rFonts w:eastAsia="Times New Roman" w:cs="Times New Roman"/>
          <w:sz w:val="28"/>
          <w:szCs w:val="28"/>
        </w:rPr>
        <w:t>о вищий рівня інтактної групи (</w:t>
      </w:r>
      <w:r w:rsidR="0030517B" w:rsidRPr="00CA099F">
        <w:rPr>
          <w:rFonts w:eastAsia="Times New Roman" w:cs="Times New Roman"/>
          <w:sz w:val="28"/>
          <w:szCs w:val="28"/>
        </w:rPr>
        <w:t>2,02±0,04 ум.од./кг). У пацієнтів другої і третьої груп через 12 місяців рівень ДК відповідав значенням інтактної групи (рис. 5.4). Така ж динаміка відмічалась щодо змін концентрації ТК в гомогенаті шкіри пацієнтів, стосовно показників інтактної групи (рис. 5.5).</w:t>
      </w:r>
    </w:p>
    <w:p w:rsidR="0030517B" w:rsidRDefault="0030517B" w:rsidP="0030517B">
      <w:pPr>
        <w:spacing w:after="0" w:line="360" w:lineRule="auto"/>
        <w:jc w:val="both"/>
        <w:rPr>
          <w:rFonts w:eastAsia="Times New Roman" w:cs="Times New Roman"/>
          <w:sz w:val="28"/>
          <w:szCs w:val="28"/>
        </w:rPr>
      </w:pPr>
      <w:r w:rsidRPr="00CA099F">
        <w:rPr>
          <w:rFonts w:eastAsia="Times New Roman" w:cs="Times New Roman"/>
          <w:noProof/>
          <w:sz w:val="28"/>
          <w:szCs w:val="28"/>
          <w:lang w:val="ru-RU" w:eastAsia="ru-RU"/>
        </w:rPr>
        <w:drawing>
          <wp:inline distT="0" distB="0" distL="0" distR="0" wp14:anchorId="6247DA89" wp14:editId="7997AA15">
            <wp:extent cx="5943600" cy="2638425"/>
            <wp:effectExtent l="0" t="0" r="0" b="0"/>
            <wp:docPr id="28" name="Диаграмма 28"/>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r w:rsidR="00432A0D">
        <w:rPr>
          <w:rFonts w:eastAsia="Times New Roman" w:cs="Times New Roman"/>
          <w:sz w:val="28"/>
          <w:szCs w:val="28"/>
        </w:rPr>
        <w:t>Рис. 5.4</w:t>
      </w:r>
      <w:r w:rsidRPr="00CA099F">
        <w:rPr>
          <w:rFonts w:eastAsia="Times New Roman" w:cs="Times New Roman"/>
          <w:sz w:val="28"/>
          <w:szCs w:val="28"/>
        </w:rPr>
        <w:t xml:space="preserve"> </w:t>
      </w:r>
      <w:r w:rsidR="00432A0D">
        <w:rPr>
          <w:rFonts w:eastAsia="Times New Roman" w:cs="Times New Roman"/>
          <w:sz w:val="28"/>
          <w:szCs w:val="28"/>
        </w:rPr>
        <w:t>Графічне зображення</w:t>
      </w:r>
      <w:r w:rsidRPr="00CA099F">
        <w:rPr>
          <w:rFonts w:eastAsia="Times New Roman" w:cs="Times New Roman"/>
          <w:sz w:val="28"/>
          <w:szCs w:val="28"/>
        </w:rPr>
        <w:t xml:space="preserve"> змін вмісту дієнових кон’югатів у гомогенаті шкіри пацієнтів з різними видами інтра- та післяопераційної профілактики патологічних рубців шкіри при хірургічному лікуванні кіст шиї ембріонального походження (*- різниця достовірна стосовно даних інтактної групи).</w:t>
      </w:r>
    </w:p>
    <w:p w:rsidR="004713FC" w:rsidRDefault="004713FC" w:rsidP="0030517B">
      <w:pPr>
        <w:spacing w:after="0" w:line="360" w:lineRule="auto"/>
        <w:jc w:val="both"/>
        <w:rPr>
          <w:rFonts w:eastAsia="Times New Roman" w:cs="Times New Roman"/>
          <w:sz w:val="28"/>
          <w:szCs w:val="28"/>
        </w:rPr>
      </w:pPr>
    </w:p>
    <w:p w:rsidR="004713FC" w:rsidRPr="00CA099F" w:rsidRDefault="004713FC" w:rsidP="004713FC">
      <w:pPr>
        <w:spacing w:after="0" w:line="360" w:lineRule="auto"/>
        <w:jc w:val="both"/>
        <w:rPr>
          <w:rFonts w:eastAsia="Times New Roman" w:cs="Times New Roman"/>
          <w:sz w:val="28"/>
          <w:szCs w:val="28"/>
        </w:rPr>
      </w:pPr>
      <w:r>
        <w:rPr>
          <w:rFonts w:eastAsia="Times New Roman" w:cs="Times New Roman"/>
          <w:sz w:val="28"/>
          <w:szCs w:val="28"/>
        </w:rPr>
        <w:tab/>
      </w:r>
      <w:r w:rsidRPr="00CA099F">
        <w:rPr>
          <w:rFonts w:eastAsia="Times New Roman" w:cs="Times New Roman"/>
          <w:sz w:val="28"/>
          <w:szCs w:val="28"/>
        </w:rPr>
        <w:t>Вміст ТБК-АП у всіх дослідних групах через 3 і 6 місяців був достовірн</w:t>
      </w:r>
      <w:r>
        <w:rPr>
          <w:rFonts w:eastAsia="Times New Roman" w:cs="Times New Roman"/>
          <w:sz w:val="28"/>
          <w:szCs w:val="28"/>
        </w:rPr>
        <w:t>о вищий рівня інтактної групи (</w:t>
      </w:r>
      <w:r w:rsidRPr="00CA099F">
        <w:rPr>
          <w:rFonts w:eastAsia="Times New Roman" w:cs="Times New Roman"/>
          <w:sz w:val="28"/>
          <w:szCs w:val="28"/>
        </w:rPr>
        <w:t xml:space="preserve">2,45±0,08 ммоль/кг). Через 9 місяців і до закінчення терміну спостереження відмічена позитивна динаміка, яка характеризувалася достовірним зниженням вмісту ТБК-АП у першій і другій </w:t>
      </w:r>
      <w:r w:rsidRPr="00CA099F">
        <w:rPr>
          <w:rFonts w:eastAsia="Times New Roman" w:cs="Times New Roman"/>
          <w:sz w:val="28"/>
          <w:szCs w:val="28"/>
        </w:rPr>
        <w:lastRenderedPageBreak/>
        <w:t>групах, стосовно даних через 3 і 6 місяців, при цьому рівень цього показника практично відповідав значенням інтактної групи (рис. 5.6).</w:t>
      </w:r>
    </w:p>
    <w:p w:rsidR="004713FC" w:rsidRPr="00CA099F" w:rsidRDefault="004713FC" w:rsidP="0030517B">
      <w:pPr>
        <w:spacing w:after="0" w:line="360" w:lineRule="auto"/>
        <w:jc w:val="both"/>
        <w:rPr>
          <w:rFonts w:eastAsia="Times New Roman" w:cs="Times New Roman"/>
          <w:sz w:val="28"/>
          <w:szCs w:val="28"/>
        </w:rPr>
      </w:pPr>
    </w:p>
    <w:p w:rsidR="0030517B" w:rsidRPr="00CA099F" w:rsidRDefault="0030517B" w:rsidP="0030517B">
      <w:pPr>
        <w:spacing w:after="0" w:line="360" w:lineRule="auto"/>
        <w:jc w:val="both"/>
        <w:rPr>
          <w:rFonts w:eastAsia="Times New Roman" w:cs="Times New Roman"/>
          <w:sz w:val="28"/>
          <w:szCs w:val="28"/>
        </w:rPr>
      </w:pPr>
      <w:r w:rsidRPr="00CA099F">
        <w:rPr>
          <w:rFonts w:eastAsia="Times New Roman" w:cs="Times New Roman"/>
          <w:noProof/>
          <w:sz w:val="28"/>
          <w:szCs w:val="28"/>
          <w:lang w:val="ru-RU" w:eastAsia="ru-RU"/>
        </w:rPr>
        <w:drawing>
          <wp:inline distT="0" distB="0" distL="0" distR="0" wp14:anchorId="4A64F28C" wp14:editId="1DB9B5B6">
            <wp:extent cx="6315075" cy="2676525"/>
            <wp:effectExtent l="0" t="0" r="0" b="0"/>
            <wp:docPr id="27" name="Диаграмма 2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r w:rsidR="00432A0D">
        <w:rPr>
          <w:rFonts w:eastAsia="Times New Roman" w:cs="Times New Roman"/>
          <w:sz w:val="28"/>
          <w:szCs w:val="28"/>
        </w:rPr>
        <w:t>Рис. 5.5</w:t>
      </w:r>
      <w:r w:rsidRPr="00CA099F">
        <w:rPr>
          <w:rFonts w:eastAsia="Times New Roman" w:cs="Times New Roman"/>
          <w:sz w:val="28"/>
          <w:szCs w:val="28"/>
        </w:rPr>
        <w:t xml:space="preserve"> </w:t>
      </w:r>
      <w:r w:rsidR="00432A0D">
        <w:rPr>
          <w:rFonts w:eastAsia="Times New Roman" w:cs="Times New Roman"/>
          <w:sz w:val="28"/>
          <w:szCs w:val="28"/>
        </w:rPr>
        <w:t>Графічне зображення</w:t>
      </w:r>
      <w:r w:rsidRPr="00CA099F">
        <w:rPr>
          <w:rFonts w:eastAsia="Times New Roman" w:cs="Times New Roman"/>
          <w:sz w:val="28"/>
          <w:szCs w:val="28"/>
        </w:rPr>
        <w:t xml:space="preserve"> змін вмісту трієнових кон’югатів у гомогенаті шкіри пацієнтів з різними видами інтра- та післяопераційної профілактики патологічних рубців шкіри при хірургічному лікуванні кіст шиї ембріонального походження (*- різниця достовірна стосовно даних інтактної групи).</w:t>
      </w:r>
    </w:p>
    <w:p w:rsidR="0030517B" w:rsidRPr="00CA099F" w:rsidRDefault="0030517B" w:rsidP="0030517B">
      <w:pPr>
        <w:spacing w:after="0" w:line="360" w:lineRule="auto"/>
        <w:jc w:val="both"/>
        <w:rPr>
          <w:rFonts w:eastAsia="Times New Roman" w:cs="Times New Roman"/>
          <w:sz w:val="28"/>
          <w:szCs w:val="28"/>
        </w:rPr>
      </w:pPr>
      <w:r w:rsidRPr="00CA099F">
        <w:rPr>
          <w:rFonts w:eastAsia="Times New Roman" w:cs="Times New Roman"/>
          <w:noProof/>
          <w:sz w:val="28"/>
          <w:szCs w:val="28"/>
          <w:lang w:val="ru-RU" w:eastAsia="ru-RU"/>
        </w:rPr>
        <w:drawing>
          <wp:inline distT="0" distB="0" distL="0" distR="0" wp14:anchorId="787CBA37" wp14:editId="6400CB89">
            <wp:extent cx="5648325" cy="3019425"/>
            <wp:effectExtent l="0" t="0" r="0" b="0"/>
            <wp:docPr id="26" name="Диаграмма 2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rsidR="0030517B" w:rsidRPr="00CA099F" w:rsidRDefault="00432A0D" w:rsidP="0030517B">
      <w:pPr>
        <w:spacing w:after="0" w:line="360" w:lineRule="auto"/>
        <w:jc w:val="both"/>
        <w:rPr>
          <w:rFonts w:eastAsia="Times New Roman" w:cs="Times New Roman"/>
          <w:sz w:val="28"/>
          <w:szCs w:val="28"/>
        </w:rPr>
      </w:pPr>
      <w:r>
        <w:rPr>
          <w:rFonts w:eastAsia="Times New Roman" w:cs="Times New Roman"/>
          <w:sz w:val="28"/>
          <w:szCs w:val="28"/>
        </w:rPr>
        <w:t>Рис. 5.6. Графічне зображення</w:t>
      </w:r>
      <w:r w:rsidR="0030517B" w:rsidRPr="00CA099F">
        <w:rPr>
          <w:rFonts w:eastAsia="Times New Roman" w:cs="Times New Roman"/>
          <w:sz w:val="28"/>
          <w:szCs w:val="28"/>
        </w:rPr>
        <w:t xml:space="preserve"> змін вмісту ТБК – активних продуктів (% від рівня інтактної групи) у гомогенаті шкіри пацієнтів з різними видами інтра- та післяопераційної профілактики патологічних рубців шкіри при хірургічному </w:t>
      </w:r>
      <w:r w:rsidR="0030517B" w:rsidRPr="00CA099F">
        <w:rPr>
          <w:rFonts w:eastAsia="Times New Roman" w:cs="Times New Roman"/>
          <w:sz w:val="28"/>
          <w:szCs w:val="28"/>
        </w:rPr>
        <w:lastRenderedPageBreak/>
        <w:t>лікуванні кіст шиї ембріонального походження (*- різниця достовірна стосовно даних інтактної групи).</w:t>
      </w:r>
    </w:p>
    <w:p w:rsidR="0030517B" w:rsidRPr="00CA099F" w:rsidRDefault="0030517B" w:rsidP="0030517B">
      <w:pPr>
        <w:spacing w:after="135" w:line="360" w:lineRule="auto"/>
        <w:jc w:val="both"/>
        <w:outlineLvl w:val="0"/>
        <w:rPr>
          <w:rFonts w:eastAsia="Times New Roman" w:cs="Times New Roman"/>
          <w:bCs/>
          <w:kern w:val="36"/>
          <w:sz w:val="28"/>
          <w:szCs w:val="28"/>
          <w:lang w:eastAsia="ru-RU"/>
        </w:rPr>
      </w:pPr>
    </w:p>
    <w:p w:rsidR="0030517B" w:rsidRDefault="0030517B" w:rsidP="00F12A79">
      <w:pPr>
        <w:spacing w:after="135" w:line="360" w:lineRule="auto"/>
        <w:ind w:firstLine="709"/>
        <w:jc w:val="both"/>
        <w:outlineLvl w:val="0"/>
        <w:rPr>
          <w:rFonts w:eastAsia="Times New Roman" w:cs="Times New Roman"/>
          <w:b/>
          <w:bCs/>
          <w:kern w:val="36"/>
          <w:sz w:val="28"/>
          <w:szCs w:val="28"/>
          <w:lang w:eastAsia="ru-RU"/>
        </w:rPr>
      </w:pPr>
      <w:r w:rsidRPr="00F12A79">
        <w:rPr>
          <w:rFonts w:eastAsia="Times New Roman" w:cs="Times New Roman"/>
          <w:b/>
          <w:bCs/>
          <w:kern w:val="36"/>
          <w:sz w:val="28"/>
          <w:szCs w:val="28"/>
          <w:lang w:eastAsia="ru-RU"/>
        </w:rPr>
        <w:t>5.3 Динаміка змін показників вільнорадикального окислення білків</w:t>
      </w:r>
    </w:p>
    <w:p w:rsidR="004713FC" w:rsidRPr="00FC37AF" w:rsidRDefault="004713FC" w:rsidP="00F12A79">
      <w:pPr>
        <w:spacing w:after="135" w:line="360" w:lineRule="auto"/>
        <w:ind w:firstLine="709"/>
        <w:jc w:val="both"/>
        <w:outlineLvl w:val="0"/>
        <w:rPr>
          <w:rFonts w:eastAsia="Times New Roman" w:cs="Times New Roman"/>
          <w:b/>
          <w:bCs/>
          <w:kern w:val="36"/>
          <w:sz w:val="28"/>
          <w:szCs w:val="28"/>
          <w:lang w:eastAsia="ru-RU"/>
        </w:rPr>
      </w:pPr>
    </w:p>
    <w:p w:rsidR="0030517B" w:rsidRPr="00CA099F" w:rsidRDefault="00432A0D" w:rsidP="0030517B">
      <w:pPr>
        <w:spacing w:after="135" w:line="360" w:lineRule="auto"/>
        <w:jc w:val="both"/>
        <w:outlineLvl w:val="0"/>
        <w:rPr>
          <w:rFonts w:eastAsia="Times New Roman" w:cs="Times New Roman"/>
          <w:bCs/>
          <w:color w:val="000000"/>
          <w:kern w:val="36"/>
          <w:sz w:val="28"/>
          <w:szCs w:val="28"/>
          <w:lang w:eastAsia="ru-RU"/>
        </w:rPr>
      </w:pPr>
      <w:r>
        <w:rPr>
          <w:rFonts w:eastAsia="Times New Roman" w:cs="Times New Roman"/>
          <w:bCs/>
          <w:kern w:val="36"/>
          <w:sz w:val="28"/>
          <w:szCs w:val="28"/>
          <w:lang w:eastAsia="ru-RU"/>
        </w:rPr>
        <w:tab/>
      </w:r>
      <w:r w:rsidR="0030517B" w:rsidRPr="00CA099F">
        <w:rPr>
          <w:rFonts w:eastAsia="Times New Roman" w:cs="Times New Roman"/>
          <w:bCs/>
          <w:kern w:val="36"/>
          <w:sz w:val="28"/>
          <w:szCs w:val="28"/>
          <w:lang w:eastAsia="ru-RU"/>
        </w:rPr>
        <w:t>Руйнування білків є більш надійним маркером окисних пошкоджень тканин, ніж ПОЛ, оскільки продукти окисної модифікації білків (ОМБ) стабільніші, порівняно з пероксидами ліпідів, які швидко метаболізуються під дією пероксидаз і низькомолекулярних антиоксидантів. В умовах окисного стресу й надмірної генерації АФО розвиваються процеси неконтрольованої модифікації білків, які з</w:t>
      </w:r>
      <w:r w:rsidR="00290497">
        <w:rPr>
          <w:rFonts w:eastAsia="Times New Roman" w:cs="Times New Roman"/>
          <w:bCs/>
          <w:kern w:val="36"/>
          <w:sz w:val="28"/>
          <w:szCs w:val="28"/>
          <w:lang w:eastAsia="ru-RU"/>
        </w:rPr>
        <w:t>умовлюють фрагментацію білків, їх</w:t>
      </w:r>
      <w:r w:rsidR="0030517B" w:rsidRPr="00CA099F">
        <w:rPr>
          <w:rFonts w:eastAsia="Times New Roman" w:cs="Times New Roman"/>
          <w:bCs/>
          <w:kern w:val="36"/>
          <w:sz w:val="28"/>
          <w:szCs w:val="28"/>
          <w:lang w:eastAsia="ru-RU"/>
        </w:rPr>
        <w:t xml:space="preserve"> денатурацію, а також утворення перв</w:t>
      </w:r>
      <w:r w:rsidR="00290497">
        <w:rPr>
          <w:rFonts w:eastAsia="Times New Roman" w:cs="Times New Roman"/>
          <w:bCs/>
          <w:kern w:val="36"/>
          <w:sz w:val="28"/>
          <w:szCs w:val="28"/>
          <w:lang w:eastAsia="ru-RU"/>
        </w:rPr>
        <w:t>инних амінокислотних радикалів,</w:t>
      </w:r>
      <w:r w:rsidR="0030517B" w:rsidRPr="00CA099F">
        <w:rPr>
          <w:rFonts w:eastAsia="Times New Roman" w:cs="Times New Roman"/>
          <w:bCs/>
          <w:kern w:val="36"/>
          <w:sz w:val="28"/>
          <w:szCs w:val="28"/>
          <w:lang w:eastAsia="ru-RU"/>
        </w:rPr>
        <w:t xml:space="preserve"> що далі вступають у вторинну взаємодію із сусідніми амінокислотними залишками, а це в цілому створює досить складну картину пошкоджувальної дії</w:t>
      </w:r>
      <w:r w:rsidR="00290497">
        <w:rPr>
          <w:rFonts w:eastAsia="Times New Roman" w:cs="Times New Roman"/>
          <w:bCs/>
          <w:kern w:val="36"/>
          <w:sz w:val="28"/>
          <w:szCs w:val="28"/>
          <w:lang w:eastAsia="ru-RU"/>
        </w:rPr>
        <w:t xml:space="preserve"> АФО на білкові макромолекули. </w:t>
      </w:r>
      <w:r w:rsidR="0030517B" w:rsidRPr="00CA099F">
        <w:rPr>
          <w:rFonts w:eastAsia="Times New Roman" w:cs="Times New Roman"/>
          <w:bCs/>
          <w:kern w:val="36"/>
          <w:sz w:val="28"/>
          <w:szCs w:val="28"/>
          <w:lang w:eastAsia="ru-RU"/>
        </w:rPr>
        <w:t>Все це пр</w:t>
      </w:r>
      <w:r w:rsidR="00290497">
        <w:rPr>
          <w:rFonts w:eastAsia="Times New Roman" w:cs="Times New Roman"/>
          <w:bCs/>
          <w:kern w:val="36"/>
          <w:sz w:val="28"/>
          <w:szCs w:val="28"/>
          <w:lang w:eastAsia="ru-RU"/>
        </w:rPr>
        <w:t>изводить до втрати білками їх</w:t>
      </w:r>
      <w:r w:rsidR="0030517B" w:rsidRPr="00CA099F">
        <w:rPr>
          <w:rFonts w:eastAsia="Times New Roman" w:cs="Times New Roman"/>
          <w:bCs/>
          <w:kern w:val="36"/>
          <w:sz w:val="28"/>
          <w:szCs w:val="28"/>
          <w:lang w:eastAsia="ru-RU"/>
        </w:rPr>
        <w:t xml:space="preserve"> біологічної активності й порушення обмінних, зокрема регенеративних процесів. </w:t>
      </w:r>
    </w:p>
    <w:p w:rsidR="0030517B" w:rsidRDefault="0030517B" w:rsidP="00290497">
      <w:pPr>
        <w:spacing w:after="0" w:line="360" w:lineRule="auto"/>
        <w:ind w:firstLine="709"/>
        <w:jc w:val="both"/>
        <w:rPr>
          <w:rFonts w:eastAsia="Times New Roman" w:cs="Times New Roman"/>
          <w:sz w:val="28"/>
          <w:szCs w:val="28"/>
        </w:rPr>
      </w:pPr>
      <w:r w:rsidRPr="00CA099F">
        <w:rPr>
          <w:rFonts w:eastAsia="Times New Roman" w:cs="Times New Roman"/>
          <w:sz w:val="28"/>
          <w:szCs w:val="28"/>
        </w:rPr>
        <w:t>Про інтенсивність окиснювальної модифікації білків судили за вмістом у гомогенаті шкіри альдегідо- і кетонопохідних, що утворюються при дії активних радикалів на амінокислотні залишки в молекулах білків (табл. 5.3).</w:t>
      </w:r>
    </w:p>
    <w:p w:rsidR="00CB4E9E" w:rsidRPr="00CA099F" w:rsidRDefault="00CB4E9E" w:rsidP="00CB4E9E">
      <w:pPr>
        <w:spacing w:after="0" w:line="360" w:lineRule="auto"/>
        <w:jc w:val="both"/>
        <w:rPr>
          <w:rFonts w:eastAsia="Times New Roman" w:cs="Times New Roman"/>
          <w:sz w:val="28"/>
          <w:szCs w:val="28"/>
        </w:rPr>
      </w:pPr>
      <w:r>
        <w:rPr>
          <w:rFonts w:eastAsia="Times New Roman" w:cs="Times New Roman"/>
          <w:sz w:val="28"/>
          <w:szCs w:val="28"/>
        </w:rPr>
        <w:tab/>
      </w:r>
      <w:r w:rsidRPr="00CA099F">
        <w:rPr>
          <w:rFonts w:eastAsia="Times New Roman" w:cs="Times New Roman"/>
          <w:sz w:val="28"/>
          <w:szCs w:val="28"/>
        </w:rPr>
        <w:t>Встановлено, що у пацієнтів, яким під час оперативного втручання введено PRF-згусток, вміст 2,4-динітрофенілгідразонів, що визначалися при 370 нм (відображає концентрацію альдегідо- і кетонопохідних нейтрального характеру) через 3 місяці спостереження був достовірно меншим на 45,5 %, через 6 місяців – на 38,7 % і через 9 – на 14,5 %, стосовно даних контрольної групи. У пацієнтів першої і третьої груп через 12 місяців спостереження вміст 2,4-динітрофенілгідразонів, що визначалися при 370 нм практично не відрізнявся.</w:t>
      </w:r>
    </w:p>
    <w:p w:rsidR="00CB4E9E" w:rsidRPr="00CA099F" w:rsidRDefault="00CB4E9E" w:rsidP="00CB4E9E">
      <w:pPr>
        <w:spacing w:after="0" w:line="360" w:lineRule="auto"/>
        <w:jc w:val="both"/>
        <w:rPr>
          <w:rFonts w:eastAsia="Times New Roman" w:cs="Times New Roman"/>
          <w:sz w:val="28"/>
          <w:szCs w:val="28"/>
        </w:rPr>
      </w:pPr>
      <w:r w:rsidRPr="00CA099F">
        <w:rPr>
          <w:rFonts w:eastAsia="Times New Roman" w:cs="Times New Roman"/>
          <w:sz w:val="28"/>
          <w:szCs w:val="28"/>
        </w:rPr>
        <w:t xml:space="preserve">Слід зазначити, що рівень досліджуваного показника змінювався впродовж терміну спостереження. Так, у пацієнтів, яким під час оперативного втручання </w:t>
      </w:r>
      <w:r w:rsidRPr="00CA099F">
        <w:rPr>
          <w:rFonts w:eastAsia="Times New Roman" w:cs="Times New Roman"/>
          <w:sz w:val="28"/>
          <w:szCs w:val="28"/>
        </w:rPr>
        <w:lastRenderedPageBreak/>
        <w:t>введено PRF-згусток, через 6 місяців вміст 2,4-динітрофенілгідразонів, що визначалися при 370 нм був на 25,6 % (</w:t>
      </w:r>
      <w:r w:rsidRPr="00CA099F">
        <w:rPr>
          <w:rFonts w:eastAsia="Times New Roman" w:cs="Times New Roman"/>
          <w:color w:val="000000"/>
          <w:sz w:val="28"/>
          <w:szCs w:val="28"/>
        </w:rPr>
        <w:t xml:space="preserve">р&lt;0,001) </w:t>
      </w:r>
      <w:r w:rsidRPr="00CA099F">
        <w:rPr>
          <w:rFonts w:eastAsia="Times New Roman" w:cs="Times New Roman"/>
          <w:sz w:val="28"/>
          <w:szCs w:val="28"/>
        </w:rPr>
        <w:t>нижчий, стосовно даних попереднього терміну спостереження, відповідно, через 9 місяців - на 17,7 % (</w:t>
      </w:r>
      <w:r w:rsidRPr="00CA099F">
        <w:rPr>
          <w:rFonts w:eastAsia="Times New Roman" w:cs="Times New Roman"/>
          <w:color w:val="000000"/>
          <w:sz w:val="28"/>
          <w:szCs w:val="28"/>
        </w:rPr>
        <w:t xml:space="preserve">р&lt;0,002), </w:t>
      </w:r>
      <w:r w:rsidRPr="00CA099F">
        <w:rPr>
          <w:rFonts w:eastAsia="Times New Roman" w:cs="Times New Roman"/>
          <w:sz w:val="28"/>
          <w:szCs w:val="28"/>
        </w:rPr>
        <w:t>через 12 - на 13,4 % (</w:t>
      </w:r>
      <w:r w:rsidRPr="00CA099F">
        <w:rPr>
          <w:rFonts w:eastAsia="Times New Roman" w:cs="Times New Roman"/>
          <w:color w:val="000000"/>
          <w:sz w:val="28"/>
          <w:szCs w:val="28"/>
        </w:rPr>
        <w:t>р&lt;0,05)</w:t>
      </w:r>
      <w:r w:rsidRPr="00CA099F">
        <w:rPr>
          <w:rFonts w:eastAsia="Times New Roman" w:cs="Times New Roman"/>
          <w:sz w:val="28"/>
          <w:szCs w:val="28"/>
        </w:rPr>
        <w:t xml:space="preserve">. </w:t>
      </w:r>
    </w:p>
    <w:p w:rsidR="00CB4E9E" w:rsidRPr="00CA099F" w:rsidRDefault="00CB4E9E" w:rsidP="00290497">
      <w:pPr>
        <w:spacing w:after="0" w:line="360" w:lineRule="auto"/>
        <w:ind w:firstLine="709"/>
        <w:jc w:val="both"/>
        <w:rPr>
          <w:rFonts w:eastAsia="Times New Roman" w:cs="Times New Roman"/>
          <w:sz w:val="28"/>
          <w:szCs w:val="28"/>
        </w:rPr>
      </w:pPr>
    </w:p>
    <w:p w:rsidR="0030517B" w:rsidRPr="00CA099F" w:rsidRDefault="0030517B" w:rsidP="0030517B">
      <w:pPr>
        <w:spacing w:after="0" w:line="360" w:lineRule="auto"/>
        <w:jc w:val="right"/>
        <w:rPr>
          <w:rFonts w:eastAsia="Times New Roman" w:cs="Times New Roman"/>
          <w:i/>
          <w:sz w:val="28"/>
          <w:szCs w:val="28"/>
        </w:rPr>
      </w:pPr>
      <w:r w:rsidRPr="00CA099F">
        <w:rPr>
          <w:rFonts w:eastAsia="Times New Roman" w:cs="Times New Roman"/>
          <w:i/>
          <w:sz w:val="28"/>
          <w:szCs w:val="28"/>
        </w:rPr>
        <w:t>Таблиця 5.3</w:t>
      </w:r>
    </w:p>
    <w:p w:rsidR="0030517B" w:rsidRPr="00CA099F" w:rsidRDefault="0030517B" w:rsidP="0030517B">
      <w:pPr>
        <w:spacing w:after="0" w:line="360" w:lineRule="auto"/>
        <w:jc w:val="center"/>
        <w:rPr>
          <w:rFonts w:eastAsia="Times New Roman" w:cs="Times New Roman"/>
          <w:sz w:val="28"/>
          <w:szCs w:val="28"/>
        </w:rPr>
      </w:pPr>
      <w:r w:rsidRPr="00F12A79">
        <w:rPr>
          <w:rFonts w:eastAsia="Times New Roman" w:cs="Times New Roman"/>
          <w:sz w:val="28"/>
          <w:szCs w:val="28"/>
        </w:rPr>
        <w:t>Показники вільнорадикального окиснення білків у гомогенаті шкіри за умови використання PRF-згустка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230"/>
        <w:gridCol w:w="990"/>
        <w:gridCol w:w="819"/>
        <w:gridCol w:w="991"/>
        <w:gridCol w:w="1154"/>
        <w:gridCol w:w="991"/>
        <w:gridCol w:w="1154"/>
        <w:gridCol w:w="991"/>
        <w:gridCol w:w="1025"/>
      </w:tblGrid>
      <w:tr w:rsidR="0030517B" w:rsidRPr="00CA099F" w:rsidTr="00E1448E">
        <w:tc>
          <w:tcPr>
            <w:tcW w:w="669" w:type="pct"/>
            <w:vMerge w:val="restart"/>
            <w:vAlign w:val="center"/>
          </w:tcPr>
          <w:p w:rsidR="0030517B" w:rsidRPr="00CA099F" w:rsidRDefault="0030517B" w:rsidP="00E1448E">
            <w:pPr>
              <w:spacing w:after="0"/>
              <w:jc w:val="center"/>
              <w:rPr>
                <w:rFonts w:eastAsia="Times New Roman" w:cs="Times New Roman"/>
                <w:szCs w:val="24"/>
              </w:rPr>
            </w:pPr>
            <w:r w:rsidRPr="00CA099F">
              <w:rPr>
                <w:rFonts w:eastAsia="Times New Roman" w:cs="Times New Roman"/>
                <w:szCs w:val="24"/>
              </w:rPr>
              <w:t>Показник</w:t>
            </w:r>
          </w:p>
        </w:tc>
        <w:tc>
          <w:tcPr>
            <w:tcW w:w="958" w:type="pct"/>
            <w:gridSpan w:val="2"/>
          </w:tcPr>
          <w:p w:rsidR="0030517B" w:rsidRPr="00CA099F" w:rsidRDefault="0030517B" w:rsidP="00E1448E">
            <w:pPr>
              <w:spacing w:after="0"/>
              <w:jc w:val="center"/>
              <w:rPr>
                <w:rFonts w:eastAsia="Times New Roman" w:cs="Times New Roman"/>
                <w:szCs w:val="28"/>
              </w:rPr>
            </w:pPr>
            <w:r w:rsidRPr="00CA099F">
              <w:rPr>
                <w:rFonts w:eastAsia="Times New Roman" w:cs="Times New Roman"/>
                <w:sz w:val="28"/>
                <w:szCs w:val="28"/>
              </w:rPr>
              <w:t>3 місяці</w:t>
            </w:r>
          </w:p>
        </w:tc>
        <w:tc>
          <w:tcPr>
            <w:tcW w:w="1148" w:type="pct"/>
            <w:gridSpan w:val="2"/>
          </w:tcPr>
          <w:p w:rsidR="0030517B" w:rsidRPr="00CA099F" w:rsidRDefault="0030517B" w:rsidP="00E1448E">
            <w:pPr>
              <w:spacing w:after="0"/>
              <w:jc w:val="center"/>
              <w:rPr>
                <w:rFonts w:eastAsia="Times New Roman" w:cs="Times New Roman"/>
                <w:szCs w:val="28"/>
              </w:rPr>
            </w:pPr>
            <w:r w:rsidRPr="00CA099F">
              <w:rPr>
                <w:rFonts w:eastAsia="Times New Roman" w:cs="Times New Roman"/>
                <w:sz w:val="28"/>
                <w:szCs w:val="28"/>
              </w:rPr>
              <w:t>6 місяців</w:t>
            </w:r>
          </w:p>
        </w:tc>
        <w:tc>
          <w:tcPr>
            <w:tcW w:w="1148" w:type="pct"/>
            <w:gridSpan w:val="2"/>
          </w:tcPr>
          <w:p w:rsidR="0030517B" w:rsidRPr="00CA099F" w:rsidRDefault="0030517B" w:rsidP="00E1448E">
            <w:pPr>
              <w:spacing w:after="0"/>
              <w:jc w:val="center"/>
              <w:rPr>
                <w:rFonts w:eastAsia="Times New Roman" w:cs="Times New Roman"/>
                <w:szCs w:val="28"/>
              </w:rPr>
            </w:pPr>
            <w:r w:rsidRPr="00CA099F">
              <w:rPr>
                <w:rFonts w:eastAsia="Times New Roman" w:cs="Times New Roman"/>
                <w:sz w:val="28"/>
                <w:szCs w:val="28"/>
              </w:rPr>
              <w:t>9 місяців</w:t>
            </w:r>
          </w:p>
        </w:tc>
        <w:tc>
          <w:tcPr>
            <w:tcW w:w="1077" w:type="pct"/>
            <w:gridSpan w:val="2"/>
          </w:tcPr>
          <w:p w:rsidR="0030517B" w:rsidRPr="00CA099F" w:rsidRDefault="0030517B" w:rsidP="00E1448E">
            <w:pPr>
              <w:spacing w:after="0"/>
              <w:jc w:val="center"/>
              <w:rPr>
                <w:rFonts w:eastAsia="Times New Roman" w:cs="Times New Roman"/>
                <w:szCs w:val="28"/>
              </w:rPr>
            </w:pPr>
            <w:r w:rsidRPr="00CA099F">
              <w:rPr>
                <w:rFonts w:eastAsia="Times New Roman" w:cs="Times New Roman"/>
                <w:sz w:val="28"/>
                <w:szCs w:val="28"/>
              </w:rPr>
              <w:t>12 місяців</w:t>
            </w:r>
          </w:p>
        </w:tc>
      </w:tr>
      <w:tr w:rsidR="0030517B" w:rsidRPr="00CA099F" w:rsidTr="00E1448E">
        <w:tc>
          <w:tcPr>
            <w:tcW w:w="669" w:type="pct"/>
            <w:vMerge/>
          </w:tcPr>
          <w:p w:rsidR="0030517B" w:rsidRPr="00CA099F" w:rsidRDefault="0030517B" w:rsidP="00E1448E">
            <w:pPr>
              <w:spacing w:after="0"/>
              <w:jc w:val="center"/>
              <w:rPr>
                <w:rFonts w:eastAsia="Times New Roman" w:cs="Times New Roman"/>
                <w:szCs w:val="28"/>
              </w:rPr>
            </w:pPr>
          </w:p>
        </w:tc>
        <w:tc>
          <w:tcPr>
            <w:tcW w:w="520" w:type="pct"/>
          </w:tcPr>
          <w:p w:rsidR="0030517B" w:rsidRPr="00CA099F" w:rsidRDefault="0030517B" w:rsidP="00E1448E">
            <w:pPr>
              <w:spacing w:after="0"/>
              <w:ind w:right="-87"/>
              <w:jc w:val="center"/>
              <w:rPr>
                <w:rFonts w:eastAsia="Times New Roman" w:cs="Times New Roman"/>
                <w:sz w:val="20"/>
                <w:szCs w:val="20"/>
              </w:rPr>
            </w:pPr>
            <w:r w:rsidRPr="00CA099F">
              <w:rPr>
                <w:rFonts w:eastAsia="Times New Roman" w:cs="Times New Roman"/>
                <w:sz w:val="20"/>
                <w:szCs w:val="20"/>
              </w:rPr>
              <w:t>Група контролю</w:t>
            </w:r>
            <w:r w:rsidR="00432A0D">
              <w:rPr>
                <w:rFonts w:eastAsia="Times New Roman" w:cs="Times New Roman"/>
                <w:sz w:val="20"/>
                <w:szCs w:val="20"/>
              </w:rPr>
              <w:t xml:space="preserve"> </w:t>
            </w:r>
            <w:r w:rsidR="00432A0D">
              <w:rPr>
                <w:rFonts w:eastAsia="Times New Roman" w:cs="Times New Roman"/>
                <w:szCs w:val="24"/>
              </w:rPr>
              <w:t>(</w:t>
            </w:r>
            <w:r w:rsidR="00432A0D">
              <w:rPr>
                <w:rFonts w:eastAsia="Times New Roman" w:cs="Times New Roman"/>
                <w:szCs w:val="24"/>
                <w:lang w:val="en-US"/>
              </w:rPr>
              <w:t>n=20</w:t>
            </w:r>
            <w:r w:rsidR="00432A0D">
              <w:rPr>
                <w:rFonts w:eastAsia="Times New Roman" w:cs="Times New Roman"/>
                <w:szCs w:val="24"/>
              </w:rPr>
              <w:t>)</w:t>
            </w:r>
          </w:p>
        </w:tc>
        <w:tc>
          <w:tcPr>
            <w:tcW w:w="438" w:type="pct"/>
          </w:tcPr>
          <w:p w:rsidR="00150FDA" w:rsidRDefault="0030517B" w:rsidP="00E1448E">
            <w:pPr>
              <w:spacing w:after="0"/>
              <w:ind w:right="-87"/>
              <w:jc w:val="center"/>
              <w:rPr>
                <w:rFonts w:eastAsia="Times New Roman" w:cs="Times New Roman"/>
                <w:sz w:val="20"/>
                <w:szCs w:val="20"/>
              </w:rPr>
            </w:pPr>
            <w:r w:rsidRPr="00CA099F">
              <w:rPr>
                <w:rFonts w:eastAsia="Times New Roman" w:cs="Times New Roman"/>
                <w:sz w:val="20"/>
                <w:szCs w:val="20"/>
              </w:rPr>
              <w:t>1 група</w:t>
            </w:r>
          </w:p>
          <w:p w:rsidR="0030517B" w:rsidRPr="00CA099F" w:rsidRDefault="00150FDA" w:rsidP="00E1448E">
            <w:pPr>
              <w:spacing w:after="0"/>
              <w:ind w:right="-87"/>
              <w:jc w:val="center"/>
              <w:rPr>
                <w:rFonts w:eastAsia="Times New Roman" w:cs="Times New Roman"/>
                <w:sz w:val="20"/>
                <w:szCs w:val="20"/>
              </w:rPr>
            </w:pPr>
            <w:r>
              <w:rPr>
                <w:rFonts w:eastAsia="Times New Roman" w:cs="Times New Roman"/>
                <w:szCs w:val="24"/>
              </w:rPr>
              <w:t>(</w:t>
            </w:r>
            <w:r>
              <w:rPr>
                <w:rFonts w:eastAsia="Times New Roman" w:cs="Times New Roman"/>
                <w:szCs w:val="24"/>
                <w:lang w:val="en-US"/>
              </w:rPr>
              <w:t>n=20</w:t>
            </w:r>
            <w:r>
              <w:rPr>
                <w:rFonts w:eastAsia="Times New Roman" w:cs="Times New Roman"/>
                <w:szCs w:val="24"/>
              </w:rPr>
              <w:t>)</w:t>
            </w:r>
            <w:r>
              <w:rPr>
                <w:rFonts w:eastAsia="Times New Roman" w:cs="Times New Roman"/>
                <w:sz w:val="20"/>
                <w:szCs w:val="20"/>
              </w:rPr>
              <w:t xml:space="preserve"> </w:t>
            </w:r>
          </w:p>
        </w:tc>
        <w:tc>
          <w:tcPr>
            <w:tcW w:w="520" w:type="pct"/>
          </w:tcPr>
          <w:p w:rsidR="0030517B" w:rsidRPr="00CA099F" w:rsidRDefault="0030517B" w:rsidP="00E1448E">
            <w:pPr>
              <w:spacing w:after="0"/>
              <w:ind w:right="-87"/>
              <w:jc w:val="center"/>
              <w:rPr>
                <w:rFonts w:eastAsia="Times New Roman" w:cs="Times New Roman"/>
                <w:sz w:val="20"/>
                <w:szCs w:val="20"/>
              </w:rPr>
            </w:pPr>
            <w:r w:rsidRPr="00CA099F">
              <w:rPr>
                <w:rFonts w:eastAsia="Times New Roman" w:cs="Times New Roman"/>
                <w:sz w:val="20"/>
                <w:szCs w:val="20"/>
              </w:rPr>
              <w:t>Група контролю</w:t>
            </w:r>
            <w:r w:rsidR="00150FDA">
              <w:rPr>
                <w:rFonts w:eastAsia="Times New Roman" w:cs="Times New Roman"/>
                <w:sz w:val="20"/>
                <w:szCs w:val="20"/>
              </w:rPr>
              <w:t xml:space="preserve"> </w:t>
            </w:r>
            <w:r w:rsidR="00150FDA">
              <w:rPr>
                <w:rFonts w:eastAsia="Times New Roman" w:cs="Times New Roman"/>
                <w:szCs w:val="24"/>
              </w:rPr>
              <w:t>(</w:t>
            </w:r>
            <w:r w:rsidR="00150FDA">
              <w:rPr>
                <w:rFonts w:eastAsia="Times New Roman" w:cs="Times New Roman"/>
                <w:szCs w:val="24"/>
                <w:lang w:val="en-US"/>
              </w:rPr>
              <w:t>n=20</w:t>
            </w:r>
            <w:r w:rsidR="00150FDA">
              <w:rPr>
                <w:rFonts w:eastAsia="Times New Roman" w:cs="Times New Roman"/>
                <w:szCs w:val="24"/>
              </w:rPr>
              <w:t>)</w:t>
            </w:r>
          </w:p>
        </w:tc>
        <w:tc>
          <w:tcPr>
            <w:tcW w:w="627" w:type="pct"/>
          </w:tcPr>
          <w:p w:rsidR="0030517B" w:rsidRPr="00CA099F" w:rsidRDefault="0030517B" w:rsidP="00E1448E">
            <w:pPr>
              <w:spacing w:after="0"/>
              <w:ind w:right="-87"/>
              <w:jc w:val="center"/>
              <w:rPr>
                <w:rFonts w:eastAsia="Times New Roman" w:cs="Times New Roman"/>
                <w:sz w:val="20"/>
                <w:szCs w:val="20"/>
              </w:rPr>
            </w:pPr>
            <w:r w:rsidRPr="00CA099F">
              <w:rPr>
                <w:rFonts w:eastAsia="Times New Roman" w:cs="Times New Roman"/>
                <w:sz w:val="20"/>
                <w:szCs w:val="20"/>
              </w:rPr>
              <w:t>1 група</w:t>
            </w:r>
            <w:r w:rsidR="00150FDA">
              <w:rPr>
                <w:rFonts w:eastAsia="Times New Roman" w:cs="Times New Roman"/>
                <w:sz w:val="20"/>
                <w:szCs w:val="20"/>
              </w:rPr>
              <w:t xml:space="preserve"> </w:t>
            </w:r>
            <w:r w:rsidR="00150FDA">
              <w:rPr>
                <w:rFonts w:eastAsia="Times New Roman" w:cs="Times New Roman"/>
                <w:szCs w:val="24"/>
              </w:rPr>
              <w:t>(</w:t>
            </w:r>
            <w:r w:rsidR="00150FDA">
              <w:rPr>
                <w:rFonts w:eastAsia="Times New Roman" w:cs="Times New Roman"/>
                <w:szCs w:val="24"/>
                <w:lang w:val="en-US"/>
              </w:rPr>
              <w:t>n=20</w:t>
            </w:r>
            <w:r w:rsidR="00150FDA">
              <w:rPr>
                <w:rFonts w:eastAsia="Times New Roman" w:cs="Times New Roman"/>
                <w:szCs w:val="24"/>
              </w:rPr>
              <w:t>)</w:t>
            </w:r>
          </w:p>
        </w:tc>
        <w:tc>
          <w:tcPr>
            <w:tcW w:w="520" w:type="pct"/>
          </w:tcPr>
          <w:p w:rsidR="0030517B" w:rsidRPr="00CA099F" w:rsidRDefault="0030517B" w:rsidP="00E1448E">
            <w:pPr>
              <w:spacing w:after="0"/>
              <w:ind w:right="-87"/>
              <w:jc w:val="center"/>
              <w:rPr>
                <w:rFonts w:eastAsia="Times New Roman" w:cs="Times New Roman"/>
                <w:sz w:val="20"/>
                <w:szCs w:val="20"/>
              </w:rPr>
            </w:pPr>
            <w:r w:rsidRPr="00CA099F">
              <w:rPr>
                <w:rFonts w:eastAsia="Times New Roman" w:cs="Times New Roman"/>
                <w:sz w:val="20"/>
                <w:szCs w:val="20"/>
              </w:rPr>
              <w:t>Група контролю</w:t>
            </w:r>
            <w:r w:rsidR="00150FDA">
              <w:rPr>
                <w:rFonts w:eastAsia="Times New Roman" w:cs="Times New Roman"/>
                <w:sz w:val="20"/>
                <w:szCs w:val="20"/>
              </w:rPr>
              <w:t xml:space="preserve"> </w:t>
            </w:r>
            <w:r w:rsidR="00150FDA">
              <w:rPr>
                <w:rFonts w:eastAsia="Times New Roman" w:cs="Times New Roman"/>
                <w:szCs w:val="24"/>
              </w:rPr>
              <w:t>(</w:t>
            </w:r>
            <w:r w:rsidR="00150FDA">
              <w:rPr>
                <w:rFonts w:eastAsia="Times New Roman" w:cs="Times New Roman"/>
                <w:szCs w:val="24"/>
                <w:lang w:val="en-US"/>
              </w:rPr>
              <w:t>n=20</w:t>
            </w:r>
            <w:r w:rsidR="00150FDA">
              <w:rPr>
                <w:rFonts w:eastAsia="Times New Roman" w:cs="Times New Roman"/>
                <w:szCs w:val="24"/>
              </w:rPr>
              <w:t>)</w:t>
            </w:r>
          </w:p>
        </w:tc>
        <w:tc>
          <w:tcPr>
            <w:tcW w:w="627" w:type="pct"/>
          </w:tcPr>
          <w:p w:rsidR="0030517B" w:rsidRPr="00CA099F" w:rsidRDefault="0030517B" w:rsidP="00E1448E">
            <w:pPr>
              <w:spacing w:after="0"/>
              <w:ind w:right="-87"/>
              <w:jc w:val="center"/>
              <w:rPr>
                <w:rFonts w:eastAsia="Times New Roman" w:cs="Times New Roman"/>
                <w:sz w:val="20"/>
                <w:szCs w:val="20"/>
              </w:rPr>
            </w:pPr>
            <w:r w:rsidRPr="00CA099F">
              <w:rPr>
                <w:rFonts w:eastAsia="Times New Roman" w:cs="Times New Roman"/>
                <w:sz w:val="20"/>
                <w:szCs w:val="20"/>
              </w:rPr>
              <w:t>1 група</w:t>
            </w:r>
            <w:r w:rsidR="00150FDA">
              <w:rPr>
                <w:rFonts w:eastAsia="Times New Roman" w:cs="Times New Roman"/>
                <w:sz w:val="20"/>
                <w:szCs w:val="20"/>
              </w:rPr>
              <w:t xml:space="preserve"> </w:t>
            </w:r>
            <w:r w:rsidR="00150FDA">
              <w:rPr>
                <w:rFonts w:eastAsia="Times New Roman" w:cs="Times New Roman"/>
                <w:szCs w:val="24"/>
              </w:rPr>
              <w:t>(</w:t>
            </w:r>
            <w:r w:rsidR="00150FDA">
              <w:rPr>
                <w:rFonts w:eastAsia="Times New Roman" w:cs="Times New Roman"/>
                <w:szCs w:val="24"/>
                <w:lang w:val="en-US"/>
              </w:rPr>
              <w:t>n=20</w:t>
            </w:r>
            <w:r w:rsidR="00150FDA">
              <w:rPr>
                <w:rFonts w:eastAsia="Times New Roman" w:cs="Times New Roman"/>
                <w:szCs w:val="24"/>
              </w:rPr>
              <w:t>)</w:t>
            </w:r>
          </w:p>
        </w:tc>
        <w:tc>
          <w:tcPr>
            <w:tcW w:w="520" w:type="pct"/>
          </w:tcPr>
          <w:p w:rsidR="0030517B" w:rsidRPr="00CA099F" w:rsidRDefault="0030517B" w:rsidP="00E1448E">
            <w:pPr>
              <w:spacing w:after="0"/>
              <w:ind w:right="-87"/>
              <w:jc w:val="center"/>
              <w:rPr>
                <w:rFonts w:eastAsia="Times New Roman" w:cs="Times New Roman"/>
                <w:sz w:val="20"/>
                <w:szCs w:val="20"/>
              </w:rPr>
            </w:pPr>
            <w:r w:rsidRPr="00CA099F">
              <w:rPr>
                <w:rFonts w:eastAsia="Times New Roman" w:cs="Times New Roman"/>
                <w:sz w:val="20"/>
                <w:szCs w:val="20"/>
              </w:rPr>
              <w:t>Група контролю</w:t>
            </w:r>
            <w:r w:rsidR="00150FDA">
              <w:rPr>
                <w:rFonts w:eastAsia="Times New Roman" w:cs="Times New Roman"/>
                <w:sz w:val="20"/>
                <w:szCs w:val="20"/>
              </w:rPr>
              <w:t xml:space="preserve"> </w:t>
            </w:r>
            <w:r w:rsidR="00150FDA">
              <w:rPr>
                <w:rFonts w:eastAsia="Times New Roman" w:cs="Times New Roman"/>
                <w:szCs w:val="24"/>
              </w:rPr>
              <w:t>(</w:t>
            </w:r>
            <w:r w:rsidR="00150FDA">
              <w:rPr>
                <w:rFonts w:eastAsia="Times New Roman" w:cs="Times New Roman"/>
                <w:szCs w:val="24"/>
                <w:lang w:val="en-US"/>
              </w:rPr>
              <w:t>n=20</w:t>
            </w:r>
            <w:r w:rsidR="00150FDA">
              <w:rPr>
                <w:rFonts w:eastAsia="Times New Roman" w:cs="Times New Roman"/>
                <w:szCs w:val="24"/>
              </w:rPr>
              <w:t>)</w:t>
            </w:r>
          </w:p>
        </w:tc>
        <w:tc>
          <w:tcPr>
            <w:tcW w:w="556" w:type="pct"/>
          </w:tcPr>
          <w:p w:rsidR="0030517B" w:rsidRPr="00CA099F" w:rsidRDefault="0030517B" w:rsidP="00E1448E">
            <w:pPr>
              <w:spacing w:after="0"/>
              <w:ind w:right="-87"/>
              <w:jc w:val="center"/>
              <w:rPr>
                <w:rFonts w:eastAsia="Times New Roman" w:cs="Times New Roman"/>
                <w:sz w:val="20"/>
                <w:szCs w:val="20"/>
              </w:rPr>
            </w:pPr>
            <w:r w:rsidRPr="00CA099F">
              <w:rPr>
                <w:rFonts w:eastAsia="Times New Roman" w:cs="Times New Roman"/>
                <w:sz w:val="20"/>
                <w:szCs w:val="20"/>
              </w:rPr>
              <w:t>1 група</w:t>
            </w:r>
            <w:r w:rsidR="00150FDA">
              <w:rPr>
                <w:rFonts w:eastAsia="Times New Roman" w:cs="Times New Roman"/>
                <w:sz w:val="20"/>
                <w:szCs w:val="20"/>
              </w:rPr>
              <w:t xml:space="preserve"> </w:t>
            </w:r>
            <w:r w:rsidR="00150FDA">
              <w:rPr>
                <w:rFonts w:eastAsia="Times New Roman" w:cs="Times New Roman"/>
                <w:szCs w:val="24"/>
              </w:rPr>
              <w:t>(</w:t>
            </w:r>
            <w:r w:rsidR="00150FDA">
              <w:rPr>
                <w:rFonts w:eastAsia="Times New Roman" w:cs="Times New Roman"/>
                <w:szCs w:val="24"/>
                <w:lang w:val="en-US"/>
              </w:rPr>
              <w:t>n=20</w:t>
            </w:r>
            <w:r w:rsidR="00150FDA">
              <w:rPr>
                <w:rFonts w:eastAsia="Times New Roman" w:cs="Times New Roman"/>
                <w:szCs w:val="24"/>
              </w:rPr>
              <w:t>)</w:t>
            </w:r>
          </w:p>
        </w:tc>
      </w:tr>
      <w:tr w:rsidR="0030517B" w:rsidRPr="00CA099F" w:rsidTr="00E1448E">
        <w:tc>
          <w:tcPr>
            <w:tcW w:w="669" w:type="pct"/>
          </w:tcPr>
          <w:p w:rsidR="0030517B" w:rsidRPr="00CA099F" w:rsidRDefault="0030517B" w:rsidP="00E1448E">
            <w:pPr>
              <w:spacing w:after="0"/>
              <w:jc w:val="center"/>
              <w:rPr>
                <w:rFonts w:eastAsia="Times New Roman" w:cs="Times New Roman"/>
                <w:szCs w:val="28"/>
              </w:rPr>
            </w:pPr>
            <w:r w:rsidRPr="00CA099F">
              <w:rPr>
                <w:rFonts w:eastAsia="Times New Roman" w:cs="Times New Roman"/>
                <w:sz w:val="28"/>
                <w:szCs w:val="28"/>
              </w:rPr>
              <w:t>ОМБ370, ммоль/г білка</w:t>
            </w:r>
          </w:p>
        </w:tc>
        <w:tc>
          <w:tcPr>
            <w:tcW w:w="520" w:type="pct"/>
          </w:tcPr>
          <w:p w:rsidR="0030517B" w:rsidRPr="00CA099F" w:rsidRDefault="0030517B" w:rsidP="00E1448E">
            <w:pPr>
              <w:spacing w:after="0"/>
              <w:jc w:val="center"/>
              <w:rPr>
                <w:rFonts w:eastAsia="Times New Roman" w:cs="Times New Roman"/>
                <w:szCs w:val="28"/>
              </w:rPr>
            </w:pPr>
            <w:r w:rsidRPr="00CA099F">
              <w:rPr>
                <w:rFonts w:eastAsia="Times New Roman" w:cs="Times New Roman"/>
                <w:sz w:val="28"/>
                <w:szCs w:val="28"/>
              </w:rPr>
              <w:t>4,09±</w:t>
            </w:r>
          </w:p>
          <w:p w:rsidR="0030517B" w:rsidRPr="00CA099F" w:rsidRDefault="0030517B" w:rsidP="00E1448E">
            <w:pPr>
              <w:spacing w:after="0"/>
              <w:jc w:val="center"/>
              <w:rPr>
                <w:rFonts w:eastAsia="Times New Roman" w:cs="Times New Roman"/>
                <w:szCs w:val="28"/>
              </w:rPr>
            </w:pPr>
            <w:r w:rsidRPr="00CA099F">
              <w:rPr>
                <w:rFonts w:eastAsia="Times New Roman" w:cs="Times New Roman"/>
                <w:sz w:val="28"/>
                <w:szCs w:val="28"/>
              </w:rPr>
              <w:t>0,08</w:t>
            </w:r>
          </w:p>
        </w:tc>
        <w:tc>
          <w:tcPr>
            <w:tcW w:w="438" w:type="pct"/>
          </w:tcPr>
          <w:p w:rsidR="0030517B" w:rsidRPr="00CA099F" w:rsidRDefault="0030517B" w:rsidP="00E1448E">
            <w:pPr>
              <w:spacing w:after="0"/>
              <w:jc w:val="center"/>
              <w:rPr>
                <w:rFonts w:eastAsia="Times New Roman" w:cs="Times New Roman"/>
                <w:szCs w:val="28"/>
              </w:rPr>
            </w:pPr>
            <w:r w:rsidRPr="00CA099F">
              <w:rPr>
                <w:rFonts w:eastAsia="Times New Roman" w:cs="Times New Roman"/>
                <w:sz w:val="28"/>
                <w:szCs w:val="28"/>
              </w:rPr>
              <w:t>2,81±</w:t>
            </w:r>
          </w:p>
          <w:p w:rsidR="0030517B" w:rsidRPr="00CA099F" w:rsidRDefault="0030517B" w:rsidP="00E1448E">
            <w:pPr>
              <w:spacing w:after="0"/>
              <w:jc w:val="center"/>
              <w:rPr>
                <w:rFonts w:eastAsia="Times New Roman" w:cs="Times New Roman"/>
                <w:szCs w:val="28"/>
              </w:rPr>
            </w:pPr>
            <w:r w:rsidRPr="00CA099F">
              <w:rPr>
                <w:rFonts w:eastAsia="Times New Roman" w:cs="Times New Roman"/>
                <w:sz w:val="28"/>
                <w:szCs w:val="28"/>
              </w:rPr>
              <w:t>0,07*</w:t>
            </w:r>
          </w:p>
        </w:tc>
        <w:tc>
          <w:tcPr>
            <w:tcW w:w="520" w:type="pct"/>
          </w:tcPr>
          <w:p w:rsidR="0030517B" w:rsidRPr="00CA099F" w:rsidRDefault="0030517B" w:rsidP="00E1448E">
            <w:pPr>
              <w:spacing w:after="0"/>
              <w:jc w:val="center"/>
              <w:rPr>
                <w:rFonts w:eastAsia="Times New Roman" w:cs="Times New Roman"/>
                <w:szCs w:val="28"/>
              </w:rPr>
            </w:pPr>
            <w:r w:rsidRPr="00CA099F">
              <w:rPr>
                <w:rFonts w:eastAsia="Times New Roman" w:cs="Times New Roman"/>
                <w:sz w:val="28"/>
                <w:szCs w:val="28"/>
              </w:rPr>
              <w:t>2,90±</w:t>
            </w:r>
          </w:p>
          <w:p w:rsidR="0030517B" w:rsidRPr="00CA099F" w:rsidRDefault="0030517B" w:rsidP="00E1448E">
            <w:pPr>
              <w:spacing w:after="0"/>
              <w:jc w:val="center"/>
              <w:rPr>
                <w:rFonts w:eastAsia="Times New Roman" w:cs="Times New Roman"/>
                <w:szCs w:val="28"/>
              </w:rPr>
            </w:pPr>
            <w:r w:rsidRPr="00CA099F">
              <w:rPr>
                <w:rFonts w:eastAsia="Times New Roman" w:cs="Times New Roman"/>
                <w:sz w:val="28"/>
                <w:szCs w:val="28"/>
              </w:rPr>
              <w:t>0,04</w:t>
            </w:r>
          </w:p>
        </w:tc>
        <w:tc>
          <w:tcPr>
            <w:tcW w:w="627" w:type="pct"/>
          </w:tcPr>
          <w:p w:rsidR="0030517B" w:rsidRPr="00CA099F" w:rsidRDefault="0030517B" w:rsidP="00E1448E">
            <w:pPr>
              <w:spacing w:after="0"/>
              <w:jc w:val="center"/>
              <w:rPr>
                <w:rFonts w:eastAsia="Times New Roman" w:cs="Times New Roman"/>
                <w:szCs w:val="28"/>
              </w:rPr>
            </w:pPr>
            <w:r w:rsidRPr="00CA099F">
              <w:rPr>
                <w:rFonts w:eastAsia="Times New Roman" w:cs="Times New Roman"/>
                <w:sz w:val="28"/>
                <w:szCs w:val="28"/>
              </w:rPr>
              <w:t>2,09±</w:t>
            </w:r>
          </w:p>
          <w:p w:rsidR="0030517B" w:rsidRPr="00CA099F" w:rsidRDefault="0030517B" w:rsidP="00E1448E">
            <w:pPr>
              <w:spacing w:after="0"/>
              <w:jc w:val="center"/>
              <w:rPr>
                <w:rFonts w:eastAsia="Times New Roman" w:cs="Times New Roman"/>
                <w:szCs w:val="28"/>
              </w:rPr>
            </w:pPr>
            <w:r w:rsidRPr="00CA099F">
              <w:rPr>
                <w:rFonts w:eastAsia="Times New Roman" w:cs="Times New Roman"/>
                <w:sz w:val="28"/>
                <w:szCs w:val="28"/>
              </w:rPr>
              <w:t>0,07*</w:t>
            </w:r>
          </w:p>
        </w:tc>
        <w:tc>
          <w:tcPr>
            <w:tcW w:w="520" w:type="pct"/>
          </w:tcPr>
          <w:p w:rsidR="0030517B" w:rsidRPr="00CA099F" w:rsidRDefault="0030517B" w:rsidP="00E1448E">
            <w:pPr>
              <w:spacing w:after="0"/>
              <w:jc w:val="center"/>
              <w:rPr>
                <w:rFonts w:eastAsia="Times New Roman" w:cs="Times New Roman"/>
                <w:szCs w:val="28"/>
              </w:rPr>
            </w:pPr>
            <w:r w:rsidRPr="00CA099F">
              <w:rPr>
                <w:rFonts w:eastAsia="Times New Roman" w:cs="Times New Roman"/>
                <w:sz w:val="28"/>
                <w:szCs w:val="28"/>
              </w:rPr>
              <w:t>1,97±</w:t>
            </w:r>
          </w:p>
          <w:p w:rsidR="0030517B" w:rsidRPr="00CA099F" w:rsidRDefault="0030517B" w:rsidP="00E1448E">
            <w:pPr>
              <w:spacing w:after="0"/>
              <w:jc w:val="center"/>
              <w:rPr>
                <w:rFonts w:eastAsia="Times New Roman" w:cs="Times New Roman"/>
                <w:szCs w:val="28"/>
              </w:rPr>
            </w:pPr>
            <w:r w:rsidRPr="00CA099F">
              <w:rPr>
                <w:rFonts w:eastAsia="Times New Roman" w:cs="Times New Roman"/>
                <w:sz w:val="28"/>
                <w:szCs w:val="28"/>
              </w:rPr>
              <w:t>0,10</w:t>
            </w:r>
          </w:p>
        </w:tc>
        <w:tc>
          <w:tcPr>
            <w:tcW w:w="627" w:type="pct"/>
          </w:tcPr>
          <w:p w:rsidR="0030517B" w:rsidRPr="00CA099F" w:rsidRDefault="0030517B" w:rsidP="00E1448E">
            <w:pPr>
              <w:spacing w:after="0"/>
              <w:jc w:val="center"/>
              <w:rPr>
                <w:rFonts w:eastAsia="Times New Roman" w:cs="Times New Roman"/>
                <w:szCs w:val="28"/>
              </w:rPr>
            </w:pPr>
            <w:r w:rsidRPr="00CA099F">
              <w:rPr>
                <w:rFonts w:eastAsia="Times New Roman" w:cs="Times New Roman"/>
                <w:sz w:val="28"/>
                <w:szCs w:val="28"/>
              </w:rPr>
              <w:t>1,72±</w:t>
            </w:r>
          </w:p>
          <w:p w:rsidR="0030517B" w:rsidRPr="00CA099F" w:rsidRDefault="0030517B" w:rsidP="00E1448E">
            <w:pPr>
              <w:spacing w:after="0"/>
              <w:jc w:val="center"/>
              <w:rPr>
                <w:rFonts w:eastAsia="Times New Roman" w:cs="Times New Roman"/>
                <w:szCs w:val="28"/>
              </w:rPr>
            </w:pPr>
            <w:r w:rsidRPr="00CA099F">
              <w:rPr>
                <w:rFonts w:eastAsia="Times New Roman" w:cs="Times New Roman"/>
                <w:sz w:val="28"/>
                <w:szCs w:val="28"/>
              </w:rPr>
              <w:t>0,07</w:t>
            </w:r>
          </w:p>
        </w:tc>
        <w:tc>
          <w:tcPr>
            <w:tcW w:w="520" w:type="pct"/>
          </w:tcPr>
          <w:p w:rsidR="0030517B" w:rsidRPr="00CA099F" w:rsidRDefault="0030517B" w:rsidP="00E1448E">
            <w:pPr>
              <w:spacing w:after="0"/>
              <w:jc w:val="center"/>
              <w:rPr>
                <w:rFonts w:eastAsia="Times New Roman" w:cs="Times New Roman"/>
                <w:szCs w:val="28"/>
              </w:rPr>
            </w:pPr>
            <w:r w:rsidRPr="00CA099F">
              <w:rPr>
                <w:rFonts w:eastAsia="Times New Roman" w:cs="Times New Roman"/>
                <w:sz w:val="28"/>
                <w:szCs w:val="28"/>
              </w:rPr>
              <w:t>1,51±</w:t>
            </w:r>
          </w:p>
          <w:p w:rsidR="0030517B" w:rsidRPr="00CA099F" w:rsidRDefault="0030517B" w:rsidP="00E1448E">
            <w:pPr>
              <w:spacing w:after="0"/>
              <w:jc w:val="center"/>
              <w:rPr>
                <w:rFonts w:eastAsia="Times New Roman" w:cs="Times New Roman"/>
                <w:szCs w:val="28"/>
              </w:rPr>
            </w:pPr>
            <w:r w:rsidRPr="00CA099F">
              <w:rPr>
                <w:rFonts w:eastAsia="Times New Roman" w:cs="Times New Roman"/>
                <w:sz w:val="28"/>
                <w:szCs w:val="28"/>
              </w:rPr>
              <w:t>0,05</w:t>
            </w:r>
          </w:p>
        </w:tc>
        <w:tc>
          <w:tcPr>
            <w:tcW w:w="556" w:type="pct"/>
          </w:tcPr>
          <w:p w:rsidR="0030517B" w:rsidRPr="00CA099F" w:rsidRDefault="0030517B" w:rsidP="00E1448E">
            <w:pPr>
              <w:spacing w:after="0"/>
              <w:jc w:val="center"/>
              <w:rPr>
                <w:rFonts w:eastAsia="Times New Roman" w:cs="Times New Roman"/>
                <w:szCs w:val="28"/>
              </w:rPr>
            </w:pPr>
            <w:r w:rsidRPr="00CA099F">
              <w:rPr>
                <w:rFonts w:eastAsia="Times New Roman" w:cs="Times New Roman"/>
                <w:sz w:val="28"/>
                <w:szCs w:val="28"/>
              </w:rPr>
              <w:t>1,49±</w:t>
            </w:r>
          </w:p>
          <w:p w:rsidR="0030517B" w:rsidRPr="00CA099F" w:rsidRDefault="0030517B" w:rsidP="00E1448E">
            <w:pPr>
              <w:spacing w:after="0"/>
              <w:jc w:val="center"/>
              <w:rPr>
                <w:rFonts w:eastAsia="Times New Roman" w:cs="Times New Roman"/>
                <w:szCs w:val="28"/>
              </w:rPr>
            </w:pPr>
            <w:r w:rsidRPr="00CA099F">
              <w:rPr>
                <w:rFonts w:eastAsia="Times New Roman" w:cs="Times New Roman"/>
                <w:sz w:val="28"/>
                <w:szCs w:val="28"/>
              </w:rPr>
              <w:t>0,08</w:t>
            </w:r>
          </w:p>
        </w:tc>
      </w:tr>
      <w:tr w:rsidR="0030517B" w:rsidRPr="00CA099F" w:rsidTr="00E1448E">
        <w:tc>
          <w:tcPr>
            <w:tcW w:w="669" w:type="pct"/>
          </w:tcPr>
          <w:p w:rsidR="0030517B" w:rsidRPr="00CA099F" w:rsidRDefault="0030517B" w:rsidP="00E1448E">
            <w:pPr>
              <w:spacing w:after="0"/>
              <w:jc w:val="center"/>
              <w:rPr>
                <w:rFonts w:eastAsia="Times New Roman" w:cs="Times New Roman"/>
                <w:szCs w:val="28"/>
              </w:rPr>
            </w:pPr>
          </w:p>
        </w:tc>
        <w:tc>
          <w:tcPr>
            <w:tcW w:w="520" w:type="pct"/>
          </w:tcPr>
          <w:p w:rsidR="0030517B" w:rsidRPr="00CA099F" w:rsidRDefault="0030517B" w:rsidP="00E1448E">
            <w:pPr>
              <w:spacing w:after="0"/>
              <w:jc w:val="center"/>
              <w:rPr>
                <w:rFonts w:eastAsia="Times New Roman" w:cs="Times New Roman"/>
                <w:szCs w:val="28"/>
              </w:rPr>
            </w:pPr>
          </w:p>
        </w:tc>
        <w:tc>
          <w:tcPr>
            <w:tcW w:w="438" w:type="pct"/>
          </w:tcPr>
          <w:p w:rsidR="0030517B" w:rsidRPr="00CA099F" w:rsidRDefault="0030517B" w:rsidP="00E1448E">
            <w:pPr>
              <w:spacing w:after="0"/>
              <w:jc w:val="center"/>
              <w:rPr>
                <w:rFonts w:eastAsia="Times New Roman" w:cs="Times New Roman"/>
                <w:szCs w:val="28"/>
              </w:rPr>
            </w:pPr>
          </w:p>
        </w:tc>
        <w:tc>
          <w:tcPr>
            <w:tcW w:w="520" w:type="pct"/>
          </w:tcPr>
          <w:p w:rsidR="0030517B" w:rsidRPr="00CA099F" w:rsidRDefault="0030517B" w:rsidP="00E1448E">
            <w:pPr>
              <w:spacing w:after="0"/>
              <w:jc w:val="center"/>
              <w:rPr>
                <w:rFonts w:eastAsia="Times New Roman" w:cs="Times New Roman"/>
                <w:szCs w:val="28"/>
              </w:rPr>
            </w:pPr>
          </w:p>
        </w:tc>
        <w:tc>
          <w:tcPr>
            <w:tcW w:w="627" w:type="pct"/>
          </w:tcPr>
          <w:p w:rsidR="0030517B" w:rsidRPr="00CA099F" w:rsidRDefault="0030517B" w:rsidP="00E1448E">
            <w:pPr>
              <w:spacing w:after="0"/>
              <w:jc w:val="center"/>
              <w:rPr>
                <w:rFonts w:eastAsia="Times New Roman" w:cs="Times New Roman"/>
                <w:szCs w:val="28"/>
              </w:rPr>
            </w:pPr>
            <w:r w:rsidRPr="00CA099F">
              <w:rPr>
                <w:rFonts w:eastAsia="Times New Roman" w:cs="Times New Roman"/>
                <w:color w:val="000000"/>
                <w:sz w:val="28"/>
                <w:szCs w:val="28"/>
              </w:rPr>
              <w:t>р</w:t>
            </w:r>
            <w:r w:rsidRPr="00CA099F">
              <w:rPr>
                <w:rFonts w:eastAsia="Times New Roman" w:cs="Times New Roman"/>
                <w:color w:val="000000"/>
                <w:sz w:val="28"/>
                <w:szCs w:val="28"/>
                <w:vertAlign w:val="subscript"/>
              </w:rPr>
              <w:t>1</w:t>
            </w:r>
            <w:r w:rsidRPr="00CA099F">
              <w:rPr>
                <w:rFonts w:eastAsia="Times New Roman" w:cs="Times New Roman"/>
                <w:color w:val="000000"/>
                <w:sz w:val="28"/>
                <w:szCs w:val="28"/>
              </w:rPr>
              <w:t>&lt;0,001</w:t>
            </w:r>
          </w:p>
        </w:tc>
        <w:tc>
          <w:tcPr>
            <w:tcW w:w="520" w:type="pct"/>
          </w:tcPr>
          <w:p w:rsidR="0030517B" w:rsidRPr="00CA099F" w:rsidRDefault="0030517B" w:rsidP="00E1448E">
            <w:pPr>
              <w:spacing w:after="0"/>
              <w:jc w:val="center"/>
              <w:rPr>
                <w:rFonts w:eastAsia="Times New Roman" w:cs="Times New Roman"/>
                <w:szCs w:val="28"/>
              </w:rPr>
            </w:pPr>
          </w:p>
        </w:tc>
        <w:tc>
          <w:tcPr>
            <w:tcW w:w="627" w:type="pct"/>
          </w:tcPr>
          <w:p w:rsidR="0030517B" w:rsidRPr="00CA099F" w:rsidRDefault="0030517B" w:rsidP="00E1448E">
            <w:pPr>
              <w:spacing w:after="0"/>
              <w:rPr>
                <w:rFonts w:eastAsia="Times New Roman" w:cs="Times New Roman"/>
                <w:szCs w:val="28"/>
              </w:rPr>
            </w:pPr>
            <w:r w:rsidRPr="00CA099F">
              <w:rPr>
                <w:rFonts w:eastAsia="Times New Roman" w:cs="Times New Roman"/>
                <w:color w:val="000000"/>
                <w:sz w:val="28"/>
                <w:szCs w:val="28"/>
              </w:rPr>
              <w:t>р</w:t>
            </w:r>
            <w:r w:rsidRPr="00CA099F">
              <w:rPr>
                <w:rFonts w:eastAsia="Times New Roman" w:cs="Times New Roman"/>
                <w:color w:val="000000"/>
                <w:sz w:val="28"/>
                <w:szCs w:val="28"/>
                <w:vertAlign w:val="subscript"/>
              </w:rPr>
              <w:t>2</w:t>
            </w:r>
            <w:r w:rsidRPr="00CA099F">
              <w:rPr>
                <w:rFonts w:eastAsia="Times New Roman" w:cs="Times New Roman"/>
                <w:color w:val="000000"/>
                <w:sz w:val="28"/>
                <w:szCs w:val="28"/>
              </w:rPr>
              <w:t>&lt;0,002</w:t>
            </w:r>
          </w:p>
        </w:tc>
        <w:tc>
          <w:tcPr>
            <w:tcW w:w="520" w:type="pct"/>
          </w:tcPr>
          <w:p w:rsidR="0030517B" w:rsidRPr="00CA099F" w:rsidRDefault="0030517B" w:rsidP="00E1448E">
            <w:pPr>
              <w:spacing w:after="0"/>
              <w:jc w:val="center"/>
              <w:rPr>
                <w:rFonts w:eastAsia="Times New Roman" w:cs="Times New Roman"/>
                <w:szCs w:val="28"/>
              </w:rPr>
            </w:pPr>
          </w:p>
        </w:tc>
        <w:tc>
          <w:tcPr>
            <w:tcW w:w="556" w:type="pct"/>
          </w:tcPr>
          <w:p w:rsidR="0030517B" w:rsidRPr="00CA099F" w:rsidRDefault="0030517B" w:rsidP="00E1448E">
            <w:pPr>
              <w:spacing w:after="0"/>
              <w:rPr>
                <w:rFonts w:eastAsia="Times New Roman" w:cs="Times New Roman"/>
                <w:szCs w:val="28"/>
              </w:rPr>
            </w:pPr>
            <w:r w:rsidRPr="00CA099F">
              <w:rPr>
                <w:rFonts w:eastAsia="Times New Roman" w:cs="Times New Roman"/>
                <w:color w:val="000000"/>
                <w:sz w:val="28"/>
                <w:szCs w:val="28"/>
              </w:rPr>
              <w:t>р</w:t>
            </w:r>
            <w:r w:rsidRPr="00CA099F">
              <w:rPr>
                <w:rFonts w:eastAsia="Times New Roman" w:cs="Times New Roman"/>
                <w:color w:val="000000"/>
                <w:sz w:val="28"/>
                <w:szCs w:val="28"/>
                <w:vertAlign w:val="subscript"/>
              </w:rPr>
              <w:t>3</w:t>
            </w:r>
            <w:r w:rsidRPr="00CA099F">
              <w:rPr>
                <w:rFonts w:eastAsia="Times New Roman" w:cs="Times New Roman"/>
                <w:color w:val="000000"/>
                <w:sz w:val="28"/>
                <w:szCs w:val="28"/>
              </w:rPr>
              <w:t>&lt;0,05</w:t>
            </w:r>
          </w:p>
        </w:tc>
      </w:tr>
      <w:tr w:rsidR="0030517B" w:rsidRPr="00CA099F" w:rsidTr="00E1448E">
        <w:tc>
          <w:tcPr>
            <w:tcW w:w="669" w:type="pct"/>
          </w:tcPr>
          <w:p w:rsidR="0030517B" w:rsidRPr="00CA099F" w:rsidRDefault="0030517B" w:rsidP="00E1448E">
            <w:pPr>
              <w:spacing w:after="0"/>
              <w:jc w:val="center"/>
              <w:rPr>
                <w:rFonts w:eastAsia="Times New Roman" w:cs="Times New Roman"/>
                <w:szCs w:val="28"/>
              </w:rPr>
            </w:pPr>
            <w:r w:rsidRPr="00CA099F">
              <w:rPr>
                <w:rFonts w:eastAsia="Times New Roman" w:cs="Times New Roman"/>
                <w:sz w:val="28"/>
                <w:szCs w:val="28"/>
              </w:rPr>
              <w:t>ОМБ430, ммоль/г білка</w:t>
            </w:r>
          </w:p>
        </w:tc>
        <w:tc>
          <w:tcPr>
            <w:tcW w:w="520" w:type="pct"/>
          </w:tcPr>
          <w:p w:rsidR="0030517B" w:rsidRPr="00CA099F" w:rsidRDefault="0030517B" w:rsidP="00E1448E">
            <w:pPr>
              <w:spacing w:after="0"/>
              <w:jc w:val="center"/>
              <w:rPr>
                <w:rFonts w:eastAsia="Times New Roman" w:cs="Times New Roman"/>
                <w:szCs w:val="28"/>
              </w:rPr>
            </w:pPr>
            <w:r w:rsidRPr="00CA099F">
              <w:rPr>
                <w:rFonts w:eastAsia="Times New Roman" w:cs="Times New Roman"/>
                <w:sz w:val="28"/>
                <w:szCs w:val="28"/>
              </w:rPr>
              <w:t>1,85±</w:t>
            </w:r>
          </w:p>
          <w:p w:rsidR="0030517B" w:rsidRPr="00CA099F" w:rsidRDefault="0030517B" w:rsidP="00E1448E">
            <w:pPr>
              <w:spacing w:after="0"/>
              <w:jc w:val="center"/>
              <w:rPr>
                <w:rFonts w:eastAsia="Times New Roman" w:cs="Times New Roman"/>
                <w:szCs w:val="28"/>
              </w:rPr>
            </w:pPr>
            <w:r w:rsidRPr="00CA099F">
              <w:rPr>
                <w:rFonts w:eastAsia="Times New Roman" w:cs="Times New Roman"/>
                <w:sz w:val="28"/>
                <w:szCs w:val="28"/>
              </w:rPr>
              <w:t>0,05</w:t>
            </w:r>
          </w:p>
        </w:tc>
        <w:tc>
          <w:tcPr>
            <w:tcW w:w="438" w:type="pct"/>
          </w:tcPr>
          <w:p w:rsidR="0030517B" w:rsidRPr="00CA099F" w:rsidRDefault="0030517B" w:rsidP="00E1448E">
            <w:pPr>
              <w:spacing w:after="0"/>
              <w:jc w:val="center"/>
              <w:rPr>
                <w:rFonts w:eastAsia="Times New Roman" w:cs="Times New Roman"/>
                <w:szCs w:val="28"/>
              </w:rPr>
            </w:pPr>
            <w:r w:rsidRPr="00CA099F">
              <w:rPr>
                <w:rFonts w:eastAsia="Times New Roman" w:cs="Times New Roman"/>
                <w:sz w:val="28"/>
                <w:szCs w:val="28"/>
              </w:rPr>
              <w:t>1,45±</w:t>
            </w:r>
          </w:p>
          <w:p w:rsidR="0030517B" w:rsidRPr="00CA099F" w:rsidRDefault="0030517B" w:rsidP="00E1448E">
            <w:pPr>
              <w:spacing w:after="0"/>
              <w:jc w:val="center"/>
              <w:rPr>
                <w:rFonts w:eastAsia="Times New Roman" w:cs="Times New Roman"/>
                <w:szCs w:val="28"/>
              </w:rPr>
            </w:pPr>
            <w:r w:rsidRPr="00CA099F">
              <w:rPr>
                <w:rFonts w:eastAsia="Times New Roman" w:cs="Times New Roman"/>
                <w:sz w:val="28"/>
                <w:szCs w:val="28"/>
              </w:rPr>
              <w:t>0,03*</w:t>
            </w:r>
          </w:p>
        </w:tc>
        <w:tc>
          <w:tcPr>
            <w:tcW w:w="520" w:type="pct"/>
          </w:tcPr>
          <w:p w:rsidR="0030517B" w:rsidRPr="00CA099F" w:rsidRDefault="0030517B" w:rsidP="00E1448E">
            <w:pPr>
              <w:spacing w:after="0"/>
              <w:jc w:val="center"/>
              <w:rPr>
                <w:rFonts w:eastAsia="Times New Roman" w:cs="Times New Roman"/>
                <w:szCs w:val="28"/>
              </w:rPr>
            </w:pPr>
            <w:r w:rsidRPr="00CA099F">
              <w:rPr>
                <w:rFonts w:eastAsia="Times New Roman" w:cs="Times New Roman"/>
                <w:sz w:val="28"/>
                <w:szCs w:val="28"/>
              </w:rPr>
              <w:t>1,40±</w:t>
            </w:r>
          </w:p>
          <w:p w:rsidR="0030517B" w:rsidRPr="00CA099F" w:rsidRDefault="0030517B" w:rsidP="00E1448E">
            <w:pPr>
              <w:spacing w:after="0"/>
              <w:jc w:val="center"/>
              <w:rPr>
                <w:rFonts w:eastAsia="Times New Roman" w:cs="Times New Roman"/>
                <w:szCs w:val="28"/>
              </w:rPr>
            </w:pPr>
            <w:r w:rsidRPr="00CA099F">
              <w:rPr>
                <w:rFonts w:eastAsia="Times New Roman" w:cs="Times New Roman"/>
                <w:sz w:val="28"/>
                <w:szCs w:val="28"/>
              </w:rPr>
              <w:t>0,08</w:t>
            </w:r>
          </w:p>
        </w:tc>
        <w:tc>
          <w:tcPr>
            <w:tcW w:w="627" w:type="pct"/>
          </w:tcPr>
          <w:p w:rsidR="0030517B" w:rsidRPr="00CA099F" w:rsidRDefault="0030517B" w:rsidP="00E1448E">
            <w:pPr>
              <w:spacing w:after="0"/>
              <w:jc w:val="center"/>
              <w:rPr>
                <w:rFonts w:eastAsia="Times New Roman" w:cs="Times New Roman"/>
                <w:szCs w:val="28"/>
              </w:rPr>
            </w:pPr>
            <w:r w:rsidRPr="00CA099F">
              <w:rPr>
                <w:rFonts w:eastAsia="Times New Roman" w:cs="Times New Roman"/>
                <w:sz w:val="28"/>
                <w:szCs w:val="28"/>
              </w:rPr>
              <w:t>0,98±</w:t>
            </w:r>
          </w:p>
          <w:p w:rsidR="0030517B" w:rsidRPr="00CA099F" w:rsidRDefault="0030517B" w:rsidP="00E1448E">
            <w:pPr>
              <w:spacing w:after="0"/>
              <w:jc w:val="center"/>
              <w:rPr>
                <w:rFonts w:eastAsia="Times New Roman" w:cs="Times New Roman"/>
                <w:szCs w:val="28"/>
              </w:rPr>
            </w:pPr>
            <w:r w:rsidRPr="00CA099F">
              <w:rPr>
                <w:rFonts w:eastAsia="Times New Roman" w:cs="Times New Roman"/>
                <w:sz w:val="28"/>
                <w:szCs w:val="28"/>
              </w:rPr>
              <w:t>0,08*</w:t>
            </w:r>
          </w:p>
        </w:tc>
        <w:tc>
          <w:tcPr>
            <w:tcW w:w="520" w:type="pct"/>
          </w:tcPr>
          <w:p w:rsidR="0030517B" w:rsidRPr="00CA099F" w:rsidRDefault="0030517B" w:rsidP="00E1448E">
            <w:pPr>
              <w:spacing w:after="0"/>
              <w:jc w:val="center"/>
              <w:rPr>
                <w:rFonts w:eastAsia="Times New Roman" w:cs="Times New Roman"/>
                <w:szCs w:val="28"/>
              </w:rPr>
            </w:pPr>
            <w:r w:rsidRPr="00CA099F">
              <w:rPr>
                <w:rFonts w:eastAsia="Times New Roman" w:cs="Times New Roman"/>
                <w:sz w:val="28"/>
                <w:szCs w:val="28"/>
              </w:rPr>
              <w:t>0,84±</w:t>
            </w:r>
          </w:p>
          <w:p w:rsidR="0030517B" w:rsidRPr="00CA099F" w:rsidRDefault="0030517B" w:rsidP="00E1448E">
            <w:pPr>
              <w:spacing w:after="0"/>
              <w:jc w:val="center"/>
              <w:rPr>
                <w:rFonts w:eastAsia="Times New Roman" w:cs="Times New Roman"/>
                <w:szCs w:val="28"/>
              </w:rPr>
            </w:pPr>
            <w:r w:rsidRPr="00CA099F">
              <w:rPr>
                <w:rFonts w:eastAsia="Times New Roman" w:cs="Times New Roman"/>
                <w:sz w:val="28"/>
                <w:szCs w:val="28"/>
              </w:rPr>
              <w:t>0,07</w:t>
            </w:r>
          </w:p>
        </w:tc>
        <w:tc>
          <w:tcPr>
            <w:tcW w:w="627" w:type="pct"/>
          </w:tcPr>
          <w:p w:rsidR="0030517B" w:rsidRPr="00CA099F" w:rsidRDefault="0030517B" w:rsidP="00E1448E">
            <w:pPr>
              <w:spacing w:after="0"/>
              <w:jc w:val="center"/>
              <w:rPr>
                <w:rFonts w:eastAsia="Times New Roman" w:cs="Times New Roman"/>
                <w:szCs w:val="28"/>
              </w:rPr>
            </w:pPr>
            <w:r w:rsidRPr="00CA099F">
              <w:rPr>
                <w:rFonts w:eastAsia="Times New Roman" w:cs="Times New Roman"/>
                <w:sz w:val="28"/>
                <w:szCs w:val="28"/>
              </w:rPr>
              <w:t>0,72±</w:t>
            </w:r>
          </w:p>
          <w:p w:rsidR="0030517B" w:rsidRPr="00CA099F" w:rsidRDefault="0030517B" w:rsidP="00E1448E">
            <w:pPr>
              <w:spacing w:after="0"/>
              <w:jc w:val="center"/>
              <w:rPr>
                <w:rFonts w:eastAsia="Times New Roman" w:cs="Times New Roman"/>
                <w:szCs w:val="28"/>
              </w:rPr>
            </w:pPr>
            <w:r w:rsidRPr="00CA099F">
              <w:rPr>
                <w:rFonts w:eastAsia="Times New Roman" w:cs="Times New Roman"/>
                <w:sz w:val="28"/>
                <w:szCs w:val="28"/>
              </w:rPr>
              <w:t>0,06</w:t>
            </w:r>
          </w:p>
        </w:tc>
        <w:tc>
          <w:tcPr>
            <w:tcW w:w="520" w:type="pct"/>
          </w:tcPr>
          <w:p w:rsidR="0030517B" w:rsidRPr="00CA099F" w:rsidRDefault="0030517B" w:rsidP="00E1448E">
            <w:pPr>
              <w:spacing w:after="0"/>
              <w:jc w:val="center"/>
              <w:rPr>
                <w:rFonts w:eastAsia="Times New Roman" w:cs="Times New Roman"/>
                <w:szCs w:val="28"/>
              </w:rPr>
            </w:pPr>
            <w:r w:rsidRPr="00CA099F">
              <w:rPr>
                <w:rFonts w:eastAsia="Times New Roman" w:cs="Times New Roman"/>
                <w:sz w:val="28"/>
                <w:szCs w:val="28"/>
              </w:rPr>
              <w:t>0,61±</w:t>
            </w:r>
          </w:p>
          <w:p w:rsidR="0030517B" w:rsidRPr="00CA099F" w:rsidRDefault="0030517B" w:rsidP="00E1448E">
            <w:pPr>
              <w:spacing w:after="0"/>
              <w:jc w:val="center"/>
              <w:rPr>
                <w:rFonts w:eastAsia="Times New Roman" w:cs="Times New Roman"/>
                <w:szCs w:val="28"/>
              </w:rPr>
            </w:pPr>
            <w:r w:rsidRPr="00CA099F">
              <w:rPr>
                <w:rFonts w:eastAsia="Times New Roman" w:cs="Times New Roman"/>
                <w:sz w:val="28"/>
                <w:szCs w:val="28"/>
              </w:rPr>
              <w:t>0,05</w:t>
            </w:r>
          </w:p>
        </w:tc>
        <w:tc>
          <w:tcPr>
            <w:tcW w:w="556" w:type="pct"/>
          </w:tcPr>
          <w:p w:rsidR="0030517B" w:rsidRPr="00CA099F" w:rsidRDefault="0030517B" w:rsidP="00E1448E">
            <w:pPr>
              <w:spacing w:after="0"/>
              <w:jc w:val="center"/>
              <w:rPr>
                <w:rFonts w:eastAsia="Times New Roman" w:cs="Times New Roman"/>
                <w:szCs w:val="28"/>
              </w:rPr>
            </w:pPr>
            <w:r w:rsidRPr="00CA099F">
              <w:rPr>
                <w:rFonts w:eastAsia="Times New Roman" w:cs="Times New Roman"/>
                <w:sz w:val="28"/>
                <w:szCs w:val="28"/>
              </w:rPr>
              <w:t>0,62±</w:t>
            </w:r>
          </w:p>
          <w:p w:rsidR="0030517B" w:rsidRPr="00CA099F" w:rsidRDefault="0030517B" w:rsidP="00E1448E">
            <w:pPr>
              <w:spacing w:after="0"/>
              <w:jc w:val="center"/>
              <w:rPr>
                <w:rFonts w:eastAsia="Times New Roman" w:cs="Times New Roman"/>
                <w:szCs w:val="28"/>
              </w:rPr>
            </w:pPr>
            <w:r w:rsidRPr="00CA099F">
              <w:rPr>
                <w:rFonts w:eastAsia="Times New Roman" w:cs="Times New Roman"/>
                <w:sz w:val="28"/>
                <w:szCs w:val="28"/>
              </w:rPr>
              <w:t>0,06</w:t>
            </w:r>
          </w:p>
        </w:tc>
      </w:tr>
      <w:tr w:rsidR="0030517B" w:rsidRPr="00CA099F" w:rsidTr="00E1448E">
        <w:tc>
          <w:tcPr>
            <w:tcW w:w="669" w:type="pct"/>
          </w:tcPr>
          <w:p w:rsidR="0030517B" w:rsidRPr="00CA099F" w:rsidRDefault="0030517B" w:rsidP="00E1448E">
            <w:pPr>
              <w:spacing w:after="0"/>
              <w:jc w:val="center"/>
              <w:rPr>
                <w:rFonts w:eastAsia="Times New Roman" w:cs="Times New Roman"/>
                <w:szCs w:val="28"/>
              </w:rPr>
            </w:pPr>
          </w:p>
        </w:tc>
        <w:tc>
          <w:tcPr>
            <w:tcW w:w="520" w:type="pct"/>
          </w:tcPr>
          <w:p w:rsidR="0030517B" w:rsidRPr="00CA099F" w:rsidRDefault="0030517B" w:rsidP="00E1448E">
            <w:pPr>
              <w:spacing w:after="0"/>
              <w:jc w:val="center"/>
              <w:rPr>
                <w:rFonts w:eastAsia="Times New Roman" w:cs="Times New Roman"/>
                <w:szCs w:val="28"/>
              </w:rPr>
            </w:pPr>
          </w:p>
        </w:tc>
        <w:tc>
          <w:tcPr>
            <w:tcW w:w="438" w:type="pct"/>
          </w:tcPr>
          <w:p w:rsidR="0030517B" w:rsidRPr="00CA099F" w:rsidRDefault="0030517B" w:rsidP="00E1448E">
            <w:pPr>
              <w:spacing w:after="0"/>
              <w:jc w:val="center"/>
              <w:rPr>
                <w:rFonts w:eastAsia="Times New Roman" w:cs="Times New Roman"/>
                <w:szCs w:val="28"/>
              </w:rPr>
            </w:pPr>
          </w:p>
        </w:tc>
        <w:tc>
          <w:tcPr>
            <w:tcW w:w="520" w:type="pct"/>
          </w:tcPr>
          <w:p w:rsidR="0030517B" w:rsidRPr="00CA099F" w:rsidRDefault="0030517B" w:rsidP="00E1448E">
            <w:pPr>
              <w:spacing w:after="0"/>
              <w:jc w:val="center"/>
              <w:rPr>
                <w:rFonts w:eastAsia="Times New Roman" w:cs="Times New Roman"/>
                <w:szCs w:val="28"/>
              </w:rPr>
            </w:pPr>
          </w:p>
        </w:tc>
        <w:tc>
          <w:tcPr>
            <w:tcW w:w="627" w:type="pct"/>
          </w:tcPr>
          <w:p w:rsidR="0030517B" w:rsidRPr="00CA099F" w:rsidRDefault="0030517B" w:rsidP="00E1448E">
            <w:pPr>
              <w:spacing w:after="0"/>
              <w:jc w:val="center"/>
              <w:rPr>
                <w:rFonts w:eastAsia="Times New Roman" w:cs="Times New Roman"/>
                <w:szCs w:val="28"/>
              </w:rPr>
            </w:pPr>
            <w:r w:rsidRPr="00CA099F">
              <w:rPr>
                <w:rFonts w:eastAsia="Times New Roman" w:cs="Times New Roman"/>
                <w:color w:val="000000"/>
                <w:sz w:val="28"/>
                <w:szCs w:val="28"/>
              </w:rPr>
              <w:t>р</w:t>
            </w:r>
            <w:r w:rsidRPr="00CA099F">
              <w:rPr>
                <w:rFonts w:eastAsia="Times New Roman" w:cs="Times New Roman"/>
                <w:color w:val="000000"/>
                <w:sz w:val="28"/>
                <w:szCs w:val="28"/>
                <w:vertAlign w:val="subscript"/>
              </w:rPr>
              <w:t>1</w:t>
            </w:r>
            <w:r w:rsidRPr="00CA099F">
              <w:rPr>
                <w:rFonts w:eastAsia="Times New Roman" w:cs="Times New Roman"/>
                <w:color w:val="000000"/>
                <w:sz w:val="28"/>
                <w:szCs w:val="28"/>
              </w:rPr>
              <w:t>&lt;0,001</w:t>
            </w:r>
          </w:p>
        </w:tc>
        <w:tc>
          <w:tcPr>
            <w:tcW w:w="520" w:type="pct"/>
          </w:tcPr>
          <w:p w:rsidR="0030517B" w:rsidRPr="00CA099F" w:rsidRDefault="0030517B" w:rsidP="00E1448E">
            <w:pPr>
              <w:spacing w:after="0"/>
              <w:jc w:val="center"/>
              <w:rPr>
                <w:rFonts w:eastAsia="Times New Roman" w:cs="Times New Roman"/>
                <w:szCs w:val="28"/>
              </w:rPr>
            </w:pPr>
          </w:p>
        </w:tc>
        <w:tc>
          <w:tcPr>
            <w:tcW w:w="627" w:type="pct"/>
          </w:tcPr>
          <w:p w:rsidR="0030517B" w:rsidRPr="00CA099F" w:rsidRDefault="0030517B" w:rsidP="00E1448E">
            <w:pPr>
              <w:spacing w:after="0"/>
              <w:jc w:val="center"/>
              <w:rPr>
                <w:rFonts w:eastAsia="Times New Roman" w:cs="Times New Roman"/>
                <w:szCs w:val="28"/>
              </w:rPr>
            </w:pPr>
            <w:r w:rsidRPr="00CA099F">
              <w:rPr>
                <w:rFonts w:eastAsia="Times New Roman" w:cs="Times New Roman"/>
                <w:color w:val="000000"/>
                <w:sz w:val="28"/>
                <w:szCs w:val="28"/>
              </w:rPr>
              <w:t>р</w:t>
            </w:r>
            <w:r w:rsidRPr="00CA099F">
              <w:rPr>
                <w:rFonts w:eastAsia="Times New Roman" w:cs="Times New Roman"/>
                <w:color w:val="000000"/>
                <w:sz w:val="28"/>
                <w:szCs w:val="28"/>
                <w:vertAlign w:val="subscript"/>
              </w:rPr>
              <w:t>2</w:t>
            </w:r>
            <w:r w:rsidRPr="00CA099F">
              <w:rPr>
                <w:rFonts w:eastAsia="Times New Roman" w:cs="Times New Roman"/>
                <w:color w:val="000000"/>
                <w:sz w:val="28"/>
                <w:szCs w:val="28"/>
              </w:rPr>
              <w:t>&lt;0,02</w:t>
            </w:r>
          </w:p>
        </w:tc>
        <w:tc>
          <w:tcPr>
            <w:tcW w:w="520" w:type="pct"/>
          </w:tcPr>
          <w:p w:rsidR="0030517B" w:rsidRPr="00CA099F" w:rsidRDefault="0030517B" w:rsidP="00E1448E">
            <w:pPr>
              <w:spacing w:after="0"/>
              <w:jc w:val="center"/>
              <w:rPr>
                <w:rFonts w:eastAsia="Times New Roman" w:cs="Times New Roman"/>
                <w:szCs w:val="28"/>
              </w:rPr>
            </w:pPr>
          </w:p>
        </w:tc>
        <w:tc>
          <w:tcPr>
            <w:tcW w:w="556" w:type="pct"/>
          </w:tcPr>
          <w:p w:rsidR="0030517B" w:rsidRPr="00CA099F" w:rsidRDefault="0030517B" w:rsidP="00E1448E">
            <w:pPr>
              <w:spacing w:after="0"/>
              <w:jc w:val="center"/>
              <w:rPr>
                <w:rFonts w:eastAsia="Times New Roman" w:cs="Times New Roman"/>
                <w:szCs w:val="28"/>
              </w:rPr>
            </w:pPr>
          </w:p>
        </w:tc>
      </w:tr>
      <w:tr w:rsidR="0030517B" w:rsidRPr="00CA099F" w:rsidTr="00E1448E">
        <w:tc>
          <w:tcPr>
            <w:tcW w:w="5000" w:type="pct"/>
            <w:gridSpan w:val="9"/>
          </w:tcPr>
          <w:p w:rsidR="0030517B" w:rsidRPr="00CA099F" w:rsidRDefault="0030517B" w:rsidP="00E1448E">
            <w:pPr>
              <w:spacing w:after="0" w:line="240" w:lineRule="auto"/>
              <w:jc w:val="both"/>
              <w:rPr>
                <w:rFonts w:eastAsia="Times New Roman" w:cs="Times New Roman"/>
                <w:szCs w:val="28"/>
              </w:rPr>
            </w:pPr>
            <w:r w:rsidRPr="00CA099F">
              <w:rPr>
                <w:rFonts w:eastAsia="Times New Roman" w:cs="Times New Roman"/>
                <w:sz w:val="28"/>
                <w:szCs w:val="28"/>
              </w:rPr>
              <w:t>Примітка:</w:t>
            </w:r>
          </w:p>
          <w:p w:rsidR="0030517B" w:rsidRPr="00CA099F" w:rsidRDefault="0030517B" w:rsidP="00E1448E">
            <w:pPr>
              <w:spacing w:after="0" w:line="240" w:lineRule="auto"/>
              <w:jc w:val="both"/>
              <w:rPr>
                <w:rFonts w:eastAsia="Times New Roman" w:cs="Times New Roman"/>
                <w:szCs w:val="28"/>
              </w:rPr>
            </w:pPr>
            <w:r w:rsidRPr="00CA099F">
              <w:rPr>
                <w:rFonts w:eastAsia="Times New Roman" w:cs="Times New Roman"/>
                <w:sz w:val="28"/>
                <w:szCs w:val="28"/>
              </w:rPr>
              <w:t>*- різниця достовірна стосовно даних групи порівняння в межах одного терміну спостереження</w:t>
            </w:r>
          </w:p>
          <w:p w:rsidR="0030517B" w:rsidRPr="00CA099F" w:rsidRDefault="0030517B" w:rsidP="00E1448E">
            <w:pPr>
              <w:tabs>
                <w:tab w:val="left" w:pos="709"/>
              </w:tabs>
              <w:spacing w:after="0" w:line="240" w:lineRule="auto"/>
              <w:ind w:right="-6"/>
              <w:jc w:val="both"/>
              <w:rPr>
                <w:rFonts w:eastAsia="Times New Roman" w:cs="Times New Roman"/>
                <w:color w:val="000000"/>
                <w:szCs w:val="28"/>
              </w:rPr>
            </w:pPr>
            <w:r w:rsidRPr="00CA099F">
              <w:rPr>
                <w:rFonts w:eastAsia="Times New Roman" w:cs="Times New Roman"/>
                <w:color w:val="000000"/>
                <w:sz w:val="28"/>
                <w:szCs w:val="28"/>
              </w:rPr>
              <w:t>р</w:t>
            </w:r>
            <w:r w:rsidRPr="00CA099F">
              <w:rPr>
                <w:rFonts w:eastAsia="Times New Roman" w:cs="Times New Roman"/>
                <w:color w:val="000000"/>
                <w:sz w:val="28"/>
                <w:szCs w:val="28"/>
                <w:vertAlign w:val="subscript"/>
              </w:rPr>
              <w:t>1</w:t>
            </w:r>
            <w:r w:rsidRPr="00CA099F">
              <w:rPr>
                <w:rFonts w:eastAsia="Times New Roman" w:cs="Times New Roman"/>
                <w:color w:val="000000"/>
                <w:sz w:val="28"/>
                <w:szCs w:val="28"/>
              </w:rPr>
              <w:t xml:space="preserve"> –показник достовірності між дослідними групами, термін спостереження 3 і 6 місяців; </w:t>
            </w:r>
          </w:p>
          <w:p w:rsidR="0030517B" w:rsidRPr="00CA099F" w:rsidRDefault="0030517B" w:rsidP="00E1448E">
            <w:pPr>
              <w:spacing w:after="0" w:line="240" w:lineRule="auto"/>
              <w:jc w:val="both"/>
              <w:rPr>
                <w:rFonts w:eastAsia="Times New Roman" w:cs="Times New Roman"/>
                <w:color w:val="000000"/>
                <w:szCs w:val="28"/>
              </w:rPr>
            </w:pPr>
            <w:r w:rsidRPr="00CA099F">
              <w:rPr>
                <w:rFonts w:eastAsia="Times New Roman" w:cs="Times New Roman"/>
                <w:color w:val="000000"/>
                <w:sz w:val="28"/>
                <w:szCs w:val="28"/>
              </w:rPr>
              <w:t>р</w:t>
            </w:r>
            <w:r w:rsidRPr="00CA099F">
              <w:rPr>
                <w:rFonts w:eastAsia="Times New Roman" w:cs="Times New Roman"/>
                <w:color w:val="000000"/>
                <w:sz w:val="28"/>
                <w:szCs w:val="28"/>
                <w:vertAlign w:val="subscript"/>
              </w:rPr>
              <w:t xml:space="preserve">2 </w:t>
            </w:r>
            <w:r w:rsidRPr="00CA099F">
              <w:rPr>
                <w:rFonts w:eastAsia="Times New Roman" w:cs="Times New Roman"/>
                <w:color w:val="000000"/>
                <w:sz w:val="28"/>
                <w:szCs w:val="28"/>
              </w:rPr>
              <w:t>–показник достовірності між дослідними групами, термін спостереження 6 і 9 місяців;</w:t>
            </w:r>
          </w:p>
          <w:p w:rsidR="0030517B" w:rsidRPr="00CA099F" w:rsidRDefault="0030517B" w:rsidP="00E1448E">
            <w:pPr>
              <w:spacing w:after="0" w:line="240" w:lineRule="auto"/>
              <w:jc w:val="both"/>
              <w:rPr>
                <w:rFonts w:eastAsia="Times New Roman" w:cs="Times New Roman"/>
                <w:szCs w:val="28"/>
              </w:rPr>
            </w:pPr>
            <w:r w:rsidRPr="00CA099F">
              <w:rPr>
                <w:rFonts w:eastAsia="Times New Roman" w:cs="Times New Roman"/>
                <w:color w:val="000000"/>
                <w:sz w:val="28"/>
                <w:szCs w:val="28"/>
              </w:rPr>
              <w:t>р</w:t>
            </w:r>
            <w:r w:rsidRPr="00CA099F">
              <w:rPr>
                <w:rFonts w:eastAsia="Times New Roman" w:cs="Times New Roman"/>
                <w:color w:val="000000"/>
                <w:sz w:val="28"/>
                <w:szCs w:val="28"/>
                <w:vertAlign w:val="subscript"/>
              </w:rPr>
              <w:t xml:space="preserve">3 </w:t>
            </w:r>
            <w:r w:rsidRPr="00CA099F">
              <w:rPr>
                <w:rFonts w:eastAsia="Times New Roman" w:cs="Times New Roman"/>
                <w:color w:val="000000"/>
                <w:sz w:val="28"/>
                <w:szCs w:val="28"/>
              </w:rPr>
              <w:t>–показник достовірності між дослідними групами, термін спостереження 9 і 12 місяців</w:t>
            </w:r>
          </w:p>
        </w:tc>
      </w:tr>
    </w:tbl>
    <w:p w:rsidR="0030517B" w:rsidRPr="00CA099F" w:rsidRDefault="0030517B" w:rsidP="0030517B">
      <w:pPr>
        <w:spacing w:after="0" w:line="360" w:lineRule="auto"/>
        <w:jc w:val="both"/>
        <w:rPr>
          <w:rFonts w:eastAsia="Times New Roman" w:cs="Times New Roman"/>
          <w:sz w:val="28"/>
          <w:szCs w:val="28"/>
        </w:rPr>
      </w:pPr>
    </w:p>
    <w:p w:rsidR="0030517B" w:rsidRPr="00CA099F" w:rsidRDefault="0030517B" w:rsidP="00D10E54">
      <w:pPr>
        <w:spacing w:after="0" w:line="360" w:lineRule="auto"/>
        <w:ind w:firstLine="709"/>
        <w:jc w:val="both"/>
        <w:rPr>
          <w:rFonts w:eastAsia="Times New Roman" w:cs="Times New Roman"/>
          <w:sz w:val="28"/>
          <w:szCs w:val="28"/>
        </w:rPr>
      </w:pPr>
      <w:r w:rsidRPr="00CA099F">
        <w:rPr>
          <w:rFonts w:eastAsia="Times New Roman" w:cs="Times New Roman"/>
          <w:sz w:val="28"/>
          <w:szCs w:val="28"/>
        </w:rPr>
        <w:t xml:space="preserve">Вміст 2,4-динітрофенілгідразонів, що визначалися при 430 нм (відображає концентрацію альдегідо- і кетонопохідних основного характеру) у пацієнтів, яким під час оперативного втручання введено PRF-згусток через 3 </w:t>
      </w:r>
      <w:r w:rsidRPr="00CA099F">
        <w:rPr>
          <w:rFonts w:eastAsia="Times New Roman" w:cs="Times New Roman"/>
          <w:sz w:val="28"/>
          <w:szCs w:val="28"/>
        </w:rPr>
        <w:lastRenderedPageBreak/>
        <w:t>місяці спостереження був достовірно меншим на 21,6 %, через 6 місяців – на 30,0 % і через 9</w:t>
      </w:r>
      <w:r w:rsidR="00D10E54">
        <w:rPr>
          <w:rFonts w:eastAsia="Times New Roman" w:cs="Times New Roman"/>
          <w:sz w:val="28"/>
          <w:szCs w:val="28"/>
        </w:rPr>
        <w:t xml:space="preserve"> </w:t>
      </w:r>
      <w:r w:rsidRPr="00CA099F">
        <w:rPr>
          <w:rFonts w:eastAsia="Times New Roman" w:cs="Times New Roman"/>
          <w:sz w:val="28"/>
          <w:szCs w:val="28"/>
        </w:rPr>
        <w:t>– на 14,3 %, стосовно даних третьої групи. У пацієнтів першої і третьої груп через 12 місяців спостереження даний показник практично не відрізнявся.</w:t>
      </w:r>
    </w:p>
    <w:p w:rsidR="0030517B" w:rsidRPr="00CA099F" w:rsidRDefault="00150FDA" w:rsidP="0030517B">
      <w:pPr>
        <w:spacing w:after="0" w:line="360" w:lineRule="auto"/>
        <w:jc w:val="both"/>
        <w:rPr>
          <w:rFonts w:eastAsia="Times New Roman" w:cs="Times New Roman"/>
          <w:sz w:val="28"/>
          <w:szCs w:val="28"/>
        </w:rPr>
      </w:pPr>
      <w:r>
        <w:rPr>
          <w:rFonts w:eastAsia="Times New Roman" w:cs="Times New Roman"/>
          <w:sz w:val="28"/>
          <w:szCs w:val="28"/>
        </w:rPr>
        <w:tab/>
      </w:r>
      <w:r w:rsidR="0030517B" w:rsidRPr="00CA099F">
        <w:rPr>
          <w:rFonts w:eastAsia="Times New Roman" w:cs="Times New Roman"/>
          <w:sz w:val="28"/>
          <w:szCs w:val="28"/>
        </w:rPr>
        <w:t xml:space="preserve">Щодо пацієнтів, яким під час оперативного втручання введено PRF-згусток, а на післяопераційному етапі було застосовано </w:t>
      </w:r>
      <w:r w:rsidR="001B1A4E">
        <w:rPr>
          <w:rFonts w:eastAsia="Times New Roman" w:cs="Times New Roman"/>
          <w:sz w:val="28"/>
          <w:szCs w:val="28"/>
        </w:rPr>
        <w:t>церулоплазмін</w:t>
      </w:r>
      <w:r w:rsidR="0030517B" w:rsidRPr="00CA099F">
        <w:rPr>
          <w:rFonts w:eastAsia="Times New Roman" w:cs="Times New Roman"/>
          <w:sz w:val="28"/>
          <w:szCs w:val="28"/>
        </w:rPr>
        <w:t>, то вміст 2,4-динітрофенілгід</w:t>
      </w:r>
      <w:r w:rsidR="00DE51B0">
        <w:rPr>
          <w:rFonts w:eastAsia="Times New Roman" w:cs="Times New Roman"/>
          <w:sz w:val="28"/>
          <w:szCs w:val="28"/>
        </w:rPr>
        <w:t>разонів, що визначалися при 370 </w:t>
      </w:r>
      <w:r w:rsidR="0030517B" w:rsidRPr="00CA099F">
        <w:rPr>
          <w:rFonts w:eastAsia="Times New Roman" w:cs="Times New Roman"/>
          <w:sz w:val="28"/>
          <w:szCs w:val="28"/>
        </w:rPr>
        <w:t>нм через 3 місяці спостереження був достовірно меншим на 43,3 %, через 6</w:t>
      </w:r>
      <w:r w:rsidR="00DE51B0">
        <w:rPr>
          <w:rFonts w:eastAsia="Times New Roman" w:cs="Times New Roman"/>
          <w:sz w:val="28"/>
          <w:szCs w:val="28"/>
        </w:rPr>
        <w:t xml:space="preserve"> </w:t>
      </w:r>
      <w:r w:rsidR="0030517B" w:rsidRPr="00CA099F">
        <w:rPr>
          <w:rFonts w:eastAsia="Times New Roman" w:cs="Times New Roman"/>
          <w:sz w:val="28"/>
          <w:szCs w:val="28"/>
        </w:rPr>
        <w:t xml:space="preserve">– на 38,6 % і через 9 – на 21,8 %, стосовно даних 3-ої групи. У пацієнтів першої і третьої груп через 12 місяців спостереження вміст 2,4-динітрофенілгідразонів, що визначалися при 370 нм практично не відрізнявся. </w:t>
      </w:r>
    </w:p>
    <w:p w:rsidR="0030517B" w:rsidRDefault="00150FDA" w:rsidP="0030517B">
      <w:pPr>
        <w:spacing w:after="0" w:line="360" w:lineRule="auto"/>
        <w:jc w:val="both"/>
        <w:rPr>
          <w:rFonts w:eastAsia="Times New Roman" w:cs="Times New Roman"/>
          <w:sz w:val="28"/>
          <w:szCs w:val="28"/>
        </w:rPr>
      </w:pPr>
      <w:r>
        <w:rPr>
          <w:rFonts w:eastAsia="Times New Roman" w:cs="Times New Roman"/>
          <w:sz w:val="28"/>
          <w:szCs w:val="28"/>
        </w:rPr>
        <w:tab/>
      </w:r>
      <w:r w:rsidR="0030517B" w:rsidRPr="00CA099F">
        <w:rPr>
          <w:rFonts w:eastAsia="Times New Roman" w:cs="Times New Roman"/>
          <w:sz w:val="28"/>
          <w:szCs w:val="28"/>
        </w:rPr>
        <w:t xml:space="preserve">Рівень досліджуваного показника також змінювався впродовж терміну спостереження. Так, у пацієнтів, яким під час оперативного втручання введено PRF-згусток, а на післяопераційному етапі було застосовано </w:t>
      </w:r>
      <w:r w:rsidR="001B1A4E">
        <w:rPr>
          <w:rFonts w:eastAsia="Times New Roman" w:cs="Times New Roman"/>
          <w:sz w:val="28"/>
          <w:szCs w:val="28"/>
        </w:rPr>
        <w:t>церулоплазмін</w:t>
      </w:r>
      <w:r w:rsidR="001B1A4E" w:rsidRPr="00CA099F">
        <w:rPr>
          <w:rFonts w:eastAsia="Times New Roman" w:cs="Times New Roman"/>
          <w:sz w:val="28"/>
          <w:szCs w:val="28"/>
        </w:rPr>
        <w:t xml:space="preserve"> </w:t>
      </w:r>
      <w:r w:rsidR="0030517B" w:rsidRPr="00CA099F">
        <w:rPr>
          <w:rFonts w:eastAsia="Times New Roman" w:cs="Times New Roman"/>
          <w:sz w:val="28"/>
          <w:szCs w:val="28"/>
        </w:rPr>
        <w:t>через 6 місяців вміст 2,4-динітрофенілгідразонів, що визначалися при 370 нм був на 23,3 % (</w:t>
      </w:r>
      <w:r w:rsidR="0030517B" w:rsidRPr="00CA099F">
        <w:rPr>
          <w:rFonts w:eastAsia="Times New Roman" w:cs="Times New Roman"/>
          <w:color w:val="000000"/>
          <w:sz w:val="28"/>
          <w:szCs w:val="28"/>
        </w:rPr>
        <w:t xml:space="preserve">р&lt;0,001) </w:t>
      </w:r>
      <w:r w:rsidR="0030517B" w:rsidRPr="00CA099F">
        <w:rPr>
          <w:rFonts w:eastAsia="Times New Roman" w:cs="Times New Roman"/>
          <w:sz w:val="28"/>
          <w:szCs w:val="28"/>
        </w:rPr>
        <w:t>нижчий, стосовно даних попереднього терміну спостереження, через 9 місяців – на 13,5 % (</w:t>
      </w:r>
      <w:r w:rsidR="0030517B" w:rsidRPr="00CA099F">
        <w:rPr>
          <w:rFonts w:eastAsia="Times New Roman" w:cs="Times New Roman"/>
          <w:color w:val="000000"/>
          <w:sz w:val="28"/>
          <w:szCs w:val="28"/>
        </w:rPr>
        <w:t xml:space="preserve">р&lt;0,002), </w:t>
      </w:r>
      <w:r w:rsidR="0030517B" w:rsidRPr="00CA099F">
        <w:rPr>
          <w:rFonts w:eastAsia="Times New Roman" w:cs="Times New Roman"/>
          <w:sz w:val="28"/>
          <w:szCs w:val="28"/>
        </w:rPr>
        <w:t>через 12 – на 9,1 % (</w:t>
      </w:r>
      <w:r w:rsidR="0030517B" w:rsidRPr="00CA099F">
        <w:rPr>
          <w:rFonts w:eastAsia="Times New Roman" w:cs="Times New Roman"/>
          <w:color w:val="000000"/>
          <w:sz w:val="28"/>
          <w:szCs w:val="28"/>
        </w:rPr>
        <w:t>р&lt;0,05) (табл. 5.4)</w:t>
      </w:r>
      <w:r w:rsidR="0030517B" w:rsidRPr="00CA099F">
        <w:rPr>
          <w:rFonts w:eastAsia="Times New Roman" w:cs="Times New Roman"/>
          <w:sz w:val="28"/>
          <w:szCs w:val="28"/>
        </w:rPr>
        <w:t>.</w:t>
      </w:r>
    </w:p>
    <w:p w:rsidR="00CB4E9E" w:rsidRPr="00CA099F" w:rsidRDefault="00CB4E9E" w:rsidP="00CB4E9E">
      <w:pPr>
        <w:spacing w:after="0" w:line="360" w:lineRule="auto"/>
        <w:jc w:val="both"/>
        <w:rPr>
          <w:rFonts w:eastAsia="Times New Roman" w:cs="Times New Roman"/>
          <w:sz w:val="28"/>
          <w:szCs w:val="28"/>
        </w:rPr>
      </w:pPr>
      <w:r>
        <w:rPr>
          <w:rFonts w:eastAsia="Times New Roman" w:cs="Times New Roman"/>
          <w:sz w:val="28"/>
          <w:szCs w:val="28"/>
        </w:rPr>
        <w:tab/>
      </w:r>
      <w:r w:rsidRPr="00CA099F">
        <w:rPr>
          <w:rFonts w:eastAsia="Times New Roman" w:cs="Times New Roman"/>
          <w:sz w:val="28"/>
          <w:szCs w:val="28"/>
        </w:rPr>
        <w:t xml:space="preserve">Вміст 2,4-динітрофенілгідразонів, що визначалися при 430 нм через 3 місяці спостереження був достовірно меншим на 36,2 %, через 6 – на 47,1 % і через 9 – на 28,6 %, стосовно даних 3-ої групи. </w:t>
      </w:r>
    </w:p>
    <w:p w:rsidR="00CB4E9E" w:rsidRPr="00CA099F" w:rsidRDefault="00CB4E9E" w:rsidP="00CB4E9E">
      <w:pPr>
        <w:spacing w:after="0" w:line="360" w:lineRule="auto"/>
        <w:jc w:val="both"/>
        <w:rPr>
          <w:rFonts w:eastAsia="Times New Roman" w:cs="Times New Roman"/>
          <w:sz w:val="28"/>
          <w:szCs w:val="28"/>
        </w:rPr>
      </w:pPr>
      <w:r>
        <w:rPr>
          <w:rFonts w:eastAsia="Times New Roman" w:cs="Times New Roman"/>
          <w:sz w:val="28"/>
          <w:szCs w:val="28"/>
        </w:rPr>
        <w:tab/>
      </w:r>
      <w:r w:rsidRPr="00CA099F">
        <w:rPr>
          <w:rFonts w:eastAsia="Times New Roman" w:cs="Times New Roman"/>
          <w:sz w:val="28"/>
          <w:szCs w:val="28"/>
        </w:rPr>
        <w:t>У пацієнтів першої і третьої груп через 12 місяців спостереження вміст 2,4-динітрофенілгідразонів, що визначалися при 430 нм практично не відрізнявся. Рівень досліджуваного показника також змінювався впродовж терміну спостереження. Так, у пацієнтів, яким під час оперативного втручання введено PRF-згусток, а на післяопераційному е</w:t>
      </w:r>
      <w:r w:rsidR="001B1A4E">
        <w:rPr>
          <w:rFonts w:eastAsia="Times New Roman" w:cs="Times New Roman"/>
          <w:sz w:val="28"/>
          <w:szCs w:val="28"/>
        </w:rPr>
        <w:t>тапі було застосовано церулоплазмін</w:t>
      </w:r>
      <w:r w:rsidRPr="00CA099F">
        <w:rPr>
          <w:rFonts w:eastAsia="Times New Roman" w:cs="Times New Roman"/>
          <w:sz w:val="28"/>
          <w:szCs w:val="28"/>
        </w:rPr>
        <w:t xml:space="preserve"> через 6 місяців вміст 2,4-динітрофенілгідразонів, що визначалися при 430 нм був на 37,3 % (</w:t>
      </w:r>
      <w:r w:rsidRPr="00CA099F">
        <w:rPr>
          <w:rFonts w:eastAsia="Times New Roman" w:cs="Times New Roman"/>
          <w:color w:val="000000"/>
          <w:sz w:val="28"/>
          <w:szCs w:val="28"/>
        </w:rPr>
        <w:t xml:space="preserve">р&lt;0,001) </w:t>
      </w:r>
      <w:r w:rsidRPr="00CA099F">
        <w:rPr>
          <w:rFonts w:eastAsia="Times New Roman" w:cs="Times New Roman"/>
          <w:sz w:val="28"/>
          <w:szCs w:val="28"/>
        </w:rPr>
        <w:t>нижчий, стосовно даних попереднього терміну спостереження, через 9 місяців – на 18,9 % (</w:t>
      </w:r>
      <w:r w:rsidRPr="00CA099F">
        <w:rPr>
          <w:rFonts w:eastAsia="Times New Roman" w:cs="Times New Roman"/>
          <w:color w:val="000000"/>
          <w:sz w:val="28"/>
          <w:szCs w:val="28"/>
        </w:rPr>
        <w:t>р&lt;0,05)</w:t>
      </w:r>
      <w:r w:rsidRPr="00CA099F">
        <w:rPr>
          <w:rFonts w:eastAsia="Times New Roman" w:cs="Times New Roman"/>
          <w:sz w:val="28"/>
          <w:szCs w:val="28"/>
        </w:rPr>
        <w:t>.</w:t>
      </w:r>
    </w:p>
    <w:p w:rsidR="00CB4E9E" w:rsidRDefault="00CB4E9E" w:rsidP="0030517B">
      <w:pPr>
        <w:spacing w:after="0" w:line="360" w:lineRule="auto"/>
        <w:jc w:val="both"/>
        <w:rPr>
          <w:rFonts w:eastAsia="Times New Roman" w:cs="Times New Roman"/>
          <w:sz w:val="28"/>
          <w:szCs w:val="28"/>
        </w:rPr>
      </w:pPr>
    </w:p>
    <w:p w:rsidR="00727F19" w:rsidRDefault="00727F19" w:rsidP="0030517B">
      <w:pPr>
        <w:spacing w:after="0" w:line="360" w:lineRule="auto"/>
        <w:jc w:val="both"/>
        <w:rPr>
          <w:rFonts w:eastAsia="Times New Roman" w:cs="Times New Roman"/>
          <w:sz w:val="28"/>
          <w:szCs w:val="28"/>
        </w:rPr>
      </w:pPr>
    </w:p>
    <w:p w:rsidR="00727F19" w:rsidRPr="00CA099F" w:rsidRDefault="00727F19" w:rsidP="0030517B">
      <w:pPr>
        <w:spacing w:after="0" w:line="360" w:lineRule="auto"/>
        <w:jc w:val="both"/>
        <w:rPr>
          <w:rFonts w:eastAsia="Times New Roman" w:cs="Times New Roman"/>
          <w:sz w:val="28"/>
          <w:szCs w:val="28"/>
        </w:rPr>
      </w:pPr>
    </w:p>
    <w:p w:rsidR="0030517B" w:rsidRPr="00CA099F" w:rsidRDefault="0030517B" w:rsidP="0030517B">
      <w:pPr>
        <w:spacing w:after="0" w:line="360" w:lineRule="auto"/>
        <w:jc w:val="right"/>
        <w:rPr>
          <w:rFonts w:eastAsia="Times New Roman" w:cs="Times New Roman"/>
          <w:i/>
          <w:sz w:val="28"/>
          <w:szCs w:val="28"/>
        </w:rPr>
      </w:pPr>
      <w:r w:rsidRPr="00CA099F">
        <w:rPr>
          <w:rFonts w:eastAsia="Times New Roman" w:cs="Times New Roman"/>
          <w:i/>
          <w:sz w:val="28"/>
          <w:szCs w:val="28"/>
        </w:rPr>
        <w:t>Таблиця 5.4</w:t>
      </w:r>
    </w:p>
    <w:p w:rsidR="0030517B" w:rsidRPr="00CA099F" w:rsidRDefault="0030517B" w:rsidP="0030517B">
      <w:pPr>
        <w:spacing w:after="0" w:line="360" w:lineRule="auto"/>
        <w:jc w:val="center"/>
        <w:rPr>
          <w:rFonts w:eastAsia="Times New Roman" w:cs="Times New Roman"/>
          <w:sz w:val="28"/>
          <w:szCs w:val="28"/>
        </w:rPr>
      </w:pPr>
      <w:r w:rsidRPr="00F12A79">
        <w:rPr>
          <w:rFonts w:eastAsia="Times New Roman" w:cs="Times New Roman"/>
          <w:sz w:val="28"/>
          <w:szCs w:val="28"/>
        </w:rPr>
        <w:t>Показники вільнорадикального окиснення білків у гомогенаті шкіри за умови використання PRF-згустка та церулоплазміну</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52"/>
        <w:gridCol w:w="1052"/>
        <w:gridCol w:w="809"/>
        <w:gridCol w:w="1051"/>
        <w:gridCol w:w="1135"/>
        <w:gridCol w:w="1051"/>
        <w:gridCol w:w="1135"/>
        <w:gridCol w:w="1051"/>
        <w:gridCol w:w="1009"/>
      </w:tblGrid>
      <w:tr w:rsidR="0030517B" w:rsidRPr="00CA099F" w:rsidTr="00EF5D25">
        <w:tc>
          <w:tcPr>
            <w:tcW w:w="649" w:type="pct"/>
            <w:vMerge w:val="restart"/>
            <w:vAlign w:val="center"/>
          </w:tcPr>
          <w:p w:rsidR="0030517B" w:rsidRPr="00EF5D25" w:rsidRDefault="0030517B" w:rsidP="00F12A79">
            <w:pPr>
              <w:spacing w:after="0"/>
              <w:ind w:left="-142"/>
              <w:jc w:val="center"/>
              <w:rPr>
                <w:rFonts w:eastAsia="Times New Roman" w:cs="Times New Roman"/>
                <w:sz w:val="26"/>
                <w:szCs w:val="26"/>
              </w:rPr>
            </w:pPr>
            <w:r w:rsidRPr="00EF5D25">
              <w:rPr>
                <w:rFonts w:eastAsia="Times New Roman" w:cs="Times New Roman"/>
                <w:sz w:val="26"/>
                <w:szCs w:val="26"/>
              </w:rPr>
              <w:t>Показник</w:t>
            </w:r>
          </w:p>
        </w:tc>
        <w:tc>
          <w:tcPr>
            <w:tcW w:w="896" w:type="pct"/>
            <w:gridSpan w:val="2"/>
          </w:tcPr>
          <w:p w:rsidR="0030517B" w:rsidRPr="00CA099F" w:rsidRDefault="0030517B" w:rsidP="00E1448E">
            <w:pPr>
              <w:spacing w:after="0"/>
              <w:jc w:val="center"/>
              <w:rPr>
                <w:rFonts w:eastAsia="Times New Roman" w:cs="Times New Roman"/>
                <w:szCs w:val="28"/>
              </w:rPr>
            </w:pPr>
            <w:r w:rsidRPr="00CA099F">
              <w:rPr>
                <w:rFonts w:eastAsia="Times New Roman" w:cs="Times New Roman"/>
                <w:sz w:val="28"/>
                <w:szCs w:val="28"/>
              </w:rPr>
              <w:t>3 місяці</w:t>
            </w:r>
          </w:p>
        </w:tc>
        <w:tc>
          <w:tcPr>
            <w:tcW w:w="1175" w:type="pct"/>
            <w:gridSpan w:val="2"/>
          </w:tcPr>
          <w:p w:rsidR="0030517B" w:rsidRPr="00CA099F" w:rsidRDefault="0030517B" w:rsidP="00E1448E">
            <w:pPr>
              <w:spacing w:after="0"/>
              <w:jc w:val="center"/>
              <w:rPr>
                <w:rFonts w:eastAsia="Times New Roman" w:cs="Times New Roman"/>
                <w:szCs w:val="28"/>
              </w:rPr>
            </w:pPr>
            <w:r w:rsidRPr="00CA099F">
              <w:rPr>
                <w:rFonts w:eastAsia="Times New Roman" w:cs="Times New Roman"/>
                <w:sz w:val="28"/>
                <w:szCs w:val="28"/>
              </w:rPr>
              <w:t>6 місяців</w:t>
            </w:r>
          </w:p>
        </w:tc>
        <w:tc>
          <w:tcPr>
            <w:tcW w:w="1175" w:type="pct"/>
            <w:gridSpan w:val="2"/>
          </w:tcPr>
          <w:p w:rsidR="0030517B" w:rsidRPr="00CA099F" w:rsidRDefault="0030517B" w:rsidP="00E1448E">
            <w:pPr>
              <w:spacing w:after="0"/>
              <w:jc w:val="center"/>
              <w:rPr>
                <w:rFonts w:eastAsia="Times New Roman" w:cs="Times New Roman"/>
                <w:szCs w:val="28"/>
              </w:rPr>
            </w:pPr>
            <w:r w:rsidRPr="00CA099F">
              <w:rPr>
                <w:rFonts w:eastAsia="Times New Roman" w:cs="Times New Roman"/>
                <w:sz w:val="28"/>
                <w:szCs w:val="28"/>
              </w:rPr>
              <w:t>9 місяців</w:t>
            </w:r>
          </w:p>
        </w:tc>
        <w:tc>
          <w:tcPr>
            <w:tcW w:w="1104" w:type="pct"/>
            <w:gridSpan w:val="2"/>
          </w:tcPr>
          <w:p w:rsidR="0030517B" w:rsidRPr="00CA099F" w:rsidRDefault="0030517B" w:rsidP="00E1448E">
            <w:pPr>
              <w:spacing w:after="0"/>
              <w:jc w:val="center"/>
              <w:rPr>
                <w:rFonts w:eastAsia="Times New Roman" w:cs="Times New Roman"/>
                <w:szCs w:val="28"/>
              </w:rPr>
            </w:pPr>
            <w:r w:rsidRPr="00CA099F">
              <w:rPr>
                <w:rFonts w:eastAsia="Times New Roman" w:cs="Times New Roman"/>
                <w:sz w:val="28"/>
                <w:szCs w:val="28"/>
              </w:rPr>
              <w:t>12 місяців</w:t>
            </w:r>
          </w:p>
        </w:tc>
      </w:tr>
      <w:tr w:rsidR="0030517B" w:rsidRPr="00CA099F" w:rsidTr="00EF5D25">
        <w:tc>
          <w:tcPr>
            <w:tcW w:w="649" w:type="pct"/>
            <w:vMerge/>
          </w:tcPr>
          <w:p w:rsidR="0030517B" w:rsidRPr="00EF5D25" w:rsidRDefault="0030517B" w:rsidP="00E1448E">
            <w:pPr>
              <w:spacing w:after="0"/>
              <w:jc w:val="center"/>
              <w:rPr>
                <w:rFonts w:eastAsia="Times New Roman" w:cs="Times New Roman"/>
                <w:sz w:val="26"/>
                <w:szCs w:val="26"/>
              </w:rPr>
            </w:pPr>
          </w:p>
        </w:tc>
        <w:tc>
          <w:tcPr>
            <w:tcW w:w="454" w:type="pct"/>
          </w:tcPr>
          <w:p w:rsidR="0030517B" w:rsidRPr="00CA099F" w:rsidRDefault="0030517B" w:rsidP="00E1448E">
            <w:pPr>
              <w:spacing w:after="0"/>
              <w:ind w:right="-87"/>
              <w:jc w:val="center"/>
              <w:rPr>
                <w:rFonts w:eastAsia="Times New Roman" w:cs="Times New Roman"/>
                <w:sz w:val="22"/>
              </w:rPr>
            </w:pPr>
            <w:r w:rsidRPr="00CA099F">
              <w:rPr>
                <w:rFonts w:eastAsia="Times New Roman" w:cs="Times New Roman"/>
                <w:sz w:val="22"/>
              </w:rPr>
              <w:t>Група контролю</w:t>
            </w:r>
            <w:r w:rsidR="00150FDA">
              <w:rPr>
                <w:rFonts w:eastAsia="Times New Roman" w:cs="Times New Roman"/>
                <w:sz w:val="22"/>
              </w:rPr>
              <w:t xml:space="preserve"> </w:t>
            </w:r>
            <w:r w:rsidR="00150FDA">
              <w:rPr>
                <w:rFonts w:eastAsia="Times New Roman" w:cs="Times New Roman"/>
                <w:szCs w:val="24"/>
              </w:rPr>
              <w:t>(</w:t>
            </w:r>
            <w:r w:rsidR="00150FDA">
              <w:rPr>
                <w:rFonts w:eastAsia="Times New Roman" w:cs="Times New Roman"/>
                <w:szCs w:val="24"/>
                <w:lang w:val="en-US"/>
              </w:rPr>
              <w:t>n=20</w:t>
            </w:r>
            <w:r w:rsidR="00150FDA">
              <w:rPr>
                <w:rFonts w:eastAsia="Times New Roman" w:cs="Times New Roman"/>
                <w:szCs w:val="24"/>
              </w:rPr>
              <w:t>)</w:t>
            </w:r>
          </w:p>
        </w:tc>
        <w:tc>
          <w:tcPr>
            <w:tcW w:w="442" w:type="pct"/>
          </w:tcPr>
          <w:p w:rsidR="00150FDA" w:rsidRDefault="0030517B" w:rsidP="00E1448E">
            <w:pPr>
              <w:spacing w:after="0"/>
              <w:ind w:right="-87"/>
              <w:jc w:val="center"/>
              <w:rPr>
                <w:rFonts w:eastAsia="Times New Roman" w:cs="Times New Roman"/>
                <w:sz w:val="22"/>
              </w:rPr>
            </w:pPr>
            <w:r w:rsidRPr="00CA099F">
              <w:rPr>
                <w:rFonts w:eastAsia="Times New Roman" w:cs="Times New Roman"/>
                <w:sz w:val="22"/>
              </w:rPr>
              <w:t>2 група</w:t>
            </w:r>
          </w:p>
          <w:p w:rsidR="0030517B" w:rsidRPr="00CA099F" w:rsidRDefault="00150FDA" w:rsidP="00E1448E">
            <w:pPr>
              <w:spacing w:after="0"/>
              <w:ind w:right="-87"/>
              <w:jc w:val="center"/>
              <w:rPr>
                <w:rFonts w:eastAsia="Times New Roman" w:cs="Times New Roman"/>
                <w:sz w:val="22"/>
              </w:rPr>
            </w:pPr>
            <w:r>
              <w:rPr>
                <w:rFonts w:eastAsia="Times New Roman" w:cs="Times New Roman"/>
                <w:szCs w:val="24"/>
              </w:rPr>
              <w:t>(</w:t>
            </w:r>
            <w:r>
              <w:rPr>
                <w:rFonts w:eastAsia="Times New Roman" w:cs="Times New Roman"/>
                <w:szCs w:val="24"/>
                <w:lang w:val="en-US"/>
              </w:rPr>
              <w:t>n=20</w:t>
            </w:r>
            <w:r>
              <w:rPr>
                <w:rFonts w:eastAsia="Times New Roman" w:cs="Times New Roman"/>
                <w:szCs w:val="24"/>
              </w:rPr>
              <w:t>)</w:t>
            </w:r>
            <w:r>
              <w:rPr>
                <w:rFonts w:eastAsia="Times New Roman" w:cs="Times New Roman"/>
                <w:sz w:val="22"/>
              </w:rPr>
              <w:t xml:space="preserve"> </w:t>
            </w:r>
          </w:p>
        </w:tc>
        <w:tc>
          <w:tcPr>
            <w:tcW w:w="542" w:type="pct"/>
          </w:tcPr>
          <w:p w:rsidR="0030517B" w:rsidRPr="00CA099F" w:rsidRDefault="0030517B" w:rsidP="00E1448E">
            <w:pPr>
              <w:spacing w:after="0"/>
              <w:ind w:right="-87"/>
              <w:jc w:val="center"/>
              <w:rPr>
                <w:rFonts w:eastAsia="Times New Roman" w:cs="Times New Roman"/>
                <w:sz w:val="22"/>
              </w:rPr>
            </w:pPr>
            <w:r w:rsidRPr="00CA099F">
              <w:rPr>
                <w:rFonts w:eastAsia="Times New Roman" w:cs="Times New Roman"/>
                <w:sz w:val="22"/>
              </w:rPr>
              <w:t>Група контролю</w:t>
            </w:r>
            <w:r w:rsidR="00150FDA">
              <w:rPr>
                <w:rFonts w:eastAsia="Times New Roman" w:cs="Times New Roman"/>
                <w:sz w:val="22"/>
              </w:rPr>
              <w:t xml:space="preserve"> </w:t>
            </w:r>
            <w:r w:rsidR="00150FDA">
              <w:rPr>
                <w:rFonts w:eastAsia="Times New Roman" w:cs="Times New Roman"/>
                <w:szCs w:val="24"/>
              </w:rPr>
              <w:t>(</w:t>
            </w:r>
            <w:r w:rsidR="00150FDA">
              <w:rPr>
                <w:rFonts w:eastAsia="Times New Roman" w:cs="Times New Roman"/>
                <w:szCs w:val="24"/>
                <w:lang w:val="en-US"/>
              </w:rPr>
              <w:t>n=20</w:t>
            </w:r>
            <w:r w:rsidR="00150FDA">
              <w:rPr>
                <w:rFonts w:eastAsia="Times New Roman" w:cs="Times New Roman"/>
                <w:szCs w:val="24"/>
              </w:rPr>
              <w:t>)</w:t>
            </w:r>
          </w:p>
        </w:tc>
        <w:tc>
          <w:tcPr>
            <w:tcW w:w="634" w:type="pct"/>
          </w:tcPr>
          <w:p w:rsidR="0030517B" w:rsidRPr="00CA099F" w:rsidRDefault="0030517B" w:rsidP="00E1448E">
            <w:pPr>
              <w:spacing w:after="0"/>
              <w:ind w:right="-87"/>
              <w:jc w:val="center"/>
              <w:rPr>
                <w:rFonts w:eastAsia="Times New Roman" w:cs="Times New Roman"/>
                <w:sz w:val="22"/>
              </w:rPr>
            </w:pPr>
            <w:r w:rsidRPr="00CA099F">
              <w:rPr>
                <w:rFonts w:eastAsia="Times New Roman" w:cs="Times New Roman"/>
                <w:sz w:val="22"/>
              </w:rPr>
              <w:t>2 група</w:t>
            </w:r>
            <w:r w:rsidR="00150FDA">
              <w:rPr>
                <w:rFonts w:eastAsia="Times New Roman" w:cs="Times New Roman"/>
                <w:sz w:val="22"/>
              </w:rPr>
              <w:t xml:space="preserve"> </w:t>
            </w:r>
            <w:r w:rsidR="00150FDA">
              <w:rPr>
                <w:rFonts w:eastAsia="Times New Roman" w:cs="Times New Roman"/>
                <w:szCs w:val="24"/>
              </w:rPr>
              <w:t>(</w:t>
            </w:r>
            <w:r w:rsidR="00150FDA">
              <w:rPr>
                <w:rFonts w:eastAsia="Times New Roman" w:cs="Times New Roman"/>
                <w:szCs w:val="24"/>
                <w:lang w:val="en-US"/>
              </w:rPr>
              <w:t>n=20</w:t>
            </w:r>
            <w:r w:rsidR="00150FDA">
              <w:rPr>
                <w:rFonts w:eastAsia="Times New Roman" w:cs="Times New Roman"/>
                <w:szCs w:val="24"/>
              </w:rPr>
              <w:t>)</w:t>
            </w:r>
          </w:p>
        </w:tc>
        <w:tc>
          <w:tcPr>
            <w:tcW w:w="542" w:type="pct"/>
          </w:tcPr>
          <w:p w:rsidR="0030517B" w:rsidRPr="00CA099F" w:rsidRDefault="0030517B" w:rsidP="00E1448E">
            <w:pPr>
              <w:spacing w:after="0"/>
              <w:ind w:right="-87"/>
              <w:jc w:val="center"/>
              <w:rPr>
                <w:rFonts w:eastAsia="Times New Roman" w:cs="Times New Roman"/>
                <w:sz w:val="22"/>
              </w:rPr>
            </w:pPr>
            <w:r w:rsidRPr="00CA099F">
              <w:rPr>
                <w:rFonts w:eastAsia="Times New Roman" w:cs="Times New Roman"/>
                <w:sz w:val="22"/>
              </w:rPr>
              <w:t>Група контролю</w:t>
            </w:r>
            <w:r w:rsidR="00150FDA">
              <w:rPr>
                <w:rFonts w:eastAsia="Times New Roman" w:cs="Times New Roman"/>
                <w:sz w:val="22"/>
              </w:rPr>
              <w:t xml:space="preserve"> </w:t>
            </w:r>
            <w:r w:rsidR="00150FDA">
              <w:rPr>
                <w:rFonts w:eastAsia="Times New Roman" w:cs="Times New Roman"/>
                <w:szCs w:val="24"/>
              </w:rPr>
              <w:t>(</w:t>
            </w:r>
            <w:r w:rsidR="00150FDA">
              <w:rPr>
                <w:rFonts w:eastAsia="Times New Roman" w:cs="Times New Roman"/>
                <w:szCs w:val="24"/>
                <w:lang w:val="en-US"/>
              </w:rPr>
              <w:t>n=20</w:t>
            </w:r>
            <w:r w:rsidR="00150FDA">
              <w:rPr>
                <w:rFonts w:eastAsia="Times New Roman" w:cs="Times New Roman"/>
                <w:szCs w:val="24"/>
              </w:rPr>
              <w:t>)</w:t>
            </w:r>
          </w:p>
        </w:tc>
        <w:tc>
          <w:tcPr>
            <w:tcW w:w="634" w:type="pct"/>
          </w:tcPr>
          <w:p w:rsidR="0030517B" w:rsidRPr="00CA099F" w:rsidRDefault="0030517B" w:rsidP="00E1448E">
            <w:pPr>
              <w:spacing w:after="0"/>
              <w:ind w:right="-87"/>
              <w:jc w:val="center"/>
              <w:rPr>
                <w:rFonts w:eastAsia="Times New Roman" w:cs="Times New Roman"/>
                <w:sz w:val="22"/>
              </w:rPr>
            </w:pPr>
            <w:r w:rsidRPr="00CA099F">
              <w:rPr>
                <w:rFonts w:eastAsia="Times New Roman" w:cs="Times New Roman"/>
                <w:sz w:val="22"/>
              </w:rPr>
              <w:t>2 група</w:t>
            </w:r>
            <w:r w:rsidR="00150FDA">
              <w:rPr>
                <w:rFonts w:eastAsia="Times New Roman" w:cs="Times New Roman"/>
                <w:sz w:val="22"/>
              </w:rPr>
              <w:t xml:space="preserve"> </w:t>
            </w:r>
            <w:r w:rsidR="00150FDA">
              <w:rPr>
                <w:rFonts w:eastAsia="Times New Roman" w:cs="Times New Roman"/>
                <w:szCs w:val="24"/>
              </w:rPr>
              <w:t>(</w:t>
            </w:r>
            <w:r w:rsidR="00150FDA">
              <w:rPr>
                <w:rFonts w:eastAsia="Times New Roman" w:cs="Times New Roman"/>
                <w:szCs w:val="24"/>
                <w:lang w:val="en-US"/>
              </w:rPr>
              <w:t>n=20</w:t>
            </w:r>
            <w:r w:rsidR="00150FDA">
              <w:rPr>
                <w:rFonts w:eastAsia="Times New Roman" w:cs="Times New Roman"/>
                <w:szCs w:val="24"/>
              </w:rPr>
              <w:t>)</w:t>
            </w:r>
          </w:p>
        </w:tc>
        <w:tc>
          <w:tcPr>
            <w:tcW w:w="542" w:type="pct"/>
          </w:tcPr>
          <w:p w:rsidR="0030517B" w:rsidRPr="00CA099F" w:rsidRDefault="0030517B" w:rsidP="00E1448E">
            <w:pPr>
              <w:spacing w:after="0"/>
              <w:ind w:right="-87"/>
              <w:jc w:val="center"/>
              <w:rPr>
                <w:rFonts w:eastAsia="Times New Roman" w:cs="Times New Roman"/>
                <w:sz w:val="22"/>
              </w:rPr>
            </w:pPr>
            <w:r w:rsidRPr="00CA099F">
              <w:rPr>
                <w:rFonts w:eastAsia="Times New Roman" w:cs="Times New Roman"/>
                <w:sz w:val="22"/>
              </w:rPr>
              <w:t>Група контролю</w:t>
            </w:r>
            <w:r w:rsidR="00150FDA">
              <w:rPr>
                <w:rFonts w:eastAsia="Times New Roman" w:cs="Times New Roman"/>
                <w:sz w:val="22"/>
              </w:rPr>
              <w:t xml:space="preserve"> </w:t>
            </w:r>
            <w:r w:rsidR="00150FDA">
              <w:rPr>
                <w:rFonts w:eastAsia="Times New Roman" w:cs="Times New Roman"/>
                <w:szCs w:val="24"/>
              </w:rPr>
              <w:t>(</w:t>
            </w:r>
            <w:r w:rsidR="00150FDA">
              <w:rPr>
                <w:rFonts w:eastAsia="Times New Roman" w:cs="Times New Roman"/>
                <w:szCs w:val="24"/>
                <w:lang w:val="en-US"/>
              </w:rPr>
              <w:t>n=20</w:t>
            </w:r>
            <w:r w:rsidR="00150FDA">
              <w:rPr>
                <w:rFonts w:eastAsia="Times New Roman" w:cs="Times New Roman"/>
                <w:szCs w:val="24"/>
              </w:rPr>
              <w:t>)</w:t>
            </w:r>
          </w:p>
        </w:tc>
        <w:tc>
          <w:tcPr>
            <w:tcW w:w="562" w:type="pct"/>
          </w:tcPr>
          <w:p w:rsidR="0030517B" w:rsidRPr="00CA099F" w:rsidRDefault="0030517B" w:rsidP="00E1448E">
            <w:pPr>
              <w:spacing w:after="0"/>
              <w:ind w:right="-87"/>
              <w:jc w:val="center"/>
              <w:rPr>
                <w:rFonts w:eastAsia="Times New Roman" w:cs="Times New Roman"/>
                <w:sz w:val="22"/>
              </w:rPr>
            </w:pPr>
            <w:r w:rsidRPr="00CA099F">
              <w:rPr>
                <w:rFonts w:eastAsia="Times New Roman" w:cs="Times New Roman"/>
                <w:sz w:val="22"/>
              </w:rPr>
              <w:t>2 група</w:t>
            </w:r>
            <w:r w:rsidR="00150FDA">
              <w:rPr>
                <w:rFonts w:eastAsia="Times New Roman" w:cs="Times New Roman"/>
                <w:sz w:val="22"/>
              </w:rPr>
              <w:t xml:space="preserve"> </w:t>
            </w:r>
            <w:r w:rsidR="00150FDA">
              <w:rPr>
                <w:rFonts w:eastAsia="Times New Roman" w:cs="Times New Roman"/>
                <w:szCs w:val="24"/>
              </w:rPr>
              <w:t>(</w:t>
            </w:r>
            <w:r w:rsidR="00150FDA">
              <w:rPr>
                <w:rFonts w:eastAsia="Times New Roman" w:cs="Times New Roman"/>
                <w:szCs w:val="24"/>
                <w:lang w:val="en-US"/>
              </w:rPr>
              <w:t>n=20</w:t>
            </w:r>
            <w:r w:rsidR="00150FDA">
              <w:rPr>
                <w:rFonts w:eastAsia="Times New Roman" w:cs="Times New Roman"/>
                <w:szCs w:val="24"/>
              </w:rPr>
              <w:t>)</w:t>
            </w:r>
          </w:p>
        </w:tc>
      </w:tr>
      <w:tr w:rsidR="0030517B" w:rsidRPr="00CA099F" w:rsidTr="00EF5D25">
        <w:tc>
          <w:tcPr>
            <w:tcW w:w="649" w:type="pct"/>
          </w:tcPr>
          <w:p w:rsidR="0030517B" w:rsidRPr="00EF5D25" w:rsidRDefault="0030517B" w:rsidP="00F12A79">
            <w:pPr>
              <w:spacing w:after="0"/>
              <w:ind w:left="-142" w:right="-86"/>
              <w:jc w:val="center"/>
              <w:rPr>
                <w:rFonts w:eastAsia="Times New Roman" w:cs="Times New Roman"/>
                <w:sz w:val="26"/>
                <w:szCs w:val="26"/>
              </w:rPr>
            </w:pPr>
            <w:r w:rsidRPr="00EF5D25">
              <w:rPr>
                <w:rFonts w:eastAsia="Times New Roman" w:cs="Times New Roman"/>
                <w:sz w:val="26"/>
                <w:szCs w:val="26"/>
              </w:rPr>
              <w:t>ОМБ370, ммоль/г білка</w:t>
            </w:r>
          </w:p>
        </w:tc>
        <w:tc>
          <w:tcPr>
            <w:tcW w:w="454" w:type="pct"/>
          </w:tcPr>
          <w:p w:rsidR="0030517B" w:rsidRPr="00CA099F" w:rsidRDefault="0030517B" w:rsidP="00E1448E">
            <w:pPr>
              <w:spacing w:after="0"/>
              <w:jc w:val="center"/>
              <w:rPr>
                <w:rFonts w:eastAsia="Times New Roman" w:cs="Times New Roman"/>
                <w:szCs w:val="28"/>
              </w:rPr>
            </w:pPr>
            <w:r w:rsidRPr="00CA099F">
              <w:rPr>
                <w:rFonts w:eastAsia="Times New Roman" w:cs="Times New Roman"/>
                <w:sz w:val="28"/>
                <w:szCs w:val="28"/>
              </w:rPr>
              <w:t>4,09±</w:t>
            </w:r>
          </w:p>
          <w:p w:rsidR="0030517B" w:rsidRPr="00CA099F" w:rsidRDefault="0030517B" w:rsidP="00E1448E">
            <w:pPr>
              <w:spacing w:after="0"/>
              <w:jc w:val="center"/>
              <w:rPr>
                <w:rFonts w:eastAsia="Times New Roman" w:cs="Times New Roman"/>
                <w:szCs w:val="28"/>
              </w:rPr>
            </w:pPr>
            <w:r w:rsidRPr="00CA099F">
              <w:rPr>
                <w:rFonts w:eastAsia="Times New Roman" w:cs="Times New Roman"/>
                <w:sz w:val="28"/>
                <w:szCs w:val="28"/>
              </w:rPr>
              <w:t>0,08</w:t>
            </w:r>
          </w:p>
        </w:tc>
        <w:tc>
          <w:tcPr>
            <w:tcW w:w="442" w:type="pct"/>
          </w:tcPr>
          <w:p w:rsidR="0030517B" w:rsidRPr="00CA099F" w:rsidRDefault="0030517B" w:rsidP="00E1448E">
            <w:pPr>
              <w:spacing w:after="0"/>
              <w:jc w:val="center"/>
              <w:rPr>
                <w:rFonts w:eastAsia="Times New Roman" w:cs="Times New Roman"/>
                <w:szCs w:val="28"/>
              </w:rPr>
            </w:pPr>
            <w:r w:rsidRPr="00CA099F">
              <w:rPr>
                <w:rFonts w:eastAsia="Times New Roman" w:cs="Times New Roman"/>
                <w:sz w:val="28"/>
                <w:szCs w:val="28"/>
              </w:rPr>
              <w:t>2,32±</w:t>
            </w:r>
          </w:p>
          <w:p w:rsidR="0030517B" w:rsidRPr="00CA099F" w:rsidRDefault="0030517B" w:rsidP="00E1448E">
            <w:pPr>
              <w:spacing w:after="0"/>
              <w:jc w:val="center"/>
              <w:rPr>
                <w:rFonts w:eastAsia="Times New Roman" w:cs="Times New Roman"/>
                <w:szCs w:val="28"/>
              </w:rPr>
            </w:pPr>
            <w:r w:rsidRPr="00CA099F">
              <w:rPr>
                <w:rFonts w:eastAsia="Times New Roman" w:cs="Times New Roman"/>
                <w:sz w:val="28"/>
                <w:szCs w:val="28"/>
              </w:rPr>
              <w:t>0,06*</w:t>
            </w:r>
          </w:p>
        </w:tc>
        <w:tc>
          <w:tcPr>
            <w:tcW w:w="542" w:type="pct"/>
          </w:tcPr>
          <w:p w:rsidR="0030517B" w:rsidRPr="00CA099F" w:rsidRDefault="0030517B" w:rsidP="00E1448E">
            <w:pPr>
              <w:spacing w:after="0"/>
              <w:jc w:val="center"/>
              <w:rPr>
                <w:rFonts w:eastAsia="Times New Roman" w:cs="Times New Roman"/>
                <w:szCs w:val="28"/>
              </w:rPr>
            </w:pPr>
            <w:r w:rsidRPr="00CA099F">
              <w:rPr>
                <w:rFonts w:eastAsia="Times New Roman" w:cs="Times New Roman"/>
                <w:sz w:val="28"/>
                <w:szCs w:val="28"/>
              </w:rPr>
              <w:t>2,90±</w:t>
            </w:r>
          </w:p>
          <w:p w:rsidR="0030517B" w:rsidRPr="00CA099F" w:rsidRDefault="0030517B" w:rsidP="00E1448E">
            <w:pPr>
              <w:spacing w:after="0"/>
              <w:jc w:val="center"/>
              <w:rPr>
                <w:rFonts w:eastAsia="Times New Roman" w:cs="Times New Roman"/>
                <w:szCs w:val="28"/>
              </w:rPr>
            </w:pPr>
            <w:r w:rsidRPr="00CA099F">
              <w:rPr>
                <w:rFonts w:eastAsia="Times New Roman" w:cs="Times New Roman"/>
                <w:sz w:val="28"/>
                <w:szCs w:val="28"/>
              </w:rPr>
              <w:t>0,04</w:t>
            </w:r>
          </w:p>
        </w:tc>
        <w:tc>
          <w:tcPr>
            <w:tcW w:w="634" w:type="pct"/>
          </w:tcPr>
          <w:p w:rsidR="0030517B" w:rsidRPr="00CA099F" w:rsidRDefault="0030517B" w:rsidP="00E1448E">
            <w:pPr>
              <w:spacing w:after="0"/>
              <w:jc w:val="center"/>
              <w:rPr>
                <w:rFonts w:eastAsia="Times New Roman" w:cs="Times New Roman"/>
                <w:szCs w:val="28"/>
              </w:rPr>
            </w:pPr>
            <w:r w:rsidRPr="00CA099F">
              <w:rPr>
                <w:rFonts w:eastAsia="Times New Roman" w:cs="Times New Roman"/>
                <w:sz w:val="28"/>
                <w:szCs w:val="28"/>
              </w:rPr>
              <w:t>1,78±</w:t>
            </w:r>
          </w:p>
          <w:p w:rsidR="0030517B" w:rsidRPr="00CA099F" w:rsidRDefault="0030517B" w:rsidP="00E1448E">
            <w:pPr>
              <w:spacing w:after="0"/>
              <w:jc w:val="center"/>
              <w:rPr>
                <w:rFonts w:eastAsia="Times New Roman" w:cs="Times New Roman"/>
                <w:szCs w:val="28"/>
              </w:rPr>
            </w:pPr>
            <w:r w:rsidRPr="00CA099F">
              <w:rPr>
                <w:rFonts w:eastAsia="Times New Roman" w:cs="Times New Roman"/>
                <w:sz w:val="28"/>
                <w:szCs w:val="28"/>
              </w:rPr>
              <w:t>0,06*</w:t>
            </w:r>
          </w:p>
        </w:tc>
        <w:tc>
          <w:tcPr>
            <w:tcW w:w="542" w:type="pct"/>
          </w:tcPr>
          <w:p w:rsidR="0030517B" w:rsidRPr="00CA099F" w:rsidRDefault="0030517B" w:rsidP="00E1448E">
            <w:pPr>
              <w:spacing w:after="0"/>
              <w:jc w:val="center"/>
              <w:rPr>
                <w:rFonts w:eastAsia="Times New Roman" w:cs="Times New Roman"/>
                <w:szCs w:val="28"/>
              </w:rPr>
            </w:pPr>
            <w:r w:rsidRPr="00CA099F">
              <w:rPr>
                <w:rFonts w:eastAsia="Times New Roman" w:cs="Times New Roman"/>
                <w:sz w:val="28"/>
                <w:szCs w:val="28"/>
              </w:rPr>
              <w:t>1,97±</w:t>
            </w:r>
          </w:p>
          <w:p w:rsidR="0030517B" w:rsidRPr="00CA099F" w:rsidRDefault="0030517B" w:rsidP="00E1448E">
            <w:pPr>
              <w:spacing w:after="0"/>
              <w:jc w:val="center"/>
              <w:rPr>
                <w:rFonts w:eastAsia="Times New Roman" w:cs="Times New Roman"/>
                <w:szCs w:val="28"/>
              </w:rPr>
            </w:pPr>
            <w:r w:rsidRPr="00CA099F">
              <w:rPr>
                <w:rFonts w:eastAsia="Times New Roman" w:cs="Times New Roman"/>
                <w:sz w:val="28"/>
                <w:szCs w:val="28"/>
              </w:rPr>
              <w:t>0,10</w:t>
            </w:r>
          </w:p>
        </w:tc>
        <w:tc>
          <w:tcPr>
            <w:tcW w:w="634" w:type="pct"/>
          </w:tcPr>
          <w:p w:rsidR="0030517B" w:rsidRPr="00CA099F" w:rsidRDefault="0030517B" w:rsidP="00E1448E">
            <w:pPr>
              <w:spacing w:after="0"/>
              <w:jc w:val="center"/>
              <w:rPr>
                <w:rFonts w:eastAsia="Times New Roman" w:cs="Times New Roman"/>
                <w:szCs w:val="28"/>
              </w:rPr>
            </w:pPr>
            <w:r w:rsidRPr="00CA099F">
              <w:rPr>
                <w:rFonts w:eastAsia="Times New Roman" w:cs="Times New Roman"/>
                <w:sz w:val="28"/>
                <w:szCs w:val="28"/>
              </w:rPr>
              <w:t>1,54±</w:t>
            </w:r>
          </w:p>
          <w:p w:rsidR="0030517B" w:rsidRPr="00CA099F" w:rsidRDefault="0030517B" w:rsidP="00E1448E">
            <w:pPr>
              <w:spacing w:after="0"/>
              <w:jc w:val="center"/>
              <w:rPr>
                <w:rFonts w:eastAsia="Times New Roman" w:cs="Times New Roman"/>
                <w:szCs w:val="28"/>
              </w:rPr>
            </w:pPr>
            <w:r w:rsidRPr="00CA099F">
              <w:rPr>
                <w:rFonts w:eastAsia="Times New Roman" w:cs="Times New Roman"/>
                <w:sz w:val="28"/>
                <w:szCs w:val="28"/>
              </w:rPr>
              <w:t>0,02*</w:t>
            </w:r>
          </w:p>
        </w:tc>
        <w:tc>
          <w:tcPr>
            <w:tcW w:w="542" w:type="pct"/>
          </w:tcPr>
          <w:p w:rsidR="0030517B" w:rsidRPr="00CA099F" w:rsidRDefault="0030517B" w:rsidP="00E1448E">
            <w:pPr>
              <w:spacing w:after="0"/>
              <w:jc w:val="center"/>
              <w:rPr>
                <w:rFonts w:eastAsia="Times New Roman" w:cs="Times New Roman"/>
                <w:szCs w:val="28"/>
              </w:rPr>
            </w:pPr>
            <w:r w:rsidRPr="00CA099F">
              <w:rPr>
                <w:rFonts w:eastAsia="Times New Roman" w:cs="Times New Roman"/>
                <w:sz w:val="28"/>
                <w:szCs w:val="28"/>
              </w:rPr>
              <w:t>1,51±</w:t>
            </w:r>
          </w:p>
          <w:p w:rsidR="0030517B" w:rsidRPr="00CA099F" w:rsidRDefault="0030517B" w:rsidP="00E1448E">
            <w:pPr>
              <w:spacing w:after="0"/>
              <w:jc w:val="center"/>
              <w:rPr>
                <w:rFonts w:eastAsia="Times New Roman" w:cs="Times New Roman"/>
                <w:szCs w:val="28"/>
              </w:rPr>
            </w:pPr>
            <w:r w:rsidRPr="00CA099F">
              <w:rPr>
                <w:rFonts w:eastAsia="Times New Roman" w:cs="Times New Roman"/>
                <w:sz w:val="28"/>
                <w:szCs w:val="28"/>
              </w:rPr>
              <w:t>0,05</w:t>
            </w:r>
          </w:p>
        </w:tc>
        <w:tc>
          <w:tcPr>
            <w:tcW w:w="562" w:type="pct"/>
          </w:tcPr>
          <w:p w:rsidR="0030517B" w:rsidRPr="00CA099F" w:rsidRDefault="0030517B" w:rsidP="00E1448E">
            <w:pPr>
              <w:spacing w:after="0"/>
              <w:jc w:val="center"/>
              <w:rPr>
                <w:rFonts w:eastAsia="Times New Roman" w:cs="Times New Roman"/>
                <w:szCs w:val="28"/>
              </w:rPr>
            </w:pPr>
            <w:r w:rsidRPr="00CA099F">
              <w:rPr>
                <w:rFonts w:eastAsia="Times New Roman" w:cs="Times New Roman"/>
                <w:sz w:val="28"/>
                <w:szCs w:val="28"/>
              </w:rPr>
              <w:t>1,40±</w:t>
            </w:r>
          </w:p>
          <w:p w:rsidR="0030517B" w:rsidRPr="00CA099F" w:rsidRDefault="0030517B" w:rsidP="00E1448E">
            <w:pPr>
              <w:spacing w:after="0"/>
              <w:jc w:val="center"/>
              <w:rPr>
                <w:rFonts w:eastAsia="Times New Roman" w:cs="Times New Roman"/>
                <w:szCs w:val="28"/>
              </w:rPr>
            </w:pPr>
            <w:r w:rsidRPr="00CA099F">
              <w:rPr>
                <w:rFonts w:eastAsia="Times New Roman" w:cs="Times New Roman"/>
                <w:sz w:val="28"/>
                <w:szCs w:val="28"/>
              </w:rPr>
              <w:t>0,06</w:t>
            </w:r>
          </w:p>
        </w:tc>
      </w:tr>
      <w:tr w:rsidR="0030517B" w:rsidRPr="00CA099F" w:rsidTr="00EF5D25">
        <w:tc>
          <w:tcPr>
            <w:tcW w:w="649" w:type="pct"/>
          </w:tcPr>
          <w:p w:rsidR="0030517B" w:rsidRPr="00EF5D25" w:rsidRDefault="0030517B" w:rsidP="00F12A79">
            <w:pPr>
              <w:spacing w:after="0"/>
              <w:ind w:left="-142" w:right="-86"/>
              <w:jc w:val="center"/>
              <w:rPr>
                <w:rFonts w:eastAsia="Times New Roman" w:cs="Times New Roman"/>
                <w:sz w:val="26"/>
                <w:szCs w:val="26"/>
              </w:rPr>
            </w:pPr>
          </w:p>
        </w:tc>
        <w:tc>
          <w:tcPr>
            <w:tcW w:w="454" w:type="pct"/>
          </w:tcPr>
          <w:p w:rsidR="0030517B" w:rsidRPr="00CA099F" w:rsidRDefault="0030517B" w:rsidP="00E1448E">
            <w:pPr>
              <w:spacing w:after="0"/>
              <w:jc w:val="center"/>
              <w:rPr>
                <w:rFonts w:eastAsia="Times New Roman" w:cs="Times New Roman"/>
                <w:szCs w:val="28"/>
              </w:rPr>
            </w:pPr>
          </w:p>
        </w:tc>
        <w:tc>
          <w:tcPr>
            <w:tcW w:w="442" w:type="pct"/>
          </w:tcPr>
          <w:p w:rsidR="0030517B" w:rsidRPr="00CA099F" w:rsidRDefault="0030517B" w:rsidP="00E1448E">
            <w:pPr>
              <w:spacing w:after="0"/>
              <w:jc w:val="center"/>
              <w:rPr>
                <w:rFonts w:eastAsia="Times New Roman" w:cs="Times New Roman"/>
                <w:szCs w:val="28"/>
              </w:rPr>
            </w:pPr>
          </w:p>
        </w:tc>
        <w:tc>
          <w:tcPr>
            <w:tcW w:w="542" w:type="pct"/>
          </w:tcPr>
          <w:p w:rsidR="0030517B" w:rsidRPr="00CA099F" w:rsidRDefault="0030517B" w:rsidP="00E1448E">
            <w:pPr>
              <w:spacing w:after="0"/>
              <w:jc w:val="center"/>
              <w:rPr>
                <w:rFonts w:eastAsia="Times New Roman" w:cs="Times New Roman"/>
                <w:szCs w:val="28"/>
              </w:rPr>
            </w:pPr>
          </w:p>
        </w:tc>
        <w:tc>
          <w:tcPr>
            <w:tcW w:w="634" w:type="pct"/>
          </w:tcPr>
          <w:p w:rsidR="0030517B" w:rsidRPr="00CA099F" w:rsidRDefault="0030517B" w:rsidP="00E1448E">
            <w:pPr>
              <w:spacing w:after="0"/>
              <w:jc w:val="center"/>
              <w:rPr>
                <w:rFonts w:eastAsia="Times New Roman" w:cs="Times New Roman"/>
                <w:szCs w:val="28"/>
              </w:rPr>
            </w:pPr>
            <w:r w:rsidRPr="00CA099F">
              <w:rPr>
                <w:rFonts w:eastAsia="Times New Roman" w:cs="Times New Roman"/>
                <w:color w:val="000000"/>
                <w:sz w:val="28"/>
                <w:szCs w:val="28"/>
              </w:rPr>
              <w:t>р</w:t>
            </w:r>
            <w:r w:rsidRPr="00CA099F">
              <w:rPr>
                <w:rFonts w:eastAsia="Times New Roman" w:cs="Times New Roman"/>
                <w:color w:val="000000"/>
                <w:sz w:val="28"/>
                <w:szCs w:val="28"/>
                <w:vertAlign w:val="subscript"/>
              </w:rPr>
              <w:t>1</w:t>
            </w:r>
            <w:r w:rsidRPr="00CA099F">
              <w:rPr>
                <w:rFonts w:eastAsia="Times New Roman" w:cs="Times New Roman"/>
                <w:color w:val="000000"/>
                <w:sz w:val="28"/>
                <w:szCs w:val="28"/>
              </w:rPr>
              <w:t>&lt;0,001</w:t>
            </w:r>
          </w:p>
        </w:tc>
        <w:tc>
          <w:tcPr>
            <w:tcW w:w="542" w:type="pct"/>
          </w:tcPr>
          <w:p w:rsidR="0030517B" w:rsidRPr="00CA099F" w:rsidRDefault="0030517B" w:rsidP="00E1448E">
            <w:pPr>
              <w:spacing w:after="0"/>
              <w:jc w:val="center"/>
              <w:rPr>
                <w:rFonts w:eastAsia="Times New Roman" w:cs="Times New Roman"/>
                <w:szCs w:val="28"/>
              </w:rPr>
            </w:pPr>
          </w:p>
        </w:tc>
        <w:tc>
          <w:tcPr>
            <w:tcW w:w="634" w:type="pct"/>
          </w:tcPr>
          <w:p w:rsidR="0030517B" w:rsidRPr="00CA099F" w:rsidRDefault="0030517B" w:rsidP="00E1448E">
            <w:pPr>
              <w:spacing w:after="0"/>
              <w:jc w:val="center"/>
              <w:rPr>
                <w:rFonts w:eastAsia="Times New Roman" w:cs="Times New Roman"/>
                <w:szCs w:val="28"/>
              </w:rPr>
            </w:pPr>
            <w:r w:rsidRPr="00CA099F">
              <w:rPr>
                <w:rFonts w:eastAsia="Times New Roman" w:cs="Times New Roman"/>
                <w:color w:val="000000"/>
                <w:sz w:val="28"/>
                <w:szCs w:val="28"/>
              </w:rPr>
              <w:t>р</w:t>
            </w:r>
            <w:r w:rsidRPr="00CA099F">
              <w:rPr>
                <w:rFonts w:eastAsia="Times New Roman" w:cs="Times New Roman"/>
                <w:color w:val="000000"/>
                <w:sz w:val="28"/>
                <w:szCs w:val="28"/>
                <w:vertAlign w:val="subscript"/>
              </w:rPr>
              <w:t>2</w:t>
            </w:r>
            <w:r w:rsidRPr="00CA099F">
              <w:rPr>
                <w:rFonts w:eastAsia="Times New Roman" w:cs="Times New Roman"/>
                <w:color w:val="000000"/>
                <w:sz w:val="28"/>
                <w:szCs w:val="28"/>
              </w:rPr>
              <w:t>&lt;0,002</w:t>
            </w:r>
          </w:p>
        </w:tc>
        <w:tc>
          <w:tcPr>
            <w:tcW w:w="542" w:type="pct"/>
          </w:tcPr>
          <w:p w:rsidR="0030517B" w:rsidRPr="00CA099F" w:rsidRDefault="0030517B" w:rsidP="00E1448E">
            <w:pPr>
              <w:spacing w:after="0"/>
              <w:jc w:val="center"/>
              <w:rPr>
                <w:rFonts w:eastAsia="Times New Roman" w:cs="Times New Roman"/>
                <w:szCs w:val="28"/>
              </w:rPr>
            </w:pPr>
          </w:p>
        </w:tc>
        <w:tc>
          <w:tcPr>
            <w:tcW w:w="562" w:type="pct"/>
          </w:tcPr>
          <w:p w:rsidR="0030517B" w:rsidRPr="00CA099F" w:rsidRDefault="0030517B" w:rsidP="00E1448E">
            <w:pPr>
              <w:spacing w:after="0"/>
              <w:jc w:val="center"/>
              <w:rPr>
                <w:rFonts w:eastAsia="Times New Roman" w:cs="Times New Roman"/>
                <w:szCs w:val="28"/>
              </w:rPr>
            </w:pPr>
            <w:r w:rsidRPr="00CA099F">
              <w:rPr>
                <w:rFonts w:eastAsia="Times New Roman" w:cs="Times New Roman"/>
                <w:color w:val="000000"/>
                <w:sz w:val="28"/>
                <w:szCs w:val="28"/>
              </w:rPr>
              <w:t>р</w:t>
            </w:r>
            <w:r w:rsidRPr="00CA099F">
              <w:rPr>
                <w:rFonts w:eastAsia="Times New Roman" w:cs="Times New Roman"/>
                <w:color w:val="000000"/>
                <w:sz w:val="28"/>
                <w:szCs w:val="28"/>
                <w:vertAlign w:val="subscript"/>
              </w:rPr>
              <w:t>3</w:t>
            </w:r>
            <w:r w:rsidRPr="00CA099F">
              <w:rPr>
                <w:rFonts w:eastAsia="Times New Roman" w:cs="Times New Roman"/>
                <w:color w:val="000000"/>
                <w:sz w:val="28"/>
                <w:szCs w:val="28"/>
              </w:rPr>
              <w:t>&lt;0,05</w:t>
            </w:r>
          </w:p>
        </w:tc>
      </w:tr>
      <w:tr w:rsidR="0030517B" w:rsidRPr="00CA099F" w:rsidTr="00EF5D25">
        <w:tc>
          <w:tcPr>
            <w:tcW w:w="649" w:type="pct"/>
          </w:tcPr>
          <w:p w:rsidR="0030517B" w:rsidRPr="00EF5D25" w:rsidRDefault="0030517B" w:rsidP="00F12A79">
            <w:pPr>
              <w:spacing w:after="0"/>
              <w:ind w:left="-142" w:right="-86"/>
              <w:jc w:val="center"/>
              <w:rPr>
                <w:rFonts w:eastAsia="Times New Roman" w:cs="Times New Roman"/>
                <w:sz w:val="26"/>
                <w:szCs w:val="26"/>
              </w:rPr>
            </w:pPr>
            <w:r w:rsidRPr="00EF5D25">
              <w:rPr>
                <w:rFonts w:eastAsia="Times New Roman" w:cs="Times New Roman"/>
                <w:sz w:val="26"/>
                <w:szCs w:val="26"/>
              </w:rPr>
              <w:t>ОМБ430, ммоль/г білка</w:t>
            </w:r>
          </w:p>
        </w:tc>
        <w:tc>
          <w:tcPr>
            <w:tcW w:w="454" w:type="pct"/>
          </w:tcPr>
          <w:p w:rsidR="0030517B" w:rsidRPr="00CA099F" w:rsidRDefault="0030517B" w:rsidP="00E1448E">
            <w:pPr>
              <w:spacing w:after="0"/>
              <w:jc w:val="center"/>
              <w:rPr>
                <w:rFonts w:eastAsia="Times New Roman" w:cs="Times New Roman"/>
                <w:szCs w:val="28"/>
              </w:rPr>
            </w:pPr>
            <w:r w:rsidRPr="00CA099F">
              <w:rPr>
                <w:rFonts w:eastAsia="Times New Roman" w:cs="Times New Roman"/>
                <w:sz w:val="28"/>
                <w:szCs w:val="28"/>
              </w:rPr>
              <w:t>1,85±</w:t>
            </w:r>
          </w:p>
          <w:p w:rsidR="0030517B" w:rsidRPr="00CA099F" w:rsidRDefault="0030517B" w:rsidP="00E1448E">
            <w:pPr>
              <w:spacing w:after="0"/>
              <w:jc w:val="center"/>
              <w:rPr>
                <w:rFonts w:eastAsia="Times New Roman" w:cs="Times New Roman"/>
                <w:szCs w:val="28"/>
              </w:rPr>
            </w:pPr>
            <w:r w:rsidRPr="00CA099F">
              <w:rPr>
                <w:rFonts w:eastAsia="Times New Roman" w:cs="Times New Roman"/>
                <w:sz w:val="28"/>
                <w:szCs w:val="28"/>
              </w:rPr>
              <w:t>0,05</w:t>
            </w:r>
          </w:p>
        </w:tc>
        <w:tc>
          <w:tcPr>
            <w:tcW w:w="442" w:type="pct"/>
          </w:tcPr>
          <w:p w:rsidR="0030517B" w:rsidRPr="00CA099F" w:rsidRDefault="0030517B" w:rsidP="00E1448E">
            <w:pPr>
              <w:spacing w:after="0"/>
              <w:jc w:val="center"/>
              <w:rPr>
                <w:rFonts w:eastAsia="Times New Roman" w:cs="Times New Roman"/>
                <w:szCs w:val="28"/>
              </w:rPr>
            </w:pPr>
            <w:r w:rsidRPr="00CA099F">
              <w:rPr>
                <w:rFonts w:eastAsia="Times New Roman" w:cs="Times New Roman"/>
                <w:sz w:val="28"/>
                <w:szCs w:val="28"/>
              </w:rPr>
              <w:t>1,18±</w:t>
            </w:r>
          </w:p>
          <w:p w:rsidR="0030517B" w:rsidRPr="00CA099F" w:rsidRDefault="0030517B" w:rsidP="00E1448E">
            <w:pPr>
              <w:spacing w:after="0"/>
              <w:jc w:val="center"/>
              <w:rPr>
                <w:rFonts w:eastAsia="Times New Roman" w:cs="Times New Roman"/>
                <w:szCs w:val="28"/>
              </w:rPr>
            </w:pPr>
            <w:r w:rsidRPr="00CA099F">
              <w:rPr>
                <w:rFonts w:eastAsia="Times New Roman" w:cs="Times New Roman"/>
                <w:sz w:val="28"/>
                <w:szCs w:val="28"/>
              </w:rPr>
              <w:t>0,05*</w:t>
            </w:r>
          </w:p>
        </w:tc>
        <w:tc>
          <w:tcPr>
            <w:tcW w:w="542" w:type="pct"/>
          </w:tcPr>
          <w:p w:rsidR="0030517B" w:rsidRPr="00CA099F" w:rsidRDefault="0030517B" w:rsidP="00E1448E">
            <w:pPr>
              <w:spacing w:after="0"/>
              <w:jc w:val="center"/>
              <w:rPr>
                <w:rFonts w:eastAsia="Times New Roman" w:cs="Times New Roman"/>
                <w:szCs w:val="28"/>
              </w:rPr>
            </w:pPr>
            <w:r w:rsidRPr="00CA099F">
              <w:rPr>
                <w:rFonts w:eastAsia="Times New Roman" w:cs="Times New Roman"/>
                <w:sz w:val="28"/>
                <w:szCs w:val="28"/>
              </w:rPr>
              <w:t>1,40±</w:t>
            </w:r>
          </w:p>
          <w:p w:rsidR="0030517B" w:rsidRPr="00CA099F" w:rsidRDefault="0030517B" w:rsidP="00E1448E">
            <w:pPr>
              <w:spacing w:after="0"/>
              <w:jc w:val="center"/>
              <w:rPr>
                <w:rFonts w:eastAsia="Times New Roman" w:cs="Times New Roman"/>
                <w:szCs w:val="28"/>
              </w:rPr>
            </w:pPr>
            <w:r w:rsidRPr="00CA099F">
              <w:rPr>
                <w:rFonts w:eastAsia="Times New Roman" w:cs="Times New Roman"/>
                <w:sz w:val="28"/>
                <w:szCs w:val="28"/>
              </w:rPr>
              <w:t>0,08</w:t>
            </w:r>
          </w:p>
        </w:tc>
        <w:tc>
          <w:tcPr>
            <w:tcW w:w="634" w:type="pct"/>
          </w:tcPr>
          <w:p w:rsidR="0030517B" w:rsidRPr="00CA099F" w:rsidRDefault="0030517B" w:rsidP="00E1448E">
            <w:pPr>
              <w:spacing w:after="0"/>
              <w:jc w:val="center"/>
              <w:rPr>
                <w:rFonts w:eastAsia="Times New Roman" w:cs="Times New Roman"/>
                <w:szCs w:val="28"/>
              </w:rPr>
            </w:pPr>
            <w:r w:rsidRPr="00CA099F">
              <w:rPr>
                <w:rFonts w:eastAsia="Times New Roman" w:cs="Times New Roman"/>
                <w:sz w:val="28"/>
                <w:szCs w:val="28"/>
              </w:rPr>
              <w:t>0,74±</w:t>
            </w:r>
          </w:p>
          <w:p w:rsidR="0030517B" w:rsidRPr="00CA099F" w:rsidRDefault="0030517B" w:rsidP="00E1448E">
            <w:pPr>
              <w:spacing w:after="0"/>
              <w:jc w:val="center"/>
              <w:rPr>
                <w:rFonts w:eastAsia="Times New Roman" w:cs="Times New Roman"/>
                <w:szCs w:val="28"/>
              </w:rPr>
            </w:pPr>
            <w:r w:rsidRPr="00CA099F">
              <w:rPr>
                <w:rFonts w:eastAsia="Times New Roman" w:cs="Times New Roman"/>
                <w:sz w:val="28"/>
                <w:szCs w:val="28"/>
              </w:rPr>
              <w:t>0,05*</w:t>
            </w:r>
          </w:p>
        </w:tc>
        <w:tc>
          <w:tcPr>
            <w:tcW w:w="542" w:type="pct"/>
          </w:tcPr>
          <w:p w:rsidR="0030517B" w:rsidRPr="00CA099F" w:rsidRDefault="0030517B" w:rsidP="00E1448E">
            <w:pPr>
              <w:spacing w:after="0"/>
              <w:jc w:val="center"/>
              <w:rPr>
                <w:rFonts w:eastAsia="Times New Roman" w:cs="Times New Roman"/>
                <w:szCs w:val="28"/>
              </w:rPr>
            </w:pPr>
            <w:r w:rsidRPr="00CA099F">
              <w:rPr>
                <w:rFonts w:eastAsia="Times New Roman" w:cs="Times New Roman"/>
                <w:sz w:val="28"/>
                <w:szCs w:val="28"/>
              </w:rPr>
              <w:t>0,84±</w:t>
            </w:r>
          </w:p>
          <w:p w:rsidR="0030517B" w:rsidRPr="00CA099F" w:rsidRDefault="0030517B" w:rsidP="00E1448E">
            <w:pPr>
              <w:spacing w:after="0"/>
              <w:jc w:val="center"/>
              <w:rPr>
                <w:rFonts w:eastAsia="Times New Roman" w:cs="Times New Roman"/>
                <w:szCs w:val="28"/>
              </w:rPr>
            </w:pPr>
            <w:r w:rsidRPr="00CA099F">
              <w:rPr>
                <w:rFonts w:eastAsia="Times New Roman" w:cs="Times New Roman"/>
                <w:sz w:val="28"/>
                <w:szCs w:val="28"/>
              </w:rPr>
              <w:t>0,07</w:t>
            </w:r>
          </w:p>
        </w:tc>
        <w:tc>
          <w:tcPr>
            <w:tcW w:w="634" w:type="pct"/>
          </w:tcPr>
          <w:p w:rsidR="0030517B" w:rsidRPr="00CA099F" w:rsidRDefault="0030517B" w:rsidP="00E1448E">
            <w:pPr>
              <w:spacing w:after="0"/>
              <w:jc w:val="center"/>
              <w:rPr>
                <w:rFonts w:eastAsia="Times New Roman" w:cs="Times New Roman"/>
                <w:szCs w:val="28"/>
              </w:rPr>
            </w:pPr>
            <w:r w:rsidRPr="00CA099F">
              <w:rPr>
                <w:rFonts w:eastAsia="Times New Roman" w:cs="Times New Roman"/>
                <w:sz w:val="28"/>
                <w:szCs w:val="28"/>
              </w:rPr>
              <w:t>0,60±</w:t>
            </w:r>
          </w:p>
          <w:p w:rsidR="0030517B" w:rsidRPr="00CA099F" w:rsidRDefault="0030517B" w:rsidP="00E1448E">
            <w:pPr>
              <w:spacing w:after="0"/>
              <w:jc w:val="center"/>
              <w:rPr>
                <w:rFonts w:eastAsia="Times New Roman" w:cs="Times New Roman"/>
                <w:szCs w:val="28"/>
              </w:rPr>
            </w:pPr>
            <w:r w:rsidRPr="00CA099F">
              <w:rPr>
                <w:rFonts w:eastAsia="Times New Roman" w:cs="Times New Roman"/>
                <w:sz w:val="28"/>
                <w:szCs w:val="28"/>
              </w:rPr>
              <w:t>0,04*</w:t>
            </w:r>
          </w:p>
        </w:tc>
        <w:tc>
          <w:tcPr>
            <w:tcW w:w="542" w:type="pct"/>
          </w:tcPr>
          <w:p w:rsidR="0030517B" w:rsidRPr="00CA099F" w:rsidRDefault="0030517B" w:rsidP="00E1448E">
            <w:pPr>
              <w:spacing w:after="0"/>
              <w:jc w:val="center"/>
              <w:rPr>
                <w:rFonts w:eastAsia="Times New Roman" w:cs="Times New Roman"/>
                <w:szCs w:val="28"/>
              </w:rPr>
            </w:pPr>
            <w:r w:rsidRPr="00CA099F">
              <w:rPr>
                <w:rFonts w:eastAsia="Times New Roman" w:cs="Times New Roman"/>
                <w:sz w:val="28"/>
                <w:szCs w:val="28"/>
              </w:rPr>
              <w:t>0,61±</w:t>
            </w:r>
          </w:p>
          <w:p w:rsidR="0030517B" w:rsidRPr="00CA099F" w:rsidRDefault="0030517B" w:rsidP="00E1448E">
            <w:pPr>
              <w:spacing w:after="0"/>
              <w:jc w:val="center"/>
              <w:rPr>
                <w:rFonts w:eastAsia="Times New Roman" w:cs="Times New Roman"/>
                <w:szCs w:val="28"/>
              </w:rPr>
            </w:pPr>
            <w:r w:rsidRPr="00CA099F">
              <w:rPr>
                <w:rFonts w:eastAsia="Times New Roman" w:cs="Times New Roman"/>
                <w:sz w:val="28"/>
                <w:szCs w:val="28"/>
              </w:rPr>
              <w:t>0,05</w:t>
            </w:r>
          </w:p>
        </w:tc>
        <w:tc>
          <w:tcPr>
            <w:tcW w:w="562" w:type="pct"/>
          </w:tcPr>
          <w:p w:rsidR="0030517B" w:rsidRPr="00CA099F" w:rsidRDefault="0030517B" w:rsidP="00E1448E">
            <w:pPr>
              <w:spacing w:after="0"/>
              <w:jc w:val="center"/>
              <w:rPr>
                <w:rFonts w:eastAsia="Times New Roman" w:cs="Times New Roman"/>
                <w:szCs w:val="28"/>
              </w:rPr>
            </w:pPr>
            <w:r w:rsidRPr="00CA099F">
              <w:rPr>
                <w:rFonts w:eastAsia="Times New Roman" w:cs="Times New Roman"/>
                <w:sz w:val="28"/>
                <w:szCs w:val="28"/>
              </w:rPr>
              <w:t>0,56±</w:t>
            </w:r>
          </w:p>
          <w:p w:rsidR="0030517B" w:rsidRPr="00CA099F" w:rsidRDefault="0030517B" w:rsidP="00E1448E">
            <w:pPr>
              <w:spacing w:after="0"/>
              <w:jc w:val="center"/>
              <w:rPr>
                <w:rFonts w:eastAsia="Times New Roman" w:cs="Times New Roman"/>
                <w:szCs w:val="28"/>
              </w:rPr>
            </w:pPr>
            <w:r w:rsidRPr="00CA099F">
              <w:rPr>
                <w:rFonts w:eastAsia="Times New Roman" w:cs="Times New Roman"/>
                <w:sz w:val="28"/>
                <w:szCs w:val="28"/>
              </w:rPr>
              <w:t>0,04</w:t>
            </w:r>
          </w:p>
        </w:tc>
      </w:tr>
      <w:tr w:rsidR="0030517B" w:rsidRPr="00CA099F" w:rsidTr="00EF5D25">
        <w:tc>
          <w:tcPr>
            <w:tcW w:w="649" w:type="pct"/>
          </w:tcPr>
          <w:p w:rsidR="0030517B" w:rsidRPr="00CA099F" w:rsidRDefault="0030517B" w:rsidP="00E1448E">
            <w:pPr>
              <w:spacing w:after="0"/>
              <w:jc w:val="center"/>
              <w:rPr>
                <w:rFonts w:eastAsia="Times New Roman" w:cs="Times New Roman"/>
                <w:szCs w:val="28"/>
              </w:rPr>
            </w:pPr>
          </w:p>
        </w:tc>
        <w:tc>
          <w:tcPr>
            <w:tcW w:w="454" w:type="pct"/>
          </w:tcPr>
          <w:p w:rsidR="0030517B" w:rsidRPr="00CA099F" w:rsidRDefault="0030517B" w:rsidP="00E1448E">
            <w:pPr>
              <w:spacing w:after="0"/>
              <w:jc w:val="center"/>
              <w:rPr>
                <w:rFonts w:eastAsia="Times New Roman" w:cs="Times New Roman"/>
                <w:szCs w:val="28"/>
              </w:rPr>
            </w:pPr>
          </w:p>
        </w:tc>
        <w:tc>
          <w:tcPr>
            <w:tcW w:w="442" w:type="pct"/>
          </w:tcPr>
          <w:p w:rsidR="0030517B" w:rsidRPr="00CA099F" w:rsidRDefault="0030517B" w:rsidP="00E1448E">
            <w:pPr>
              <w:spacing w:after="0"/>
              <w:jc w:val="center"/>
              <w:rPr>
                <w:rFonts w:eastAsia="Times New Roman" w:cs="Times New Roman"/>
                <w:szCs w:val="28"/>
              </w:rPr>
            </w:pPr>
          </w:p>
        </w:tc>
        <w:tc>
          <w:tcPr>
            <w:tcW w:w="542" w:type="pct"/>
          </w:tcPr>
          <w:p w:rsidR="0030517B" w:rsidRPr="00CA099F" w:rsidRDefault="0030517B" w:rsidP="00E1448E">
            <w:pPr>
              <w:spacing w:after="0"/>
              <w:jc w:val="center"/>
              <w:rPr>
                <w:rFonts w:eastAsia="Times New Roman" w:cs="Times New Roman"/>
                <w:szCs w:val="28"/>
              </w:rPr>
            </w:pPr>
          </w:p>
        </w:tc>
        <w:tc>
          <w:tcPr>
            <w:tcW w:w="634" w:type="pct"/>
          </w:tcPr>
          <w:p w:rsidR="0030517B" w:rsidRPr="00CA099F" w:rsidRDefault="0030517B" w:rsidP="00E1448E">
            <w:pPr>
              <w:spacing w:after="0"/>
              <w:jc w:val="center"/>
              <w:rPr>
                <w:rFonts w:eastAsia="Times New Roman" w:cs="Times New Roman"/>
                <w:szCs w:val="28"/>
              </w:rPr>
            </w:pPr>
            <w:r w:rsidRPr="00CA099F">
              <w:rPr>
                <w:rFonts w:eastAsia="Times New Roman" w:cs="Times New Roman"/>
                <w:color w:val="000000"/>
                <w:sz w:val="28"/>
                <w:szCs w:val="28"/>
              </w:rPr>
              <w:t>р</w:t>
            </w:r>
            <w:r w:rsidRPr="00CA099F">
              <w:rPr>
                <w:rFonts w:eastAsia="Times New Roman" w:cs="Times New Roman"/>
                <w:color w:val="000000"/>
                <w:sz w:val="28"/>
                <w:szCs w:val="28"/>
                <w:vertAlign w:val="subscript"/>
              </w:rPr>
              <w:t>1</w:t>
            </w:r>
            <w:r w:rsidRPr="00CA099F">
              <w:rPr>
                <w:rFonts w:eastAsia="Times New Roman" w:cs="Times New Roman"/>
                <w:color w:val="000000"/>
                <w:sz w:val="28"/>
                <w:szCs w:val="28"/>
              </w:rPr>
              <w:t>&lt;0,001</w:t>
            </w:r>
          </w:p>
        </w:tc>
        <w:tc>
          <w:tcPr>
            <w:tcW w:w="542" w:type="pct"/>
          </w:tcPr>
          <w:p w:rsidR="0030517B" w:rsidRPr="00CA099F" w:rsidRDefault="0030517B" w:rsidP="00E1448E">
            <w:pPr>
              <w:spacing w:after="0"/>
              <w:jc w:val="center"/>
              <w:rPr>
                <w:rFonts w:eastAsia="Times New Roman" w:cs="Times New Roman"/>
                <w:szCs w:val="28"/>
              </w:rPr>
            </w:pPr>
          </w:p>
        </w:tc>
        <w:tc>
          <w:tcPr>
            <w:tcW w:w="634" w:type="pct"/>
          </w:tcPr>
          <w:p w:rsidR="0030517B" w:rsidRPr="00CA099F" w:rsidRDefault="0030517B" w:rsidP="00E1448E">
            <w:pPr>
              <w:spacing w:after="0"/>
              <w:jc w:val="center"/>
              <w:rPr>
                <w:rFonts w:eastAsia="Times New Roman" w:cs="Times New Roman"/>
                <w:szCs w:val="28"/>
              </w:rPr>
            </w:pPr>
            <w:r w:rsidRPr="00CA099F">
              <w:rPr>
                <w:rFonts w:eastAsia="Times New Roman" w:cs="Times New Roman"/>
                <w:color w:val="000000"/>
                <w:sz w:val="28"/>
                <w:szCs w:val="28"/>
              </w:rPr>
              <w:t>р</w:t>
            </w:r>
            <w:r w:rsidRPr="00CA099F">
              <w:rPr>
                <w:rFonts w:eastAsia="Times New Roman" w:cs="Times New Roman"/>
                <w:color w:val="000000"/>
                <w:sz w:val="28"/>
                <w:szCs w:val="28"/>
                <w:vertAlign w:val="subscript"/>
              </w:rPr>
              <w:t>2</w:t>
            </w:r>
            <w:r w:rsidRPr="00CA099F">
              <w:rPr>
                <w:rFonts w:eastAsia="Times New Roman" w:cs="Times New Roman"/>
                <w:color w:val="000000"/>
                <w:sz w:val="28"/>
                <w:szCs w:val="28"/>
              </w:rPr>
              <w:t>&lt;0,05</w:t>
            </w:r>
          </w:p>
        </w:tc>
        <w:tc>
          <w:tcPr>
            <w:tcW w:w="542" w:type="pct"/>
          </w:tcPr>
          <w:p w:rsidR="0030517B" w:rsidRPr="00CA099F" w:rsidRDefault="0030517B" w:rsidP="00E1448E">
            <w:pPr>
              <w:spacing w:after="0"/>
              <w:jc w:val="center"/>
              <w:rPr>
                <w:rFonts w:eastAsia="Times New Roman" w:cs="Times New Roman"/>
                <w:szCs w:val="28"/>
              </w:rPr>
            </w:pPr>
          </w:p>
        </w:tc>
        <w:tc>
          <w:tcPr>
            <w:tcW w:w="562" w:type="pct"/>
          </w:tcPr>
          <w:p w:rsidR="0030517B" w:rsidRPr="00CA099F" w:rsidRDefault="0030517B" w:rsidP="00E1448E">
            <w:pPr>
              <w:spacing w:after="0"/>
              <w:jc w:val="center"/>
              <w:rPr>
                <w:rFonts w:eastAsia="Times New Roman" w:cs="Times New Roman"/>
                <w:szCs w:val="28"/>
              </w:rPr>
            </w:pPr>
          </w:p>
        </w:tc>
      </w:tr>
      <w:tr w:rsidR="0030517B" w:rsidRPr="00CA099F" w:rsidTr="00E1448E">
        <w:tc>
          <w:tcPr>
            <w:tcW w:w="5000" w:type="pct"/>
            <w:gridSpan w:val="9"/>
          </w:tcPr>
          <w:p w:rsidR="0030517B" w:rsidRPr="00CA099F" w:rsidRDefault="0030517B" w:rsidP="00E1448E">
            <w:pPr>
              <w:spacing w:after="0" w:line="240" w:lineRule="auto"/>
              <w:jc w:val="both"/>
              <w:rPr>
                <w:rFonts w:eastAsia="Times New Roman" w:cs="Times New Roman"/>
                <w:szCs w:val="28"/>
              </w:rPr>
            </w:pPr>
            <w:r w:rsidRPr="00CA099F">
              <w:rPr>
                <w:rFonts w:eastAsia="Times New Roman" w:cs="Times New Roman"/>
                <w:sz w:val="28"/>
                <w:szCs w:val="28"/>
              </w:rPr>
              <w:t>Примітка:</w:t>
            </w:r>
          </w:p>
          <w:p w:rsidR="0030517B" w:rsidRPr="00CA099F" w:rsidRDefault="0030517B" w:rsidP="00E1448E">
            <w:pPr>
              <w:spacing w:after="0" w:line="240" w:lineRule="auto"/>
              <w:jc w:val="both"/>
              <w:rPr>
                <w:rFonts w:eastAsia="Times New Roman" w:cs="Times New Roman"/>
                <w:szCs w:val="28"/>
              </w:rPr>
            </w:pPr>
            <w:r w:rsidRPr="00CA099F">
              <w:rPr>
                <w:rFonts w:eastAsia="Times New Roman" w:cs="Times New Roman"/>
                <w:sz w:val="28"/>
                <w:szCs w:val="28"/>
              </w:rPr>
              <w:t>*- різниця достовірна стосовно даних групи порівняння в межах одного терміну спостереження</w:t>
            </w:r>
          </w:p>
          <w:p w:rsidR="0030517B" w:rsidRPr="00CA099F" w:rsidRDefault="0030517B" w:rsidP="00E1448E">
            <w:pPr>
              <w:tabs>
                <w:tab w:val="left" w:pos="709"/>
              </w:tabs>
              <w:spacing w:after="0" w:line="240" w:lineRule="auto"/>
              <w:ind w:right="-6"/>
              <w:jc w:val="both"/>
              <w:rPr>
                <w:rFonts w:eastAsia="Times New Roman" w:cs="Times New Roman"/>
                <w:color w:val="000000"/>
                <w:szCs w:val="28"/>
              </w:rPr>
            </w:pPr>
            <w:r w:rsidRPr="00CA099F">
              <w:rPr>
                <w:rFonts w:eastAsia="Times New Roman" w:cs="Times New Roman"/>
                <w:color w:val="000000"/>
                <w:sz w:val="28"/>
                <w:szCs w:val="28"/>
              </w:rPr>
              <w:t>р</w:t>
            </w:r>
            <w:r w:rsidRPr="00CA099F">
              <w:rPr>
                <w:rFonts w:eastAsia="Times New Roman" w:cs="Times New Roman"/>
                <w:color w:val="000000"/>
                <w:sz w:val="28"/>
                <w:szCs w:val="28"/>
                <w:vertAlign w:val="subscript"/>
              </w:rPr>
              <w:t>1</w:t>
            </w:r>
            <w:r w:rsidRPr="00CA099F">
              <w:rPr>
                <w:rFonts w:eastAsia="Times New Roman" w:cs="Times New Roman"/>
                <w:color w:val="000000"/>
                <w:sz w:val="28"/>
                <w:szCs w:val="28"/>
              </w:rPr>
              <w:t xml:space="preserve"> –показник достовірності між дослідними групами, термін спостереження 3 і 6 місяців; </w:t>
            </w:r>
          </w:p>
          <w:p w:rsidR="0030517B" w:rsidRPr="00CA099F" w:rsidRDefault="0030517B" w:rsidP="00E1448E">
            <w:pPr>
              <w:spacing w:after="0" w:line="240" w:lineRule="auto"/>
              <w:jc w:val="both"/>
              <w:rPr>
                <w:rFonts w:eastAsia="Times New Roman" w:cs="Times New Roman"/>
                <w:color w:val="000000"/>
                <w:szCs w:val="28"/>
              </w:rPr>
            </w:pPr>
            <w:r w:rsidRPr="00CA099F">
              <w:rPr>
                <w:rFonts w:eastAsia="Times New Roman" w:cs="Times New Roman"/>
                <w:color w:val="000000"/>
                <w:sz w:val="28"/>
                <w:szCs w:val="28"/>
              </w:rPr>
              <w:t>р</w:t>
            </w:r>
            <w:r w:rsidRPr="00CA099F">
              <w:rPr>
                <w:rFonts w:eastAsia="Times New Roman" w:cs="Times New Roman"/>
                <w:color w:val="000000"/>
                <w:sz w:val="28"/>
                <w:szCs w:val="28"/>
                <w:vertAlign w:val="subscript"/>
              </w:rPr>
              <w:t xml:space="preserve">2 </w:t>
            </w:r>
            <w:r w:rsidRPr="00CA099F">
              <w:rPr>
                <w:rFonts w:eastAsia="Times New Roman" w:cs="Times New Roman"/>
                <w:color w:val="000000"/>
                <w:sz w:val="28"/>
                <w:szCs w:val="28"/>
              </w:rPr>
              <w:t>–показник достовірності між дослідними групами, термін спостереження 6 і 9 місяців;</w:t>
            </w:r>
          </w:p>
          <w:p w:rsidR="0030517B" w:rsidRPr="00CA099F" w:rsidRDefault="0030517B" w:rsidP="00E1448E">
            <w:pPr>
              <w:spacing w:after="0" w:line="240" w:lineRule="auto"/>
              <w:jc w:val="both"/>
              <w:rPr>
                <w:rFonts w:eastAsia="Times New Roman" w:cs="Times New Roman"/>
                <w:szCs w:val="28"/>
              </w:rPr>
            </w:pPr>
            <w:r w:rsidRPr="00CA099F">
              <w:rPr>
                <w:rFonts w:eastAsia="Times New Roman" w:cs="Times New Roman"/>
                <w:color w:val="000000"/>
                <w:sz w:val="28"/>
                <w:szCs w:val="28"/>
              </w:rPr>
              <w:t>р</w:t>
            </w:r>
            <w:r w:rsidRPr="00CA099F">
              <w:rPr>
                <w:rFonts w:eastAsia="Times New Roman" w:cs="Times New Roman"/>
                <w:color w:val="000000"/>
                <w:sz w:val="28"/>
                <w:szCs w:val="28"/>
                <w:vertAlign w:val="subscript"/>
              </w:rPr>
              <w:t xml:space="preserve">3 </w:t>
            </w:r>
            <w:r w:rsidRPr="00CA099F">
              <w:rPr>
                <w:rFonts w:eastAsia="Times New Roman" w:cs="Times New Roman"/>
                <w:color w:val="000000"/>
                <w:sz w:val="28"/>
                <w:szCs w:val="28"/>
              </w:rPr>
              <w:t>–показник достовірності між дослідними групами, термін спостереження 9 і 12 місяців</w:t>
            </w:r>
          </w:p>
        </w:tc>
      </w:tr>
    </w:tbl>
    <w:p w:rsidR="0030517B" w:rsidRPr="00CA099F" w:rsidRDefault="0030517B" w:rsidP="0030517B">
      <w:pPr>
        <w:spacing w:after="0" w:line="360" w:lineRule="auto"/>
        <w:jc w:val="both"/>
        <w:rPr>
          <w:rFonts w:eastAsia="Times New Roman" w:cs="Times New Roman"/>
          <w:sz w:val="28"/>
          <w:szCs w:val="28"/>
        </w:rPr>
      </w:pPr>
    </w:p>
    <w:p w:rsidR="0030517B" w:rsidRPr="00CA099F" w:rsidRDefault="00150FDA" w:rsidP="0030517B">
      <w:pPr>
        <w:spacing w:after="0" w:line="360" w:lineRule="auto"/>
        <w:jc w:val="both"/>
        <w:rPr>
          <w:rFonts w:eastAsia="Times New Roman" w:cs="Times New Roman"/>
          <w:sz w:val="28"/>
          <w:szCs w:val="28"/>
        </w:rPr>
      </w:pPr>
      <w:r>
        <w:rPr>
          <w:rFonts w:eastAsia="Times New Roman" w:cs="Times New Roman"/>
          <w:sz w:val="28"/>
          <w:szCs w:val="28"/>
        </w:rPr>
        <w:tab/>
      </w:r>
      <w:r w:rsidR="0030517B" w:rsidRPr="00CA099F">
        <w:rPr>
          <w:rFonts w:eastAsia="Times New Roman" w:cs="Times New Roman"/>
          <w:sz w:val="28"/>
          <w:szCs w:val="28"/>
        </w:rPr>
        <w:t xml:space="preserve">Аналізуючи зміни вмісту 2,4-динітрофенілгідразонів, що визначалися при 370 нм у гомогенаті шкіри пацієнтів з різними видами інтра- та післяопераційної профілактики патологічних рубців шкіри при хірургічному лікуванні кіст шиї ембріонального походження відносно показників інтактної групи найвищі показники встановлено у пацієнтів контрольної групи (через 3 </w:t>
      </w:r>
      <w:r w:rsidR="0030517B" w:rsidRPr="00CA099F">
        <w:rPr>
          <w:rFonts w:eastAsia="Times New Roman" w:cs="Times New Roman"/>
          <w:sz w:val="28"/>
          <w:szCs w:val="28"/>
        </w:rPr>
        <w:lastRenderedPageBreak/>
        <w:t xml:space="preserve">місяці спостереження достовірне переважання у 2,8 рази, через 6 місяців – у 2 рази і через 9 місяців – на 33,0 %). </w:t>
      </w:r>
    </w:p>
    <w:p w:rsidR="0030517B" w:rsidRPr="00CA099F" w:rsidRDefault="00150FDA" w:rsidP="0030517B">
      <w:pPr>
        <w:spacing w:after="0" w:line="360" w:lineRule="auto"/>
        <w:jc w:val="both"/>
        <w:rPr>
          <w:rFonts w:eastAsia="Times New Roman" w:cs="Times New Roman"/>
          <w:sz w:val="28"/>
          <w:szCs w:val="28"/>
        </w:rPr>
      </w:pPr>
      <w:r>
        <w:rPr>
          <w:rFonts w:eastAsia="Times New Roman" w:cs="Times New Roman"/>
          <w:sz w:val="28"/>
          <w:szCs w:val="28"/>
        </w:rPr>
        <w:tab/>
      </w:r>
      <w:r w:rsidR="0030517B" w:rsidRPr="00CA099F">
        <w:rPr>
          <w:rFonts w:eastAsia="Times New Roman" w:cs="Times New Roman"/>
          <w:sz w:val="28"/>
          <w:szCs w:val="28"/>
        </w:rPr>
        <w:t xml:space="preserve">Найнижчі показники окиснювальної модифікації білків спостерігалися у пацієнтів, яким під час оперативного втручання введено PRF-згусток, а на післяопераційному етапі було застосовано препарат </w:t>
      </w:r>
      <w:r w:rsidR="001B1A4E">
        <w:rPr>
          <w:rFonts w:eastAsia="Times New Roman" w:cs="Times New Roman"/>
          <w:sz w:val="28"/>
          <w:szCs w:val="28"/>
        </w:rPr>
        <w:t>церулоплазмін</w:t>
      </w:r>
      <w:r w:rsidR="001B1A4E" w:rsidRPr="00CA099F">
        <w:rPr>
          <w:rFonts w:eastAsia="Times New Roman" w:cs="Times New Roman"/>
          <w:sz w:val="28"/>
          <w:szCs w:val="28"/>
        </w:rPr>
        <w:t xml:space="preserve"> </w:t>
      </w:r>
      <w:r w:rsidR="0030517B" w:rsidRPr="00CA099F">
        <w:rPr>
          <w:rFonts w:eastAsia="Times New Roman" w:cs="Times New Roman"/>
          <w:sz w:val="28"/>
          <w:szCs w:val="28"/>
        </w:rPr>
        <w:t>Так, через 3 місяці даний показник перевищував показник інтактної групи на 60,0 %, через 6 – на 20,0 % і через 9 – на 6,5 % (рис. 5.7).</w:t>
      </w:r>
    </w:p>
    <w:p w:rsidR="0030517B" w:rsidRPr="009A789C" w:rsidRDefault="0030517B" w:rsidP="0030517B">
      <w:pPr>
        <w:spacing w:after="0" w:line="360" w:lineRule="auto"/>
        <w:jc w:val="center"/>
        <w:rPr>
          <w:rFonts w:eastAsia="Times New Roman" w:cs="Times New Roman"/>
          <w:sz w:val="28"/>
          <w:szCs w:val="28"/>
          <w:lang w:val="en-US"/>
        </w:rPr>
      </w:pPr>
      <w:r w:rsidRPr="00CA099F">
        <w:rPr>
          <w:rFonts w:ascii="Calibri" w:eastAsia="Times New Roman" w:hAnsi="Calibri" w:cs="Times New Roman"/>
          <w:noProof/>
          <w:sz w:val="22"/>
          <w:lang w:val="ru-RU" w:eastAsia="ru-RU"/>
        </w:rPr>
        <w:drawing>
          <wp:inline distT="0" distB="0" distL="0" distR="0" wp14:anchorId="0D8D34D8" wp14:editId="7D30EF6C">
            <wp:extent cx="5419725" cy="3086100"/>
            <wp:effectExtent l="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419725" cy="3086100"/>
                    </a:xfrm>
                    <a:prstGeom prst="rect">
                      <a:avLst/>
                    </a:prstGeom>
                    <a:noFill/>
                    <a:ln>
                      <a:noFill/>
                    </a:ln>
                  </pic:spPr>
                </pic:pic>
              </a:graphicData>
            </a:graphic>
          </wp:inline>
        </w:drawing>
      </w:r>
    </w:p>
    <w:p w:rsidR="0030517B" w:rsidRDefault="0030517B" w:rsidP="0030517B">
      <w:pPr>
        <w:spacing w:after="0" w:line="360" w:lineRule="auto"/>
        <w:jc w:val="both"/>
        <w:rPr>
          <w:rFonts w:eastAsia="Times New Roman" w:cs="Times New Roman"/>
          <w:sz w:val="28"/>
          <w:szCs w:val="28"/>
        </w:rPr>
      </w:pPr>
      <w:r w:rsidRPr="00CA099F">
        <w:rPr>
          <w:rFonts w:eastAsia="Times New Roman" w:cs="Times New Roman"/>
          <w:sz w:val="28"/>
          <w:szCs w:val="28"/>
        </w:rPr>
        <w:t xml:space="preserve">Рис. 5.7. </w:t>
      </w:r>
      <w:r w:rsidR="00150FDA">
        <w:rPr>
          <w:rFonts w:eastAsia="Times New Roman" w:cs="Times New Roman"/>
          <w:sz w:val="28"/>
          <w:szCs w:val="28"/>
        </w:rPr>
        <w:t>Графічне зображення</w:t>
      </w:r>
      <w:r w:rsidRPr="00CA099F">
        <w:rPr>
          <w:rFonts w:eastAsia="Times New Roman" w:cs="Times New Roman"/>
          <w:sz w:val="28"/>
          <w:szCs w:val="28"/>
        </w:rPr>
        <w:t xml:space="preserve"> змін вмісту 2,4-динітрофенілгідразонів, що визначалися при 370 нм у гомогенаті шкіри пацієнтів з різними видами інтра- та післяопераційної профілактики патологічних рубців шкіри при хірургічному лікуванні кіст шиї ембріонального походження у відсотках (*- різниця достовірна стосовно даних інтактної групи).</w:t>
      </w:r>
    </w:p>
    <w:p w:rsidR="00CB4E9E" w:rsidRPr="00CA099F" w:rsidRDefault="00CB4E9E" w:rsidP="0030517B">
      <w:pPr>
        <w:spacing w:after="0" w:line="360" w:lineRule="auto"/>
        <w:jc w:val="both"/>
        <w:rPr>
          <w:rFonts w:eastAsia="Times New Roman" w:cs="Times New Roman"/>
          <w:sz w:val="28"/>
          <w:szCs w:val="28"/>
        </w:rPr>
      </w:pPr>
    </w:p>
    <w:p w:rsidR="0030517B" w:rsidRPr="00CA099F" w:rsidRDefault="00150FDA" w:rsidP="0030517B">
      <w:pPr>
        <w:spacing w:after="0" w:line="360" w:lineRule="auto"/>
        <w:jc w:val="both"/>
        <w:rPr>
          <w:rFonts w:eastAsia="Times New Roman" w:cs="Times New Roman"/>
          <w:sz w:val="28"/>
          <w:szCs w:val="28"/>
        </w:rPr>
      </w:pPr>
      <w:r>
        <w:rPr>
          <w:rFonts w:eastAsia="Times New Roman" w:cs="Times New Roman"/>
          <w:sz w:val="28"/>
          <w:szCs w:val="28"/>
        </w:rPr>
        <w:tab/>
      </w:r>
      <w:r w:rsidR="0030517B" w:rsidRPr="00CA099F">
        <w:rPr>
          <w:rFonts w:eastAsia="Times New Roman" w:cs="Times New Roman"/>
          <w:sz w:val="28"/>
          <w:szCs w:val="28"/>
        </w:rPr>
        <w:t xml:space="preserve">Аналізуючи зміни вмісту 2,4-динітрофенілгідразонів, що визначалися при 430 нм у гомогенаті шкіри пацієнтів з різними видами інтра- та післяопераційної профілактики патологічних рубців шкіри при хірургічному лікуванні кіст шиї ембріонального походження відносно показників інтактної групи пацієнтів найвищі показники також встановлено у пацієнтів контрольної групи (через 3 місяці спостереження достовірне переважання у </w:t>
      </w:r>
      <w:r w:rsidR="0030517B" w:rsidRPr="00CA099F">
        <w:rPr>
          <w:rFonts w:eastAsia="Times New Roman" w:cs="Times New Roman"/>
          <w:sz w:val="28"/>
          <w:szCs w:val="28"/>
        </w:rPr>
        <w:lastRenderedPageBreak/>
        <w:t xml:space="preserve">3,2 рази, через 6 – у 2,4 рази і через 9 – на 44,8 %). Найнижчі показники окиснювальної модифікації білків також спостерігалися у пацієнтів, яким під час оперативного втручання введено PRF-згусток, а на післяопераційному етапі було застосовано </w:t>
      </w:r>
      <w:r w:rsidR="009A789C">
        <w:rPr>
          <w:rFonts w:eastAsia="Times New Roman" w:cs="Times New Roman"/>
          <w:sz w:val="28"/>
          <w:szCs w:val="28"/>
        </w:rPr>
        <w:t>церулоплазмін</w:t>
      </w:r>
      <w:r w:rsidR="0030517B" w:rsidRPr="00CA099F">
        <w:rPr>
          <w:rFonts w:eastAsia="Times New Roman" w:cs="Times New Roman"/>
          <w:sz w:val="28"/>
          <w:szCs w:val="28"/>
        </w:rPr>
        <w:t>. Так, через 3 місяці даний показник перевищував показник інтактної групи у 2 рази, через 6</w:t>
      </w:r>
      <w:r w:rsidR="00605BB4">
        <w:rPr>
          <w:rFonts w:eastAsia="Times New Roman" w:cs="Times New Roman"/>
          <w:sz w:val="28"/>
          <w:szCs w:val="28"/>
        </w:rPr>
        <w:t xml:space="preserve"> – на 27,6 % і через 9</w:t>
      </w:r>
      <w:r w:rsidR="0030517B" w:rsidRPr="00CA099F">
        <w:rPr>
          <w:rFonts w:eastAsia="Times New Roman" w:cs="Times New Roman"/>
          <w:sz w:val="28"/>
          <w:szCs w:val="28"/>
        </w:rPr>
        <w:t xml:space="preserve"> – на 3,4 % (рис. 3.8).</w:t>
      </w:r>
    </w:p>
    <w:p w:rsidR="0030517B" w:rsidRPr="00CA099F" w:rsidRDefault="0030517B" w:rsidP="0030517B">
      <w:pPr>
        <w:spacing w:after="0" w:line="360" w:lineRule="auto"/>
        <w:jc w:val="both"/>
        <w:rPr>
          <w:rFonts w:eastAsia="Times New Roman" w:cs="Times New Roman"/>
          <w:sz w:val="28"/>
          <w:szCs w:val="28"/>
        </w:rPr>
      </w:pPr>
      <w:r w:rsidRPr="00CA099F">
        <w:rPr>
          <w:rFonts w:ascii="Calibri" w:eastAsia="Times New Roman" w:hAnsi="Calibri" w:cs="Times New Roman"/>
          <w:noProof/>
          <w:sz w:val="22"/>
          <w:lang w:val="ru-RU" w:eastAsia="ru-RU"/>
        </w:rPr>
        <w:drawing>
          <wp:inline distT="0" distB="0" distL="0" distR="0" wp14:anchorId="595E01D6" wp14:editId="06795579">
            <wp:extent cx="5553075" cy="3086100"/>
            <wp:effectExtent l="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553075" cy="3086100"/>
                    </a:xfrm>
                    <a:prstGeom prst="rect">
                      <a:avLst/>
                    </a:prstGeom>
                    <a:noFill/>
                    <a:ln>
                      <a:noFill/>
                    </a:ln>
                  </pic:spPr>
                </pic:pic>
              </a:graphicData>
            </a:graphic>
          </wp:inline>
        </w:drawing>
      </w:r>
    </w:p>
    <w:p w:rsidR="0030517B" w:rsidRDefault="0030517B" w:rsidP="0030517B">
      <w:pPr>
        <w:spacing w:after="0" w:line="360" w:lineRule="auto"/>
        <w:jc w:val="both"/>
        <w:rPr>
          <w:rFonts w:eastAsia="Times New Roman" w:cs="Times New Roman"/>
          <w:sz w:val="28"/>
          <w:szCs w:val="28"/>
        </w:rPr>
      </w:pPr>
      <w:r w:rsidRPr="00CA099F">
        <w:rPr>
          <w:rFonts w:eastAsia="Times New Roman" w:cs="Times New Roman"/>
          <w:sz w:val="28"/>
          <w:szCs w:val="28"/>
        </w:rPr>
        <w:t xml:space="preserve">Рис. 5.8 </w:t>
      </w:r>
      <w:r w:rsidR="00150FDA">
        <w:rPr>
          <w:rFonts w:eastAsia="Times New Roman" w:cs="Times New Roman"/>
          <w:sz w:val="28"/>
          <w:szCs w:val="28"/>
        </w:rPr>
        <w:t xml:space="preserve">Графічне зображення </w:t>
      </w:r>
      <w:r w:rsidRPr="00CA099F">
        <w:rPr>
          <w:rFonts w:eastAsia="Times New Roman" w:cs="Times New Roman"/>
          <w:sz w:val="28"/>
          <w:szCs w:val="28"/>
        </w:rPr>
        <w:t>змін вмісту 2,4-динітрофенілгідразонів, що визначалися при 430 нм у гомогенаті шкіри пацієнтів з різними видами інтра- та післяопераційної профілактики патологічних рубців шкіри при хірургічному лікуванні кіст шиї ембріонального походження у відсотках (*- різниця достовірна стосовно даних інтактної групи).</w:t>
      </w:r>
    </w:p>
    <w:p w:rsidR="00CB4E9E" w:rsidRPr="00CA099F" w:rsidRDefault="00CB4E9E" w:rsidP="0030517B">
      <w:pPr>
        <w:spacing w:after="0" w:line="360" w:lineRule="auto"/>
        <w:jc w:val="both"/>
        <w:rPr>
          <w:rFonts w:eastAsia="Times New Roman" w:cs="Times New Roman"/>
          <w:sz w:val="28"/>
          <w:szCs w:val="28"/>
        </w:rPr>
      </w:pPr>
    </w:p>
    <w:p w:rsidR="0030517B" w:rsidRPr="00CA099F" w:rsidRDefault="00150FDA" w:rsidP="0030517B">
      <w:pPr>
        <w:spacing w:after="0" w:line="360" w:lineRule="auto"/>
        <w:jc w:val="both"/>
        <w:rPr>
          <w:rFonts w:eastAsia="Times New Roman" w:cs="Times New Roman"/>
          <w:sz w:val="28"/>
          <w:szCs w:val="28"/>
        </w:rPr>
      </w:pPr>
      <w:r>
        <w:rPr>
          <w:rFonts w:eastAsia="Times New Roman" w:cs="Times New Roman"/>
          <w:sz w:val="28"/>
          <w:szCs w:val="28"/>
        </w:rPr>
        <w:tab/>
      </w:r>
      <w:r w:rsidR="0030517B" w:rsidRPr="00CA099F">
        <w:rPr>
          <w:rFonts w:eastAsia="Times New Roman" w:cs="Times New Roman"/>
          <w:sz w:val="28"/>
          <w:szCs w:val="28"/>
        </w:rPr>
        <w:t xml:space="preserve">Отримані дані свідчать про те, що через 3 місяці після хірургічного лікування кіст шиї ембріонального походження в тканинах рубців шкіри пацієнтів активність вільнорадикальних процесів достовірно вища показників інтактної групи. </w:t>
      </w:r>
    </w:p>
    <w:p w:rsidR="0030517B" w:rsidRPr="00CA099F" w:rsidRDefault="00150FDA" w:rsidP="0030517B">
      <w:pPr>
        <w:spacing w:after="0" w:line="360" w:lineRule="auto"/>
        <w:jc w:val="both"/>
        <w:rPr>
          <w:rFonts w:eastAsia="Times New Roman" w:cs="Times New Roman"/>
          <w:sz w:val="28"/>
          <w:szCs w:val="28"/>
        </w:rPr>
      </w:pPr>
      <w:r>
        <w:rPr>
          <w:rFonts w:eastAsia="Times New Roman" w:cs="Times New Roman"/>
          <w:sz w:val="28"/>
          <w:szCs w:val="28"/>
        </w:rPr>
        <w:tab/>
      </w:r>
      <w:r w:rsidR="0030517B" w:rsidRPr="00CA099F">
        <w:rPr>
          <w:rFonts w:eastAsia="Times New Roman" w:cs="Times New Roman"/>
          <w:sz w:val="28"/>
          <w:szCs w:val="28"/>
        </w:rPr>
        <w:t>Введення PRF-згустка під час хірургічного лікування кіст шиї ембріонального походження позитивно впливає на патобіохімічні процеси в тканинах шкіри, зменшуючи активність пер</w:t>
      </w:r>
      <w:r w:rsidR="00393EA1" w:rsidRPr="00393EA1">
        <w:rPr>
          <w:rFonts w:eastAsia="Times New Roman" w:cs="Times New Roman"/>
          <w:sz w:val="28"/>
          <w:szCs w:val="28"/>
        </w:rPr>
        <w:t>е</w:t>
      </w:r>
      <w:r w:rsidR="0030517B" w:rsidRPr="00CA099F">
        <w:rPr>
          <w:rFonts w:eastAsia="Times New Roman" w:cs="Times New Roman"/>
          <w:sz w:val="28"/>
          <w:szCs w:val="28"/>
        </w:rPr>
        <w:t>ки</w:t>
      </w:r>
      <w:r w:rsidR="00393EA1" w:rsidRPr="00393EA1">
        <w:rPr>
          <w:rFonts w:eastAsia="Times New Roman" w:cs="Times New Roman"/>
          <w:sz w:val="28"/>
          <w:szCs w:val="28"/>
        </w:rPr>
        <w:t>с</w:t>
      </w:r>
      <w:r w:rsidR="0030517B" w:rsidRPr="00CA099F">
        <w:rPr>
          <w:rFonts w:eastAsia="Times New Roman" w:cs="Times New Roman"/>
          <w:sz w:val="28"/>
          <w:szCs w:val="28"/>
        </w:rPr>
        <w:t xml:space="preserve">ного окиснення ліпідів, проте </w:t>
      </w:r>
      <w:r w:rsidR="0030517B" w:rsidRPr="00CA099F">
        <w:rPr>
          <w:rFonts w:eastAsia="Times New Roman" w:cs="Times New Roman"/>
          <w:sz w:val="28"/>
          <w:szCs w:val="28"/>
        </w:rPr>
        <w:lastRenderedPageBreak/>
        <w:t xml:space="preserve">максимальне зниження вільнорадикальних процесів відмічено у пацієнтів, яким під час оперативного втручання введено PRF-згусток, а на післяопераційному етапі застосовано </w:t>
      </w:r>
      <w:r w:rsidR="009A789C">
        <w:rPr>
          <w:rFonts w:eastAsia="Times New Roman" w:cs="Times New Roman"/>
          <w:sz w:val="28"/>
          <w:szCs w:val="28"/>
        </w:rPr>
        <w:t>церулоплазмін</w:t>
      </w:r>
      <w:r w:rsidR="0030517B" w:rsidRPr="00CA099F">
        <w:rPr>
          <w:rFonts w:eastAsia="Times New Roman" w:cs="Times New Roman"/>
          <w:sz w:val="28"/>
          <w:szCs w:val="28"/>
        </w:rPr>
        <w:t>.</w:t>
      </w:r>
    </w:p>
    <w:p w:rsidR="0030517B" w:rsidRPr="00CA099F" w:rsidRDefault="00150FDA" w:rsidP="0030517B">
      <w:pPr>
        <w:spacing w:after="0" w:line="360" w:lineRule="auto"/>
        <w:jc w:val="both"/>
        <w:rPr>
          <w:rFonts w:eastAsia="Times New Roman" w:cs="Times New Roman"/>
          <w:sz w:val="28"/>
          <w:szCs w:val="28"/>
        </w:rPr>
      </w:pPr>
      <w:r>
        <w:rPr>
          <w:rFonts w:eastAsia="Times New Roman" w:cs="Times New Roman"/>
          <w:sz w:val="28"/>
          <w:szCs w:val="28"/>
        </w:rPr>
        <w:tab/>
      </w:r>
      <w:r w:rsidR="0030517B" w:rsidRPr="00CA099F">
        <w:rPr>
          <w:rFonts w:eastAsia="Times New Roman" w:cs="Times New Roman"/>
          <w:sz w:val="28"/>
          <w:szCs w:val="28"/>
        </w:rPr>
        <w:t>Будь-яке запалення разом з місцевим характером ушкодження є системною реакцією, яка зум</w:t>
      </w:r>
      <w:r w:rsidR="00393EA1">
        <w:rPr>
          <w:rFonts w:eastAsia="Times New Roman" w:cs="Times New Roman"/>
          <w:sz w:val="28"/>
          <w:szCs w:val="28"/>
        </w:rPr>
        <w:t>овлює накопичення продуктів пер</w:t>
      </w:r>
      <w:r w:rsidR="00393EA1" w:rsidRPr="00393EA1">
        <w:rPr>
          <w:rFonts w:eastAsia="Times New Roman" w:cs="Times New Roman"/>
          <w:sz w:val="28"/>
          <w:szCs w:val="28"/>
        </w:rPr>
        <w:t>е</w:t>
      </w:r>
      <w:r w:rsidR="0030517B" w:rsidRPr="00CA099F">
        <w:rPr>
          <w:rFonts w:eastAsia="Times New Roman" w:cs="Times New Roman"/>
          <w:sz w:val="28"/>
          <w:szCs w:val="28"/>
        </w:rPr>
        <w:t>ки</w:t>
      </w:r>
      <w:r w:rsidR="00393EA1" w:rsidRPr="00393EA1">
        <w:rPr>
          <w:rFonts w:eastAsia="Times New Roman" w:cs="Times New Roman"/>
          <w:sz w:val="28"/>
          <w:szCs w:val="28"/>
        </w:rPr>
        <w:t>с</w:t>
      </w:r>
      <w:r w:rsidR="0030517B" w:rsidRPr="00CA099F">
        <w:rPr>
          <w:rFonts w:eastAsia="Times New Roman" w:cs="Times New Roman"/>
          <w:sz w:val="28"/>
          <w:szCs w:val="28"/>
        </w:rPr>
        <w:t xml:space="preserve">ного окиснення ліпідів, які підсилюють запальний процес та порушують процеси репарації. Встановлено, що вміст РНК у першій і другій дослідних групах був достовірно </w:t>
      </w:r>
      <w:r w:rsidR="00393EA1">
        <w:rPr>
          <w:rFonts w:eastAsia="Times New Roman" w:cs="Times New Roman"/>
          <w:sz w:val="28"/>
          <w:szCs w:val="28"/>
        </w:rPr>
        <w:t>вищий, відповідно, через 3 на 37,3% і 73,0 %</w:t>
      </w:r>
      <w:r w:rsidR="00393EA1" w:rsidRPr="00393EA1">
        <w:rPr>
          <w:rFonts w:eastAsia="Times New Roman" w:cs="Times New Roman"/>
          <w:sz w:val="28"/>
          <w:szCs w:val="28"/>
        </w:rPr>
        <w:t>,</w:t>
      </w:r>
      <w:r w:rsidR="00393EA1">
        <w:rPr>
          <w:rFonts w:eastAsia="Times New Roman" w:cs="Times New Roman"/>
          <w:sz w:val="28"/>
          <w:szCs w:val="28"/>
        </w:rPr>
        <w:t xml:space="preserve"> і 6 місяців </w:t>
      </w:r>
      <w:r w:rsidR="00393EA1" w:rsidRPr="00393EA1">
        <w:rPr>
          <w:rFonts w:eastAsia="Times New Roman" w:cs="Times New Roman"/>
          <w:sz w:val="28"/>
          <w:szCs w:val="28"/>
        </w:rPr>
        <w:t xml:space="preserve">– </w:t>
      </w:r>
      <w:r w:rsidR="0030517B" w:rsidRPr="00CA099F">
        <w:rPr>
          <w:rFonts w:eastAsia="Times New Roman" w:cs="Times New Roman"/>
          <w:sz w:val="28"/>
          <w:szCs w:val="28"/>
        </w:rPr>
        <w:t>на 11,4 % і 20,8 %, порівняно з даними контрольної групи пацієнтів (</w:t>
      </w:r>
      <w:r w:rsidR="0030517B" w:rsidRPr="00CA099F">
        <w:rPr>
          <w:rFonts w:eastAsia="Times New Roman" w:cs="Times New Roman"/>
          <w:color w:val="000000"/>
          <w:sz w:val="28"/>
          <w:szCs w:val="28"/>
        </w:rPr>
        <w:t>р</w:t>
      </w:r>
      <w:r w:rsidR="0030517B" w:rsidRPr="00CA099F">
        <w:rPr>
          <w:rFonts w:eastAsia="Times New Roman" w:cs="Times New Roman"/>
          <w:color w:val="000000"/>
          <w:sz w:val="28"/>
          <w:szCs w:val="28"/>
          <w:vertAlign w:val="subscript"/>
        </w:rPr>
        <w:t>1</w:t>
      </w:r>
      <w:r w:rsidR="0030517B" w:rsidRPr="00CA099F">
        <w:rPr>
          <w:rFonts w:eastAsia="Times New Roman" w:cs="Times New Roman"/>
          <w:color w:val="000000"/>
          <w:sz w:val="28"/>
          <w:szCs w:val="28"/>
        </w:rPr>
        <w:t>&lt;0,01</w:t>
      </w:r>
      <w:r w:rsidR="0030517B" w:rsidRPr="00CA099F">
        <w:rPr>
          <w:rFonts w:eastAsia="Times New Roman" w:cs="Times New Roman"/>
          <w:sz w:val="28"/>
          <w:szCs w:val="28"/>
        </w:rPr>
        <w:t>). Через 9 і 12 місяців рівень РНК у гомогенаті шкіри пацієнтів з різними видами інтра- та післяопераційної профілактики патологічних рубців шкіри при хірургічному лікуванні кіст шиї ембріонального походження статистично значимо не відрізнявся від показників групи порівняння (табл. 3.3 і 3.4). Слід зазначити, що у другій дослідній групі максимально регенераторні процеси проходили перші 3 місяці після оперативного втручання.</w:t>
      </w:r>
    </w:p>
    <w:p w:rsidR="0030517B" w:rsidRPr="00CA099F" w:rsidRDefault="00150FDA" w:rsidP="0030517B">
      <w:pPr>
        <w:spacing w:after="0" w:line="360" w:lineRule="auto"/>
        <w:jc w:val="both"/>
        <w:rPr>
          <w:rFonts w:eastAsia="Times New Roman" w:cs="Times New Roman"/>
          <w:sz w:val="28"/>
          <w:szCs w:val="28"/>
        </w:rPr>
      </w:pPr>
      <w:r>
        <w:rPr>
          <w:rFonts w:eastAsia="Times New Roman" w:cs="Times New Roman"/>
          <w:sz w:val="28"/>
          <w:szCs w:val="28"/>
        </w:rPr>
        <w:tab/>
      </w:r>
      <w:r w:rsidR="0030517B" w:rsidRPr="00CA099F">
        <w:rPr>
          <w:rFonts w:eastAsia="Times New Roman" w:cs="Times New Roman"/>
          <w:sz w:val="28"/>
          <w:szCs w:val="28"/>
        </w:rPr>
        <w:t>Аналіз отриманих результатів показав зростання вмісту ДНК через 3 місяці у першій дослідній групі на 41,9 %, стосовно групи порівняння у цей термін (</w:t>
      </w:r>
      <w:r w:rsidR="0030517B" w:rsidRPr="00CA099F">
        <w:rPr>
          <w:rFonts w:eastAsia="Times New Roman" w:cs="Times New Roman"/>
          <w:color w:val="000000"/>
          <w:sz w:val="28"/>
          <w:szCs w:val="28"/>
        </w:rPr>
        <w:t xml:space="preserve">р&lt;0,01). Слід зазначити, що </w:t>
      </w:r>
      <w:r w:rsidR="0030517B" w:rsidRPr="00CA099F">
        <w:rPr>
          <w:rFonts w:eastAsia="Times New Roman" w:cs="Times New Roman"/>
          <w:sz w:val="28"/>
          <w:szCs w:val="28"/>
        </w:rPr>
        <w:t>введення PRF-згустка під час хірургічного лікування кіст шиї ембріонального походження характеризувалось найвищими значеннями вмісту ДНК через 3 місяці, тоді як вже через 6 місяців рівень досліджуваного показника був на 17,20 % нижчий даних через 3 місяці (табл. 5.5).</w:t>
      </w:r>
    </w:p>
    <w:p w:rsidR="0030517B" w:rsidRPr="00CA099F" w:rsidRDefault="0030517B" w:rsidP="0030517B">
      <w:pPr>
        <w:spacing w:after="0" w:line="360" w:lineRule="auto"/>
        <w:jc w:val="both"/>
        <w:rPr>
          <w:rFonts w:eastAsia="Times New Roman" w:cs="Times New Roman"/>
          <w:b/>
          <w:sz w:val="28"/>
          <w:szCs w:val="28"/>
        </w:rPr>
      </w:pPr>
    </w:p>
    <w:p w:rsidR="0030517B" w:rsidRPr="00A46C15" w:rsidRDefault="0030517B" w:rsidP="0030517B">
      <w:pPr>
        <w:spacing w:after="0" w:line="360" w:lineRule="auto"/>
        <w:jc w:val="both"/>
        <w:rPr>
          <w:rFonts w:eastAsia="Times New Roman" w:cs="Times New Roman"/>
          <w:b/>
          <w:sz w:val="28"/>
          <w:szCs w:val="28"/>
        </w:rPr>
      </w:pPr>
      <w:r w:rsidRPr="00EF5D25">
        <w:rPr>
          <w:rFonts w:eastAsia="Times New Roman" w:cs="Times New Roman"/>
          <w:b/>
          <w:sz w:val="28"/>
          <w:szCs w:val="28"/>
        </w:rPr>
        <w:t>5.4 Динаміка змін показників регенераторних процесів</w:t>
      </w:r>
    </w:p>
    <w:p w:rsidR="0030517B" w:rsidRPr="00CA099F" w:rsidRDefault="0030517B" w:rsidP="0030517B">
      <w:pPr>
        <w:spacing w:after="0" w:line="360" w:lineRule="auto"/>
        <w:jc w:val="both"/>
        <w:rPr>
          <w:rFonts w:eastAsia="Times New Roman" w:cs="Times New Roman"/>
          <w:sz w:val="28"/>
          <w:szCs w:val="28"/>
        </w:rPr>
      </w:pPr>
    </w:p>
    <w:p w:rsidR="0030517B" w:rsidRPr="00CA099F" w:rsidRDefault="00150FDA" w:rsidP="0030517B">
      <w:pPr>
        <w:spacing w:after="0" w:line="360" w:lineRule="auto"/>
        <w:jc w:val="both"/>
        <w:rPr>
          <w:rFonts w:eastAsia="Times New Roman" w:cs="Times New Roman"/>
          <w:sz w:val="28"/>
          <w:szCs w:val="28"/>
        </w:rPr>
      </w:pPr>
      <w:r>
        <w:rPr>
          <w:rFonts w:eastAsia="Times New Roman" w:cs="Times New Roman"/>
          <w:sz w:val="28"/>
          <w:szCs w:val="28"/>
        </w:rPr>
        <w:tab/>
      </w:r>
      <w:r w:rsidR="0030517B" w:rsidRPr="00CA099F">
        <w:rPr>
          <w:rFonts w:eastAsia="Times New Roman" w:cs="Times New Roman"/>
          <w:sz w:val="28"/>
          <w:szCs w:val="28"/>
        </w:rPr>
        <w:t>Показники регенераторних процесів у гомогенаті шкіри за умови використання PRF-зг</w:t>
      </w:r>
      <w:r w:rsidR="00C05B9D">
        <w:rPr>
          <w:rFonts w:eastAsia="Times New Roman" w:cs="Times New Roman"/>
          <w:sz w:val="28"/>
          <w:szCs w:val="28"/>
        </w:rPr>
        <w:t>устка та церулоплазміну вказу</w:t>
      </w:r>
      <w:r w:rsidR="00C05B9D" w:rsidRPr="00E56627">
        <w:rPr>
          <w:rFonts w:eastAsia="Times New Roman" w:cs="Times New Roman"/>
          <w:sz w:val="28"/>
          <w:szCs w:val="28"/>
        </w:rPr>
        <w:t>вали</w:t>
      </w:r>
      <w:r w:rsidR="0030517B" w:rsidRPr="00CA099F">
        <w:rPr>
          <w:rFonts w:eastAsia="Times New Roman" w:cs="Times New Roman"/>
          <w:sz w:val="28"/>
          <w:szCs w:val="28"/>
        </w:rPr>
        <w:t xml:space="preserve"> на достовірне зростання рівня ДНК через 3 місяці на 75,1 %, через 6 – на 31,9 % і через 9 місяців – на 10,2 %, порівняно з даними 3-ої групи (табл. 5.5). Слід зазначити, що вміст ДНК зменшувався у часовому проміжку, зокрема, через 6 місяців – </w:t>
      </w:r>
      <w:r w:rsidR="0030517B" w:rsidRPr="00CA099F">
        <w:rPr>
          <w:rFonts w:eastAsia="Times New Roman" w:cs="Times New Roman"/>
          <w:sz w:val="28"/>
          <w:szCs w:val="28"/>
        </w:rPr>
        <w:lastRenderedPageBreak/>
        <w:t xml:space="preserve">на 12,1 %, через 9 місяців – на 16,1 % і через 12 місяців – на 6,6 %, відповідно даних 3-ої групи. </w:t>
      </w:r>
    </w:p>
    <w:p w:rsidR="0030517B" w:rsidRDefault="0030517B" w:rsidP="00C05B9D">
      <w:pPr>
        <w:spacing w:after="0" w:line="360" w:lineRule="auto"/>
        <w:ind w:firstLine="709"/>
        <w:jc w:val="both"/>
        <w:rPr>
          <w:rFonts w:eastAsia="Times New Roman" w:cs="Times New Roman"/>
          <w:sz w:val="28"/>
          <w:szCs w:val="28"/>
        </w:rPr>
      </w:pPr>
      <w:r w:rsidRPr="00CA099F">
        <w:rPr>
          <w:rFonts w:eastAsia="Times New Roman" w:cs="Times New Roman"/>
          <w:sz w:val="28"/>
          <w:szCs w:val="28"/>
        </w:rPr>
        <w:t>Порівнюючи отримані результати з різними видами інтра- та післяопераційної профілактики патологічних рубців шкіри при хірургічному лікуванні кіст шиї ембріонального походження, можна говорити про активний перебіг регенераторних процесів в ушкодженій шкірі, який найбільш вираженіший був через 3 місяці спостереження при застосуванні PRF-згустка і церулоплазміну (табл. 5.5 і 5.6).</w:t>
      </w:r>
    </w:p>
    <w:p w:rsidR="00C76B4A" w:rsidRPr="00CA099F" w:rsidRDefault="00C76B4A" w:rsidP="00C05B9D">
      <w:pPr>
        <w:spacing w:after="0" w:line="360" w:lineRule="auto"/>
        <w:ind w:firstLine="709"/>
        <w:jc w:val="both"/>
        <w:rPr>
          <w:rFonts w:eastAsia="Times New Roman" w:cs="Times New Roman"/>
          <w:sz w:val="28"/>
          <w:szCs w:val="28"/>
        </w:rPr>
      </w:pPr>
    </w:p>
    <w:p w:rsidR="0030517B" w:rsidRPr="00CA099F" w:rsidRDefault="0030517B" w:rsidP="0030517B">
      <w:pPr>
        <w:spacing w:after="0" w:line="360" w:lineRule="auto"/>
        <w:jc w:val="right"/>
        <w:rPr>
          <w:rFonts w:eastAsia="Times New Roman" w:cs="Times New Roman"/>
          <w:i/>
          <w:sz w:val="28"/>
          <w:szCs w:val="28"/>
        </w:rPr>
      </w:pPr>
      <w:r w:rsidRPr="00CA099F">
        <w:rPr>
          <w:rFonts w:eastAsia="Times New Roman" w:cs="Times New Roman"/>
          <w:i/>
          <w:sz w:val="28"/>
          <w:szCs w:val="28"/>
        </w:rPr>
        <w:t>Таблиця 5.5</w:t>
      </w:r>
    </w:p>
    <w:p w:rsidR="0030517B" w:rsidRPr="00CA099F" w:rsidRDefault="0030517B" w:rsidP="0030517B">
      <w:pPr>
        <w:spacing w:after="0" w:line="360" w:lineRule="auto"/>
        <w:jc w:val="center"/>
        <w:rPr>
          <w:rFonts w:ascii="Calibri" w:eastAsia="Times New Roman" w:hAnsi="Calibri" w:cs="Times New Roman"/>
          <w:sz w:val="22"/>
        </w:rPr>
      </w:pPr>
      <w:r w:rsidRPr="00CA099F">
        <w:rPr>
          <w:rFonts w:eastAsia="Times New Roman" w:cs="Times New Roman"/>
          <w:sz w:val="28"/>
          <w:szCs w:val="28"/>
        </w:rPr>
        <w:t>Показники регенераторних процесів у гомогенаті шкіри за умови використання PRF-згустка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98"/>
        <w:gridCol w:w="1106"/>
        <w:gridCol w:w="994"/>
        <w:gridCol w:w="1060"/>
        <w:gridCol w:w="1151"/>
        <w:gridCol w:w="1060"/>
        <w:gridCol w:w="1060"/>
        <w:gridCol w:w="1060"/>
        <w:gridCol w:w="1056"/>
      </w:tblGrid>
      <w:tr w:rsidR="0030517B" w:rsidRPr="00CA099F" w:rsidTr="00E1448E">
        <w:tc>
          <w:tcPr>
            <w:tcW w:w="427" w:type="pct"/>
            <w:vMerge w:val="restart"/>
            <w:vAlign w:val="center"/>
          </w:tcPr>
          <w:p w:rsidR="0030517B" w:rsidRPr="00CA099F" w:rsidRDefault="0030517B" w:rsidP="00E1448E">
            <w:pPr>
              <w:spacing w:after="0" w:line="240" w:lineRule="auto"/>
              <w:jc w:val="center"/>
              <w:rPr>
                <w:rFonts w:eastAsia="Times New Roman" w:cs="Times New Roman"/>
                <w:sz w:val="18"/>
                <w:szCs w:val="18"/>
              </w:rPr>
            </w:pPr>
            <w:r w:rsidRPr="00CA099F">
              <w:rPr>
                <w:rFonts w:eastAsia="Times New Roman" w:cs="Times New Roman"/>
                <w:sz w:val="18"/>
                <w:szCs w:val="18"/>
              </w:rPr>
              <w:t>Показ-ник</w:t>
            </w:r>
          </w:p>
        </w:tc>
        <w:tc>
          <w:tcPr>
            <w:tcW w:w="1124" w:type="pct"/>
            <w:gridSpan w:val="2"/>
          </w:tcPr>
          <w:p w:rsidR="0030517B" w:rsidRPr="00CA099F" w:rsidRDefault="0030517B" w:rsidP="00E1448E">
            <w:pPr>
              <w:spacing w:after="0" w:line="240" w:lineRule="auto"/>
              <w:jc w:val="center"/>
              <w:rPr>
                <w:rFonts w:eastAsia="Times New Roman" w:cs="Times New Roman"/>
                <w:szCs w:val="28"/>
              </w:rPr>
            </w:pPr>
            <w:r w:rsidRPr="00CA099F">
              <w:rPr>
                <w:rFonts w:eastAsia="Times New Roman" w:cs="Times New Roman"/>
                <w:sz w:val="28"/>
                <w:szCs w:val="28"/>
              </w:rPr>
              <w:t>3 місяці</w:t>
            </w:r>
          </w:p>
        </w:tc>
        <w:tc>
          <w:tcPr>
            <w:tcW w:w="1183" w:type="pct"/>
            <w:gridSpan w:val="2"/>
          </w:tcPr>
          <w:p w:rsidR="0030517B" w:rsidRPr="00CA099F" w:rsidRDefault="0030517B" w:rsidP="00E1448E">
            <w:pPr>
              <w:spacing w:after="0" w:line="240" w:lineRule="auto"/>
              <w:jc w:val="center"/>
              <w:rPr>
                <w:rFonts w:eastAsia="Times New Roman" w:cs="Times New Roman"/>
                <w:szCs w:val="28"/>
              </w:rPr>
            </w:pPr>
            <w:r w:rsidRPr="00CA099F">
              <w:rPr>
                <w:rFonts w:eastAsia="Times New Roman" w:cs="Times New Roman"/>
                <w:sz w:val="28"/>
                <w:szCs w:val="28"/>
              </w:rPr>
              <w:t>6 місяців</w:t>
            </w:r>
          </w:p>
        </w:tc>
        <w:tc>
          <w:tcPr>
            <w:tcW w:w="1134" w:type="pct"/>
            <w:gridSpan w:val="2"/>
          </w:tcPr>
          <w:p w:rsidR="0030517B" w:rsidRPr="00CA099F" w:rsidRDefault="0030517B" w:rsidP="00E1448E">
            <w:pPr>
              <w:spacing w:after="0" w:line="240" w:lineRule="auto"/>
              <w:jc w:val="center"/>
              <w:rPr>
                <w:rFonts w:eastAsia="Times New Roman" w:cs="Times New Roman"/>
                <w:szCs w:val="28"/>
              </w:rPr>
            </w:pPr>
            <w:r w:rsidRPr="00CA099F">
              <w:rPr>
                <w:rFonts w:eastAsia="Times New Roman" w:cs="Times New Roman"/>
                <w:sz w:val="28"/>
                <w:szCs w:val="28"/>
              </w:rPr>
              <w:t>9 місяців</w:t>
            </w:r>
          </w:p>
        </w:tc>
        <w:tc>
          <w:tcPr>
            <w:tcW w:w="1132" w:type="pct"/>
            <w:gridSpan w:val="2"/>
          </w:tcPr>
          <w:p w:rsidR="0030517B" w:rsidRPr="00CA099F" w:rsidRDefault="0030517B" w:rsidP="00E1448E">
            <w:pPr>
              <w:spacing w:after="0" w:line="240" w:lineRule="auto"/>
              <w:jc w:val="center"/>
              <w:rPr>
                <w:rFonts w:eastAsia="Times New Roman" w:cs="Times New Roman"/>
                <w:szCs w:val="28"/>
              </w:rPr>
            </w:pPr>
            <w:r w:rsidRPr="00CA099F">
              <w:rPr>
                <w:rFonts w:eastAsia="Times New Roman" w:cs="Times New Roman"/>
                <w:sz w:val="28"/>
                <w:szCs w:val="28"/>
              </w:rPr>
              <w:t>12 місяців</w:t>
            </w:r>
          </w:p>
        </w:tc>
      </w:tr>
      <w:tr w:rsidR="0030517B" w:rsidRPr="00CA099F" w:rsidTr="00E1448E">
        <w:tc>
          <w:tcPr>
            <w:tcW w:w="427" w:type="pct"/>
            <w:vMerge/>
          </w:tcPr>
          <w:p w:rsidR="0030517B" w:rsidRPr="00CA099F" w:rsidRDefault="0030517B" w:rsidP="00E1448E">
            <w:pPr>
              <w:spacing w:after="0" w:line="240" w:lineRule="auto"/>
              <w:jc w:val="center"/>
              <w:rPr>
                <w:rFonts w:eastAsia="Times New Roman" w:cs="Times New Roman"/>
                <w:szCs w:val="28"/>
              </w:rPr>
            </w:pPr>
          </w:p>
        </w:tc>
        <w:tc>
          <w:tcPr>
            <w:tcW w:w="592" w:type="pct"/>
          </w:tcPr>
          <w:p w:rsidR="0030517B" w:rsidRPr="00CA099F" w:rsidRDefault="0030517B" w:rsidP="00E1448E">
            <w:pPr>
              <w:spacing w:after="0"/>
              <w:ind w:right="-87"/>
              <w:jc w:val="center"/>
              <w:rPr>
                <w:rFonts w:eastAsia="Times New Roman" w:cs="Times New Roman"/>
                <w:szCs w:val="28"/>
              </w:rPr>
            </w:pPr>
            <w:r w:rsidRPr="00CA099F">
              <w:rPr>
                <w:rFonts w:eastAsia="Times New Roman" w:cs="Times New Roman"/>
                <w:sz w:val="28"/>
                <w:szCs w:val="28"/>
              </w:rPr>
              <w:t xml:space="preserve">Група </w:t>
            </w:r>
            <w:r w:rsidRPr="00CA099F">
              <w:rPr>
                <w:rFonts w:eastAsia="Times New Roman" w:cs="Times New Roman"/>
                <w:sz w:val="26"/>
                <w:szCs w:val="26"/>
              </w:rPr>
              <w:t>контролю</w:t>
            </w:r>
            <w:r w:rsidR="00150FDA">
              <w:rPr>
                <w:rFonts w:eastAsia="Times New Roman" w:cs="Times New Roman"/>
                <w:sz w:val="26"/>
                <w:szCs w:val="26"/>
              </w:rPr>
              <w:t xml:space="preserve"> </w:t>
            </w:r>
            <w:r w:rsidR="00150FDA">
              <w:rPr>
                <w:rFonts w:eastAsia="Times New Roman" w:cs="Times New Roman"/>
                <w:szCs w:val="24"/>
              </w:rPr>
              <w:t>(</w:t>
            </w:r>
            <w:r w:rsidR="00150FDA">
              <w:rPr>
                <w:rFonts w:eastAsia="Times New Roman" w:cs="Times New Roman"/>
                <w:szCs w:val="24"/>
                <w:lang w:val="en-US"/>
              </w:rPr>
              <w:t>n=20</w:t>
            </w:r>
            <w:r w:rsidR="00150FDA">
              <w:rPr>
                <w:rFonts w:eastAsia="Times New Roman" w:cs="Times New Roman"/>
                <w:szCs w:val="24"/>
              </w:rPr>
              <w:t>)</w:t>
            </w:r>
          </w:p>
        </w:tc>
        <w:tc>
          <w:tcPr>
            <w:tcW w:w="532" w:type="pct"/>
          </w:tcPr>
          <w:p w:rsidR="0030517B" w:rsidRDefault="0030517B" w:rsidP="00E1448E">
            <w:pPr>
              <w:spacing w:after="0"/>
              <w:ind w:right="-87"/>
              <w:jc w:val="center"/>
              <w:rPr>
                <w:rFonts w:eastAsia="Times New Roman" w:cs="Times New Roman"/>
                <w:szCs w:val="28"/>
              </w:rPr>
            </w:pPr>
            <w:r w:rsidRPr="00CA099F">
              <w:rPr>
                <w:rFonts w:eastAsia="Times New Roman" w:cs="Times New Roman"/>
                <w:sz w:val="28"/>
                <w:szCs w:val="28"/>
              </w:rPr>
              <w:t>1 група</w:t>
            </w:r>
          </w:p>
          <w:p w:rsidR="00150FDA" w:rsidRPr="00CA099F" w:rsidRDefault="00150FDA" w:rsidP="00E1448E">
            <w:pPr>
              <w:spacing w:after="0"/>
              <w:ind w:right="-87"/>
              <w:jc w:val="center"/>
              <w:rPr>
                <w:rFonts w:eastAsia="Times New Roman" w:cs="Times New Roman"/>
                <w:szCs w:val="28"/>
              </w:rPr>
            </w:pPr>
            <w:r>
              <w:rPr>
                <w:rFonts w:eastAsia="Times New Roman" w:cs="Times New Roman"/>
                <w:szCs w:val="24"/>
              </w:rPr>
              <w:t>(</w:t>
            </w:r>
            <w:r>
              <w:rPr>
                <w:rFonts w:eastAsia="Times New Roman" w:cs="Times New Roman"/>
                <w:szCs w:val="24"/>
                <w:lang w:val="en-US"/>
              </w:rPr>
              <w:t>n=20</w:t>
            </w:r>
            <w:r>
              <w:rPr>
                <w:rFonts w:eastAsia="Times New Roman" w:cs="Times New Roman"/>
                <w:szCs w:val="24"/>
              </w:rPr>
              <w:t>)</w:t>
            </w:r>
          </w:p>
        </w:tc>
        <w:tc>
          <w:tcPr>
            <w:tcW w:w="567" w:type="pct"/>
          </w:tcPr>
          <w:p w:rsidR="0030517B" w:rsidRPr="00CA099F" w:rsidRDefault="0030517B" w:rsidP="00E1448E">
            <w:pPr>
              <w:spacing w:after="0"/>
              <w:ind w:right="-87"/>
              <w:jc w:val="center"/>
              <w:rPr>
                <w:rFonts w:eastAsia="Times New Roman" w:cs="Times New Roman"/>
                <w:szCs w:val="28"/>
              </w:rPr>
            </w:pPr>
            <w:r w:rsidRPr="00CA099F">
              <w:rPr>
                <w:rFonts w:eastAsia="Times New Roman" w:cs="Times New Roman"/>
                <w:sz w:val="28"/>
                <w:szCs w:val="28"/>
              </w:rPr>
              <w:t xml:space="preserve">Група </w:t>
            </w:r>
            <w:r w:rsidRPr="00CA099F">
              <w:rPr>
                <w:rFonts w:eastAsia="Times New Roman" w:cs="Times New Roman"/>
                <w:szCs w:val="24"/>
              </w:rPr>
              <w:t>контролю</w:t>
            </w:r>
            <w:r w:rsidR="00150FDA">
              <w:rPr>
                <w:rFonts w:eastAsia="Times New Roman" w:cs="Times New Roman"/>
                <w:szCs w:val="24"/>
              </w:rPr>
              <w:t xml:space="preserve"> (</w:t>
            </w:r>
            <w:r w:rsidR="00150FDA">
              <w:rPr>
                <w:rFonts w:eastAsia="Times New Roman" w:cs="Times New Roman"/>
                <w:szCs w:val="24"/>
                <w:lang w:val="en-US"/>
              </w:rPr>
              <w:t>n=20</w:t>
            </w:r>
            <w:r w:rsidR="00150FDA">
              <w:rPr>
                <w:rFonts w:eastAsia="Times New Roman" w:cs="Times New Roman"/>
                <w:szCs w:val="24"/>
              </w:rPr>
              <w:t>)</w:t>
            </w:r>
          </w:p>
        </w:tc>
        <w:tc>
          <w:tcPr>
            <w:tcW w:w="616" w:type="pct"/>
          </w:tcPr>
          <w:p w:rsidR="0030517B" w:rsidRDefault="0030517B" w:rsidP="00E1448E">
            <w:pPr>
              <w:spacing w:after="0"/>
              <w:ind w:right="-87"/>
              <w:jc w:val="center"/>
              <w:rPr>
                <w:rFonts w:eastAsia="Times New Roman" w:cs="Times New Roman"/>
                <w:szCs w:val="28"/>
              </w:rPr>
            </w:pPr>
            <w:r w:rsidRPr="00CA099F">
              <w:rPr>
                <w:rFonts w:eastAsia="Times New Roman" w:cs="Times New Roman"/>
                <w:sz w:val="28"/>
                <w:szCs w:val="28"/>
              </w:rPr>
              <w:t>1 група</w:t>
            </w:r>
          </w:p>
          <w:p w:rsidR="00150FDA" w:rsidRPr="00CA099F" w:rsidRDefault="00150FDA" w:rsidP="00E1448E">
            <w:pPr>
              <w:spacing w:after="0"/>
              <w:ind w:right="-87"/>
              <w:jc w:val="center"/>
              <w:rPr>
                <w:rFonts w:eastAsia="Times New Roman" w:cs="Times New Roman"/>
                <w:szCs w:val="28"/>
              </w:rPr>
            </w:pPr>
            <w:r>
              <w:rPr>
                <w:rFonts w:eastAsia="Times New Roman" w:cs="Times New Roman"/>
                <w:szCs w:val="24"/>
              </w:rPr>
              <w:t>(</w:t>
            </w:r>
            <w:r>
              <w:rPr>
                <w:rFonts w:eastAsia="Times New Roman" w:cs="Times New Roman"/>
                <w:szCs w:val="24"/>
                <w:lang w:val="en-US"/>
              </w:rPr>
              <w:t>n=20</w:t>
            </w:r>
            <w:r>
              <w:rPr>
                <w:rFonts w:eastAsia="Times New Roman" w:cs="Times New Roman"/>
                <w:szCs w:val="24"/>
              </w:rPr>
              <w:t>)</w:t>
            </w:r>
          </w:p>
        </w:tc>
        <w:tc>
          <w:tcPr>
            <w:tcW w:w="567" w:type="pct"/>
          </w:tcPr>
          <w:p w:rsidR="0030517B" w:rsidRPr="00CA099F" w:rsidRDefault="0030517B" w:rsidP="00E1448E">
            <w:pPr>
              <w:spacing w:after="0"/>
              <w:ind w:right="-87"/>
              <w:jc w:val="center"/>
              <w:rPr>
                <w:rFonts w:eastAsia="Times New Roman" w:cs="Times New Roman"/>
                <w:szCs w:val="28"/>
              </w:rPr>
            </w:pPr>
            <w:r w:rsidRPr="00CA099F">
              <w:rPr>
                <w:rFonts w:eastAsia="Times New Roman" w:cs="Times New Roman"/>
                <w:sz w:val="28"/>
                <w:szCs w:val="28"/>
              </w:rPr>
              <w:t xml:space="preserve">Група </w:t>
            </w:r>
            <w:r w:rsidRPr="00CA099F">
              <w:rPr>
                <w:rFonts w:eastAsia="Times New Roman" w:cs="Times New Roman"/>
                <w:szCs w:val="24"/>
              </w:rPr>
              <w:t>контролю</w:t>
            </w:r>
            <w:r w:rsidR="00150FDA">
              <w:rPr>
                <w:rFonts w:eastAsia="Times New Roman" w:cs="Times New Roman"/>
                <w:szCs w:val="24"/>
              </w:rPr>
              <w:t xml:space="preserve"> (</w:t>
            </w:r>
            <w:r w:rsidR="00150FDA">
              <w:rPr>
                <w:rFonts w:eastAsia="Times New Roman" w:cs="Times New Roman"/>
                <w:szCs w:val="24"/>
                <w:lang w:val="en-US"/>
              </w:rPr>
              <w:t>n=20</w:t>
            </w:r>
            <w:r w:rsidR="00150FDA">
              <w:rPr>
                <w:rFonts w:eastAsia="Times New Roman" w:cs="Times New Roman"/>
                <w:szCs w:val="24"/>
              </w:rPr>
              <w:t>)</w:t>
            </w:r>
          </w:p>
        </w:tc>
        <w:tc>
          <w:tcPr>
            <w:tcW w:w="567" w:type="pct"/>
          </w:tcPr>
          <w:p w:rsidR="0030517B" w:rsidRDefault="0030517B" w:rsidP="00E1448E">
            <w:pPr>
              <w:spacing w:after="0"/>
              <w:ind w:right="-87"/>
              <w:jc w:val="center"/>
              <w:rPr>
                <w:rFonts w:eastAsia="Times New Roman" w:cs="Times New Roman"/>
                <w:szCs w:val="28"/>
              </w:rPr>
            </w:pPr>
            <w:r w:rsidRPr="00CA099F">
              <w:rPr>
                <w:rFonts w:eastAsia="Times New Roman" w:cs="Times New Roman"/>
                <w:sz w:val="28"/>
                <w:szCs w:val="28"/>
              </w:rPr>
              <w:t>1 група</w:t>
            </w:r>
          </w:p>
          <w:p w:rsidR="00150FDA" w:rsidRPr="00CA099F" w:rsidRDefault="00150FDA" w:rsidP="00E1448E">
            <w:pPr>
              <w:spacing w:after="0"/>
              <w:ind w:right="-87"/>
              <w:jc w:val="center"/>
              <w:rPr>
                <w:rFonts w:eastAsia="Times New Roman" w:cs="Times New Roman"/>
                <w:szCs w:val="28"/>
              </w:rPr>
            </w:pPr>
            <w:r>
              <w:rPr>
                <w:rFonts w:eastAsia="Times New Roman" w:cs="Times New Roman"/>
                <w:szCs w:val="24"/>
              </w:rPr>
              <w:t>(</w:t>
            </w:r>
            <w:r>
              <w:rPr>
                <w:rFonts w:eastAsia="Times New Roman" w:cs="Times New Roman"/>
                <w:szCs w:val="24"/>
                <w:lang w:val="en-US"/>
              </w:rPr>
              <w:t>n=20</w:t>
            </w:r>
            <w:r>
              <w:rPr>
                <w:rFonts w:eastAsia="Times New Roman" w:cs="Times New Roman"/>
                <w:szCs w:val="24"/>
              </w:rPr>
              <w:t>)</w:t>
            </w:r>
          </w:p>
        </w:tc>
        <w:tc>
          <w:tcPr>
            <w:tcW w:w="567" w:type="pct"/>
          </w:tcPr>
          <w:p w:rsidR="0030517B" w:rsidRPr="00CA099F" w:rsidRDefault="0030517B" w:rsidP="00E1448E">
            <w:pPr>
              <w:spacing w:after="0"/>
              <w:ind w:right="-87"/>
              <w:jc w:val="center"/>
              <w:rPr>
                <w:rFonts w:eastAsia="Times New Roman" w:cs="Times New Roman"/>
                <w:szCs w:val="28"/>
              </w:rPr>
            </w:pPr>
            <w:r w:rsidRPr="00CA099F">
              <w:rPr>
                <w:rFonts w:eastAsia="Times New Roman" w:cs="Times New Roman"/>
                <w:sz w:val="28"/>
                <w:szCs w:val="28"/>
              </w:rPr>
              <w:t xml:space="preserve">Група </w:t>
            </w:r>
            <w:r w:rsidRPr="00CA099F">
              <w:rPr>
                <w:rFonts w:eastAsia="Times New Roman" w:cs="Times New Roman"/>
                <w:szCs w:val="24"/>
              </w:rPr>
              <w:t>контролю</w:t>
            </w:r>
            <w:r w:rsidR="00150FDA">
              <w:rPr>
                <w:rFonts w:eastAsia="Times New Roman" w:cs="Times New Roman"/>
                <w:szCs w:val="24"/>
              </w:rPr>
              <w:t xml:space="preserve"> (</w:t>
            </w:r>
            <w:r w:rsidR="00150FDA">
              <w:rPr>
                <w:rFonts w:eastAsia="Times New Roman" w:cs="Times New Roman"/>
                <w:szCs w:val="24"/>
                <w:lang w:val="en-US"/>
              </w:rPr>
              <w:t>n=20</w:t>
            </w:r>
            <w:r w:rsidR="00150FDA">
              <w:rPr>
                <w:rFonts w:eastAsia="Times New Roman" w:cs="Times New Roman"/>
                <w:szCs w:val="24"/>
              </w:rPr>
              <w:t>)</w:t>
            </w:r>
          </w:p>
        </w:tc>
        <w:tc>
          <w:tcPr>
            <w:tcW w:w="565" w:type="pct"/>
          </w:tcPr>
          <w:p w:rsidR="0030517B" w:rsidRDefault="0030517B" w:rsidP="00E1448E">
            <w:pPr>
              <w:spacing w:after="0"/>
              <w:ind w:right="-87"/>
              <w:jc w:val="center"/>
              <w:rPr>
                <w:rFonts w:eastAsia="Times New Roman" w:cs="Times New Roman"/>
                <w:szCs w:val="28"/>
              </w:rPr>
            </w:pPr>
            <w:r w:rsidRPr="00CA099F">
              <w:rPr>
                <w:rFonts w:eastAsia="Times New Roman" w:cs="Times New Roman"/>
                <w:sz w:val="28"/>
                <w:szCs w:val="28"/>
              </w:rPr>
              <w:t>1 група</w:t>
            </w:r>
          </w:p>
          <w:p w:rsidR="00801EEF" w:rsidRPr="00CA099F" w:rsidRDefault="00801EEF" w:rsidP="00E1448E">
            <w:pPr>
              <w:spacing w:after="0"/>
              <w:ind w:right="-87"/>
              <w:jc w:val="center"/>
              <w:rPr>
                <w:rFonts w:eastAsia="Times New Roman" w:cs="Times New Roman"/>
                <w:szCs w:val="28"/>
              </w:rPr>
            </w:pPr>
            <w:r>
              <w:rPr>
                <w:rFonts w:eastAsia="Times New Roman" w:cs="Times New Roman"/>
                <w:szCs w:val="24"/>
              </w:rPr>
              <w:t>(</w:t>
            </w:r>
            <w:r>
              <w:rPr>
                <w:rFonts w:eastAsia="Times New Roman" w:cs="Times New Roman"/>
                <w:szCs w:val="24"/>
                <w:lang w:val="en-US"/>
              </w:rPr>
              <w:t>n=20</w:t>
            </w:r>
            <w:r>
              <w:rPr>
                <w:rFonts w:eastAsia="Times New Roman" w:cs="Times New Roman"/>
                <w:szCs w:val="24"/>
              </w:rPr>
              <w:t>)</w:t>
            </w:r>
          </w:p>
        </w:tc>
      </w:tr>
      <w:tr w:rsidR="0030517B" w:rsidRPr="00CA099F" w:rsidTr="00E1448E">
        <w:tc>
          <w:tcPr>
            <w:tcW w:w="427" w:type="pct"/>
          </w:tcPr>
          <w:p w:rsidR="0030517B" w:rsidRPr="00CA099F" w:rsidRDefault="0030517B" w:rsidP="00E1448E">
            <w:pPr>
              <w:spacing w:after="0" w:line="240" w:lineRule="auto"/>
              <w:ind w:right="-152"/>
              <w:jc w:val="center"/>
              <w:rPr>
                <w:rFonts w:eastAsia="Times New Roman" w:cs="Times New Roman"/>
                <w:szCs w:val="28"/>
              </w:rPr>
            </w:pPr>
            <w:r w:rsidRPr="00CA099F">
              <w:rPr>
                <w:rFonts w:eastAsia="Times New Roman" w:cs="Times New Roman"/>
                <w:sz w:val="28"/>
                <w:szCs w:val="28"/>
              </w:rPr>
              <w:t>РНК, мкг/мг</w:t>
            </w:r>
          </w:p>
        </w:tc>
        <w:tc>
          <w:tcPr>
            <w:tcW w:w="592" w:type="pct"/>
          </w:tcPr>
          <w:p w:rsidR="0030517B" w:rsidRPr="00CA099F" w:rsidRDefault="0030517B" w:rsidP="00E1448E">
            <w:pPr>
              <w:spacing w:after="0" w:line="240" w:lineRule="auto"/>
              <w:jc w:val="center"/>
              <w:rPr>
                <w:rFonts w:eastAsia="Times New Roman" w:cs="Times New Roman"/>
                <w:szCs w:val="28"/>
              </w:rPr>
            </w:pPr>
            <w:r w:rsidRPr="00CA099F">
              <w:rPr>
                <w:rFonts w:eastAsia="Times New Roman" w:cs="Times New Roman"/>
                <w:sz w:val="28"/>
                <w:szCs w:val="28"/>
              </w:rPr>
              <w:t>22,15±0,57</w:t>
            </w:r>
          </w:p>
        </w:tc>
        <w:tc>
          <w:tcPr>
            <w:tcW w:w="532" w:type="pct"/>
          </w:tcPr>
          <w:p w:rsidR="0030517B" w:rsidRPr="00CA099F" w:rsidRDefault="0030517B" w:rsidP="00E1448E">
            <w:pPr>
              <w:spacing w:after="0" w:line="240" w:lineRule="auto"/>
              <w:jc w:val="center"/>
              <w:rPr>
                <w:rFonts w:eastAsia="Times New Roman" w:cs="Times New Roman"/>
                <w:szCs w:val="28"/>
              </w:rPr>
            </w:pPr>
            <w:r w:rsidRPr="00CA099F">
              <w:rPr>
                <w:rFonts w:eastAsia="Times New Roman" w:cs="Times New Roman"/>
                <w:sz w:val="28"/>
                <w:szCs w:val="28"/>
              </w:rPr>
              <w:t>30,41±0,26*</w:t>
            </w:r>
          </w:p>
        </w:tc>
        <w:tc>
          <w:tcPr>
            <w:tcW w:w="567" w:type="pct"/>
          </w:tcPr>
          <w:p w:rsidR="0030517B" w:rsidRPr="00CA099F" w:rsidRDefault="0030517B" w:rsidP="00E1448E">
            <w:pPr>
              <w:spacing w:after="0" w:line="240" w:lineRule="auto"/>
              <w:jc w:val="center"/>
              <w:rPr>
                <w:rFonts w:eastAsia="Times New Roman" w:cs="Times New Roman"/>
                <w:szCs w:val="28"/>
              </w:rPr>
            </w:pPr>
            <w:r w:rsidRPr="00CA099F">
              <w:rPr>
                <w:rFonts w:eastAsia="Times New Roman" w:cs="Times New Roman"/>
                <w:sz w:val="28"/>
                <w:szCs w:val="28"/>
              </w:rPr>
              <w:t>26,41±0,57</w:t>
            </w:r>
          </w:p>
        </w:tc>
        <w:tc>
          <w:tcPr>
            <w:tcW w:w="616" w:type="pct"/>
          </w:tcPr>
          <w:p w:rsidR="0030517B" w:rsidRPr="00CA099F" w:rsidRDefault="0030517B" w:rsidP="00E1448E">
            <w:pPr>
              <w:spacing w:after="0" w:line="240" w:lineRule="auto"/>
              <w:jc w:val="center"/>
              <w:rPr>
                <w:rFonts w:eastAsia="Times New Roman" w:cs="Times New Roman"/>
                <w:szCs w:val="28"/>
              </w:rPr>
            </w:pPr>
            <w:r w:rsidRPr="00CA099F">
              <w:rPr>
                <w:rFonts w:eastAsia="Times New Roman" w:cs="Times New Roman"/>
                <w:sz w:val="28"/>
                <w:szCs w:val="28"/>
              </w:rPr>
              <w:t>29,41±</w:t>
            </w:r>
          </w:p>
          <w:p w:rsidR="0030517B" w:rsidRPr="00CA099F" w:rsidRDefault="0030517B" w:rsidP="00E1448E">
            <w:pPr>
              <w:spacing w:after="0" w:line="240" w:lineRule="auto"/>
              <w:jc w:val="center"/>
              <w:rPr>
                <w:rFonts w:eastAsia="Times New Roman" w:cs="Times New Roman"/>
                <w:szCs w:val="28"/>
              </w:rPr>
            </w:pPr>
            <w:r w:rsidRPr="00CA099F">
              <w:rPr>
                <w:rFonts w:eastAsia="Times New Roman" w:cs="Times New Roman"/>
                <w:sz w:val="28"/>
                <w:szCs w:val="28"/>
              </w:rPr>
              <w:t>0,38*</w:t>
            </w:r>
          </w:p>
        </w:tc>
        <w:tc>
          <w:tcPr>
            <w:tcW w:w="567" w:type="pct"/>
          </w:tcPr>
          <w:p w:rsidR="0030517B" w:rsidRPr="00CA099F" w:rsidRDefault="0030517B" w:rsidP="00E1448E">
            <w:pPr>
              <w:spacing w:after="0" w:line="240" w:lineRule="auto"/>
              <w:jc w:val="center"/>
              <w:rPr>
                <w:rFonts w:eastAsia="Times New Roman" w:cs="Times New Roman"/>
                <w:szCs w:val="28"/>
              </w:rPr>
            </w:pPr>
            <w:r w:rsidRPr="00CA099F">
              <w:rPr>
                <w:rFonts w:eastAsia="Times New Roman" w:cs="Times New Roman"/>
                <w:sz w:val="28"/>
                <w:szCs w:val="28"/>
              </w:rPr>
              <w:t>28,30±0,36</w:t>
            </w:r>
          </w:p>
        </w:tc>
        <w:tc>
          <w:tcPr>
            <w:tcW w:w="567" w:type="pct"/>
          </w:tcPr>
          <w:p w:rsidR="0030517B" w:rsidRPr="00CA099F" w:rsidRDefault="0030517B" w:rsidP="00E1448E">
            <w:pPr>
              <w:spacing w:after="0" w:line="240" w:lineRule="auto"/>
              <w:jc w:val="center"/>
              <w:rPr>
                <w:rFonts w:eastAsia="Times New Roman" w:cs="Times New Roman"/>
                <w:szCs w:val="28"/>
              </w:rPr>
            </w:pPr>
            <w:r w:rsidRPr="00CA099F">
              <w:rPr>
                <w:rFonts w:eastAsia="Times New Roman" w:cs="Times New Roman"/>
                <w:sz w:val="28"/>
                <w:szCs w:val="28"/>
              </w:rPr>
              <w:t>28,45±0,27</w:t>
            </w:r>
          </w:p>
        </w:tc>
        <w:tc>
          <w:tcPr>
            <w:tcW w:w="567" w:type="pct"/>
          </w:tcPr>
          <w:p w:rsidR="0030517B" w:rsidRPr="00CA099F" w:rsidRDefault="0030517B" w:rsidP="00E1448E">
            <w:pPr>
              <w:spacing w:after="0" w:line="240" w:lineRule="auto"/>
              <w:jc w:val="center"/>
              <w:rPr>
                <w:rFonts w:eastAsia="Times New Roman" w:cs="Times New Roman"/>
                <w:szCs w:val="28"/>
              </w:rPr>
            </w:pPr>
            <w:r w:rsidRPr="00CA099F">
              <w:rPr>
                <w:rFonts w:eastAsia="Times New Roman" w:cs="Times New Roman"/>
                <w:sz w:val="28"/>
                <w:szCs w:val="28"/>
              </w:rPr>
              <w:t>27,46±0,35</w:t>
            </w:r>
          </w:p>
        </w:tc>
        <w:tc>
          <w:tcPr>
            <w:tcW w:w="565" w:type="pct"/>
          </w:tcPr>
          <w:p w:rsidR="0030517B" w:rsidRPr="00CA099F" w:rsidRDefault="0030517B" w:rsidP="00E1448E">
            <w:pPr>
              <w:spacing w:after="0" w:line="240" w:lineRule="auto"/>
              <w:jc w:val="center"/>
              <w:rPr>
                <w:rFonts w:eastAsia="Times New Roman" w:cs="Times New Roman"/>
                <w:szCs w:val="28"/>
              </w:rPr>
            </w:pPr>
            <w:r w:rsidRPr="00CA099F">
              <w:rPr>
                <w:rFonts w:eastAsia="Times New Roman" w:cs="Times New Roman"/>
                <w:sz w:val="28"/>
                <w:szCs w:val="28"/>
              </w:rPr>
              <w:t>27,99±0,25</w:t>
            </w:r>
          </w:p>
        </w:tc>
      </w:tr>
      <w:tr w:rsidR="0030517B" w:rsidRPr="00CA099F" w:rsidTr="00E1448E">
        <w:tc>
          <w:tcPr>
            <w:tcW w:w="427" w:type="pct"/>
          </w:tcPr>
          <w:p w:rsidR="0030517B" w:rsidRPr="00CA099F" w:rsidRDefault="0030517B" w:rsidP="00E1448E">
            <w:pPr>
              <w:spacing w:after="0" w:line="240" w:lineRule="auto"/>
              <w:ind w:right="-152"/>
              <w:jc w:val="center"/>
              <w:rPr>
                <w:rFonts w:eastAsia="Times New Roman" w:cs="Times New Roman"/>
                <w:szCs w:val="28"/>
              </w:rPr>
            </w:pPr>
            <w:r w:rsidRPr="00CA099F">
              <w:rPr>
                <w:rFonts w:eastAsia="Times New Roman" w:cs="Times New Roman"/>
                <w:sz w:val="28"/>
                <w:szCs w:val="28"/>
              </w:rPr>
              <w:t xml:space="preserve">ДНК, мкг/мг </w:t>
            </w:r>
          </w:p>
        </w:tc>
        <w:tc>
          <w:tcPr>
            <w:tcW w:w="592" w:type="pct"/>
          </w:tcPr>
          <w:p w:rsidR="0030517B" w:rsidRPr="00CA099F" w:rsidRDefault="0030517B" w:rsidP="00E1448E">
            <w:pPr>
              <w:spacing w:after="0" w:line="240" w:lineRule="auto"/>
              <w:jc w:val="center"/>
              <w:rPr>
                <w:rFonts w:eastAsia="Times New Roman" w:cs="Times New Roman"/>
                <w:szCs w:val="28"/>
              </w:rPr>
            </w:pPr>
            <w:r w:rsidRPr="00CA099F">
              <w:rPr>
                <w:rFonts w:eastAsia="Times New Roman" w:cs="Times New Roman"/>
                <w:sz w:val="28"/>
                <w:szCs w:val="28"/>
              </w:rPr>
              <w:t>17,09±0,27</w:t>
            </w:r>
          </w:p>
        </w:tc>
        <w:tc>
          <w:tcPr>
            <w:tcW w:w="532" w:type="pct"/>
          </w:tcPr>
          <w:p w:rsidR="0030517B" w:rsidRPr="00CA099F" w:rsidRDefault="0030517B" w:rsidP="00E1448E">
            <w:pPr>
              <w:spacing w:after="0" w:line="240" w:lineRule="auto"/>
              <w:jc w:val="center"/>
              <w:rPr>
                <w:rFonts w:eastAsia="Times New Roman" w:cs="Times New Roman"/>
                <w:szCs w:val="28"/>
              </w:rPr>
            </w:pPr>
            <w:r w:rsidRPr="00CA099F">
              <w:rPr>
                <w:rFonts w:eastAsia="Times New Roman" w:cs="Times New Roman"/>
                <w:sz w:val="28"/>
                <w:szCs w:val="28"/>
              </w:rPr>
              <w:t>24,25±0,24*</w:t>
            </w:r>
          </w:p>
        </w:tc>
        <w:tc>
          <w:tcPr>
            <w:tcW w:w="567" w:type="pct"/>
          </w:tcPr>
          <w:p w:rsidR="0030517B" w:rsidRPr="00CA099F" w:rsidRDefault="0030517B" w:rsidP="00E1448E">
            <w:pPr>
              <w:spacing w:after="0" w:line="240" w:lineRule="auto"/>
              <w:jc w:val="center"/>
              <w:rPr>
                <w:rFonts w:eastAsia="Times New Roman" w:cs="Times New Roman"/>
                <w:szCs w:val="28"/>
              </w:rPr>
            </w:pPr>
            <w:r w:rsidRPr="00CA099F">
              <w:rPr>
                <w:rFonts w:eastAsia="Times New Roman" w:cs="Times New Roman"/>
                <w:sz w:val="28"/>
                <w:szCs w:val="28"/>
              </w:rPr>
              <w:t>19,95±0,42</w:t>
            </w:r>
          </w:p>
        </w:tc>
        <w:tc>
          <w:tcPr>
            <w:tcW w:w="616" w:type="pct"/>
          </w:tcPr>
          <w:p w:rsidR="0030517B" w:rsidRPr="00CA099F" w:rsidRDefault="0030517B" w:rsidP="00E1448E">
            <w:pPr>
              <w:spacing w:after="0" w:line="240" w:lineRule="auto"/>
              <w:jc w:val="center"/>
              <w:rPr>
                <w:rFonts w:eastAsia="Times New Roman" w:cs="Times New Roman"/>
                <w:szCs w:val="28"/>
              </w:rPr>
            </w:pPr>
            <w:r w:rsidRPr="00CA099F">
              <w:rPr>
                <w:rFonts w:eastAsia="Times New Roman" w:cs="Times New Roman"/>
                <w:sz w:val="28"/>
                <w:szCs w:val="28"/>
              </w:rPr>
              <w:t>20,08±</w:t>
            </w:r>
          </w:p>
          <w:p w:rsidR="0030517B" w:rsidRPr="00CA099F" w:rsidRDefault="0030517B" w:rsidP="00E1448E">
            <w:pPr>
              <w:spacing w:after="0" w:line="240" w:lineRule="auto"/>
              <w:jc w:val="center"/>
              <w:rPr>
                <w:rFonts w:eastAsia="Times New Roman" w:cs="Times New Roman"/>
                <w:szCs w:val="28"/>
              </w:rPr>
            </w:pPr>
            <w:r w:rsidRPr="00CA099F">
              <w:rPr>
                <w:rFonts w:eastAsia="Times New Roman" w:cs="Times New Roman"/>
                <w:sz w:val="28"/>
                <w:szCs w:val="28"/>
              </w:rPr>
              <w:t>0,54</w:t>
            </w:r>
          </w:p>
        </w:tc>
        <w:tc>
          <w:tcPr>
            <w:tcW w:w="567" w:type="pct"/>
          </w:tcPr>
          <w:p w:rsidR="0030517B" w:rsidRPr="00CA099F" w:rsidRDefault="0030517B" w:rsidP="00E1448E">
            <w:pPr>
              <w:spacing w:after="0" w:line="240" w:lineRule="auto"/>
              <w:jc w:val="center"/>
              <w:rPr>
                <w:rFonts w:eastAsia="Times New Roman" w:cs="Times New Roman"/>
                <w:szCs w:val="28"/>
              </w:rPr>
            </w:pPr>
            <w:r w:rsidRPr="00CA099F">
              <w:rPr>
                <w:rFonts w:eastAsia="Times New Roman" w:cs="Times New Roman"/>
                <w:sz w:val="28"/>
                <w:szCs w:val="28"/>
              </w:rPr>
              <w:t>20,02±0,27</w:t>
            </w:r>
          </w:p>
        </w:tc>
        <w:tc>
          <w:tcPr>
            <w:tcW w:w="567" w:type="pct"/>
          </w:tcPr>
          <w:p w:rsidR="0030517B" w:rsidRPr="00CA099F" w:rsidRDefault="0030517B" w:rsidP="00E1448E">
            <w:pPr>
              <w:spacing w:after="0" w:line="240" w:lineRule="auto"/>
              <w:jc w:val="center"/>
              <w:rPr>
                <w:rFonts w:eastAsia="Times New Roman" w:cs="Times New Roman"/>
                <w:szCs w:val="28"/>
              </w:rPr>
            </w:pPr>
            <w:r w:rsidRPr="00CA099F">
              <w:rPr>
                <w:rFonts w:eastAsia="Times New Roman" w:cs="Times New Roman"/>
                <w:sz w:val="28"/>
                <w:szCs w:val="28"/>
              </w:rPr>
              <w:t>20,94±0,28</w:t>
            </w:r>
          </w:p>
        </w:tc>
        <w:tc>
          <w:tcPr>
            <w:tcW w:w="567" w:type="pct"/>
          </w:tcPr>
          <w:p w:rsidR="0030517B" w:rsidRPr="00CA099F" w:rsidRDefault="0030517B" w:rsidP="00E1448E">
            <w:pPr>
              <w:spacing w:after="0" w:line="240" w:lineRule="auto"/>
              <w:jc w:val="center"/>
              <w:rPr>
                <w:rFonts w:eastAsia="Times New Roman" w:cs="Times New Roman"/>
                <w:szCs w:val="28"/>
              </w:rPr>
            </w:pPr>
            <w:r w:rsidRPr="00CA099F">
              <w:rPr>
                <w:rFonts w:eastAsia="Times New Roman" w:cs="Times New Roman"/>
                <w:sz w:val="28"/>
                <w:szCs w:val="28"/>
              </w:rPr>
              <w:t>20,47±0,40</w:t>
            </w:r>
          </w:p>
        </w:tc>
        <w:tc>
          <w:tcPr>
            <w:tcW w:w="565" w:type="pct"/>
          </w:tcPr>
          <w:p w:rsidR="0030517B" w:rsidRPr="00CA099F" w:rsidRDefault="0030517B" w:rsidP="00E1448E">
            <w:pPr>
              <w:spacing w:after="0" w:line="240" w:lineRule="auto"/>
              <w:jc w:val="center"/>
              <w:rPr>
                <w:rFonts w:eastAsia="Times New Roman" w:cs="Times New Roman"/>
                <w:szCs w:val="28"/>
              </w:rPr>
            </w:pPr>
            <w:r w:rsidRPr="00CA099F">
              <w:rPr>
                <w:rFonts w:eastAsia="Times New Roman" w:cs="Times New Roman"/>
                <w:sz w:val="28"/>
                <w:szCs w:val="28"/>
              </w:rPr>
              <w:t>21,94±0,45</w:t>
            </w:r>
          </w:p>
        </w:tc>
      </w:tr>
      <w:tr w:rsidR="0030517B" w:rsidRPr="00CA099F" w:rsidTr="00E1448E">
        <w:tc>
          <w:tcPr>
            <w:tcW w:w="427" w:type="pct"/>
          </w:tcPr>
          <w:p w:rsidR="0030517B" w:rsidRPr="00CA099F" w:rsidRDefault="0030517B" w:rsidP="00E1448E">
            <w:pPr>
              <w:spacing w:after="0" w:line="240" w:lineRule="auto"/>
              <w:jc w:val="center"/>
              <w:rPr>
                <w:rFonts w:eastAsia="Times New Roman" w:cs="Times New Roman"/>
                <w:szCs w:val="28"/>
              </w:rPr>
            </w:pPr>
          </w:p>
        </w:tc>
        <w:tc>
          <w:tcPr>
            <w:tcW w:w="592" w:type="pct"/>
          </w:tcPr>
          <w:p w:rsidR="0030517B" w:rsidRPr="00CA099F" w:rsidRDefault="0030517B" w:rsidP="00E1448E">
            <w:pPr>
              <w:spacing w:after="0" w:line="240" w:lineRule="auto"/>
              <w:jc w:val="center"/>
              <w:rPr>
                <w:rFonts w:eastAsia="Times New Roman" w:cs="Times New Roman"/>
                <w:szCs w:val="28"/>
              </w:rPr>
            </w:pPr>
          </w:p>
        </w:tc>
        <w:tc>
          <w:tcPr>
            <w:tcW w:w="532" w:type="pct"/>
          </w:tcPr>
          <w:p w:rsidR="0030517B" w:rsidRPr="00CA099F" w:rsidRDefault="0030517B" w:rsidP="00E1448E">
            <w:pPr>
              <w:spacing w:after="0" w:line="240" w:lineRule="auto"/>
              <w:jc w:val="center"/>
              <w:rPr>
                <w:rFonts w:eastAsia="Times New Roman" w:cs="Times New Roman"/>
                <w:szCs w:val="28"/>
              </w:rPr>
            </w:pPr>
          </w:p>
        </w:tc>
        <w:tc>
          <w:tcPr>
            <w:tcW w:w="567" w:type="pct"/>
          </w:tcPr>
          <w:p w:rsidR="0030517B" w:rsidRPr="00CA099F" w:rsidRDefault="0030517B" w:rsidP="00E1448E">
            <w:pPr>
              <w:spacing w:after="0" w:line="240" w:lineRule="auto"/>
              <w:jc w:val="center"/>
              <w:rPr>
                <w:rFonts w:eastAsia="Times New Roman" w:cs="Times New Roman"/>
                <w:szCs w:val="28"/>
              </w:rPr>
            </w:pPr>
          </w:p>
        </w:tc>
        <w:tc>
          <w:tcPr>
            <w:tcW w:w="616" w:type="pct"/>
          </w:tcPr>
          <w:p w:rsidR="0030517B" w:rsidRPr="00CA099F" w:rsidRDefault="0030517B" w:rsidP="00E1448E">
            <w:pPr>
              <w:spacing w:after="0"/>
              <w:jc w:val="center"/>
              <w:rPr>
                <w:rFonts w:eastAsia="Times New Roman" w:cs="Times New Roman"/>
                <w:szCs w:val="28"/>
              </w:rPr>
            </w:pPr>
            <w:r w:rsidRPr="00CA099F">
              <w:rPr>
                <w:rFonts w:eastAsia="Times New Roman" w:cs="Times New Roman"/>
                <w:color w:val="000000"/>
                <w:sz w:val="28"/>
                <w:szCs w:val="28"/>
              </w:rPr>
              <w:t>р</w:t>
            </w:r>
            <w:r w:rsidRPr="00CA099F">
              <w:rPr>
                <w:rFonts w:eastAsia="Times New Roman" w:cs="Times New Roman"/>
                <w:color w:val="000000"/>
                <w:sz w:val="28"/>
                <w:szCs w:val="28"/>
                <w:vertAlign w:val="subscript"/>
              </w:rPr>
              <w:t>1</w:t>
            </w:r>
            <w:r w:rsidRPr="00CA099F">
              <w:rPr>
                <w:rFonts w:eastAsia="Times New Roman" w:cs="Times New Roman"/>
                <w:color w:val="000000"/>
                <w:sz w:val="28"/>
                <w:szCs w:val="28"/>
              </w:rPr>
              <w:t>&lt;0,01</w:t>
            </w:r>
          </w:p>
        </w:tc>
        <w:tc>
          <w:tcPr>
            <w:tcW w:w="567" w:type="pct"/>
          </w:tcPr>
          <w:p w:rsidR="0030517B" w:rsidRPr="00CA099F" w:rsidRDefault="0030517B" w:rsidP="00E1448E">
            <w:pPr>
              <w:spacing w:after="0"/>
              <w:jc w:val="center"/>
              <w:rPr>
                <w:rFonts w:eastAsia="Times New Roman" w:cs="Times New Roman"/>
                <w:szCs w:val="28"/>
              </w:rPr>
            </w:pPr>
          </w:p>
        </w:tc>
        <w:tc>
          <w:tcPr>
            <w:tcW w:w="567" w:type="pct"/>
          </w:tcPr>
          <w:p w:rsidR="0030517B" w:rsidRPr="00CA099F" w:rsidRDefault="0030517B" w:rsidP="00E1448E">
            <w:pPr>
              <w:spacing w:after="0"/>
              <w:jc w:val="center"/>
              <w:rPr>
                <w:rFonts w:eastAsia="Times New Roman" w:cs="Times New Roman"/>
                <w:szCs w:val="28"/>
              </w:rPr>
            </w:pPr>
          </w:p>
        </w:tc>
        <w:tc>
          <w:tcPr>
            <w:tcW w:w="567" w:type="pct"/>
          </w:tcPr>
          <w:p w:rsidR="0030517B" w:rsidRPr="00CA099F" w:rsidRDefault="0030517B" w:rsidP="00E1448E">
            <w:pPr>
              <w:spacing w:after="0"/>
              <w:jc w:val="center"/>
              <w:rPr>
                <w:rFonts w:eastAsia="Times New Roman" w:cs="Times New Roman"/>
                <w:szCs w:val="28"/>
              </w:rPr>
            </w:pPr>
          </w:p>
        </w:tc>
        <w:tc>
          <w:tcPr>
            <w:tcW w:w="565" w:type="pct"/>
          </w:tcPr>
          <w:p w:rsidR="0030517B" w:rsidRPr="00CA099F" w:rsidRDefault="0030517B" w:rsidP="00E1448E">
            <w:pPr>
              <w:spacing w:after="0" w:line="240" w:lineRule="auto"/>
              <w:jc w:val="center"/>
              <w:rPr>
                <w:rFonts w:eastAsia="Times New Roman" w:cs="Times New Roman"/>
                <w:szCs w:val="28"/>
              </w:rPr>
            </w:pPr>
          </w:p>
        </w:tc>
      </w:tr>
      <w:tr w:rsidR="0030517B" w:rsidRPr="00CA099F" w:rsidTr="00E1448E">
        <w:tc>
          <w:tcPr>
            <w:tcW w:w="5000" w:type="pct"/>
            <w:gridSpan w:val="9"/>
          </w:tcPr>
          <w:p w:rsidR="0030517B" w:rsidRPr="00CA099F" w:rsidRDefault="0030517B" w:rsidP="00E1448E">
            <w:pPr>
              <w:spacing w:after="0" w:line="240" w:lineRule="auto"/>
              <w:jc w:val="both"/>
              <w:rPr>
                <w:rFonts w:eastAsia="Times New Roman" w:cs="Times New Roman"/>
                <w:szCs w:val="28"/>
              </w:rPr>
            </w:pPr>
            <w:r w:rsidRPr="00CA099F">
              <w:rPr>
                <w:rFonts w:eastAsia="Times New Roman" w:cs="Times New Roman"/>
                <w:sz w:val="28"/>
                <w:szCs w:val="28"/>
              </w:rPr>
              <w:t>Примітка:</w:t>
            </w:r>
          </w:p>
          <w:p w:rsidR="0030517B" w:rsidRPr="00CA099F" w:rsidRDefault="0030517B" w:rsidP="00E1448E">
            <w:pPr>
              <w:spacing w:after="0" w:line="240" w:lineRule="auto"/>
              <w:jc w:val="both"/>
              <w:rPr>
                <w:rFonts w:eastAsia="Times New Roman" w:cs="Times New Roman"/>
                <w:szCs w:val="28"/>
              </w:rPr>
            </w:pPr>
            <w:r w:rsidRPr="00CA099F">
              <w:rPr>
                <w:rFonts w:eastAsia="Times New Roman" w:cs="Times New Roman"/>
                <w:sz w:val="28"/>
                <w:szCs w:val="28"/>
              </w:rPr>
              <w:t>*- різниця достовірна стосовно даних групи порівняння в межах одного терміну спостереження</w:t>
            </w:r>
          </w:p>
          <w:p w:rsidR="0030517B" w:rsidRPr="00CA099F" w:rsidRDefault="0030517B" w:rsidP="00E1448E">
            <w:pPr>
              <w:tabs>
                <w:tab w:val="left" w:pos="709"/>
              </w:tabs>
              <w:spacing w:after="0" w:line="240" w:lineRule="auto"/>
              <w:ind w:right="-6"/>
              <w:jc w:val="both"/>
              <w:rPr>
                <w:rFonts w:eastAsia="Times New Roman" w:cs="Times New Roman"/>
                <w:szCs w:val="28"/>
              </w:rPr>
            </w:pPr>
            <w:r w:rsidRPr="00CA099F">
              <w:rPr>
                <w:rFonts w:eastAsia="Times New Roman" w:cs="Times New Roman"/>
                <w:color w:val="000000"/>
                <w:sz w:val="28"/>
                <w:szCs w:val="28"/>
              </w:rPr>
              <w:t>р</w:t>
            </w:r>
            <w:r w:rsidRPr="00CA099F">
              <w:rPr>
                <w:rFonts w:eastAsia="Times New Roman" w:cs="Times New Roman"/>
                <w:color w:val="000000"/>
                <w:sz w:val="28"/>
                <w:szCs w:val="28"/>
                <w:vertAlign w:val="subscript"/>
              </w:rPr>
              <w:t>1</w:t>
            </w:r>
            <w:r w:rsidRPr="00CA099F">
              <w:rPr>
                <w:rFonts w:eastAsia="Times New Roman" w:cs="Times New Roman"/>
                <w:color w:val="000000"/>
                <w:sz w:val="28"/>
                <w:szCs w:val="28"/>
              </w:rPr>
              <w:t xml:space="preserve"> –показник достовірності між дослідними групами, термін спостереження 3 і 6 місяців.</w:t>
            </w:r>
          </w:p>
        </w:tc>
      </w:tr>
    </w:tbl>
    <w:p w:rsidR="0030517B" w:rsidRDefault="0030517B" w:rsidP="0030517B">
      <w:pPr>
        <w:spacing w:after="0" w:line="360" w:lineRule="auto"/>
        <w:jc w:val="both"/>
        <w:rPr>
          <w:rFonts w:ascii="Calibri" w:eastAsia="Times New Roman" w:hAnsi="Calibri" w:cs="Times New Roman"/>
          <w:sz w:val="22"/>
        </w:rPr>
      </w:pPr>
    </w:p>
    <w:p w:rsidR="00C76B4A" w:rsidRPr="00CA099F" w:rsidRDefault="00C76B4A" w:rsidP="0030517B">
      <w:pPr>
        <w:spacing w:after="0" w:line="360" w:lineRule="auto"/>
        <w:jc w:val="both"/>
        <w:rPr>
          <w:rFonts w:ascii="Calibri" w:eastAsia="Times New Roman" w:hAnsi="Calibri" w:cs="Times New Roman"/>
          <w:sz w:val="22"/>
        </w:rPr>
      </w:pPr>
    </w:p>
    <w:p w:rsidR="00C76B4A" w:rsidRPr="00CA099F" w:rsidRDefault="00C76B4A" w:rsidP="00C76B4A">
      <w:pPr>
        <w:spacing w:after="0" w:line="360" w:lineRule="auto"/>
        <w:ind w:firstLine="709"/>
        <w:jc w:val="both"/>
        <w:rPr>
          <w:rFonts w:eastAsia="Times New Roman" w:cs="Times New Roman"/>
          <w:sz w:val="28"/>
          <w:szCs w:val="28"/>
        </w:rPr>
      </w:pPr>
      <w:r w:rsidRPr="00CA099F">
        <w:rPr>
          <w:rFonts w:eastAsia="Times New Roman" w:cs="Times New Roman"/>
          <w:sz w:val="28"/>
          <w:szCs w:val="28"/>
        </w:rPr>
        <w:t>Як відомо, активність процесів ліпопероксидації та окисної модифікації білків залежить не лише від інтенсивності утворення вільних радикалів у тканинах, а й від функціонального стану системи антиоксидного захисту.</w:t>
      </w:r>
    </w:p>
    <w:p w:rsidR="0030517B" w:rsidRDefault="0030517B" w:rsidP="0030517B">
      <w:pPr>
        <w:spacing w:after="0" w:line="360" w:lineRule="auto"/>
        <w:jc w:val="right"/>
        <w:rPr>
          <w:rFonts w:eastAsia="Times New Roman" w:cs="Times New Roman"/>
          <w:i/>
          <w:sz w:val="28"/>
          <w:szCs w:val="28"/>
        </w:rPr>
      </w:pPr>
    </w:p>
    <w:p w:rsidR="00C76B4A" w:rsidRPr="00CA099F" w:rsidRDefault="00C76B4A" w:rsidP="0030517B">
      <w:pPr>
        <w:spacing w:after="0" w:line="360" w:lineRule="auto"/>
        <w:jc w:val="right"/>
        <w:rPr>
          <w:rFonts w:eastAsia="Times New Roman" w:cs="Times New Roman"/>
          <w:i/>
          <w:sz w:val="28"/>
          <w:szCs w:val="28"/>
        </w:rPr>
      </w:pPr>
    </w:p>
    <w:p w:rsidR="0030517B" w:rsidRPr="00CA099F" w:rsidRDefault="0030517B" w:rsidP="0030517B">
      <w:pPr>
        <w:spacing w:after="0" w:line="360" w:lineRule="auto"/>
        <w:jc w:val="right"/>
        <w:rPr>
          <w:rFonts w:eastAsia="Times New Roman" w:cs="Times New Roman"/>
          <w:i/>
          <w:sz w:val="28"/>
          <w:szCs w:val="28"/>
        </w:rPr>
      </w:pPr>
      <w:r w:rsidRPr="00CA099F">
        <w:rPr>
          <w:rFonts w:eastAsia="Times New Roman" w:cs="Times New Roman"/>
          <w:i/>
          <w:sz w:val="28"/>
          <w:szCs w:val="28"/>
        </w:rPr>
        <w:lastRenderedPageBreak/>
        <w:t>Таблиця 5.6.</w:t>
      </w:r>
    </w:p>
    <w:p w:rsidR="0030517B" w:rsidRPr="00CA099F" w:rsidRDefault="0030517B" w:rsidP="0030517B">
      <w:pPr>
        <w:spacing w:after="0" w:line="360" w:lineRule="auto"/>
        <w:jc w:val="center"/>
        <w:rPr>
          <w:rFonts w:eastAsia="Times New Roman" w:cs="Times New Roman"/>
          <w:sz w:val="28"/>
          <w:szCs w:val="28"/>
        </w:rPr>
      </w:pPr>
      <w:r w:rsidRPr="00CA099F">
        <w:rPr>
          <w:rFonts w:eastAsia="Times New Roman" w:cs="Times New Roman"/>
          <w:sz w:val="28"/>
          <w:szCs w:val="28"/>
        </w:rPr>
        <w:t>Показники регенераторних процесів у гомогенаті шкіри за умови використання PRF-згустка та церулоплазміну</w:t>
      </w:r>
    </w:p>
    <w:p w:rsidR="0030517B" w:rsidRPr="00CA099F" w:rsidRDefault="0030517B" w:rsidP="0030517B">
      <w:pPr>
        <w:spacing w:after="0"/>
        <w:rPr>
          <w:rFonts w:ascii="Calibri" w:eastAsia="Times New Roman" w:hAnsi="Calibri" w:cs="Times New Roman"/>
          <w:sz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99"/>
        <w:gridCol w:w="969"/>
        <w:gridCol w:w="1038"/>
        <w:gridCol w:w="1091"/>
        <w:gridCol w:w="1091"/>
        <w:gridCol w:w="1091"/>
        <w:gridCol w:w="1091"/>
        <w:gridCol w:w="1091"/>
        <w:gridCol w:w="1084"/>
      </w:tblGrid>
      <w:tr w:rsidR="0030517B" w:rsidRPr="00CA099F" w:rsidTr="00E1448E">
        <w:tc>
          <w:tcPr>
            <w:tcW w:w="427" w:type="pct"/>
            <w:vMerge w:val="restart"/>
            <w:vAlign w:val="center"/>
          </w:tcPr>
          <w:p w:rsidR="0030517B" w:rsidRPr="00CA099F" w:rsidRDefault="0030517B" w:rsidP="00E1448E">
            <w:pPr>
              <w:spacing w:after="0" w:line="240" w:lineRule="auto"/>
              <w:ind w:right="-90"/>
              <w:rPr>
                <w:rFonts w:eastAsia="Times New Roman" w:cs="Times New Roman"/>
                <w:sz w:val="22"/>
              </w:rPr>
            </w:pPr>
            <w:r w:rsidRPr="00CA099F">
              <w:rPr>
                <w:rFonts w:eastAsia="Times New Roman" w:cs="Times New Roman"/>
                <w:sz w:val="22"/>
              </w:rPr>
              <w:t>П</w:t>
            </w:r>
            <w:r w:rsidRPr="00CA099F">
              <w:rPr>
                <w:rFonts w:eastAsia="Times New Roman" w:cs="Times New Roman"/>
                <w:sz w:val="18"/>
                <w:szCs w:val="18"/>
              </w:rPr>
              <w:t>оказник</w:t>
            </w:r>
          </w:p>
        </w:tc>
        <w:tc>
          <w:tcPr>
            <w:tcW w:w="1073" w:type="pct"/>
            <w:gridSpan w:val="2"/>
          </w:tcPr>
          <w:p w:rsidR="0030517B" w:rsidRPr="00CA099F" w:rsidRDefault="0030517B" w:rsidP="00E1448E">
            <w:pPr>
              <w:spacing w:after="0" w:line="240" w:lineRule="auto"/>
              <w:jc w:val="center"/>
              <w:rPr>
                <w:rFonts w:eastAsia="Times New Roman" w:cs="Times New Roman"/>
                <w:szCs w:val="28"/>
              </w:rPr>
            </w:pPr>
            <w:r w:rsidRPr="00CA099F">
              <w:rPr>
                <w:rFonts w:eastAsia="Times New Roman" w:cs="Times New Roman"/>
                <w:sz w:val="28"/>
                <w:szCs w:val="28"/>
              </w:rPr>
              <w:t>3 місяці</w:t>
            </w:r>
          </w:p>
        </w:tc>
        <w:tc>
          <w:tcPr>
            <w:tcW w:w="1168" w:type="pct"/>
            <w:gridSpan w:val="2"/>
          </w:tcPr>
          <w:p w:rsidR="0030517B" w:rsidRPr="00CA099F" w:rsidRDefault="0030517B" w:rsidP="00E1448E">
            <w:pPr>
              <w:spacing w:after="0" w:line="240" w:lineRule="auto"/>
              <w:jc w:val="center"/>
              <w:rPr>
                <w:rFonts w:eastAsia="Times New Roman" w:cs="Times New Roman"/>
                <w:szCs w:val="28"/>
              </w:rPr>
            </w:pPr>
            <w:r w:rsidRPr="00CA099F">
              <w:rPr>
                <w:rFonts w:eastAsia="Times New Roman" w:cs="Times New Roman"/>
                <w:sz w:val="28"/>
                <w:szCs w:val="28"/>
              </w:rPr>
              <w:t>6 місяців</w:t>
            </w:r>
          </w:p>
        </w:tc>
        <w:tc>
          <w:tcPr>
            <w:tcW w:w="1168" w:type="pct"/>
            <w:gridSpan w:val="2"/>
          </w:tcPr>
          <w:p w:rsidR="0030517B" w:rsidRPr="00CA099F" w:rsidRDefault="0030517B" w:rsidP="00E1448E">
            <w:pPr>
              <w:spacing w:after="0" w:line="240" w:lineRule="auto"/>
              <w:jc w:val="center"/>
              <w:rPr>
                <w:rFonts w:eastAsia="Times New Roman" w:cs="Times New Roman"/>
                <w:szCs w:val="28"/>
              </w:rPr>
            </w:pPr>
            <w:r w:rsidRPr="00CA099F">
              <w:rPr>
                <w:rFonts w:eastAsia="Times New Roman" w:cs="Times New Roman"/>
                <w:sz w:val="28"/>
                <w:szCs w:val="28"/>
              </w:rPr>
              <w:t>9 місяців</w:t>
            </w:r>
          </w:p>
        </w:tc>
        <w:tc>
          <w:tcPr>
            <w:tcW w:w="1164" w:type="pct"/>
            <w:gridSpan w:val="2"/>
          </w:tcPr>
          <w:p w:rsidR="0030517B" w:rsidRPr="00CA099F" w:rsidRDefault="0030517B" w:rsidP="00E1448E">
            <w:pPr>
              <w:spacing w:after="0" w:line="240" w:lineRule="auto"/>
              <w:jc w:val="center"/>
              <w:rPr>
                <w:rFonts w:eastAsia="Times New Roman" w:cs="Times New Roman"/>
                <w:szCs w:val="28"/>
              </w:rPr>
            </w:pPr>
            <w:r w:rsidRPr="00CA099F">
              <w:rPr>
                <w:rFonts w:eastAsia="Times New Roman" w:cs="Times New Roman"/>
                <w:sz w:val="28"/>
                <w:szCs w:val="28"/>
              </w:rPr>
              <w:t>12 місяців</w:t>
            </w:r>
          </w:p>
        </w:tc>
      </w:tr>
      <w:tr w:rsidR="0030517B" w:rsidRPr="00CA099F" w:rsidTr="00E1448E">
        <w:tc>
          <w:tcPr>
            <w:tcW w:w="427" w:type="pct"/>
            <w:vMerge/>
          </w:tcPr>
          <w:p w:rsidR="0030517B" w:rsidRPr="00CA099F" w:rsidRDefault="0030517B" w:rsidP="00E1448E">
            <w:pPr>
              <w:spacing w:after="0" w:line="240" w:lineRule="auto"/>
              <w:ind w:right="-90"/>
              <w:jc w:val="center"/>
              <w:rPr>
                <w:rFonts w:eastAsia="Times New Roman" w:cs="Times New Roman"/>
                <w:szCs w:val="28"/>
              </w:rPr>
            </w:pPr>
          </w:p>
        </w:tc>
        <w:tc>
          <w:tcPr>
            <w:tcW w:w="518" w:type="pct"/>
          </w:tcPr>
          <w:p w:rsidR="0030517B" w:rsidRDefault="0030517B" w:rsidP="00E1448E">
            <w:pPr>
              <w:spacing w:after="0" w:line="240" w:lineRule="auto"/>
              <w:ind w:right="-87"/>
              <w:jc w:val="center"/>
              <w:rPr>
                <w:rFonts w:eastAsia="Times New Roman" w:cs="Times New Roman"/>
                <w:sz w:val="20"/>
                <w:szCs w:val="20"/>
              </w:rPr>
            </w:pPr>
            <w:r w:rsidRPr="00CA099F">
              <w:rPr>
                <w:rFonts w:eastAsia="Times New Roman" w:cs="Times New Roman"/>
                <w:sz w:val="20"/>
                <w:szCs w:val="20"/>
              </w:rPr>
              <w:t>Група контролю</w:t>
            </w:r>
            <w:r w:rsidR="00801EEF">
              <w:rPr>
                <w:rFonts w:eastAsia="Times New Roman" w:cs="Times New Roman"/>
                <w:sz w:val="20"/>
                <w:szCs w:val="20"/>
              </w:rPr>
              <w:t xml:space="preserve"> </w:t>
            </w:r>
          </w:p>
          <w:p w:rsidR="00801EEF" w:rsidRPr="00CA099F" w:rsidRDefault="00801EEF" w:rsidP="00E1448E">
            <w:pPr>
              <w:spacing w:after="0" w:line="240" w:lineRule="auto"/>
              <w:ind w:right="-87"/>
              <w:jc w:val="center"/>
              <w:rPr>
                <w:rFonts w:eastAsia="Times New Roman" w:cs="Times New Roman"/>
                <w:sz w:val="20"/>
                <w:szCs w:val="20"/>
              </w:rPr>
            </w:pPr>
            <w:r>
              <w:rPr>
                <w:rFonts w:eastAsia="Times New Roman" w:cs="Times New Roman"/>
                <w:szCs w:val="24"/>
              </w:rPr>
              <w:t>(</w:t>
            </w:r>
            <w:r>
              <w:rPr>
                <w:rFonts w:eastAsia="Times New Roman" w:cs="Times New Roman"/>
                <w:szCs w:val="24"/>
                <w:lang w:val="en-US"/>
              </w:rPr>
              <w:t>n=20</w:t>
            </w:r>
            <w:r>
              <w:rPr>
                <w:rFonts w:eastAsia="Times New Roman" w:cs="Times New Roman"/>
                <w:szCs w:val="24"/>
              </w:rPr>
              <w:t>)</w:t>
            </w:r>
          </w:p>
        </w:tc>
        <w:tc>
          <w:tcPr>
            <w:tcW w:w="555" w:type="pct"/>
          </w:tcPr>
          <w:p w:rsidR="0030517B" w:rsidRDefault="0030517B" w:rsidP="00E1448E">
            <w:pPr>
              <w:spacing w:after="0" w:line="240" w:lineRule="auto"/>
              <w:ind w:right="-87"/>
              <w:jc w:val="center"/>
              <w:rPr>
                <w:rFonts w:eastAsia="Times New Roman" w:cs="Times New Roman"/>
                <w:sz w:val="20"/>
                <w:szCs w:val="20"/>
              </w:rPr>
            </w:pPr>
            <w:r w:rsidRPr="00CA099F">
              <w:rPr>
                <w:rFonts w:eastAsia="Times New Roman" w:cs="Times New Roman"/>
                <w:sz w:val="20"/>
                <w:szCs w:val="20"/>
              </w:rPr>
              <w:t>2 група</w:t>
            </w:r>
          </w:p>
          <w:p w:rsidR="00801EEF" w:rsidRPr="00CA099F" w:rsidRDefault="00801EEF" w:rsidP="00E1448E">
            <w:pPr>
              <w:spacing w:after="0" w:line="240" w:lineRule="auto"/>
              <w:ind w:right="-87"/>
              <w:jc w:val="center"/>
              <w:rPr>
                <w:rFonts w:eastAsia="Times New Roman" w:cs="Times New Roman"/>
                <w:sz w:val="20"/>
                <w:szCs w:val="20"/>
              </w:rPr>
            </w:pPr>
            <w:r>
              <w:rPr>
                <w:rFonts w:eastAsia="Times New Roman" w:cs="Times New Roman"/>
                <w:szCs w:val="24"/>
              </w:rPr>
              <w:t>(</w:t>
            </w:r>
            <w:r>
              <w:rPr>
                <w:rFonts w:eastAsia="Times New Roman" w:cs="Times New Roman"/>
                <w:szCs w:val="24"/>
                <w:lang w:val="en-US"/>
              </w:rPr>
              <w:t>n=20</w:t>
            </w:r>
            <w:r>
              <w:rPr>
                <w:rFonts w:eastAsia="Times New Roman" w:cs="Times New Roman"/>
                <w:szCs w:val="24"/>
              </w:rPr>
              <w:t>)</w:t>
            </w:r>
          </w:p>
        </w:tc>
        <w:tc>
          <w:tcPr>
            <w:tcW w:w="584" w:type="pct"/>
          </w:tcPr>
          <w:p w:rsidR="00801EEF" w:rsidRDefault="0030517B" w:rsidP="00E1448E">
            <w:pPr>
              <w:spacing w:after="0" w:line="240" w:lineRule="auto"/>
              <w:ind w:right="-87"/>
              <w:jc w:val="center"/>
              <w:rPr>
                <w:rFonts w:eastAsia="Times New Roman" w:cs="Times New Roman"/>
                <w:sz w:val="20"/>
                <w:szCs w:val="20"/>
              </w:rPr>
            </w:pPr>
            <w:r w:rsidRPr="00CA099F">
              <w:rPr>
                <w:rFonts w:eastAsia="Times New Roman" w:cs="Times New Roman"/>
                <w:sz w:val="20"/>
                <w:szCs w:val="20"/>
              </w:rPr>
              <w:t>Група контролю</w:t>
            </w:r>
          </w:p>
          <w:p w:rsidR="0030517B" w:rsidRPr="00CA099F" w:rsidRDefault="00801EEF" w:rsidP="00E1448E">
            <w:pPr>
              <w:spacing w:after="0" w:line="240" w:lineRule="auto"/>
              <w:ind w:right="-87"/>
              <w:jc w:val="center"/>
              <w:rPr>
                <w:rFonts w:eastAsia="Times New Roman" w:cs="Times New Roman"/>
                <w:sz w:val="20"/>
                <w:szCs w:val="20"/>
              </w:rPr>
            </w:pPr>
            <w:r>
              <w:rPr>
                <w:rFonts w:eastAsia="Times New Roman" w:cs="Times New Roman"/>
                <w:szCs w:val="24"/>
              </w:rPr>
              <w:t>(</w:t>
            </w:r>
            <w:r>
              <w:rPr>
                <w:rFonts w:eastAsia="Times New Roman" w:cs="Times New Roman"/>
                <w:szCs w:val="24"/>
                <w:lang w:val="en-US"/>
              </w:rPr>
              <w:t>n=20</w:t>
            </w:r>
            <w:r>
              <w:rPr>
                <w:rFonts w:eastAsia="Times New Roman" w:cs="Times New Roman"/>
                <w:szCs w:val="24"/>
              </w:rPr>
              <w:t>)</w:t>
            </w:r>
            <w:r>
              <w:rPr>
                <w:rFonts w:eastAsia="Times New Roman" w:cs="Times New Roman"/>
                <w:sz w:val="20"/>
                <w:szCs w:val="20"/>
              </w:rPr>
              <w:t xml:space="preserve"> </w:t>
            </w:r>
          </w:p>
        </w:tc>
        <w:tc>
          <w:tcPr>
            <w:tcW w:w="584" w:type="pct"/>
          </w:tcPr>
          <w:p w:rsidR="0030517B" w:rsidRPr="00CA099F" w:rsidRDefault="0030517B" w:rsidP="00E1448E">
            <w:pPr>
              <w:spacing w:after="0" w:line="240" w:lineRule="auto"/>
              <w:ind w:right="-87"/>
              <w:jc w:val="center"/>
              <w:rPr>
                <w:rFonts w:eastAsia="Times New Roman" w:cs="Times New Roman"/>
                <w:sz w:val="20"/>
                <w:szCs w:val="20"/>
              </w:rPr>
            </w:pPr>
            <w:r w:rsidRPr="00CA099F">
              <w:rPr>
                <w:rFonts w:eastAsia="Times New Roman" w:cs="Times New Roman"/>
                <w:sz w:val="20"/>
                <w:szCs w:val="20"/>
              </w:rPr>
              <w:t>2 група</w:t>
            </w:r>
            <w:r w:rsidR="00801EEF">
              <w:rPr>
                <w:rFonts w:eastAsia="Times New Roman" w:cs="Times New Roman"/>
                <w:sz w:val="20"/>
                <w:szCs w:val="20"/>
              </w:rPr>
              <w:t xml:space="preserve"> </w:t>
            </w:r>
            <w:r w:rsidR="00801EEF">
              <w:rPr>
                <w:rFonts w:eastAsia="Times New Roman" w:cs="Times New Roman"/>
                <w:szCs w:val="24"/>
              </w:rPr>
              <w:t>(</w:t>
            </w:r>
            <w:r w:rsidR="00801EEF">
              <w:rPr>
                <w:rFonts w:eastAsia="Times New Roman" w:cs="Times New Roman"/>
                <w:szCs w:val="24"/>
                <w:lang w:val="en-US"/>
              </w:rPr>
              <w:t>n=20</w:t>
            </w:r>
            <w:r w:rsidR="00801EEF">
              <w:rPr>
                <w:rFonts w:eastAsia="Times New Roman" w:cs="Times New Roman"/>
                <w:szCs w:val="24"/>
              </w:rPr>
              <w:t>)</w:t>
            </w:r>
          </w:p>
        </w:tc>
        <w:tc>
          <w:tcPr>
            <w:tcW w:w="584" w:type="pct"/>
          </w:tcPr>
          <w:p w:rsidR="0030517B" w:rsidRDefault="0030517B" w:rsidP="00E1448E">
            <w:pPr>
              <w:spacing w:after="0" w:line="240" w:lineRule="auto"/>
              <w:ind w:right="-87"/>
              <w:jc w:val="center"/>
              <w:rPr>
                <w:rFonts w:eastAsia="Times New Roman" w:cs="Times New Roman"/>
                <w:sz w:val="20"/>
                <w:szCs w:val="20"/>
              </w:rPr>
            </w:pPr>
            <w:r w:rsidRPr="00CA099F">
              <w:rPr>
                <w:rFonts w:eastAsia="Times New Roman" w:cs="Times New Roman"/>
                <w:sz w:val="20"/>
                <w:szCs w:val="20"/>
              </w:rPr>
              <w:t>Група контролю</w:t>
            </w:r>
          </w:p>
          <w:p w:rsidR="00801EEF" w:rsidRPr="00CA099F" w:rsidRDefault="00801EEF" w:rsidP="00E1448E">
            <w:pPr>
              <w:spacing w:after="0" w:line="240" w:lineRule="auto"/>
              <w:ind w:right="-87"/>
              <w:jc w:val="center"/>
              <w:rPr>
                <w:rFonts w:eastAsia="Times New Roman" w:cs="Times New Roman"/>
                <w:sz w:val="20"/>
                <w:szCs w:val="20"/>
              </w:rPr>
            </w:pPr>
            <w:r>
              <w:rPr>
                <w:rFonts w:eastAsia="Times New Roman" w:cs="Times New Roman"/>
                <w:szCs w:val="24"/>
              </w:rPr>
              <w:t>(</w:t>
            </w:r>
            <w:r>
              <w:rPr>
                <w:rFonts w:eastAsia="Times New Roman" w:cs="Times New Roman"/>
                <w:szCs w:val="24"/>
                <w:lang w:val="en-US"/>
              </w:rPr>
              <w:t>n=20</w:t>
            </w:r>
            <w:r>
              <w:rPr>
                <w:rFonts w:eastAsia="Times New Roman" w:cs="Times New Roman"/>
                <w:szCs w:val="24"/>
              </w:rPr>
              <w:t>)</w:t>
            </w:r>
          </w:p>
        </w:tc>
        <w:tc>
          <w:tcPr>
            <w:tcW w:w="584" w:type="pct"/>
          </w:tcPr>
          <w:p w:rsidR="0030517B" w:rsidRDefault="0030517B" w:rsidP="00E1448E">
            <w:pPr>
              <w:spacing w:after="0" w:line="240" w:lineRule="auto"/>
              <w:ind w:right="-87"/>
              <w:jc w:val="center"/>
              <w:rPr>
                <w:rFonts w:eastAsia="Times New Roman" w:cs="Times New Roman"/>
                <w:sz w:val="20"/>
                <w:szCs w:val="20"/>
              </w:rPr>
            </w:pPr>
            <w:r w:rsidRPr="00CA099F">
              <w:rPr>
                <w:rFonts w:eastAsia="Times New Roman" w:cs="Times New Roman"/>
                <w:sz w:val="20"/>
                <w:szCs w:val="20"/>
              </w:rPr>
              <w:t>2 група</w:t>
            </w:r>
          </w:p>
          <w:p w:rsidR="00801EEF" w:rsidRPr="00CA099F" w:rsidRDefault="00801EEF" w:rsidP="00E1448E">
            <w:pPr>
              <w:spacing w:after="0" w:line="240" w:lineRule="auto"/>
              <w:ind w:right="-87"/>
              <w:jc w:val="center"/>
              <w:rPr>
                <w:rFonts w:eastAsia="Times New Roman" w:cs="Times New Roman"/>
                <w:sz w:val="20"/>
                <w:szCs w:val="20"/>
              </w:rPr>
            </w:pPr>
            <w:r>
              <w:rPr>
                <w:rFonts w:eastAsia="Times New Roman" w:cs="Times New Roman"/>
                <w:szCs w:val="24"/>
              </w:rPr>
              <w:t>(</w:t>
            </w:r>
            <w:r>
              <w:rPr>
                <w:rFonts w:eastAsia="Times New Roman" w:cs="Times New Roman"/>
                <w:szCs w:val="24"/>
                <w:lang w:val="en-US"/>
              </w:rPr>
              <w:t>n=20</w:t>
            </w:r>
            <w:r>
              <w:rPr>
                <w:rFonts w:eastAsia="Times New Roman" w:cs="Times New Roman"/>
                <w:szCs w:val="24"/>
              </w:rPr>
              <w:t>)</w:t>
            </w:r>
          </w:p>
        </w:tc>
        <w:tc>
          <w:tcPr>
            <w:tcW w:w="584" w:type="pct"/>
          </w:tcPr>
          <w:p w:rsidR="0030517B" w:rsidRDefault="0030517B" w:rsidP="00E1448E">
            <w:pPr>
              <w:spacing w:after="0" w:line="240" w:lineRule="auto"/>
              <w:ind w:right="-87"/>
              <w:jc w:val="center"/>
              <w:rPr>
                <w:rFonts w:eastAsia="Times New Roman" w:cs="Times New Roman"/>
                <w:sz w:val="20"/>
                <w:szCs w:val="20"/>
              </w:rPr>
            </w:pPr>
            <w:r w:rsidRPr="00CA099F">
              <w:rPr>
                <w:rFonts w:eastAsia="Times New Roman" w:cs="Times New Roman"/>
                <w:sz w:val="20"/>
                <w:szCs w:val="20"/>
              </w:rPr>
              <w:t>Група контролю</w:t>
            </w:r>
          </w:p>
          <w:p w:rsidR="00801EEF" w:rsidRPr="00CA099F" w:rsidRDefault="00801EEF" w:rsidP="00E1448E">
            <w:pPr>
              <w:spacing w:after="0" w:line="240" w:lineRule="auto"/>
              <w:ind w:right="-87"/>
              <w:jc w:val="center"/>
              <w:rPr>
                <w:rFonts w:eastAsia="Times New Roman" w:cs="Times New Roman"/>
                <w:sz w:val="20"/>
                <w:szCs w:val="20"/>
              </w:rPr>
            </w:pPr>
            <w:r>
              <w:rPr>
                <w:rFonts w:eastAsia="Times New Roman" w:cs="Times New Roman"/>
                <w:szCs w:val="24"/>
              </w:rPr>
              <w:t>(</w:t>
            </w:r>
            <w:r>
              <w:rPr>
                <w:rFonts w:eastAsia="Times New Roman" w:cs="Times New Roman"/>
                <w:szCs w:val="24"/>
                <w:lang w:val="en-US"/>
              </w:rPr>
              <w:t>n=20</w:t>
            </w:r>
            <w:r>
              <w:rPr>
                <w:rFonts w:eastAsia="Times New Roman" w:cs="Times New Roman"/>
                <w:szCs w:val="24"/>
              </w:rPr>
              <w:t>)</w:t>
            </w:r>
          </w:p>
        </w:tc>
        <w:tc>
          <w:tcPr>
            <w:tcW w:w="580" w:type="pct"/>
          </w:tcPr>
          <w:p w:rsidR="0030517B" w:rsidRDefault="0030517B" w:rsidP="00E1448E">
            <w:pPr>
              <w:spacing w:after="0" w:line="240" w:lineRule="auto"/>
              <w:ind w:right="-87"/>
              <w:jc w:val="center"/>
              <w:rPr>
                <w:rFonts w:eastAsia="Times New Roman" w:cs="Times New Roman"/>
                <w:sz w:val="20"/>
                <w:szCs w:val="20"/>
              </w:rPr>
            </w:pPr>
            <w:r w:rsidRPr="00CA099F">
              <w:rPr>
                <w:rFonts w:eastAsia="Times New Roman" w:cs="Times New Roman"/>
                <w:sz w:val="20"/>
                <w:szCs w:val="20"/>
              </w:rPr>
              <w:t>2 група</w:t>
            </w:r>
          </w:p>
          <w:p w:rsidR="00801EEF" w:rsidRPr="00CA099F" w:rsidRDefault="00801EEF" w:rsidP="00E1448E">
            <w:pPr>
              <w:spacing w:after="0" w:line="240" w:lineRule="auto"/>
              <w:ind w:right="-87"/>
              <w:jc w:val="center"/>
              <w:rPr>
                <w:rFonts w:eastAsia="Times New Roman" w:cs="Times New Roman"/>
                <w:sz w:val="20"/>
                <w:szCs w:val="20"/>
              </w:rPr>
            </w:pPr>
            <w:r>
              <w:rPr>
                <w:rFonts w:eastAsia="Times New Roman" w:cs="Times New Roman"/>
                <w:szCs w:val="24"/>
              </w:rPr>
              <w:t>(</w:t>
            </w:r>
            <w:r>
              <w:rPr>
                <w:rFonts w:eastAsia="Times New Roman" w:cs="Times New Roman"/>
                <w:szCs w:val="24"/>
                <w:lang w:val="en-US"/>
              </w:rPr>
              <w:t>n=20</w:t>
            </w:r>
            <w:r>
              <w:rPr>
                <w:rFonts w:eastAsia="Times New Roman" w:cs="Times New Roman"/>
                <w:szCs w:val="24"/>
              </w:rPr>
              <w:t>)</w:t>
            </w:r>
          </w:p>
        </w:tc>
      </w:tr>
      <w:tr w:rsidR="0030517B" w:rsidRPr="00CA099F" w:rsidTr="00E1448E">
        <w:tc>
          <w:tcPr>
            <w:tcW w:w="427" w:type="pct"/>
          </w:tcPr>
          <w:p w:rsidR="0030517B" w:rsidRPr="00CA099F" w:rsidRDefault="0030517B" w:rsidP="00E1448E">
            <w:pPr>
              <w:spacing w:after="0" w:line="240" w:lineRule="auto"/>
              <w:ind w:right="-90"/>
              <w:jc w:val="center"/>
              <w:rPr>
                <w:rFonts w:eastAsia="Times New Roman" w:cs="Times New Roman"/>
                <w:szCs w:val="28"/>
              </w:rPr>
            </w:pPr>
            <w:r w:rsidRPr="00CA099F">
              <w:rPr>
                <w:rFonts w:eastAsia="Times New Roman" w:cs="Times New Roman"/>
                <w:sz w:val="28"/>
                <w:szCs w:val="28"/>
              </w:rPr>
              <w:t>РНК, мкг/мг</w:t>
            </w:r>
          </w:p>
        </w:tc>
        <w:tc>
          <w:tcPr>
            <w:tcW w:w="518" w:type="pct"/>
          </w:tcPr>
          <w:p w:rsidR="0030517B" w:rsidRPr="00CA099F" w:rsidRDefault="0030517B" w:rsidP="00E1448E">
            <w:pPr>
              <w:spacing w:after="0" w:line="240" w:lineRule="auto"/>
              <w:jc w:val="center"/>
              <w:rPr>
                <w:rFonts w:eastAsia="Times New Roman" w:cs="Times New Roman"/>
                <w:szCs w:val="28"/>
              </w:rPr>
            </w:pPr>
            <w:r w:rsidRPr="00CA099F">
              <w:rPr>
                <w:rFonts w:eastAsia="Times New Roman" w:cs="Times New Roman"/>
                <w:sz w:val="28"/>
                <w:szCs w:val="28"/>
              </w:rPr>
              <w:t>22,15±0,57</w:t>
            </w:r>
          </w:p>
        </w:tc>
        <w:tc>
          <w:tcPr>
            <w:tcW w:w="555" w:type="pct"/>
          </w:tcPr>
          <w:p w:rsidR="0030517B" w:rsidRPr="00CA099F" w:rsidRDefault="0030517B" w:rsidP="00E1448E">
            <w:pPr>
              <w:spacing w:after="0" w:line="240" w:lineRule="auto"/>
              <w:jc w:val="center"/>
              <w:rPr>
                <w:rFonts w:eastAsia="Times New Roman" w:cs="Times New Roman"/>
                <w:szCs w:val="28"/>
              </w:rPr>
            </w:pPr>
            <w:r w:rsidRPr="00CA099F">
              <w:rPr>
                <w:rFonts w:eastAsia="Times New Roman" w:cs="Times New Roman"/>
                <w:sz w:val="28"/>
                <w:szCs w:val="28"/>
              </w:rPr>
              <w:t>38,31±0,66*</w:t>
            </w:r>
          </w:p>
        </w:tc>
        <w:tc>
          <w:tcPr>
            <w:tcW w:w="584" w:type="pct"/>
          </w:tcPr>
          <w:p w:rsidR="0030517B" w:rsidRPr="00CA099F" w:rsidRDefault="0030517B" w:rsidP="00E1448E">
            <w:pPr>
              <w:spacing w:after="0" w:line="240" w:lineRule="auto"/>
              <w:jc w:val="center"/>
              <w:rPr>
                <w:rFonts w:eastAsia="Times New Roman" w:cs="Times New Roman"/>
                <w:szCs w:val="28"/>
              </w:rPr>
            </w:pPr>
            <w:r w:rsidRPr="00CA099F">
              <w:rPr>
                <w:rFonts w:eastAsia="Times New Roman" w:cs="Times New Roman"/>
                <w:sz w:val="28"/>
                <w:szCs w:val="28"/>
              </w:rPr>
              <w:t>26,41±0,57</w:t>
            </w:r>
          </w:p>
        </w:tc>
        <w:tc>
          <w:tcPr>
            <w:tcW w:w="584" w:type="pct"/>
          </w:tcPr>
          <w:p w:rsidR="0030517B" w:rsidRPr="00CA099F" w:rsidRDefault="0030517B" w:rsidP="00E1448E">
            <w:pPr>
              <w:spacing w:after="0" w:line="240" w:lineRule="auto"/>
              <w:jc w:val="center"/>
              <w:rPr>
                <w:rFonts w:eastAsia="Times New Roman" w:cs="Times New Roman"/>
                <w:szCs w:val="28"/>
              </w:rPr>
            </w:pPr>
            <w:r w:rsidRPr="00CA099F">
              <w:rPr>
                <w:rFonts w:eastAsia="Times New Roman" w:cs="Times New Roman"/>
                <w:sz w:val="28"/>
                <w:szCs w:val="28"/>
              </w:rPr>
              <w:t>31,90±0,53*</w:t>
            </w:r>
          </w:p>
        </w:tc>
        <w:tc>
          <w:tcPr>
            <w:tcW w:w="584" w:type="pct"/>
          </w:tcPr>
          <w:p w:rsidR="0030517B" w:rsidRPr="00CA099F" w:rsidRDefault="0030517B" w:rsidP="00E1448E">
            <w:pPr>
              <w:spacing w:after="0" w:line="240" w:lineRule="auto"/>
              <w:jc w:val="center"/>
              <w:rPr>
                <w:rFonts w:eastAsia="Times New Roman" w:cs="Times New Roman"/>
                <w:szCs w:val="28"/>
              </w:rPr>
            </w:pPr>
            <w:r w:rsidRPr="00CA099F">
              <w:rPr>
                <w:rFonts w:eastAsia="Times New Roman" w:cs="Times New Roman"/>
                <w:sz w:val="28"/>
                <w:szCs w:val="28"/>
              </w:rPr>
              <w:t>28,30±0,36</w:t>
            </w:r>
          </w:p>
        </w:tc>
        <w:tc>
          <w:tcPr>
            <w:tcW w:w="584" w:type="pct"/>
          </w:tcPr>
          <w:p w:rsidR="0030517B" w:rsidRPr="00CA099F" w:rsidRDefault="0030517B" w:rsidP="00E1448E">
            <w:pPr>
              <w:spacing w:after="0" w:line="240" w:lineRule="auto"/>
              <w:jc w:val="center"/>
              <w:rPr>
                <w:rFonts w:eastAsia="Times New Roman" w:cs="Times New Roman"/>
                <w:szCs w:val="28"/>
              </w:rPr>
            </w:pPr>
            <w:r w:rsidRPr="00CA099F">
              <w:rPr>
                <w:rFonts w:eastAsia="Times New Roman" w:cs="Times New Roman"/>
                <w:sz w:val="28"/>
                <w:szCs w:val="28"/>
              </w:rPr>
              <w:t>29,86±0,38</w:t>
            </w:r>
          </w:p>
        </w:tc>
        <w:tc>
          <w:tcPr>
            <w:tcW w:w="584" w:type="pct"/>
          </w:tcPr>
          <w:p w:rsidR="0030517B" w:rsidRPr="00CA099F" w:rsidRDefault="0030517B" w:rsidP="00E1448E">
            <w:pPr>
              <w:spacing w:after="0" w:line="240" w:lineRule="auto"/>
              <w:jc w:val="center"/>
              <w:rPr>
                <w:rFonts w:eastAsia="Times New Roman" w:cs="Times New Roman"/>
                <w:szCs w:val="28"/>
              </w:rPr>
            </w:pPr>
            <w:r w:rsidRPr="00CA099F">
              <w:rPr>
                <w:rFonts w:eastAsia="Times New Roman" w:cs="Times New Roman"/>
                <w:sz w:val="28"/>
                <w:szCs w:val="28"/>
              </w:rPr>
              <w:t>27,46±0,35</w:t>
            </w:r>
          </w:p>
        </w:tc>
        <w:tc>
          <w:tcPr>
            <w:tcW w:w="580" w:type="pct"/>
          </w:tcPr>
          <w:p w:rsidR="0030517B" w:rsidRPr="00CA099F" w:rsidRDefault="0030517B" w:rsidP="00E1448E">
            <w:pPr>
              <w:spacing w:after="0" w:line="240" w:lineRule="auto"/>
              <w:jc w:val="center"/>
              <w:rPr>
                <w:rFonts w:eastAsia="Times New Roman" w:cs="Times New Roman"/>
                <w:szCs w:val="28"/>
              </w:rPr>
            </w:pPr>
            <w:r w:rsidRPr="00CA099F">
              <w:rPr>
                <w:rFonts w:eastAsia="Times New Roman" w:cs="Times New Roman"/>
                <w:sz w:val="28"/>
                <w:szCs w:val="28"/>
              </w:rPr>
              <w:t>30,04±0,49*</w:t>
            </w:r>
          </w:p>
        </w:tc>
      </w:tr>
      <w:tr w:rsidR="0030517B" w:rsidRPr="00CA099F" w:rsidTr="00E1448E">
        <w:tc>
          <w:tcPr>
            <w:tcW w:w="427" w:type="pct"/>
          </w:tcPr>
          <w:p w:rsidR="0030517B" w:rsidRPr="00CA099F" w:rsidRDefault="0030517B" w:rsidP="00E1448E">
            <w:pPr>
              <w:spacing w:after="0" w:line="240" w:lineRule="auto"/>
              <w:ind w:right="-90"/>
              <w:jc w:val="center"/>
              <w:rPr>
                <w:rFonts w:eastAsia="Times New Roman" w:cs="Times New Roman"/>
                <w:szCs w:val="28"/>
              </w:rPr>
            </w:pPr>
          </w:p>
        </w:tc>
        <w:tc>
          <w:tcPr>
            <w:tcW w:w="518" w:type="pct"/>
          </w:tcPr>
          <w:p w:rsidR="0030517B" w:rsidRPr="00CA099F" w:rsidRDefault="0030517B" w:rsidP="00E1448E">
            <w:pPr>
              <w:spacing w:after="0" w:line="240" w:lineRule="auto"/>
              <w:jc w:val="center"/>
              <w:rPr>
                <w:rFonts w:eastAsia="Times New Roman" w:cs="Times New Roman"/>
                <w:szCs w:val="28"/>
              </w:rPr>
            </w:pPr>
          </w:p>
        </w:tc>
        <w:tc>
          <w:tcPr>
            <w:tcW w:w="555" w:type="pct"/>
          </w:tcPr>
          <w:p w:rsidR="0030517B" w:rsidRPr="00CA099F" w:rsidRDefault="0030517B" w:rsidP="00E1448E">
            <w:pPr>
              <w:spacing w:after="0" w:line="240" w:lineRule="auto"/>
              <w:jc w:val="center"/>
              <w:rPr>
                <w:rFonts w:eastAsia="Times New Roman" w:cs="Times New Roman"/>
                <w:szCs w:val="28"/>
              </w:rPr>
            </w:pPr>
          </w:p>
        </w:tc>
        <w:tc>
          <w:tcPr>
            <w:tcW w:w="584" w:type="pct"/>
          </w:tcPr>
          <w:p w:rsidR="0030517B" w:rsidRPr="00CA099F" w:rsidRDefault="0030517B" w:rsidP="00E1448E">
            <w:pPr>
              <w:spacing w:after="0" w:line="240" w:lineRule="auto"/>
              <w:jc w:val="center"/>
              <w:rPr>
                <w:rFonts w:eastAsia="Times New Roman" w:cs="Times New Roman"/>
                <w:szCs w:val="28"/>
              </w:rPr>
            </w:pPr>
          </w:p>
        </w:tc>
        <w:tc>
          <w:tcPr>
            <w:tcW w:w="584" w:type="pct"/>
          </w:tcPr>
          <w:p w:rsidR="0030517B" w:rsidRPr="00CA099F" w:rsidRDefault="0030517B" w:rsidP="00E1448E">
            <w:pPr>
              <w:spacing w:after="0"/>
              <w:jc w:val="center"/>
              <w:rPr>
                <w:rFonts w:eastAsia="Times New Roman" w:cs="Times New Roman"/>
                <w:szCs w:val="28"/>
              </w:rPr>
            </w:pPr>
            <w:r w:rsidRPr="00CA099F">
              <w:rPr>
                <w:rFonts w:eastAsia="Times New Roman" w:cs="Times New Roman"/>
                <w:color w:val="000000"/>
                <w:sz w:val="28"/>
                <w:szCs w:val="28"/>
              </w:rPr>
              <w:t>р</w:t>
            </w:r>
            <w:r w:rsidRPr="00CA099F">
              <w:rPr>
                <w:rFonts w:eastAsia="Times New Roman" w:cs="Times New Roman"/>
                <w:color w:val="000000"/>
                <w:sz w:val="28"/>
                <w:szCs w:val="28"/>
                <w:vertAlign w:val="subscript"/>
              </w:rPr>
              <w:t>1</w:t>
            </w:r>
            <w:r w:rsidRPr="00CA099F">
              <w:rPr>
                <w:rFonts w:eastAsia="Times New Roman" w:cs="Times New Roman"/>
                <w:color w:val="000000"/>
                <w:sz w:val="28"/>
                <w:szCs w:val="28"/>
              </w:rPr>
              <w:t>&lt;0,01</w:t>
            </w:r>
          </w:p>
        </w:tc>
        <w:tc>
          <w:tcPr>
            <w:tcW w:w="584" w:type="pct"/>
          </w:tcPr>
          <w:p w:rsidR="0030517B" w:rsidRPr="00CA099F" w:rsidRDefault="0030517B" w:rsidP="00E1448E">
            <w:pPr>
              <w:spacing w:after="0"/>
              <w:jc w:val="center"/>
              <w:rPr>
                <w:rFonts w:eastAsia="Times New Roman" w:cs="Times New Roman"/>
                <w:szCs w:val="28"/>
              </w:rPr>
            </w:pPr>
          </w:p>
        </w:tc>
        <w:tc>
          <w:tcPr>
            <w:tcW w:w="584" w:type="pct"/>
          </w:tcPr>
          <w:p w:rsidR="0030517B" w:rsidRPr="00CA099F" w:rsidRDefault="0030517B" w:rsidP="00E1448E">
            <w:pPr>
              <w:spacing w:after="0"/>
              <w:jc w:val="center"/>
              <w:rPr>
                <w:rFonts w:eastAsia="Times New Roman" w:cs="Times New Roman"/>
                <w:szCs w:val="28"/>
              </w:rPr>
            </w:pPr>
            <w:r w:rsidRPr="00CA099F">
              <w:rPr>
                <w:rFonts w:eastAsia="Times New Roman" w:cs="Times New Roman"/>
                <w:color w:val="000000"/>
                <w:sz w:val="28"/>
                <w:szCs w:val="28"/>
              </w:rPr>
              <w:t>р</w:t>
            </w:r>
            <w:r w:rsidRPr="00CA099F">
              <w:rPr>
                <w:rFonts w:eastAsia="Times New Roman" w:cs="Times New Roman"/>
                <w:color w:val="000000"/>
                <w:sz w:val="28"/>
                <w:szCs w:val="28"/>
                <w:vertAlign w:val="subscript"/>
              </w:rPr>
              <w:t>2</w:t>
            </w:r>
            <w:r w:rsidRPr="00CA099F">
              <w:rPr>
                <w:rFonts w:eastAsia="Times New Roman" w:cs="Times New Roman"/>
                <w:color w:val="000000"/>
                <w:sz w:val="28"/>
                <w:szCs w:val="28"/>
              </w:rPr>
              <w:t>&lt;0,05</w:t>
            </w:r>
          </w:p>
        </w:tc>
        <w:tc>
          <w:tcPr>
            <w:tcW w:w="584" w:type="pct"/>
          </w:tcPr>
          <w:p w:rsidR="0030517B" w:rsidRPr="00CA099F" w:rsidRDefault="0030517B" w:rsidP="00E1448E">
            <w:pPr>
              <w:spacing w:after="0"/>
              <w:jc w:val="center"/>
              <w:rPr>
                <w:rFonts w:eastAsia="Times New Roman" w:cs="Times New Roman"/>
                <w:szCs w:val="28"/>
              </w:rPr>
            </w:pPr>
          </w:p>
        </w:tc>
        <w:tc>
          <w:tcPr>
            <w:tcW w:w="580" w:type="pct"/>
          </w:tcPr>
          <w:p w:rsidR="0030517B" w:rsidRPr="00CA099F" w:rsidRDefault="0030517B" w:rsidP="00E1448E">
            <w:pPr>
              <w:spacing w:after="0" w:line="240" w:lineRule="auto"/>
              <w:jc w:val="center"/>
              <w:rPr>
                <w:rFonts w:eastAsia="Times New Roman" w:cs="Times New Roman"/>
                <w:szCs w:val="28"/>
              </w:rPr>
            </w:pPr>
          </w:p>
        </w:tc>
      </w:tr>
      <w:tr w:rsidR="0030517B" w:rsidRPr="00CA099F" w:rsidTr="00E1448E">
        <w:tc>
          <w:tcPr>
            <w:tcW w:w="427" w:type="pct"/>
          </w:tcPr>
          <w:p w:rsidR="0030517B" w:rsidRPr="00CA099F" w:rsidRDefault="0030517B" w:rsidP="00E1448E">
            <w:pPr>
              <w:spacing w:after="0" w:line="240" w:lineRule="auto"/>
              <w:ind w:right="-90"/>
              <w:jc w:val="center"/>
              <w:rPr>
                <w:rFonts w:eastAsia="Times New Roman" w:cs="Times New Roman"/>
                <w:szCs w:val="28"/>
              </w:rPr>
            </w:pPr>
            <w:r w:rsidRPr="00CA099F">
              <w:rPr>
                <w:rFonts w:eastAsia="Times New Roman" w:cs="Times New Roman"/>
                <w:sz w:val="28"/>
                <w:szCs w:val="28"/>
              </w:rPr>
              <w:t xml:space="preserve">ДНК, мкг/мг </w:t>
            </w:r>
          </w:p>
        </w:tc>
        <w:tc>
          <w:tcPr>
            <w:tcW w:w="518" w:type="pct"/>
          </w:tcPr>
          <w:p w:rsidR="0030517B" w:rsidRPr="00CA099F" w:rsidRDefault="0030517B" w:rsidP="00E1448E">
            <w:pPr>
              <w:spacing w:after="0" w:line="240" w:lineRule="auto"/>
              <w:jc w:val="center"/>
              <w:rPr>
                <w:rFonts w:eastAsia="Times New Roman" w:cs="Times New Roman"/>
                <w:szCs w:val="28"/>
              </w:rPr>
            </w:pPr>
            <w:r w:rsidRPr="00CA099F">
              <w:rPr>
                <w:rFonts w:eastAsia="Times New Roman" w:cs="Times New Roman"/>
                <w:sz w:val="28"/>
                <w:szCs w:val="28"/>
              </w:rPr>
              <w:t>17,09±0,27</w:t>
            </w:r>
          </w:p>
        </w:tc>
        <w:tc>
          <w:tcPr>
            <w:tcW w:w="555" w:type="pct"/>
          </w:tcPr>
          <w:p w:rsidR="0030517B" w:rsidRPr="00CA099F" w:rsidRDefault="0030517B" w:rsidP="00E1448E">
            <w:pPr>
              <w:spacing w:after="0" w:line="240" w:lineRule="auto"/>
              <w:jc w:val="center"/>
              <w:rPr>
                <w:rFonts w:eastAsia="Times New Roman" w:cs="Times New Roman"/>
                <w:szCs w:val="28"/>
              </w:rPr>
            </w:pPr>
            <w:r w:rsidRPr="00CA099F">
              <w:rPr>
                <w:rFonts w:eastAsia="Times New Roman" w:cs="Times New Roman"/>
                <w:sz w:val="28"/>
                <w:szCs w:val="28"/>
              </w:rPr>
              <w:t>29,92±0,39*</w:t>
            </w:r>
          </w:p>
        </w:tc>
        <w:tc>
          <w:tcPr>
            <w:tcW w:w="584" w:type="pct"/>
          </w:tcPr>
          <w:p w:rsidR="0030517B" w:rsidRPr="00CA099F" w:rsidRDefault="0030517B" w:rsidP="00E1448E">
            <w:pPr>
              <w:spacing w:after="0" w:line="240" w:lineRule="auto"/>
              <w:jc w:val="center"/>
              <w:rPr>
                <w:rFonts w:eastAsia="Times New Roman" w:cs="Times New Roman"/>
                <w:szCs w:val="28"/>
              </w:rPr>
            </w:pPr>
            <w:r w:rsidRPr="00CA099F">
              <w:rPr>
                <w:rFonts w:eastAsia="Times New Roman" w:cs="Times New Roman"/>
                <w:sz w:val="28"/>
                <w:szCs w:val="28"/>
              </w:rPr>
              <w:t>19,95±0,42</w:t>
            </w:r>
          </w:p>
        </w:tc>
        <w:tc>
          <w:tcPr>
            <w:tcW w:w="584" w:type="pct"/>
          </w:tcPr>
          <w:p w:rsidR="0030517B" w:rsidRPr="00CA099F" w:rsidRDefault="0030517B" w:rsidP="00E1448E">
            <w:pPr>
              <w:spacing w:after="0" w:line="240" w:lineRule="auto"/>
              <w:jc w:val="center"/>
              <w:rPr>
                <w:rFonts w:eastAsia="Times New Roman" w:cs="Times New Roman"/>
                <w:szCs w:val="28"/>
              </w:rPr>
            </w:pPr>
            <w:r w:rsidRPr="00CA099F">
              <w:rPr>
                <w:rFonts w:eastAsia="Times New Roman" w:cs="Times New Roman"/>
                <w:sz w:val="28"/>
                <w:szCs w:val="28"/>
              </w:rPr>
              <w:t>26,31±0,32*</w:t>
            </w:r>
          </w:p>
        </w:tc>
        <w:tc>
          <w:tcPr>
            <w:tcW w:w="584" w:type="pct"/>
          </w:tcPr>
          <w:p w:rsidR="0030517B" w:rsidRPr="00CA099F" w:rsidRDefault="0030517B" w:rsidP="00E1448E">
            <w:pPr>
              <w:spacing w:after="0" w:line="240" w:lineRule="auto"/>
              <w:jc w:val="center"/>
              <w:rPr>
                <w:rFonts w:eastAsia="Times New Roman" w:cs="Times New Roman"/>
                <w:szCs w:val="28"/>
              </w:rPr>
            </w:pPr>
            <w:r w:rsidRPr="00CA099F">
              <w:rPr>
                <w:rFonts w:eastAsia="Times New Roman" w:cs="Times New Roman"/>
                <w:sz w:val="28"/>
                <w:szCs w:val="28"/>
              </w:rPr>
              <w:t>20,02±0,27</w:t>
            </w:r>
          </w:p>
        </w:tc>
        <w:tc>
          <w:tcPr>
            <w:tcW w:w="584" w:type="pct"/>
          </w:tcPr>
          <w:p w:rsidR="0030517B" w:rsidRPr="00CA099F" w:rsidRDefault="0030517B" w:rsidP="00E1448E">
            <w:pPr>
              <w:spacing w:after="0" w:line="240" w:lineRule="auto"/>
              <w:jc w:val="center"/>
              <w:rPr>
                <w:rFonts w:eastAsia="Times New Roman" w:cs="Times New Roman"/>
                <w:szCs w:val="28"/>
              </w:rPr>
            </w:pPr>
            <w:r w:rsidRPr="00CA099F">
              <w:rPr>
                <w:rFonts w:eastAsia="Times New Roman" w:cs="Times New Roman"/>
                <w:sz w:val="28"/>
                <w:szCs w:val="28"/>
              </w:rPr>
              <w:t>22,07±0,40*</w:t>
            </w:r>
          </w:p>
        </w:tc>
        <w:tc>
          <w:tcPr>
            <w:tcW w:w="584" w:type="pct"/>
          </w:tcPr>
          <w:p w:rsidR="0030517B" w:rsidRPr="00CA099F" w:rsidRDefault="0030517B" w:rsidP="00E1448E">
            <w:pPr>
              <w:spacing w:after="0" w:line="240" w:lineRule="auto"/>
              <w:jc w:val="center"/>
              <w:rPr>
                <w:rFonts w:eastAsia="Times New Roman" w:cs="Times New Roman"/>
                <w:szCs w:val="28"/>
              </w:rPr>
            </w:pPr>
            <w:r w:rsidRPr="00CA099F">
              <w:rPr>
                <w:rFonts w:eastAsia="Times New Roman" w:cs="Times New Roman"/>
                <w:sz w:val="28"/>
                <w:szCs w:val="28"/>
              </w:rPr>
              <w:t>20,47±0,40</w:t>
            </w:r>
          </w:p>
        </w:tc>
        <w:tc>
          <w:tcPr>
            <w:tcW w:w="580" w:type="pct"/>
          </w:tcPr>
          <w:p w:rsidR="0030517B" w:rsidRPr="00CA099F" w:rsidRDefault="0030517B" w:rsidP="00E1448E">
            <w:pPr>
              <w:spacing w:after="0" w:line="240" w:lineRule="auto"/>
              <w:jc w:val="center"/>
              <w:rPr>
                <w:rFonts w:eastAsia="Times New Roman" w:cs="Times New Roman"/>
                <w:szCs w:val="28"/>
              </w:rPr>
            </w:pPr>
            <w:r w:rsidRPr="00CA099F">
              <w:rPr>
                <w:rFonts w:eastAsia="Times New Roman" w:cs="Times New Roman"/>
                <w:sz w:val="28"/>
                <w:szCs w:val="28"/>
              </w:rPr>
              <w:t>20,62±0,64</w:t>
            </w:r>
          </w:p>
        </w:tc>
      </w:tr>
      <w:tr w:rsidR="0030517B" w:rsidRPr="00CA099F" w:rsidTr="00E1448E">
        <w:tc>
          <w:tcPr>
            <w:tcW w:w="427" w:type="pct"/>
          </w:tcPr>
          <w:p w:rsidR="0030517B" w:rsidRPr="00CA099F" w:rsidRDefault="0030517B" w:rsidP="00E1448E">
            <w:pPr>
              <w:spacing w:after="0" w:line="240" w:lineRule="auto"/>
              <w:jc w:val="center"/>
              <w:rPr>
                <w:rFonts w:eastAsia="Times New Roman" w:cs="Times New Roman"/>
                <w:szCs w:val="28"/>
              </w:rPr>
            </w:pPr>
          </w:p>
        </w:tc>
        <w:tc>
          <w:tcPr>
            <w:tcW w:w="518" w:type="pct"/>
          </w:tcPr>
          <w:p w:rsidR="0030517B" w:rsidRPr="00CA099F" w:rsidRDefault="0030517B" w:rsidP="00E1448E">
            <w:pPr>
              <w:spacing w:after="0" w:line="240" w:lineRule="auto"/>
              <w:jc w:val="center"/>
              <w:rPr>
                <w:rFonts w:eastAsia="Times New Roman" w:cs="Times New Roman"/>
                <w:szCs w:val="28"/>
              </w:rPr>
            </w:pPr>
          </w:p>
        </w:tc>
        <w:tc>
          <w:tcPr>
            <w:tcW w:w="555" w:type="pct"/>
          </w:tcPr>
          <w:p w:rsidR="0030517B" w:rsidRPr="00CA099F" w:rsidRDefault="0030517B" w:rsidP="00E1448E">
            <w:pPr>
              <w:spacing w:after="0" w:line="240" w:lineRule="auto"/>
              <w:jc w:val="center"/>
              <w:rPr>
                <w:rFonts w:eastAsia="Times New Roman" w:cs="Times New Roman"/>
                <w:szCs w:val="28"/>
              </w:rPr>
            </w:pPr>
          </w:p>
        </w:tc>
        <w:tc>
          <w:tcPr>
            <w:tcW w:w="584" w:type="pct"/>
          </w:tcPr>
          <w:p w:rsidR="0030517B" w:rsidRPr="00CA099F" w:rsidRDefault="0030517B" w:rsidP="00E1448E">
            <w:pPr>
              <w:spacing w:after="0" w:line="240" w:lineRule="auto"/>
              <w:jc w:val="center"/>
              <w:rPr>
                <w:rFonts w:eastAsia="Times New Roman" w:cs="Times New Roman"/>
                <w:szCs w:val="28"/>
              </w:rPr>
            </w:pPr>
          </w:p>
        </w:tc>
        <w:tc>
          <w:tcPr>
            <w:tcW w:w="584" w:type="pct"/>
          </w:tcPr>
          <w:p w:rsidR="0030517B" w:rsidRPr="00CA099F" w:rsidRDefault="0030517B" w:rsidP="00E1448E">
            <w:pPr>
              <w:spacing w:after="0"/>
              <w:jc w:val="center"/>
              <w:rPr>
                <w:rFonts w:eastAsia="Times New Roman" w:cs="Times New Roman"/>
                <w:szCs w:val="28"/>
              </w:rPr>
            </w:pPr>
            <w:r w:rsidRPr="00CA099F">
              <w:rPr>
                <w:rFonts w:eastAsia="Times New Roman" w:cs="Times New Roman"/>
                <w:color w:val="000000"/>
                <w:sz w:val="28"/>
                <w:szCs w:val="28"/>
              </w:rPr>
              <w:t>р</w:t>
            </w:r>
            <w:r w:rsidRPr="00CA099F">
              <w:rPr>
                <w:rFonts w:eastAsia="Times New Roman" w:cs="Times New Roman"/>
                <w:color w:val="000000"/>
                <w:sz w:val="28"/>
                <w:szCs w:val="28"/>
                <w:vertAlign w:val="subscript"/>
              </w:rPr>
              <w:t>1</w:t>
            </w:r>
            <w:r w:rsidRPr="00CA099F">
              <w:rPr>
                <w:rFonts w:eastAsia="Times New Roman" w:cs="Times New Roman"/>
                <w:color w:val="000000"/>
                <w:sz w:val="28"/>
                <w:szCs w:val="28"/>
              </w:rPr>
              <w:t>&lt;0,01</w:t>
            </w:r>
          </w:p>
        </w:tc>
        <w:tc>
          <w:tcPr>
            <w:tcW w:w="584" w:type="pct"/>
          </w:tcPr>
          <w:p w:rsidR="0030517B" w:rsidRPr="00CA099F" w:rsidRDefault="0030517B" w:rsidP="00E1448E">
            <w:pPr>
              <w:spacing w:after="0"/>
              <w:jc w:val="center"/>
              <w:rPr>
                <w:rFonts w:eastAsia="Times New Roman" w:cs="Times New Roman"/>
                <w:szCs w:val="28"/>
              </w:rPr>
            </w:pPr>
          </w:p>
        </w:tc>
        <w:tc>
          <w:tcPr>
            <w:tcW w:w="584" w:type="pct"/>
          </w:tcPr>
          <w:p w:rsidR="0030517B" w:rsidRPr="00CA099F" w:rsidRDefault="0030517B" w:rsidP="00E1448E">
            <w:pPr>
              <w:spacing w:after="0"/>
              <w:jc w:val="center"/>
              <w:rPr>
                <w:rFonts w:eastAsia="Times New Roman" w:cs="Times New Roman"/>
                <w:szCs w:val="28"/>
              </w:rPr>
            </w:pPr>
            <w:r w:rsidRPr="00CA099F">
              <w:rPr>
                <w:rFonts w:eastAsia="Times New Roman" w:cs="Times New Roman"/>
                <w:color w:val="000000"/>
                <w:sz w:val="28"/>
                <w:szCs w:val="28"/>
              </w:rPr>
              <w:t>р</w:t>
            </w:r>
            <w:r w:rsidRPr="00CA099F">
              <w:rPr>
                <w:rFonts w:eastAsia="Times New Roman" w:cs="Times New Roman"/>
                <w:color w:val="000000"/>
                <w:sz w:val="28"/>
                <w:szCs w:val="28"/>
                <w:vertAlign w:val="subscript"/>
              </w:rPr>
              <w:t>2</w:t>
            </w:r>
            <w:r w:rsidRPr="00CA099F">
              <w:rPr>
                <w:rFonts w:eastAsia="Times New Roman" w:cs="Times New Roman"/>
                <w:color w:val="000000"/>
                <w:sz w:val="28"/>
                <w:szCs w:val="28"/>
              </w:rPr>
              <w:t>&lt;0,05</w:t>
            </w:r>
          </w:p>
        </w:tc>
        <w:tc>
          <w:tcPr>
            <w:tcW w:w="584" w:type="pct"/>
          </w:tcPr>
          <w:p w:rsidR="0030517B" w:rsidRPr="00CA099F" w:rsidRDefault="0030517B" w:rsidP="00E1448E">
            <w:pPr>
              <w:spacing w:after="0" w:line="240" w:lineRule="auto"/>
              <w:jc w:val="center"/>
              <w:rPr>
                <w:rFonts w:eastAsia="Times New Roman" w:cs="Times New Roman"/>
                <w:szCs w:val="28"/>
              </w:rPr>
            </w:pPr>
          </w:p>
        </w:tc>
        <w:tc>
          <w:tcPr>
            <w:tcW w:w="580" w:type="pct"/>
          </w:tcPr>
          <w:p w:rsidR="0030517B" w:rsidRPr="00CA099F" w:rsidRDefault="0030517B" w:rsidP="00E1448E">
            <w:pPr>
              <w:spacing w:after="0" w:line="240" w:lineRule="auto"/>
              <w:jc w:val="center"/>
              <w:rPr>
                <w:rFonts w:eastAsia="Times New Roman" w:cs="Times New Roman"/>
                <w:szCs w:val="28"/>
              </w:rPr>
            </w:pPr>
            <w:r w:rsidRPr="00CA099F">
              <w:rPr>
                <w:rFonts w:eastAsia="Times New Roman" w:cs="Times New Roman"/>
                <w:color w:val="000000"/>
                <w:sz w:val="28"/>
                <w:szCs w:val="28"/>
              </w:rPr>
              <w:t>р</w:t>
            </w:r>
            <w:r w:rsidRPr="00CA099F">
              <w:rPr>
                <w:rFonts w:eastAsia="Times New Roman" w:cs="Times New Roman"/>
                <w:color w:val="000000"/>
                <w:sz w:val="28"/>
                <w:szCs w:val="28"/>
                <w:vertAlign w:val="subscript"/>
              </w:rPr>
              <w:t>3</w:t>
            </w:r>
            <w:r w:rsidRPr="00CA099F">
              <w:rPr>
                <w:rFonts w:eastAsia="Times New Roman" w:cs="Times New Roman"/>
                <w:color w:val="000000"/>
                <w:sz w:val="28"/>
                <w:szCs w:val="28"/>
              </w:rPr>
              <w:t>&lt;0,05</w:t>
            </w:r>
          </w:p>
        </w:tc>
      </w:tr>
      <w:tr w:rsidR="0030517B" w:rsidRPr="00CA099F" w:rsidTr="00C76B4A">
        <w:tblPrEx>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Ex>
        <w:tc>
          <w:tcPr>
            <w:tcW w:w="5000" w:type="pct"/>
            <w:gridSpan w:val="9"/>
            <w:tcBorders>
              <w:left w:val="single" w:sz="4" w:space="0" w:color="auto"/>
              <w:bottom w:val="single" w:sz="4" w:space="0" w:color="auto"/>
              <w:right w:val="single" w:sz="4" w:space="0" w:color="auto"/>
            </w:tcBorders>
          </w:tcPr>
          <w:p w:rsidR="0030517B" w:rsidRPr="00CA099F" w:rsidRDefault="0030517B" w:rsidP="00E1448E">
            <w:pPr>
              <w:spacing w:after="0" w:line="240" w:lineRule="auto"/>
              <w:jc w:val="both"/>
              <w:rPr>
                <w:rFonts w:eastAsia="Times New Roman" w:cs="Times New Roman"/>
                <w:szCs w:val="28"/>
              </w:rPr>
            </w:pPr>
            <w:r w:rsidRPr="00CA099F">
              <w:rPr>
                <w:rFonts w:eastAsia="Times New Roman" w:cs="Times New Roman"/>
                <w:sz w:val="28"/>
                <w:szCs w:val="28"/>
              </w:rPr>
              <w:t>Примітка:</w:t>
            </w:r>
          </w:p>
          <w:p w:rsidR="0030517B" w:rsidRPr="00CA099F" w:rsidRDefault="0030517B" w:rsidP="00E1448E">
            <w:pPr>
              <w:spacing w:after="0" w:line="240" w:lineRule="auto"/>
              <w:jc w:val="both"/>
              <w:rPr>
                <w:rFonts w:eastAsia="Times New Roman" w:cs="Times New Roman"/>
                <w:szCs w:val="28"/>
              </w:rPr>
            </w:pPr>
            <w:r w:rsidRPr="00CA099F">
              <w:rPr>
                <w:rFonts w:eastAsia="Times New Roman" w:cs="Times New Roman"/>
                <w:sz w:val="28"/>
                <w:szCs w:val="28"/>
              </w:rPr>
              <w:t>*- різниця достовірна стосовно даних групи порівняння в межах одного терміну спостереження</w:t>
            </w:r>
          </w:p>
          <w:p w:rsidR="0030517B" w:rsidRPr="00CA099F" w:rsidRDefault="0030517B" w:rsidP="00E1448E">
            <w:pPr>
              <w:tabs>
                <w:tab w:val="left" w:pos="709"/>
              </w:tabs>
              <w:spacing w:after="0" w:line="240" w:lineRule="auto"/>
              <w:ind w:right="-6"/>
              <w:jc w:val="both"/>
              <w:rPr>
                <w:rFonts w:eastAsia="Times New Roman" w:cs="Times New Roman"/>
                <w:color w:val="000000"/>
                <w:szCs w:val="28"/>
              </w:rPr>
            </w:pPr>
            <w:r w:rsidRPr="00CA099F">
              <w:rPr>
                <w:rFonts w:eastAsia="Times New Roman" w:cs="Times New Roman"/>
                <w:color w:val="000000"/>
                <w:sz w:val="28"/>
                <w:szCs w:val="28"/>
              </w:rPr>
              <w:t>р</w:t>
            </w:r>
            <w:r w:rsidRPr="00CA099F">
              <w:rPr>
                <w:rFonts w:eastAsia="Times New Roman" w:cs="Times New Roman"/>
                <w:color w:val="000000"/>
                <w:sz w:val="28"/>
                <w:szCs w:val="28"/>
                <w:vertAlign w:val="subscript"/>
              </w:rPr>
              <w:t>1</w:t>
            </w:r>
            <w:r w:rsidRPr="00CA099F">
              <w:rPr>
                <w:rFonts w:eastAsia="Times New Roman" w:cs="Times New Roman"/>
                <w:color w:val="000000"/>
                <w:sz w:val="28"/>
                <w:szCs w:val="28"/>
              </w:rPr>
              <w:t xml:space="preserve"> –показник достовірності між дослідними групами, термін спостереження 3 і 6 місяців; </w:t>
            </w:r>
          </w:p>
          <w:p w:rsidR="0030517B" w:rsidRPr="00CA099F" w:rsidRDefault="0030517B" w:rsidP="00E1448E">
            <w:pPr>
              <w:spacing w:after="0" w:line="240" w:lineRule="auto"/>
              <w:jc w:val="both"/>
              <w:rPr>
                <w:rFonts w:eastAsia="Times New Roman" w:cs="Times New Roman"/>
                <w:color w:val="000000"/>
                <w:szCs w:val="28"/>
              </w:rPr>
            </w:pPr>
            <w:r w:rsidRPr="00CA099F">
              <w:rPr>
                <w:rFonts w:eastAsia="Times New Roman" w:cs="Times New Roman"/>
                <w:color w:val="000000"/>
                <w:sz w:val="28"/>
                <w:szCs w:val="28"/>
              </w:rPr>
              <w:t>р</w:t>
            </w:r>
            <w:r w:rsidRPr="00CA099F">
              <w:rPr>
                <w:rFonts w:eastAsia="Times New Roman" w:cs="Times New Roman"/>
                <w:color w:val="000000"/>
                <w:sz w:val="28"/>
                <w:szCs w:val="28"/>
                <w:vertAlign w:val="subscript"/>
              </w:rPr>
              <w:t xml:space="preserve">2 </w:t>
            </w:r>
            <w:r w:rsidRPr="00CA099F">
              <w:rPr>
                <w:rFonts w:eastAsia="Times New Roman" w:cs="Times New Roman"/>
                <w:color w:val="000000"/>
                <w:sz w:val="28"/>
                <w:szCs w:val="28"/>
              </w:rPr>
              <w:t>–показник достовірності між дослідними групами, термін спостереження 6 і 9 місяців;</w:t>
            </w:r>
          </w:p>
          <w:p w:rsidR="0030517B" w:rsidRPr="00CA099F" w:rsidRDefault="0030517B" w:rsidP="00E1448E">
            <w:pPr>
              <w:spacing w:after="0" w:line="240" w:lineRule="auto"/>
              <w:rPr>
                <w:rFonts w:eastAsia="Times New Roman" w:cs="Times New Roman"/>
                <w:color w:val="000000"/>
                <w:szCs w:val="28"/>
              </w:rPr>
            </w:pPr>
            <w:r w:rsidRPr="00CA099F">
              <w:rPr>
                <w:rFonts w:eastAsia="Times New Roman" w:cs="Times New Roman"/>
                <w:color w:val="000000"/>
                <w:sz w:val="28"/>
                <w:szCs w:val="28"/>
              </w:rPr>
              <w:t>р</w:t>
            </w:r>
            <w:r w:rsidRPr="00CA099F">
              <w:rPr>
                <w:rFonts w:eastAsia="Times New Roman" w:cs="Times New Roman"/>
                <w:color w:val="000000"/>
                <w:sz w:val="28"/>
                <w:szCs w:val="28"/>
                <w:vertAlign w:val="subscript"/>
              </w:rPr>
              <w:t xml:space="preserve">3 </w:t>
            </w:r>
            <w:r w:rsidRPr="00CA099F">
              <w:rPr>
                <w:rFonts w:eastAsia="Times New Roman" w:cs="Times New Roman"/>
                <w:color w:val="000000"/>
                <w:sz w:val="28"/>
                <w:szCs w:val="28"/>
              </w:rPr>
              <w:t>–показник достовірності між дослідними групами, термін спостереження 9 і 12 місяців</w:t>
            </w:r>
          </w:p>
        </w:tc>
      </w:tr>
    </w:tbl>
    <w:p w:rsidR="0030517B" w:rsidRPr="00CA099F" w:rsidRDefault="0030517B" w:rsidP="0030517B">
      <w:pPr>
        <w:spacing w:after="0"/>
        <w:rPr>
          <w:rFonts w:ascii="Calibri" w:eastAsia="Times New Roman" w:hAnsi="Calibri" w:cs="Times New Roman"/>
          <w:sz w:val="22"/>
        </w:rPr>
      </w:pPr>
    </w:p>
    <w:p w:rsidR="0030517B" w:rsidRPr="00CA099F" w:rsidRDefault="0030517B" w:rsidP="00DB77F1">
      <w:pPr>
        <w:spacing w:after="0" w:line="360" w:lineRule="auto"/>
        <w:ind w:firstLine="709"/>
        <w:jc w:val="both"/>
        <w:rPr>
          <w:rFonts w:eastAsia="Times New Roman" w:cs="Times New Roman"/>
          <w:sz w:val="28"/>
          <w:szCs w:val="28"/>
        </w:rPr>
      </w:pPr>
      <w:r w:rsidRPr="00CA099F">
        <w:rPr>
          <w:rFonts w:eastAsia="Times New Roman" w:cs="Times New Roman"/>
          <w:sz w:val="28"/>
          <w:szCs w:val="28"/>
        </w:rPr>
        <w:t>Встановлено, що у пацієнтів, яким під час оперативного втручання введено PRF-згусток, активність СОД через 3 місяці спостереження була достовірно меншою на 12,4 %, через 9 місяців – на 11,1 %, стосовно даних третьої групи. У пацієнтів першої і третьої груп через 6 та 12 місяців даний показник достовірно не відрізнявся (табл. 5.7).</w:t>
      </w:r>
    </w:p>
    <w:p w:rsidR="0030517B" w:rsidRDefault="0030517B" w:rsidP="00DB77F1">
      <w:pPr>
        <w:spacing w:after="0" w:line="360" w:lineRule="auto"/>
        <w:ind w:firstLine="709"/>
        <w:jc w:val="both"/>
        <w:rPr>
          <w:rFonts w:eastAsia="Times New Roman" w:cs="Times New Roman"/>
          <w:color w:val="000000"/>
          <w:sz w:val="28"/>
          <w:szCs w:val="28"/>
        </w:rPr>
      </w:pPr>
      <w:r w:rsidRPr="00CA099F">
        <w:rPr>
          <w:rFonts w:eastAsia="Times New Roman" w:cs="Times New Roman"/>
          <w:sz w:val="28"/>
          <w:szCs w:val="28"/>
        </w:rPr>
        <w:t xml:space="preserve">Слід зазначити, що рівень досліджуваного показника змінювався впродовж </w:t>
      </w:r>
      <w:r w:rsidR="00DB77F1">
        <w:rPr>
          <w:rFonts w:eastAsia="Times New Roman" w:cs="Times New Roman"/>
          <w:sz w:val="28"/>
          <w:szCs w:val="28"/>
          <w:lang w:val="ru-RU"/>
        </w:rPr>
        <w:t xml:space="preserve">всього </w:t>
      </w:r>
      <w:r w:rsidRPr="00CA099F">
        <w:rPr>
          <w:rFonts w:eastAsia="Times New Roman" w:cs="Times New Roman"/>
          <w:sz w:val="28"/>
          <w:szCs w:val="28"/>
        </w:rPr>
        <w:t>терміну спостереження. Так, у пацієнтів, яким під час оперативного втручання введено PRF-згусток, через 6 місяців активність СОД була на 23,0 % нижчою</w:t>
      </w:r>
      <w:r w:rsidR="00DB77F1">
        <w:rPr>
          <w:rFonts w:eastAsia="Times New Roman" w:cs="Times New Roman"/>
          <w:sz w:val="28"/>
          <w:szCs w:val="28"/>
          <w:lang w:val="ru-RU"/>
        </w:rPr>
        <w:t xml:space="preserve"> </w:t>
      </w:r>
      <w:r w:rsidR="00DB77F1" w:rsidRPr="00CA099F">
        <w:rPr>
          <w:rFonts w:eastAsia="Times New Roman" w:cs="Times New Roman"/>
          <w:sz w:val="28"/>
          <w:szCs w:val="28"/>
        </w:rPr>
        <w:t>(</w:t>
      </w:r>
      <w:r w:rsidR="00DB77F1" w:rsidRPr="00CA099F">
        <w:rPr>
          <w:rFonts w:eastAsia="Times New Roman" w:cs="Times New Roman"/>
          <w:color w:val="000000"/>
          <w:sz w:val="28"/>
          <w:szCs w:val="28"/>
        </w:rPr>
        <w:t>р&lt;0,001)</w:t>
      </w:r>
      <w:r w:rsidRPr="00CA099F">
        <w:rPr>
          <w:rFonts w:eastAsia="Times New Roman" w:cs="Times New Roman"/>
          <w:sz w:val="28"/>
          <w:szCs w:val="28"/>
        </w:rPr>
        <w:t>, стосовно даних попереднього терміну спостереження, відповідно, через 9 місяців - на 21,8 % (</w:t>
      </w:r>
      <w:r w:rsidRPr="00CA099F">
        <w:rPr>
          <w:rFonts w:eastAsia="Times New Roman" w:cs="Times New Roman"/>
          <w:color w:val="000000"/>
          <w:sz w:val="28"/>
          <w:szCs w:val="28"/>
        </w:rPr>
        <w:t xml:space="preserve">р&lt;0,001). </w:t>
      </w:r>
    </w:p>
    <w:p w:rsidR="00E6030B" w:rsidRDefault="00E6030B" w:rsidP="00DB77F1">
      <w:pPr>
        <w:spacing w:after="0" w:line="360" w:lineRule="auto"/>
        <w:ind w:firstLine="709"/>
        <w:jc w:val="both"/>
        <w:rPr>
          <w:rFonts w:eastAsia="Times New Roman" w:cs="Times New Roman"/>
          <w:color w:val="000000"/>
          <w:sz w:val="28"/>
          <w:szCs w:val="28"/>
        </w:rPr>
      </w:pPr>
    </w:p>
    <w:p w:rsidR="00E6030B" w:rsidRPr="00CA099F" w:rsidRDefault="00E6030B" w:rsidP="00DB77F1">
      <w:pPr>
        <w:spacing w:after="0" w:line="360" w:lineRule="auto"/>
        <w:ind w:firstLine="709"/>
        <w:jc w:val="both"/>
        <w:rPr>
          <w:rFonts w:eastAsia="Times New Roman" w:cs="Times New Roman"/>
          <w:color w:val="000000"/>
          <w:sz w:val="28"/>
          <w:szCs w:val="28"/>
        </w:rPr>
      </w:pPr>
    </w:p>
    <w:p w:rsidR="0030517B" w:rsidRPr="00CA099F" w:rsidRDefault="0030517B" w:rsidP="0030517B">
      <w:pPr>
        <w:spacing w:after="0" w:line="360" w:lineRule="auto"/>
        <w:jc w:val="right"/>
        <w:rPr>
          <w:rFonts w:eastAsia="Times New Roman" w:cs="Times New Roman"/>
          <w:i/>
          <w:sz w:val="28"/>
          <w:szCs w:val="28"/>
        </w:rPr>
      </w:pPr>
      <w:r w:rsidRPr="00CA099F">
        <w:rPr>
          <w:rFonts w:eastAsia="Times New Roman" w:cs="Times New Roman"/>
          <w:i/>
          <w:sz w:val="28"/>
          <w:szCs w:val="28"/>
        </w:rPr>
        <w:t>Таблиця 5.7.</w:t>
      </w:r>
    </w:p>
    <w:p w:rsidR="0030517B" w:rsidRPr="00CA099F" w:rsidRDefault="0030517B" w:rsidP="0030517B">
      <w:pPr>
        <w:spacing w:after="0" w:line="360" w:lineRule="auto"/>
        <w:jc w:val="center"/>
        <w:rPr>
          <w:rFonts w:eastAsia="Times New Roman" w:cs="Times New Roman"/>
          <w:sz w:val="28"/>
          <w:szCs w:val="28"/>
        </w:rPr>
      </w:pPr>
      <w:r w:rsidRPr="00CA099F">
        <w:rPr>
          <w:rFonts w:eastAsia="Times New Roman" w:cs="Times New Roman"/>
          <w:sz w:val="28"/>
          <w:szCs w:val="28"/>
        </w:rPr>
        <w:t>Показники системи антиоксидного захисту у гомогенаті шкіри за умови використання PRF-згустка</w:t>
      </w:r>
    </w:p>
    <w:p w:rsidR="0030517B" w:rsidRPr="00CA099F" w:rsidRDefault="0030517B" w:rsidP="0030517B">
      <w:pPr>
        <w:spacing w:after="0"/>
        <w:rPr>
          <w:rFonts w:ascii="Calibri" w:eastAsia="Times New Roman" w:hAnsi="Calibri" w:cs="Times New Roman"/>
          <w:sz w:val="22"/>
        </w:rPr>
      </w:pPr>
    </w:p>
    <w:tbl>
      <w:tblPr>
        <w:tblW w:w="5038" w:type="pct"/>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049"/>
        <w:gridCol w:w="883"/>
        <w:gridCol w:w="1055"/>
        <w:gridCol w:w="879"/>
        <w:gridCol w:w="1188"/>
        <w:gridCol w:w="921"/>
        <w:gridCol w:w="1264"/>
        <w:gridCol w:w="1092"/>
        <w:gridCol w:w="1085"/>
      </w:tblGrid>
      <w:tr w:rsidR="0030517B" w:rsidRPr="00CA099F" w:rsidTr="00E1448E">
        <w:tc>
          <w:tcPr>
            <w:tcW w:w="557" w:type="pct"/>
            <w:vMerge w:val="restart"/>
            <w:vAlign w:val="center"/>
          </w:tcPr>
          <w:p w:rsidR="0030517B" w:rsidRPr="00CA099F" w:rsidRDefault="0030517B" w:rsidP="00E1448E">
            <w:pPr>
              <w:spacing w:after="0" w:line="240" w:lineRule="auto"/>
              <w:ind w:right="-90"/>
              <w:jc w:val="center"/>
              <w:rPr>
                <w:rFonts w:eastAsia="Times New Roman" w:cs="Times New Roman"/>
                <w:sz w:val="22"/>
              </w:rPr>
            </w:pPr>
            <w:r w:rsidRPr="00CA099F">
              <w:rPr>
                <w:rFonts w:eastAsia="Times New Roman" w:cs="Times New Roman"/>
                <w:sz w:val="22"/>
              </w:rPr>
              <w:t>Показник</w:t>
            </w:r>
          </w:p>
        </w:tc>
        <w:tc>
          <w:tcPr>
            <w:tcW w:w="1029" w:type="pct"/>
            <w:gridSpan w:val="2"/>
          </w:tcPr>
          <w:p w:rsidR="0030517B" w:rsidRPr="00CA099F" w:rsidRDefault="0030517B" w:rsidP="00E1448E">
            <w:pPr>
              <w:spacing w:after="0" w:line="240" w:lineRule="auto"/>
              <w:jc w:val="center"/>
              <w:rPr>
                <w:rFonts w:eastAsia="Times New Roman" w:cs="Times New Roman"/>
                <w:szCs w:val="28"/>
              </w:rPr>
            </w:pPr>
            <w:r w:rsidRPr="00CA099F">
              <w:rPr>
                <w:rFonts w:eastAsia="Times New Roman" w:cs="Times New Roman"/>
                <w:sz w:val="28"/>
                <w:szCs w:val="28"/>
              </w:rPr>
              <w:t>3 місяці</w:t>
            </w:r>
          </w:p>
        </w:tc>
        <w:tc>
          <w:tcPr>
            <w:tcW w:w="1098" w:type="pct"/>
            <w:gridSpan w:val="2"/>
          </w:tcPr>
          <w:p w:rsidR="0030517B" w:rsidRPr="00CA099F" w:rsidRDefault="0030517B" w:rsidP="00E1448E">
            <w:pPr>
              <w:spacing w:after="0" w:line="240" w:lineRule="auto"/>
              <w:jc w:val="center"/>
              <w:rPr>
                <w:rFonts w:eastAsia="Times New Roman" w:cs="Times New Roman"/>
                <w:szCs w:val="28"/>
              </w:rPr>
            </w:pPr>
            <w:r w:rsidRPr="00CA099F">
              <w:rPr>
                <w:rFonts w:eastAsia="Times New Roman" w:cs="Times New Roman"/>
                <w:sz w:val="28"/>
                <w:szCs w:val="28"/>
              </w:rPr>
              <w:t>6 місяців</w:t>
            </w:r>
          </w:p>
        </w:tc>
        <w:tc>
          <w:tcPr>
            <w:tcW w:w="1160" w:type="pct"/>
            <w:gridSpan w:val="2"/>
          </w:tcPr>
          <w:p w:rsidR="0030517B" w:rsidRPr="00CA099F" w:rsidRDefault="0030517B" w:rsidP="00E1448E">
            <w:pPr>
              <w:spacing w:after="0" w:line="240" w:lineRule="auto"/>
              <w:jc w:val="center"/>
              <w:rPr>
                <w:rFonts w:eastAsia="Times New Roman" w:cs="Times New Roman"/>
                <w:szCs w:val="28"/>
              </w:rPr>
            </w:pPr>
            <w:r w:rsidRPr="00CA099F">
              <w:rPr>
                <w:rFonts w:eastAsia="Times New Roman" w:cs="Times New Roman"/>
                <w:sz w:val="28"/>
                <w:szCs w:val="28"/>
              </w:rPr>
              <w:t>9 місяців</w:t>
            </w:r>
          </w:p>
        </w:tc>
        <w:tc>
          <w:tcPr>
            <w:tcW w:w="1155" w:type="pct"/>
            <w:gridSpan w:val="2"/>
          </w:tcPr>
          <w:p w:rsidR="0030517B" w:rsidRPr="00CA099F" w:rsidRDefault="0030517B" w:rsidP="00E1448E">
            <w:pPr>
              <w:spacing w:after="0" w:line="240" w:lineRule="auto"/>
              <w:jc w:val="center"/>
              <w:rPr>
                <w:rFonts w:eastAsia="Times New Roman" w:cs="Times New Roman"/>
                <w:szCs w:val="28"/>
              </w:rPr>
            </w:pPr>
            <w:r w:rsidRPr="00CA099F">
              <w:rPr>
                <w:rFonts w:eastAsia="Times New Roman" w:cs="Times New Roman"/>
                <w:sz w:val="28"/>
                <w:szCs w:val="28"/>
              </w:rPr>
              <w:t>12 місяців</w:t>
            </w:r>
          </w:p>
        </w:tc>
      </w:tr>
      <w:tr w:rsidR="0030517B" w:rsidRPr="00CA099F" w:rsidTr="00E1448E">
        <w:tc>
          <w:tcPr>
            <w:tcW w:w="557" w:type="pct"/>
            <w:vMerge/>
          </w:tcPr>
          <w:p w:rsidR="0030517B" w:rsidRPr="00CA099F" w:rsidRDefault="0030517B" w:rsidP="00E1448E">
            <w:pPr>
              <w:spacing w:after="0" w:line="240" w:lineRule="auto"/>
              <w:ind w:right="-90"/>
              <w:jc w:val="center"/>
              <w:rPr>
                <w:rFonts w:eastAsia="Times New Roman" w:cs="Times New Roman"/>
                <w:szCs w:val="28"/>
              </w:rPr>
            </w:pPr>
          </w:p>
        </w:tc>
        <w:tc>
          <w:tcPr>
            <w:tcW w:w="469" w:type="pct"/>
          </w:tcPr>
          <w:p w:rsidR="0030517B" w:rsidRPr="00CA099F" w:rsidRDefault="0030517B" w:rsidP="00E1448E">
            <w:pPr>
              <w:spacing w:after="0" w:line="240" w:lineRule="auto"/>
              <w:ind w:right="-87"/>
              <w:jc w:val="center"/>
              <w:rPr>
                <w:rFonts w:eastAsia="Times New Roman" w:cs="Times New Roman"/>
                <w:sz w:val="20"/>
                <w:szCs w:val="20"/>
              </w:rPr>
            </w:pPr>
            <w:r w:rsidRPr="00CA099F">
              <w:rPr>
                <w:rFonts w:eastAsia="Times New Roman" w:cs="Times New Roman"/>
                <w:sz w:val="20"/>
                <w:szCs w:val="20"/>
              </w:rPr>
              <w:t>Група контролю</w:t>
            </w:r>
            <w:r w:rsidR="00801EEF">
              <w:rPr>
                <w:rFonts w:eastAsia="Times New Roman" w:cs="Times New Roman"/>
                <w:sz w:val="20"/>
                <w:szCs w:val="20"/>
              </w:rPr>
              <w:t xml:space="preserve"> </w:t>
            </w:r>
            <w:r w:rsidR="00801EEF">
              <w:rPr>
                <w:rFonts w:eastAsia="Times New Roman" w:cs="Times New Roman"/>
                <w:szCs w:val="24"/>
              </w:rPr>
              <w:t>(</w:t>
            </w:r>
            <w:r w:rsidR="00801EEF">
              <w:rPr>
                <w:rFonts w:eastAsia="Times New Roman" w:cs="Times New Roman"/>
                <w:szCs w:val="24"/>
                <w:lang w:val="en-US"/>
              </w:rPr>
              <w:t>n=20</w:t>
            </w:r>
            <w:r w:rsidR="00801EEF">
              <w:rPr>
                <w:rFonts w:eastAsia="Times New Roman" w:cs="Times New Roman"/>
                <w:szCs w:val="24"/>
              </w:rPr>
              <w:t>)</w:t>
            </w:r>
          </w:p>
        </w:tc>
        <w:tc>
          <w:tcPr>
            <w:tcW w:w="560" w:type="pct"/>
          </w:tcPr>
          <w:p w:rsidR="0030517B" w:rsidRDefault="0030517B" w:rsidP="00E1448E">
            <w:pPr>
              <w:spacing w:after="0" w:line="240" w:lineRule="auto"/>
              <w:ind w:right="-87"/>
              <w:jc w:val="center"/>
              <w:rPr>
                <w:rFonts w:eastAsia="Times New Roman" w:cs="Times New Roman"/>
                <w:sz w:val="20"/>
                <w:szCs w:val="20"/>
              </w:rPr>
            </w:pPr>
            <w:r w:rsidRPr="00CA099F">
              <w:rPr>
                <w:rFonts w:eastAsia="Times New Roman" w:cs="Times New Roman"/>
                <w:sz w:val="20"/>
                <w:szCs w:val="20"/>
              </w:rPr>
              <w:t>1 група</w:t>
            </w:r>
          </w:p>
          <w:p w:rsidR="00801EEF" w:rsidRPr="00CA099F" w:rsidRDefault="00801EEF" w:rsidP="00E1448E">
            <w:pPr>
              <w:spacing w:after="0" w:line="240" w:lineRule="auto"/>
              <w:ind w:right="-87"/>
              <w:jc w:val="center"/>
              <w:rPr>
                <w:rFonts w:eastAsia="Times New Roman" w:cs="Times New Roman"/>
                <w:sz w:val="20"/>
                <w:szCs w:val="20"/>
              </w:rPr>
            </w:pPr>
            <w:r>
              <w:rPr>
                <w:rFonts w:eastAsia="Times New Roman" w:cs="Times New Roman"/>
                <w:szCs w:val="24"/>
              </w:rPr>
              <w:t>(</w:t>
            </w:r>
            <w:r>
              <w:rPr>
                <w:rFonts w:eastAsia="Times New Roman" w:cs="Times New Roman"/>
                <w:szCs w:val="24"/>
                <w:lang w:val="en-US"/>
              </w:rPr>
              <w:t>n=20</w:t>
            </w:r>
            <w:r>
              <w:rPr>
                <w:rFonts w:eastAsia="Times New Roman" w:cs="Times New Roman"/>
                <w:szCs w:val="24"/>
              </w:rPr>
              <w:t>)</w:t>
            </w:r>
          </w:p>
        </w:tc>
        <w:tc>
          <w:tcPr>
            <w:tcW w:w="467" w:type="pct"/>
          </w:tcPr>
          <w:p w:rsidR="0030517B" w:rsidRPr="00CA099F" w:rsidRDefault="0030517B" w:rsidP="00E1448E">
            <w:pPr>
              <w:spacing w:after="0" w:line="240" w:lineRule="auto"/>
              <w:ind w:right="-87"/>
              <w:jc w:val="center"/>
              <w:rPr>
                <w:rFonts w:eastAsia="Times New Roman" w:cs="Times New Roman"/>
                <w:sz w:val="20"/>
                <w:szCs w:val="20"/>
              </w:rPr>
            </w:pPr>
            <w:r w:rsidRPr="00CA099F">
              <w:rPr>
                <w:rFonts w:eastAsia="Times New Roman" w:cs="Times New Roman"/>
                <w:sz w:val="20"/>
                <w:szCs w:val="20"/>
              </w:rPr>
              <w:t>Група контролю</w:t>
            </w:r>
            <w:r w:rsidR="00801EEF">
              <w:rPr>
                <w:rFonts w:eastAsia="Times New Roman" w:cs="Times New Roman"/>
                <w:sz w:val="20"/>
                <w:szCs w:val="20"/>
              </w:rPr>
              <w:t xml:space="preserve"> </w:t>
            </w:r>
            <w:r w:rsidR="00801EEF">
              <w:rPr>
                <w:rFonts w:eastAsia="Times New Roman" w:cs="Times New Roman"/>
                <w:szCs w:val="24"/>
              </w:rPr>
              <w:t>(</w:t>
            </w:r>
            <w:r w:rsidR="00801EEF">
              <w:rPr>
                <w:rFonts w:eastAsia="Times New Roman" w:cs="Times New Roman"/>
                <w:szCs w:val="24"/>
                <w:lang w:val="en-US"/>
              </w:rPr>
              <w:t>n=20</w:t>
            </w:r>
            <w:r w:rsidR="00801EEF">
              <w:rPr>
                <w:rFonts w:eastAsia="Times New Roman" w:cs="Times New Roman"/>
                <w:szCs w:val="24"/>
              </w:rPr>
              <w:t>)</w:t>
            </w:r>
            <w:r w:rsidR="00801EEF">
              <w:rPr>
                <w:rFonts w:eastAsia="Times New Roman" w:cs="Times New Roman"/>
                <w:sz w:val="20"/>
                <w:szCs w:val="20"/>
              </w:rPr>
              <w:t xml:space="preserve"> </w:t>
            </w:r>
          </w:p>
        </w:tc>
        <w:tc>
          <w:tcPr>
            <w:tcW w:w="631" w:type="pct"/>
          </w:tcPr>
          <w:p w:rsidR="0030517B" w:rsidRDefault="0030517B" w:rsidP="00E1448E">
            <w:pPr>
              <w:spacing w:after="0" w:line="240" w:lineRule="auto"/>
              <w:ind w:right="-87"/>
              <w:jc w:val="center"/>
              <w:rPr>
                <w:rFonts w:eastAsia="Times New Roman" w:cs="Times New Roman"/>
                <w:sz w:val="20"/>
                <w:szCs w:val="20"/>
              </w:rPr>
            </w:pPr>
            <w:r w:rsidRPr="00CA099F">
              <w:rPr>
                <w:rFonts w:eastAsia="Times New Roman" w:cs="Times New Roman"/>
                <w:sz w:val="20"/>
                <w:szCs w:val="20"/>
              </w:rPr>
              <w:t>1 група</w:t>
            </w:r>
          </w:p>
          <w:p w:rsidR="00801EEF" w:rsidRPr="00CA099F" w:rsidRDefault="00801EEF" w:rsidP="00E1448E">
            <w:pPr>
              <w:spacing w:after="0" w:line="240" w:lineRule="auto"/>
              <w:ind w:right="-87"/>
              <w:jc w:val="center"/>
              <w:rPr>
                <w:rFonts w:eastAsia="Times New Roman" w:cs="Times New Roman"/>
                <w:sz w:val="20"/>
                <w:szCs w:val="20"/>
              </w:rPr>
            </w:pPr>
            <w:r>
              <w:rPr>
                <w:rFonts w:eastAsia="Times New Roman" w:cs="Times New Roman"/>
                <w:szCs w:val="24"/>
              </w:rPr>
              <w:t>(</w:t>
            </w:r>
            <w:r>
              <w:rPr>
                <w:rFonts w:eastAsia="Times New Roman" w:cs="Times New Roman"/>
                <w:szCs w:val="24"/>
                <w:lang w:val="en-US"/>
              </w:rPr>
              <w:t>n=20</w:t>
            </w:r>
            <w:r>
              <w:rPr>
                <w:rFonts w:eastAsia="Times New Roman" w:cs="Times New Roman"/>
                <w:szCs w:val="24"/>
              </w:rPr>
              <w:t>)</w:t>
            </w:r>
          </w:p>
        </w:tc>
        <w:tc>
          <w:tcPr>
            <w:tcW w:w="489" w:type="pct"/>
          </w:tcPr>
          <w:p w:rsidR="0030517B" w:rsidRPr="00CA099F" w:rsidRDefault="0030517B" w:rsidP="00E1448E">
            <w:pPr>
              <w:spacing w:after="0" w:line="240" w:lineRule="auto"/>
              <w:ind w:right="-87"/>
              <w:jc w:val="center"/>
              <w:rPr>
                <w:rFonts w:eastAsia="Times New Roman" w:cs="Times New Roman"/>
                <w:sz w:val="20"/>
                <w:szCs w:val="20"/>
              </w:rPr>
            </w:pPr>
            <w:r w:rsidRPr="00CA099F">
              <w:rPr>
                <w:rFonts w:eastAsia="Times New Roman" w:cs="Times New Roman"/>
                <w:sz w:val="20"/>
                <w:szCs w:val="20"/>
              </w:rPr>
              <w:t>Група контролю</w:t>
            </w:r>
            <w:r w:rsidR="00801EEF">
              <w:rPr>
                <w:rFonts w:eastAsia="Times New Roman" w:cs="Times New Roman"/>
                <w:sz w:val="20"/>
                <w:szCs w:val="20"/>
              </w:rPr>
              <w:t xml:space="preserve"> </w:t>
            </w:r>
            <w:r w:rsidR="00801EEF">
              <w:rPr>
                <w:rFonts w:eastAsia="Times New Roman" w:cs="Times New Roman"/>
                <w:szCs w:val="24"/>
              </w:rPr>
              <w:t>(</w:t>
            </w:r>
            <w:r w:rsidR="00801EEF">
              <w:rPr>
                <w:rFonts w:eastAsia="Times New Roman" w:cs="Times New Roman"/>
                <w:szCs w:val="24"/>
                <w:lang w:val="en-US"/>
              </w:rPr>
              <w:t>n=20</w:t>
            </w:r>
            <w:r w:rsidR="00801EEF">
              <w:rPr>
                <w:rFonts w:eastAsia="Times New Roman" w:cs="Times New Roman"/>
                <w:szCs w:val="24"/>
              </w:rPr>
              <w:t>)</w:t>
            </w:r>
          </w:p>
        </w:tc>
        <w:tc>
          <w:tcPr>
            <w:tcW w:w="671" w:type="pct"/>
          </w:tcPr>
          <w:p w:rsidR="0030517B" w:rsidRDefault="0030517B" w:rsidP="00E1448E">
            <w:pPr>
              <w:spacing w:after="0" w:line="240" w:lineRule="auto"/>
              <w:ind w:right="-87"/>
              <w:jc w:val="center"/>
              <w:rPr>
                <w:rFonts w:eastAsia="Times New Roman" w:cs="Times New Roman"/>
                <w:sz w:val="20"/>
                <w:szCs w:val="20"/>
              </w:rPr>
            </w:pPr>
            <w:r w:rsidRPr="00CA099F">
              <w:rPr>
                <w:rFonts w:eastAsia="Times New Roman" w:cs="Times New Roman"/>
                <w:sz w:val="20"/>
                <w:szCs w:val="20"/>
              </w:rPr>
              <w:t>1 група</w:t>
            </w:r>
          </w:p>
          <w:p w:rsidR="00801EEF" w:rsidRPr="00CA099F" w:rsidRDefault="00801EEF" w:rsidP="00E1448E">
            <w:pPr>
              <w:spacing w:after="0" w:line="240" w:lineRule="auto"/>
              <w:ind w:right="-87"/>
              <w:jc w:val="center"/>
              <w:rPr>
                <w:rFonts w:eastAsia="Times New Roman" w:cs="Times New Roman"/>
                <w:sz w:val="20"/>
                <w:szCs w:val="20"/>
              </w:rPr>
            </w:pPr>
            <w:r>
              <w:rPr>
                <w:rFonts w:eastAsia="Times New Roman" w:cs="Times New Roman"/>
                <w:szCs w:val="24"/>
              </w:rPr>
              <w:t>(</w:t>
            </w:r>
            <w:r>
              <w:rPr>
                <w:rFonts w:eastAsia="Times New Roman" w:cs="Times New Roman"/>
                <w:szCs w:val="24"/>
                <w:lang w:val="en-US"/>
              </w:rPr>
              <w:t>n=20</w:t>
            </w:r>
            <w:r>
              <w:rPr>
                <w:rFonts w:eastAsia="Times New Roman" w:cs="Times New Roman"/>
                <w:szCs w:val="24"/>
              </w:rPr>
              <w:t>)</w:t>
            </w:r>
          </w:p>
        </w:tc>
        <w:tc>
          <w:tcPr>
            <w:tcW w:w="580" w:type="pct"/>
          </w:tcPr>
          <w:p w:rsidR="0030517B" w:rsidRDefault="0030517B" w:rsidP="00E1448E">
            <w:pPr>
              <w:spacing w:after="0" w:line="240" w:lineRule="auto"/>
              <w:ind w:right="-87"/>
              <w:jc w:val="center"/>
              <w:rPr>
                <w:rFonts w:eastAsia="Times New Roman" w:cs="Times New Roman"/>
                <w:sz w:val="20"/>
                <w:szCs w:val="20"/>
              </w:rPr>
            </w:pPr>
            <w:r w:rsidRPr="00CA099F">
              <w:rPr>
                <w:rFonts w:eastAsia="Times New Roman" w:cs="Times New Roman"/>
                <w:sz w:val="20"/>
                <w:szCs w:val="20"/>
              </w:rPr>
              <w:t>Група контролю</w:t>
            </w:r>
          </w:p>
          <w:p w:rsidR="00801EEF" w:rsidRPr="00CA099F" w:rsidRDefault="00801EEF" w:rsidP="00E1448E">
            <w:pPr>
              <w:spacing w:after="0" w:line="240" w:lineRule="auto"/>
              <w:ind w:right="-87"/>
              <w:jc w:val="center"/>
              <w:rPr>
                <w:rFonts w:eastAsia="Times New Roman" w:cs="Times New Roman"/>
                <w:sz w:val="20"/>
                <w:szCs w:val="20"/>
              </w:rPr>
            </w:pPr>
            <w:r>
              <w:rPr>
                <w:rFonts w:eastAsia="Times New Roman" w:cs="Times New Roman"/>
                <w:szCs w:val="24"/>
              </w:rPr>
              <w:t>(</w:t>
            </w:r>
            <w:r>
              <w:rPr>
                <w:rFonts w:eastAsia="Times New Roman" w:cs="Times New Roman"/>
                <w:szCs w:val="24"/>
                <w:lang w:val="en-US"/>
              </w:rPr>
              <w:t>n=20</w:t>
            </w:r>
            <w:r>
              <w:rPr>
                <w:rFonts w:eastAsia="Times New Roman" w:cs="Times New Roman"/>
                <w:szCs w:val="24"/>
              </w:rPr>
              <w:t>)</w:t>
            </w:r>
          </w:p>
        </w:tc>
        <w:tc>
          <w:tcPr>
            <w:tcW w:w="575" w:type="pct"/>
          </w:tcPr>
          <w:p w:rsidR="0030517B" w:rsidRDefault="0030517B" w:rsidP="00E1448E">
            <w:pPr>
              <w:spacing w:after="0" w:line="240" w:lineRule="auto"/>
              <w:ind w:right="-87"/>
              <w:jc w:val="center"/>
              <w:rPr>
                <w:rFonts w:eastAsia="Times New Roman" w:cs="Times New Roman"/>
                <w:sz w:val="20"/>
                <w:szCs w:val="20"/>
              </w:rPr>
            </w:pPr>
            <w:r w:rsidRPr="00CA099F">
              <w:rPr>
                <w:rFonts w:eastAsia="Times New Roman" w:cs="Times New Roman"/>
                <w:sz w:val="20"/>
                <w:szCs w:val="20"/>
              </w:rPr>
              <w:t>1 група</w:t>
            </w:r>
          </w:p>
          <w:p w:rsidR="00801EEF" w:rsidRPr="00CA099F" w:rsidRDefault="00801EEF" w:rsidP="00E1448E">
            <w:pPr>
              <w:spacing w:after="0" w:line="240" w:lineRule="auto"/>
              <w:ind w:right="-87"/>
              <w:jc w:val="center"/>
              <w:rPr>
                <w:rFonts w:eastAsia="Times New Roman" w:cs="Times New Roman"/>
                <w:sz w:val="20"/>
                <w:szCs w:val="20"/>
              </w:rPr>
            </w:pPr>
            <w:r>
              <w:rPr>
                <w:rFonts w:eastAsia="Times New Roman" w:cs="Times New Roman"/>
                <w:szCs w:val="24"/>
              </w:rPr>
              <w:t>(</w:t>
            </w:r>
            <w:r>
              <w:rPr>
                <w:rFonts w:eastAsia="Times New Roman" w:cs="Times New Roman"/>
                <w:szCs w:val="24"/>
                <w:lang w:val="en-US"/>
              </w:rPr>
              <w:t>n=20</w:t>
            </w:r>
            <w:r>
              <w:rPr>
                <w:rFonts w:eastAsia="Times New Roman" w:cs="Times New Roman"/>
                <w:szCs w:val="24"/>
              </w:rPr>
              <w:t>)</w:t>
            </w:r>
          </w:p>
        </w:tc>
      </w:tr>
      <w:tr w:rsidR="0030517B" w:rsidRPr="00CA099F" w:rsidTr="00E1448E">
        <w:tc>
          <w:tcPr>
            <w:tcW w:w="557" w:type="pct"/>
          </w:tcPr>
          <w:p w:rsidR="0030517B" w:rsidRPr="00CA099F" w:rsidRDefault="0030517B" w:rsidP="00E1448E">
            <w:pPr>
              <w:spacing w:after="0" w:line="240" w:lineRule="auto"/>
              <w:ind w:right="-90"/>
              <w:jc w:val="center"/>
              <w:rPr>
                <w:rFonts w:eastAsia="Times New Roman" w:cs="Times New Roman"/>
                <w:szCs w:val="28"/>
              </w:rPr>
            </w:pPr>
            <w:r w:rsidRPr="00CA099F">
              <w:rPr>
                <w:rFonts w:eastAsia="Times New Roman" w:cs="Times New Roman"/>
                <w:sz w:val="28"/>
                <w:szCs w:val="28"/>
              </w:rPr>
              <w:t>СОД, ум.од.</w:t>
            </w:r>
          </w:p>
        </w:tc>
        <w:tc>
          <w:tcPr>
            <w:tcW w:w="469" w:type="pct"/>
          </w:tcPr>
          <w:p w:rsidR="0030517B" w:rsidRPr="00CA099F" w:rsidRDefault="0030517B" w:rsidP="00E1448E">
            <w:pPr>
              <w:spacing w:after="0" w:line="240" w:lineRule="auto"/>
              <w:jc w:val="center"/>
              <w:rPr>
                <w:rFonts w:eastAsia="Times New Roman" w:cs="Times New Roman"/>
                <w:szCs w:val="28"/>
              </w:rPr>
            </w:pPr>
            <w:r w:rsidRPr="00CA099F">
              <w:rPr>
                <w:rFonts w:eastAsia="Times New Roman" w:cs="Times New Roman"/>
                <w:sz w:val="28"/>
                <w:szCs w:val="28"/>
              </w:rPr>
              <w:t>119,43±4,86</w:t>
            </w:r>
          </w:p>
        </w:tc>
        <w:tc>
          <w:tcPr>
            <w:tcW w:w="560" w:type="pct"/>
          </w:tcPr>
          <w:p w:rsidR="0030517B" w:rsidRPr="00CA099F" w:rsidRDefault="0030517B" w:rsidP="00E1448E">
            <w:pPr>
              <w:spacing w:after="0" w:line="240" w:lineRule="auto"/>
              <w:jc w:val="center"/>
              <w:rPr>
                <w:rFonts w:eastAsia="Times New Roman" w:cs="Times New Roman"/>
                <w:szCs w:val="28"/>
              </w:rPr>
            </w:pPr>
            <w:r w:rsidRPr="00CA099F">
              <w:rPr>
                <w:rFonts w:eastAsia="Times New Roman" w:cs="Times New Roman"/>
                <w:sz w:val="28"/>
                <w:szCs w:val="28"/>
              </w:rPr>
              <w:t>104,60±3,54*</w:t>
            </w:r>
          </w:p>
        </w:tc>
        <w:tc>
          <w:tcPr>
            <w:tcW w:w="467" w:type="pct"/>
          </w:tcPr>
          <w:p w:rsidR="0030517B" w:rsidRPr="00CA099F" w:rsidRDefault="0030517B" w:rsidP="00E1448E">
            <w:pPr>
              <w:spacing w:after="0" w:line="240" w:lineRule="auto"/>
              <w:jc w:val="center"/>
              <w:rPr>
                <w:rFonts w:eastAsia="Times New Roman" w:cs="Times New Roman"/>
                <w:szCs w:val="28"/>
              </w:rPr>
            </w:pPr>
            <w:r w:rsidRPr="00CA099F">
              <w:rPr>
                <w:rFonts w:eastAsia="Times New Roman" w:cs="Times New Roman"/>
                <w:sz w:val="28"/>
                <w:szCs w:val="28"/>
              </w:rPr>
              <w:t>86,96±2,69</w:t>
            </w:r>
          </w:p>
        </w:tc>
        <w:tc>
          <w:tcPr>
            <w:tcW w:w="631" w:type="pct"/>
          </w:tcPr>
          <w:p w:rsidR="0030517B" w:rsidRPr="00CA099F" w:rsidRDefault="0030517B" w:rsidP="00E1448E">
            <w:pPr>
              <w:spacing w:after="0" w:line="240" w:lineRule="auto"/>
              <w:jc w:val="center"/>
              <w:rPr>
                <w:rFonts w:eastAsia="Times New Roman" w:cs="Times New Roman"/>
                <w:szCs w:val="28"/>
              </w:rPr>
            </w:pPr>
            <w:r w:rsidRPr="00CA099F">
              <w:rPr>
                <w:rFonts w:eastAsia="Times New Roman" w:cs="Times New Roman"/>
                <w:sz w:val="28"/>
                <w:szCs w:val="28"/>
              </w:rPr>
              <w:t>80,54±2,41</w:t>
            </w:r>
          </w:p>
        </w:tc>
        <w:tc>
          <w:tcPr>
            <w:tcW w:w="489" w:type="pct"/>
          </w:tcPr>
          <w:p w:rsidR="0030517B" w:rsidRPr="00CA099F" w:rsidRDefault="0030517B" w:rsidP="00E1448E">
            <w:pPr>
              <w:spacing w:after="0" w:line="240" w:lineRule="auto"/>
              <w:jc w:val="center"/>
              <w:rPr>
                <w:rFonts w:eastAsia="Times New Roman" w:cs="Times New Roman"/>
                <w:szCs w:val="28"/>
              </w:rPr>
            </w:pPr>
            <w:r w:rsidRPr="00CA099F">
              <w:rPr>
                <w:rFonts w:eastAsia="Times New Roman" w:cs="Times New Roman"/>
                <w:sz w:val="28"/>
                <w:szCs w:val="28"/>
              </w:rPr>
              <w:t>70,82±2,28</w:t>
            </w:r>
          </w:p>
        </w:tc>
        <w:tc>
          <w:tcPr>
            <w:tcW w:w="671" w:type="pct"/>
          </w:tcPr>
          <w:p w:rsidR="0030517B" w:rsidRPr="00CA099F" w:rsidRDefault="0030517B" w:rsidP="00E1448E">
            <w:pPr>
              <w:spacing w:after="0" w:line="240" w:lineRule="auto"/>
              <w:jc w:val="center"/>
              <w:rPr>
                <w:rFonts w:eastAsia="Times New Roman" w:cs="Times New Roman"/>
                <w:szCs w:val="28"/>
              </w:rPr>
            </w:pPr>
            <w:r w:rsidRPr="00CA099F">
              <w:rPr>
                <w:rFonts w:eastAsia="Times New Roman" w:cs="Times New Roman"/>
                <w:sz w:val="28"/>
                <w:szCs w:val="28"/>
              </w:rPr>
              <w:t>62,97±2,13*</w:t>
            </w:r>
          </w:p>
        </w:tc>
        <w:tc>
          <w:tcPr>
            <w:tcW w:w="580" w:type="pct"/>
          </w:tcPr>
          <w:p w:rsidR="0030517B" w:rsidRPr="00CA099F" w:rsidRDefault="0030517B" w:rsidP="00E1448E">
            <w:pPr>
              <w:spacing w:after="0" w:line="240" w:lineRule="auto"/>
              <w:jc w:val="center"/>
              <w:rPr>
                <w:rFonts w:eastAsia="Times New Roman" w:cs="Times New Roman"/>
                <w:szCs w:val="28"/>
              </w:rPr>
            </w:pPr>
            <w:r w:rsidRPr="00CA099F">
              <w:rPr>
                <w:rFonts w:eastAsia="Times New Roman" w:cs="Times New Roman"/>
                <w:sz w:val="28"/>
                <w:szCs w:val="28"/>
              </w:rPr>
              <w:t>62,97±2,13</w:t>
            </w:r>
          </w:p>
        </w:tc>
        <w:tc>
          <w:tcPr>
            <w:tcW w:w="575" w:type="pct"/>
          </w:tcPr>
          <w:p w:rsidR="0030517B" w:rsidRPr="00CA099F" w:rsidRDefault="0030517B" w:rsidP="00E1448E">
            <w:pPr>
              <w:spacing w:after="0" w:line="240" w:lineRule="auto"/>
              <w:jc w:val="center"/>
              <w:rPr>
                <w:rFonts w:eastAsia="Times New Roman" w:cs="Times New Roman"/>
                <w:szCs w:val="28"/>
              </w:rPr>
            </w:pPr>
            <w:r w:rsidRPr="00CA099F">
              <w:rPr>
                <w:rFonts w:eastAsia="Times New Roman" w:cs="Times New Roman"/>
                <w:sz w:val="28"/>
                <w:szCs w:val="28"/>
              </w:rPr>
              <w:t>59,10±1,42</w:t>
            </w:r>
          </w:p>
        </w:tc>
      </w:tr>
      <w:tr w:rsidR="0030517B" w:rsidRPr="00CA099F" w:rsidTr="00E1448E">
        <w:tc>
          <w:tcPr>
            <w:tcW w:w="557" w:type="pct"/>
          </w:tcPr>
          <w:p w:rsidR="0030517B" w:rsidRPr="00CA099F" w:rsidRDefault="0030517B" w:rsidP="00E1448E">
            <w:pPr>
              <w:spacing w:after="0" w:line="240" w:lineRule="auto"/>
              <w:ind w:right="-90"/>
              <w:jc w:val="center"/>
              <w:rPr>
                <w:rFonts w:eastAsia="Times New Roman" w:cs="Times New Roman"/>
                <w:szCs w:val="28"/>
              </w:rPr>
            </w:pPr>
          </w:p>
        </w:tc>
        <w:tc>
          <w:tcPr>
            <w:tcW w:w="469" w:type="pct"/>
          </w:tcPr>
          <w:p w:rsidR="0030517B" w:rsidRPr="00CA099F" w:rsidRDefault="0030517B" w:rsidP="00E1448E">
            <w:pPr>
              <w:spacing w:after="0" w:line="240" w:lineRule="auto"/>
              <w:jc w:val="center"/>
              <w:rPr>
                <w:rFonts w:eastAsia="Times New Roman" w:cs="Times New Roman"/>
                <w:szCs w:val="28"/>
              </w:rPr>
            </w:pPr>
          </w:p>
        </w:tc>
        <w:tc>
          <w:tcPr>
            <w:tcW w:w="560" w:type="pct"/>
          </w:tcPr>
          <w:p w:rsidR="0030517B" w:rsidRPr="00CA099F" w:rsidRDefault="0030517B" w:rsidP="00E1448E">
            <w:pPr>
              <w:spacing w:after="0" w:line="240" w:lineRule="auto"/>
              <w:jc w:val="center"/>
              <w:rPr>
                <w:rFonts w:eastAsia="Times New Roman" w:cs="Times New Roman"/>
                <w:szCs w:val="28"/>
              </w:rPr>
            </w:pPr>
          </w:p>
        </w:tc>
        <w:tc>
          <w:tcPr>
            <w:tcW w:w="467" w:type="pct"/>
          </w:tcPr>
          <w:p w:rsidR="0030517B" w:rsidRPr="00CA099F" w:rsidRDefault="0030517B" w:rsidP="00E1448E">
            <w:pPr>
              <w:spacing w:after="0" w:line="240" w:lineRule="auto"/>
              <w:jc w:val="center"/>
              <w:rPr>
                <w:rFonts w:eastAsia="Times New Roman" w:cs="Times New Roman"/>
                <w:szCs w:val="28"/>
              </w:rPr>
            </w:pPr>
          </w:p>
        </w:tc>
        <w:tc>
          <w:tcPr>
            <w:tcW w:w="631" w:type="pct"/>
          </w:tcPr>
          <w:p w:rsidR="0030517B" w:rsidRPr="00CA099F" w:rsidRDefault="0030517B" w:rsidP="00E1448E">
            <w:pPr>
              <w:spacing w:after="0"/>
              <w:rPr>
                <w:rFonts w:eastAsia="Times New Roman" w:cs="Times New Roman"/>
                <w:szCs w:val="24"/>
              </w:rPr>
            </w:pPr>
            <w:r w:rsidRPr="00CA099F">
              <w:rPr>
                <w:rFonts w:eastAsia="Times New Roman" w:cs="Times New Roman"/>
                <w:color w:val="000000"/>
                <w:szCs w:val="24"/>
              </w:rPr>
              <w:t>р</w:t>
            </w:r>
            <w:r w:rsidRPr="00CA099F">
              <w:rPr>
                <w:rFonts w:eastAsia="Times New Roman" w:cs="Times New Roman"/>
                <w:color w:val="000000"/>
                <w:szCs w:val="24"/>
                <w:vertAlign w:val="subscript"/>
              </w:rPr>
              <w:t>1</w:t>
            </w:r>
            <w:r w:rsidRPr="00CA099F">
              <w:rPr>
                <w:rFonts w:eastAsia="Times New Roman" w:cs="Times New Roman"/>
                <w:color w:val="000000"/>
                <w:szCs w:val="24"/>
              </w:rPr>
              <w:t>&lt;0,001</w:t>
            </w:r>
          </w:p>
        </w:tc>
        <w:tc>
          <w:tcPr>
            <w:tcW w:w="489" w:type="pct"/>
          </w:tcPr>
          <w:p w:rsidR="0030517B" w:rsidRPr="00CA099F" w:rsidRDefault="0030517B" w:rsidP="00E1448E">
            <w:pPr>
              <w:spacing w:after="0"/>
              <w:jc w:val="center"/>
              <w:rPr>
                <w:rFonts w:eastAsia="Times New Roman" w:cs="Times New Roman"/>
                <w:szCs w:val="28"/>
              </w:rPr>
            </w:pPr>
          </w:p>
        </w:tc>
        <w:tc>
          <w:tcPr>
            <w:tcW w:w="671" w:type="pct"/>
          </w:tcPr>
          <w:p w:rsidR="0030517B" w:rsidRPr="00CA099F" w:rsidRDefault="0030517B" w:rsidP="00E1448E">
            <w:pPr>
              <w:spacing w:after="0"/>
              <w:jc w:val="center"/>
              <w:rPr>
                <w:rFonts w:eastAsia="Times New Roman" w:cs="Times New Roman"/>
                <w:szCs w:val="24"/>
              </w:rPr>
            </w:pPr>
            <w:r w:rsidRPr="00CA099F">
              <w:rPr>
                <w:rFonts w:eastAsia="Times New Roman" w:cs="Times New Roman"/>
                <w:color w:val="000000"/>
                <w:szCs w:val="24"/>
              </w:rPr>
              <w:t>р</w:t>
            </w:r>
            <w:r w:rsidRPr="00CA099F">
              <w:rPr>
                <w:rFonts w:eastAsia="Times New Roman" w:cs="Times New Roman"/>
                <w:color w:val="000000"/>
                <w:szCs w:val="24"/>
                <w:vertAlign w:val="subscript"/>
              </w:rPr>
              <w:t>2</w:t>
            </w:r>
            <w:r w:rsidRPr="00CA099F">
              <w:rPr>
                <w:rFonts w:eastAsia="Times New Roman" w:cs="Times New Roman"/>
                <w:color w:val="000000"/>
                <w:szCs w:val="24"/>
              </w:rPr>
              <w:t>&lt;0,001</w:t>
            </w:r>
          </w:p>
        </w:tc>
        <w:tc>
          <w:tcPr>
            <w:tcW w:w="580" w:type="pct"/>
          </w:tcPr>
          <w:p w:rsidR="0030517B" w:rsidRPr="00CA099F" w:rsidRDefault="0030517B" w:rsidP="00E1448E">
            <w:pPr>
              <w:spacing w:after="0"/>
              <w:jc w:val="center"/>
              <w:rPr>
                <w:rFonts w:eastAsia="Times New Roman" w:cs="Times New Roman"/>
                <w:szCs w:val="28"/>
              </w:rPr>
            </w:pPr>
          </w:p>
        </w:tc>
        <w:tc>
          <w:tcPr>
            <w:tcW w:w="575" w:type="pct"/>
          </w:tcPr>
          <w:p w:rsidR="0030517B" w:rsidRPr="00CA099F" w:rsidRDefault="0030517B" w:rsidP="00E1448E">
            <w:pPr>
              <w:spacing w:after="0" w:line="240" w:lineRule="auto"/>
              <w:jc w:val="center"/>
              <w:rPr>
                <w:rFonts w:eastAsia="Times New Roman" w:cs="Times New Roman"/>
                <w:szCs w:val="28"/>
              </w:rPr>
            </w:pPr>
          </w:p>
        </w:tc>
      </w:tr>
      <w:tr w:rsidR="0030517B" w:rsidRPr="00CA099F" w:rsidTr="00E1448E">
        <w:tc>
          <w:tcPr>
            <w:tcW w:w="557" w:type="pct"/>
          </w:tcPr>
          <w:p w:rsidR="0030517B" w:rsidRPr="00CA099F" w:rsidRDefault="0030517B" w:rsidP="00E1448E">
            <w:pPr>
              <w:spacing w:after="0" w:line="240" w:lineRule="auto"/>
              <w:ind w:right="-90"/>
              <w:jc w:val="center"/>
              <w:rPr>
                <w:rFonts w:eastAsia="Times New Roman" w:cs="Times New Roman"/>
                <w:szCs w:val="28"/>
              </w:rPr>
            </w:pPr>
            <w:r w:rsidRPr="00CA099F">
              <w:rPr>
                <w:rFonts w:eastAsia="Times New Roman" w:cs="Times New Roman"/>
                <w:sz w:val="28"/>
                <w:szCs w:val="28"/>
              </w:rPr>
              <w:t>Катала-за,</w:t>
            </w:r>
          </w:p>
          <w:p w:rsidR="0030517B" w:rsidRPr="00CA099F" w:rsidRDefault="0030517B" w:rsidP="00E1448E">
            <w:pPr>
              <w:spacing w:after="0" w:line="240" w:lineRule="auto"/>
              <w:ind w:right="-90"/>
              <w:jc w:val="center"/>
              <w:rPr>
                <w:rFonts w:eastAsia="Times New Roman" w:cs="Times New Roman"/>
                <w:szCs w:val="28"/>
              </w:rPr>
            </w:pPr>
            <w:r w:rsidRPr="00CA099F">
              <w:rPr>
                <w:rFonts w:eastAsia="Times New Roman" w:cs="Times New Roman"/>
                <w:sz w:val="28"/>
                <w:szCs w:val="28"/>
              </w:rPr>
              <w:t xml:space="preserve"> кат/кг </w:t>
            </w:r>
          </w:p>
        </w:tc>
        <w:tc>
          <w:tcPr>
            <w:tcW w:w="469" w:type="pct"/>
          </w:tcPr>
          <w:p w:rsidR="0030517B" w:rsidRPr="00CA099F" w:rsidRDefault="0030517B" w:rsidP="00E1448E">
            <w:pPr>
              <w:spacing w:after="0" w:line="240" w:lineRule="auto"/>
              <w:jc w:val="center"/>
              <w:rPr>
                <w:rFonts w:eastAsia="Times New Roman" w:cs="Times New Roman"/>
                <w:szCs w:val="28"/>
              </w:rPr>
            </w:pPr>
            <w:r w:rsidRPr="00CA099F">
              <w:rPr>
                <w:rFonts w:eastAsia="Times New Roman" w:cs="Times New Roman"/>
                <w:sz w:val="28"/>
                <w:szCs w:val="28"/>
              </w:rPr>
              <w:t>80,04±2,24</w:t>
            </w:r>
          </w:p>
        </w:tc>
        <w:tc>
          <w:tcPr>
            <w:tcW w:w="560" w:type="pct"/>
          </w:tcPr>
          <w:p w:rsidR="0030517B" w:rsidRPr="00CA099F" w:rsidRDefault="0030517B" w:rsidP="00E1448E">
            <w:pPr>
              <w:spacing w:after="0" w:line="240" w:lineRule="auto"/>
              <w:jc w:val="center"/>
              <w:rPr>
                <w:rFonts w:eastAsia="Times New Roman" w:cs="Times New Roman"/>
                <w:szCs w:val="28"/>
              </w:rPr>
            </w:pPr>
            <w:r w:rsidRPr="00CA099F">
              <w:rPr>
                <w:rFonts w:eastAsia="Times New Roman" w:cs="Times New Roman"/>
                <w:sz w:val="28"/>
                <w:szCs w:val="28"/>
              </w:rPr>
              <w:t>69,10±1,59*</w:t>
            </w:r>
          </w:p>
        </w:tc>
        <w:tc>
          <w:tcPr>
            <w:tcW w:w="467" w:type="pct"/>
          </w:tcPr>
          <w:p w:rsidR="0030517B" w:rsidRPr="00CA099F" w:rsidRDefault="0030517B" w:rsidP="00E1448E">
            <w:pPr>
              <w:spacing w:after="0" w:line="240" w:lineRule="auto"/>
              <w:jc w:val="center"/>
              <w:rPr>
                <w:rFonts w:eastAsia="Times New Roman" w:cs="Times New Roman"/>
                <w:szCs w:val="28"/>
              </w:rPr>
            </w:pPr>
            <w:r w:rsidRPr="00CA099F">
              <w:rPr>
                <w:rFonts w:eastAsia="Times New Roman" w:cs="Times New Roman"/>
                <w:sz w:val="28"/>
                <w:szCs w:val="28"/>
              </w:rPr>
              <w:t>64,48±2,03</w:t>
            </w:r>
          </w:p>
        </w:tc>
        <w:tc>
          <w:tcPr>
            <w:tcW w:w="631" w:type="pct"/>
          </w:tcPr>
          <w:p w:rsidR="0030517B" w:rsidRPr="00CA099F" w:rsidRDefault="0030517B" w:rsidP="00E1448E">
            <w:pPr>
              <w:spacing w:after="0" w:line="240" w:lineRule="auto"/>
              <w:jc w:val="center"/>
              <w:rPr>
                <w:rFonts w:eastAsia="Times New Roman" w:cs="Times New Roman"/>
                <w:szCs w:val="28"/>
              </w:rPr>
            </w:pPr>
            <w:r w:rsidRPr="00CA099F">
              <w:rPr>
                <w:rFonts w:eastAsia="Times New Roman" w:cs="Times New Roman"/>
                <w:sz w:val="28"/>
                <w:szCs w:val="28"/>
              </w:rPr>
              <w:t>59,43±2,36</w:t>
            </w:r>
          </w:p>
        </w:tc>
        <w:tc>
          <w:tcPr>
            <w:tcW w:w="489" w:type="pct"/>
          </w:tcPr>
          <w:p w:rsidR="0030517B" w:rsidRPr="00CA099F" w:rsidRDefault="0030517B" w:rsidP="00E1448E">
            <w:pPr>
              <w:spacing w:after="0" w:line="240" w:lineRule="auto"/>
              <w:jc w:val="center"/>
              <w:rPr>
                <w:rFonts w:eastAsia="Times New Roman" w:cs="Times New Roman"/>
                <w:szCs w:val="28"/>
              </w:rPr>
            </w:pPr>
            <w:r w:rsidRPr="00CA099F">
              <w:rPr>
                <w:rFonts w:eastAsia="Times New Roman" w:cs="Times New Roman"/>
                <w:sz w:val="28"/>
                <w:szCs w:val="28"/>
              </w:rPr>
              <w:t>60,43±1,52</w:t>
            </w:r>
          </w:p>
        </w:tc>
        <w:tc>
          <w:tcPr>
            <w:tcW w:w="671" w:type="pct"/>
          </w:tcPr>
          <w:p w:rsidR="0030517B" w:rsidRPr="00CA099F" w:rsidRDefault="0030517B" w:rsidP="00E1448E">
            <w:pPr>
              <w:spacing w:after="0" w:line="240" w:lineRule="auto"/>
              <w:jc w:val="center"/>
              <w:rPr>
                <w:rFonts w:eastAsia="Times New Roman" w:cs="Times New Roman"/>
                <w:szCs w:val="28"/>
              </w:rPr>
            </w:pPr>
            <w:r w:rsidRPr="00CA099F">
              <w:rPr>
                <w:rFonts w:eastAsia="Times New Roman" w:cs="Times New Roman"/>
                <w:sz w:val="28"/>
                <w:szCs w:val="28"/>
              </w:rPr>
              <w:t>58,43±2,08</w:t>
            </w:r>
          </w:p>
        </w:tc>
        <w:tc>
          <w:tcPr>
            <w:tcW w:w="580" w:type="pct"/>
          </w:tcPr>
          <w:p w:rsidR="0030517B" w:rsidRPr="00CA099F" w:rsidRDefault="0030517B" w:rsidP="00E1448E">
            <w:pPr>
              <w:spacing w:after="0" w:line="240" w:lineRule="auto"/>
              <w:jc w:val="center"/>
              <w:rPr>
                <w:rFonts w:eastAsia="Times New Roman" w:cs="Times New Roman"/>
                <w:szCs w:val="28"/>
              </w:rPr>
            </w:pPr>
            <w:r w:rsidRPr="00CA099F">
              <w:rPr>
                <w:rFonts w:eastAsia="Times New Roman" w:cs="Times New Roman"/>
                <w:sz w:val="28"/>
                <w:szCs w:val="28"/>
              </w:rPr>
              <w:t>59,41±1,93</w:t>
            </w:r>
          </w:p>
        </w:tc>
        <w:tc>
          <w:tcPr>
            <w:tcW w:w="575" w:type="pct"/>
          </w:tcPr>
          <w:p w:rsidR="0030517B" w:rsidRPr="00CA099F" w:rsidRDefault="0030517B" w:rsidP="00E1448E">
            <w:pPr>
              <w:spacing w:after="0" w:line="240" w:lineRule="auto"/>
              <w:jc w:val="center"/>
              <w:rPr>
                <w:rFonts w:eastAsia="Times New Roman" w:cs="Times New Roman"/>
                <w:szCs w:val="28"/>
              </w:rPr>
            </w:pPr>
            <w:r w:rsidRPr="00CA099F">
              <w:rPr>
                <w:rFonts w:eastAsia="Times New Roman" w:cs="Times New Roman"/>
                <w:sz w:val="28"/>
                <w:szCs w:val="28"/>
              </w:rPr>
              <w:t>58,10±1,88</w:t>
            </w:r>
          </w:p>
        </w:tc>
      </w:tr>
      <w:tr w:rsidR="0030517B" w:rsidRPr="00CA099F" w:rsidTr="00E1448E">
        <w:tc>
          <w:tcPr>
            <w:tcW w:w="557" w:type="pct"/>
          </w:tcPr>
          <w:p w:rsidR="0030517B" w:rsidRPr="00CA099F" w:rsidRDefault="0030517B" w:rsidP="00E1448E">
            <w:pPr>
              <w:spacing w:after="0" w:line="240" w:lineRule="auto"/>
              <w:jc w:val="center"/>
              <w:rPr>
                <w:rFonts w:eastAsia="Times New Roman" w:cs="Times New Roman"/>
                <w:szCs w:val="28"/>
              </w:rPr>
            </w:pPr>
          </w:p>
        </w:tc>
        <w:tc>
          <w:tcPr>
            <w:tcW w:w="469" w:type="pct"/>
          </w:tcPr>
          <w:p w:rsidR="0030517B" w:rsidRPr="00CA099F" w:rsidRDefault="0030517B" w:rsidP="00E1448E">
            <w:pPr>
              <w:spacing w:after="0" w:line="240" w:lineRule="auto"/>
              <w:jc w:val="center"/>
              <w:rPr>
                <w:rFonts w:eastAsia="Times New Roman" w:cs="Times New Roman"/>
                <w:szCs w:val="28"/>
              </w:rPr>
            </w:pPr>
          </w:p>
        </w:tc>
        <w:tc>
          <w:tcPr>
            <w:tcW w:w="560" w:type="pct"/>
          </w:tcPr>
          <w:p w:rsidR="0030517B" w:rsidRPr="00CA099F" w:rsidRDefault="0030517B" w:rsidP="00E1448E">
            <w:pPr>
              <w:spacing w:after="0" w:line="240" w:lineRule="auto"/>
              <w:jc w:val="center"/>
              <w:rPr>
                <w:rFonts w:eastAsia="Times New Roman" w:cs="Times New Roman"/>
                <w:szCs w:val="28"/>
              </w:rPr>
            </w:pPr>
          </w:p>
        </w:tc>
        <w:tc>
          <w:tcPr>
            <w:tcW w:w="467" w:type="pct"/>
          </w:tcPr>
          <w:p w:rsidR="0030517B" w:rsidRPr="00CA099F" w:rsidRDefault="0030517B" w:rsidP="00E1448E">
            <w:pPr>
              <w:spacing w:after="0" w:line="240" w:lineRule="auto"/>
              <w:jc w:val="center"/>
              <w:rPr>
                <w:rFonts w:eastAsia="Times New Roman" w:cs="Times New Roman"/>
                <w:szCs w:val="28"/>
              </w:rPr>
            </w:pPr>
          </w:p>
        </w:tc>
        <w:tc>
          <w:tcPr>
            <w:tcW w:w="631" w:type="pct"/>
          </w:tcPr>
          <w:p w:rsidR="0030517B" w:rsidRPr="00CA099F" w:rsidRDefault="0030517B" w:rsidP="00E1448E">
            <w:pPr>
              <w:spacing w:after="0"/>
              <w:jc w:val="center"/>
              <w:rPr>
                <w:rFonts w:eastAsia="Times New Roman" w:cs="Times New Roman"/>
                <w:szCs w:val="24"/>
              </w:rPr>
            </w:pPr>
            <w:r w:rsidRPr="00CA099F">
              <w:rPr>
                <w:rFonts w:eastAsia="Times New Roman" w:cs="Times New Roman"/>
                <w:color w:val="000000"/>
                <w:szCs w:val="24"/>
              </w:rPr>
              <w:t>р</w:t>
            </w:r>
            <w:r w:rsidRPr="00CA099F">
              <w:rPr>
                <w:rFonts w:eastAsia="Times New Roman" w:cs="Times New Roman"/>
                <w:color w:val="000000"/>
                <w:szCs w:val="24"/>
                <w:vertAlign w:val="subscript"/>
              </w:rPr>
              <w:t>1</w:t>
            </w:r>
            <w:r w:rsidRPr="00CA099F">
              <w:rPr>
                <w:rFonts w:eastAsia="Times New Roman" w:cs="Times New Roman"/>
                <w:color w:val="000000"/>
                <w:szCs w:val="24"/>
              </w:rPr>
              <w:t>&lt;0,002</w:t>
            </w:r>
          </w:p>
        </w:tc>
        <w:tc>
          <w:tcPr>
            <w:tcW w:w="489" w:type="pct"/>
          </w:tcPr>
          <w:p w:rsidR="0030517B" w:rsidRPr="00CA099F" w:rsidRDefault="0030517B" w:rsidP="00E1448E">
            <w:pPr>
              <w:spacing w:after="0"/>
              <w:jc w:val="center"/>
              <w:rPr>
                <w:rFonts w:eastAsia="Times New Roman" w:cs="Times New Roman"/>
                <w:szCs w:val="28"/>
              </w:rPr>
            </w:pPr>
          </w:p>
        </w:tc>
        <w:tc>
          <w:tcPr>
            <w:tcW w:w="671" w:type="pct"/>
          </w:tcPr>
          <w:p w:rsidR="0030517B" w:rsidRPr="00CA099F" w:rsidRDefault="0030517B" w:rsidP="00E1448E">
            <w:pPr>
              <w:spacing w:after="0"/>
              <w:jc w:val="center"/>
              <w:rPr>
                <w:rFonts w:eastAsia="Times New Roman" w:cs="Times New Roman"/>
                <w:szCs w:val="28"/>
              </w:rPr>
            </w:pPr>
          </w:p>
        </w:tc>
        <w:tc>
          <w:tcPr>
            <w:tcW w:w="580" w:type="pct"/>
          </w:tcPr>
          <w:p w:rsidR="0030517B" w:rsidRPr="00CA099F" w:rsidRDefault="0030517B" w:rsidP="00E1448E">
            <w:pPr>
              <w:spacing w:after="0" w:line="240" w:lineRule="auto"/>
              <w:jc w:val="center"/>
              <w:rPr>
                <w:rFonts w:eastAsia="Times New Roman" w:cs="Times New Roman"/>
                <w:szCs w:val="28"/>
              </w:rPr>
            </w:pPr>
          </w:p>
        </w:tc>
        <w:tc>
          <w:tcPr>
            <w:tcW w:w="575" w:type="pct"/>
          </w:tcPr>
          <w:p w:rsidR="0030517B" w:rsidRPr="00CA099F" w:rsidRDefault="0030517B" w:rsidP="00E1448E">
            <w:pPr>
              <w:spacing w:after="0" w:line="240" w:lineRule="auto"/>
              <w:jc w:val="center"/>
              <w:rPr>
                <w:rFonts w:eastAsia="Times New Roman" w:cs="Times New Roman"/>
                <w:szCs w:val="28"/>
              </w:rPr>
            </w:pPr>
          </w:p>
        </w:tc>
      </w:tr>
      <w:tr w:rsidR="0030517B" w:rsidRPr="00CA099F" w:rsidTr="00E1448E">
        <w:tc>
          <w:tcPr>
            <w:tcW w:w="557" w:type="pct"/>
          </w:tcPr>
          <w:p w:rsidR="0030517B" w:rsidRPr="00CA099F" w:rsidRDefault="0030517B" w:rsidP="00E1448E">
            <w:pPr>
              <w:spacing w:after="0" w:line="240" w:lineRule="auto"/>
              <w:jc w:val="center"/>
              <w:rPr>
                <w:rFonts w:eastAsia="Times New Roman" w:cs="Times New Roman"/>
                <w:szCs w:val="28"/>
              </w:rPr>
            </w:pPr>
            <w:r w:rsidRPr="00CA099F">
              <w:rPr>
                <w:rFonts w:eastAsia="Times New Roman" w:cs="Times New Roman"/>
                <w:sz w:val="28"/>
                <w:szCs w:val="28"/>
              </w:rPr>
              <w:t>SH-групи, ммоль/кг</w:t>
            </w:r>
          </w:p>
        </w:tc>
        <w:tc>
          <w:tcPr>
            <w:tcW w:w="469" w:type="pct"/>
          </w:tcPr>
          <w:p w:rsidR="0030517B" w:rsidRPr="00CA099F" w:rsidRDefault="0030517B" w:rsidP="00E1448E">
            <w:pPr>
              <w:spacing w:after="0" w:line="240" w:lineRule="auto"/>
              <w:jc w:val="center"/>
              <w:rPr>
                <w:rFonts w:eastAsia="Times New Roman" w:cs="Times New Roman"/>
                <w:szCs w:val="28"/>
              </w:rPr>
            </w:pPr>
            <w:r w:rsidRPr="00CA099F">
              <w:rPr>
                <w:rFonts w:eastAsia="Times New Roman" w:cs="Times New Roman"/>
                <w:sz w:val="28"/>
                <w:szCs w:val="28"/>
              </w:rPr>
              <w:t>59,01±2,08</w:t>
            </w:r>
          </w:p>
        </w:tc>
        <w:tc>
          <w:tcPr>
            <w:tcW w:w="560" w:type="pct"/>
          </w:tcPr>
          <w:p w:rsidR="0030517B" w:rsidRPr="00CA099F" w:rsidRDefault="0030517B" w:rsidP="00E1448E">
            <w:pPr>
              <w:spacing w:after="0" w:line="240" w:lineRule="auto"/>
              <w:jc w:val="center"/>
              <w:rPr>
                <w:rFonts w:eastAsia="Times New Roman" w:cs="Times New Roman"/>
                <w:szCs w:val="28"/>
              </w:rPr>
            </w:pPr>
            <w:r w:rsidRPr="00CA099F">
              <w:rPr>
                <w:rFonts w:eastAsia="Times New Roman" w:cs="Times New Roman"/>
                <w:sz w:val="28"/>
                <w:szCs w:val="28"/>
              </w:rPr>
              <w:t>52,83± 2,02*</w:t>
            </w:r>
          </w:p>
        </w:tc>
        <w:tc>
          <w:tcPr>
            <w:tcW w:w="467" w:type="pct"/>
          </w:tcPr>
          <w:p w:rsidR="0030517B" w:rsidRPr="00CA099F" w:rsidRDefault="0030517B" w:rsidP="00E1448E">
            <w:pPr>
              <w:spacing w:after="0" w:line="240" w:lineRule="auto"/>
              <w:jc w:val="center"/>
              <w:rPr>
                <w:rFonts w:eastAsia="Times New Roman" w:cs="Times New Roman"/>
                <w:szCs w:val="28"/>
              </w:rPr>
            </w:pPr>
            <w:r w:rsidRPr="00CA099F">
              <w:rPr>
                <w:rFonts w:eastAsia="Times New Roman" w:cs="Times New Roman"/>
                <w:sz w:val="28"/>
                <w:szCs w:val="28"/>
              </w:rPr>
              <w:t>51,92±2,53</w:t>
            </w:r>
          </w:p>
        </w:tc>
        <w:tc>
          <w:tcPr>
            <w:tcW w:w="631" w:type="pct"/>
          </w:tcPr>
          <w:p w:rsidR="0030517B" w:rsidRPr="00CA099F" w:rsidRDefault="0030517B" w:rsidP="00E1448E">
            <w:pPr>
              <w:spacing w:after="0"/>
              <w:jc w:val="center"/>
              <w:rPr>
                <w:rFonts w:eastAsia="Times New Roman" w:cs="Times New Roman"/>
                <w:color w:val="000000"/>
                <w:szCs w:val="28"/>
              </w:rPr>
            </w:pPr>
            <w:r w:rsidRPr="00CA099F">
              <w:rPr>
                <w:rFonts w:eastAsia="Times New Roman" w:cs="Times New Roman"/>
                <w:color w:val="000000"/>
                <w:sz w:val="28"/>
                <w:szCs w:val="28"/>
              </w:rPr>
              <w:t>49,97</w:t>
            </w:r>
            <w:r w:rsidRPr="00CA099F">
              <w:rPr>
                <w:rFonts w:eastAsia="Times New Roman" w:cs="Times New Roman"/>
                <w:sz w:val="28"/>
                <w:szCs w:val="28"/>
              </w:rPr>
              <w:t>±</w:t>
            </w:r>
            <w:r w:rsidRPr="00CA099F">
              <w:rPr>
                <w:rFonts w:eastAsia="Times New Roman" w:cs="Times New Roman"/>
                <w:color w:val="000000"/>
                <w:sz w:val="28"/>
                <w:szCs w:val="28"/>
              </w:rPr>
              <w:t xml:space="preserve"> 2,02</w:t>
            </w:r>
          </w:p>
        </w:tc>
        <w:tc>
          <w:tcPr>
            <w:tcW w:w="489" w:type="pct"/>
          </w:tcPr>
          <w:p w:rsidR="0030517B" w:rsidRPr="00CA099F" w:rsidRDefault="0030517B" w:rsidP="00E1448E">
            <w:pPr>
              <w:spacing w:after="0"/>
              <w:jc w:val="center"/>
              <w:rPr>
                <w:rFonts w:eastAsia="Times New Roman" w:cs="Times New Roman"/>
                <w:szCs w:val="28"/>
              </w:rPr>
            </w:pPr>
            <w:r w:rsidRPr="00CA099F">
              <w:rPr>
                <w:rFonts w:eastAsia="Times New Roman" w:cs="Times New Roman"/>
                <w:sz w:val="28"/>
                <w:szCs w:val="28"/>
              </w:rPr>
              <w:t>49,98±2,25</w:t>
            </w:r>
          </w:p>
        </w:tc>
        <w:tc>
          <w:tcPr>
            <w:tcW w:w="671" w:type="pct"/>
          </w:tcPr>
          <w:p w:rsidR="0030517B" w:rsidRPr="00CA099F" w:rsidRDefault="0030517B" w:rsidP="00E1448E">
            <w:pPr>
              <w:spacing w:after="0"/>
              <w:jc w:val="center"/>
              <w:rPr>
                <w:rFonts w:eastAsia="Times New Roman" w:cs="Times New Roman"/>
                <w:color w:val="000000"/>
                <w:szCs w:val="28"/>
              </w:rPr>
            </w:pPr>
            <w:r w:rsidRPr="00CA099F">
              <w:rPr>
                <w:rFonts w:eastAsia="Times New Roman" w:cs="Times New Roman"/>
                <w:color w:val="000000"/>
                <w:sz w:val="28"/>
                <w:szCs w:val="28"/>
              </w:rPr>
              <w:t>47,35</w:t>
            </w:r>
            <w:r w:rsidRPr="00CA099F">
              <w:rPr>
                <w:rFonts w:eastAsia="Times New Roman" w:cs="Times New Roman"/>
                <w:sz w:val="28"/>
                <w:szCs w:val="28"/>
              </w:rPr>
              <w:t>±</w:t>
            </w:r>
            <w:r w:rsidRPr="00CA099F">
              <w:rPr>
                <w:rFonts w:eastAsia="Times New Roman" w:cs="Times New Roman"/>
                <w:color w:val="000000"/>
                <w:sz w:val="28"/>
                <w:szCs w:val="28"/>
              </w:rPr>
              <w:t xml:space="preserve"> 2,16</w:t>
            </w:r>
          </w:p>
        </w:tc>
        <w:tc>
          <w:tcPr>
            <w:tcW w:w="580" w:type="pct"/>
          </w:tcPr>
          <w:p w:rsidR="0030517B" w:rsidRPr="00CA099F" w:rsidRDefault="0030517B" w:rsidP="00E1448E">
            <w:pPr>
              <w:spacing w:after="0" w:line="240" w:lineRule="auto"/>
              <w:jc w:val="center"/>
              <w:rPr>
                <w:rFonts w:eastAsia="Times New Roman" w:cs="Times New Roman"/>
                <w:szCs w:val="28"/>
              </w:rPr>
            </w:pPr>
            <w:r w:rsidRPr="00CA099F">
              <w:rPr>
                <w:rFonts w:eastAsia="Times New Roman" w:cs="Times New Roman"/>
                <w:sz w:val="28"/>
                <w:szCs w:val="28"/>
              </w:rPr>
              <w:t>49,41±1,93</w:t>
            </w:r>
          </w:p>
        </w:tc>
        <w:tc>
          <w:tcPr>
            <w:tcW w:w="575" w:type="pct"/>
          </w:tcPr>
          <w:p w:rsidR="0030517B" w:rsidRPr="00CA099F" w:rsidRDefault="0030517B" w:rsidP="00E1448E">
            <w:pPr>
              <w:spacing w:after="0" w:line="240" w:lineRule="auto"/>
              <w:jc w:val="center"/>
              <w:rPr>
                <w:rFonts w:eastAsia="Times New Roman" w:cs="Times New Roman"/>
                <w:color w:val="000000"/>
                <w:szCs w:val="28"/>
              </w:rPr>
            </w:pPr>
            <w:r w:rsidRPr="00CA099F">
              <w:rPr>
                <w:rFonts w:eastAsia="Times New Roman" w:cs="Times New Roman"/>
                <w:color w:val="000000"/>
                <w:sz w:val="28"/>
                <w:szCs w:val="28"/>
              </w:rPr>
              <w:t>46,75</w:t>
            </w:r>
            <w:r w:rsidRPr="00CA099F">
              <w:rPr>
                <w:rFonts w:eastAsia="Times New Roman" w:cs="Times New Roman"/>
                <w:sz w:val="28"/>
                <w:szCs w:val="28"/>
              </w:rPr>
              <w:t>±</w:t>
            </w:r>
            <w:r w:rsidRPr="00CA099F">
              <w:rPr>
                <w:rFonts w:eastAsia="Times New Roman" w:cs="Times New Roman"/>
                <w:color w:val="000000"/>
                <w:sz w:val="28"/>
                <w:szCs w:val="28"/>
              </w:rPr>
              <w:t>1,95</w:t>
            </w:r>
          </w:p>
        </w:tc>
      </w:tr>
      <w:tr w:rsidR="0030517B" w:rsidRPr="00CA099F" w:rsidTr="00E1448E">
        <w:tc>
          <w:tcPr>
            <w:tcW w:w="5000" w:type="pct"/>
            <w:gridSpan w:val="9"/>
          </w:tcPr>
          <w:p w:rsidR="0030517B" w:rsidRPr="00CA099F" w:rsidRDefault="0030517B" w:rsidP="00E1448E">
            <w:pPr>
              <w:spacing w:after="0" w:line="240" w:lineRule="auto"/>
              <w:jc w:val="both"/>
              <w:rPr>
                <w:rFonts w:eastAsia="Times New Roman" w:cs="Times New Roman"/>
                <w:szCs w:val="28"/>
              </w:rPr>
            </w:pPr>
            <w:r w:rsidRPr="00CA099F">
              <w:rPr>
                <w:rFonts w:eastAsia="Times New Roman" w:cs="Times New Roman"/>
                <w:sz w:val="28"/>
                <w:szCs w:val="28"/>
              </w:rPr>
              <w:t>Примітка:</w:t>
            </w:r>
          </w:p>
          <w:p w:rsidR="0030517B" w:rsidRPr="00CA099F" w:rsidRDefault="0030517B" w:rsidP="00E1448E">
            <w:pPr>
              <w:spacing w:after="0" w:line="240" w:lineRule="auto"/>
              <w:jc w:val="both"/>
              <w:rPr>
                <w:rFonts w:eastAsia="Times New Roman" w:cs="Times New Roman"/>
                <w:szCs w:val="28"/>
              </w:rPr>
            </w:pPr>
            <w:r w:rsidRPr="00CA099F">
              <w:rPr>
                <w:rFonts w:eastAsia="Times New Roman" w:cs="Times New Roman"/>
                <w:sz w:val="28"/>
                <w:szCs w:val="28"/>
              </w:rPr>
              <w:t>*- різниця достовірна стосовно даних групи порівняння в межах одного терміну спостереження</w:t>
            </w:r>
          </w:p>
          <w:p w:rsidR="0030517B" w:rsidRPr="00CA099F" w:rsidRDefault="0030517B" w:rsidP="00E1448E">
            <w:pPr>
              <w:tabs>
                <w:tab w:val="left" w:pos="709"/>
              </w:tabs>
              <w:spacing w:after="0" w:line="240" w:lineRule="auto"/>
              <w:ind w:right="-6"/>
              <w:jc w:val="both"/>
              <w:rPr>
                <w:rFonts w:eastAsia="Times New Roman" w:cs="Times New Roman"/>
                <w:color w:val="000000"/>
                <w:szCs w:val="28"/>
              </w:rPr>
            </w:pPr>
            <w:r w:rsidRPr="00CA099F">
              <w:rPr>
                <w:rFonts w:eastAsia="Times New Roman" w:cs="Times New Roman"/>
                <w:color w:val="000000"/>
                <w:sz w:val="28"/>
                <w:szCs w:val="28"/>
              </w:rPr>
              <w:t>р</w:t>
            </w:r>
            <w:r w:rsidRPr="00CA099F">
              <w:rPr>
                <w:rFonts w:eastAsia="Times New Roman" w:cs="Times New Roman"/>
                <w:color w:val="000000"/>
                <w:sz w:val="28"/>
                <w:szCs w:val="28"/>
                <w:vertAlign w:val="subscript"/>
              </w:rPr>
              <w:t>1</w:t>
            </w:r>
            <w:r w:rsidRPr="00CA099F">
              <w:rPr>
                <w:rFonts w:eastAsia="Times New Roman" w:cs="Times New Roman"/>
                <w:color w:val="000000"/>
                <w:sz w:val="28"/>
                <w:szCs w:val="28"/>
              </w:rPr>
              <w:t xml:space="preserve"> –показник достовірності між дослідними групами, термін спостереження 3 і 6 місяців; </w:t>
            </w:r>
          </w:p>
          <w:p w:rsidR="0030517B" w:rsidRPr="009A4DD8" w:rsidRDefault="0030517B" w:rsidP="00E1448E">
            <w:pPr>
              <w:spacing w:after="0" w:line="240" w:lineRule="auto"/>
              <w:jc w:val="both"/>
              <w:rPr>
                <w:rFonts w:eastAsia="Times New Roman" w:cs="Times New Roman"/>
                <w:color w:val="000000"/>
                <w:szCs w:val="28"/>
                <w:lang w:val="ru-RU"/>
              </w:rPr>
            </w:pPr>
            <w:r w:rsidRPr="00CA099F">
              <w:rPr>
                <w:rFonts w:eastAsia="Times New Roman" w:cs="Times New Roman"/>
                <w:color w:val="000000"/>
                <w:sz w:val="28"/>
                <w:szCs w:val="28"/>
              </w:rPr>
              <w:t>р</w:t>
            </w:r>
            <w:r w:rsidRPr="00CA099F">
              <w:rPr>
                <w:rFonts w:eastAsia="Times New Roman" w:cs="Times New Roman"/>
                <w:color w:val="000000"/>
                <w:sz w:val="28"/>
                <w:szCs w:val="28"/>
                <w:vertAlign w:val="subscript"/>
              </w:rPr>
              <w:t xml:space="preserve">2 </w:t>
            </w:r>
            <w:r w:rsidRPr="00CA099F">
              <w:rPr>
                <w:rFonts w:eastAsia="Times New Roman" w:cs="Times New Roman"/>
                <w:color w:val="000000"/>
                <w:sz w:val="28"/>
                <w:szCs w:val="28"/>
              </w:rPr>
              <w:t>–показник достовірності між дослідними групами, тер</w:t>
            </w:r>
            <w:r w:rsidR="009A4DD8">
              <w:rPr>
                <w:rFonts w:eastAsia="Times New Roman" w:cs="Times New Roman"/>
                <w:color w:val="000000"/>
                <w:sz w:val="28"/>
                <w:szCs w:val="28"/>
              </w:rPr>
              <w:t>мін спостереження 6 і 9 місяців</w:t>
            </w:r>
            <w:r w:rsidR="009A4DD8">
              <w:rPr>
                <w:rFonts w:eastAsia="Times New Roman" w:cs="Times New Roman"/>
                <w:color w:val="000000"/>
                <w:sz w:val="28"/>
                <w:szCs w:val="28"/>
                <w:lang w:val="ru-RU"/>
              </w:rPr>
              <w:t>.</w:t>
            </w:r>
          </w:p>
        </w:tc>
      </w:tr>
    </w:tbl>
    <w:p w:rsidR="0030517B" w:rsidRPr="00CA099F" w:rsidRDefault="0030517B" w:rsidP="0030517B">
      <w:pPr>
        <w:spacing w:after="0" w:line="360" w:lineRule="auto"/>
        <w:jc w:val="right"/>
        <w:rPr>
          <w:rFonts w:eastAsia="Times New Roman" w:cs="Times New Roman"/>
          <w:i/>
          <w:sz w:val="28"/>
          <w:szCs w:val="28"/>
        </w:rPr>
      </w:pPr>
    </w:p>
    <w:p w:rsidR="0030517B" w:rsidRPr="00CA099F" w:rsidRDefault="00801EEF" w:rsidP="0030517B">
      <w:pPr>
        <w:spacing w:after="0" w:line="360" w:lineRule="auto"/>
        <w:jc w:val="both"/>
        <w:rPr>
          <w:rFonts w:eastAsia="Times New Roman" w:cs="Times New Roman"/>
          <w:sz w:val="28"/>
          <w:szCs w:val="28"/>
        </w:rPr>
      </w:pPr>
      <w:r>
        <w:rPr>
          <w:rFonts w:eastAsia="Times New Roman" w:cs="Times New Roman"/>
          <w:sz w:val="28"/>
          <w:szCs w:val="28"/>
        </w:rPr>
        <w:tab/>
      </w:r>
      <w:r w:rsidR="0030517B" w:rsidRPr="00CA099F">
        <w:rPr>
          <w:rFonts w:eastAsia="Times New Roman" w:cs="Times New Roman"/>
          <w:sz w:val="28"/>
          <w:szCs w:val="28"/>
        </w:rPr>
        <w:t xml:space="preserve">Щодо пацієнтів, яким під час оперативного втручання введено PRF-згусток, а на післяопераційному етапі було застосовано препарат </w:t>
      </w:r>
      <w:r w:rsidR="009A789C">
        <w:rPr>
          <w:rFonts w:eastAsia="Times New Roman" w:cs="Times New Roman"/>
          <w:sz w:val="28"/>
          <w:szCs w:val="28"/>
        </w:rPr>
        <w:t>церулоплазмін</w:t>
      </w:r>
      <w:r w:rsidR="0030517B" w:rsidRPr="00CA099F">
        <w:rPr>
          <w:rFonts w:eastAsia="Times New Roman" w:cs="Times New Roman"/>
          <w:sz w:val="28"/>
          <w:szCs w:val="28"/>
        </w:rPr>
        <w:t>, то активність СОД через 3 місяці спостереження була достовірно меншою на 24,6 %, через 6 місяців – на 16,7 % і через 9 – на 14,7</w:t>
      </w:r>
      <w:r w:rsidR="009A4DD8">
        <w:rPr>
          <w:rFonts w:eastAsia="Times New Roman" w:cs="Times New Roman"/>
          <w:sz w:val="28"/>
          <w:szCs w:val="28"/>
          <w:lang w:val="ru-RU"/>
        </w:rPr>
        <w:t> </w:t>
      </w:r>
      <w:r w:rsidR="0030517B" w:rsidRPr="00CA099F">
        <w:rPr>
          <w:rFonts w:eastAsia="Times New Roman" w:cs="Times New Roman"/>
          <w:sz w:val="28"/>
          <w:szCs w:val="28"/>
        </w:rPr>
        <w:t xml:space="preserve">%, стосовно даних 3-ої групи. У пацієнтів 1-ої і 3-ої груп через 12 місяців спостереження активність СОД практично не відрізнялася (табл. 5.8). </w:t>
      </w:r>
    </w:p>
    <w:p w:rsidR="0030517B" w:rsidRPr="00CA099F" w:rsidRDefault="0030517B" w:rsidP="009A4DD8">
      <w:pPr>
        <w:spacing w:after="0" w:line="360" w:lineRule="auto"/>
        <w:ind w:firstLine="709"/>
        <w:jc w:val="both"/>
        <w:rPr>
          <w:rFonts w:eastAsia="Times New Roman" w:cs="Times New Roman"/>
          <w:color w:val="000000"/>
          <w:sz w:val="28"/>
          <w:szCs w:val="28"/>
        </w:rPr>
      </w:pPr>
      <w:r w:rsidRPr="00CA099F">
        <w:rPr>
          <w:rFonts w:eastAsia="Times New Roman" w:cs="Times New Roman"/>
          <w:sz w:val="28"/>
          <w:szCs w:val="28"/>
        </w:rPr>
        <w:t xml:space="preserve">Слід зазначити, що рівень досліджуваного показника також змінювався впродовж терміну спостереження. Так, у пацієнтів, яким під час оперативного </w:t>
      </w:r>
      <w:r w:rsidRPr="00CA099F">
        <w:rPr>
          <w:rFonts w:eastAsia="Times New Roman" w:cs="Times New Roman"/>
          <w:sz w:val="28"/>
          <w:szCs w:val="28"/>
        </w:rPr>
        <w:lastRenderedPageBreak/>
        <w:t xml:space="preserve">втручання введено PRF-згусток, а на післяопераційному етапі було застосовано </w:t>
      </w:r>
      <w:r w:rsidR="009A789C">
        <w:rPr>
          <w:rFonts w:eastAsia="Times New Roman" w:cs="Times New Roman"/>
          <w:sz w:val="28"/>
          <w:szCs w:val="28"/>
        </w:rPr>
        <w:t>церулоплазмін</w:t>
      </w:r>
      <w:r w:rsidR="009A789C" w:rsidRPr="00CA099F">
        <w:rPr>
          <w:rFonts w:eastAsia="Times New Roman" w:cs="Times New Roman"/>
          <w:sz w:val="28"/>
          <w:szCs w:val="28"/>
        </w:rPr>
        <w:t xml:space="preserve"> </w:t>
      </w:r>
      <w:r w:rsidRPr="00CA099F">
        <w:rPr>
          <w:rFonts w:eastAsia="Times New Roman" w:cs="Times New Roman"/>
          <w:sz w:val="28"/>
          <w:szCs w:val="28"/>
        </w:rPr>
        <w:t>через 6 міся</w:t>
      </w:r>
      <w:r w:rsidR="009A4DD8">
        <w:rPr>
          <w:rFonts w:eastAsia="Times New Roman" w:cs="Times New Roman"/>
          <w:sz w:val="28"/>
          <w:szCs w:val="28"/>
        </w:rPr>
        <w:t>ців активність СОД була на 19,6</w:t>
      </w:r>
      <w:r w:rsidR="009A4DD8">
        <w:rPr>
          <w:rFonts w:eastAsia="Times New Roman" w:cs="Times New Roman"/>
          <w:sz w:val="28"/>
          <w:szCs w:val="28"/>
          <w:lang w:val="ru-RU"/>
        </w:rPr>
        <w:t> </w:t>
      </w:r>
      <w:r w:rsidRPr="00CA099F">
        <w:rPr>
          <w:rFonts w:eastAsia="Times New Roman" w:cs="Times New Roman"/>
          <w:sz w:val="28"/>
          <w:szCs w:val="28"/>
        </w:rPr>
        <w:t xml:space="preserve">% </w:t>
      </w:r>
      <w:r w:rsidR="009A4DD8">
        <w:rPr>
          <w:rFonts w:eastAsia="Times New Roman" w:cs="Times New Roman"/>
          <w:sz w:val="28"/>
          <w:szCs w:val="28"/>
        </w:rPr>
        <w:t>нижч</w:t>
      </w:r>
      <w:r w:rsidR="009A4DD8" w:rsidRPr="009A4DD8">
        <w:rPr>
          <w:rFonts w:eastAsia="Times New Roman" w:cs="Times New Roman"/>
          <w:sz w:val="28"/>
          <w:szCs w:val="28"/>
        </w:rPr>
        <w:t>ою</w:t>
      </w:r>
      <w:r w:rsidR="009A4DD8">
        <w:rPr>
          <w:rFonts w:eastAsia="Times New Roman" w:cs="Times New Roman"/>
          <w:sz w:val="28"/>
          <w:szCs w:val="28"/>
          <w:lang w:val="ru-RU"/>
        </w:rPr>
        <w:t xml:space="preserve"> </w:t>
      </w:r>
      <w:r w:rsidR="009A4DD8" w:rsidRPr="00CA099F">
        <w:rPr>
          <w:rFonts w:eastAsia="Times New Roman" w:cs="Times New Roman"/>
          <w:sz w:val="28"/>
          <w:szCs w:val="28"/>
        </w:rPr>
        <w:t>(</w:t>
      </w:r>
      <w:r w:rsidR="009A4DD8" w:rsidRPr="00CA099F">
        <w:rPr>
          <w:rFonts w:eastAsia="Times New Roman" w:cs="Times New Roman"/>
          <w:color w:val="000000"/>
          <w:sz w:val="28"/>
          <w:szCs w:val="28"/>
        </w:rPr>
        <w:t>р&lt;0,001)</w:t>
      </w:r>
      <w:r w:rsidRPr="00CA099F">
        <w:rPr>
          <w:rFonts w:eastAsia="Times New Roman" w:cs="Times New Roman"/>
          <w:sz w:val="28"/>
          <w:szCs w:val="28"/>
        </w:rPr>
        <w:t>, стосовно даних попереднього терміну спостереження, через 9 місяців – на 16,6 % (</w:t>
      </w:r>
      <w:r w:rsidRPr="00CA099F">
        <w:rPr>
          <w:rFonts w:eastAsia="Times New Roman" w:cs="Times New Roman"/>
          <w:color w:val="000000"/>
          <w:sz w:val="28"/>
          <w:szCs w:val="28"/>
        </w:rPr>
        <w:t xml:space="preserve">р&lt;0,001). </w:t>
      </w:r>
    </w:p>
    <w:p w:rsidR="0030517B" w:rsidRPr="00CA099F" w:rsidRDefault="0030517B" w:rsidP="0030517B">
      <w:pPr>
        <w:spacing w:after="0" w:line="360" w:lineRule="auto"/>
        <w:jc w:val="right"/>
        <w:rPr>
          <w:rFonts w:eastAsia="Times New Roman" w:cs="Times New Roman"/>
          <w:i/>
          <w:sz w:val="28"/>
          <w:szCs w:val="28"/>
        </w:rPr>
      </w:pPr>
      <w:r w:rsidRPr="00CA099F">
        <w:rPr>
          <w:rFonts w:eastAsia="Times New Roman" w:cs="Times New Roman"/>
          <w:i/>
          <w:sz w:val="28"/>
          <w:szCs w:val="28"/>
        </w:rPr>
        <w:t>Таблиця 5.8.</w:t>
      </w:r>
    </w:p>
    <w:p w:rsidR="0030517B" w:rsidRPr="00CA099F" w:rsidRDefault="0030517B" w:rsidP="0030517B">
      <w:pPr>
        <w:spacing w:after="0" w:line="360" w:lineRule="auto"/>
        <w:jc w:val="center"/>
        <w:rPr>
          <w:rFonts w:eastAsia="Times New Roman" w:cs="Times New Roman"/>
          <w:sz w:val="28"/>
          <w:szCs w:val="28"/>
        </w:rPr>
      </w:pPr>
      <w:r w:rsidRPr="00CA099F">
        <w:rPr>
          <w:rFonts w:eastAsia="Times New Roman" w:cs="Times New Roman"/>
          <w:sz w:val="28"/>
          <w:szCs w:val="28"/>
        </w:rPr>
        <w:t>Показники системи антиоксидного захисту у гомогенаті шкіри за умови використання PRF-згустка та церулоплазміну</w:t>
      </w:r>
    </w:p>
    <w:p w:rsidR="0030517B" w:rsidRPr="00CA099F" w:rsidRDefault="0030517B" w:rsidP="0030517B">
      <w:pPr>
        <w:spacing w:after="0"/>
        <w:rPr>
          <w:rFonts w:ascii="Calibri" w:eastAsia="Times New Roman" w:hAnsi="Calibri" w:cs="Times New Roman"/>
          <w:sz w:val="22"/>
        </w:rPr>
      </w:pPr>
    </w:p>
    <w:tbl>
      <w:tblPr>
        <w:tblW w:w="5038" w:type="pct"/>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048"/>
        <w:gridCol w:w="880"/>
        <w:gridCol w:w="1053"/>
        <w:gridCol w:w="977"/>
        <w:gridCol w:w="1092"/>
        <w:gridCol w:w="1092"/>
        <w:gridCol w:w="1092"/>
        <w:gridCol w:w="1092"/>
        <w:gridCol w:w="1090"/>
      </w:tblGrid>
      <w:tr w:rsidR="0030517B" w:rsidRPr="00CA099F" w:rsidTr="00E1448E">
        <w:tc>
          <w:tcPr>
            <w:tcW w:w="556" w:type="pct"/>
            <w:vMerge w:val="restart"/>
            <w:vAlign w:val="center"/>
          </w:tcPr>
          <w:p w:rsidR="0030517B" w:rsidRPr="00CA099F" w:rsidRDefault="0030517B" w:rsidP="00E1448E">
            <w:pPr>
              <w:spacing w:after="0" w:line="240" w:lineRule="auto"/>
              <w:ind w:right="-90"/>
              <w:jc w:val="center"/>
              <w:rPr>
                <w:rFonts w:eastAsia="Times New Roman" w:cs="Times New Roman"/>
                <w:szCs w:val="24"/>
              </w:rPr>
            </w:pPr>
            <w:r w:rsidRPr="00CA099F">
              <w:rPr>
                <w:rFonts w:eastAsia="Times New Roman" w:cs="Times New Roman"/>
                <w:szCs w:val="24"/>
              </w:rPr>
              <w:t>Показник</w:t>
            </w:r>
          </w:p>
        </w:tc>
        <w:tc>
          <w:tcPr>
            <w:tcW w:w="1026" w:type="pct"/>
            <w:gridSpan w:val="2"/>
          </w:tcPr>
          <w:p w:rsidR="0030517B" w:rsidRPr="00CA099F" w:rsidRDefault="0030517B" w:rsidP="00E1448E">
            <w:pPr>
              <w:spacing w:after="0" w:line="240" w:lineRule="auto"/>
              <w:jc w:val="center"/>
              <w:rPr>
                <w:rFonts w:eastAsia="Times New Roman" w:cs="Times New Roman"/>
                <w:szCs w:val="28"/>
              </w:rPr>
            </w:pPr>
            <w:r w:rsidRPr="00CA099F">
              <w:rPr>
                <w:rFonts w:eastAsia="Times New Roman" w:cs="Times New Roman"/>
                <w:sz w:val="28"/>
                <w:szCs w:val="28"/>
              </w:rPr>
              <w:t>3 місяці</w:t>
            </w:r>
          </w:p>
        </w:tc>
        <w:tc>
          <w:tcPr>
            <w:tcW w:w="1099" w:type="pct"/>
            <w:gridSpan w:val="2"/>
          </w:tcPr>
          <w:p w:rsidR="0030517B" w:rsidRPr="00CA099F" w:rsidRDefault="0030517B" w:rsidP="00E1448E">
            <w:pPr>
              <w:spacing w:after="0" w:line="240" w:lineRule="auto"/>
              <w:jc w:val="center"/>
              <w:rPr>
                <w:rFonts w:eastAsia="Times New Roman" w:cs="Times New Roman"/>
                <w:szCs w:val="28"/>
              </w:rPr>
            </w:pPr>
            <w:r w:rsidRPr="00CA099F">
              <w:rPr>
                <w:rFonts w:eastAsia="Times New Roman" w:cs="Times New Roman"/>
                <w:sz w:val="28"/>
                <w:szCs w:val="28"/>
              </w:rPr>
              <w:t>6 місяців</w:t>
            </w:r>
          </w:p>
        </w:tc>
        <w:tc>
          <w:tcPr>
            <w:tcW w:w="1160" w:type="pct"/>
            <w:gridSpan w:val="2"/>
          </w:tcPr>
          <w:p w:rsidR="0030517B" w:rsidRPr="00CA099F" w:rsidRDefault="0030517B" w:rsidP="00E1448E">
            <w:pPr>
              <w:spacing w:after="0" w:line="240" w:lineRule="auto"/>
              <w:jc w:val="center"/>
              <w:rPr>
                <w:rFonts w:eastAsia="Times New Roman" w:cs="Times New Roman"/>
                <w:szCs w:val="28"/>
              </w:rPr>
            </w:pPr>
            <w:r w:rsidRPr="00CA099F">
              <w:rPr>
                <w:rFonts w:eastAsia="Times New Roman" w:cs="Times New Roman"/>
                <w:sz w:val="28"/>
                <w:szCs w:val="28"/>
              </w:rPr>
              <w:t>9 місяців</w:t>
            </w:r>
          </w:p>
        </w:tc>
        <w:tc>
          <w:tcPr>
            <w:tcW w:w="1158" w:type="pct"/>
            <w:gridSpan w:val="2"/>
          </w:tcPr>
          <w:p w:rsidR="0030517B" w:rsidRPr="00CA099F" w:rsidRDefault="0030517B" w:rsidP="00E1448E">
            <w:pPr>
              <w:spacing w:after="0" w:line="240" w:lineRule="auto"/>
              <w:jc w:val="center"/>
              <w:rPr>
                <w:rFonts w:eastAsia="Times New Roman" w:cs="Times New Roman"/>
                <w:szCs w:val="28"/>
              </w:rPr>
            </w:pPr>
            <w:r w:rsidRPr="00CA099F">
              <w:rPr>
                <w:rFonts w:eastAsia="Times New Roman" w:cs="Times New Roman"/>
                <w:sz w:val="28"/>
                <w:szCs w:val="28"/>
              </w:rPr>
              <w:t>12 місяців</w:t>
            </w:r>
          </w:p>
        </w:tc>
      </w:tr>
      <w:tr w:rsidR="0030517B" w:rsidRPr="00CA099F" w:rsidTr="00E1448E">
        <w:tc>
          <w:tcPr>
            <w:tcW w:w="556" w:type="pct"/>
            <w:vMerge/>
          </w:tcPr>
          <w:p w:rsidR="0030517B" w:rsidRPr="00CA099F" w:rsidRDefault="0030517B" w:rsidP="00E1448E">
            <w:pPr>
              <w:spacing w:after="0" w:line="240" w:lineRule="auto"/>
              <w:ind w:right="-90"/>
              <w:jc w:val="center"/>
              <w:rPr>
                <w:rFonts w:eastAsia="Times New Roman" w:cs="Times New Roman"/>
                <w:szCs w:val="28"/>
              </w:rPr>
            </w:pPr>
          </w:p>
        </w:tc>
        <w:tc>
          <w:tcPr>
            <w:tcW w:w="467" w:type="pct"/>
          </w:tcPr>
          <w:p w:rsidR="0030517B" w:rsidRPr="00CA099F" w:rsidRDefault="0030517B" w:rsidP="00E1448E">
            <w:pPr>
              <w:spacing w:after="0" w:line="240" w:lineRule="auto"/>
              <w:ind w:right="-87"/>
              <w:jc w:val="center"/>
              <w:rPr>
                <w:rFonts w:eastAsia="Times New Roman" w:cs="Times New Roman"/>
                <w:sz w:val="20"/>
                <w:szCs w:val="20"/>
              </w:rPr>
            </w:pPr>
            <w:r w:rsidRPr="00CA099F">
              <w:rPr>
                <w:rFonts w:eastAsia="Times New Roman" w:cs="Times New Roman"/>
                <w:sz w:val="20"/>
                <w:szCs w:val="20"/>
              </w:rPr>
              <w:t>Група контролю</w:t>
            </w:r>
            <w:r w:rsidR="00801EEF">
              <w:rPr>
                <w:rFonts w:eastAsia="Times New Roman" w:cs="Times New Roman"/>
                <w:sz w:val="20"/>
                <w:szCs w:val="20"/>
              </w:rPr>
              <w:t xml:space="preserve"> </w:t>
            </w:r>
            <w:r w:rsidR="00801EEF">
              <w:rPr>
                <w:rFonts w:eastAsia="Times New Roman" w:cs="Times New Roman"/>
                <w:szCs w:val="24"/>
              </w:rPr>
              <w:t>(</w:t>
            </w:r>
            <w:r w:rsidR="00801EEF">
              <w:rPr>
                <w:rFonts w:eastAsia="Times New Roman" w:cs="Times New Roman"/>
                <w:szCs w:val="24"/>
                <w:lang w:val="en-US"/>
              </w:rPr>
              <w:t>n=20</w:t>
            </w:r>
            <w:r w:rsidR="00801EEF">
              <w:rPr>
                <w:rFonts w:eastAsia="Times New Roman" w:cs="Times New Roman"/>
                <w:szCs w:val="24"/>
              </w:rPr>
              <w:t>)</w:t>
            </w:r>
          </w:p>
        </w:tc>
        <w:tc>
          <w:tcPr>
            <w:tcW w:w="559" w:type="pct"/>
          </w:tcPr>
          <w:p w:rsidR="0030517B" w:rsidRDefault="0030517B" w:rsidP="00E1448E">
            <w:pPr>
              <w:spacing w:after="0" w:line="240" w:lineRule="auto"/>
              <w:ind w:right="-87"/>
              <w:jc w:val="center"/>
              <w:rPr>
                <w:rFonts w:eastAsia="Times New Roman" w:cs="Times New Roman"/>
                <w:sz w:val="20"/>
                <w:szCs w:val="20"/>
              </w:rPr>
            </w:pPr>
            <w:r w:rsidRPr="00CA099F">
              <w:rPr>
                <w:rFonts w:eastAsia="Times New Roman" w:cs="Times New Roman"/>
                <w:sz w:val="20"/>
                <w:szCs w:val="20"/>
              </w:rPr>
              <w:t>2 група</w:t>
            </w:r>
          </w:p>
          <w:p w:rsidR="00801EEF" w:rsidRPr="00CA099F" w:rsidRDefault="00801EEF" w:rsidP="00E1448E">
            <w:pPr>
              <w:spacing w:after="0" w:line="240" w:lineRule="auto"/>
              <w:ind w:right="-87"/>
              <w:jc w:val="center"/>
              <w:rPr>
                <w:rFonts w:eastAsia="Times New Roman" w:cs="Times New Roman"/>
                <w:sz w:val="20"/>
                <w:szCs w:val="20"/>
              </w:rPr>
            </w:pPr>
            <w:r>
              <w:rPr>
                <w:rFonts w:eastAsia="Times New Roman" w:cs="Times New Roman"/>
                <w:szCs w:val="24"/>
              </w:rPr>
              <w:t>(</w:t>
            </w:r>
            <w:r>
              <w:rPr>
                <w:rFonts w:eastAsia="Times New Roman" w:cs="Times New Roman"/>
                <w:szCs w:val="24"/>
                <w:lang w:val="en-US"/>
              </w:rPr>
              <w:t>n=20</w:t>
            </w:r>
            <w:r>
              <w:rPr>
                <w:rFonts w:eastAsia="Times New Roman" w:cs="Times New Roman"/>
                <w:szCs w:val="24"/>
              </w:rPr>
              <w:t>)</w:t>
            </w:r>
          </w:p>
        </w:tc>
        <w:tc>
          <w:tcPr>
            <w:tcW w:w="519" w:type="pct"/>
          </w:tcPr>
          <w:p w:rsidR="0030517B" w:rsidRDefault="0030517B" w:rsidP="00E1448E">
            <w:pPr>
              <w:spacing w:after="0" w:line="240" w:lineRule="auto"/>
              <w:ind w:right="-87"/>
              <w:jc w:val="center"/>
              <w:rPr>
                <w:rFonts w:eastAsia="Times New Roman" w:cs="Times New Roman"/>
                <w:sz w:val="20"/>
                <w:szCs w:val="20"/>
              </w:rPr>
            </w:pPr>
            <w:r w:rsidRPr="00CA099F">
              <w:rPr>
                <w:rFonts w:eastAsia="Times New Roman" w:cs="Times New Roman"/>
                <w:sz w:val="20"/>
                <w:szCs w:val="20"/>
              </w:rPr>
              <w:t>Група контролю</w:t>
            </w:r>
          </w:p>
          <w:p w:rsidR="00801EEF" w:rsidRPr="00CA099F" w:rsidRDefault="00801EEF" w:rsidP="00E1448E">
            <w:pPr>
              <w:spacing w:after="0" w:line="240" w:lineRule="auto"/>
              <w:ind w:right="-87"/>
              <w:jc w:val="center"/>
              <w:rPr>
                <w:rFonts w:eastAsia="Times New Roman" w:cs="Times New Roman"/>
                <w:sz w:val="20"/>
                <w:szCs w:val="20"/>
              </w:rPr>
            </w:pPr>
            <w:r>
              <w:rPr>
                <w:rFonts w:eastAsia="Times New Roman" w:cs="Times New Roman"/>
                <w:szCs w:val="24"/>
              </w:rPr>
              <w:t>(</w:t>
            </w:r>
            <w:r>
              <w:rPr>
                <w:rFonts w:eastAsia="Times New Roman" w:cs="Times New Roman"/>
                <w:szCs w:val="24"/>
                <w:lang w:val="en-US"/>
              </w:rPr>
              <w:t>n=20</w:t>
            </w:r>
            <w:r>
              <w:rPr>
                <w:rFonts w:eastAsia="Times New Roman" w:cs="Times New Roman"/>
                <w:szCs w:val="24"/>
              </w:rPr>
              <w:t>)</w:t>
            </w:r>
          </w:p>
        </w:tc>
        <w:tc>
          <w:tcPr>
            <w:tcW w:w="580" w:type="pct"/>
          </w:tcPr>
          <w:p w:rsidR="0030517B" w:rsidRDefault="0030517B" w:rsidP="00E1448E">
            <w:pPr>
              <w:spacing w:after="0" w:line="240" w:lineRule="auto"/>
              <w:ind w:right="-87"/>
              <w:jc w:val="center"/>
              <w:rPr>
                <w:rFonts w:eastAsia="Times New Roman" w:cs="Times New Roman"/>
                <w:sz w:val="20"/>
                <w:szCs w:val="20"/>
              </w:rPr>
            </w:pPr>
            <w:r w:rsidRPr="00CA099F">
              <w:rPr>
                <w:rFonts w:eastAsia="Times New Roman" w:cs="Times New Roman"/>
                <w:sz w:val="20"/>
                <w:szCs w:val="20"/>
              </w:rPr>
              <w:t>2 група</w:t>
            </w:r>
          </w:p>
          <w:p w:rsidR="00801EEF" w:rsidRPr="00CA099F" w:rsidRDefault="00801EEF" w:rsidP="00E1448E">
            <w:pPr>
              <w:spacing w:after="0" w:line="240" w:lineRule="auto"/>
              <w:ind w:right="-87"/>
              <w:jc w:val="center"/>
              <w:rPr>
                <w:rFonts w:eastAsia="Times New Roman" w:cs="Times New Roman"/>
                <w:sz w:val="20"/>
                <w:szCs w:val="20"/>
              </w:rPr>
            </w:pPr>
            <w:r>
              <w:rPr>
                <w:rFonts w:eastAsia="Times New Roman" w:cs="Times New Roman"/>
                <w:szCs w:val="24"/>
              </w:rPr>
              <w:t>(</w:t>
            </w:r>
            <w:r>
              <w:rPr>
                <w:rFonts w:eastAsia="Times New Roman" w:cs="Times New Roman"/>
                <w:szCs w:val="24"/>
                <w:lang w:val="en-US"/>
              </w:rPr>
              <w:t>n=20</w:t>
            </w:r>
            <w:r>
              <w:rPr>
                <w:rFonts w:eastAsia="Times New Roman" w:cs="Times New Roman"/>
                <w:szCs w:val="24"/>
              </w:rPr>
              <w:t>)</w:t>
            </w:r>
          </w:p>
        </w:tc>
        <w:tc>
          <w:tcPr>
            <w:tcW w:w="580" w:type="pct"/>
          </w:tcPr>
          <w:p w:rsidR="0030517B" w:rsidRDefault="0030517B" w:rsidP="00E1448E">
            <w:pPr>
              <w:spacing w:after="0" w:line="240" w:lineRule="auto"/>
              <w:ind w:right="-87"/>
              <w:jc w:val="center"/>
              <w:rPr>
                <w:rFonts w:eastAsia="Times New Roman" w:cs="Times New Roman"/>
                <w:sz w:val="20"/>
                <w:szCs w:val="20"/>
              </w:rPr>
            </w:pPr>
            <w:r w:rsidRPr="00CA099F">
              <w:rPr>
                <w:rFonts w:eastAsia="Times New Roman" w:cs="Times New Roman"/>
                <w:sz w:val="20"/>
                <w:szCs w:val="20"/>
              </w:rPr>
              <w:t>Група контролю</w:t>
            </w:r>
          </w:p>
          <w:p w:rsidR="00801EEF" w:rsidRPr="00CA099F" w:rsidRDefault="00801EEF" w:rsidP="00E1448E">
            <w:pPr>
              <w:spacing w:after="0" w:line="240" w:lineRule="auto"/>
              <w:ind w:right="-87"/>
              <w:jc w:val="center"/>
              <w:rPr>
                <w:rFonts w:eastAsia="Times New Roman" w:cs="Times New Roman"/>
                <w:sz w:val="20"/>
                <w:szCs w:val="20"/>
              </w:rPr>
            </w:pPr>
            <w:r>
              <w:rPr>
                <w:rFonts w:eastAsia="Times New Roman" w:cs="Times New Roman"/>
                <w:szCs w:val="24"/>
              </w:rPr>
              <w:t>(</w:t>
            </w:r>
            <w:r>
              <w:rPr>
                <w:rFonts w:eastAsia="Times New Roman" w:cs="Times New Roman"/>
                <w:szCs w:val="24"/>
                <w:lang w:val="en-US"/>
              </w:rPr>
              <w:t>n=20</w:t>
            </w:r>
            <w:r>
              <w:rPr>
                <w:rFonts w:eastAsia="Times New Roman" w:cs="Times New Roman"/>
                <w:szCs w:val="24"/>
              </w:rPr>
              <w:t>)</w:t>
            </w:r>
          </w:p>
        </w:tc>
        <w:tc>
          <w:tcPr>
            <w:tcW w:w="580" w:type="pct"/>
          </w:tcPr>
          <w:p w:rsidR="0030517B" w:rsidRDefault="0030517B" w:rsidP="00E1448E">
            <w:pPr>
              <w:spacing w:after="0" w:line="240" w:lineRule="auto"/>
              <w:ind w:right="-87"/>
              <w:jc w:val="center"/>
              <w:rPr>
                <w:rFonts w:eastAsia="Times New Roman" w:cs="Times New Roman"/>
                <w:sz w:val="20"/>
                <w:szCs w:val="20"/>
              </w:rPr>
            </w:pPr>
            <w:r w:rsidRPr="00CA099F">
              <w:rPr>
                <w:rFonts w:eastAsia="Times New Roman" w:cs="Times New Roman"/>
                <w:sz w:val="20"/>
                <w:szCs w:val="20"/>
              </w:rPr>
              <w:t>2 група</w:t>
            </w:r>
          </w:p>
          <w:p w:rsidR="00801EEF" w:rsidRPr="00CA099F" w:rsidRDefault="00801EEF" w:rsidP="00E1448E">
            <w:pPr>
              <w:spacing w:after="0" w:line="240" w:lineRule="auto"/>
              <w:ind w:right="-87"/>
              <w:jc w:val="center"/>
              <w:rPr>
                <w:rFonts w:eastAsia="Times New Roman" w:cs="Times New Roman"/>
                <w:sz w:val="20"/>
                <w:szCs w:val="20"/>
              </w:rPr>
            </w:pPr>
            <w:r>
              <w:rPr>
                <w:rFonts w:eastAsia="Times New Roman" w:cs="Times New Roman"/>
                <w:szCs w:val="24"/>
              </w:rPr>
              <w:t>(</w:t>
            </w:r>
            <w:r>
              <w:rPr>
                <w:rFonts w:eastAsia="Times New Roman" w:cs="Times New Roman"/>
                <w:szCs w:val="24"/>
                <w:lang w:val="en-US"/>
              </w:rPr>
              <w:t>n=20</w:t>
            </w:r>
            <w:r>
              <w:rPr>
                <w:rFonts w:eastAsia="Times New Roman" w:cs="Times New Roman"/>
                <w:szCs w:val="24"/>
              </w:rPr>
              <w:t>)</w:t>
            </w:r>
          </w:p>
        </w:tc>
        <w:tc>
          <w:tcPr>
            <w:tcW w:w="580" w:type="pct"/>
          </w:tcPr>
          <w:p w:rsidR="0030517B" w:rsidRDefault="0030517B" w:rsidP="00E1448E">
            <w:pPr>
              <w:spacing w:after="0" w:line="240" w:lineRule="auto"/>
              <w:ind w:right="-87"/>
              <w:jc w:val="center"/>
              <w:rPr>
                <w:rFonts w:eastAsia="Times New Roman" w:cs="Times New Roman"/>
                <w:sz w:val="20"/>
                <w:szCs w:val="20"/>
              </w:rPr>
            </w:pPr>
            <w:r w:rsidRPr="00CA099F">
              <w:rPr>
                <w:rFonts w:eastAsia="Times New Roman" w:cs="Times New Roman"/>
                <w:sz w:val="20"/>
                <w:szCs w:val="20"/>
              </w:rPr>
              <w:t>Група контролю</w:t>
            </w:r>
          </w:p>
          <w:p w:rsidR="00801EEF" w:rsidRPr="00CA099F" w:rsidRDefault="00801EEF" w:rsidP="00E1448E">
            <w:pPr>
              <w:spacing w:after="0" w:line="240" w:lineRule="auto"/>
              <w:ind w:right="-87"/>
              <w:jc w:val="center"/>
              <w:rPr>
                <w:rFonts w:eastAsia="Times New Roman" w:cs="Times New Roman"/>
                <w:sz w:val="20"/>
                <w:szCs w:val="20"/>
              </w:rPr>
            </w:pPr>
            <w:r>
              <w:rPr>
                <w:rFonts w:eastAsia="Times New Roman" w:cs="Times New Roman"/>
                <w:szCs w:val="24"/>
              </w:rPr>
              <w:t>(</w:t>
            </w:r>
            <w:r>
              <w:rPr>
                <w:rFonts w:eastAsia="Times New Roman" w:cs="Times New Roman"/>
                <w:szCs w:val="24"/>
                <w:lang w:val="en-US"/>
              </w:rPr>
              <w:t>n=20</w:t>
            </w:r>
            <w:r>
              <w:rPr>
                <w:rFonts w:eastAsia="Times New Roman" w:cs="Times New Roman"/>
                <w:szCs w:val="24"/>
              </w:rPr>
              <w:t>)</w:t>
            </w:r>
          </w:p>
        </w:tc>
        <w:tc>
          <w:tcPr>
            <w:tcW w:w="578" w:type="pct"/>
          </w:tcPr>
          <w:p w:rsidR="0030517B" w:rsidRDefault="0030517B" w:rsidP="00E1448E">
            <w:pPr>
              <w:spacing w:after="0" w:line="240" w:lineRule="auto"/>
              <w:ind w:right="-87"/>
              <w:jc w:val="center"/>
              <w:rPr>
                <w:rFonts w:eastAsia="Times New Roman" w:cs="Times New Roman"/>
                <w:sz w:val="20"/>
                <w:szCs w:val="20"/>
              </w:rPr>
            </w:pPr>
            <w:r w:rsidRPr="00CA099F">
              <w:rPr>
                <w:rFonts w:eastAsia="Times New Roman" w:cs="Times New Roman"/>
                <w:sz w:val="20"/>
                <w:szCs w:val="20"/>
              </w:rPr>
              <w:t>2 група</w:t>
            </w:r>
          </w:p>
          <w:p w:rsidR="00801EEF" w:rsidRPr="00CA099F" w:rsidRDefault="00801EEF" w:rsidP="00E1448E">
            <w:pPr>
              <w:spacing w:after="0" w:line="240" w:lineRule="auto"/>
              <w:ind w:right="-87"/>
              <w:jc w:val="center"/>
              <w:rPr>
                <w:rFonts w:eastAsia="Times New Roman" w:cs="Times New Roman"/>
                <w:sz w:val="20"/>
                <w:szCs w:val="20"/>
              </w:rPr>
            </w:pPr>
            <w:r>
              <w:rPr>
                <w:rFonts w:eastAsia="Times New Roman" w:cs="Times New Roman"/>
                <w:szCs w:val="24"/>
              </w:rPr>
              <w:t>(</w:t>
            </w:r>
            <w:r>
              <w:rPr>
                <w:rFonts w:eastAsia="Times New Roman" w:cs="Times New Roman"/>
                <w:szCs w:val="24"/>
                <w:lang w:val="en-US"/>
              </w:rPr>
              <w:t>n=20</w:t>
            </w:r>
            <w:r>
              <w:rPr>
                <w:rFonts w:eastAsia="Times New Roman" w:cs="Times New Roman"/>
                <w:szCs w:val="24"/>
              </w:rPr>
              <w:t>)</w:t>
            </w:r>
          </w:p>
        </w:tc>
      </w:tr>
      <w:tr w:rsidR="0030517B" w:rsidRPr="00CA099F" w:rsidTr="00E1448E">
        <w:tc>
          <w:tcPr>
            <w:tcW w:w="556" w:type="pct"/>
          </w:tcPr>
          <w:p w:rsidR="0030517B" w:rsidRPr="00CA099F" w:rsidRDefault="0030517B" w:rsidP="00E1448E">
            <w:pPr>
              <w:spacing w:after="0" w:line="240" w:lineRule="auto"/>
              <w:ind w:right="-90"/>
              <w:jc w:val="center"/>
              <w:rPr>
                <w:rFonts w:eastAsia="Times New Roman" w:cs="Times New Roman"/>
                <w:szCs w:val="28"/>
              </w:rPr>
            </w:pPr>
            <w:r w:rsidRPr="00CA099F">
              <w:rPr>
                <w:rFonts w:eastAsia="Times New Roman" w:cs="Times New Roman"/>
                <w:sz w:val="28"/>
                <w:szCs w:val="28"/>
              </w:rPr>
              <w:t>СОД, ум.од.</w:t>
            </w:r>
          </w:p>
        </w:tc>
        <w:tc>
          <w:tcPr>
            <w:tcW w:w="467" w:type="pct"/>
          </w:tcPr>
          <w:p w:rsidR="0030517B" w:rsidRPr="00CA099F" w:rsidRDefault="0030517B" w:rsidP="00E1448E">
            <w:pPr>
              <w:spacing w:after="0" w:line="240" w:lineRule="auto"/>
              <w:jc w:val="center"/>
              <w:rPr>
                <w:rFonts w:eastAsia="Times New Roman" w:cs="Times New Roman"/>
                <w:szCs w:val="28"/>
              </w:rPr>
            </w:pPr>
            <w:r w:rsidRPr="00CA099F">
              <w:rPr>
                <w:rFonts w:eastAsia="Times New Roman" w:cs="Times New Roman"/>
                <w:sz w:val="28"/>
                <w:szCs w:val="28"/>
              </w:rPr>
              <w:t>119,43±4,86</w:t>
            </w:r>
          </w:p>
        </w:tc>
        <w:tc>
          <w:tcPr>
            <w:tcW w:w="559" w:type="pct"/>
          </w:tcPr>
          <w:p w:rsidR="0030517B" w:rsidRPr="00CA099F" w:rsidRDefault="0030517B" w:rsidP="00E1448E">
            <w:pPr>
              <w:spacing w:after="0" w:line="240" w:lineRule="auto"/>
              <w:jc w:val="center"/>
              <w:rPr>
                <w:rFonts w:eastAsia="Times New Roman" w:cs="Times New Roman"/>
                <w:szCs w:val="28"/>
              </w:rPr>
            </w:pPr>
            <w:r w:rsidRPr="00CA099F">
              <w:rPr>
                <w:rFonts w:eastAsia="Times New Roman" w:cs="Times New Roman"/>
                <w:sz w:val="28"/>
                <w:szCs w:val="28"/>
              </w:rPr>
              <w:t>90,07±2,57*</w:t>
            </w:r>
          </w:p>
        </w:tc>
        <w:tc>
          <w:tcPr>
            <w:tcW w:w="519" w:type="pct"/>
          </w:tcPr>
          <w:p w:rsidR="0030517B" w:rsidRPr="00CA099F" w:rsidRDefault="0030517B" w:rsidP="00E1448E">
            <w:pPr>
              <w:spacing w:after="0" w:line="240" w:lineRule="auto"/>
              <w:jc w:val="center"/>
              <w:rPr>
                <w:rFonts w:eastAsia="Times New Roman" w:cs="Times New Roman"/>
                <w:szCs w:val="28"/>
              </w:rPr>
            </w:pPr>
            <w:r w:rsidRPr="00CA099F">
              <w:rPr>
                <w:rFonts w:eastAsia="Times New Roman" w:cs="Times New Roman"/>
                <w:sz w:val="28"/>
                <w:szCs w:val="28"/>
              </w:rPr>
              <w:t>86,96±2,69</w:t>
            </w:r>
          </w:p>
        </w:tc>
        <w:tc>
          <w:tcPr>
            <w:tcW w:w="580" w:type="pct"/>
          </w:tcPr>
          <w:p w:rsidR="0030517B" w:rsidRPr="00CA099F" w:rsidRDefault="0030517B" w:rsidP="00E1448E">
            <w:pPr>
              <w:spacing w:after="0" w:line="240" w:lineRule="auto"/>
              <w:jc w:val="center"/>
              <w:rPr>
                <w:rFonts w:eastAsia="Times New Roman" w:cs="Times New Roman"/>
                <w:szCs w:val="28"/>
              </w:rPr>
            </w:pPr>
            <w:r w:rsidRPr="00CA099F">
              <w:rPr>
                <w:rFonts w:eastAsia="Times New Roman" w:cs="Times New Roman"/>
                <w:sz w:val="28"/>
                <w:szCs w:val="28"/>
              </w:rPr>
              <w:t>72,45±2,05*</w:t>
            </w:r>
          </w:p>
        </w:tc>
        <w:tc>
          <w:tcPr>
            <w:tcW w:w="580" w:type="pct"/>
          </w:tcPr>
          <w:p w:rsidR="0030517B" w:rsidRPr="00CA099F" w:rsidRDefault="0030517B" w:rsidP="00E1448E">
            <w:pPr>
              <w:spacing w:after="0" w:line="240" w:lineRule="auto"/>
              <w:jc w:val="center"/>
              <w:rPr>
                <w:rFonts w:eastAsia="Times New Roman" w:cs="Times New Roman"/>
                <w:szCs w:val="28"/>
              </w:rPr>
            </w:pPr>
            <w:r w:rsidRPr="00CA099F">
              <w:rPr>
                <w:rFonts w:eastAsia="Times New Roman" w:cs="Times New Roman"/>
                <w:sz w:val="28"/>
                <w:szCs w:val="28"/>
              </w:rPr>
              <w:t>70,82±2,28</w:t>
            </w:r>
          </w:p>
        </w:tc>
        <w:tc>
          <w:tcPr>
            <w:tcW w:w="580" w:type="pct"/>
          </w:tcPr>
          <w:p w:rsidR="0030517B" w:rsidRPr="00CA099F" w:rsidRDefault="0030517B" w:rsidP="00E1448E">
            <w:pPr>
              <w:spacing w:after="0" w:line="240" w:lineRule="auto"/>
              <w:jc w:val="center"/>
              <w:rPr>
                <w:rFonts w:eastAsia="Times New Roman" w:cs="Times New Roman"/>
                <w:szCs w:val="28"/>
              </w:rPr>
            </w:pPr>
            <w:r w:rsidRPr="00CA099F">
              <w:rPr>
                <w:rFonts w:eastAsia="Times New Roman" w:cs="Times New Roman"/>
                <w:sz w:val="28"/>
                <w:szCs w:val="28"/>
              </w:rPr>
              <w:t>60,43±1,52*</w:t>
            </w:r>
          </w:p>
        </w:tc>
        <w:tc>
          <w:tcPr>
            <w:tcW w:w="580" w:type="pct"/>
          </w:tcPr>
          <w:p w:rsidR="0030517B" w:rsidRPr="00CA099F" w:rsidRDefault="0030517B" w:rsidP="00E1448E">
            <w:pPr>
              <w:spacing w:after="0" w:line="240" w:lineRule="auto"/>
              <w:jc w:val="center"/>
              <w:rPr>
                <w:rFonts w:eastAsia="Times New Roman" w:cs="Times New Roman"/>
                <w:szCs w:val="28"/>
              </w:rPr>
            </w:pPr>
            <w:r w:rsidRPr="00CA099F">
              <w:rPr>
                <w:rFonts w:eastAsia="Times New Roman" w:cs="Times New Roman"/>
                <w:sz w:val="28"/>
                <w:szCs w:val="28"/>
              </w:rPr>
              <w:t>62,97±2,13</w:t>
            </w:r>
          </w:p>
        </w:tc>
        <w:tc>
          <w:tcPr>
            <w:tcW w:w="578" w:type="pct"/>
          </w:tcPr>
          <w:p w:rsidR="0030517B" w:rsidRPr="00CA099F" w:rsidRDefault="0030517B" w:rsidP="00E1448E">
            <w:pPr>
              <w:spacing w:after="0" w:line="240" w:lineRule="auto"/>
              <w:jc w:val="center"/>
              <w:rPr>
                <w:rFonts w:eastAsia="Times New Roman" w:cs="Times New Roman"/>
                <w:szCs w:val="28"/>
              </w:rPr>
            </w:pPr>
            <w:r w:rsidRPr="00CA099F">
              <w:rPr>
                <w:rFonts w:eastAsia="Times New Roman" w:cs="Times New Roman"/>
                <w:sz w:val="28"/>
                <w:szCs w:val="28"/>
              </w:rPr>
              <w:t>60,41±2,02</w:t>
            </w:r>
          </w:p>
        </w:tc>
      </w:tr>
      <w:tr w:rsidR="0030517B" w:rsidRPr="00CA099F" w:rsidTr="00E1448E">
        <w:tc>
          <w:tcPr>
            <w:tcW w:w="556" w:type="pct"/>
          </w:tcPr>
          <w:p w:rsidR="0030517B" w:rsidRPr="00CA099F" w:rsidRDefault="0030517B" w:rsidP="00E1448E">
            <w:pPr>
              <w:spacing w:after="0" w:line="240" w:lineRule="auto"/>
              <w:ind w:right="-90"/>
              <w:jc w:val="center"/>
              <w:rPr>
                <w:rFonts w:eastAsia="Times New Roman" w:cs="Times New Roman"/>
                <w:szCs w:val="28"/>
              </w:rPr>
            </w:pPr>
          </w:p>
        </w:tc>
        <w:tc>
          <w:tcPr>
            <w:tcW w:w="467" w:type="pct"/>
          </w:tcPr>
          <w:p w:rsidR="0030517B" w:rsidRPr="00CA099F" w:rsidRDefault="0030517B" w:rsidP="00E1448E">
            <w:pPr>
              <w:spacing w:after="0" w:line="240" w:lineRule="auto"/>
              <w:jc w:val="center"/>
              <w:rPr>
                <w:rFonts w:eastAsia="Times New Roman" w:cs="Times New Roman"/>
                <w:szCs w:val="28"/>
              </w:rPr>
            </w:pPr>
          </w:p>
        </w:tc>
        <w:tc>
          <w:tcPr>
            <w:tcW w:w="559" w:type="pct"/>
          </w:tcPr>
          <w:p w:rsidR="0030517B" w:rsidRPr="00CA099F" w:rsidRDefault="0030517B" w:rsidP="00E1448E">
            <w:pPr>
              <w:spacing w:after="0" w:line="240" w:lineRule="auto"/>
              <w:jc w:val="center"/>
              <w:rPr>
                <w:rFonts w:eastAsia="Times New Roman" w:cs="Times New Roman"/>
                <w:szCs w:val="28"/>
              </w:rPr>
            </w:pPr>
          </w:p>
        </w:tc>
        <w:tc>
          <w:tcPr>
            <w:tcW w:w="519" w:type="pct"/>
          </w:tcPr>
          <w:p w:rsidR="0030517B" w:rsidRPr="00CA099F" w:rsidRDefault="0030517B" w:rsidP="00E1448E">
            <w:pPr>
              <w:spacing w:after="0" w:line="240" w:lineRule="auto"/>
              <w:jc w:val="center"/>
              <w:rPr>
                <w:rFonts w:eastAsia="Times New Roman" w:cs="Times New Roman"/>
                <w:szCs w:val="28"/>
              </w:rPr>
            </w:pPr>
          </w:p>
        </w:tc>
        <w:tc>
          <w:tcPr>
            <w:tcW w:w="580" w:type="pct"/>
          </w:tcPr>
          <w:p w:rsidR="0030517B" w:rsidRPr="00CA099F" w:rsidRDefault="0030517B" w:rsidP="00E1448E">
            <w:pPr>
              <w:spacing w:after="0"/>
              <w:jc w:val="center"/>
              <w:rPr>
                <w:rFonts w:eastAsia="Times New Roman" w:cs="Times New Roman"/>
                <w:szCs w:val="24"/>
              </w:rPr>
            </w:pPr>
            <w:r w:rsidRPr="00CA099F">
              <w:rPr>
                <w:rFonts w:eastAsia="Times New Roman" w:cs="Times New Roman"/>
                <w:color w:val="000000"/>
                <w:szCs w:val="24"/>
              </w:rPr>
              <w:t>р</w:t>
            </w:r>
            <w:r w:rsidRPr="00CA099F">
              <w:rPr>
                <w:rFonts w:eastAsia="Times New Roman" w:cs="Times New Roman"/>
                <w:color w:val="000000"/>
                <w:szCs w:val="24"/>
                <w:vertAlign w:val="subscript"/>
              </w:rPr>
              <w:t>1</w:t>
            </w:r>
            <w:r w:rsidRPr="00CA099F">
              <w:rPr>
                <w:rFonts w:eastAsia="Times New Roman" w:cs="Times New Roman"/>
                <w:color w:val="000000"/>
                <w:szCs w:val="24"/>
              </w:rPr>
              <w:t>&lt;0,001</w:t>
            </w:r>
          </w:p>
        </w:tc>
        <w:tc>
          <w:tcPr>
            <w:tcW w:w="580" w:type="pct"/>
          </w:tcPr>
          <w:p w:rsidR="0030517B" w:rsidRPr="00CA099F" w:rsidRDefault="0030517B" w:rsidP="00E1448E">
            <w:pPr>
              <w:spacing w:after="0"/>
              <w:jc w:val="center"/>
              <w:rPr>
                <w:rFonts w:eastAsia="Times New Roman" w:cs="Times New Roman"/>
                <w:szCs w:val="28"/>
              </w:rPr>
            </w:pPr>
          </w:p>
        </w:tc>
        <w:tc>
          <w:tcPr>
            <w:tcW w:w="580" w:type="pct"/>
          </w:tcPr>
          <w:p w:rsidR="0030517B" w:rsidRPr="00CA099F" w:rsidRDefault="0030517B" w:rsidP="00E1448E">
            <w:pPr>
              <w:spacing w:after="0"/>
              <w:jc w:val="center"/>
              <w:rPr>
                <w:rFonts w:eastAsia="Times New Roman" w:cs="Times New Roman"/>
                <w:szCs w:val="28"/>
              </w:rPr>
            </w:pPr>
            <w:r w:rsidRPr="00CA099F">
              <w:rPr>
                <w:rFonts w:eastAsia="Times New Roman" w:cs="Times New Roman"/>
                <w:color w:val="000000"/>
                <w:szCs w:val="24"/>
              </w:rPr>
              <w:t>р</w:t>
            </w:r>
            <w:r w:rsidRPr="00CA099F">
              <w:rPr>
                <w:rFonts w:eastAsia="Times New Roman" w:cs="Times New Roman"/>
                <w:color w:val="000000"/>
                <w:szCs w:val="24"/>
                <w:vertAlign w:val="subscript"/>
              </w:rPr>
              <w:t>2</w:t>
            </w:r>
            <w:r w:rsidRPr="00CA099F">
              <w:rPr>
                <w:rFonts w:eastAsia="Times New Roman" w:cs="Times New Roman"/>
                <w:color w:val="000000"/>
                <w:szCs w:val="24"/>
              </w:rPr>
              <w:t>&lt;0,001</w:t>
            </w:r>
          </w:p>
        </w:tc>
        <w:tc>
          <w:tcPr>
            <w:tcW w:w="580" w:type="pct"/>
          </w:tcPr>
          <w:p w:rsidR="0030517B" w:rsidRPr="00CA099F" w:rsidRDefault="0030517B" w:rsidP="00E1448E">
            <w:pPr>
              <w:spacing w:after="0"/>
              <w:jc w:val="center"/>
              <w:rPr>
                <w:rFonts w:eastAsia="Times New Roman" w:cs="Times New Roman"/>
                <w:szCs w:val="28"/>
              </w:rPr>
            </w:pPr>
          </w:p>
        </w:tc>
        <w:tc>
          <w:tcPr>
            <w:tcW w:w="578" w:type="pct"/>
          </w:tcPr>
          <w:p w:rsidR="0030517B" w:rsidRPr="00CA099F" w:rsidRDefault="0030517B" w:rsidP="00E1448E">
            <w:pPr>
              <w:spacing w:after="0" w:line="240" w:lineRule="auto"/>
              <w:jc w:val="center"/>
              <w:rPr>
                <w:rFonts w:eastAsia="Times New Roman" w:cs="Times New Roman"/>
                <w:szCs w:val="28"/>
              </w:rPr>
            </w:pPr>
          </w:p>
        </w:tc>
      </w:tr>
      <w:tr w:rsidR="0030517B" w:rsidRPr="00CA099F" w:rsidTr="00E1448E">
        <w:tc>
          <w:tcPr>
            <w:tcW w:w="556" w:type="pct"/>
          </w:tcPr>
          <w:p w:rsidR="0030517B" w:rsidRPr="00CA099F" w:rsidRDefault="0030517B" w:rsidP="00E1448E">
            <w:pPr>
              <w:spacing w:after="0" w:line="240" w:lineRule="auto"/>
              <w:ind w:right="-90"/>
              <w:jc w:val="center"/>
              <w:rPr>
                <w:rFonts w:eastAsia="Times New Roman" w:cs="Times New Roman"/>
                <w:szCs w:val="28"/>
              </w:rPr>
            </w:pPr>
            <w:r w:rsidRPr="00CA099F">
              <w:rPr>
                <w:rFonts w:eastAsia="Times New Roman" w:cs="Times New Roman"/>
                <w:sz w:val="28"/>
                <w:szCs w:val="28"/>
              </w:rPr>
              <w:t>Катала-за,</w:t>
            </w:r>
          </w:p>
          <w:p w:rsidR="0030517B" w:rsidRPr="00CA099F" w:rsidRDefault="0030517B" w:rsidP="00E1448E">
            <w:pPr>
              <w:spacing w:after="0" w:line="240" w:lineRule="auto"/>
              <w:ind w:right="-90"/>
              <w:jc w:val="center"/>
              <w:rPr>
                <w:rFonts w:eastAsia="Times New Roman" w:cs="Times New Roman"/>
                <w:szCs w:val="28"/>
              </w:rPr>
            </w:pPr>
            <w:r w:rsidRPr="00CA099F">
              <w:rPr>
                <w:rFonts w:eastAsia="Times New Roman" w:cs="Times New Roman"/>
                <w:sz w:val="28"/>
                <w:szCs w:val="28"/>
              </w:rPr>
              <w:t xml:space="preserve"> кат/кг </w:t>
            </w:r>
          </w:p>
        </w:tc>
        <w:tc>
          <w:tcPr>
            <w:tcW w:w="467" w:type="pct"/>
          </w:tcPr>
          <w:p w:rsidR="0030517B" w:rsidRPr="00CA099F" w:rsidRDefault="0030517B" w:rsidP="00E1448E">
            <w:pPr>
              <w:spacing w:after="0" w:line="240" w:lineRule="auto"/>
              <w:jc w:val="center"/>
              <w:rPr>
                <w:rFonts w:eastAsia="Times New Roman" w:cs="Times New Roman"/>
                <w:szCs w:val="28"/>
              </w:rPr>
            </w:pPr>
            <w:r w:rsidRPr="00CA099F">
              <w:rPr>
                <w:rFonts w:eastAsia="Times New Roman" w:cs="Times New Roman"/>
                <w:sz w:val="28"/>
                <w:szCs w:val="28"/>
              </w:rPr>
              <w:t>80,04±2,24</w:t>
            </w:r>
          </w:p>
        </w:tc>
        <w:tc>
          <w:tcPr>
            <w:tcW w:w="559" w:type="pct"/>
          </w:tcPr>
          <w:p w:rsidR="0030517B" w:rsidRPr="00CA099F" w:rsidRDefault="0030517B" w:rsidP="00E1448E">
            <w:pPr>
              <w:spacing w:after="0" w:line="240" w:lineRule="auto"/>
              <w:jc w:val="center"/>
              <w:rPr>
                <w:rFonts w:eastAsia="Times New Roman" w:cs="Times New Roman"/>
                <w:szCs w:val="28"/>
              </w:rPr>
            </w:pPr>
            <w:r w:rsidRPr="00CA099F">
              <w:rPr>
                <w:rFonts w:eastAsia="Times New Roman" w:cs="Times New Roman"/>
                <w:sz w:val="28"/>
                <w:szCs w:val="28"/>
              </w:rPr>
              <w:t>63,42±1,65*</w:t>
            </w:r>
          </w:p>
        </w:tc>
        <w:tc>
          <w:tcPr>
            <w:tcW w:w="519" w:type="pct"/>
          </w:tcPr>
          <w:p w:rsidR="0030517B" w:rsidRPr="00CA099F" w:rsidRDefault="0030517B" w:rsidP="00E1448E">
            <w:pPr>
              <w:spacing w:after="0" w:line="240" w:lineRule="auto"/>
              <w:jc w:val="center"/>
              <w:rPr>
                <w:rFonts w:eastAsia="Times New Roman" w:cs="Times New Roman"/>
                <w:szCs w:val="28"/>
              </w:rPr>
            </w:pPr>
            <w:r w:rsidRPr="00CA099F">
              <w:rPr>
                <w:rFonts w:eastAsia="Times New Roman" w:cs="Times New Roman"/>
                <w:sz w:val="28"/>
                <w:szCs w:val="28"/>
              </w:rPr>
              <w:t>64,48±2,03</w:t>
            </w:r>
          </w:p>
        </w:tc>
        <w:tc>
          <w:tcPr>
            <w:tcW w:w="580" w:type="pct"/>
          </w:tcPr>
          <w:p w:rsidR="0030517B" w:rsidRPr="00CA099F" w:rsidRDefault="0030517B" w:rsidP="00E1448E">
            <w:pPr>
              <w:spacing w:after="0" w:line="240" w:lineRule="auto"/>
              <w:jc w:val="center"/>
              <w:rPr>
                <w:rFonts w:eastAsia="Times New Roman" w:cs="Times New Roman"/>
                <w:szCs w:val="28"/>
              </w:rPr>
            </w:pPr>
            <w:r w:rsidRPr="00CA099F">
              <w:rPr>
                <w:rFonts w:eastAsia="Times New Roman" w:cs="Times New Roman"/>
                <w:sz w:val="28"/>
                <w:szCs w:val="28"/>
              </w:rPr>
              <w:t>58,27±1,81</w:t>
            </w:r>
          </w:p>
        </w:tc>
        <w:tc>
          <w:tcPr>
            <w:tcW w:w="580" w:type="pct"/>
          </w:tcPr>
          <w:p w:rsidR="0030517B" w:rsidRPr="00CA099F" w:rsidRDefault="0030517B" w:rsidP="00E1448E">
            <w:pPr>
              <w:spacing w:after="0" w:line="240" w:lineRule="auto"/>
              <w:jc w:val="center"/>
              <w:rPr>
                <w:rFonts w:eastAsia="Times New Roman" w:cs="Times New Roman"/>
                <w:szCs w:val="28"/>
              </w:rPr>
            </w:pPr>
            <w:r w:rsidRPr="00CA099F">
              <w:rPr>
                <w:rFonts w:eastAsia="Times New Roman" w:cs="Times New Roman"/>
                <w:sz w:val="28"/>
                <w:szCs w:val="28"/>
              </w:rPr>
              <w:t>60,43±1,52</w:t>
            </w:r>
          </w:p>
        </w:tc>
        <w:tc>
          <w:tcPr>
            <w:tcW w:w="580" w:type="pct"/>
          </w:tcPr>
          <w:p w:rsidR="0030517B" w:rsidRPr="00CA099F" w:rsidRDefault="0030517B" w:rsidP="00E1448E">
            <w:pPr>
              <w:spacing w:after="0" w:line="240" w:lineRule="auto"/>
              <w:jc w:val="center"/>
              <w:rPr>
                <w:rFonts w:eastAsia="Times New Roman" w:cs="Times New Roman"/>
                <w:szCs w:val="28"/>
              </w:rPr>
            </w:pPr>
            <w:r w:rsidRPr="00CA099F">
              <w:rPr>
                <w:rFonts w:eastAsia="Times New Roman" w:cs="Times New Roman"/>
                <w:sz w:val="28"/>
                <w:szCs w:val="28"/>
              </w:rPr>
              <w:t>58,48±2,18</w:t>
            </w:r>
          </w:p>
        </w:tc>
        <w:tc>
          <w:tcPr>
            <w:tcW w:w="580" w:type="pct"/>
          </w:tcPr>
          <w:p w:rsidR="0030517B" w:rsidRPr="00CA099F" w:rsidRDefault="0030517B" w:rsidP="00E1448E">
            <w:pPr>
              <w:spacing w:after="0" w:line="240" w:lineRule="auto"/>
              <w:jc w:val="center"/>
              <w:rPr>
                <w:rFonts w:eastAsia="Times New Roman" w:cs="Times New Roman"/>
                <w:szCs w:val="28"/>
              </w:rPr>
            </w:pPr>
            <w:r w:rsidRPr="00CA099F">
              <w:rPr>
                <w:rFonts w:eastAsia="Times New Roman" w:cs="Times New Roman"/>
                <w:sz w:val="28"/>
                <w:szCs w:val="28"/>
              </w:rPr>
              <w:t>59,41±1,93</w:t>
            </w:r>
          </w:p>
        </w:tc>
        <w:tc>
          <w:tcPr>
            <w:tcW w:w="578" w:type="pct"/>
          </w:tcPr>
          <w:p w:rsidR="0030517B" w:rsidRPr="00CA099F" w:rsidRDefault="0030517B" w:rsidP="00E1448E">
            <w:pPr>
              <w:spacing w:after="0" w:line="240" w:lineRule="auto"/>
              <w:jc w:val="center"/>
              <w:rPr>
                <w:rFonts w:eastAsia="Times New Roman" w:cs="Times New Roman"/>
                <w:szCs w:val="28"/>
              </w:rPr>
            </w:pPr>
            <w:r w:rsidRPr="00CA099F">
              <w:rPr>
                <w:rFonts w:eastAsia="Times New Roman" w:cs="Times New Roman"/>
                <w:sz w:val="28"/>
                <w:szCs w:val="28"/>
              </w:rPr>
              <w:t>55,25±1,90</w:t>
            </w:r>
          </w:p>
        </w:tc>
      </w:tr>
      <w:tr w:rsidR="0030517B" w:rsidRPr="00CA099F" w:rsidTr="00E1448E">
        <w:tc>
          <w:tcPr>
            <w:tcW w:w="556" w:type="pct"/>
          </w:tcPr>
          <w:p w:rsidR="0030517B" w:rsidRPr="00CA099F" w:rsidRDefault="0030517B" w:rsidP="00E1448E">
            <w:pPr>
              <w:spacing w:after="0" w:line="240" w:lineRule="auto"/>
              <w:jc w:val="center"/>
              <w:rPr>
                <w:rFonts w:eastAsia="Times New Roman" w:cs="Times New Roman"/>
                <w:szCs w:val="28"/>
              </w:rPr>
            </w:pPr>
          </w:p>
        </w:tc>
        <w:tc>
          <w:tcPr>
            <w:tcW w:w="467" w:type="pct"/>
          </w:tcPr>
          <w:p w:rsidR="0030517B" w:rsidRPr="00CA099F" w:rsidRDefault="0030517B" w:rsidP="00E1448E">
            <w:pPr>
              <w:spacing w:after="0" w:line="240" w:lineRule="auto"/>
              <w:jc w:val="center"/>
              <w:rPr>
                <w:rFonts w:eastAsia="Times New Roman" w:cs="Times New Roman"/>
                <w:szCs w:val="28"/>
              </w:rPr>
            </w:pPr>
          </w:p>
        </w:tc>
        <w:tc>
          <w:tcPr>
            <w:tcW w:w="559" w:type="pct"/>
          </w:tcPr>
          <w:p w:rsidR="0030517B" w:rsidRPr="00CA099F" w:rsidRDefault="0030517B" w:rsidP="00E1448E">
            <w:pPr>
              <w:spacing w:after="0" w:line="240" w:lineRule="auto"/>
              <w:jc w:val="center"/>
              <w:rPr>
                <w:rFonts w:eastAsia="Times New Roman" w:cs="Times New Roman"/>
                <w:szCs w:val="28"/>
              </w:rPr>
            </w:pPr>
          </w:p>
        </w:tc>
        <w:tc>
          <w:tcPr>
            <w:tcW w:w="519" w:type="pct"/>
          </w:tcPr>
          <w:p w:rsidR="0030517B" w:rsidRPr="00CA099F" w:rsidRDefault="0030517B" w:rsidP="00E1448E">
            <w:pPr>
              <w:spacing w:after="0" w:line="240" w:lineRule="auto"/>
              <w:jc w:val="center"/>
              <w:rPr>
                <w:rFonts w:eastAsia="Times New Roman" w:cs="Times New Roman"/>
                <w:szCs w:val="28"/>
              </w:rPr>
            </w:pPr>
          </w:p>
        </w:tc>
        <w:tc>
          <w:tcPr>
            <w:tcW w:w="580" w:type="pct"/>
          </w:tcPr>
          <w:p w:rsidR="0030517B" w:rsidRPr="00CA099F" w:rsidRDefault="0030517B" w:rsidP="00E1448E">
            <w:pPr>
              <w:spacing w:after="0"/>
              <w:jc w:val="center"/>
              <w:rPr>
                <w:rFonts w:eastAsia="Times New Roman" w:cs="Times New Roman"/>
                <w:szCs w:val="28"/>
              </w:rPr>
            </w:pPr>
            <w:r w:rsidRPr="00CA099F">
              <w:rPr>
                <w:rFonts w:eastAsia="Times New Roman" w:cs="Times New Roman"/>
                <w:color w:val="000000"/>
                <w:sz w:val="28"/>
                <w:szCs w:val="28"/>
              </w:rPr>
              <w:t>р</w:t>
            </w:r>
            <w:r w:rsidRPr="00CA099F">
              <w:rPr>
                <w:rFonts w:eastAsia="Times New Roman" w:cs="Times New Roman"/>
                <w:color w:val="000000"/>
                <w:sz w:val="28"/>
                <w:szCs w:val="28"/>
                <w:vertAlign w:val="subscript"/>
              </w:rPr>
              <w:t>1</w:t>
            </w:r>
            <w:r w:rsidRPr="00CA099F">
              <w:rPr>
                <w:rFonts w:eastAsia="Times New Roman" w:cs="Times New Roman"/>
                <w:color w:val="000000"/>
                <w:sz w:val="28"/>
                <w:szCs w:val="28"/>
              </w:rPr>
              <w:t>&lt;0,05</w:t>
            </w:r>
          </w:p>
        </w:tc>
        <w:tc>
          <w:tcPr>
            <w:tcW w:w="580" w:type="pct"/>
          </w:tcPr>
          <w:p w:rsidR="0030517B" w:rsidRPr="00CA099F" w:rsidRDefault="0030517B" w:rsidP="00E1448E">
            <w:pPr>
              <w:spacing w:after="0"/>
              <w:jc w:val="center"/>
              <w:rPr>
                <w:rFonts w:eastAsia="Times New Roman" w:cs="Times New Roman"/>
                <w:szCs w:val="28"/>
              </w:rPr>
            </w:pPr>
          </w:p>
        </w:tc>
        <w:tc>
          <w:tcPr>
            <w:tcW w:w="580" w:type="pct"/>
          </w:tcPr>
          <w:p w:rsidR="0030517B" w:rsidRPr="00CA099F" w:rsidRDefault="0030517B" w:rsidP="00E1448E">
            <w:pPr>
              <w:spacing w:after="0"/>
              <w:jc w:val="center"/>
              <w:rPr>
                <w:rFonts w:eastAsia="Times New Roman" w:cs="Times New Roman"/>
                <w:szCs w:val="28"/>
              </w:rPr>
            </w:pPr>
          </w:p>
        </w:tc>
        <w:tc>
          <w:tcPr>
            <w:tcW w:w="580" w:type="pct"/>
          </w:tcPr>
          <w:p w:rsidR="0030517B" w:rsidRPr="00CA099F" w:rsidRDefault="0030517B" w:rsidP="00E1448E">
            <w:pPr>
              <w:spacing w:after="0" w:line="240" w:lineRule="auto"/>
              <w:jc w:val="center"/>
              <w:rPr>
                <w:rFonts w:eastAsia="Times New Roman" w:cs="Times New Roman"/>
                <w:szCs w:val="28"/>
              </w:rPr>
            </w:pPr>
          </w:p>
        </w:tc>
        <w:tc>
          <w:tcPr>
            <w:tcW w:w="578" w:type="pct"/>
          </w:tcPr>
          <w:p w:rsidR="0030517B" w:rsidRPr="00CA099F" w:rsidRDefault="0030517B" w:rsidP="00E1448E">
            <w:pPr>
              <w:spacing w:after="0" w:line="240" w:lineRule="auto"/>
              <w:jc w:val="center"/>
              <w:rPr>
                <w:rFonts w:eastAsia="Times New Roman" w:cs="Times New Roman"/>
                <w:szCs w:val="28"/>
              </w:rPr>
            </w:pPr>
          </w:p>
        </w:tc>
      </w:tr>
      <w:tr w:rsidR="0030517B" w:rsidRPr="00CA099F" w:rsidTr="00E1448E">
        <w:tc>
          <w:tcPr>
            <w:tcW w:w="556" w:type="pct"/>
          </w:tcPr>
          <w:p w:rsidR="0030517B" w:rsidRPr="00CA099F" w:rsidRDefault="0030517B" w:rsidP="00E1448E">
            <w:pPr>
              <w:spacing w:after="0" w:line="240" w:lineRule="auto"/>
              <w:jc w:val="center"/>
              <w:rPr>
                <w:rFonts w:eastAsia="Times New Roman" w:cs="Times New Roman"/>
                <w:szCs w:val="28"/>
              </w:rPr>
            </w:pPr>
            <w:r w:rsidRPr="00CA099F">
              <w:rPr>
                <w:rFonts w:eastAsia="Times New Roman" w:cs="Times New Roman"/>
                <w:sz w:val="28"/>
                <w:szCs w:val="28"/>
              </w:rPr>
              <w:t>SH-групи, ммоль/кг</w:t>
            </w:r>
          </w:p>
        </w:tc>
        <w:tc>
          <w:tcPr>
            <w:tcW w:w="467" w:type="pct"/>
          </w:tcPr>
          <w:p w:rsidR="0030517B" w:rsidRPr="00CA099F" w:rsidRDefault="0030517B" w:rsidP="00E1448E">
            <w:pPr>
              <w:spacing w:after="0" w:line="240" w:lineRule="auto"/>
              <w:jc w:val="center"/>
              <w:rPr>
                <w:rFonts w:eastAsia="Times New Roman" w:cs="Times New Roman"/>
                <w:szCs w:val="28"/>
              </w:rPr>
            </w:pPr>
            <w:r w:rsidRPr="00CA099F">
              <w:rPr>
                <w:rFonts w:eastAsia="Times New Roman" w:cs="Times New Roman"/>
                <w:sz w:val="28"/>
                <w:szCs w:val="28"/>
              </w:rPr>
              <w:t>59,01±2,08</w:t>
            </w:r>
          </w:p>
        </w:tc>
        <w:tc>
          <w:tcPr>
            <w:tcW w:w="559" w:type="pct"/>
          </w:tcPr>
          <w:p w:rsidR="0030517B" w:rsidRPr="00CA099F" w:rsidRDefault="0030517B" w:rsidP="00E1448E">
            <w:pPr>
              <w:spacing w:after="0" w:line="240" w:lineRule="auto"/>
              <w:jc w:val="center"/>
              <w:rPr>
                <w:rFonts w:eastAsia="Times New Roman" w:cs="Times New Roman"/>
                <w:szCs w:val="28"/>
              </w:rPr>
            </w:pPr>
            <w:r w:rsidRPr="00CA099F">
              <w:rPr>
                <w:rFonts w:eastAsia="Times New Roman" w:cs="Times New Roman"/>
                <w:sz w:val="28"/>
                <w:szCs w:val="28"/>
              </w:rPr>
              <w:t>49,48±1,76*</w:t>
            </w:r>
          </w:p>
        </w:tc>
        <w:tc>
          <w:tcPr>
            <w:tcW w:w="519" w:type="pct"/>
          </w:tcPr>
          <w:p w:rsidR="0030517B" w:rsidRPr="00CA099F" w:rsidRDefault="0030517B" w:rsidP="00E1448E">
            <w:pPr>
              <w:spacing w:after="0" w:line="240" w:lineRule="auto"/>
              <w:jc w:val="center"/>
              <w:rPr>
                <w:rFonts w:eastAsia="Times New Roman" w:cs="Times New Roman"/>
                <w:szCs w:val="28"/>
              </w:rPr>
            </w:pPr>
            <w:r w:rsidRPr="00CA099F">
              <w:rPr>
                <w:rFonts w:eastAsia="Times New Roman" w:cs="Times New Roman"/>
                <w:sz w:val="28"/>
                <w:szCs w:val="28"/>
              </w:rPr>
              <w:t>51,92±2,53</w:t>
            </w:r>
          </w:p>
        </w:tc>
        <w:tc>
          <w:tcPr>
            <w:tcW w:w="580" w:type="pct"/>
          </w:tcPr>
          <w:p w:rsidR="0030517B" w:rsidRPr="00CA099F" w:rsidRDefault="0030517B" w:rsidP="00E1448E">
            <w:pPr>
              <w:spacing w:after="0"/>
              <w:jc w:val="center"/>
              <w:rPr>
                <w:rFonts w:eastAsia="Times New Roman" w:cs="Times New Roman"/>
                <w:color w:val="000000"/>
                <w:szCs w:val="28"/>
              </w:rPr>
            </w:pPr>
            <w:r w:rsidRPr="00CA099F">
              <w:rPr>
                <w:rFonts w:eastAsia="Times New Roman" w:cs="Times New Roman"/>
                <w:color w:val="000000"/>
                <w:sz w:val="28"/>
                <w:szCs w:val="28"/>
              </w:rPr>
              <w:t>46,20</w:t>
            </w:r>
            <w:r w:rsidRPr="00CA099F">
              <w:rPr>
                <w:rFonts w:eastAsia="Times New Roman" w:cs="Times New Roman"/>
                <w:sz w:val="28"/>
                <w:szCs w:val="28"/>
              </w:rPr>
              <w:t>±</w:t>
            </w:r>
            <w:r w:rsidRPr="00CA099F">
              <w:rPr>
                <w:rFonts w:eastAsia="Times New Roman" w:cs="Times New Roman"/>
                <w:color w:val="000000"/>
                <w:sz w:val="28"/>
                <w:szCs w:val="28"/>
              </w:rPr>
              <w:t>2,39</w:t>
            </w:r>
          </w:p>
        </w:tc>
        <w:tc>
          <w:tcPr>
            <w:tcW w:w="580" w:type="pct"/>
          </w:tcPr>
          <w:p w:rsidR="0030517B" w:rsidRPr="00CA099F" w:rsidRDefault="0030517B" w:rsidP="00E1448E">
            <w:pPr>
              <w:spacing w:after="0"/>
              <w:jc w:val="center"/>
              <w:rPr>
                <w:rFonts w:eastAsia="Times New Roman" w:cs="Times New Roman"/>
                <w:szCs w:val="28"/>
              </w:rPr>
            </w:pPr>
            <w:r w:rsidRPr="00CA099F">
              <w:rPr>
                <w:rFonts w:eastAsia="Times New Roman" w:cs="Times New Roman"/>
                <w:sz w:val="28"/>
                <w:szCs w:val="28"/>
              </w:rPr>
              <w:t>49,98±2,25</w:t>
            </w:r>
          </w:p>
        </w:tc>
        <w:tc>
          <w:tcPr>
            <w:tcW w:w="580" w:type="pct"/>
          </w:tcPr>
          <w:p w:rsidR="0030517B" w:rsidRPr="00CA099F" w:rsidRDefault="0030517B" w:rsidP="00E1448E">
            <w:pPr>
              <w:spacing w:after="0"/>
              <w:jc w:val="center"/>
              <w:rPr>
                <w:rFonts w:eastAsia="Times New Roman" w:cs="Times New Roman"/>
                <w:color w:val="000000"/>
                <w:szCs w:val="28"/>
              </w:rPr>
            </w:pPr>
            <w:r w:rsidRPr="00CA099F">
              <w:rPr>
                <w:rFonts w:eastAsia="Times New Roman" w:cs="Times New Roman"/>
                <w:color w:val="000000"/>
                <w:sz w:val="28"/>
                <w:szCs w:val="28"/>
              </w:rPr>
              <w:t>45,99</w:t>
            </w:r>
            <w:r w:rsidRPr="00CA099F">
              <w:rPr>
                <w:rFonts w:eastAsia="Times New Roman" w:cs="Times New Roman"/>
                <w:sz w:val="28"/>
                <w:szCs w:val="28"/>
              </w:rPr>
              <w:t>±</w:t>
            </w:r>
            <w:r w:rsidRPr="00CA099F">
              <w:rPr>
                <w:rFonts w:eastAsia="Times New Roman" w:cs="Times New Roman"/>
                <w:color w:val="000000"/>
                <w:sz w:val="28"/>
                <w:szCs w:val="28"/>
              </w:rPr>
              <w:t>2,08</w:t>
            </w:r>
          </w:p>
        </w:tc>
        <w:tc>
          <w:tcPr>
            <w:tcW w:w="580" w:type="pct"/>
          </w:tcPr>
          <w:p w:rsidR="0030517B" w:rsidRPr="00CA099F" w:rsidRDefault="0030517B" w:rsidP="00E1448E">
            <w:pPr>
              <w:spacing w:after="0" w:line="240" w:lineRule="auto"/>
              <w:jc w:val="center"/>
              <w:rPr>
                <w:rFonts w:eastAsia="Times New Roman" w:cs="Times New Roman"/>
                <w:szCs w:val="28"/>
              </w:rPr>
            </w:pPr>
            <w:r w:rsidRPr="00CA099F">
              <w:rPr>
                <w:rFonts w:eastAsia="Times New Roman" w:cs="Times New Roman"/>
                <w:sz w:val="28"/>
                <w:szCs w:val="28"/>
              </w:rPr>
              <w:t>49,41±1,93</w:t>
            </w:r>
          </w:p>
        </w:tc>
        <w:tc>
          <w:tcPr>
            <w:tcW w:w="578" w:type="pct"/>
          </w:tcPr>
          <w:p w:rsidR="0030517B" w:rsidRPr="00CA099F" w:rsidRDefault="0030517B" w:rsidP="00E1448E">
            <w:pPr>
              <w:spacing w:after="0" w:line="240" w:lineRule="auto"/>
              <w:jc w:val="center"/>
              <w:rPr>
                <w:rFonts w:eastAsia="Times New Roman" w:cs="Times New Roman"/>
                <w:szCs w:val="28"/>
              </w:rPr>
            </w:pPr>
            <w:r w:rsidRPr="00CA099F">
              <w:rPr>
                <w:rFonts w:eastAsia="Times New Roman" w:cs="Times New Roman"/>
                <w:sz w:val="28"/>
                <w:szCs w:val="28"/>
              </w:rPr>
              <w:t>45,30±2,09</w:t>
            </w:r>
          </w:p>
        </w:tc>
      </w:tr>
      <w:tr w:rsidR="0030517B" w:rsidRPr="00CA099F" w:rsidTr="00E1448E">
        <w:tc>
          <w:tcPr>
            <w:tcW w:w="5000" w:type="pct"/>
            <w:gridSpan w:val="9"/>
          </w:tcPr>
          <w:p w:rsidR="0030517B" w:rsidRPr="00CA099F" w:rsidRDefault="0030517B" w:rsidP="00E1448E">
            <w:pPr>
              <w:spacing w:after="0" w:line="240" w:lineRule="auto"/>
              <w:jc w:val="both"/>
              <w:rPr>
                <w:rFonts w:eastAsia="Times New Roman" w:cs="Times New Roman"/>
                <w:szCs w:val="28"/>
              </w:rPr>
            </w:pPr>
            <w:r w:rsidRPr="00CA099F">
              <w:rPr>
                <w:rFonts w:eastAsia="Times New Roman" w:cs="Times New Roman"/>
                <w:sz w:val="28"/>
                <w:szCs w:val="28"/>
              </w:rPr>
              <w:t>Примітка:</w:t>
            </w:r>
          </w:p>
          <w:p w:rsidR="0030517B" w:rsidRPr="00CA099F" w:rsidRDefault="0030517B" w:rsidP="00E1448E">
            <w:pPr>
              <w:spacing w:after="0" w:line="240" w:lineRule="auto"/>
              <w:jc w:val="both"/>
              <w:rPr>
                <w:rFonts w:eastAsia="Times New Roman" w:cs="Times New Roman"/>
                <w:szCs w:val="28"/>
              </w:rPr>
            </w:pPr>
            <w:r w:rsidRPr="00CA099F">
              <w:rPr>
                <w:rFonts w:eastAsia="Times New Roman" w:cs="Times New Roman"/>
                <w:sz w:val="28"/>
                <w:szCs w:val="28"/>
              </w:rPr>
              <w:t>*- різниця достовірна стосовно даних групи порівняння в межах одного терміну спостереження</w:t>
            </w:r>
          </w:p>
          <w:p w:rsidR="0030517B" w:rsidRPr="00CA099F" w:rsidRDefault="0030517B" w:rsidP="00E1448E">
            <w:pPr>
              <w:tabs>
                <w:tab w:val="left" w:pos="709"/>
              </w:tabs>
              <w:spacing w:after="0" w:line="240" w:lineRule="auto"/>
              <w:ind w:right="-6"/>
              <w:jc w:val="both"/>
              <w:rPr>
                <w:rFonts w:eastAsia="Times New Roman" w:cs="Times New Roman"/>
                <w:color w:val="000000"/>
                <w:szCs w:val="28"/>
              </w:rPr>
            </w:pPr>
            <w:r w:rsidRPr="00CA099F">
              <w:rPr>
                <w:rFonts w:eastAsia="Times New Roman" w:cs="Times New Roman"/>
                <w:color w:val="000000"/>
                <w:sz w:val="28"/>
                <w:szCs w:val="28"/>
              </w:rPr>
              <w:t>р</w:t>
            </w:r>
            <w:r w:rsidRPr="00CA099F">
              <w:rPr>
                <w:rFonts w:eastAsia="Times New Roman" w:cs="Times New Roman"/>
                <w:color w:val="000000"/>
                <w:sz w:val="28"/>
                <w:szCs w:val="28"/>
                <w:vertAlign w:val="subscript"/>
              </w:rPr>
              <w:t>1</w:t>
            </w:r>
            <w:r w:rsidRPr="00CA099F">
              <w:rPr>
                <w:rFonts w:eastAsia="Times New Roman" w:cs="Times New Roman"/>
                <w:color w:val="000000"/>
                <w:sz w:val="28"/>
                <w:szCs w:val="28"/>
              </w:rPr>
              <w:t xml:space="preserve"> –показник достовірності між дослідними групами, термін спостереження 3 і 6 місяців; </w:t>
            </w:r>
          </w:p>
          <w:p w:rsidR="0030517B" w:rsidRPr="006509D4" w:rsidRDefault="0030517B" w:rsidP="00E1448E">
            <w:pPr>
              <w:spacing w:after="0" w:line="240" w:lineRule="auto"/>
              <w:jc w:val="both"/>
              <w:rPr>
                <w:rFonts w:eastAsia="Times New Roman" w:cs="Times New Roman"/>
                <w:color w:val="000000"/>
                <w:szCs w:val="28"/>
                <w:lang w:val="ru-RU"/>
              </w:rPr>
            </w:pPr>
            <w:r w:rsidRPr="00CA099F">
              <w:rPr>
                <w:rFonts w:eastAsia="Times New Roman" w:cs="Times New Roman"/>
                <w:color w:val="000000"/>
                <w:sz w:val="28"/>
                <w:szCs w:val="28"/>
              </w:rPr>
              <w:t>р</w:t>
            </w:r>
            <w:r w:rsidRPr="00CA099F">
              <w:rPr>
                <w:rFonts w:eastAsia="Times New Roman" w:cs="Times New Roman"/>
                <w:color w:val="000000"/>
                <w:sz w:val="28"/>
                <w:szCs w:val="28"/>
                <w:vertAlign w:val="subscript"/>
              </w:rPr>
              <w:t xml:space="preserve">2 </w:t>
            </w:r>
            <w:r w:rsidRPr="00CA099F">
              <w:rPr>
                <w:rFonts w:eastAsia="Times New Roman" w:cs="Times New Roman"/>
                <w:color w:val="000000"/>
                <w:sz w:val="28"/>
                <w:szCs w:val="28"/>
              </w:rPr>
              <w:t>–показник достовірності між дослідними групами, тер</w:t>
            </w:r>
            <w:r w:rsidR="006509D4">
              <w:rPr>
                <w:rFonts w:eastAsia="Times New Roman" w:cs="Times New Roman"/>
                <w:color w:val="000000"/>
                <w:sz w:val="28"/>
                <w:szCs w:val="28"/>
              </w:rPr>
              <w:t>мін спостереження 6 і 9 місяців</w:t>
            </w:r>
            <w:r w:rsidR="006509D4">
              <w:rPr>
                <w:rFonts w:eastAsia="Times New Roman" w:cs="Times New Roman"/>
                <w:color w:val="000000"/>
                <w:sz w:val="28"/>
                <w:szCs w:val="28"/>
                <w:lang w:val="ru-RU"/>
              </w:rPr>
              <w:t>.</w:t>
            </w:r>
          </w:p>
        </w:tc>
      </w:tr>
    </w:tbl>
    <w:p w:rsidR="0030517B" w:rsidRPr="00CA099F" w:rsidRDefault="0030517B" w:rsidP="0030517B">
      <w:pPr>
        <w:spacing w:after="0" w:line="360" w:lineRule="auto"/>
        <w:jc w:val="both"/>
        <w:rPr>
          <w:rFonts w:eastAsia="Times New Roman" w:cs="Times New Roman"/>
          <w:sz w:val="28"/>
          <w:szCs w:val="28"/>
        </w:rPr>
      </w:pPr>
    </w:p>
    <w:p w:rsidR="0030517B" w:rsidRPr="00CA099F" w:rsidRDefault="00801EEF" w:rsidP="0030517B">
      <w:pPr>
        <w:spacing w:after="0" w:line="360" w:lineRule="auto"/>
        <w:jc w:val="both"/>
        <w:rPr>
          <w:rFonts w:eastAsia="Times New Roman" w:cs="Times New Roman"/>
          <w:sz w:val="28"/>
          <w:szCs w:val="28"/>
        </w:rPr>
      </w:pPr>
      <w:r>
        <w:rPr>
          <w:rFonts w:eastAsia="Times New Roman" w:cs="Times New Roman"/>
          <w:sz w:val="28"/>
          <w:szCs w:val="28"/>
        </w:rPr>
        <w:tab/>
      </w:r>
      <w:r w:rsidR="0030517B" w:rsidRPr="00CA099F">
        <w:rPr>
          <w:rFonts w:eastAsia="Times New Roman" w:cs="Times New Roman"/>
          <w:sz w:val="28"/>
          <w:szCs w:val="28"/>
        </w:rPr>
        <w:t xml:space="preserve">Аналізуючи зміни активності СОД у гомогенаті шкіри пацієнтів з різними видами інтра- та післяопераційної профілактики патологічних рубців шкіри при хірургічному лікуванні кіст шиї ембріонального походження відносно показників інтактної групи пацієнтів (рис. 5.9) найвищі показники встановлено у пацієнтів контрольної групи (через 3 місяці спостереження </w:t>
      </w:r>
      <w:r w:rsidR="0030517B" w:rsidRPr="00CA099F">
        <w:rPr>
          <w:rFonts w:eastAsia="Times New Roman" w:cs="Times New Roman"/>
          <w:sz w:val="28"/>
          <w:szCs w:val="28"/>
        </w:rPr>
        <w:lastRenderedPageBreak/>
        <w:t xml:space="preserve">достовірне переважання на 85,9 %, через 6 місяців – на 35,4 % і через 9 – на 10,2 %). </w:t>
      </w:r>
    </w:p>
    <w:p w:rsidR="0030517B" w:rsidRPr="00CA099F" w:rsidRDefault="00801EEF" w:rsidP="0030517B">
      <w:pPr>
        <w:spacing w:after="0" w:line="360" w:lineRule="auto"/>
        <w:jc w:val="both"/>
        <w:rPr>
          <w:rFonts w:eastAsia="Times New Roman" w:cs="Times New Roman"/>
          <w:sz w:val="28"/>
          <w:szCs w:val="28"/>
        </w:rPr>
      </w:pPr>
      <w:r>
        <w:rPr>
          <w:rFonts w:eastAsia="Times New Roman" w:cs="Times New Roman"/>
          <w:sz w:val="28"/>
          <w:szCs w:val="28"/>
        </w:rPr>
        <w:tab/>
      </w:r>
      <w:r w:rsidR="0030517B" w:rsidRPr="00CA099F">
        <w:rPr>
          <w:rFonts w:eastAsia="Times New Roman" w:cs="Times New Roman"/>
          <w:sz w:val="28"/>
          <w:szCs w:val="28"/>
        </w:rPr>
        <w:t xml:space="preserve">Найнижчі показники активності СОД спостерігалися у пацієнтів, яким під час оперативного втручання введено PRF-згусток, а на післяопераційному етапі було застосовано препарат </w:t>
      </w:r>
      <w:r w:rsidR="009A789C">
        <w:rPr>
          <w:rFonts w:eastAsia="Times New Roman" w:cs="Times New Roman"/>
          <w:sz w:val="28"/>
          <w:szCs w:val="28"/>
        </w:rPr>
        <w:t>церулоплазмін</w:t>
      </w:r>
      <w:r w:rsidR="0030517B" w:rsidRPr="00CA099F">
        <w:rPr>
          <w:rFonts w:eastAsia="Times New Roman" w:cs="Times New Roman"/>
          <w:sz w:val="28"/>
          <w:szCs w:val="28"/>
        </w:rPr>
        <w:t>. Так, через 3 місяці даний показник перевищував показник інтактної групи на 40,2 %, через 6 місяців – на 12,8 % і через 9</w:t>
      </w:r>
      <w:r w:rsidR="006509D4">
        <w:rPr>
          <w:rFonts w:eastAsia="Times New Roman" w:cs="Times New Roman"/>
          <w:sz w:val="28"/>
          <w:szCs w:val="28"/>
          <w:lang w:val="ru-RU"/>
        </w:rPr>
        <w:t xml:space="preserve"> </w:t>
      </w:r>
      <w:r w:rsidR="0030517B" w:rsidRPr="00CA099F">
        <w:rPr>
          <w:rFonts w:eastAsia="Times New Roman" w:cs="Times New Roman"/>
          <w:sz w:val="28"/>
          <w:szCs w:val="28"/>
        </w:rPr>
        <w:t>– достовірно не відрізнявся.</w:t>
      </w:r>
    </w:p>
    <w:p w:rsidR="0030517B" w:rsidRPr="00CA099F" w:rsidRDefault="0030517B" w:rsidP="0030517B">
      <w:pPr>
        <w:spacing w:after="0" w:line="360" w:lineRule="auto"/>
        <w:jc w:val="both"/>
        <w:rPr>
          <w:rFonts w:eastAsia="Times New Roman" w:cs="Times New Roman"/>
          <w:color w:val="000000"/>
          <w:sz w:val="28"/>
          <w:szCs w:val="28"/>
        </w:rPr>
      </w:pPr>
    </w:p>
    <w:p w:rsidR="0030517B" w:rsidRPr="00CA099F" w:rsidRDefault="0030517B" w:rsidP="0030517B">
      <w:pPr>
        <w:spacing w:after="0" w:line="360" w:lineRule="auto"/>
        <w:jc w:val="both"/>
        <w:rPr>
          <w:rFonts w:ascii="Calibri" w:eastAsia="Times New Roman" w:hAnsi="Calibri" w:cs="Times New Roman"/>
          <w:sz w:val="22"/>
          <w:szCs w:val="28"/>
        </w:rPr>
      </w:pPr>
      <w:r w:rsidRPr="00CA099F">
        <w:rPr>
          <w:rFonts w:ascii="Calibri" w:eastAsia="Times New Roman" w:hAnsi="Calibri" w:cs="Times New Roman"/>
          <w:noProof/>
          <w:sz w:val="22"/>
          <w:lang w:val="ru-RU" w:eastAsia="ru-RU"/>
        </w:rPr>
        <w:drawing>
          <wp:inline distT="0" distB="0" distL="0" distR="0" wp14:anchorId="77D0B78E" wp14:editId="1D1EB00F">
            <wp:extent cx="5219700" cy="2914650"/>
            <wp:effectExtent l="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219700" cy="2914650"/>
                    </a:xfrm>
                    <a:prstGeom prst="rect">
                      <a:avLst/>
                    </a:prstGeom>
                    <a:noFill/>
                    <a:ln>
                      <a:noFill/>
                    </a:ln>
                  </pic:spPr>
                </pic:pic>
              </a:graphicData>
            </a:graphic>
          </wp:inline>
        </w:drawing>
      </w:r>
    </w:p>
    <w:p w:rsidR="0030517B" w:rsidRDefault="00801EEF" w:rsidP="0030517B">
      <w:pPr>
        <w:spacing w:after="0" w:line="360" w:lineRule="auto"/>
        <w:jc w:val="both"/>
        <w:rPr>
          <w:rFonts w:eastAsia="Times New Roman" w:cs="Times New Roman"/>
          <w:sz w:val="28"/>
          <w:szCs w:val="28"/>
        </w:rPr>
      </w:pPr>
      <w:r>
        <w:rPr>
          <w:rFonts w:eastAsia="Times New Roman" w:cs="Times New Roman"/>
          <w:sz w:val="28"/>
          <w:szCs w:val="28"/>
        </w:rPr>
        <w:t>Рисунок 5.9 Графічне зображення</w:t>
      </w:r>
      <w:r w:rsidR="0030517B" w:rsidRPr="00CA099F">
        <w:rPr>
          <w:rFonts w:eastAsia="Times New Roman" w:cs="Times New Roman"/>
          <w:sz w:val="28"/>
          <w:szCs w:val="28"/>
        </w:rPr>
        <w:t xml:space="preserve"> змін активності СОД у гомогенаті шкіри пацієнтів з різними видами інтра- та післяопераційної профілактики патологічних рубців шкіри при хірургічному лікуванні кіст шиї ембріонального походження у відсотках (*- різниця достовірна стосовно даних інтактної групи).</w:t>
      </w:r>
    </w:p>
    <w:p w:rsidR="00E6030B" w:rsidRPr="00CA099F" w:rsidRDefault="00E6030B" w:rsidP="0030517B">
      <w:pPr>
        <w:spacing w:after="0" w:line="360" w:lineRule="auto"/>
        <w:jc w:val="both"/>
        <w:rPr>
          <w:rFonts w:eastAsia="Times New Roman" w:cs="Times New Roman"/>
          <w:sz w:val="28"/>
          <w:szCs w:val="28"/>
        </w:rPr>
      </w:pPr>
    </w:p>
    <w:p w:rsidR="0030517B" w:rsidRPr="00CA099F" w:rsidRDefault="00801EEF" w:rsidP="0030517B">
      <w:pPr>
        <w:spacing w:after="0" w:line="360" w:lineRule="auto"/>
        <w:jc w:val="both"/>
        <w:rPr>
          <w:rFonts w:eastAsia="Times New Roman" w:cs="Times New Roman"/>
          <w:sz w:val="28"/>
          <w:szCs w:val="28"/>
        </w:rPr>
      </w:pPr>
      <w:r>
        <w:rPr>
          <w:rFonts w:eastAsia="Times New Roman" w:cs="Times New Roman"/>
          <w:sz w:val="28"/>
          <w:szCs w:val="28"/>
        </w:rPr>
        <w:tab/>
      </w:r>
      <w:r w:rsidR="0030517B" w:rsidRPr="00CA099F">
        <w:rPr>
          <w:rFonts w:eastAsia="Times New Roman" w:cs="Times New Roman"/>
          <w:sz w:val="28"/>
          <w:szCs w:val="28"/>
        </w:rPr>
        <w:t xml:space="preserve">Активність каталази відносно активності СОД впродовж експерименту зазнала менш виражених змін. Аналізуючи зміни активності каталази у гомогенаті шкіри пацієнтів з різними видами інтра- та післяопераційної профілактики патологічних рубців шкіри при хірургічному лікуванні кіст шиї ембріонального походження відносно показника інтактної групи пацієнтів у контрольній групі встановлено через 3 місяці спостереження переважання </w:t>
      </w:r>
      <w:r w:rsidR="0030517B" w:rsidRPr="00CA099F">
        <w:rPr>
          <w:rFonts w:eastAsia="Times New Roman" w:cs="Times New Roman"/>
          <w:sz w:val="28"/>
          <w:szCs w:val="28"/>
        </w:rPr>
        <w:lastRenderedPageBreak/>
        <w:t>даного показника на 39,4 % (</w:t>
      </w:r>
      <w:r w:rsidR="0030517B" w:rsidRPr="00CA099F">
        <w:rPr>
          <w:rFonts w:eastAsia="Times New Roman" w:cs="Times New Roman"/>
          <w:color w:val="000000"/>
          <w:sz w:val="28"/>
          <w:szCs w:val="28"/>
        </w:rPr>
        <w:t>р&lt;0,001</w:t>
      </w:r>
      <w:r w:rsidR="0030517B" w:rsidRPr="00CA099F">
        <w:rPr>
          <w:rFonts w:eastAsia="Times New Roman" w:cs="Times New Roman"/>
          <w:sz w:val="28"/>
          <w:szCs w:val="28"/>
        </w:rPr>
        <w:t>), через 6 місяців – на 12,3 % (</w:t>
      </w:r>
      <w:r w:rsidR="0030517B" w:rsidRPr="00CA099F">
        <w:rPr>
          <w:rFonts w:eastAsia="Times New Roman" w:cs="Times New Roman"/>
          <w:color w:val="000000"/>
          <w:sz w:val="28"/>
          <w:szCs w:val="28"/>
        </w:rPr>
        <w:t>р&lt;0,05</w:t>
      </w:r>
      <w:r w:rsidR="0030517B" w:rsidRPr="00CA099F">
        <w:rPr>
          <w:rFonts w:eastAsia="Times New Roman" w:cs="Times New Roman"/>
          <w:sz w:val="28"/>
          <w:szCs w:val="28"/>
        </w:rPr>
        <w:t xml:space="preserve">) (рис. 5.10). </w:t>
      </w:r>
    </w:p>
    <w:p w:rsidR="0030517B" w:rsidRPr="00CA099F" w:rsidRDefault="00801EEF" w:rsidP="0030517B">
      <w:pPr>
        <w:spacing w:after="0" w:line="360" w:lineRule="auto"/>
        <w:jc w:val="both"/>
        <w:rPr>
          <w:rFonts w:eastAsia="Times New Roman" w:cs="Times New Roman"/>
          <w:sz w:val="28"/>
          <w:szCs w:val="28"/>
        </w:rPr>
      </w:pPr>
      <w:r>
        <w:rPr>
          <w:rFonts w:eastAsia="Times New Roman" w:cs="Times New Roman"/>
          <w:sz w:val="28"/>
          <w:szCs w:val="28"/>
        </w:rPr>
        <w:tab/>
      </w:r>
      <w:r w:rsidR="0030517B" w:rsidRPr="00CA099F">
        <w:rPr>
          <w:rFonts w:eastAsia="Times New Roman" w:cs="Times New Roman"/>
          <w:sz w:val="28"/>
          <w:szCs w:val="28"/>
        </w:rPr>
        <w:t>Через 9 та 12 місяців спостереження активність каталази достовірно не відрізнялася від показника інтактної групи пацієнтів у всіх групах спостереження. Варто вказати на те, що у пацієнтів, яким під час оперативного втручанн</w:t>
      </w:r>
      <w:r w:rsidR="00985FE4">
        <w:rPr>
          <w:rFonts w:eastAsia="Times New Roman" w:cs="Times New Roman"/>
          <w:sz w:val="28"/>
          <w:szCs w:val="28"/>
        </w:rPr>
        <w:t xml:space="preserve">я введено PRF-згусток </w:t>
      </w:r>
      <w:r w:rsidR="0030517B" w:rsidRPr="00CA099F">
        <w:rPr>
          <w:rFonts w:eastAsia="Times New Roman" w:cs="Times New Roman"/>
          <w:sz w:val="28"/>
          <w:szCs w:val="28"/>
        </w:rPr>
        <w:t xml:space="preserve">та у пацієнтів, яким під час оперативного втручання введено PRF-згусток, а на післяопераційному етапі було застосовано </w:t>
      </w:r>
      <w:r w:rsidR="009A789C">
        <w:rPr>
          <w:rFonts w:eastAsia="Times New Roman" w:cs="Times New Roman"/>
          <w:sz w:val="28"/>
          <w:szCs w:val="28"/>
        </w:rPr>
        <w:t>церулоплазмін</w:t>
      </w:r>
      <w:r w:rsidR="009A789C" w:rsidRPr="00CA099F">
        <w:rPr>
          <w:rFonts w:eastAsia="Times New Roman" w:cs="Times New Roman"/>
          <w:sz w:val="28"/>
          <w:szCs w:val="28"/>
        </w:rPr>
        <w:t xml:space="preserve"> </w:t>
      </w:r>
      <w:r w:rsidR="0030517B" w:rsidRPr="00CA099F">
        <w:rPr>
          <w:rFonts w:eastAsia="Times New Roman" w:cs="Times New Roman"/>
          <w:sz w:val="28"/>
          <w:szCs w:val="28"/>
        </w:rPr>
        <w:t>активність каталази достовірно не відрізнялася від показника інтактної групи пацієнтів вже через 6 місяців спостереження. Крім цього, через 3 місяці спостереження активність каталази у пацієнтів контрольної групи зросла на 39,4 % (</w:t>
      </w:r>
      <w:r w:rsidR="0030517B" w:rsidRPr="00CA099F">
        <w:rPr>
          <w:rFonts w:eastAsia="Times New Roman" w:cs="Times New Roman"/>
          <w:color w:val="000000"/>
          <w:sz w:val="28"/>
          <w:szCs w:val="28"/>
        </w:rPr>
        <w:t>р&lt;0,001</w:t>
      </w:r>
      <w:r w:rsidR="0030517B" w:rsidRPr="00CA099F">
        <w:rPr>
          <w:rFonts w:eastAsia="Times New Roman" w:cs="Times New Roman"/>
          <w:sz w:val="28"/>
          <w:szCs w:val="28"/>
        </w:rPr>
        <w:t>), у пацієнтів, яким під час оперативного втручання введено PRF-згусток – на 20,3 % (</w:t>
      </w:r>
      <w:r w:rsidR="0030517B" w:rsidRPr="00CA099F">
        <w:rPr>
          <w:rFonts w:eastAsia="Times New Roman" w:cs="Times New Roman"/>
          <w:color w:val="000000"/>
          <w:sz w:val="28"/>
          <w:szCs w:val="28"/>
        </w:rPr>
        <w:t>р&lt;0,001</w:t>
      </w:r>
      <w:r w:rsidR="0030517B" w:rsidRPr="00CA099F">
        <w:rPr>
          <w:rFonts w:eastAsia="Times New Roman" w:cs="Times New Roman"/>
          <w:sz w:val="28"/>
          <w:szCs w:val="28"/>
        </w:rPr>
        <w:t xml:space="preserve">), у пацієнтів, яким під час оперативного втручання введено PRF-згусток, а на післяопераційному етапі було застосовано </w:t>
      </w:r>
      <w:r w:rsidR="009A789C">
        <w:rPr>
          <w:rFonts w:eastAsia="Times New Roman" w:cs="Times New Roman"/>
          <w:sz w:val="28"/>
          <w:szCs w:val="28"/>
        </w:rPr>
        <w:t>церулоплазмін</w:t>
      </w:r>
      <w:r w:rsidR="0030517B" w:rsidRPr="00CA099F">
        <w:rPr>
          <w:rFonts w:eastAsia="Times New Roman" w:cs="Times New Roman"/>
          <w:sz w:val="28"/>
          <w:szCs w:val="28"/>
        </w:rPr>
        <w:t xml:space="preserve"> – на 10,4 % (</w:t>
      </w:r>
      <w:r w:rsidR="0030517B" w:rsidRPr="00CA099F">
        <w:rPr>
          <w:rFonts w:eastAsia="Times New Roman" w:cs="Times New Roman"/>
          <w:color w:val="000000"/>
          <w:sz w:val="28"/>
          <w:szCs w:val="28"/>
        </w:rPr>
        <w:t>р&lt;0,05</w:t>
      </w:r>
      <w:r w:rsidR="0030517B" w:rsidRPr="00CA099F">
        <w:rPr>
          <w:rFonts w:eastAsia="Times New Roman" w:cs="Times New Roman"/>
          <w:sz w:val="28"/>
          <w:szCs w:val="28"/>
        </w:rPr>
        <w:t>).</w:t>
      </w:r>
    </w:p>
    <w:p w:rsidR="0030517B" w:rsidRPr="00CA099F" w:rsidRDefault="0030517B" w:rsidP="0030517B">
      <w:pPr>
        <w:spacing w:after="0" w:line="360" w:lineRule="auto"/>
        <w:jc w:val="both"/>
        <w:rPr>
          <w:rFonts w:eastAsia="Times New Roman" w:cs="Times New Roman"/>
          <w:sz w:val="28"/>
          <w:szCs w:val="28"/>
        </w:rPr>
      </w:pPr>
    </w:p>
    <w:p w:rsidR="0030517B" w:rsidRPr="00CA099F" w:rsidRDefault="0030517B" w:rsidP="0030517B">
      <w:pPr>
        <w:spacing w:after="0" w:line="360" w:lineRule="auto"/>
        <w:jc w:val="both"/>
        <w:rPr>
          <w:rFonts w:ascii="Calibri" w:eastAsia="Times New Roman" w:hAnsi="Calibri" w:cs="Times New Roman"/>
          <w:sz w:val="22"/>
          <w:szCs w:val="28"/>
        </w:rPr>
      </w:pPr>
      <w:r w:rsidRPr="00CA099F">
        <w:rPr>
          <w:rFonts w:ascii="Calibri" w:eastAsia="Times New Roman" w:hAnsi="Calibri" w:cs="Times New Roman"/>
          <w:noProof/>
          <w:sz w:val="22"/>
          <w:lang w:val="ru-RU" w:eastAsia="ru-RU"/>
        </w:rPr>
        <w:drawing>
          <wp:inline distT="0" distB="0" distL="0" distR="0" wp14:anchorId="3D54F176" wp14:editId="7EC016AD">
            <wp:extent cx="5553075" cy="3171825"/>
            <wp:effectExtent l="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553075" cy="3171825"/>
                    </a:xfrm>
                    <a:prstGeom prst="rect">
                      <a:avLst/>
                    </a:prstGeom>
                    <a:noFill/>
                    <a:ln>
                      <a:noFill/>
                    </a:ln>
                  </pic:spPr>
                </pic:pic>
              </a:graphicData>
            </a:graphic>
          </wp:inline>
        </w:drawing>
      </w:r>
    </w:p>
    <w:p w:rsidR="0030517B" w:rsidRPr="00CA099F" w:rsidRDefault="00801EEF" w:rsidP="0030517B">
      <w:pPr>
        <w:spacing w:after="0" w:line="360" w:lineRule="auto"/>
        <w:jc w:val="both"/>
        <w:rPr>
          <w:rFonts w:eastAsia="Times New Roman" w:cs="Times New Roman"/>
          <w:sz w:val="28"/>
          <w:szCs w:val="28"/>
        </w:rPr>
      </w:pPr>
      <w:r>
        <w:rPr>
          <w:rFonts w:eastAsia="Times New Roman" w:cs="Times New Roman"/>
          <w:sz w:val="28"/>
          <w:szCs w:val="28"/>
        </w:rPr>
        <w:t>Рисунок 5.10</w:t>
      </w:r>
      <w:r w:rsidR="0030517B" w:rsidRPr="00CA099F">
        <w:rPr>
          <w:rFonts w:eastAsia="Times New Roman" w:cs="Times New Roman"/>
          <w:sz w:val="28"/>
          <w:szCs w:val="28"/>
        </w:rPr>
        <w:t xml:space="preserve"> </w:t>
      </w:r>
      <w:r>
        <w:rPr>
          <w:rFonts w:eastAsia="Times New Roman" w:cs="Times New Roman"/>
          <w:sz w:val="28"/>
          <w:szCs w:val="28"/>
        </w:rPr>
        <w:t>Графічне зображення</w:t>
      </w:r>
      <w:r w:rsidR="0030517B" w:rsidRPr="00CA099F">
        <w:rPr>
          <w:rFonts w:eastAsia="Times New Roman" w:cs="Times New Roman"/>
          <w:sz w:val="28"/>
          <w:szCs w:val="28"/>
        </w:rPr>
        <w:t xml:space="preserve"> змін активності каталази у гомогенаті шкіри пацієнтів з різними видами інтра- та післяопераційної профілактики патологічних рубців шкіри при хірургічному лікуванні кіст шиї </w:t>
      </w:r>
      <w:r w:rsidR="0030517B" w:rsidRPr="00CA099F">
        <w:rPr>
          <w:rFonts w:eastAsia="Times New Roman" w:cs="Times New Roman"/>
          <w:sz w:val="28"/>
          <w:szCs w:val="28"/>
        </w:rPr>
        <w:lastRenderedPageBreak/>
        <w:t>ембріонального походження у відсотках (*- різниця достовірна стосовно даних інтактної групи).</w:t>
      </w:r>
    </w:p>
    <w:p w:rsidR="0030517B" w:rsidRPr="00CA099F" w:rsidRDefault="00801EEF" w:rsidP="0030517B">
      <w:pPr>
        <w:spacing w:after="0" w:line="360" w:lineRule="auto"/>
        <w:jc w:val="both"/>
        <w:rPr>
          <w:rFonts w:eastAsia="Times New Roman" w:cs="Times New Roman"/>
          <w:sz w:val="28"/>
          <w:szCs w:val="28"/>
        </w:rPr>
      </w:pPr>
      <w:r>
        <w:rPr>
          <w:rFonts w:eastAsia="Times New Roman" w:cs="Times New Roman"/>
          <w:sz w:val="28"/>
          <w:szCs w:val="28"/>
        </w:rPr>
        <w:tab/>
      </w:r>
      <w:r w:rsidR="0030517B" w:rsidRPr="00CA099F">
        <w:rPr>
          <w:rFonts w:eastAsia="Times New Roman" w:cs="Times New Roman"/>
          <w:sz w:val="28"/>
          <w:szCs w:val="28"/>
        </w:rPr>
        <w:t>Важливим складником системи антиоксидного захисту є біомолекули, що містять сульфгідрильні групи. Основним мобільним фондом SH-груп є глутатіон. Динаміка змін вмісту SH-груп у гомогенаті шкіри пацієнтів з різними видами інтра- та післяопераційної профілактики патологічних рубців шкіри при хірургічному лікуванні кіст шиї ембріонального походження була менш вираженою відносно динаміки змін ферментативної ланки системи антиоксидного захисту.</w:t>
      </w:r>
    </w:p>
    <w:p w:rsidR="0030517B" w:rsidRPr="00CA099F" w:rsidRDefault="00801EEF" w:rsidP="0030517B">
      <w:pPr>
        <w:spacing w:after="0" w:line="360" w:lineRule="auto"/>
        <w:jc w:val="both"/>
        <w:rPr>
          <w:rFonts w:eastAsia="Times New Roman" w:cs="Times New Roman"/>
          <w:sz w:val="28"/>
          <w:szCs w:val="28"/>
        </w:rPr>
      </w:pPr>
      <w:r>
        <w:rPr>
          <w:rFonts w:eastAsia="Times New Roman" w:cs="Times New Roman"/>
          <w:sz w:val="28"/>
          <w:szCs w:val="28"/>
        </w:rPr>
        <w:tab/>
      </w:r>
      <w:r w:rsidR="0030517B" w:rsidRPr="00CA099F">
        <w:rPr>
          <w:rFonts w:eastAsia="Times New Roman" w:cs="Times New Roman"/>
          <w:sz w:val="28"/>
          <w:szCs w:val="28"/>
        </w:rPr>
        <w:t>Так, аналізуючи зміни вмісту SH-груп відносно показника інтактної групи пацієнтів у контрольній групі встановлено через 3 місяці спостереження переважання даного показника на 25,0 % (</w:t>
      </w:r>
      <w:r w:rsidR="0030517B" w:rsidRPr="00CA099F">
        <w:rPr>
          <w:rFonts w:eastAsia="Times New Roman" w:cs="Times New Roman"/>
          <w:color w:val="000000"/>
          <w:sz w:val="28"/>
          <w:szCs w:val="28"/>
        </w:rPr>
        <w:t>р&lt;0,01</w:t>
      </w:r>
      <w:r w:rsidR="0030517B" w:rsidRPr="00CA099F">
        <w:rPr>
          <w:rFonts w:eastAsia="Times New Roman" w:cs="Times New Roman"/>
          <w:sz w:val="28"/>
          <w:szCs w:val="28"/>
        </w:rPr>
        <w:t>), у пацієнтів першої та другої групи даний показник достовірно не відрізнявся (рис. 5.11). Через 6, 9 та 12 місяців спостереження вміст SH-груп достовірно не відрізнявся від показника інтактної групи пацієнтів у всіх групах спостереження.</w:t>
      </w:r>
    </w:p>
    <w:p w:rsidR="0030517B" w:rsidRPr="00CA099F" w:rsidRDefault="0030517B" w:rsidP="0030517B">
      <w:pPr>
        <w:spacing w:after="0" w:line="360" w:lineRule="auto"/>
        <w:jc w:val="center"/>
        <w:rPr>
          <w:rFonts w:eastAsia="Times New Roman" w:cs="Times New Roman"/>
          <w:sz w:val="28"/>
          <w:szCs w:val="28"/>
        </w:rPr>
      </w:pPr>
      <w:r w:rsidRPr="00CA099F">
        <w:rPr>
          <w:rFonts w:ascii="Calibri" w:eastAsia="Times New Roman" w:hAnsi="Calibri" w:cs="Times New Roman"/>
          <w:noProof/>
          <w:sz w:val="22"/>
          <w:lang w:val="ru-RU" w:eastAsia="ru-RU"/>
        </w:rPr>
        <w:drawing>
          <wp:inline distT="0" distB="0" distL="0" distR="0" wp14:anchorId="2A32F0BF" wp14:editId="7F4A99A3">
            <wp:extent cx="5591175" cy="3314700"/>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591175" cy="3314700"/>
                    </a:xfrm>
                    <a:prstGeom prst="rect">
                      <a:avLst/>
                    </a:prstGeom>
                    <a:noFill/>
                    <a:ln>
                      <a:noFill/>
                    </a:ln>
                  </pic:spPr>
                </pic:pic>
              </a:graphicData>
            </a:graphic>
          </wp:inline>
        </w:drawing>
      </w:r>
    </w:p>
    <w:p w:rsidR="0030517B" w:rsidRPr="00CA099F" w:rsidRDefault="00801EEF" w:rsidP="0030517B">
      <w:pPr>
        <w:spacing w:after="0" w:line="360" w:lineRule="auto"/>
        <w:jc w:val="both"/>
        <w:rPr>
          <w:rFonts w:eastAsia="Times New Roman" w:cs="Times New Roman"/>
          <w:sz w:val="28"/>
          <w:szCs w:val="28"/>
        </w:rPr>
      </w:pPr>
      <w:r>
        <w:rPr>
          <w:rFonts w:eastAsia="Times New Roman" w:cs="Times New Roman"/>
          <w:sz w:val="28"/>
          <w:szCs w:val="28"/>
        </w:rPr>
        <w:t>Рисунок 5.11</w:t>
      </w:r>
      <w:r w:rsidR="00E61D0F">
        <w:rPr>
          <w:rFonts w:eastAsia="Times New Roman" w:cs="Times New Roman"/>
          <w:sz w:val="28"/>
          <w:szCs w:val="28"/>
        </w:rPr>
        <w:t xml:space="preserve"> Графічне зображення</w:t>
      </w:r>
      <w:r w:rsidR="0030517B" w:rsidRPr="00CA099F">
        <w:rPr>
          <w:rFonts w:eastAsia="Times New Roman" w:cs="Times New Roman"/>
          <w:sz w:val="28"/>
          <w:szCs w:val="28"/>
        </w:rPr>
        <w:t xml:space="preserve"> змін вмісту SH-груп у гомогенаті шкіри пацієнтів з різними видами інтра- та післяопераційної профілактики патологічних рубців шкіри при хірургічному лікуванні кіст шиї </w:t>
      </w:r>
      <w:r w:rsidR="0030517B" w:rsidRPr="00CA099F">
        <w:rPr>
          <w:rFonts w:eastAsia="Times New Roman" w:cs="Times New Roman"/>
          <w:sz w:val="28"/>
          <w:szCs w:val="28"/>
        </w:rPr>
        <w:lastRenderedPageBreak/>
        <w:t>ембріонального походження у відсотках (*- різниця достовірна стосовно даних інтактної групи).</w:t>
      </w:r>
    </w:p>
    <w:p w:rsidR="0030517B" w:rsidRDefault="00E61D0F" w:rsidP="0030517B">
      <w:pPr>
        <w:spacing w:after="0" w:line="360" w:lineRule="auto"/>
        <w:jc w:val="both"/>
        <w:rPr>
          <w:rFonts w:eastAsia="Times New Roman" w:cs="Times New Roman"/>
          <w:sz w:val="28"/>
          <w:szCs w:val="28"/>
        </w:rPr>
      </w:pPr>
      <w:r>
        <w:rPr>
          <w:rFonts w:eastAsia="Times New Roman" w:cs="Times New Roman"/>
          <w:sz w:val="28"/>
          <w:szCs w:val="28"/>
        </w:rPr>
        <w:tab/>
      </w:r>
      <w:r w:rsidR="0030517B" w:rsidRPr="00CA099F">
        <w:rPr>
          <w:rFonts w:eastAsia="Times New Roman" w:cs="Times New Roman"/>
          <w:sz w:val="28"/>
          <w:szCs w:val="28"/>
        </w:rPr>
        <w:t xml:space="preserve">Відомо, що </w:t>
      </w:r>
      <w:r w:rsidR="0030517B" w:rsidRPr="009C2EE8">
        <w:rPr>
          <w:rFonts w:eastAsia="Times New Roman" w:cs="Times New Roman"/>
          <w:sz w:val="28"/>
          <w:szCs w:val="28"/>
        </w:rPr>
        <w:t>пер</w:t>
      </w:r>
      <w:r w:rsidR="00EF5D25" w:rsidRPr="009C2EE8">
        <w:rPr>
          <w:rFonts w:eastAsia="Times New Roman" w:cs="Times New Roman"/>
          <w:sz w:val="28"/>
          <w:szCs w:val="28"/>
        </w:rPr>
        <w:t>еки</w:t>
      </w:r>
      <w:r w:rsidR="0030517B" w:rsidRPr="009C2EE8">
        <w:rPr>
          <w:rFonts w:eastAsia="Times New Roman" w:cs="Times New Roman"/>
          <w:sz w:val="28"/>
          <w:szCs w:val="28"/>
        </w:rPr>
        <w:t>сне окиснення білків</w:t>
      </w:r>
      <w:r w:rsidR="0030517B" w:rsidRPr="00CA099F">
        <w:rPr>
          <w:rFonts w:eastAsia="Times New Roman" w:cs="Times New Roman"/>
          <w:sz w:val="28"/>
          <w:szCs w:val="28"/>
        </w:rPr>
        <w:t xml:space="preserve"> призводить до утворення фрагментованих та агрегованих білкових сполук, які є субстратом для протеолітичних ферментів, що активує протеоліз та сприяє подальшому посиленню деструктивних процесів. Еластаза – це протеаза, яка локалізується в азурофільних гранулах поліморфноядерних лейкоцитів. Активність еластази є показником деструктивного протеолізу тканини і маркером запальних змін. Результати наших досліджень показали, що даний показник у гомогенаті шкіри пацієнтів, яким під час оперативного втручання введено PRF-згусток, через 3 місяці спостереження був достовірно меншим на 14,8 %, через 9 місяців – на 10,2 %, стосовно даних третьої групи (табл. 5.9). У пацієнтів першої і третьої груп через 6 та 12 місяців даний показник достовірно не відрізнявся.</w:t>
      </w:r>
    </w:p>
    <w:p w:rsidR="00E6030B" w:rsidRPr="00CA099F" w:rsidRDefault="00E6030B" w:rsidP="00E6030B">
      <w:pPr>
        <w:spacing w:after="0" w:line="360" w:lineRule="auto"/>
        <w:jc w:val="both"/>
        <w:rPr>
          <w:rFonts w:eastAsia="Times New Roman" w:cs="Times New Roman"/>
          <w:color w:val="000000"/>
          <w:sz w:val="28"/>
          <w:szCs w:val="28"/>
        </w:rPr>
      </w:pPr>
      <w:r>
        <w:rPr>
          <w:rFonts w:eastAsia="Times New Roman" w:cs="Times New Roman"/>
          <w:sz w:val="28"/>
          <w:szCs w:val="28"/>
        </w:rPr>
        <w:tab/>
      </w:r>
      <w:r w:rsidRPr="00CA099F">
        <w:rPr>
          <w:rFonts w:eastAsia="Times New Roman" w:cs="Times New Roman"/>
          <w:sz w:val="28"/>
          <w:szCs w:val="28"/>
        </w:rPr>
        <w:t>Слід зазначити, що рівень досліджуваного показника змінювався впродовж терміну спостереження. Так, у пацієнтів, яким під час оперативного втручання введено PRF-згусток, через 6 місяців активність еластази була на 19,4 % (</w:t>
      </w:r>
      <w:r w:rsidRPr="00CA099F">
        <w:rPr>
          <w:rFonts w:eastAsia="Times New Roman" w:cs="Times New Roman"/>
          <w:color w:val="000000"/>
          <w:sz w:val="28"/>
          <w:szCs w:val="28"/>
        </w:rPr>
        <w:t xml:space="preserve">р&lt;0,001) </w:t>
      </w:r>
      <w:r w:rsidRPr="00CA099F">
        <w:rPr>
          <w:rFonts w:eastAsia="Times New Roman" w:cs="Times New Roman"/>
          <w:sz w:val="28"/>
          <w:szCs w:val="28"/>
        </w:rPr>
        <w:t>нижчою, стосовно даних попереднього терміну спостереження, через 9 – на 14,0 % (</w:t>
      </w:r>
      <w:r w:rsidRPr="00CA099F">
        <w:rPr>
          <w:rFonts w:eastAsia="Times New Roman" w:cs="Times New Roman"/>
          <w:color w:val="000000"/>
          <w:sz w:val="28"/>
          <w:szCs w:val="28"/>
        </w:rPr>
        <w:t xml:space="preserve">р&lt;0,001), через 12 </w:t>
      </w:r>
      <w:r>
        <w:rPr>
          <w:rFonts w:eastAsia="Times New Roman" w:cs="Times New Roman"/>
          <w:sz w:val="28"/>
          <w:szCs w:val="28"/>
        </w:rPr>
        <w:t>– на 10,2</w:t>
      </w:r>
      <w:r>
        <w:rPr>
          <w:rFonts w:eastAsia="Times New Roman" w:cs="Times New Roman"/>
          <w:sz w:val="28"/>
          <w:szCs w:val="28"/>
          <w:lang w:val="ru-RU"/>
        </w:rPr>
        <w:t> </w:t>
      </w:r>
      <w:r w:rsidRPr="00CA099F">
        <w:rPr>
          <w:rFonts w:eastAsia="Times New Roman" w:cs="Times New Roman"/>
          <w:sz w:val="28"/>
          <w:szCs w:val="28"/>
        </w:rPr>
        <w:t>% (</w:t>
      </w:r>
      <w:r w:rsidRPr="00CA099F">
        <w:rPr>
          <w:rFonts w:eastAsia="Times New Roman" w:cs="Times New Roman"/>
          <w:color w:val="000000"/>
          <w:sz w:val="28"/>
          <w:szCs w:val="28"/>
        </w:rPr>
        <w:t xml:space="preserve">р&lt;0,02). </w:t>
      </w:r>
    </w:p>
    <w:p w:rsidR="00E6030B" w:rsidRPr="00CA099F" w:rsidRDefault="00E6030B" w:rsidP="00E6030B">
      <w:pPr>
        <w:spacing w:after="0" w:line="360" w:lineRule="auto"/>
        <w:jc w:val="both"/>
        <w:rPr>
          <w:rFonts w:eastAsia="Times New Roman" w:cs="Times New Roman"/>
          <w:color w:val="000000"/>
          <w:sz w:val="28"/>
          <w:szCs w:val="28"/>
        </w:rPr>
      </w:pPr>
      <w:r>
        <w:rPr>
          <w:rFonts w:eastAsia="Times New Roman" w:cs="Times New Roman"/>
          <w:sz w:val="28"/>
          <w:szCs w:val="28"/>
        </w:rPr>
        <w:tab/>
      </w:r>
      <w:r w:rsidRPr="00CA099F">
        <w:rPr>
          <w:rFonts w:eastAsia="Times New Roman" w:cs="Times New Roman"/>
          <w:sz w:val="28"/>
          <w:szCs w:val="28"/>
        </w:rPr>
        <w:t xml:space="preserve">Щодо пацієнтів, яким під час оперативного втручання введено PRF-згусток, а на післяопераційному етапі було застосовано </w:t>
      </w:r>
      <w:r w:rsidR="009A789C">
        <w:rPr>
          <w:rFonts w:eastAsia="Times New Roman" w:cs="Times New Roman"/>
          <w:sz w:val="28"/>
          <w:szCs w:val="28"/>
        </w:rPr>
        <w:t>церулоплазмін</w:t>
      </w:r>
      <w:r w:rsidRPr="00CA099F">
        <w:rPr>
          <w:rFonts w:eastAsia="Times New Roman" w:cs="Times New Roman"/>
          <w:sz w:val="28"/>
          <w:szCs w:val="28"/>
        </w:rPr>
        <w:t xml:space="preserve">, то активність еластази через 3 місяці спостереження була достовірно меншою на 30,9 %, через 6 місяців – на 28,6 % і через 9 </w:t>
      </w:r>
      <w:r>
        <w:rPr>
          <w:rFonts w:eastAsia="Times New Roman" w:cs="Times New Roman"/>
          <w:sz w:val="28"/>
          <w:szCs w:val="28"/>
        </w:rPr>
        <w:t>– на 12,1</w:t>
      </w:r>
      <w:r>
        <w:rPr>
          <w:rFonts w:eastAsia="Times New Roman" w:cs="Times New Roman"/>
          <w:sz w:val="28"/>
          <w:szCs w:val="28"/>
          <w:lang w:val="ru-RU"/>
        </w:rPr>
        <w:t> </w:t>
      </w:r>
      <w:r w:rsidRPr="00CA099F">
        <w:rPr>
          <w:rFonts w:eastAsia="Times New Roman" w:cs="Times New Roman"/>
          <w:sz w:val="28"/>
          <w:szCs w:val="28"/>
        </w:rPr>
        <w:t xml:space="preserve">%, стосовно даних третьої групи. У пацієнтів другої </w:t>
      </w:r>
      <w:r>
        <w:rPr>
          <w:rFonts w:eastAsia="Times New Roman" w:cs="Times New Roman"/>
          <w:sz w:val="28"/>
          <w:szCs w:val="28"/>
          <w:lang w:val="ru-RU"/>
        </w:rPr>
        <w:t>та</w:t>
      </w:r>
      <w:r w:rsidRPr="00CA099F">
        <w:rPr>
          <w:rFonts w:eastAsia="Times New Roman" w:cs="Times New Roman"/>
          <w:sz w:val="28"/>
          <w:szCs w:val="28"/>
        </w:rPr>
        <w:t xml:space="preserve"> третьої груп через 12 місяців спостереження активність еластази практично не відрізнялася. Слід зазначити, що рівень досліджуваного показника також змінювався впродовж терміну спостереження. Так, у пацієнтів, яким під час оперативного втручання введено PRF-згусток, а на післяопераційному етапі було застосовано препарат </w:t>
      </w:r>
      <w:r w:rsidR="009A789C">
        <w:rPr>
          <w:rFonts w:eastAsia="Times New Roman" w:cs="Times New Roman"/>
          <w:sz w:val="28"/>
          <w:szCs w:val="28"/>
        </w:rPr>
        <w:t>церулоплазмін</w:t>
      </w:r>
      <w:r w:rsidR="009A789C" w:rsidRPr="00CA099F">
        <w:rPr>
          <w:rFonts w:eastAsia="Times New Roman" w:cs="Times New Roman"/>
          <w:sz w:val="28"/>
          <w:szCs w:val="28"/>
        </w:rPr>
        <w:t xml:space="preserve"> </w:t>
      </w:r>
      <w:r w:rsidRPr="00CA099F">
        <w:rPr>
          <w:rFonts w:eastAsia="Times New Roman" w:cs="Times New Roman"/>
          <w:sz w:val="28"/>
          <w:szCs w:val="28"/>
        </w:rPr>
        <w:t>через 6 місяців активність еластази була на 21,0 % (</w:t>
      </w:r>
      <w:r w:rsidRPr="00CA099F">
        <w:rPr>
          <w:rFonts w:eastAsia="Times New Roman" w:cs="Times New Roman"/>
          <w:color w:val="000000"/>
          <w:sz w:val="28"/>
          <w:szCs w:val="28"/>
        </w:rPr>
        <w:t xml:space="preserve">р&lt;0,001) </w:t>
      </w:r>
      <w:r w:rsidRPr="00CA099F">
        <w:rPr>
          <w:rFonts w:eastAsia="Times New Roman" w:cs="Times New Roman"/>
          <w:sz w:val="28"/>
          <w:szCs w:val="28"/>
        </w:rPr>
        <w:t>нижчою, стосовно даних попереднього терміну спостереження</w:t>
      </w:r>
      <w:r w:rsidRPr="00CA099F">
        <w:rPr>
          <w:rFonts w:eastAsia="Times New Roman" w:cs="Times New Roman"/>
          <w:color w:val="000000"/>
          <w:sz w:val="28"/>
          <w:szCs w:val="28"/>
        </w:rPr>
        <w:t xml:space="preserve">. </w:t>
      </w:r>
    </w:p>
    <w:p w:rsidR="0030517B" w:rsidRPr="00CA099F" w:rsidRDefault="0030517B" w:rsidP="0030517B">
      <w:pPr>
        <w:spacing w:after="0" w:line="360" w:lineRule="auto"/>
        <w:jc w:val="right"/>
        <w:rPr>
          <w:rFonts w:eastAsia="Times New Roman" w:cs="Times New Roman"/>
          <w:i/>
          <w:sz w:val="28"/>
          <w:szCs w:val="28"/>
        </w:rPr>
      </w:pPr>
      <w:r w:rsidRPr="00CA099F">
        <w:rPr>
          <w:rFonts w:eastAsia="Times New Roman" w:cs="Times New Roman"/>
          <w:i/>
          <w:sz w:val="28"/>
          <w:szCs w:val="28"/>
        </w:rPr>
        <w:lastRenderedPageBreak/>
        <w:t>Таблиця 5.9.</w:t>
      </w:r>
    </w:p>
    <w:p w:rsidR="0030517B" w:rsidRPr="00CA099F" w:rsidRDefault="0030517B" w:rsidP="0030517B">
      <w:pPr>
        <w:spacing w:after="0" w:line="360" w:lineRule="auto"/>
        <w:jc w:val="center"/>
        <w:rPr>
          <w:rFonts w:eastAsia="Times New Roman" w:cs="Times New Roman"/>
          <w:sz w:val="28"/>
          <w:szCs w:val="28"/>
        </w:rPr>
      </w:pPr>
      <w:r w:rsidRPr="00CA099F">
        <w:rPr>
          <w:rFonts w:eastAsia="Times New Roman" w:cs="Times New Roman"/>
          <w:sz w:val="28"/>
          <w:szCs w:val="28"/>
        </w:rPr>
        <w:t>Показники запалення, мікробного обсіменіння та неспецифічного імунітету у гомогенаті шкіри за умови використання PRF-згустка</w:t>
      </w:r>
    </w:p>
    <w:tbl>
      <w:tblPr>
        <w:tblW w:w="5092"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52"/>
        <w:gridCol w:w="883"/>
        <w:gridCol w:w="1054"/>
        <w:gridCol w:w="879"/>
        <w:gridCol w:w="1188"/>
        <w:gridCol w:w="921"/>
        <w:gridCol w:w="1264"/>
        <w:gridCol w:w="1093"/>
        <w:gridCol w:w="1083"/>
      </w:tblGrid>
      <w:tr w:rsidR="0030517B" w:rsidRPr="00CA099F" w:rsidTr="00E1448E">
        <w:tc>
          <w:tcPr>
            <w:tcW w:w="605" w:type="pct"/>
            <w:vMerge w:val="restart"/>
            <w:vAlign w:val="center"/>
          </w:tcPr>
          <w:p w:rsidR="0030517B" w:rsidRPr="00CA099F" w:rsidRDefault="0030517B" w:rsidP="00E1448E">
            <w:pPr>
              <w:spacing w:after="0" w:line="240" w:lineRule="auto"/>
              <w:ind w:right="-90"/>
              <w:jc w:val="center"/>
              <w:rPr>
                <w:rFonts w:eastAsia="Times New Roman" w:cs="Times New Roman"/>
                <w:sz w:val="20"/>
                <w:szCs w:val="20"/>
              </w:rPr>
            </w:pPr>
            <w:r w:rsidRPr="00CA099F">
              <w:rPr>
                <w:rFonts w:eastAsia="Times New Roman" w:cs="Times New Roman"/>
                <w:sz w:val="20"/>
                <w:szCs w:val="20"/>
              </w:rPr>
              <w:t>Показник</w:t>
            </w:r>
          </w:p>
        </w:tc>
        <w:tc>
          <w:tcPr>
            <w:tcW w:w="1018" w:type="pct"/>
            <w:gridSpan w:val="2"/>
          </w:tcPr>
          <w:p w:rsidR="0030517B" w:rsidRPr="00CA099F" w:rsidRDefault="0030517B" w:rsidP="00E1448E">
            <w:pPr>
              <w:spacing w:after="0" w:line="240" w:lineRule="auto"/>
              <w:jc w:val="center"/>
              <w:rPr>
                <w:rFonts w:eastAsia="Times New Roman" w:cs="Times New Roman"/>
                <w:szCs w:val="28"/>
              </w:rPr>
            </w:pPr>
            <w:r w:rsidRPr="00CA099F">
              <w:rPr>
                <w:rFonts w:eastAsia="Times New Roman" w:cs="Times New Roman"/>
                <w:sz w:val="28"/>
                <w:szCs w:val="28"/>
              </w:rPr>
              <w:t>3 місяці</w:t>
            </w:r>
          </w:p>
        </w:tc>
        <w:tc>
          <w:tcPr>
            <w:tcW w:w="1086" w:type="pct"/>
            <w:gridSpan w:val="2"/>
          </w:tcPr>
          <w:p w:rsidR="0030517B" w:rsidRPr="00CA099F" w:rsidRDefault="0030517B" w:rsidP="00E1448E">
            <w:pPr>
              <w:spacing w:after="0" w:line="240" w:lineRule="auto"/>
              <w:jc w:val="center"/>
              <w:rPr>
                <w:rFonts w:eastAsia="Times New Roman" w:cs="Times New Roman"/>
                <w:szCs w:val="28"/>
              </w:rPr>
            </w:pPr>
            <w:r w:rsidRPr="00CA099F">
              <w:rPr>
                <w:rFonts w:eastAsia="Times New Roman" w:cs="Times New Roman"/>
                <w:sz w:val="28"/>
                <w:szCs w:val="28"/>
              </w:rPr>
              <w:t>6 місяців</w:t>
            </w:r>
          </w:p>
        </w:tc>
        <w:tc>
          <w:tcPr>
            <w:tcW w:w="1147" w:type="pct"/>
            <w:gridSpan w:val="2"/>
          </w:tcPr>
          <w:p w:rsidR="0030517B" w:rsidRPr="00CA099F" w:rsidRDefault="0030517B" w:rsidP="00E1448E">
            <w:pPr>
              <w:spacing w:after="0" w:line="240" w:lineRule="auto"/>
              <w:jc w:val="center"/>
              <w:rPr>
                <w:rFonts w:eastAsia="Times New Roman" w:cs="Times New Roman"/>
                <w:szCs w:val="28"/>
              </w:rPr>
            </w:pPr>
            <w:r w:rsidRPr="00CA099F">
              <w:rPr>
                <w:rFonts w:eastAsia="Times New Roman" w:cs="Times New Roman"/>
                <w:sz w:val="28"/>
                <w:szCs w:val="28"/>
              </w:rPr>
              <w:t>9 місяців</w:t>
            </w:r>
          </w:p>
        </w:tc>
        <w:tc>
          <w:tcPr>
            <w:tcW w:w="1143" w:type="pct"/>
            <w:gridSpan w:val="2"/>
          </w:tcPr>
          <w:p w:rsidR="0030517B" w:rsidRPr="00CA099F" w:rsidRDefault="0030517B" w:rsidP="00E1448E">
            <w:pPr>
              <w:spacing w:after="0" w:line="240" w:lineRule="auto"/>
              <w:jc w:val="center"/>
              <w:rPr>
                <w:rFonts w:eastAsia="Times New Roman" w:cs="Times New Roman"/>
                <w:szCs w:val="28"/>
              </w:rPr>
            </w:pPr>
            <w:r w:rsidRPr="00CA099F">
              <w:rPr>
                <w:rFonts w:eastAsia="Times New Roman" w:cs="Times New Roman"/>
                <w:sz w:val="28"/>
                <w:szCs w:val="28"/>
              </w:rPr>
              <w:t>12 місяців</w:t>
            </w:r>
          </w:p>
        </w:tc>
      </w:tr>
      <w:tr w:rsidR="0030517B" w:rsidRPr="00CA099F" w:rsidTr="00E1448E">
        <w:tc>
          <w:tcPr>
            <w:tcW w:w="605" w:type="pct"/>
            <w:vMerge/>
          </w:tcPr>
          <w:p w:rsidR="0030517B" w:rsidRPr="00CA099F" w:rsidRDefault="0030517B" w:rsidP="00E1448E">
            <w:pPr>
              <w:spacing w:after="0" w:line="240" w:lineRule="auto"/>
              <w:ind w:right="-90"/>
              <w:jc w:val="center"/>
              <w:rPr>
                <w:rFonts w:eastAsia="Times New Roman" w:cs="Times New Roman"/>
                <w:szCs w:val="28"/>
              </w:rPr>
            </w:pPr>
          </w:p>
        </w:tc>
        <w:tc>
          <w:tcPr>
            <w:tcW w:w="464" w:type="pct"/>
          </w:tcPr>
          <w:p w:rsidR="00E61D0F" w:rsidRDefault="0030517B" w:rsidP="00E1448E">
            <w:pPr>
              <w:spacing w:after="0" w:line="240" w:lineRule="auto"/>
              <w:ind w:right="-87"/>
              <w:jc w:val="center"/>
              <w:rPr>
                <w:rFonts w:eastAsia="Times New Roman" w:cs="Times New Roman"/>
                <w:sz w:val="20"/>
                <w:szCs w:val="20"/>
              </w:rPr>
            </w:pPr>
            <w:r w:rsidRPr="00CA099F">
              <w:rPr>
                <w:rFonts w:eastAsia="Times New Roman" w:cs="Times New Roman"/>
                <w:sz w:val="20"/>
                <w:szCs w:val="20"/>
              </w:rPr>
              <w:t>Група контролю</w:t>
            </w:r>
          </w:p>
          <w:p w:rsidR="0030517B" w:rsidRPr="00CA099F" w:rsidRDefault="00E61D0F" w:rsidP="00E1448E">
            <w:pPr>
              <w:spacing w:after="0" w:line="240" w:lineRule="auto"/>
              <w:ind w:right="-87"/>
              <w:jc w:val="center"/>
              <w:rPr>
                <w:rFonts w:eastAsia="Times New Roman" w:cs="Times New Roman"/>
                <w:sz w:val="20"/>
                <w:szCs w:val="20"/>
              </w:rPr>
            </w:pPr>
            <w:r>
              <w:rPr>
                <w:rFonts w:eastAsia="Times New Roman" w:cs="Times New Roman"/>
                <w:szCs w:val="24"/>
              </w:rPr>
              <w:t>(</w:t>
            </w:r>
            <w:r>
              <w:rPr>
                <w:rFonts w:eastAsia="Times New Roman" w:cs="Times New Roman"/>
                <w:szCs w:val="24"/>
                <w:lang w:val="en-US"/>
              </w:rPr>
              <w:t>n=20</w:t>
            </w:r>
            <w:r>
              <w:rPr>
                <w:rFonts w:eastAsia="Times New Roman" w:cs="Times New Roman"/>
                <w:szCs w:val="24"/>
              </w:rPr>
              <w:t>)</w:t>
            </w:r>
            <w:r>
              <w:rPr>
                <w:rFonts w:eastAsia="Times New Roman" w:cs="Times New Roman"/>
                <w:sz w:val="20"/>
                <w:szCs w:val="20"/>
              </w:rPr>
              <w:t xml:space="preserve"> </w:t>
            </w:r>
          </w:p>
        </w:tc>
        <w:tc>
          <w:tcPr>
            <w:tcW w:w="554" w:type="pct"/>
          </w:tcPr>
          <w:p w:rsidR="0030517B" w:rsidRDefault="0030517B" w:rsidP="00E1448E">
            <w:pPr>
              <w:spacing w:after="0" w:line="240" w:lineRule="auto"/>
              <w:ind w:right="-87"/>
              <w:jc w:val="center"/>
              <w:rPr>
                <w:rFonts w:eastAsia="Times New Roman" w:cs="Times New Roman"/>
                <w:sz w:val="20"/>
                <w:szCs w:val="20"/>
              </w:rPr>
            </w:pPr>
            <w:r w:rsidRPr="00CA099F">
              <w:rPr>
                <w:rFonts w:eastAsia="Times New Roman" w:cs="Times New Roman"/>
                <w:sz w:val="20"/>
                <w:szCs w:val="20"/>
              </w:rPr>
              <w:t>1 група</w:t>
            </w:r>
          </w:p>
          <w:p w:rsidR="00E61D0F" w:rsidRPr="00CA099F" w:rsidRDefault="00E61D0F" w:rsidP="00E1448E">
            <w:pPr>
              <w:spacing w:after="0" w:line="240" w:lineRule="auto"/>
              <w:ind w:right="-87"/>
              <w:jc w:val="center"/>
              <w:rPr>
                <w:rFonts w:eastAsia="Times New Roman" w:cs="Times New Roman"/>
                <w:sz w:val="20"/>
                <w:szCs w:val="20"/>
              </w:rPr>
            </w:pPr>
            <w:r>
              <w:rPr>
                <w:rFonts w:eastAsia="Times New Roman" w:cs="Times New Roman"/>
                <w:szCs w:val="24"/>
              </w:rPr>
              <w:t>(</w:t>
            </w:r>
            <w:r>
              <w:rPr>
                <w:rFonts w:eastAsia="Times New Roman" w:cs="Times New Roman"/>
                <w:szCs w:val="24"/>
                <w:lang w:val="en-US"/>
              </w:rPr>
              <w:t>n=20</w:t>
            </w:r>
            <w:r>
              <w:rPr>
                <w:rFonts w:eastAsia="Times New Roman" w:cs="Times New Roman"/>
                <w:szCs w:val="24"/>
              </w:rPr>
              <w:t>)</w:t>
            </w:r>
          </w:p>
        </w:tc>
        <w:tc>
          <w:tcPr>
            <w:tcW w:w="462" w:type="pct"/>
          </w:tcPr>
          <w:p w:rsidR="0030517B" w:rsidRPr="00CA099F" w:rsidRDefault="0030517B" w:rsidP="00E1448E">
            <w:pPr>
              <w:spacing w:after="0" w:line="240" w:lineRule="auto"/>
              <w:ind w:right="-87"/>
              <w:jc w:val="center"/>
              <w:rPr>
                <w:rFonts w:eastAsia="Times New Roman" w:cs="Times New Roman"/>
                <w:sz w:val="20"/>
                <w:szCs w:val="20"/>
              </w:rPr>
            </w:pPr>
            <w:r w:rsidRPr="00CA099F">
              <w:rPr>
                <w:rFonts w:eastAsia="Times New Roman" w:cs="Times New Roman"/>
                <w:sz w:val="20"/>
                <w:szCs w:val="20"/>
              </w:rPr>
              <w:t>Група контролю</w:t>
            </w:r>
            <w:r w:rsidR="00E61D0F">
              <w:rPr>
                <w:rFonts w:eastAsia="Times New Roman" w:cs="Times New Roman"/>
                <w:sz w:val="20"/>
                <w:szCs w:val="20"/>
              </w:rPr>
              <w:t xml:space="preserve"> </w:t>
            </w:r>
            <w:r w:rsidR="00E61D0F">
              <w:rPr>
                <w:rFonts w:eastAsia="Times New Roman" w:cs="Times New Roman"/>
                <w:szCs w:val="24"/>
              </w:rPr>
              <w:t>(</w:t>
            </w:r>
            <w:r w:rsidR="00E61D0F">
              <w:rPr>
                <w:rFonts w:eastAsia="Times New Roman" w:cs="Times New Roman"/>
                <w:szCs w:val="24"/>
                <w:lang w:val="en-US"/>
              </w:rPr>
              <w:t>n=20</w:t>
            </w:r>
            <w:r w:rsidR="00E61D0F">
              <w:rPr>
                <w:rFonts w:eastAsia="Times New Roman" w:cs="Times New Roman"/>
                <w:szCs w:val="24"/>
              </w:rPr>
              <w:t>)</w:t>
            </w:r>
          </w:p>
        </w:tc>
        <w:tc>
          <w:tcPr>
            <w:tcW w:w="624" w:type="pct"/>
          </w:tcPr>
          <w:p w:rsidR="0030517B" w:rsidRDefault="0030517B" w:rsidP="00E1448E">
            <w:pPr>
              <w:spacing w:after="0" w:line="240" w:lineRule="auto"/>
              <w:ind w:right="-87"/>
              <w:jc w:val="center"/>
              <w:rPr>
                <w:rFonts w:eastAsia="Times New Roman" w:cs="Times New Roman"/>
                <w:sz w:val="20"/>
                <w:szCs w:val="20"/>
              </w:rPr>
            </w:pPr>
            <w:r w:rsidRPr="00CA099F">
              <w:rPr>
                <w:rFonts w:eastAsia="Times New Roman" w:cs="Times New Roman"/>
                <w:sz w:val="20"/>
                <w:szCs w:val="20"/>
              </w:rPr>
              <w:t>1 група</w:t>
            </w:r>
          </w:p>
          <w:p w:rsidR="00E61D0F" w:rsidRPr="00CA099F" w:rsidRDefault="00E61D0F" w:rsidP="00E1448E">
            <w:pPr>
              <w:spacing w:after="0" w:line="240" w:lineRule="auto"/>
              <w:ind w:right="-87"/>
              <w:jc w:val="center"/>
              <w:rPr>
                <w:rFonts w:eastAsia="Times New Roman" w:cs="Times New Roman"/>
                <w:sz w:val="20"/>
                <w:szCs w:val="20"/>
              </w:rPr>
            </w:pPr>
            <w:r>
              <w:rPr>
                <w:rFonts w:eastAsia="Times New Roman" w:cs="Times New Roman"/>
                <w:szCs w:val="24"/>
              </w:rPr>
              <w:t>(</w:t>
            </w:r>
            <w:r>
              <w:rPr>
                <w:rFonts w:eastAsia="Times New Roman" w:cs="Times New Roman"/>
                <w:szCs w:val="24"/>
                <w:lang w:val="en-US"/>
              </w:rPr>
              <w:t>n=20</w:t>
            </w:r>
            <w:r>
              <w:rPr>
                <w:rFonts w:eastAsia="Times New Roman" w:cs="Times New Roman"/>
                <w:szCs w:val="24"/>
              </w:rPr>
              <w:t>)</w:t>
            </w:r>
          </w:p>
        </w:tc>
        <w:tc>
          <w:tcPr>
            <w:tcW w:w="484" w:type="pct"/>
          </w:tcPr>
          <w:p w:rsidR="0030517B" w:rsidRPr="00CA099F" w:rsidRDefault="0030517B" w:rsidP="00E1448E">
            <w:pPr>
              <w:spacing w:after="0" w:line="240" w:lineRule="auto"/>
              <w:ind w:right="-87"/>
              <w:jc w:val="center"/>
              <w:rPr>
                <w:rFonts w:eastAsia="Times New Roman" w:cs="Times New Roman"/>
                <w:sz w:val="20"/>
                <w:szCs w:val="20"/>
              </w:rPr>
            </w:pPr>
            <w:r w:rsidRPr="00CA099F">
              <w:rPr>
                <w:rFonts w:eastAsia="Times New Roman" w:cs="Times New Roman"/>
                <w:sz w:val="20"/>
                <w:szCs w:val="20"/>
              </w:rPr>
              <w:t>Група контролю</w:t>
            </w:r>
            <w:r w:rsidR="00E61D0F">
              <w:rPr>
                <w:rFonts w:eastAsia="Times New Roman" w:cs="Times New Roman"/>
                <w:sz w:val="20"/>
                <w:szCs w:val="20"/>
              </w:rPr>
              <w:t xml:space="preserve"> </w:t>
            </w:r>
            <w:r w:rsidR="00E61D0F">
              <w:rPr>
                <w:rFonts w:eastAsia="Times New Roman" w:cs="Times New Roman"/>
                <w:szCs w:val="24"/>
              </w:rPr>
              <w:t>(</w:t>
            </w:r>
            <w:r w:rsidR="00E61D0F">
              <w:rPr>
                <w:rFonts w:eastAsia="Times New Roman" w:cs="Times New Roman"/>
                <w:szCs w:val="24"/>
                <w:lang w:val="en-US"/>
              </w:rPr>
              <w:t>n=20</w:t>
            </w:r>
            <w:r w:rsidR="00E61D0F">
              <w:rPr>
                <w:rFonts w:eastAsia="Times New Roman" w:cs="Times New Roman"/>
                <w:szCs w:val="24"/>
              </w:rPr>
              <w:t>)</w:t>
            </w:r>
          </w:p>
        </w:tc>
        <w:tc>
          <w:tcPr>
            <w:tcW w:w="664" w:type="pct"/>
          </w:tcPr>
          <w:p w:rsidR="0030517B" w:rsidRDefault="0030517B" w:rsidP="00E1448E">
            <w:pPr>
              <w:spacing w:after="0" w:line="240" w:lineRule="auto"/>
              <w:ind w:right="-87"/>
              <w:jc w:val="center"/>
              <w:rPr>
                <w:rFonts w:eastAsia="Times New Roman" w:cs="Times New Roman"/>
                <w:sz w:val="20"/>
                <w:szCs w:val="20"/>
              </w:rPr>
            </w:pPr>
            <w:r w:rsidRPr="00CA099F">
              <w:rPr>
                <w:rFonts w:eastAsia="Times New Roman" w:cs="Times New Roman"/>
                <w:sz w:val="20"/>
                <w:szCs w:val="20"/>
              </w:rPr>
              <w:t>1 група</w:t>
            </w:r>
          </w:p>
          <w:p w:rsidR="00E61D0F" w:rsidRPr="00CA099F" w:rsidRDefault="00E61D0F" w:rsidP="00E1448E">
            <w:pPr>
              <w:spacing w:after="0" w:line="240" w:lineRule="auto"/>
              <w:ind w:right="-87"/>
              <w:jc w:val="center"/>
              <w:rPr>
                <w:rFonts w:eastAsia="Times New Roman" w:cs="Times New Roman"/>
                <w:sz w:val="20"/>
                <w:szCs w:val="20"/>
              </w:rPr>
            </w:pPr>
            <w:r>
              <w:rPr>
                <w:rFonts w:eastAsia="Times New Roman" w:cs="Times New Roman"/>
                <w:szCs w:val="24"/>
              </w:rPr>
              <w:t>(</w:t>
            </w:r>
            <w:r>
              <w:rPr>
                <w:rFonts w:eastAsia="Times New Roman" w:cs="Times New Roman"/>
                <w:szCs w:val="24"/>
                <w:lang w:val="en-US"/>
              </w:rPr>
              <w:t>n=20</w:t>
            </w:r>
            <w:r>
              <w:rPr>
                <w:rFonts w:eastAsia="Times New Roman" w:cs="Times New Roman"/>
                <w:szCs w:val="24"/>
              </w:rPr>
              <w:t>)</w:t>
            </w:r>
          </w:p>
        </w:tc>
        <w:tc>
          <w:tcPr>
            <w:tcW w:w="574" w:type="pct"/>
          </w:tcPr>
          <w:p w:rsidR="0030517B" w:rsidRDefault="0030517B" w:rsidP="00E1448E">
            <w:pPr>
              <w:spacing w:after="0" w:line="240" w:lineRule="auto"/>
              <w:ind w:right="-87"/>
              <w:jc w:val="center"/>
              <w:rPr>
                <w:rFonts w:eastAsia="Times New Roman" w:cs="Times New Roman"/>
                <w:sz w:val="20"/>
                <w:szCs w:val="20"/>
              </w:rPr>
            </w:pPr>
            <w:r w:rsidRPr="00CA099F">
              <w:rPr>
                <w:rFonts w:eastAsia="Times New Roman" w:cs="Times New Roman"/>
                <w:sz w:val="20"/>
                <w:szCs w:val="20"/>
              </w:rPr>
              <w:t>Група контролю</w:t>
            </w:r>
          </w:p>
          <w:p w:rsidR="00E61D0F" w:rsidRPr="00CA099F" w:rsidRDefault="00E61D0F" w:rsidP="00E1448E">
            <w:pPr>
              <w:spacing w:after="0" w:line="240" w:lineRule="auto"/>
              <w:ind w:right="-87"/>
              <w:jc w:val="center"/>
              <w:rPr>
                <w:rFonts w:eastAsia="Times New Roman" w:cs="Times New Roman"/>
                <w:sz w:val="20"/>
                <w:szCs w:val="20"/>
              </w:rPr>
            </w:pPr>
            <w:r>
              <w:rPr>
                <w:rFonts w:eastAsia="Times New Roman" w:cs="Times New Roman"/>
                <w:szCs w:val="24"/>
              </w:rPr>
              <w:t>(</w:t>
            </w:r>
            <w:r>
              <w:rPr>
                <w:rFonts w:eastAsia="Times New Roman" w:cs="Times New Roman"/>
                <w:szCs w:val="24"/>
                <w:lang w:val="en-US"/>
              </w:rPr>
              <w:t>n=20</w:t>
            </w:r>
            <w:r>
              <w:rPr>
                <w:rFonts w:eastAsia="Times New Roman" w:cs="Times New Roman"/>
                <w:szCs w:val="24"/>
              </w:rPr>
              <w:t>)</w:t>
            </w:r>
          </w:p>
        </w:tc>
        <w:tc>
          <w:tcPr>
            <w:tcW w:w="569" w:type="pct"/>
          </w:tcPr>
          <w:p w:rsidR="0030517B" w:rsidRDefault="0030517B" w:rsidP="00E1448E">
            <w:pPr>
              <w:spacing w:after="0" w:line="240" w:lineRule="auto"/>
              <w:ind w:right="-87"/>
              <w:jc w:val="center"/>
              <w:rPr>
                <w:rFonts w:eastAsia="Times New Roman" w:cs="Times New Roman"/>
                <w:sz w:val="20"/>
                <w:szCs w:val="20"/>
              </w:rPr>
            </w:pPr>
            <w:r w:rsidRPr="00CA099F">
              <w:rPr>
                <w:rFonts w:eastAsia="Times New Roman" w:cs="Times New Roman"/>
                <w:sz w:val="20"/>
                <w:szCs w:val="20"/>
              </w:rPr>
              <w:t>1 група</w:t>
            </w:r>
          </w:p>
          <w:p w:rsidR="00E61D0F" w:rsidRPr="00CA099F" w:rsidRDefault="00E61D0F" w:rsidP="00E1448E">
            <w:pPr>
              <w:spacing w:after="0" w:line="240" w:lineRule="auto"/>
              <w:ind w:right="-87"/>
              <w:jc w:val="center"/>
              <w:rPr>
                <w:rFonts w:eastAsia="Times New Roman" w:cs="Times New Roman"/>
                <w:sz w:val="20"/>
                <w:szCs w:val="20"/>
              </w:rPr>
            </w:pPr>
            <w:r>
              <w:rPr>
                <w:rFonts w:eastAsia="Times New Roman" w:cs="Times New Roman"/>
                <w:szCs w:val="24"/>
              </w:rPr>
              <w:t>(</w:t>
            </w:r>
            <w:r>
              <w:rPr>
                <w:rFonts w:eastAsia="Times New Roman" w:cs="Times New Roman"/>
                <w:szCs w:val="24"/>
                <w:lang w:val="en-US"/>
              </w:rPr>
              <w:t>n=20</w:t>
            </w:r>
            <w:r>
              <w:rPr>
                <w:rFonts w:eastAsia="Times New Roman" w:cs="Times New Roman"/>
                <w:szCs w:val="24"/>
              </w:rPr>
              <w:t>)</w:t>
            </w:r>
          </w:p>
        </w:tc>
      </w:tr>
      <w:tr w:rsidR="0030517B" w:rsidRPr="00CA099F" w:rsidTr="00E1448E">
        <w:tc>
          <w:tcPr>
            <w:tcW w:w="605" w:type="pct"/>
          </w:tcPr>
          <w:p w:rsidR="0030517B" w:rsidRPr="00CA099F" w:rsidRDefault="0030517B" w:rsidP="00E1448E">
            <w:pPr>
              <w:spacing w:after="0" w:line="240" w:lineRule="auto"/>
              <w:ind w:right="-90"/>
              <w:jc w:val="center"/>
              <w:rPr>
                <w:rFonts w:eastAsia="Times New Roman" w:cs="Times New Roman"/>
                <w:szCs w:val="28"/>
              </w:rPr>
            </w:pPr>
            <w:r w:rsidRPr="00CA099F">
              <w:rPr>
                <w:rFonts w:eastAsia="Times New Roman" w:cs="Times New Roman"/>
                <w:sz w:val="28"/>
                <w:szCs w:val="28"/>
              </w:rPr>
              <w:t>Еластаза, мккат/кг</w:t>
            </w:r>
          </w:p>
        </w:tc>
        <w:tc>
          <w:tcPr>
            <w:tcW w:w="464" w:type="pct"/>
          </w:tcPr>
          <w:p w:rsidR="0030517B" w:rsidRPr="00CA099F" w:rsidRDefault="0030517B" w:rsidP="00E1448E">
            <w:pPr>
              <w:spacing w:after="0" w:line="240" w:lineRule="auto"/>
              <w:jc w:val="center"/>
              <w:rPr>
                <w:rFonts w:eastAsia="Times New Roman" w:cs="Times New Roman"/>
                <w:szCs w:val="28"/>
              </w:rPr>
            </w:pPr>
            <w:r w:rsidRPr="00CA099F">
              <w:rPr>
                <w:rFonts w:eastAsia="Times New Roman" w:cs="Times New Roman"/>
                <w:sz w:val="28"/>
                <w:szCs w:val="28"/>
              </w:rPr>
              <w:t>15,94±0,54</w:t>
            </w:r>
          </w:p>
        </w:tc>
        <w:tc>
          <w:tcPr>
            <w:tcW w:w="554" w:type="pct"/>
          </w:tcPr>
          <w:p w:rsidR="0030517B" w:rsidRPr="00CA099F" w:rsidRDefault="0030517B" w:rsidP="00E1448E">
            <w:pPr>
              <w:spacing w:after="0" w:line="240" w:lineRule="auto"/>
              <w:jc w:val="center"/>
              <w:rPr>
                <w:rFonts w:eastAsia="Times New Roman" w:cs="Times New Roman"/>
                <w:szCs w:val="28"/>
              </w:rPr>
            </w:pPr>
            <w:r w:rsidRPr="00CA099F">
              <w:rPr>
                <w:rFonts w:eastAsia="Times New Roman" w:cs="Times New Roman"/>
                <w:sz w:val="28"/>
                <w:szCs w:val="28"/>
              </w:rPr>
              <w:t>13,58±3,54*</w:t>
            </w:r>
          </w:p>
        </w:tc>
        <w:tc>
          <w:tcPr>
            <w:tcW w:w="462" w:type="pct"/>
          </w:tcPr>
          <w:p w:rsidR="0030517B" w:rsidRPr="00CA099F" w:rsidRDefault="0030517B" w:rsidP="00E1448E">
            <w:pPr>
              <w:spacing w:after="0" w:line="240" w:lineRule="auto"/>
              <w:jc w:val="center"/>
              <w:rPr>
                <w:rFonts w:eastAsia="Times New Roman" w:cs="Times New Roman"/>
                <w:szCs w:val="28"/>
              </w:rPr>
            </w:pPr>
            <w:r w:rsidRPr="00CA099F">
              <w:rPr>
                <w:rFonts w:eastAsia="Times New Roman" w:cs="Times New Roman"/>
                <w:sz w:val="28"/>
                <w:szCs w:val="28"/>
              </w:rPr>
              <w:t>12,19±0,41</w:t>
            </w:r>
          </w:p>
        </w:tc>
        <w:tc>
          <w:tcPr>
            <w:tcW w:w="624" w:type="pct"/>
          </w:tcPr>
          <w:p w:rsidR="0030517B" w:rsidRPr="00CA099F" w:rsidRDefault="0030517B" w:rsidP="00E1448E">
            <w:pPr>
              <w:spacing w:after="0" w:line="240" w:lineRule="auto"/>
              <w:jc w:val="center"/>
              <w:rPr>
                <w:rFonts w:eastAsia="Times New Roman" w:cs="Times New Roman"/>
                <w:szCs w:val="28"/>
              </w:rPr>
            </w:pPr>
            <w:r w:rsidRPr="00CA099F">
              <w:rPr>
                <w:rFonts w:eastAsia="Times New Roman" w:cs="Times New Roman"/>
                <w:sz w:val="28"/>
                <w:szCs w:val="28"/>
              </w:rPr>
              <w:t>10,95±0,30*</w:t>
            </w:r>
          </w:p>
        </w:tc>
        <w:tc>
          <w:tcPr>
            <w:tcW w:w="484" w:type="pct"/>
          </w:tcPr>
          <w:p w:rsidR="0030517B" w:rsidRPr="00CA099F" w:rsidRDefault="0030517B" w:rsidP="00E1448E">
            <w:pPr>
              <w:spacing w:after="0" w:line="240" w:lineRule="auto"/>
              <w:jc w:val="center"/>
              <w:rPr>
                <w:rFonts w:eastAsia="Times New Roman" w:cs="Times New Roman"/>
                <w:szCs w:val="28"/>
              </w:rPr>
            </w:pPr>
            <w:r w:rsidRPr="00CA099F">
              <w:rPr>
                <w:rFonts w:eastAsia="Times New Roman" w:cs="Times New Roman"/>
                <w:sz w:val="28"/>
                <w:szCs w:val="28"/>
              </w:rPr>
              <w:t>9,56±0,36</w:t>
            </w:r>
          </w:p>
        </w:tc>
        <w:tc>
          <w:tcPr>
            <w:tcW w:w="664" w:type="pct"/>
          </w:tcPr>
          <w:p w:rsidR="0030517B" w:rsidRPr="00CA099F" w:rsidRDefault="0030517B" w:rsidP="00E1448E">
            <w:pPr>
              <w:spacing w:after="0" w:line="240" w:lineRule="auto"/>
              <w:jc w:val="center"/>
              <w:rPr>
                <w:rFonts w:eastAsia="Times New Roman" w:cs="Times New Roman"/>
                <w:szCs w:val="28"/>
              </w:rPr>
            </w:pPr>
            <w:r w:rsidRPr="00CA099F">
              <w:rPr>
                <w:rFonts w:eastAsia="Times New Roman" w:cs="Times New Roman"/>
                <w:sz w:val="28"/>
                <w:szCs w:val="28"/>
              </w:rPr>
              <w:t>9,42±</w:t>
            </w:r>
          </w:p>
          <w:p w:rsidR="0030517B" w:rsidRPr="00CA099F" w:rsidRDefault="0030517B" w:rsidP="00E1448E">
            <w:pPr>
              <w:spacing w:after="0" w:line="240" w:lineRule="auto"/>
              <w:jc w:val="center"/>
              <w:rPr>
                <w:rFonts w:eastAsia="Times New Roman" w:cs="Times New Roman"/>
                <w:szCs w:val="28"/>
              </w:rPr>
            </w:pPr>
            <w:r w:rsidRPr="00CA099F">
              <w:rPr>
                <w:rFonts w:eastAsia="Times New Roman" w:cs="Times New Roman"/>
                <w:sz w:val="28"/>
                <w:szCs w:val="28"/>
              </w:rPr>
              <w:t>0,20</w:t>
            </w:r>
          </w:p>
        </w:tc>
        <w:tc>
          <w:tcPr>
            <w:tcW w:w="574" w:type="pct"/>
          </w:tcPr>
          <w:p w:rsidR="0030517B" w:rsidRPr="00CA099F" w:rsidRDefault="0030517B" w:rsidP="00E1448E">
            <w:pPr>
              <w:spacing w:after="0" w:line="240" w:lineRule="auto"/>
              <w:jc w:val="center"/>
              <w:rPr>
                <w:rFonts w:eastAsia="Times New Roman" w:cs="Times New Roman"/>
                <w:szCs w:val="28"/>
              </w:rPr>
            </w:pPr>
            <w:r w:rsidRPr="00CA099F">
              <w:rPr>
                <w:rFonts w:eastAsia="Times New Roman" w:cs="Times New Roman"/>
                <w:sz w:val="28"/>
                <w:szCs w:val="28"/>
              </w:rPr>
              <w:t>8,89±0,24</w:t>
            </w:r>
          </w:p>
        </w:tc>
        <w:tc>
          <w:tcPr>
            <w:tcW w:w="569" w:type="pct"/>
          </w:tcPr>
          <w:p w:rsidR="0030517B" w:rsidRPr="00CA099F" w:rsidRDefault="0030517B" w:rsidP="00E1448E">
            <w:pPr>
              <w:spacing w:after="0" w:line="240" w:lineRule="auto"/>
              <w:jc w:val="center"/>
              <w:rPr>
                <w:rFonts w:eastAsia="Times New Roman" w:cs="Times New Roman"/>
                <w:szCs w:val="28"/>
              </w:rPr>
            </w:pPr>
            <w:r w:rsidRPr="00CA099F">
              <w:rPr>
                <w:rFonts w:eastAsia="Times New Roman" w:cs="Times New Roman"/>
                <w:sz w:val="28"/>
                <w:szCs w:val="28"/>
              </w:rPr>
              <w:t>8,46±0,30</w:t>
            </w:r>
          </w:p>
        </w:tc>
      </w:tr>
      <w:tr w:rsidR="0030517B" w:rsidRPr="00CA099F" w:rsidTr="00E1448E">
        <w:tc>
          <w:tcPr>
            <w:tcW w:w="605" w:type="pct"/>
          </w:tcPr>
          <w:p w:rsidR="0030517B" w:rsidRPr="00CA099F" w:rsidRDefault="0030517B" w:rsidP="00E1448E">
            <w:pPr>
              <w:spacing w:after="0" w:line="240" w:lineRule="auto"/>
              <w:ind w:right="-90"/>
              <w:jc w:val="center"/>
              <w:rPr>
                <w:rFonts w:eastAsia="Times New Roman" w:cs="Times New Roman"/>
                <w:szCs w:val="28"/>
              </w:rPr>
            </w:pPr>
          </w:p>
        </w:tc>
        <w:tc>
          <w:tcPr>
            <w:tcW w:w="464" w:type="pct"/>
          </w:tcPr>
          <w:p w:rsidR="0030517B" w:rsidRPr="00CA099F" w:rsidRDefault="0030517B" w:rsidP="00E1448E">
            <w:pPr>
              <w:spacing w:after="0" w:line="240" w:lineRule="auto"/>
              <w:jc w:val="center"/>
              <w:rPr>
                <w:rFonts w:eastAsia="Times New Roman" w:cs="Times New Roman"/>
                <w:szCs w:val="28"/>
              </w:rPr>
            </w:pPr>
          </w:p>
        </w:tc>
        <w:tc>
          <w:tcPr>
            <w:tcW w:w="554" w:type="pct"/>
          </w:tcPr>
          <w:p w:rsidR="0030517B" w:rsidRPr="00CA099F" w:rsidRDefault="0030517B" w:rsidP="00E1448E">
            <w:pPr>
              <w:spacing w:after="0" w:line="240" w:lineRule="auto"/>
              <w:jc w:val="center"/>
              <w:rPr>
                <w:rFonts w:eastAsia="Times New Roman" w:cs="Times New Roman"/>
                <w:szCs w:val="28"/>
              </w:rPr>
            </w:pPr>
          </w:p>
        </w:tc>
        <w:tc>
          <w:tcPr>
            <w:tcW w:w="462" w:type="pct"/>
          </w:tcPr>
          <w:p w:rsidR="0030517B" w:rsidRPr="00CA099F" w:rsidRDefault="0030517B" w:rsidP="00E1448E">
            <w:pPr>
              <w:spacing w:after="0" w:line="240" w:lineRule="auto"/>
              <w:jc w:val="center"/>
              <w:rPr>
                <w:rFonts w:eastAsia="Times New Roman" w:cs="Times New Roman"/>
                <w:szCs w:val="28"/>
              </w:rPr>
            </w:pPr>
          </w:p>
        </w:tc>
        <w:tc>
          <w:tcPr>
            <w:tcW w:w="624" w:type="pct"/>
          </w:tcPr>
          <w:p w:rsidR="0030517B" w:rsidRPr="00CA099F" w:rsidRDefault="0030517B" w:rsidP="00E1448E">
            <w:pPr>
              <w:spacing w:after="0"/>
              <w:rPr>
                <w:rFonts w:eastAsia="Times New Roman" w:cs="Times New Roman"/>
                <w:szCs w:val="24"/>
              </w:rPr>
            </w:pPr>
            <w:r w:rsidRPr="00CA099F">
              <w:rPr>
                <w:rFonts w:eastAsia="Times New Roman" w:cs="Times New Roman"/>
                <w:color w:val="000000"/>
                <w:szCs w:val="24"/>
              </w:rPr>
              <w:t>р</w:t>
            </w:r>
            <w:r w:rsidRPr="00CA099F">
              <w:rPr>
                <w:rFonts w:eastAsia="Times New Roman" w:cs="Times New Roman"/>
                <w:color w:val="000000"/>
                <w:szCs w:val="24"/>
                <w:vertAlign w:val="subscript"/>
              </w:rPr>
              <w:t>1</w:t>
            </w:r>
            <w:r w:rsidRPr="00CA099F">
              <w:rPr>
                <w:rFonts w:eastAsia="Times New Roman" w:cs="Times New Roman"/>
                <w:color w:val="000000"/>
                <w:szCs w:val="24"/>
              </w:rPr>
              <w:t>&lt;0,001</w:t>
            </w:r>
          </w:p>
        </w:tc>
        <w:tc>
          <w:tcPr>
            <w:tcW w:w="484" w:type="pct"/>
          </w:tcPr>
          <w:p w:rsidR="0030517B" w:rsidRPr="00CA099F" w:rsidRDefault="0030517B" w:rsidP="00E1448E">
            <w:pPr>
              <w:spacing w:after="0"/>
              <w:jc w:val="center"/>
              <w:rPr>
                <w:rFonts w:eastAsia="Times New Roman" w:cs="Times New Roman"/>
                <w:szCs w:val="28"/>
              </w:rPr>
            </w:pPr>
          </w:p>
        </w:tc>
        <w:tc>
          <w:tcPr>
            <w:tcW w:w="664" w:type="pct"/>
          </w:tcPr>
          <w:p w:rsidR="0030517B" w:rsidRPr="00CA099F" w:rsidRDefault="0030517B" w:rsidP="00E1448E">
            <w:pPr>
              <w:spacing w:after="0"/>
              <w:jc w:val="center"/>
              <w:rPr>
                <w:rFonts w:eastAsia="Times New Roman" w:cs="Times New Roman"/>
                <w:szCs w:val="24"/>
              </w:rPr>
            </w:pPr>
            <w:r w:rsidRPr="00CA099F">
              <w:rPr>
                <w:rFonts w:eastAsia="Times New Roman" w:cs="Times New Roman"/>
                <w:color w:val="000000"/>
                <w:szCs w:val="24"/>
              </w:rPr>
              <w:t>р</w:t>
            </w:r>
            <w:r w:rsidRPr="00CA099F">
              <w:rPr>
                <w:rFonts w:eastAsia="Times New Roman" w:cs="Times New Roman"/>
                <w:color w:val="000000"/>
                <w:szCs w:val="24"/>
                <w:vertAlign w:val="subscript"/>
              </w:rPr>
              <w:t>2</w:t>
            </w:r>
            <w:r w:rsidRPr="00CA099F">
              <w:rPr>
                <w:rFonts w:eastAsia="Times New Roman" w:cs="Times New Roman"/>
                <w:color w:val="000000"/>
                <w:szCs w:val="24"/>
              </w:rPr>
              <w:t>&lt;0,001</w:t>
            </w:r>
          </w:p>
        </w:tc>
        <w:tc>
          <w:tcPr>
            <w:tcW w:w="574" w:type="pct"/>
          </w:tcPr>
          <w:p w:rsidR="0030517B" w:rsidRPr="00CA099F" w:rsidRDefault="0030517B" w:rsidP="00E1448E">
            <w:pPr>
              <w:spacing w:after="0"/>
              <w:jc w:val="center"/>
              <w:rPr>
                <w:rFonts w:eastAsia="Times New Roman" w:cs="Times New Roman"/>
                <w:szCs w:val="28"/>
              </w:rPr>
            </w:pPr>
          </w:p>
        </w:tc>
        <w:tc>
          <w:tcPr>
            <w:tcW w:w="569" w:type="pct"/>
          </w:tcPr>
          <w:p w:rsidR="0030517B" w:rsidRPr="00CA099F" w:rsidRDefault="0030517B" w:rsidP="00E1448E">
            <w:pPr>
              <w:spacing w:after="0" w:line="240" w:lineRule="auto"/>
              <w:jc w:val="center"/>
              <w:rPr>
                <w:rFonts w:eastAsia="Times New Roman" w:cs="Times New Roman"/>
                <w:szCs w:val="28"/>
              </w:rPr>
            </w:pPr>
            <w:r w:rsidRPr="00CA099F">
              <w:rPr>
                <w:rFonts w:eastAsia="Times New Roman" w:cs="Times New Roman"/>
                <w:color w:val="000000"/>
                <w:szCs w:val="24"/>
              </w:rPr>
              <w:t>р</w:t>
            </w:r>
            <w:r w:rsidRPr="00CA099F">
              <w:rPr>
                <w:rFonts w:eastAsia="Times New Roman" w:cs="Times New Roman"/>
                <w:color w:val="000000"/>
                <w:szCs w:val="24"/>
                <w:vertAlign w:val="subscript"/>
              </w:rPr>
              <w:t>3</w:t>
            </w:r>
            <w:r w:rsidRPr="00CA099F">
              <w:rPr>
                <w:rFonts w:eastAsia="Times New Roman" w:cs="Times New Roman"/>
                <w:color w:val="000000"/>
                <w:szCs w:val="24"/>
              </w:rPr>
              <w:t>&lt;0,02</w:t>
            </w:r>
          </w:p>
        </w:tc>
      </w:tr>
      <w:tr w:rsidR="0030517B" w:rsidRPr="00CA099F" w:rsidTr="00E1448E">
        <w:tc>
          <w:tcPr>
            <w:tcW w:w="605" w:type="pct"/>
          </w:tcPr>
          <w:p w:rsidR="0030517B" w:rsidRPr="00CA099F" w:rsidRDefault="0030517B" w:rsidP="00E1448E">
            <w:pPr>
              <w:spacing w:after="0" w:line="240" w:lineRule="auto"/>
              <w:ind w:right="-90"/>
              <w:jc w:val="center"/>
              <w:rPr>
                <w:rFonts w:eastAsia="Times New Roman" w:cs="Times New Roman"/>
                <w:szCs w:val="28"/>
              </w:rPr>
            </w:pPr>
            <w:r w:rsidRPr="00CA099F">
              <w:rPr>
                <w:rFonts w:eastAsia="Times New Roman" w:cs="Times New Roman"/>
                <w:sz w:val="28"/>
                <w:szCs w:val="28"/>
              </w:rPr>
              <w:t>Уреаза,</w:t>
            </w:r>
          </w:p>
          <w:p w:rsidR="0030517B" w:rsidRPr="00CA099F" w:rsidRDefault="0030517B" w:rsidP="00E1448E">
            <w:pPr>
              <w:spacing w:after="0" w:line="240" w:lineRule="auto"/>
              <w:ind w:right="-90"/>
              <w:jc w:val="center"/>
              <w:rPr>
                <w:rFonts w:eastAsia="Times New Roman" w:cs="Times New Roman"/>
                <w:szCs w:val="28"/>
              </w:rPr>
            </w:pPr>
            <w:r w:rsidRPr="00CA099F">
              <w:rPr>
                <w:rFonts w:eastAsia="Times New Roman" w:cs="Times New Roman"/>
                <w:sz w:val="28"/>
                <w:szCs w:val="28"/>
              </w:rPr>
              <w:t xml:space="preserve"> мккат/кг</w:t>
            </w:r>
          </w:p>
        </w:tc>
        <w:tc>
          <w:tcPr>
            <w:tcW w:w="464" w:type="pct"/>
          </w:tcPr>
          <w:p w:rsidR="0030517B" w:rsidRPr="00CA099F" w:rsidRDefault="0030517B" w:rsidP="00E1448E">
            <w:pPr>
              <w:spacing w:after="0" w:line="240" w:lineRule="auto"/>
              <w:jc w:val="center"/>
              <w:rPr>
                <w:rFonts w:eastAsia="Times New Roman" w:cs="Times New Roman"/>
                <w:szCs w:val="28"/>
              </w:rPr>
            </w:pPr>
            <w:r w:rsidRPr="00CA099F">
              <w:rPr>
                <w:rFonts w:eastAsia="Times New Roman" w:cs="Times New Roman"/>
                <w:sz w:val="28"/>
                <w:szCs w:val="28"/>
              </w:rPr>
              <w:t>0,32±0,02</w:t>
            </w:r>
          </w:p>
        </w:tc>
        <w:tc>
          <w:tcPr>
            <w:tcW w:w="554" w:type="pct"/>
          </w:tcPr>
          <w:p w:rsidR="0030517B" w:rsidRPr="00CA099F" w:rsidRDefault="0030517B" w:rsidP="00E1448E">
            <w:pPr>
              <w:spacing w:after="0" w:line="240" w:lineRule="auto"/>
              <w:jc w:val="center"/>
              <w:rPr>
                <w:rFonts w:eastAsia="Times New Roman" w:cs="Times New Roman"/>
                <w:szCs w:val="28"/>
              </w:rPr>
            </w:pPr>
            <w:r w:rsidRPr="00CA099F">
              <w:rPr>
                <w:rFonts w:eastAsia="Times New Roman" w:cs="Times New Roman"/>
                <w:sz w:val="28"/>
                <w:szCs w:val="28"/>
              </w:rPr>
              <w:t>0,22±</w:t>
            </w:r>
          </w:p>
          <w:p w:rsidR="0030517B" w:rsidRPr="00CA099F" w:rsidRDefault="0030517B" w:rsidP="00E1448E">
            <w:pPr>
              <w:spacing w:after="0" w:line="240" w:lineRule="auto"/>
              <w:jc w:val="center"/>
              <w:rPr>
                <w:rFonts w:eastAsia="Times New Roman" w:cs="Times New Roman"/>
                <w:szCs w:val="28"/>
              </w:rPr>
            </w:pPr>
            <w:r w:rsidRPr="00CA099F">
              <w:rPr>
                <w:rFonts w:eastAsia="Times New Roman" w:cs="Times New Roman"/>
                <w:sz w:val="28"/>
                <w:szCs w:val="28"/>
              </w:rPr>
              <w:t>0,02*</w:t>
            </w:r>
          </w:p>
        </w:tc>
        <w:tc>
          <w:tcPr>
            <w:tcW w:w="462" w:type="pct"/>
          </w:tcPr>
          <w:p w:rsidR="0030517B" w:rsidRPr="00CA099F" w:rsidRDefault="0030517B" w:rsidP="00E1448E">
            <w:pPr>
              <w:spacing w:after="0" w:line="240" w:lineRule="auto"/>
              <w:jc w:val="center"/>
              <w:rPr>
                <w:rFonts w:eastAsia="Times New Roman" w:cs="Times New Roman"/>
                <w:szCs w:val="28"/>
              </w:rPr>
            </w:pPr>
            <w:r w:rsidRPr="00CA099F">
              <w:rPr>
                <w:rFonts w:eastAsia="Times New Roman" w:cs="Times New Roman"/>
                <w:sz w:val="28"/>
                <w:szCs w:val="28"/>
              </w:rPr>
              <w:t>0,17±0,02</w:t>
            </w:r>
          </w:p>
        </w:tc>
        <w:tc>
          <w:tcPr>
            <w:tcW w:w="624" w:type="pct"/>
          </w:tcPr>
          <w:p w:rsidR="0030517B" w:rsidRPr="00CA099F" w:rsidRDefault="0030517B" w:rsidP="00E1448E">
            <w:pPr>
              <w:spacing w:after="0" w:line="240" w:lineRule="auto"/>
              <w:jc w:val="center"/>
              <w:rPr>
                <w:rFonts w:eastAsia="Times New Roman" w:cs="Times New Roman"/>
                <w:szCs w:val="28"/>
              </w:rPr>
            </w:pPr>
            <w:r w:rsidRPr="00CA099F">
              <w:rPr>
                <w:rFonts w:eastAsia="Times New Roman" w:cs="Times New Roman"/>
                <w:sz w:val="28"/>
                <w:szCs w:val="28"/>
              </w:rPr>
              <w:t>0,13±</w:t>
            </w:r>
          </w:p>
          <w:p w:rsidR="0030517B" w:rsidRPr="00CA099F" w:rsidRDefault="0030517B" w:rsidP="00E1448E">
            <w:pPr>
              <w:spacing w:after="0" w:line="240" w:lineRule="auto"/>
              <w:jc w:val="center"/>
              <w:rPr>
                <w:rFonts w:eastAsia="Times New Roman" w:cs="Times New Roman"/>
                <w:szCs w:val="28"/>
              </w:rPr>
            </w:pPr>
            <w:r w:rsidRPr="00CA099F">
              <w:rPr>
                <w:rFonts w:eastAsia="Times New Roman" w:cs="Times New Roman"/>
                <w:sz w:val="28"/>
                <w:szCs w:val="28"/>
              </w:rPr>
              <w:t>0,01</w:t>
            </w:r>
          </w:p>
        </w:tc>
        <w:tc>
          <w:tcPr>
            <w:tcW w:w="484" w:type="pct"/>
          </w:tcPr>
          <w:p w:rsidR="0030517B" w:rsidRPr="00CA099F" w:rsidRDefault="0030517B" w:rsidP="00E1448E">
            <w:pPr>
              <w:spacing w:after="0" w:line="240" w:lineRule="auto"/>
              <w:jc w:val="center"/>
              <w:rPr>
                <w:rFonts w:eastAsia="Times New Roman" w:cs="Times New Roman"/>
                <w:szCs w:val="28"/>
              </w:rPr>
            </w:pPr>
            <w:r w:rsidRPr="00CA099F">
              <w:rPr>
                <w:rFonts w:eastAsia="Times New Roman" w:cs="Times New Roman"/>
                <w:sz w:val="28"/>
                <w:szCs w:val="28"/>
              </w:rPr>
              <w:t>0,08±0,01</w:t>
            </w:r>
          </w:p>
        </w:tc>
        <w:tc>
          <w:tcPr>
            <w:tcW w:w="664" w:type="pct"/>
          </w:tcPr>
          <w:p w:rsidR="0030517B" w:rsidRPr="00CA099F" w:rsidRDefault="0030517B" w:rsidP="00E1448E">
            <w:pPr>
              <w:spacing w:after="0" w:line="240" w:lineRule="auto"/>
              <w:jc w:val="center"/>
              <w:rPr>
                <w:rFonts w:eastAsia="Times New Roman" w:cs="Times New Roman"/>
                <w:szCs w:val="28"/>
              </w:rPr>
            </w:pPr>
            <w:r w:rsidRPr="00CA099F">
              <w:rPr>
                <w:rFonts w:eastAsia="Times New Roman" w:cs="Times New Roman"/>
                <w:sz w:val="28"/>
                <w:szCs w:val="28"/>
              </w:rPr>
              <w:t>0,06±</w:t>
            </w:r>
          </w:p>
          <w:p w:rsidR="0030517B" w:rsidRPr="00CA099F" w:rsidRDefault="0030517B" w:rsidP="00E1448E">
            <w:pPr>
              <w:spacing w:after="0" w:line="240" w:lineRule="auto"/>
              <w:jc w:val="center"/>
              <w:rPr>
                <w:rFonts w:eastAsia="Times New Roman" w:cs="Times New Roman"/>
                <w:szCs w:val="28"/>
              </w:rPr>
            </w:pPr>
            <w:r w:rsidRPr="00CA099F">
              <w:rPr>
                <w:rFonts w:eastAsia="Times New Roman" w:cs="Times New Roman"/>
                <w:sz w:val="28"/>
                <w:szCs w:val="28"/>
              </w:rPr>
              <w:t>0,01</w:t>
            </w:r>
          </w:p>
        </w:tc>
        <w:tc>
          <w:tcPr>
            <w:tcW w:w="574" w:type="pct"/>
          </w:tcPr>
          <w:p w:rsidR="0030517B" w:rsidRPr="00CA099F" w:rsidRDefault="0030517B" w:rsidP="00E1448E">
            <w:pPr>
              <w:spacing w:after="0" w:line="240" w:lineRule="auto"/>
              <w:jc w:val="center"/>
              <w:rPr>
                <w:rFonts w:eastAsia="Times New Roman" w:cs="Times New Roman"/>
                <w:szCs w:val="28"/>
              </w:rPr>
            </w:pPr>
            <w:r w:rsidRPr="00CA099F">
              <w:rPr>
                <w:rFonts w:eastAsia="Times New Roman" w:cs="Times New Roman"/>
                <w:sz w:val="28"/>
                <w:szCs w:val="28"/>
              </w:rPr>
              <w:t>0,07±</w:t>
            </w:r>
          </w:p>
          <w:p w:rsidR="0030517B" w:rsidRPr="00CA099F" w:rsidRDefault="0030517B" w:rsidP="00E1448E">
            <w:pPr>
              <w:spacing w:after="0" w:line="240" w:lineRule="auto"/>
              <w:jc w:val="center"/>
              <w:rPr>
                <w:rFonts w:eastAsia="Times New Roman" w:cs="Times New Roman"/>
                <w:szCs w:val="28"/>
              </w:rPr>
            </w:pPr>
            <w:r w:rsidRPr="00CA099F">
              <w:rPr>
                <w:rFonts w:eastAsia="Times New Roman" w:cs="Times New Roman"/>
                <w:sz w:val="28"/>
                <w:szCs w:val="28"/>
              </w:rPr>
              <w:t>0,02</w:t>
            </w:r>
          </w:p>
        </w:tc>
        <w:tc>
          <w:tcPr>
            <w:tcW w:w="569" w:type="pct"/>
          </w:tcPr>
          <w:p w:rsidR="0030517B" w:rsidRPr="00CA099F" w:rsidRDefault="0030517B" w:rsidP="00E1448E">
            <w:pPr>
              <w:spacing w:after="0" w:line="240" w:lineRule="auto"/>
              <w:jc w:val="center"/>
              <w:rPr>
                <w:rFonts w:eastAsia="Times New Roman" w:cs="Times New Roman"/>
                <w:szCs w:val="28"/>
              </w:rPr>
            </w:pPr>
            <w:r w:rsidRPr="00CA099F">
              <w:rPr>
                <w:rFonts w:eastAsia="Times New Roman" w:cs="Times New Roman"/>
                <w:sz w:val="28"/>
                <w:szCs w:val="28"/>
              </w:rPr>
              <w:t>0,05±</w:t>
            </w:r>
          </w:p>
          <w:p w:rsidR="0030517B" w:rsidRPr="00CA099F" w:rsidRDefault="0030517B" w:rsidP="00E1448E">
            <w:pPr>
              <w:spacing w:after="0" w:line="240" w:lineRule="auto"/>
              <w:jc w:val="center"/>
              <w:rPr>
                <w:rFonts w:eastAsia="Times New Roman" w:cs="Times New Roman"/>
                <w:szCs w:val="28"/>
              </w:rPr>
            </w:pPr>
            <w:r w:rsidRPr="00CA099F">
              <w:rPr>
                <w:rFonts w:eastAsia="Times New Roman" w:cs="Times New Roman"/>
                <w:sz w:val="28"/>
                <w:szCs w:val="28"/>
              </w:rPr>
              <w:t>0,01</w:t>
            </w:r>
          </w:p>
        </w:tc>
      </w:tr>
      <w:tr w:rsidR="0030517B" w:rsidRPr="00CA099F" w:rsidTr="00E1448E">
        <w:tc>
          <w:tcPr>
            <w:tcW w:w="605" w:type="pct"/>
          </w:tcPr>
          <w:p w:rsidR="0030517B" w:rsidRPr="00CA099F" w:rsidRDefault="0030517B" w:rsidP="00E1448E">
            <w:pPr>
              <w:spacing w:after="0" w:line="240" w:lineRule="auto"/>
              <w:jc w:val="center"/>
              <w:rPr>
                <w:rFonts w:eastAsia="Times New Roman" w:cs="Times New Roman"/>
                <w:szCs w:val="28"/>
              </w:rPr>
            </w:pPr>
          </w:p>
        </w:tc>
        <w:tc>
          <w:tcPr>
            <w:tcW w:w="464" w:type="pct"/>
          </w:tcPr>
          <w:p w:rsidR="0030517B" w:rsidRPr="00CA099F" w:rsidRDefault="0030517B" w:rsidP="00E1448E">
            <w:pPr>
              <w:spacing w:after="0" w:line="240" w:lineRule="auto"/>
              <w:jc w:val="center"/>
              <w:rPr>
                <w:rFonts w:eastAsia="Times New Roman" w:cs="Times New Roman"/>
                <w:szCs w:val="28"/>
              </w:rPr>
            </w:pPr>
          </w:p>
        </w:tc>
        <w:tc>
          <w:tcPr>
            <w:tcW w:w="554" w:type="pct"/>
          </w:tcPr>
          <w:p w:rsidR="0030517B" w:rsidRPr="00CA099F" w:rsidRDefault="0030517B" w:rsidP="00E1448E">
            <w:pPr>
              <w:spacing w:after="0" w:line="240" w:lineRule="auto"/>
              <w:jc w:val="center"/>
              <w:rPr>
                <w:rFonts w:eastAsia="Times New Roman" w:cs="Times New Roman"/>
                <w:szCs w:val="28"/>
              </w:rPr>
            </w:pPr>
          </w:p>
        </w:tc>
        <w:tc>
          <w:tcPr>
            <w:tcW w:w="462" w:type="pct"/>
          </w:tcPr>
          <w:p w:rsidR="0030517B" w:rsidRPr="00CA099F" w:rsidRDefault="0030517B" w:rsidP="00E1448E">
            <w:pPr>
              <w:spacing w:after="0" w:line="240" w:lineRule="auto"/>
              <w:jc w:val="center"/>
              <w:rPr>
                <w:rFonts w:eastAsia="Times New Roman" w:cs="Times New Roman"/>
                <w:szCs w:val="28"/>
              </w:rPr>
            </w:pPr>
          </w:p>
        </w:tc>
        <w:tc>
          <w:tcPr>
            <w:tcW w:w="624" w:type="pct"/>
          </w:tcPr>
          <w:p w:rsidR="0030517B" w:rsidRPr="00CA099F" w:rsidRDefault="0030517B" w:rsidP="00E1448E">
            <w:pPr>
              <w:spacing w:after="0"/>
              <w:jc w:val="center"/>
              <w:rPr>
                <w:rFonts w:eastAsia="Times New Roman" w:cs="Times New Roman"/>
                <w:szCs w:val="24"/>
              </w:rPr>
            </w:pPr>
            <w:r w:rsidRPr="00CA099F">
              <w:rPr>
                <w:rFonts w:eastAsia="Times New Roman" w:cs="Times New Roman"/>
                <w:color w:val="000000"/>
                <w:szCs w:val="24"/>
              </w:rPr>
              <w:t>р</w:t>
            </w:r>
            <w:r w:rsidRPr="00CA099F">
              <w:rPr>
                <w:rFonts w:eastAsia="Times New Roman" w:cs="Times New Roman"/>
                <w:color w:val="000000"/>
                <w:szCs w:val="24"/>
                <w:vertAlign w:val="subscript"/>
              </w:rPr>
              <w:t>1</w:t>
            </w:r>
            <w:r w:rsidRPr="00CA099F">
              <w:rPr>
                <w:rFonts w:eastAsia="Times New Roman" w:cs="Times New Roman"/>
                <w:color w:val="000000"/>
                <w:szCs w:val="24"/>
              </w:rPr>
              <w:t>&lt;0,001</w:t>
            </w:r>
          </w:p>
        </w:tc>
        <w:tc>
          <w:tcPr>
            <w:tcW w:w="484" w:type="pct"/>
          </w:tcPr>
          <w:p w:rsidR="0030517B" w:rsidRPr="00CA099F" w:rsidRDefault="0030517B" w:rsidP="00E1448E">
            <w:pPr>
              <w:spacing w:after="0"/>
              <w:jc w:val="center"/>
              <w:rPr>
                <w:rFonts w:eastAsia="Times New Roman" w:cs="Times New Roman"/>
                <w:szCs w:val="28"/>
              </w:rPr>
            </w:pPr>
          </w:p>
        </w:tc>
        <w:tc>
          <w:tcPr>
            <w:tcW w:w="664" w:type="pct"/>
          </w:tcPr>
          <w:p w:rsidR="0030517B" w:rsidRPr="00CA099F" w:rsidRDefault="0030517B" w:rsidP="00E1448E">
            <w:pPr>
              <w:spacing w:after="0"/>
              <w:jc w:val="center"/>
              <w:rPr>
                <w:rFonts w:eastAsia="Times New Roman" w:cs="Times New Roman"/>
                <w:szCs w:val="28"/>
              </w:rPr>
            </w:pPr>
            <w:r w:rsidRPr="00CA099F">
              <w:rPr>
                <w:rFonts w:eastAsia="Times New Roman" w:cs="Times New Roman"/>
                <w:color w:val="000000"/>
                <w:szCs w:val="24"/>
              </w:rPr>
              <w:t>р</w:t>
            </w:r>
            <w:r w:rsidRPr="00CA099F">
              <w:rPr>
                <w:rFonts w:eastAsia="Times New Roman" w:cs="Times New Roman"/>
                <w:color w:val="000000"/>
                <w:szCs w:val="24"/>
                <w:vertAlign w:val="subscript"/>
              </w:rPr>
              <w:t>2</w:t>
            </w:r>
            <w:r w:rsidRPr="00CA099F">
              <w:rPr>
                <w:rFonts w:eastAsia="Times New Roman" w:cs="Times New Roman"/>
                <w:color w:val="000000"/>
                <w:szCs w:val="24"/>
              </w:rPr>
              <w:t>&lt;0,001</w:t>
            </w:r>
          </w:p>
        </w:tc>
        <w:tc>
          <w:tcPr>
            <w:tcW w:w="574" w:type="pct"/>
          </w:tcPr>
          <w:p w:rsidR="0030517B" w:rsidRPr="00CA099F" w:rsidRDefault="0030517B" w:rsidP="00E1448E">
            <w:pPr>
              <w:spacing w:after="0" w:line="240" w:lineRule="auto"/>
              <w:jc w:val="center"/>
              <w:rPr>
                <w:rFonts w:eastAsia="Times New Roman" w:cs="Times New Roman"/>
                <w:szCs w:val="28"/>
              </w:rPr>
            </w:pPr>
          </w:p>
        </w:tc>
        <w:tc>
          <w:tcPr>
            <w:tcW w:w="569" w:type="pct"/>
          </w:tcPr>
          <w:p w:rsidR="0030517B" w:rsidRPr="00CA099F" w:rsidRDefault="0030517B" w:rsidP="00E1448E">
            <w:pPr>
              <w:spacing w:after="0" w:line="240" w:lineRule="auto"/>
              <w:jc w:val="center"/>
              <w:rPr>
                <w:rFonts w:eastAsia="Times New Roman" w:cs="Times New Roman"/>
                <w:szCs w:val="28"/>
              </w:rPr>
            </w:pPr>
          </w:p>
        </w:tc>
      </w:tr>
      <w:tr w:rsidR="0030517B" w:rsidRPr="00CA099F" w:rsidTr="00E1448E">
        <w:tc>
          <w:tcPr>
            <w:tcW w:w="605" w:type="pct"/>
          </w:tcPr>
          <w:p w:rsidR="0030517B" w:rsidRPr="00CA099F" w:rsidRDefault="0030517B" w:rsidP="00E1448E">
            <w:pPr>
              <w:spacing w:after="0" w:line="240" w:lineRule="auto"/>
              <w:rPr>
                <w:rFonts w:eastAsia="Times New Roman" w:cs="Times New Roman"/>
                <w:szCs w:val="28"/>
              </w:rPr>
            </w:pPr>
            <w:r w:rsidRPr="00CA099F">
              <w:rPr>
                <w:rFonts w:eastAsia="Times New Roman" w:cs="Times New Roman"/>
                <w:sz w:val="28"/>
                <w:szCs w:val="28"/>
              </w:rPr>
              <w:t>Лізоцим, Од/кг</w:t>
            </w:r>
          </w:p>
        </w:tc>
        <w:tc>
          <w:tcPr>
            <w:tcW w:w="464" w:type="pct"/>
          </w:tcPr>
          <w:p w:rsidR="0030517B" w:rsidRPr="00CA099F" w:rsidRDefault="0030517B" w:rsidP="00E1448E">
            <w:pPr>
              <w:spacing w:after="0" w:line="240" w:lineRule="auto"/>
              <w:jc w:val="center"/>
              <w:rPr>
                <w:rFonts w:eastAsia="Times New Roman" w:cs="Times New Roman"/>
                <w:szCs w:val="28"/>
              </w:rPr>
            </w:pPr>
            <w:r w:rsidRPr="00CA099F">
              <w:rPr>
                <w:rFonts w:eastAsia="Times New Roman" w:cs="Times New Roman"/>
                <w:sz w:val="28"/>
                <w:szCs w:val="28"/>
              </w:rPr>
              <w:t>47,81±1,32</w:t>
            </w:r>
          </w:p>
        </w:tc>
        <w:tc>
          <w:tcPr>
            <w:tcW w:w="554" w:type="pct"/>
          </w:tcPr>
          <w:p w:rsidR="0030517B" w:rsidRPr="00CA099F" w:rsidRDefault="0030517B" w:rsidP="00E1448E">
            <w:pPr>
              <w:spacing w:after="0" w:line="240" w:lineRule="auto"/>
              <w:jc w:val="center"/>
              <w:rPr>
                <w:rFonts w:eastAsia="Times New Roman" w:cs="Times New Roman"/>
                <w:szCs w:val="28"/>
              </w:rPr>
            </w:pPr>
            <w:r w:rsidRPr="00CA099F">
              <w:rPr>
                <w:rFonts w:eastAsia="Times New Roman" w:cs="Times New Roman"/>
                <w:sz w:val="28"/>
                <w:szCs w:val="28"/>
              </w:rPr>
              <w:t>60,54± 1,90*</w:t>
            </w:r>
          </w:p>
        </w:tc>
        <w:tc>
          <w:tcPr>
            <w:tcW w:w="462" w:type="pct"/>
          </w:tcPr>
          <w:p w:rsidR="0030517B" w:rsidRPr="00CA099F" w:rsidRDefault="0030517B" w:rsidP="00E1448E">
            <w:pPr>
              <w:spacing w:after="0" w:line="240" w:lineRule="auto"/>
              <w:jc w:val="center"/>
              <w:rPr>
                <w:rFonts w:eastAsia="Times New Roman" w:cs="Times New Roman"/>
                <w:szCs w:val="28"/>
              </w:rPr>
            </w:pPr>
            <w:r w:rsidRPr="00CA099F">
              <w:rPr>
                <w:rFonts w:eastAsia="Times New Roman" w:cs="Times New Roman"/>
                <w:sz w:val="28"/>
                <w:szCs w:val="28"/>
              </w:rPr>
              <w:t>60,53±2,08</w:t>
            </w:r>
          </w:p>
        </w:tc>
        <w:tc>
          <w:tcPr>
            <w:tcW w:w="624" w:type="pct"/>
          </w:tcPr>
          <w:p w:rsidR="0030517B" w:rsidRPr="00CA099F" w:rsidRDefault="0030517B" w:rsidP="00E1448E">
            <w:pPr>
              <w:spacing w:after="0"/>
              <w:jc w:val="center"/>
              <w:rPr>
                <w:rFonts w:eastAsia="Times New Roman" w:cs="Times New Roman"/>
                <w:color w:val="000000"/>
                <w:szCs w:val="28"/>
              </w:rPr>
            </w:pPr>
            <w:r w:rsidRPr="00CA099F">
              <w:rPr>
                <w:rFonts w:eastAsia="Times New Roman" w:cs="Times New Roman"/>
                <w:color w:val="000000"/>
                <w:sz w:val="28"/>
                <w:szCs w:val="28"/>
              </w:rPr>
              <w:t>73,81</w:t>
            </w:r>
            <w:r w:rsidRPr="00CA099F">
              <w:rPr>
                <w:rFonts w:eastAsia="Times New Roman" w:cs="Times New Roman"/>
                <w:sz w:val="28"/>
                <w:szCs w:val="28"/>
              </w:rPr>
              <w:t>±</w:t>
            </w:r>
            <w:r w:rsidRPr="00CA099F">
              <w:rPr>
                <w:rFonts w:eastAsia="Times New Roman" w:cs="Times New Roman"/>
                <w:color w:val="000000"/>
                <w:sz w:val="28"/>
                <w:szCs w:val="28"/>
              </w:rPr>
              <w:t xml:space="preserve"> 2,35</w:t>
            </w:r>
            <w:r w:rsidRPr="00CA099F">
              <w:rPr>
                <w:rFonts w:eastAsia="Times New Roman" w:cs="Times New Roman"/>
                <w:sz w:val="28"/>
                <w:szCs w:val="28"/>
              </w:rPr>
              <w:t>*</w:t>
            </w:r>
          </w:p>
        </w:tc>
        <w:tc>
          <w:tcPr>
            <w:tcW w:w="484" w:type="pct"/>
          </w:tcPr>
          <w:p w:rsidR="0030517B" w:rsidRPr="00CA099F" w:rsidRDefault="0030517B" w:rsidP="00E1448E">
            <w:pPr>
              <w:spacing w:after="0"/>
              <w:jc w:val="center"/>
              <w:rPr>
                <w:rFonts w:eastAsia="Times New Roman" w:cs="Times New Roman"/>
                <w:szCs w:val="28"/>
              </w:rPr>
            </w:pPr>
            <w:r w:rsidRPr="00CA099F">
              <w:rPr>
                <w:rFonts w:eastAsia="Times New Roman" w:cs="Times New Roman"/>
                <w:sz w:val="28"/>
                <w:szCs w:val="28"/>
              </w:rPr>
              <w:t>80,09±3,08</w:t>
            </w:r>
          </w:p>
        </w:tc>
        <w:tc>
          <w:tcPr>
            <w:tcW w:w="664" w:type="pct"/>
          </w:tcPr>
          <w:p w:rsidR="0030517B" w:rsidRPr="00CA099F" w:rsidRDefault="0030517B" w:rsidP="00E1448E">
            <w:pPr>
              <w:spacing w:after="0"/>
              <w:jc w:val="center"/>
              <w:rPr>
                <w:rFonts w:eastAsia="Times New Roman" w:cs="Times New Roman"/>
                <w:color w:val="000000"/>
                <w:szCs w:val="28"/>
              </w:rPr>
            </w:pPr>
            <w:r w:rsidRPr="00CA099F">
              <w:rPr>
                <w:rFonts w:eastAsia="Times New Roman" w:cs="Times New Roman"/>
                <w:color w:val="000000"/>
                <w:sz w:val="28"/>
                <w:szCs w:val="28"/>
              </w:rPr>
              <w:t>84,32</w:t>
            </w:r>
            <w:r w:rsidRPr="00CA099F">
              <w:rPr>
                <w:rFonts w:eastAsia="Times New Roman" w:cs="Times New Roman"/>
                <w:sz w:val="28"/>
                <w:szCs w:val="28"/>
              </w:rPr>
              <w:t>±</w:t>
            </w:r>
            <w:r w:rsidRPr="00CA099F">
              <w:rPr>
                <w:rFonts w:eastAsia="Times New Roman" w:cs="Times New Roman"/>
                <w:color w:val="000000"/>
                <w:sz w:val="28"/>
                <w:szCs w:val="28"/>
              </w:rPr>
              <w:t xml:space="preserve"> 2,45</w:t>
            </w:r>
          </w:p>
        </w:tc>
        <w:tc>
          <w:tcPr>
            <w:tcW w:w="574" w:type="pct"/>
          </w:tcPr>
          <w:p w:rsidR="0030517B" w:rsidRPr="00CA099F" w:rsidRDefault="0030517B" w:rsidP="00E1448E">
            <w:pPr>
              <w:spacing w:after="0" w:line="240" w:lineRule="auto"/>
              <w:jc w:val="center"/>
              <w:rPr>
                <w:rFonts w:eastAsia="Times New Roman" w:cs="Times New Roman"/>
                <w:szCs w:val="28"/>
              </w:rPr>
            </w:pPr>
            <w:r w:rsidRPr="00CA099F">
              <w:rPr>
                <w:rFonts w:eastAsia="Times New Roman" w:cs="Times New Roman"/>
                <w:sz w:val="28"/>
                <w:szCs w:val="28"/>
              </w:rPr>
              <w:t>90,22±2,60</w:t>
            </w:r>
          </w:p>
        </w:tc>
        <w:tc>
          <w:tcPr>
            <w:tcW w:w="569" w:type="pct"/>
          </w:tcPr>
          <w:p w:rsidR="0030517B" w:rsidRPr="00CA099F" w:rsidRDefault="0030517B" w:rsidP="00E1448E">
            <w:pPr>
              <w:spacing w:after="0" w:line="240" w:lineRule="auto"/>
              <w:jc w:val="center"/>
              <w:rPr>
                <w:rFonts w:eastAsia="Times New Roman" w:cs="Times New Roman"/>
                <w:color w:val="000000"/>
                <w:szCs w:val="28"/>
              </w:rPr>
            </w:pPr>
            <w:r w:rsidRPr="00CA099F">
              <w:rPr>
                <w:rFonts w:eastAsia="Times New Roman" w:cs="Times New Roman"/>
                <w:color w:val="000000"/>
                <w:sz w:val="28"/>
                <w:szCs w:val="28"/>
              </w:rPr>
              <w:t>88,11</w:t>
            </w:r>
            <w:r w:rsidRPr="00CA099F">
              <w:rPr>
                <w:rFonts w:eastAsia="Times New Roman" w:cs="Times New Roman"/>
                <w:sz w:val="28"/>
                <w:szCs w:val="28"/>
              </w:rPr>
              <w:t>±</w:t>
            </w:r>
            <w:r w:rsidRPr="00CA099F">
              <w:rPr>
                <w:rFonts w:eastAsia="Times New Roman" w:cs="Times New Roman"/>
                <w:color w:val="000000"/>
                <w:sz w:val="28"/>
                <w:szCs w:val="28"/>
              </w:rPr>
              <w:t>2,85</w:t>
            </w:r>
          </w:p>
        </w:tc>
      </w:tr>
      <w:tr w:rsidR="0030517B" w:rsidRPr="00CA099F" w:rsidTr="00E1448E">
        <w:tc>
          <w:tcPr>
            <w:tcW w:w="605" w:type="pct"/>
          </w:tcPr>
          <w:p w:rsidR="0030517B" w:rsidRPr="00CA099F" w:rsidRDefault="0030517B" w:rsidP="00E1448E">
            <w:pPr>
              <w:spacing w:after="0" w:line="240" w:lineRule="auto"/>
              <w:jc w:val="center"/>
              <w:rPr>
                <w:rFonts w:eastAsia="Times New Roman" w:cs="Times New Roman"/>
                <w:szCs w:val="28"/>
              </w:rPr>
            </w:pPr>
          </w:p>
        </w:tc>
        <w:tc>
          <w:tcPr>
            <w:tcW w:w="464" w:type="pct"/>
          </w:tcPr>
          <w:p w:rsidR="0030517B" w:rsidRPr="00CA099F" w:rsidRDefault="0030517B" w:rsidP="00E1448E">
            <w:pPr>
              <w:spacing w:after="0" w:line="240" w:lineRule="auto"/>
              <w:jc w:val="center"/>
              <w:rPr>
                <w:rFonts w:eastAsia="Times New Roman" w:cs="Times New Roman"/>
                <w:szCs w:val="28"/>
              </w:rPr>
            </w:pPr>
          </w:p>
        </w:tc>
        <w:tc>
          <w:tcPr>
            <w:tcW w:w="554" w:type="pct"/>
          </w:tcPr>
          <w:p w:rsidR="0030517B" w:rsidRPr="00CA099F" w:rsidRDefault="0030517B" w:rsidP="00E1448E">
            <w:pPr>
              <w:spacing w:after="0" w:line="240" w:lineRule="auto"/>
              <w:jc w:val="center"/>
              <w:rPr>
                <w:rFonts w:eastAsia="Times New Roman" w:cs="Times New Roman"/>
                <w:szCs w:val="28"/>
              </w:rPr>
            </w:pPr>
          </w:p>
        </w:tc>
        <w:tc>
          <w:tcPr>
            <w:tcW w:w="462" w:type="pct"/>
          </w:tcPr>
          <w:p w:rsidR="0030517B" w:rsidRPr="00CA099F" w:rsidRDefault="0030517B" w:rsidP="00E1448E">
            <w:pPr>
              <w:spacing w:after="0" w:line="240" w:lineRule="auto"/>
              <w:jc w:val="center"/>
              <w:rPr>
                <w:rFonts w:eastAsia="Times New Roman" w:cs="Times New Roman"/>
                <w:szCs w:val="28"/>
              </w:rPr>
            </w:pPr>
          </w:p>
        </w:tc>
        <w:tc>
          <w:tcPr>
            <w:tcW w:w="624" w:type="pct"/>
          </w:tcPr>
          <w:p w:rsidR="0030517B" w:rsidRPr="00CA099F" w:rsidRDefault="0030517B" w:rsidP="00E1448E">
            <w:pPr>
              <w:spacing w:after="0"/>
              <w:jc w:val="center"/>
              <w:rPr>
                <w:rFonts w:eastAsia="Times New Roman" w:cs="Times New Roman"/>
                <w:color w:val="000000"/>
                <w:szCs w:val="28"/>
              </w:rPr>
            </w:pPr>
            <w:r w:rsidRPr="00CA099F">
              <w:rPr>
                <w:rFonts w:eastAsia="Times New Roman" w:cs="Times New Roman"/>
                <w:color w:val="000000"/>
                <w:szCs w:val="24"/>
              </w:rPr>
              <w:t>р</w:t>
            </w:r>
            <w:r w:rsidRPr="00CA099F">
              <w:rPr>
                <w:rFonts w:eastAsia="Times New Roman" w:cs="Times New Roman"/>
                <w:color w:val="000000"/>
                <w:szCs w:val="24"/>
                <w:vertAlign w:val="subscript"/>
              </w:rPr>
              <w:t>1</w:t>
            </w:r>
            <w:r w:rsidRPr="00CA099F">
              <w:rPr>
                <w:rFonts w:eastAsia="Times New Roman" w:cs="Times New Roman"/>
                <w:color w:val="000000"/>
                <w:szCs w:val="24"/>
              </w:rPr>
              <w:t>&lt;0,001</w:t>
            </w:r>
          </w:p>
        </w:tc>
        <w:tc>
          <w:tcPr>
            <w:tcW w:w="484" w:type="pct"/>
          </w:tcPr>
          <w:p w:rsidR="0030517B" w:rsidRPr="00CA099F" w:rsidRDefault="0030517B" w:rsidP="00E1448E">
            <w:pPr>
              <w:spacing w:after="0"/>
              <w:jc w:val="center"/>
              <w:rPr>
                <w:rFonts w:eastAsia="Times New Roman" w:cs="Times New Roman"/>
                <w:szCs w:val="28"/>
              </w:rPr>
            </w:pPr>
          </w:p>
        </w:tc>
        <w:tc>
          <w:tcPr>
            <w:tcW w:w="664" w:type="pct"/>
          </w:tcPr>
          <w:p w:rsidR="0030517B" w:rsidRPr="00CA099F" w:rsidRDefault="0030517B" w:rsidP="00E1448E">
            <w:pPr>
              <w:spacing w:after="0"/>
              <w:jc w:val="center"/>
              <w:rPr>
                <w:rFonts w:eastAsia="Times New Roman" w:cs="Times New Roman"/>
                <w:color w:val="000000"/>
                <w:szCs w:val="28"/>
              </w:rPr>
            </w:pPr>
            <w:r w:rsidRPr="00CA099F">
              <w:rPr>
                <w:rFonts w:eastAsia="Times New Roman" w:cs="Times New Roman"/>
                <w:color w:val="000000"/>
                <w:szCs w:val="24"/>
              </w:rPr>
              <w:t>р</w:t>
            </w:r>
            <w:r w:rsidRPr="00CA099F">
              <w:rPr>
                <w:rFonts w:eastAsia="Times New Roman" w:cs="Times New Roman"/>
                <w:color w:val="000000"/>
                <w:szCs w:val="24"/>
                <w:vertAlign w:val="subscript"/>
              </w:rPr>
              <w:t>2</w:t>
            </w:r>
            <w:r w:rsidRPr="00CA099F">
              <w:rPr>
                <w:rFonts w:eastAsia="Times New Roman" w:cs="Times New Roman"/>
                <w:color w:val="000000"/>
                <w:szCs w:val="24"/>
              </w:rPr>
              <w:t>&lt;0,01</w:t>
            </w:r>
          </w:p>
        </w:tc>
        <w:tc>
          <w:tcPr>
            <w:tcW w:w="574" w:type="pct"/>
          </w:tcPr>
          <w:p w:rsidR="0030517B" w:rsidRPr="00CA099F" w:rsidRDefault="0030517B" w:rsidP="00E1448E">
            <w:pPr>
              <w:spacing w:after="0" w:line="240" w:lineRule="auto"/>
              <w:jc w:val="center"/>
              <w:rPr>
                <w:rFonts w:eastAsia="Times New Roman" w:cs="Times New Roman"/>
                <w:szCs w:val="28"/>
              </w:rPr>
            </w:pPr>
          </w:p>
        </w:tc>
        <w:tc>
          <w:tcPr>
            <w:tcW w:w="569" w:type="pct"/>
          </w:tcPr>
          <w:p w:rsidR="0030517B" w:rsidRPr="00CA099F" w:rsidRDefault="0030517B" w:rsidP="00E1448E">
            <w:pPr>
              <w:spacing w:after="0" w:line="240" w:lineRule="auto"/>
              <w:jc w:val="center"/>
              <w:rPr>
                <w:rFonts w:eastAsia="Times New Roman" w:cs="Times New Roman"/>
                <w:color w:val="000000"/>
                <w:szCs w:val="28"/>
              </w:rPr>
            </w:pPr>
          </w:p>
        </w:tc>
      </w:tr>
      <w:tr w:rsidR="0030517B" w:rsidRPr="00CA099F" w:rsidTr="00E1448E">
        <w:tc>
          <w:tcPr>
            <w:tcW w:w="5000" w:type="pct"/>
            <w:gridSpan w:val="9"/>
          </w:tcPr>
          <w:p w:rsidR="0030517B" w:rsidRPr="00CA099F" w:rsidRDefault="0030517B" w:rsidP="00E1448E">
            <w:pPr>
              <w:spacing w:after="0" w:line="240" w:lineRule="auto"/>
              <w:jc w:val="both"/>
              <w:rPr>
                <w:rFonts w:eastAsia="Times New Roman" w:cs="Times New Roman"/>
                <w:szCs w:val="28"/>
              </w:rPr>
            </w:pPr>
            <w:r w:rsidRPr="00CA099F">
              <w:rPr>
                <w:rFonts w:eastAsia="Times New Roman" w:cs="Times New Roman"/>
                <w:sz w:val="28"/>
                <w:szCs w:val="28"/>
              </w:rPr>
              <w:t>Примітка:</w:t>
            </w:r>
          </w:p>
          <w:p w:rsidR="0030517B" w:rsidRPr="00CA099F" w:rsidRDefault="0030517B" w:rsidP="00E1448E">
            <w:pPr>
              <w:spacing w:after="0" w:line="240" w:lineRule="auto"/>
              <w:jc w:val="both"/>
              <w:rPr>
                <w:rFonts w:eastAsia="Times New Roman" w:cs="Times New Roman"/>
                <w:szCs w:val="28"/>
              </w:rPr>
            </w:pPr>
            <w:r w:rsidRPr="00CA099F">
              <w:rPr>
                <w:rFonts w:eastAsia="Times New Roman" w:cs="Times New Roman"/>
                <w:sz w:val="28"/>
                <w:szCs w:val="28"/>
              </w:rPr>
              <w:t>*- різниця достовірна стосовно даних групи порівняння в межах одного терміну спостереження</w:t>
            </w:r>
          </w:p>
          <w:p w:rsidR="0030517B" w:rsidRPr="00CA099F" w:rsidRDefault="0030517B" w:rsidP="00E1448E">
            <w:pPr>
              <w:tabs>
                <w:tab w:val="left" w:pos="709"/>
              </w:tabs>
              <w:spacing w:after="0" w:line="240" w:lineRule="auto"/>
              <w:ind w:right="-6"/>
              <w:jc w:val="both"/>
              <w:rPr>
                <w:rFonts w:eastAsia="Times New Roman" w:cs="Times New Roman"/>
                <w:color w:val="000000"/>
                <w:szCs w:val="28"/>
              </w:rPr>
            </w:pPr>
            <w:r w:rsidRPr="00CA099F">
              <w:rPr>
                <w:rFonts w:eastAsia="Times New Roman" w:cs="Times New Roman"/>
                <w:color w:val="000000"/>
                <w:sz w:val="28"/>
                <w:szCs w:val="28"/>
              </w:rPr>
              <w:t>р</w:t>
            </w:r>
            <w:r w:rsidRPr="00CA099F">
              <w:rPr>
                <w:rFonts w:eastAsia="Times New Roman" w:cs="Times New Roman"/>
                <w:color w:val="000000"/>
                <w:sz w:val="28"/>
                <w:szCs w:val="28"/>
                <w:vertAlign w:val="subscript"/>
              </w:rPr>
              <w:t>1</w:t>
            </w:r>
            <w:r w:rsidRPr="00CA099F">
              <w:rPr>
                <w:rFonts w:eastAsia="Times New Roman" w:cs="Times New Roman"/>
                <w:color w:val="000000"/>
                <w:sz w:val="28"/>
                <w:szCs w:val="28"/>
              </w:rPr>
              <w:t xml:space="preserve"> –показник достовірності між дослідними групами, термін спостереження 3 і 6 місяців; </w:t>
            </w:r>
          </w:p>
          <w:p w:rsidR="0030517B" w:rsidRPr="00CA099F" w:rsidRDefault="0030517B" w:rsidP="00E1448E">
            <w:pPr>
              <w:spacing w:after="0" w:line="240" w:lineRule="auto"/>
              <w:jc w:val="both"/>
              <w:rPr>
                <w:rFonts w:eastAsia="Times New Roman" w:cs="Times New Roman"/>
                <w:color w:val="000000"/>
                <w:szCs w:val="28"/>
              </w:rPr>
            </w:pPr>
            <w:r w:rsidRPr="00CA099F">
              <w:rPr>
                <w:rFonts w:eastAsia="Times New Roman" w:cs="Times New Roman"/>
                <w:color w:val="000000"/>
                <w:sz w:val="28"/>
                <w:szCs w:val="28"/>
              </w:rPr>
              <w:t>р</w:t>
            </w:r>
            <w:r w:rsidRPr="00CA099F">
              <w:rPr>
                <w:rFonts w:eastAsia="Times New Roman" w:cs="Times New Roman"/>
                <w:color w:val="000000"/>
                <w:sz w:val="28"/>
                <w:szCs w:val="28"/>
                <w:vertAlign w:val="subscript"/>
              </w:rPr>
              <w:t xml:space="preserve">2 </w:t>
            </w:r>
            <w:r w:rsidRPr="00CA099F">
              <w:rPr>
                <w:rFonts w:eastAsia="Times New Roman" w:cs="Times New Roman"/>
                <w:color w:val="000000"/>
                <w:sz w:val="28"/>
                <w:szCs w:val="28"/>
              </w:rPr>
              <w:t>–показник достовірності між дослідними групами, термін спостереження 6 і 9 місяців;</w:t>
            </w:r>
          </w:p>
          <w:p w:rsidR="0030517B" w:rsidRPr="00CA099F" w:rsidRDefault="0030517B" w:rsidP="00E1448E">
            <w:pPr>
              <w:spacing w:after="0" w:line="240" w:lineRule="auto"/>
              <w:jc w:val="both"/>
              <w:rPr>
                <w:rFonts w:eastAsia="Times New Roman" w:cs="Times New Roman"/>
                <w:color w:val="000000"/>
                <w:szCs w:val="28"/>
              </w:rPr>
            </w:pPr>
            <w:r w:rsidRPr="00CA099F">
              <w:rPr>
                <w:rFonts w:eastAsia="Times New Roman" w:cs="Times New Roman"/>
                <w:color w:val="000000"/>
                <w:sz w:val="28"/>
                <w:szCs w:val="28"/>
              </w:rPr>
              <w:t>р</w:t>
            </w:r>
            <w:r w:rsidRPr="00CA099F">
              <w:rPr>
                <w:rFonts w:eastAsia="Times New Roman" w:cs="Times New Roman"/>
                <w:color w:val="000000"/>
                <w:sz w:val="28"/>
                <w:szCs w:val="28"/>
                <w:vertAlign w:val="subscript"/>
              </w:rPr>
              <w:t xml:space="preserve">3 </w:t>
            </w:r>
            <w:r w:rsidRPr="00CA099F">
              <w:rPr>
                <w:rFonts w:eastAsia="Times New Roman" w:cs="Times New Roman"/>
                <w:color w:val="000000"/>
                <w:sz w:val="28"/>
                <w:szCs w:val="28"/>
              </w:rPr>
              <w:t>–показник достовірності між дослідними групами, термін спостереження 9 і 12 місяців</w:t>
            </w:r>
          </w:p>
        </w:tc>
      </w:tr>
    </w:tbl>
    <w:p w:rsidR="00E6030B" w:rsidRDefault="00E6030B" w:rsidP="0030517B">
      <w:pPr>
        <w:spacing w:after="0" w:line="360" w:lineRule="auto"/>
        <w:jc w:val="both"/>
        <w:rPr>
          <w:rFonts w:eastAsia="Times New Roman" w:cs="Times New Roman"/>
          <w:sz w:val="28"/>
          <w:szCs w:val="28"/>
        </w:rPr>
      </w:pPr>
    </w:p>
    <w:p w:rsidR="0030517B" w:rsidRPr="00CA099F" w:rsidRDefault="0030517B" w:rsidP="00FC65A6">
      <w:pPr>
        <w:spacing w:after="0" w:line="360" w:lineRule="auto"/>
        <w:ind w:firstLine="709"/>
        <w:jc w:val="both"/>
        <w:rPr>
          <w:rFonts w:eastAsia="Times New Roman" w:cs="Times New Roman"/>
          <w:sz w:val="28"/>
          <w:szCs w:val="28"/>
        </w:rPr>
      </w:pPr>
      <w:r w:rsidRPr="00CA099F">
        <w:rPr>
          <w:rFonts w:eastAsia="Times New Roman" w:cs="Times New Roman"/>
          <w:sz w:val="28"/>
          <w:szCs w:val="28"/>
        </w:rPr>
        <w:t xml:space="preserve">Аналізуючи зміни активності еластази у гомогенаті шкіри пацієнтів з різними видами інтра- та післяопераційної профілактики патологічних рубців шкіри при хірургічному лікуванні кіст шиї ембріонального походження відносно показників інтактної групи пацієнтів (рис. 5.12) найвищі показники встановлено у пацієнтів контрольної групи (через 3 місяці спостереження достовірне переважання на 90,0 %, через 6 – на 44,9 % і через 9 – на 13,7 %). Найнижчі показники активності еластази спостерігалися у пацієнтів, яким під час оперативного втручання введено PRF-згусток, а на післяопераційному етапі було застосовано </w:t>
      </w:r>
      <w:r w:rsidR="009A789C">
        <w:rPr>
          <w:rFonts w:eastAsia="Times New Roman" w:cs="Times New Roman"/>
          <w:sz w:val="28"/>
          <w:szCs w:val="28"/>
        </w:rPr>
        <w:t>церулоплазмін</w:t>
      </w:r>
      <w:r w:rsidRPr="00CA099F">
        <w:rPr>
          <w:rFonts w:eastAsia="Times New Roman" w:cs="Times New Roman"/>
          <w:sz w:val="28"/>
          <w:szCs w:val="28"/>
        </w:rPr>
        <w:t xml:space="preserve">. Так, через 3 місяці даний показник </w:t>
      </w:r>
      <w:r w:rsidRPr="00CA099F">
        <w:rPr>
          <w:rFonts w:eastAsia="Times New Roman" w:cs="Times New Roman"/>
          <w:sz w:val="28"/>
          <w:szCs w:val="28"/>
        </w:rPr>
        <w:lastRenderedPageBreak/>
        <w:t xml:space="preserve">перевищував показник інтактної групи на 31,0 %, </w:t>
      </w:r>
      <w:r w:rsidR="00F41B42">
        <w:rPr>
          <w:rFonts w:eastAsia="Times New Roman" w:cs="Times New Roman"/>
          <w:sz w:val="28"/>
          <w:szCs w:val="28"/>
          <w:lang w:val="ru-RU"/>
        </w:rPr>
        <w:t xml:space="preserve">а </w:t>
      </w:r>
      <w:r w:rsidRPr="00CA099F">
        <w:rPr>
          <w:rFonts w:eastAsia="Times New Roman" w:cs="Times New Roman"/>
          <w:sz w:val="28"/>
          <w:szCs w:val="28"/>
        </w:rPr>
        <w:t>через 6, 9 та 12 місяців – достовірно не відрізнявся.</w:t>
      </w:r>
    </w:p>
    <w:p w:rsidR="0030517B" w:rsidRPr="00CA099F" w:rsidRDefault="0030517B" w:rsidP="0030517B">
      <w:pPr>
        <w:spacing w:after="0" w:line="360" w:lineRule="auto"/>
        <w:jc w:val="both"/>
        <w:rPr>
          <w:rFonts w:eastAsia="Times New Roman" w:cs="Times New Roman"/>
          <w:sz w:val="28"/>
          <w:szCs w:val="28"/>
        </w:rPr>
      </w:pPr>
      <w:r w:rsidRPr="00CA099F">
        <w:rPr>
          <w:rFonts w:ascii="Calibri" w:eastAsia="Times New Roman" w:hAnsi="Calibri" w:cs="Times New Roman"/>
          <w:noProof/>
          <w:sz w:val="22"/>
          <w:lang w:val="ru-RU" w:eastAsia="ru-RU"/>
        </w:rPr>
        <w:drawing>
          <wp:inline distT="0" distB="0" distL="0" distR="0" wp14:anchorId="6BF502A4" wp14:editId="3173344E">
            <wp:extent cx="5248275" cy="2486025"/>
            <wp:effectExtent l="0" t="0" r="9525" b="9525"/>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248275" cy="2486025"/>
                    </a:xfrm>
                    <a:prstGeom prst="rect">
                      <a:avLst/>
                    </a:prstGeom>
                    <a:noFill/>
                    <a:ln>
                      <a:noFill/>
                    </a:ln>
                  </pic:spPr>
                </pic:pic>
              </a:graphicData>
            </a:graphic>
          </wp:inline>
        </w:drawing>
      </w:r>
    </w:p>
    <w:p w:rsidR="0030517B" w:rsidRPr="00CA099F" w:rsidRDefault="00E61D0F" w:rsidP="0030517B">
      <w:pPr>
        <w:spacing w:after="0" w:line="360" w:lineRule="auto"/>
        <w:jc w:val="both"/>
        <w:rPr>
          <w:rFonts w:eastAsia="Times New Roman" w:cs="Times New Roman"/>
          <w:sz w:val="28"/>
          <w:szCs w:val="28"/>
        </w:rPr>
      </w:pPr>
      <w:r>
        <w:rPr>
          <w:rFonts w:eastAsia="Times New Roman" w:cs="Times New Roman"/>
          <w:sz w:val="28"/>
          <w:szCs w:val="28"/>
        </w:rPr>
        <w:t>Рисунок 5.12 Графічне зображення</w:t>
      </w:r>
      <w:r w:rsidR="0030517B" w:rsidRPr="00CA099F">
        <w:rPr>
          <w:rFonts w:eastAsia="Times New Roman" w:cs="Times New Roman"/>
          <w:sz w:val="28"/>
          <w:szCs w:val="28"/>
        </w:rPr>
        <w:t xml:space="preserve"> змін активності еластази у гомогенаті шкіри пацієнтів з різними видами інтра- та післяопераційної профілактики патологічних рубців шкіри при хірургічному лікуванні кіст шиї ембріонального походження у відсотках (*- різниця достовірна стосовно даних інтактної групи).</w:t>
      </w:r>
    </w:p>
    <w:p w:rsidR="0030517B" w:rsidRPr="00CA099F" w:rsidRDefault="0030517B" w:rsidP="0030517B">
      <w:pPr>
        <w:spacing w:after="0" w:line="360" w:lineRule="auto"/>
        <w:jc w:val="both"/>
        <w:rPr>
          <w:rFonts w:eastAsia="Times New Roman" w:cs="Times New Roman"/>
          <w:sz w:val="28"/>
          <w:szCs w:val="28"/>
        </w:rPr>
      </w:pPr>
    </w:p>
    <w:p w:rsidR="0030517B" w:rsidRPr="009C2EE8" w:rsidRDefault="0030517B" w:rsidP="009C2EE8">
      <w:pPr>
        <w:spacing w:after="0" w:line="360" w:lineRule="auto"/>
        <w:ind w:firstLine="709"/>
        <w:jc w:val="both"/>
        <w:rPr>
          <w:rFonts w:eastAsia="Times New Roman" w:cs="Times New Roman"/>
          <w:b/>
          <w:sz w:val="28"/>
          <w:szCs w:val="28"/>
        </w:rPr>
      </w:pPr>
      <w:r w:rsidRPr="009C2EE8">
        <w:rPr>
          <w:rFonts w:eastAsia="Times New Roman" w:cs="Times New Roman"/>
          <w:b/>
          <w:sz w:val="28"/>
          <w:szCs w:val="28"/>
        </w:rPr>
        <w:t>5.5 Динаміка змін показників запалення, мікробного обсіменіння та неспецифічного імунітету</w:t>
      </w:r>
    </w:p>
    <w:p w:rsidR="0030517B" w:rsidRPr="00CA099F" w:rsidRDefault="0030517B" w:rsidP="0030517B">
      <w:pPr>
        <w:spacing w:after="0" w:line="360" w:lineRule="auto"/>
        <w:jc w:val="both"/>
        <w:rPr>
          <w:rFonts w:eastAsia="Times New Roman" w:cs="Times New Roman"/>
          <w:b/>
          <w:sz w:val="28"/>
          <w:szCs w:val="28"/>
        </w:rPr>
      </w:pPr>
    </w:p>
    <w:p w:rsidR="0030517B" w:rsidRPr="00CA099F" w:rsidRDefault="00E61D0F" w:rsidP="0030517B">
      <w:pPr>
        <w:spacing w:after="0" w:line="360" w:lineRule="auto"/>
        <w:jc w:val="both"/>
        <w:rPr>
          <w:rFonts w:ascii="Calibri" w:eastAsia="Times New Roman" w:hAnsi="Calibri" w:cs="Times New Roman"/>
          <w:sz w:val="28"/>
          <w:szCs w:val="28"/>
        </w:rPr>
      </w:pPr>
      <w:r>
        <w:rPr>
          <w:rFonts w:eastAsia="Times New Roman" w:cs="Times New Roman"/>
          <w:sz w:val="28"/>
          <w:szCs w:val="28"/>
        </w:rPr>
        <w:tab/>
      </w:r>
      <w:r w:rsidR="0030517B" w:rsidRPr="00CA099F">
        <w:rPr>
          <w:rFonts w:eastAsia="Times New Roman" w:cs="Times New Roman"/>
          <w:sz w:val="28"/>
          <w:szCs w:val="28"/>
        </w:rPr>
        <w:t>Лізоцим є ферментом мурамідазою (ацетил амінополісахаридазою), який володіє літичною і бактерицидною дією, руйнуючи мурамову кислоту клітинних оболонок.</w:t>
      </w:r>
    </w:p>
    <w:p w:rsidR="0030517B" w:rsidRPr="00CA099F" w:rsidRDefault="00E61D0F" w:rsidP="0030517B">
      <w:pPr>
        <w:spacing w:after="0" w:line="360" w:lineRule="auto"/>
        <w:jc w:val="both"/>
        <w:rPr>
          <w:rFonts w:eastAsia="Times New Roman" w:cs="Times New Roman"/>
          <w:sz w:val="28"/>
          <w:szCs w:val="28"/>
        </w:rPr>
      </w:pPr>
      <w:r>
        <w:rPr>
          <w:rFonts w:eastAsia="Times New Roman" w:cs="Times New Roman"/>
          <w:sz w:val="28"/>
          <w:szCs w:val="28"/>
        </w:rPr>
        <w:tab/>
      </w:r>
      <w:r w:rsidR="0030517B" w:rsidRPr="00CA099F">
        <w:rPr>
          <w:rFonts w:eastAsia="Times New Roman" w:cs="Times New Roman"/>
          <w:sz w:val="28"/>
          <w:szCs w:val="28"/>
        </w:rPr>
        <w:t>Результати наших досліджень показали, що даний показник у гомогенаті шкіри пацієнтів, яким під час оперативного втручання введено PRF-згусток, через 3 місяці спостереження</w:t>
      </w:r>
      <w:r w:rsidR="00A77B45">
        <w:rPr>
          <w:rFonts w:eastAsia="Times New Roman" w:cs="Times New Roman"/>
          <w:sz w:val="28"/>
          <w:szCs w:val="28"/>
        </w:rPr>
        <w:t xml:space="preserve"> був достовірно більшим на 26,6</w:t>
      </w:r>
      <w:r w:rsidR="00A77B45">
        <w:rPr>
          <w:rFonts w:eastAsia="Times New Roman" w:cs="Times New Roman"/>
          <w:sz w:val="28"/>
          <w:szCs w:val="28"/>
          <w:lang w:val="ru-RU"/>
        </w:rPr>
        <w:t> </w:t>
      </w:r>
      <w:r w:rsidR="0030517B" w:rsidRPr="00CA099F">
        <w:rPr>
          <w:rFonts w:eastAsia="Times New Roman" w:cs="Times New Roman"/>
          <w:sz w:val="28"/>
          <w:szCs w:val="28"/>
        </w:rPr>
        <w:t>%, через 6 – на 21,9 %, стосовно даних третьої групи (табл. 5.10). У пацієнтів першої і третьої груп через 9 та 12 місяців даний показник достовірно не відрізнявся.</w:t>
      </w:r>
    </w:p>
    <w:p w:rsidR="0030517B" w:rsidRPr="00CA099F" w:rsidRDefault="00E61D0F" w:rsidP="0030517B">
      <w:pPr>
        <w:spacing w:after="0" w:line="360" w:lineRule="auto"/>
        <w:jc w:val="both"/>
        <w:rPr>
          <w:rFonts w:eastAsia="Times New Roman" w:cs="Times New Roman"/>
          <w:color w:val="000000"/>
          <w:sz w:val="28"/>
          <w:szCs w:val="28"/>
        </w:rPr>
      </w:pPr>
      <w:r>
        <w:rPr>
          <w:rFonts w:eastAsia="Times New Roman" w:cs="Times New Roman"/>
          <w:sz w:val="28"/>
          <w:szCs w:val="28"/>
        </w:rPr>
        <w:tab/>
      </w:r>
      <w:r w:rsidR="0030517B" w:rsidRPr="00CA099F">
        <w:rPr>
          <w:rFonts w:eastAsia="Times New Roman" w:cs="Times New Roman"/>
          <w:sz w:val="28"/>
          <w:szCs w:val="28"/>
        </w:rPr>
        <w:t xml:space="preserve">Слід зазначити, що вміст лізоциму змінювався впродовж терміну спостереження. Так, у пацієнтів, яким під час оперативного втручання введено </w:t>
      </w:r>
      <w:r w:rsidR="0030517B" w:rsidRPr="00CA099F">
        <w:rPr>
          <w:rFonts w:eastAsia="Times New Roman" w:cs="Times New Roman"/>
          <w:sz w:val="28"/>
          <w:szCs w:val="28"/>
        </w:rPr>
        <w:lastRenderedPageBreak/>
        <w:t>PRF-згусток, через 6 місяців даний показник був на 21,9 % (</w:t>
      </w:r>
      <w:r w:rsidR="0030517B" w:rsidRPr="00CA099F">
        <w:rPr>
          <w:rFonts w:eastAsia="Times New Roman" w:cs="Times New Roman"/>
          <w:color w:val="000000"/>
          <w:sz w:val="28"/>
          <w:szCs w:val="28"/>
        </w:rPr>
        <w:t xml:space="preserve">р&lt;0,001) </w:t>
      </w:r>
      <w:r w:rsidR="0030517B" w:rsidRPr="00CA099F">
        <w:rPr>
          <w:rFonts w:eastAsia="Times New Roman" w:cs="Times New Roman"/>
          <w:sz w:val="28"/>
          <w:szCs w:val="28"/>
        </w:rPr>
        <w:t>вищим, стосовно даних попереднього терміну спостереження, через 9 місяців – на 14,2 % (</w:t>
      </w:r>
      <w:r w:rsidR="0030517B" w:rsidRPr="00CA099F">
        <w:rPr>
          <w:rFonts w:eastAsia="Times New Roman" w:cs="Times New Roman"/>
          <w:color w:val="000000"/>
          <w:sz w:val="28"/>
          <w:szCs w:val="28"/>
        </w:rPr>
        <w:t xml:space="preserve">р&lt;0,01), через 12 </w:t>
      </w:r>
      <w:r w:rsidR="0030517B" w:rsidRPr="00CA099F">
        <w:rPr>
          <w:rFonts w:eastAsia="Times New Roman" w:cs="Times New Roman"/>
          <w:sz w:val="28"/>
          <w:szCs w:val="28"/>
        </w:rPr>
        <w:t>– на 4,5  %</w:t>
      </w:r>
      <w:r w:rsidR="0030517B" w:rsidRPr="00CA099F">
        <w:rPr>
          <w:rFonts w:eastAsia="Times New Roman" w:cs="Times New Roman"/>
          <w:color w:val="000000"/>
          <w:sz w:val="28"/>
          <w:szCs w:val="28"/>
        </w:rPr>
        <w:t xml:space="preserve">. </w:t>
      </w:r>
    </w:p>
    <w:p w:rsidR="0030517B" w:rsidRPr="00CA099F" w:rsidRDefault="0030517B" w:rsidP="0030517B">
      <w:pPr>
        <w:spacing w:after="0" w:line="360" w:lineRule="auto"/>
        <w:jc w:val="right"/>
        <w:rPr>
          <w:rFonts w:eastAsia="Times New Roman" w:cs="Times New Roman"/>
          <w:i/>
          <w:sz w:val="28"/>
          <w:szCs w:val="28"/>
        </w:rPr>
      </w:pPr>
      <w:r w:rsidRPr="00CA099F">
        <w:rPr>
          <w:rFonts w:eastAsia="Times New Roman" w:cs="Times New Roman"/>
          <w:i/>
          <w:sz w:val="28"/>
          <w:szCs w:val="28"/>
        </w:rPr>
        <w:t>Таблиця 5.10.</w:t>
      </w:r>
    </w:p>
    <w:p w:rsidR="0030517B" w:rsidRPr="00CA099F" w:rsidRDefault="0030517B" w:rsidP="0030517B">
      <w:pPr>
        <w:spacing w:after="0" w:line="360" w:lineRule="auto"/>
        <w:jc w:val="center"/>
        <w:rPr>
          <w:rFonts w:eastAsia="Times New Roman" w:cs="Times New Roman"/>
          <w:sz w:val="28"/>
          <w:szCs w:val="28"/>
        </w:rPr>
      </w:pPr>
      <w:r w:rsidRPr="00CA099F">
        <w:rPr>
          <w:rFonts w:eastAsia="Times New Roman" w:cs="Times New Roman"/>
          <w:sz w:val="28"/>
          <w:szCs w:val="28"/>
        </w:rPr>
        <w:t>Показники запалення, мікробного обсіменіння та неспецифічного імунітету у гомогенаті шкіри за умови використання PRF-згустка та церулоплазміну</w:t>
      </w:r>
    </w:p>
    <w:p w:rsidR="0030517B" w:rsidRPr="00CA099F" w:rsidRDefault="0030517B" w:rsidP="0030517B">
      <w:pPr>
        <w:spacing w:after="0"/>
        <w:rPr>
          <w:rFonts w:ascii="Calibri" w:eastAsia="Times New Roman" w:hAnsi="Calibri" w:cs="Times New Roman"/>
          <w:sz w:val="22"/>
        </w:rPr>
      </w:pPr>
    </w:p>
    <w:tbl>
      <w:tblPr>
        <w:tblW w:w="5092"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41"/>
        <w:gridCol w:w="879"/>
        <w:gridCol w:w="1053"/>
        <w:gridCol w:w="976"/>
        <w:gridCol w:w="1093"/>
        <w:gridCol w:w="1093"/>
        <w:gridCol w:w="1093"/>
        <w:gridCol w:w="1093"/>
        <w:gridCol w:w="1096"/>
      </w:tblGrid>
      <w:tr w:rsidR="0030517B" w:rsidRPr="00CA099F" w:rsidTr="00E1448E">
        <w:tc>
          <w:tcPr>
            <w:tcW w:w="600" w:type="pct"/>
            <w:vMerge w:val="restart"/>
            <w:vAlign w:val="center"/>
          </w:tcPr>
          <w:p w:rsidR="0030517B" w:rsidRPr="00CA099F" w:rsidRDefault="0030517B" w:rsidP="00E1448E">
            <w:pPr>
              <w:spacing w:after="0" w:line="240" w:lineRule="auto"/>
              <w:ind w:right="-90"/>
              <w:jc w:val="center"/>
              <w:rPr>
                <w:rFonts w:eastAsia="Times New Roman" w:cs="Times New Roman"/>
                <w:szCs w:val="24"/>
              </w:rPr>
            </w:pPr>
            <w:r w:rsidRPr="00CA099F">
              <w:rPr>
                <w:rFonts w:eastAsia="Times New Roman" w:cs="Times New Roman"/>
                <w:szCs w:val="24"/>
              </w:rPr>
              <w:t>Показник</w:t>
            </w:r>
          </w:p>
        </w:tc>
        <w:tc>
          <w:tcPr>
            <w:tcW w:w="1015" w:type="pct"/>
            <w:gridSpan w:val="2"/>
          </w:tcPr>
          <w:p w:rsidR="0030517B" w:rsidRPr="00CA099F" w:rsidRDefault="0030517B" w:rsidP="00E1448E">
            <w:pPr>
              <w:spacing w:after="0" w:line="240" w:lineRule="auto"/>
              <w:jc w:val="center"/>
              <w:rPr>
                <w:rFonts w:eastAsia="Times New Roman" w:cs="Times New Roman"/>
                <w:szCs w:val="28"/>
              </w:rPr>
            </w:pPr>
            <w:r w:rsidRPr="00CA099F">
              <w:rPr>
                <w:rFonts w:eastAsia="Times New Roman" w:cs="Times New Roman"/>
                <w:sz w:val="28"/>
                <w:szCs w:val="28"/>
              </w:rPr>
              <w:t>3 місяці</w:t>
            </w:r>
          </w:p>
        </w:tc>
        <w:tc>
          <w:tcPr>
            <w:tcW w:w="1087" w:type="pct"/>
            <w:gridSpan w:val="2"/>
          </w:tcPr>
          <w:p w:rsidR="0030517B" w:rsidRPr="00CA099F" w:rsidRDefault="0030517B" w:rsidP="00E1448E">
            <w:pPr>
              <w:spacing w:after="0" w:line="240" w:lineRule="auto"/>
              <w:jc w:val="center"/>
              <w:rPr>
                <w:rFonts w:eastAsia="Times New Roman" w:cs="Times New Roman"/>
                <w:szCs w:val="28"/>
              </w:rPr>
            </w:pPr>
            <w:r w:rsidRPr="00CA099F">
              <w:rPr>
                <w:rFonts w:eastAsia="Times New Roman" w:cs="Times New Roman"/>
                <w:sz w:val="28"/>
                <w:szCs w:val="28"/>
              </w:rPr>
              <w:t>6 місяців</w:t>
            </w:r>
          </w:p>
        </w:tc>
        <w:tc>
          <w:tcPr>
            <w:tcW w:w="1148" w:type="pct"/>
            <w:gridSpan w:val="2"/>
          </w:tcPr>
          <w:p w:rsidR="0030517B" w:rsidRPr="00CA099F" w:rsidRDefault="0030517B" w:rsidP="00E1448E">
            <w:pPr>
              <w:spacing w:after="0" w:line="240" w:lineRule="auto"/>
              <w:jc w:val="center"/>
              <w:rPr>
                <w:rFonts w:eastAsia="Times New Roman" w:cs="Times New Roman"/>
                <w:szCs w:val="28"/>
              </w:rPr>
            </w:pPr>
            <w:r w:rsidRPr="00CA099F">
              <w:rPr>
                <w:rFonts w:eastAsia="Times New Roman" w:cs="Times New Roman"/>
                <w:sz w:val="28"/>
                <w:szCs w:val="28"/>
              </w:rPr>
              <w:t>9 місяців</w:t>
            </w:r>
          </w:p>
        </w:tc>
        <w:tc>
          <w:tcPr>
            <w:tcW w:w="1149" w:type="pct"/>
            <w:gridSpan w:val="2"/>
          </w:tcPr>
          <w:p w:rsidR="0030517B" w:rsidRPr="00CA099F" w:rsidRDefault="0030517B" w:rsidP="00E1448E">
            <w:pPr>
              <w:spacing w:after="0" w:line="240" w:lineRule="auto"/>
              <w:jc w:val="center"/>
              <w:rPr>
                <w:rFonts w:eastAsia="Times New Roman" w:cs="Times New Roman"/>
                <w:szCs w:val="28"/>
              </w:rPr>
            </w:pPr>
            <w:r w:rsidRPr="00CA099F">
              <w:rPr>
                <w:rFonts w:eastAsia="Times New Roman" w:cs="Times New Roman"/>
                <w:sz w:val="28"/>
                <w:szCs w:val="28"/>
              </w:rPr>
              <w:t>12 місяців</w:t>
            </w:r>
          </w:p>
        </w:tc>
      </w:tr>
      <w:tr w:rsidR="0030517B" w:rsidRPr="00CA099F" w:rsidTr="00E1448E">
        <w:tc>
          <w:tcPr>
            <w:tcW w:w="600" w:type="pct"/>
            <w:vMerge/>
          </w:tcPr>
          <w:p w:rsidR="0030517B" w:rsidRPr="00CA099F" w:rsidRDefault="0030517B" w:rsidP="00E1448E">
            <w:pPr>
              <w:spacing w:after="0" w:line="240" w:lineRule="auto"/>
              <w:ind w:right="-90"/>
              <w:jc w:val="center"/>
              <w:rPr>
                <w:rFonts w:eastAsia="Times New Roman" w:cs="Times New Roman"/>
                <w:szCs w:val="28"/>
              </w:rPr>
            </w:pPr>
          </w:p>
        </w:tc>
        <w:tc>
          <w:tcPr>
            <w:tcW w:w="462" w:type="pct"/>
          </w:tcPr>
          <w:p w:rsidR="0030517B" w:rsidRPr="00CA099F" w:rsidRDefault="0030517B" w:rsidP="00E1448E">
            <w:pPr>
              <w:spacing w:after="0" w:line="240" w:lineRule="auto"/>
              <w:ind w:right="-87"/>
              <w:jc w:val="center"/>
              <w:rPr>
                <w:rFonts w:eastAsia="Times New Roman" w:cs="Times New Roman"/>
                <w:sz w:val="20"/>
                <w:szCs w:val="20"/>
              </w:rPr>
            </w:pPr>
            <w:r w:rsidRPr="00CA099F">
              <w:rPr>
                <w:rFonts w:eastAsia="Times New Roman" w:cs="Times New Roman"/>
                <w:sz w:val="20"/>
                <w:szCs w:val="20"/>
              </w:rPr>
              <w:t>Група контролю</w:t>
            </w:r>
            <w:r w:rsidR="00E61D0F">
              <w:rPr>
                <w:rFonts w:eastAsia="Times New Roman" w:cs="Times New Roman"/>
                <w:sz w:val="20"/>
                <w:szCs w:val="20"/>
              </w:rPr>
              <w:t xml:space="preserve"> </w:t>
            </w:r>
            <w:r w:rsidR="00E61D0F">
              <w:rPr>
                <w:rFonts w:eastAsia="Times New Roman" w:cs="Times New Roman"/>
                <w:szCs w:val="24"/>
              </w:rPr>
              <w:t>(</w:t>
            </w:r>
            <w:r w:rsidR="00E61D0F">
              <w:rPr>
                <w:rFonts w:eastAsia="Times New Roman" w:cs="Times New Roman"/>
                <w:szCs w:val="24"/>
                <w:lang w:val="en-US"/>
              </w:rPr>
              <w:t>n=20</w:t>
            </w:r>
            <w:r w:rsidR="00E61D0F">
              <w:rPr>
                <w:rFonts w:eastAsia="Times New Roman" w:cs="Times New Roman"/>
                <w:szCs w:val="24"/>
              </w:rPr>
              <w:t>)</w:t>
            </w:r>
          </w:p>
        </w:tc>
        <w:tc>
          <w:tcPr>
            <w:tcW w:w="553" w:type="pct"/>
          </w:tcPr>
          <w:p w:rsidR="0030517B" w:rsidRDefault="0030517B" w:rsidP="00E1448E">
            <w:pPr>
              <w:spacing w:after="0" w:line="240" w:lineRule="auto"/>
              <w:ind w:right="-87"/>
              <w:jc w:val="center"/>
              <w:rPr>
                <w:rFonts w:eastAsia="Times New Roman" w:cs="Times New Roman"/>
                <w:sz w:val="20"/>
                <w:szCs w:val="20"/>
              </w:rPr>
            </w:pPr>
            <w:r w:rsidRPr="00CA099F">
              <w:rPr>
                <w:rFonts w:eastAsia="Times New Roman" w:cs="Times New Roman"/>
                <w:sz w:val="20"/>
                <w:szCs w:val="20"/>
              </w:rPr>
              <w:t>1 група</w:t>
            </w:r>
          </w:p>
          <w:p w:rsidR="00E61D0F" w:rsidRPr="00CA099F" w:rsidRDefault="00E61D0F" w:rsidP="00E1448E">
            <w:pPr>
              <w:spacing w:after="0" w:line="240" w:lineRule="auto"/>
              <w:ind w:right="-87"/>
              <w:jc w:val="center"/>
              <w:rPr>
                <w:rFonts w:eastAsia="Times New Roman" w:cs="Times New Roman"/>
                <w:sz w:val="20"/>
                <w:szCs w:val="20"/>
              </w:rPr>
            </w:pPr>
            <w:r>
              <w:rPr>
                <w:rFonts w:eastAsia="Times New Roman" w:cs="Times New Roman"/>
                <w:szCs w:val="24"/>
              </w:rPr>
              <w:t>(</w:t>
            </w:r>
            <w:r>
              <w:rPr>
                <w:rFonts w:eastAsia="Times New Roman" w:cs="Times New Roman"/>
                <w:szCs w:val="24"/>
                <w:lang w:val="en-US"/>
              </w:rPr>
              <w:t>n=20</w:t>
            </w:r>
            <w:r>
              <w:rPr>
                <w:rFonts w:eastAsia="Times New Roman" w:cs="Times New Roman"/>
                <w:szCs w:val="24"/>
              </w:rPr>
              <w:t>)</w:t>
            </w:r>
          </w:p>
        </w:tc>
        <w:tc>
          <w:tcPr>
            <w:tcW w:w="513" w:type="pct"/>
          </w:tcPr>
          <w:p w:rsidR="0030517B" w:rsidRDefault="0030517B" w:rsidP="00E1448E">
            <w:pPr>
              <w:spacing w:after="0" w:line="240" w:lineRule="auto"/>
              <w:ind w:right="-87"/>
              <w:jc w:val="center"/>
              <w:rPr>
                <w:rFonts w:eastAsia="Times New Roman" w:cs="Times New Roman"/>
                <w:sz w:val="20"/>
                <w:szCs w:val="20"/>
              </w:rPr>
            </w:pPr>
            <w:r w:rsidRPr="00CA099F">
              <w:rPr>
                <w:rFonts w:eastAsia="Times New Roman" w:cs="Times New Roman"/>
                <w:sz w:val="20"/>
                <w:szCs w:val="20"/>
              </w:rPr>
              <w:t>Група контролю</w:t>
            </w:r>
          </w:p>
          <w:p w:rsidR="00E61D0F" w:rsidRPr="00CA099F" w:rsidRDefault="00E61D0F" w:rsidP="00E1448E">
            <w:pPr>
              <w:spacing w:after="0" w:line="240" w:lineRule="auto"/>
              <w:ind w:right="-87"/>
              <w:jc w:val="center"/>
              <w:rPr>
                <w:rFonts w:eastAsia="Times New Roman" w:cs="Times New Roman"/>
                <w:sz w:val="20"/>
                <w:szCs w:val="20"/>
              </w:rPr>
            </w:pPr>
            <w:r>
              <w:rPr>
                <w:rFonts w:eastAsia="Times New Roman" w:cs="Times New Roman"/>
                <w:szCs w:val="24"/>
              </w:rPr>
              <w:t>(</w:t>
            </w:r>
            <w:r>
              <w:rPr>
                <w:rFonts w:eastAsia="Times New Roman" w:cs="Times New Roman"/>
                <w:szCs w:val="24"/>
                <w:lang w:val="en-US"/>
              </w:rPr>
              <w:t>n=20</w:t>
            </w:r>
            <w:r>
              <w:rPr>
                <w:rFonts w:eastAsia="Times New Roman" w:cs="Times New Roman"/>
                <w:szCs w:val="24"/>
              </w:rPr>
              <w:t>)</w:t>
            </w:r>
          </w:p>
        </w:tc>
        <w:tc>
          <w:tcPr>
            <w:tcW w:w="574" w:type="pct"/>
          </w:tcPr>
          <w:p w:rsidR="0030517B" w:rsidRDefault="0030517B" w:rsidP="00E1448E">
            <w:pPr>
              <w:spacing w:after="0" w:line="240" w:lineRule="auto"/>
              <w:ind w:right="-87"/>
              <w:jc w:val="center"/>
              <w:rPr>
                <w:rFonts w:eastAsia="Times New Roman" w:cs="Times New Roman"/>
                <w:sz w:val="20"/>
                <w:szCs w:val="20"/>
              </w:rPr>
            </w:pPr>
            <w:r w:rsidRPr="00CA099F">
              <w:rPr>
                <w:rFonts w:eastAsia="Times New Roman" w:cs="Times New Roman"/>
                <w:sz w:val="20"/>
                <w:szCs w:val="20"/>
              </w:rPr>
              <w:t>1 група</w:t>
            </w:r>
          </w:p>
          <w:p w:rsidR="00E61D0F" w:rsidRPr="00CA099F" w:rsidRDefault="00E61D0F" w:rsidP="00E1448E">
            <w:pPr>
              <w:spacing w:after="0" w:line="240" w:lineRule="auto"/>
              <w:ind w:right="-87"/>
              <w:jc w:val="center"/>
              <w:rPr>
                <w:rFonts w:eastAsia="Times New Roman" w:cs="Times New Roman"/>
                <w:sz w:val="20"/>
                <w:szCs w:val="20"/>
              </w:rPr>
            </w:pPr>
            <w:r>
              <w:rPr>
                <w:rFonts w:eastAsia="Times New Roman" w:cs="Times New Roman"/>
                <w:szCs w:val="24"/>
              </w:rPr>
              <w:t>(</w:t>
            </w:r>
            <w:r>
              <w:rPr>
                <w:rFonts w:eastAsia="Times New Roman" w:cs="Times New Roman"/>
                <w:szCs w:val="24"/>
                <w:lang w:val="en-US"/>
              </w:rPr>
              <w:t>n=20</w:t>
            </w:r>
            <w:r>
              <w:rPr>
                <w:rFonts w:eastAsia="Times New Roman" w:cs="Times New Roman"/>
                <w:szCs w:val="24"/>
              </w:rPr>
              <w:t>)</w:t>
            </w:r>
          </w:p>
        </w:tc>
        <w:tc>
          <w:tcPr>
            <w:tcW w:w="574" w:type="pct"/>
          </w:tcPr>
          <w:p w:rsidR="0030517B" w:rsidRDefault="0030517B" w:rsidP="00E1448E">
            <w:pPr>
              <w:spacing w:after="0" w:line="240" w:lineRule="auto"/>
              <w:ind w:right="-87"/>
              <w:jc w:val="center"/>
              <w:rPr>
                <w:rFonts w:eastAsia="Times New Roman" w:cs="Times New Roman"/>
                <w:sz w:val="20"/>
                <w:szCs w:val="20"/>
              </w:rPr>
            </w:pPr>
            <w:r w:rsidRPr="00CA099F">
              <w:rPr>
                <w:rFonts w:eastAsia="Times New Roman" w:cs="Times New Roman"/>
                <w:sz w:val="20"/>
                <w:szCs w:val="20"/>
              </w:rPr>
              <w:t>Група контролю</w:t>
            </w:r>
          </w:p>
          <w:p w:rsidR="00E61D0F" w:rsidRPr="00CA099F" w:rsidRDefault="00E61D0F" w:rsidP="00E1448E">
            <w:pPr>
              <w:spacing w:after="0" w:line="240" w:lineRule="auto"/>
              <w:ind w:right="-87"/>
              <w:jc w:val="center"/>
              <w:rPr>
                <w:rFonts w:eastAsia="Times New Roman" w:cs="Times New Roman"/>
                <w:sz w:val="20"/>
                <w:szCs w:val="20"/>
              </w:rPr>
            </w:pPr>
            <w:r>
              <w:rPr>
                <w:rFonts w:eastAsia="Times New Roman" w:cs="Times New Roman"/>
                <w:szCs w:val="24"/>
              </w:rPr>
              <w:t>(</w:t>
            </w:r>
            <w:r>
              <w:rPr>
                <w:rFonts w:eastAsia="Times New Roman" w:cs="Times New Roman"/>
                <w:szCs w:val="24"/>
                <w:lang w:val="en-US"/>
              </w:rPr>
              <w:t>n=20</w:t>
            </w:r>
            <w:r>
              <w:rPr>
                <w:rFonts w:eastAsia="Times New Roman" w:cs="Times New Roman"/>
                <w:szCs w:val="24"/>
              </w:rPr>
              <w:t>)</w:t>
            </w:r>
          </w:p>
        </w:tc>
        <w:tc>
          <w:tcPr>
            <w:tcW w:w="574" w:type="pct"/>
          </w:tcPr>
          <w:p w:rsidR="0030517B" w:rsidRDefault="0030517B" w:rsidP="00E1448E">
            <w:pPr>
              <w:spacing w:after="0" w:line="240" w:lineRule="auto"/>
              <w:ind w:right="-87"/>
              <w:jc w:val="center"/>
              <w:rPr>
                <w:rFonts w:eastAsia="Times New Roman" w:cs="Times New Roman"/>
                <w:sz w:val="20"/>
                <w:szCs w:val="20"/>
              </w:rPr>
            </w:pPr>
            <w:r w:rsidRPr="00CA099F">
              <w:rPr>
                <w:rFonts w:eastAsia="Times New Roman" w:cs="Times New Roman"/>
                <w:sz w:val="20"/>
                <w:szCs w:val="20"/>
              </w:rPr>
              <w:t>1 група</w:t>
            </w:r>
          </w:p>
          <w:p w:rsidR="00E61D0F" w:rsidRPr="00CA099F" w:rsidRDefault="00E61D0F" w:rsidP="00E1448E">
            <w:pPr>
              <w:spacing w:after="0" w:line="240" w:lineRule="auto"/>
              <w:ind w:right="-87"/>
              <w:jc w:val="center"/>
              <w:rPr>
                <w:rFonts w:eastAsia="Times New Roman" w:cs="Times New Roman"/>
                <w:sz w:val="20"/>
                <w:szCs w:val="20"/>
              </w:rPr>
            </w:pPr>
            <w:r>
              <w:rPr>
                <w:rFonts w:eastAsia="Times New Roman" w:cs="Times New Roman"/>
                <w:szCs w:val="24"/>
              </w:rPr>
              <w:t>(</w:t>
            </w:r>
            <w:r>
              <w:rPr>
                <w:rFonts w:eastAsia="Times New Roman" w:cs="Times New Roman"/>
                <w:szCs w:val="24"/>
                <w:lang w:val="en-US"/>
              </w:rPr>
              <w:t>n=20</w:t>
            </w:r>
            <w:r>
              <w:rPr>
                <w:rFonts w:eastAsia="Times New Roman" w:cs="Times New Roman"/>
                <w:szCs w:val="24"/>
              </w:rPr>
              <w:t>)</w:t>
            </w:r>
          </w:p>
        </w:tc>
        <w:tc>
          <w:tcPr>
            <w:tcW w:w="574" w:type="pct"/>
          </w:tcPr>
          <w:p w:rsidR="0030517B" w:rsidRDefault="0030517B" w:rsidP="00E1448E">
            <w:pPr>
              <w:spacing w:after="0" w:line="240" w:lineRule="auto"/>
              <w:ind w:right="-87"/>
              <w:jc w:val="center"/>
              <w:rPr>
                <w:rFonts w:eastAsia="Times New Roman" w:cs="Times New Roman"/>
                <w:sz w:val="20"/>
                <w:szCs w:val="20"/>
              </w:rPr>
            </w:pPr>
            <w:r w:rsidRPr="00CA099F">
              <w:rPr>
                <w:rFonts w:eastAsia="Times New Roman" w:cs="Times New Roman"/>
                <w:sz w:val="20"/>
                <w:szCs w:val="20"/>
              </w:rPr>
              <w:t>Група контролю</w:t>
            </w:r>
          </w:p>
          <w:p w:rsidR="00E61D0F" w:rsidRPr="00CA099F" w:rsidRDefault="00E61D0F" w:rsidP="00E1448E">
            <w:pPr>
              <w:spacing w:after="0" w:line="240" w:lineRule="auto"/>
              <w:ind w:right="-87"/>
              <w:jc w:val="center"/>
              <w:rPr>
                <w:rFonts w:eastAsia="Times New Roman" w:cs="Times New Roman"/>
                <w:sz w:val="20"/>
                <w:szCs w:val="20"/>
              </w:rPr>
            </w:pPr>
            <w:r>
              <w:rPr>
                <w:rFonts w:eastAsia="Times New Roman" w:cs="Times New Roman"/>
                <w:szCs w:val="24"/>
              </w:rPr>
              <w:t>(</w:t>
            </w:r>
            <w:r>
              <w:rPr>
                <w:rFonts w:eastAsia="Times New Roman" w:cs="Times New Roman"/>
                <w:szCs w:val="24"/>
                <w:lang w:val="en-US"/>
              </w:rPr>
              <w:t>n=20</w:t>
            </w:r>
            <w:r>
              <w:rPr>
                <w:rFonts w:eastAsia="Times New Roman" w:cs="Times New Roman"/>
                <w:szCs w:val="24"/>
              </w:rPr>
              <w:t>)</w:t>
            </w:r>
          </w:p>
        </w:tc>
        <w:tc>
          <w:tcPr>
            <w:tcW w:w="575" w:type="pct"/>
          </w:tcPr>
          <w:p w:rsidR="0030517B" w:rsidRDefault="0030517B" w:rsidP="00E1448E">
            <w:pPr>
              <w:spacing w:after="0" w:line="240" w:lineRule="auto"/>
              <w:ind w:right="-87"/>
              <w:jc w:val="center"/>
              <w:rPr>
                <w:rFonts w:eastAsia="Times New Roman" w:cs="Times New Roman"/>
                <w:sz w:val="20"/>
                <w:szCs w:val="20"/>
              </w:rPr>
            </w:pPr>
            <w:r w:rsidRPr="00CA099F">
              <w:rPr>
                <w:rFonts w:eastAsia="Times New Roman" w:cs="Times New Roman"/>
                <w:sz w:val="20"/>
                <w:szCs w:val="20"/>
              </w:rPr>
              <w:t>1 група</w:t>
            </w:r>
          </w:p>
          <w:p w:rsidR="00E61D0F" w:rsidRPr="00CA099F" w:rsidRDefault="00E61D0F" w:rsidP="00E1448E">
            <w:pPr>
              <w:spacing w:after="0" w:line="240" w:lineRule="auto"/>
              <w:ind w:right="-87"/>
              <w:jc w:val="center"/>
              <w:rPr>
                <w:rFonts w:eastAsia="Times New Roman" w:cs="Times New Roman"/>
                <w:sz w:val="20"/>
                <w:szCs w:val="20"/>
              </w:rPr>
            </w:pPr>
            <w:r>
              <w:rPr>
                <w:rFonts w:eastAsia="Times New Roman" w:cs="Times New Roman"/>
                <w:szCs w:val="24"/>
              </w:rPr>
              <w:t>(</w:t>
            </w:r>
            <w:r>
              <w:rPr>
                <w:rFonts w:eastAsia="Times New Roman" w:cs="Times New Roman"/>
                <w:szCs w:val="24"/>
                <w:lang w:val="en-US"/>
              </w:rPr>
              <w:t>n=20</w:t>
            </w:r>
            <w:r>
              <w:rPr>
                <w:rFonts w:eastAsia="Times New Roman" w:cs="Times New Roman"/>
                <w:szCs w:val="24"/>
              </w:rPr>
              <w:t>)</w:t>
            </w:r>
          </w:p>
        </w:tc>
      </w:tr>
      <w:tr w:rsidR="0030517B" w:rsidRPr="00CA099F" w:rsidTr="00E1448E">
        <w:tc>
          <w:tcPr>
            <w:tcW w:w="600" w:type="pct"/>
          </w:tcPr>
          <w:p w:rsidR="0030517B" w:rsidRPr="00CA099F" w:rsidRDefault="0030517B" w:rsidP="00E1448E">
            <w:pPr>
              <w:spacing w:after="0" w:line="240" w:lineRule="auto"/>
              <w:ind w:right="-90"/>
              <w:jc w:val="center"/>
              <w:rPr>
                <w:rFonts w:eastAsia="Times New Roman" w:cs="Times New Roman"/>
                <w:szCs w:val="28"/>
              </w:rPr>
            </w:pPr>
            <w:r w:rsidRPr="00CA099F">
              <w:rPr>
                <w:rFonts w:eastAsia="Times New Roman" w:cs="Times New Roman"/>
                <w:sz w:val="28"/>
                <w:szCs w:val="28"/>
              </w:rPr>
              <w:t>Еластаза, мккат/кг</w:t>
            </w:r>
          </w:p>
        </w:tc>
        <w:tc>
          <w:tcPr>
            <w:tcW w:w="462" w:type="pct"/>
          </w:tcPr>
          <w:p w:rsidR="0030517B" w:rsidRPr="00CA099F" w:rsidRDefault="0030517B" w:rsidP="00E1448E">
            <w:pPr>
              <w:spacing w:after="0" w:line="240" w:lineRule="auto"/>
              <w:jc w:val="center"/>
              <w:rPr>
                <w:rFonts w:eastAsia="Times New Roman" w:cs="Times New Roman"/>
                <w:szCs w:val="28"/>
              </w:rPr>
            </w:pPr>
            <w:r w:rsidRPr="00CA099F">
              <w:rPr>
                <w:rFonts w:eastAsia="Times New Roman" w:cs="Times New Roman"/>
                <w:sz w:val="28"/>
                <w:szCs w:val="28"/>
              </w:rPr>
              <w:t>15,94±0,54</w:t>
            </w:r>
          </w:p>
        </w:tc>
        <w:tc>
          <w:tcPr>
            <w:tcW w:w="553" w:type="pct"/>
          </w:tcPr>
          <w:p w:rsidR="0030517B" w:rsidRPr="00CA099F" w:rsidRDefault="0030517B" w:rsidP="00E1448E">
            <w:pPr>
              <w:spacing w:after="0" w:line="240" w:lineRule="auto"/>
              <w:jc w:val="center"/>
              <w:rPr>
                <w:rFonts w:eastAsia="Times New Roman" w:cs="Times New Roman"/>
                <w:szCs w:val="28"/>
              </w:rPr>
            </w:pPr>
            <w:r w:rsidRPr="00CA099F">
              <w:rPr>
                <w:rFonts w:eastAsia="Times New Roman" w:cs="Times New Roman"/>
                <w:sz w:val="28"/>
                <w:szCs w:val="28"/>
              </w:rPr>
              <w:t>11,01±0,28*</w:t>
            </w:r>
          </w:p>
        </w:tc>
        <w:tc>
          <w:tcPr>
            <w:tcW w:w="513" w:type="pct"/>
          </w:tcPr>
          <w:p w:rsidR="0030517B" w:rsidRPr="00CA099F" w:rsidRDefault="0030517B" w:rsidP="00E1448E">
            <w:pPr>
              <w:spacing w:after="0" w:line="240" w:lineRule="auto"/>
              <w:jc w:val="center"/>
              <w:rPr>
                <w:rFonts w:eastAsia="Times New Roman" w:cs="Times New Roman"/>
                <w:szCs w:val="28"/>
              </w:rPr>
            </w:pPr>
            <w:r w:rsidRPr="00CA099F">
              <w:rPr>
                <w:rFonts w:eastAsia="Times New Roman" w:cs="Times New Roman"/>
                <w:sz w:val="28"/>
                <w:szCs w:val="28"/>
              </w:rPr>
              <w:t>12,19±0,41</w:t>
            </w:r>
          </w:p>
        </w:tc>
        <w:tc>
          <w:tcPr>
            <w:tcW w:w="574" w:type="pct"/>
          </w:tcPr>
          <w:p w:rsidR="0030517B" w:rsidRPr="00CA099F" w:rsidRDefault="0030517B" w:rsidP="00E1448E">
            <w:pPr>
              <w:spacing w:after="0" w:line="240" w:lineRule="auto"/>
              <w:jc w:val="center"/>
              <w:rPr>
                <w:rFonts w:eastAsia="Times New Roman" w:cs="Times New Roman"/>
                <w:szCs w:val="28"/>
              </w:rPr>
            </w:pPr>
            <w:r w:rsidRPr="00CA099F">
              <w:rPr>
                <w:rFonts w:eastAsia="Times New Roman" w:cs="Times New Roman"/>
                <w:sz w:val="28"/>
                <w:szCs w:val="28"/>
              </w:rPr>
              <w:t>8,70±0,26*</w:t>
            </w:r>
          </w:p>
        </w:tc>
        <w:tc>
          <w:tcPr>
            <w:tcW w:w="574" w:type="pct"/>
          </w:tcPr>
          <w:p w:rsidR="0030517B" w:rsidRPr="00CA099F" w:rsidRDefault="0030517B" w:rsidP="00E1448E">
            <w:pPr>
              <w:spacing w:after="0" w:line="240" w:lineRule="auto"/>
              <w:jc w:val="center"/>
              <w:rPr>
                <w:rFonts w:eastAsia="Times New Roman" w:cs="Times New Roman"/>
                <w:szCs w:val="28"/>
              </w:rPr>
            </w:pPr>
            <w:r w:rsidRPr="00CA099F">
              <w:rPr>
                <w:rFonts w:eastAsia="Times New Roman" w:cs="Times New Roman"/>
                <w:sz w:val="28"/>
                <w:szCs w:val="28"/>
              </w:rPr>
              <w:t>9,56±0,36</w:t>
            </w:r>
          </w:p>
        </w:tc>
        <w:tc>
          <w:tcPr>
            <w:tcW w:w="574" w:type="pct"/>
          </w:tcPr>
          <w:p w:rsidR="0030517B" w:rsidRPr="00CA099F" w:rsidRDefault="0030517B" w:rsidP="00E1448E">
            <w:pPr>
              <w:spacing w:after="0" w:line="240" w:lineRule="auto"/>
              <w:jc w:val="center"/>
              <w:rPr>
                <w:rFonts w:eastAsia="Times New Roman" w:cs="Times New Roman"/>
                <w:szCs w:val="28"/>
              </w:rPr>
            </w:pPr>
            <w:r w:rsidRPr="00CA099F">
              <w:rPr>
                <w:rFonts w:eastAsia="Times New Roman" w:cs="Times New Roman"/>
                <w:sz w:val="28"/>
                <w:szCs w:val="28"/>
              </w:rPr>
              <w:t>8,40±0,22*</w:t>
            </w:r>
          </w:p>
        </w:tc>
        <w:tc>
          <w:tcPr>
            <w:tcW w:w="574" w:type="pct"/>
          </w:tcPr>
          <w:p w:rsidR="0030517B" w:rsidRPr="00CA099F" w:rsidRDefault="0030517B" w:rsidP="00E1448E">
            <w:pPr>
              <w:spacing w:after="0" w:line="240" w:lineRule="auto"/>
              <w:jc w:val="center"/>
              <w:rPr>
                <w:rFonts w:eastAsia="Times New Roman" w:cs="Times New Roman"/>
                <w:szCs w:val="28"/>
              </w:rPr>
            </w:pPr>
            <w:r w:rsidRPr="00CA099F">
              <w:rPr>
                <w:rFonts w:eastAsia="Times New Roman" w:cs="Times New Roman"/>
                <w:sz w:val="28"/>
                <w:szCs w:val="28"/>
              </w:rPr>
              <w:t>8,89±0,24</w:t>
            </w:r>
          </w:p>
        </w:tc>
        <w:tc>
          <w:tcPr>
            <w:tcW w:w="575" w:type="pct"/>
          </w:tcPr>
          <w:p w:rsidR="0030517B" w:rsidRPr="00CA099F" w:rsidRDefault="0030517B" w:rsidP="00E1448E">
            <w:pPr>
              <w:spacing w:after="0" w:line="240" w:lineRule="auto"/>
              <w:jc w:val="center"/>
              <w:rPr>
                <w:rFonts w:eastAsia="Times New Roman" w:cs="Times New Roman"/>
                <w:szCs w:val="28"/>
              </w:rPr>
            </w:pPr>
            <w:r w:rsidRPr="00CA099F">
              <w:rPr>
                <w:rFonts w:eastAsia="Times New Roman" w:cs="Times New Roman"/>
                <w:sz w:val="28"/>
                <w:szCs w:val="28"/>
              </w:rPr>
              <w:t>8,24±0,24</w:t>
            </w:r>
          </w:p>
        </w:tc>
      </w:tr>
      <w:tr w:rsidR="0030517B" w:rsidRPr="00CA099F" w:rsidTr="00E1448E">
        <w:tc>
          <w:tcPr>
            <w:tcW w:w="600" w:type="pct"/>
          </w:tcPr>
          <w:p w:rsidR="0030517B" w:rsidRPr="00CA099F" w:rsidRDefault="0030517B" w:rsidP="00E1448E">
            <w:pPr>
              <w:spacing w:after="0" w:line="240" w:lineRule="auto"/>
              <w:ind w:right="-90"/>
              <w:jc w:val="center"/>
              <w:rPr>
                <w:rFonts w:eastAsia="Times New Roman" w:cs="Times New Roman"/>
                <w:szCs w:val="28"/>
              </w:rPr>
            </w:pPr>
          </w:p>
        </w:tc>
        <w:tc>
          <w:tcPr>
            <w:tcW w:w="462" w:type="pct"/>
          </w:tcPr>
          <w:p w:rsidR="0030517B" w:rsidRPr="00CA099F" w:rsidRDefault="0030517B" w:rsidP="00E1448E">
            <w:pPr>
              <w:spacing w:after="0" w:line="240" w:lineRule="auto"/>
              <w:jc w:val="center"/>
              <w:rPr>
                <w:rFonts w:eastAsia="Times New Roman" w:cs="Times New Roman"/>
                <w:szCs w:val="28"/>
              </w:rPr>
            </w:pPr>
          </w:p>
        </w:tc>
        <w:tc>
          <w:tcPr>
            <w:tcW w:w="553" w:type="pct"/>
          </w:tcPr>
          <w:p w:rsidR="0030517B" w:rsidRPr="00CA099F" w:rsidRDefault="0030517B" w:rsidP="00E1448E">
            <w:pPr>
              <w:spacing w:after="0" w:line="240" w:lineRule="auto"/>
              <w:jc w:val="center"/>
              <w:rPr>
                <w:rFonts w:eastAsia="Times New Roman" w:cs="Times New Roman"/>
                <w:szCs w:val="28"/>
              </w:rPr>
            </w:pPr>
          </w:p>
        </w:tc>
        <w:tc>
          <w:tcPr>
            <w:tcW w:w="513" w:type="pct"/>
          </w:tcPr>
          <w:p w:rsidR="0030517B" w:rsidRPr="00CA099F" w:rsidRDefault="0030517B" w:rsidP="00E1448E">
            <w:pPr>
              <w:spacing w:after="0" w:line="240" w:lineRule="auto"/>
              <w:jc w:val="center"/>
              <w:rPr>
                <w:rFonts w:eastAsia="Times New Roman" w:cs="Times New Roman"/>
                <w:szCs w:val="28"/>
              </w:rPr>
            </w:pPr>
          </w:p>
        </w:tc>
        <w:tc>
          <w:tcPr>
            <w:tcW w:w="574" w:type="pct"/>
          </w:tcPr>
          <w:p w:rsidR="0030517B" w:rsidRPr="00CA099F" w:rsidRDefault="0030517B" w:rsidP="00E1448E">
            <w:pPr>
              <w:spacing w:after="0"/>
              <w:jc w:val="center"/>
              <w:rPr>
                <w:rFonts w:eastAsia="Times New Roman" w:cs="Times New Roman"/>
                <w:szCs w:val="24"/>
              </w:rPr>
            </w:pPr>
            <w:r w:rsidRPr="00CA099F">
              <w:rPr>
                <w:rFonts w:eastAsia="Times New Roman" w:cs="Times New Roman"/>
                <w:color w:val="000000"/>
                <w:szCs w:val="24"/>
              </w:rPr>
              <w:t>р</w:t>
            </w:r>
            <w:r w:rsidRPr="00CA099F">
              <w:rPr>
                <w:rFonts w:eastAsia="Times New Roman" w:cs="Times New Roman"/>
                <w:color w:val="000000"/>
                <w:szCs w:val="24"/>
                <w:vertAlign w:val="subscript"/>
              </w:rPr>
              <w:t>1</w:t>
            </w:r>
            <w:r w:rsidRPr="00CA099F">
              <w:rPr>
                <w:rFonts w:eastAsia="Times New Roman" w:cs="Times New Roman"/>
                <w:color w:val="000000"/>
                <w:szCs w:val="24"/>
              </w:rPr>
              <w:t>&lt;0,001</w:t>
            </w:r>
          </w:p>
        </w:tc>
        <w:tc>
          <w:tcPr>
            <w:tcW w:w="574" w:type="pct"/>
          </w:tcPr>
          <w:p w:rsidR="0030517B" w:rsidRPr="00CA099F" w:rsidRDefault="0030517B" w:rsidP="00E1448E">
            <w:pPr>
              <w:spacing w:after="0"/>
              <w:jc w:val="center"/>
              <w:rPr>
                <w:rFonts w:eastAsia="Times New Roman" w:cs="Times New Roman"/>
                <w:szCs w:val="28"/>
              </w:rPr>
            </w:pPr>
          </w:p>
        </w:tc>
        <w:tc>
          <w:tcPr>
            <w:tcW w:w="574" w:type="pct"/>
          </w:tcPr>
          <w:p w:rsidR="0030517B" w:rsidRPr="00CA099F" w:rsidRDefault="0030517B" w:rsidP="00E1448E">
            <w:pPr>
              <w:spacing w:after="0"/>
              <w:jc w:val="center"/>
              <w:rPr>
                <w:rFonts w:eastAsia="Times New Roman" w:cs="Times New Roman"/>
                <w:szCs w:val="28"/>
              </w:rPr>
            </w:pPr>
          </w:p>
        </w:tc>
        <w:tc>
          <w:tcPr>
            <w:tcW w:w="574" w:type="pct"/>
          </w:tcPr>
          <w:p w:rsidR="0030517B" w:rsidRPr="00CA099F" w:rsidRDefault="0030517B" w:rsidP="00E1448E">
            <w:pPr>
              <w:spacing w:after="0"/>
              <w:jc w:val="center"/>
              <w:rPr>
                <w:rFonts w:eastAsia="Times New Roman" w:cs="Times New Roman"/>
                <w:szCs w:val="28"/>
              </w:rPr>
            </w:pPr>
          </w:p>
        </w:tc>
        <w:tc>
          <w:tcPr>
            <w:tcW w:w="575" w:type="pct"/>
          </w:tcPr>
          <w:p w:rsidR="0030517B" w:rsidRPr="00CA099F" w:rsidRDefault="0030517B" w:rsidP="00E1448E">
            <w:pPr>
              <w:spacing w:after="0" w:line="240" w:lineRule="auto"/>
              <w:jc w:val="center"/>
              <w:rPr>
                <w:rFonts w:eastAsia="Times New Roman" w:cs="Times New Roman"/>
                <w:szCs w:val="28"/>
              </w:rPr>
            </w:pPr>
          </w:p>
        </w:tc>
      </w:tr>
      <w:tr w:rsidR="0030517B" w:rsidRPr="00CA099F" w:rsidTr="00E1448E">
        <w:tc>
          <w:tcPr>
            <w:tcW w:w="600" w:type="pct"/>
          </w:tcPr>
          <w:p w:rsidR="0030517B" w:rsidRPr="00CA099F" w:rsidRDefault="0030517B" w:rsidP="00E1448E">
            <w:pPr>
              <w:spacing w:after="0" w:line="240" w:lineRule="auto"/>
              <w:ind w:right="-90"/>
              <w:jc w:val="center"/>
              <w:rPr>
                <w:rFonts w:eastAsia="Times New Roman" w:cs="Times New Roman"/>
                <w:szCs w:val="28"/>
              </w:rPr>
            </w:pPr>
            <w:r w:rsidRPr="00CA099F">
              <w:rPr>
                <w:rFonts w:eastAsia="Times New Roman" w:cs="Times New Roman"/>
                <w:sz w:val="28"/>
                <w:szCs w:val="28"/>
              </w:rPr>
              <w:t>Уреаза,</w:t>
            </w:r>
          </w:p>
          <w:p w:rsidR="0030517B" w:rsidRPr="00CA099F" w:rsidRDefault="0030517B" w:rsidP="00E1448E">
            <w:pPr>
              <w:spacing w:after="0" w:line="240" w:lineRule="auto"/>
              <w:ind w:right="-90"/>
              <w:jc w:val="center"/>
              <w:rPr>
                <w:rFonts w:eastAsia="Times New Roman" w:cs="Times New Roman"/>
                <w:szCs w:val="28"/>
              </w:rPr>
            </w:pPr>
            <w:r w:rsidRPr="00CA099F">
              <w:rPr>
                <w:rFonts w:eastAsia="Times New Roman" w:cs="Times New Roman"/>
                <w:sz w:val="28"/>
                <w:szCs w:val="28"/>
              </w:rPr>
              <w:t xml:space="preserve"> мккат/кг</w:t>
            </w:r>
          </w:p>
        </w:tc>
        <w:tc>
          <w:tcPr>
            <w:tcW w:w="462" w:type="pct"/>
          </w:tcPr>
          <w:p w:rsidR="0030517B" w:rsidRPr="00CA099F" w:rsidRDefault="0030517B" w:rsidP="00E1448E">
            <w:pPr>
              <w:spacing w:after="0" w:line="240" w:lineRule="auto"/>
              <w:jc w:val="center"/>
              <w:rPr>
                <w:rFonts w:eastAsia="Times New Roman" w:cs="Times New Roman"/>
                <w:szCs w:val="28"/>
              </w:rPr>
            </w:pPr>
            <w:r w:rsidRPr="00CA099F">
              <w:rPr>
                <w:rFonts w:eastAsia="Times New Roman" w:cs="Times New Roman"/>
                <w:sz w:val="28"/>
                <w:szCs w:val="28"/>
              </w:rPr>
              <w:t>0,32±0,02</w:t>
            </w:r>
          </w:p>
        </w:tc>
        <w:tc>
          <w:tcPr>
            <w:tcW w:w="553" w:type="pct"/>
          </w:tcPr>
          <w:p w:rsidR="0030517B" w:rsidRPr="00CA099F" w:rsidRDefault="0030517B" w:rsidP="00E1448E">
            <w:pPr>
              <w:spacing w:after="0" w:line="240" w:lineRule="auto"/>
              <w:jc w:val="center"/>
              <w:rPr>
                <w:rFonts w:eastAsia="Times New Roman" w:cs="Times New Roman"/>
                <w:szCs w:val="28"/>
              </w:rPr>
            </w:pPr>
            <w:r w:rsidRPr="00CA099F">
              <w:rPr>
                <w:rFonts w:eastAsia="Times New Roman" w:cs="Times New Roman"/>
                <w:sz w:val="28"/>
                <w:szCs w:val="28"/>
              </w:rPr>
              <w:t>0,14±</w:t>
            </w:r>
          </w:p>
          <w:p w:rsidR="0030517B" w:rsidRPr="00CA099F" w:rsidRDefault="0030517B" w:rsidP="00E1448E">
            <w:pPr>
              <w:spacing w:after="0" w:line="240" w:lineRule="auto"/>
              <w:jc w:val="center"/>
              <w:rPr>
                <w:rFonts w:eastAsia="Times New Roman" w:cs="Times New Roman"/>
                <w:szCs w:val="28"/>
              </w:rPr>
            </w:pPr>
            <w:r w:rsidRPr="00CA099F">
              <w:rPr>
                <w:rFonts w:eastAsia="Times New Roman" w:cs="Times New Roman"/>
                <w:sz w:val="28"/>
                <w:szCs w:val="28"/>
              </w:rPr>
              <w:t>0,01*</w:t>
            </w:r>
          </w:p>
        </w:tc>
        <w:tc>
          <w:tcPr>
            <w:tcW w:w="513" w:type="pct"/>
          </w:tcPr>
          <w:p w:rsidR="0030517B" w:rsidRPr="00CA099F" w:rsidRDefault="0030517B" w:rsidP="00E1448E">
            <w:pPr>
              <w:spacing w:after="0" w:line="240" w:lineRule="auto"/>
              <w:jc w:val="center"/>
              <w:rPr>
                <w:rFonts w:eastAsia="Times New Roman" w:cs="Times New Roman"/>
                <w:szCs w:val="28"/>
              </w:rPr>
            </w:pPr>
            <w:r w:rsidRPr="00CA099F">
              <w:rPr>
                <w:rFonts w:eastAsia="Times New Roman" w:cs="Times New Roman"/>
                <w:sz w:val="28"/>
                <w:szCs w:val="28"/>
              </w:rPr>
              <w:t>0,17±</w:t>
            </w:r>
          </w:p>
          <w:p w:rsidR="0030517B" w:rsidRPr="00CA099F" w:rsidRDefault="0030517B" w:rsidP="00E1448E">
            <w:pPr>
              <w:spacing w:after="0" w:line="240" w:lineRule="auto"/>
              <w:jc w:val="center"/>
              <w:rPr>
                <w:rFonts w:eastAsia="Times New Roman" w:cs="Times New Roman"/>
                <w:szCs w:val="28"/>
              </w:rPr>
            </w:pPr>
            <w:r w:rsidRPr="00CA099F">
              <w:rPr>
                <w:rFonts w:eastAsia="Times New Roman" w:cs="Times New Roman"/>
                <w:sz w:val="28"/>
                <w:szCs w:val="28"/>
              </w:rPr>
              <w:t>0,02</w:t>
            </w:r>
          </w:p>
        </w:tc>
        <w:tc>
          <w:tcPr>
            <w:tcW w:w="574" w:type="pct"/>
          </w:tcPr>
          <w:p w:rsidR="0030517B" w:rsidRPr="00CA099F" w:rsidRDefault="0030517B" w:rsidP="00E1448E">
            <w:pPr>
              <w:spacing w:after="0" w:line="240" w:lineRule="auto"/>
              <w:jc w:val="center"/>
              <w:rPr>
                <w:rFonts w:eastAsia="Times New Roman" w:cs="Times New Roman"/>
                <w:szCs w:val="28"/>
              </w:rPr>
            </w:pPr>
            <w:r w:rsidRPr="00CA099F">
              <w:rPr>
                <w:rFonts w:eastAsia="Times New Roman" w:cs="Times New Roman"/>
                <w:sz w:val="28"/>
                <w:szCs w:val="28"/>
              </w:rPr>
              <w:t>0,08±</w:t>
            </w:r>
          </w:p>
          <w:p w:rsidR="0030517B" w:rsidRPr="00CA099F" w:rsidRDefault="0030517B" w:rsidP="00E1448E">
            <w:pPr>
              <w:spacing w:after="0" w:line="240" w:lineRule="auto"/>
              <w:jc w:val="center"/>
              <w:rPr>
                <w:rFonts w:eastAsia="Times New Roman" w:cs="Times New Roman"/>
                <w:szCs w:val="28"/>
              </w:rPr>
            </w:pPr>
            <w:r w:rsidRPr="00CA099F">
              <w:rPr>
                <w:rFonts w:eastAsia="Times New Roman" w:cs="Times New Roman"/>
                <w:sz w:val="28"/>
                <w:szCs w:val="28"/>
              </w:rPr>
              <w:t>0,02*</w:t>
            </w:r>
          </w:p>
        </w:tc>
        <w:tc>
          <w:tcPr>
            <w:tcW w:w="574" w:type="pct"/>
          </w:tcPr>
          <w:p w:rsidR="0030517B" w:rsidRPr="00CA099F" w:rsidRDefault="0030517B" w:rsidP="00E1448E">
            <w:pPr>
              <w:spacing w:after="0" w:line="240" w:lineRule="auto"/>
              <w:jc w:val="center"/>
              <w:rPr>
                <w:rFonts w:eastAsia="Times New Roman" w:cs="Times New Roman"/>
                <w:szCs w:val="28"/>
              </w:rPr>
            </w:pPr>
            <w:r w:rsidRPr="00CA099F">
              <w:rPr>
                <w:rFonts w:eastAsia="Times New Roman" w:cs="Times New Roman"/>
                <w:sz w:val="28"/>
                <w:szCs w:val="28"/>
              </w:rPr>
              <w:t>0,08±</w:t>
            </w:r>
          </w:p>
          <w:p w:rsidR="0030517B" w:rsidRPr="00CA099F" w:rsidRDefault="0030517B" w:rsidP="00E1448E">
            <w:pPr>
              <w:spacing w:after="0" w:line="240" w:lineRule="auto"/>
              <w:jc w:val="center"/>
              <w:rPr>
                <w:rFonts w:eastAsia="Times New Roman" w:cs="Times New Roman"/>
                <w:szCs w:val="28"/>
              </w:rPr>
            </w:pPr>
            <w:r w:rsidRPr="00CA099F">
              <w:rPr>
                <w:rFonts w:eastAsia="Times New Roman" w:cs="Times New Roman"/>
                <w:sz w:val="28"/>
                <w:szCs w:val="28"/>
              </w:rPr>
              <w:t>0,01</w:t>
            </w:r>
          </w:p>
        </w:tc>
        <w:tc>
          <w:tcPr>
            <w:tcW w:w="574" w:type="pct"/>
          </w:tcPr>
          <w:p w:rsidR="0030517B" w:rsidRPr="00CA099F" w:rsidRDefault="0030517B" w:rsidP="00E1448E">
            <w:pPr>
              <w:spacing w:after="0" w:line="240" w:lineRule="auto"/>
              <w:jc w:val="center"/>
              <w:rPr>
                <w:rFonts w:eastAsia="Times New Roman" w:cs="Times New Roman"/>
                <w:szCs w:val="28"/>
              </w:rPr>
            </w:pPr>
            <w:r w:rsidRPr="00CA099F">
              <w:rPr>
                <w:rFonts w:eastAsia="Times New Roman" w:cs="Times New Roman"/>
                <w:sz w:val="28"/>
                <w:szCs w:val="28"/>
              </w:rPr>
              <w:t>0,04±</w:t>
            </w:r>
          </w:p>
          <w:p w:rsidR="0030517B" w:rsidRPr="00CA099F" w:rsidRDefault="0030517B" w:rsidP="00E1448E">
            <w:pPr>
              <w:spacing w:after="0" w:line="240" w:lineRule="auto"/>
              <w:jc w:val="center"/>
              <w:rPr>
                <w:rFonts w:eastAsia="Times New Roman" w:cs="Times New Roman"/>
                <w:szCs w:val="28"/>
              </w:rPr>
            </w:pPr>
            <w:r w:rsidRPr="00CA099F">
              <w:rPr>
                <w:rFonts w:eastAsia="Times New Roman" w:cs="Times New Roman"/>
                <w:sz w:val="28"/>
                <w:szCs w:val="28"/>
              </w:rPr>
              <w:t>0,01</w:t>
            </w:r>
          </w:p>
        </w:tc>
        <w:tc>
          <w:tcPr>
            <w:tcW w:w="574" w:type="pct"/>
          </w:tcPr>
          <w:p w:rsidR="0030517B" w:rsidRPr="00CA099F" w:rsidRDefault="0030517B" w:rsidP="00E1448E">
            <w:pPr>
              <w:spacing w:after="0" w:line="240" w:lineRule="auto"/>
              <w:jc w:val="center"/>
              <w:rPr>
                <w:rFonts w:eastAsia="Times New Roman" w:cs="Times New Roman"/>
                <w:szCs w:val="28"/>
              </w:rPr>
            </w:pPr>
            <w:r w:rsidRPr="00CA099F">
              <w:rPr>
                <w:rFonts w:eastAsia="Times New Roman" w:cs="Times New Roman"/>
                <w:sz w:val="28"/>
                <w:szCs w:val="28"/>
              </w:rPr>
              <w:t>0,07±</w:t>
            </w:r>
          </w:p>
          <w:p w:rsidR="0030517B" w:rsidRPr="00CA099F" w:rsidRDefault="0030517B" w:rsidP="00E1448E">
            <w:pPr>
              <w:spacing w:after="0" w:line="240" w:lineRule="auto"/>
              <w:jc w:val="center"/>
              <w:rPr>
                <w:rFonts w:eastAsia="Times New Roman" w:cs="Times New Roman"/>
                <w:szCs w:val="28"/>
              </w:rPr>
            </w:pPr>
            <w:r w:rsidRPr="00CA099F">
              <w:rPr>
                <w:rFonts w:eastAsia="Times New Roman" w:cs="Times New Roman"/>
                <w:sz w:val="28"/>
                <w:szCs w:val="28"/>
              </w:rPr>
              <w:t>0,02</w:t>
            </w:r>
          </w:p>
        </w:tc>
        <w:tc>
          <w:tcPr>
            <w:tcW w:w="575" w:type="pct"/>
          </w:tcPr>
          <w:p w:rsidR="0030517B" w:rsidRPr="00CA099F" w:rsidRDefault="0030517B" w:rsidP="00E1448E">
            <w:pPr>
              <w:spacing w:after="0" w:line="240" w:lineRule="auto"/>
              <w:jc w:val="center"/>
              <w:rPr>
                <w:rFonts w:eastAsia="Times New Roman" w:cs="Times New Roman"/>
                <w:szCs w:val="28"/>
              </w:rPr>
            </w:pPr>
            <w:r w:rsidRPr="00CA099F">
              <w:rPr>
                <w:rFonts w:eastAsia="Times New Roman" w:cs="Times New Roman"/>
                <w:sz w:val="28"/>
                <w:szCs w:val="28"/>
              </w:rPr>
              <w:t>0,04±</w:t>
            </w:r>
          </w:p>
          <w:p w:rsidR="0030517B" w:rsidRPr="00CA099F" w:rsidRDefault="0030517B" w:rsidP="00E1448E">
            <w:pPr>
              <w:spacing w:after="0" w:line="240" w:lineRule="auto"/>
              <w:jc w:val="center"/>
              <w:rPr>
                <w:rFonts w:eastAsia="Times New Roman" w:cs="Times New Roman"/>
                <w:szCs w:val="28"/>
              </w:rPr>
            </w:pPr>
            <w:r w:rsidRPr="00CA099F">
              <w:rPr>
                <w:rFonts w:eastAsia="Times New Roman" w:cs="Times New Roman"/>
                <w:sz w:val="28"/>
                <w:szCs w:val="28"/>
              </w:rPr>
              <w:t>0,01</w:t>
            </w:r>
          </w:p>
        </w:tc>
      </w:tr>
      <w:tr w:rsidR="0030517B" w:rsidRPr="00CA099F" w:rsidTr="00E1448E">
        <w:tc>
          <w:tcPr>
            <w:tcW w:w="600" w:type="pct"/>
          </w:tcPr>
          <w:p w:rsidR="0030517B" w:rsidRPr="00CA099F" w:rsidRDefault="0030517B" w:rsidP="00E1448E">
            <w:pPr>
              <w:spacing w:after="0" w:line="240" w:lineRule="auto"/>
              <w:jc w:val="center"/>
              <w:rPr>
                <w:rFonts w:eastAsia="Times New Roman" w:cs="Times New Roman"/>
                <w:szCs w:val="28"/>
              </w:rPr>
            </w:pPr>
          </w:p>
        </w:tc>
        <w:tc>
          <w:tcPr>
            <w:tcW w:w="462" w:type="pct"/>
          </w:tcPr>
          <w:p w:rsidR="0030517B" w:rsidRPr="00CA099F" w:rsidRDefault="0030517B" w:rsidP="00E1448E">
            <w:pPr>
              <w:spacing w:after="0" w:line="240" w:lineRule="auto"/>
              <w:jc w:val="center"/>
              <w:rPr>
                <w:rFonts w:eastAsia="Times New Roman" w:cs="Times New Roman"/>
                <w:szCs w:val="28"/>
              </w:rPr>
            </w:pPr>
          </w:p>
        </w:tc>
        <w:tc>
          <w:tcPr>
            <w:tcW w:w="553" w:type="pct"/>
          </w:tcPr>
          <w:p w:rsidR="0030517B" w:rsidRPr="00CA099F" w:rsidRDefault="0030517B" w:rsidP="00E1448E">
            <w:pPr>
              <w:spacing w:after="0" w:line="240" w:lineRule="auto"/>
              <w:jc w:val="center"/>
              <w:rPr>
                <w:rFonts w:eastAsia="Times New Roman" w:cs="Times New Roman"/>
                <w:szCs w:val="28"/>
              </w:rPr>
            </w:pPr>
          </w:p>
        </w:tc>
        <w:tc>
          <w:tcPr>
            <w:tcW w:w="513" w:type="pct"/>
          </w:tcPr>
          <w:p w:rsidR="0030517B" w:rsidRPr="00CA099F" w:rsidRDefault="0030517B" w:rsidP="00E1448E">
            <w:pPr>
              <w:spacing w:after="0" w:line="240" w:lineRule="auto"/>
              <w:jc w:val="center"/>
              <w:rPr>
                <w:rFonts w:eastAsia="Times New Roman" w:cs="Times New Roman"/>
                <w:szCs w:val="28"/>
              </w:rPr>
            </w:pPr>
          </w:p>
        </w:tc>
        <w:tc>
          <w:tcPr>
            <w:tcW w:w="574" w:type="pct"/>
          </w:tcPr>
          <w:p w:rsidR="0030517B" w:rsidRPr="00CA099F" w:rsidRDefault="0030517B" w:rsidP="00E1448E">
            <w:pPr>
              <w:spacing w:after="0"/>
              <w:jc w:val="center"/>
              <w:rPr>
                <w:rFonts w:eastAsia="Times New Roman" w:cs="Times New Roman"/>
                <w:szCs w:val="24"/>
              </w:rPr>
            </w:pPr>
            <w:r w:rsidRPr="00CA099F">
              <w:rPr>
                <w:rFonts w:eastAsia="Times New Roman" w:cs="Times New Roman"/>
                <w:color w:val="000000"/>
                <w:szCs w:val="24"/>
              </w:rPr>
              <w:t>р</w:t>
            </w:r>
            <w:r w:rsidRPr="00CA099F">
              <w:rPr>
                <w:rFonts w:eastAsia="Times New Roman" w:cs="Times New Roman"/>
                <w:color w:val="000000"/>
                <w:szCs w:val="24"/>
                <w:vertAlign w:val="subscript"/>
              </w:rPr>
              <w:t>1</w:t>
            </w:r>
            <w:r w:rsidRPr="00CA099F">
              <w:rPr>
                <w:rFonts w:eastAsia="Times New Roman" w:cs="Times New Roman"/>
                <w:color w:val="000000"/>
                <w:szCs w:val="24"/>
              </w:rPr>
              <w:t>&lt;0,02</w:t>
            </w:r>
          </w:p>
        </w:tc>
        <w:tc>
          <w:tcPr>
            <w:tcW w:w="574" w:type="pct"/>
          </w:tcPr>
          <w:p w:rsidR="0030517B" w:rsidRPr="00CA099F" w:rsidRDefault="0030517B" w:rsidP="00E1448E">
            <w:pPr>
              <w:spacing w:after="0"/>
              <w:jc w:val="center"/>
              <w:rPr>
                <w:rFonts w:eastAsia="Times New Roman" w:cs="Times New Roman"/>
                <w:szCs w:val="28"/>
              </w:rPr>
            </w:pPr>
          </w:p>
        </w:tc>
        <w:tc>
          <w:tcPr>
            <w:tcW w:w="574" w:type="pct"/>
          </w:tcPr>
          <w:p w:rsidR="0030517B" w:rsidRPr="00CA099F" w:rsidRDefault="0030517B" w:rsidP="00E1448E">
            <w:pPr>
              <w:spacing w:after="0"/>
              <w:jc w:val="center"/>
              <w:rPr>
                <w:rFonts w:eastAsia="Times New Roman" w:cs="Times New Roman"/>
                <w:szCs w:val="28"/>
              </w:rPr>
            </w:pPr>
          </w:p>
        </w:tc>
        <w:tc>
          <w:tcPr>
            <w:tcW w:w="574" w:type="pct"/>
          </w:tcPr>
          <w:p w:rsidR="0030517B" w:rsidRPr="00CA099F" w:rsidRDefault="0030517B" w:rsidP="00E1448E">
            <w:pPr>
              <w:spacing w:after="0" w:line="240" w:lineRule="auto"/>
              <w:jc w:val="center"/>
              <w:rPr>
                <w:rFonts w:eastAsia="Times New Roman" w:cs="Times New Roman"/>
                <w:szCs w:val="28"/>
              </w:rPr>
            </w:pPr>
          </w:p>
        </w:tc>
        <w:tc>
          <w:tcPr>
            <w:tcW w:w="575" w:type="pct"/>
          </w:tcPr>
          <w:p w:rsidR="0030517B" w:rsidRPr="00CA099F" w:rsidRDefault="0030517B" w:rsidP="00E1448E">
            <w:pPr>
              <w:spacing w:after="0" w:line="240" w:lineRule="auto"/>
              <w:jc w:val="center"/>
              <w:rPr>
                <w:rFonts w:eastAsia="Times New Roman" w:cs="Times New Roman"/>
                <w:szCs w:val="28"/>
              </w:rPr>
            </w:pPr>
          </w:p>
        </w:tc>
      </w:tr>
      <w:tr w:rsidR="0030517B" w:rsidRPr="00CA099F" w:rsidTr="00E1448E">
        <w:tc>
          <w:tcPr>
            <w:tcW w:w="600" w:type="pct"/>
          </w:tcPr>
          <w:p w:rsidR="0030517B" w:rsidRPr="00CA099F" w:rsidRDefault="0030517B" w:rsidP="00E1448E">
            <w:pPr>
              <w:spacing w:after="0" w:line="240" w:lineRule="auto"/>
              <w:jc w:val="center"/>
              <w:rPr>
                <w:rFonts w:eastAsia="Times New Roman" w:cs="Times New Roman"/>
                <w:szCs w:val="28"/>
              </w:rPr>
            </w:pPr>
            <w:r w:rsidRPr="00CA099F">
              <w:rPr>
                <w:rFonts w:eastAsia="Times New Roman" w:cs="Times New Roman"/>
                <w:sz w:val="28"/>
                <w:szCs w:val="28"/>
              </w:rPr>
              <w:t>Лізоцим, Од/кг</w:t>
            </w:r>
          </w:p>
        </w:tc>
        <w:tc>
          <w:tcPr>
            <w:tcW w:w="462" w:type="pct"/>
          </w:tcPr>
          <w:p w:rsidR="0030517B" w:rsidRPr="00CA099F" w:rsidRDefault="0030517B" w:rsidP="00E1448E">
            <w:pPr>
              <w:spacing w:after="0" w:line="240" w:lineRule="auto"/>
              <w:jc w:val="center"/>
              <w:rPr>
                <w:rFonts w:eastAsia="Times New Roman" w:cs="Times New Roman"/>
                <w:szCs w:val="28"/>
              </w:rPr>
            </w:pPr>
            <w:r w:rsidRPr="00CA099F">
              <w:rPr>
                <w:rFonts w:eastAsia="Times New Roman" w:cs="Times New Roman"/>
                <w:sz w:val="28"/>
                <w:szCs w:val="28"/>
              </w:rPr>
              <w:t>47,81±1,32</w:t>
            </w:r>
          </w:p>
        </w:tc>
        <w:tc>
          <w:tcPr>
            <w:tcW w:w="553" w:type="pct"/>
          </w:tcPr>
          <w:p w:rsidR="0030517B" w:rsidRPr="00CA099F" w:rsidRDefault="0030517B" w:rsidP="00E1448E">
            <w:pPr>
              <w:spacing w:after="0" w:line="240" w:lineRule="auto"/>
              <w:jc w:val="center"/>
              <w:rPr>
                <w:rFonts w:eastAsia="Times New Roman" w:cs="Times New Roman"/>
                <w:szCs w:val="28"/>
              </w:rPr>
            </w:pPr>
            <w:r w:rsidRPr="00CA099F">
              <w:rPr>
                <w:rFonts w:eastAsia="Times New Roman" w:cs="Times New Roman"/>
                <w:sz w:val="28"/>
                <w:szCs w:val="28"/>
              </w:rPr>
              <w:t>68,57± 2,05*</w:t>
            </w:r>
          </w:p>
        </w:tc>
        <w:tc>
          <w:tcPr>
            <w:tcW w:w="513" w:type="pct"/>
          </w:tcPr>
          <w:p w:rsidR="0030517B" w:rsidRPr="00CA099F" w:rsidRDefault="0030517B" w:rsidP="00E1448E">
            <w:pPr>
              <w:spacing w:after="0" w:line="240" w:lineRule="auto"/>
              <w:jc w:val="center"/>
              <w:rPr>
                <w:rFonts w:eastAsia="Times New Roman" w:cs="Times New Roman"/>
                <w:szCs w:val="28"/>
              </w:rPr>
            </w:pPr>
            <w:r w:rsidRPr="00CA099F">
              <w:rPr>
                <w:rFonts w:eastAsia="Times New Roman" w:cs="Times New Roman"/>
                <w:sz w:val="28"/>
                <w:szCs w:val="28"/>
              </w:rPr>
              <w:t>60,53±2,08</w:t>
            </w:r>
          </w:p>
        </w:tc>
        <w:tc>
          <w:tcPr>
            <w:tcW w:w="574" w:type="pct"/>
          </w:tcPr>
          <w:p w:rsidR="0030517B" w:rsidRPr="00CA099F" w:rsidRDefault="0030517B" w:rsidP="00E1448E">
            <w:pPr>
              <w:spacing w:after="0"/>
              <w:jc w:val="center"/>
              <w:rPr>
                <w:rFonts w:eastAsia="Times New Roman" w:cs="Times New Roman"/>
                <w:color w:val="000000"/>
                <w:szCs w:val="28"/>
              </w:rPr>
            </w:pPr>
            <w:r w:rsidRPr="00CA099F">
              <w:rPr>
                <w:rFonts w:eastAsia="Times New Roman" w:cs="Times New Roman"/>
                <w:color w:val="000000"/>
                <w:sz w:val="28"/>
                <w:szCs w:val="28"/>
              </w:rPr>
              <w:t>81,64</w:t>
            </w:r>
            <w:r w:rsidRPr="00CA099F">
              <w:rPr>
                <w:rFonts w:eastAsia="Times New Roman" w:cs="Times New Roman"/>
                <w:sz w:val="28"/>
                <w:szCs w:val="28"/>
              </w:rPr>
              <w:t>±</w:t>
            </w:r>
            <w:r w:rsidRPr="00CA099F">
              <w:rPr>
                <w:rFonts w:eastAsia="Times New Roman" w:cs="Times New Roman"/>
                <w:color w:val="000000"/>
                <w:sz w:val="28"/>
                <w:szCs w:val="28"/>
              </w:rPr>
              <w:t xml:space="preserve"> 2,66</w:t>
            </w:r>
            <w:r w:rsidRPr="00CA099F">
              <w:rPr>
                <w:rFonts w:eastAsia="Times New Roman" w:cs="Times New Roman"/>
                <w:sz w:val="28"/>
                <w:szCs w:val="28"/>
              </w:rPr>
              <w:t>*</w:t>
            </w:r>
          </w:p>
        </w:tc>
        <w:tc>
          <w:tcPr>
            <w:tcW w:w="574" w:type="pct"/>
          </w:tcPr>
          <w:p w:rsidR="0030517B" w:rsidRPr="00CA099F" w:rsidRDefault="0030517B" w:rsidP="00E1448E">
            <w:pPr>
              <w:spacing w:after="0"/>
              <w:jc w:val="center"/>
              <w:rPr>
                <w:rFonts w:eastAsia="Times New Roman" w:cs="Times New Roman"/>
                <w:szCs w:val="28"/>
              </w:rPr>
            </w:pPr>
            <w:r w:rsidRPr="00CA099F">
              <w:rPr>
                <w:rFonts w:eastAsia="Times New Roman" w:cs="Times New Roman"/>
                <w:sz w:val="28"/>
                <w:szCs w:val="28"/>
              </w:rPr>
              <w:t>80,09±3,08</w:t>
            </w:r>
          </w:p>
        </w:tc>
        <w:tc>
          <w:tcPr>
            <w:tcW w:w="574" w:type="pct"/>
          </w:tcPr>
          <w:p w:rsidR="0030517B" w:rsidRPr="00CA099F" w:rsidRDefault="0030517B" w:rsidP="00E1448E">
            <w:pPr>
              <w:spacing w:after="0"/>
              <w:jc w:val="center"/>
              <w:rPr>
                <w:rFonts w:eastAsia="Times New Roman" w:cs="Times New Roman"/>
                <w:color w:val="000000"/>
                <w:szCs w:val="28"/>
              </w:rPr>
            </w:pPr>
            <w:r w:rsidRPr="00CA099F">
              <w:rPr>
                <w:rFonts w:eastAsia="Times New Roman" w:cs="Times New Roman"/>
                <w:color w:val="000000"/>
                <w:sz w:val="28"/>
                <w:szCs w:val="28"/>
              </w:rPr>
              <w:t>87,08</w:t>
            </w:r>
            <w:r w:rsidRPr="00CA099F">
              <w:rPr>
                <w:rFonts w:eastAsia="Times New Roman" w:cs="Times New Roman"/>
                <w:sz w:val="28"/>
                <w:szCs w:val="28"/>
              </w:rPr>
              <w:t>±</w:t>
            </w:r>
            <w:r w:rsidRPr="00CA099F">
              <w:rPr>
                <w:rFonts w:eastAsia="Times New Roman" w:cs="Times New Roman"/>
                <w:color w:val="000000"/>
                <w:sz w:val="28"/>
                <w:szCs w:val="28"/>
              </w:rPr>
              <w:t xml:space="preserve"> 2,72</w:t>
            </w:r>
          </w:p>
        </w:tc>
        <w:tc>
          <w:tcPr>
            <w:tcW w:w="574" w:type="pct"/>
          </w:tcPr>
          <w:p w:rsidR="0030517B" w:rsidRPr="00CA099F" w:rsidRDefault="0030517B" w:rsidP="00E1448E">
            <w:pPr>
              <w:spacing w:after="0" w:line="240" w:lineRule="auto"/>
              <w:jc w:val="center"/>
              <w:rPr>
                <w:rFonts w:eastAsia="Times New Roman" w:cs="Times New Roman"/>
                <w:szCs w:val="28"/>
              </w:rPr>
            </w:pPr>
            <w:r w:rsidRPr="00CA099F">
              <w:rPr>
                <w:rFonts w:eastAsia="Times New Roman" w:cs="Times New Roman"/>
                <w:sz w:val="28"/>
                <w:szCs w:val="28"/>
              </w:rPr>
              <w:t>90,22±2,60</w:t>
            </w:r>
          </w:p>
        </w:tc>
        <w:tc>
          <w:tcPr>
            <w:tcW w:w="575" w:type="pct"/>
          </w:tcPr>
          <w:p w:rsidR="0030517B" w:rsidRPr="00CA099F" w:rsidRDefault="0030517B" w:rsidP="00E1448E">
            <w:pPr>
              <w:spacing w:after="0" w:line="240" w:lineRule="auto"/>
              <w:jc w:val="center"/>
              <w:rPr>
                <w:rFonts w:eastAsia="Times New Roman" w:cs="Times New Roman"/>
                <w:color w:val="000000"/>
                <w:szCs w:val="28"/>
              </w:rPr>
            </w:pPr>
            <w:r w:rsidRPr="00CA099F">
              <w:rPr>
                <w:rFonts w:eastAsia="Times New Roman" w:cs="Times New Roman"/>
                <w:color w:val="000000"/>
                <w:sz w:val="28"/>
                <w:szCs w:val="28"/>
              </w:rPr>
              <w:t>91,69</w:t>
            </w:r>
            <w:r w:rsidRPr="00CA099F">
              <w:rPr>
                <w:rFonts w:eastAsia="Times New Roman" w:cs="Times New Roman"/>
                <w:sz w:val="28"/>
                <w:szCs w:val="28"/>
              </w:rPr>
              <w:t>±</w:t>
            </w:r>
            <w:r w:rsidRPr="00CA099F">
              <w:rPr>
                <w:rFonts w:eastAsia="Times New Roman" w:cs="Times New Roman"/>
                <w:color w:val="000000"/>
                <w:sz w:val="28"/>
                <w:szCs w:val="28"/>
              </w:rPr>
              <w:t>3,08</w:t>
            </w:r>
          </w:p>
        </w:tc>
      </w:tr>
      <w:tr w:rsidR="0030517B" w:rsidRPr="00CA099F" w:rsidTr="00E1448E">
        <w:tc>
          <w:tcPr>
            <w:tcW w:w="600" w:type="pct"/>
          </w:tcPr>
          <w:p w:rsidR="0030517B" w:rsidRPr="00CA099F" w:rsidRDefault="0030517B" w:rsidP="00E1448E">
            <w:pPr>
              <w:spacing w:after="0" w:line="240" w:lineRule="auto"/>
              <w:jc w:val="center"/>
              <w:rPr>
                <w:rFonts w:eastAsia="Times New Roman" w:cs="Times New Roman"/>
                <w:szCs w:val="28"/>
              </w:rPr>
            </w:pPr>
          </w:p>
        </w:tc>
        <w:tc>
          <w:tcPr>
            <w:tcW w:w="462" w:type="pct"/>
          </w:tcPr>
          <w:p w:rsidR="0030517B" w:rsidRPr="00CA099F" w:rsidRDefault="0030517B" w:rsidP="00E1448E">
            <w:pPr>
              <w:spacing w:after="0" w:line="240" w:lineRule="auto"/>
              <w:jc w:val="center"/>
              <w:rPr>
                <w:rFonts w:eastAsia="Times New Roman" w:cs="Times New Roman"/>
                <w:szCs w:val="28"/>
              </w:rPr>
            </w:pPr>
          </w:p>
        </w:tc>
        <w:tc>
          <w:tcPr>
            <w:tcW w:w="553" w:type="pct"/>
          </w:tcPr>
          <w:p w:rsidR="0030517B" w:rsidRPr="00CA099F" w:rsidRDefault="0030517B" w:rsidP="00E1448E">
            <w:pPr>
              <w:spacing w:after="0" w:line="240" w:lineRule="auto"/>
              <w:jc w:val="center"/>
              <w:rPr>
                <w:rFonts w:eastAsia="Times New Roman" w:cs="Times New Roman"/>
                <w:szCs w:val="28"/>
              </w:rPr>
            </w:pPr>
          </w:p>
        </w:tc>
        <w:tc>
          <w:tcPr>
            <w:tcW w:w="513" w:type="pct"/>
          </w:tcPr>
          <w:p w:rsidR="0030517B" w:rsidRPr="00CA099F" w:rsidRDefault="0030517B" w:rsidP="00E1448E">
            <w:pPr>
              <w:spacing w:after="0" w:line="240" w:lineRule="auto"/>
              <w:jc w:val="center"/>
              <w:rPr>
                <w:rFonts w:eastAsia="Times New Roman" w:cs="Times New Roman"/>
                <w:szCs w:val="28"/>
              </w:rPr>
            </w:pPr>
          </w:p>
        </w:tc>
        <w:tc>
          <w:tcPr>
            <w:tcW w:w="574" w:type="pct"/>
          </w:tcPr>
          <w:p w:rsidR="0030517B" w:rsidRPr="00CA099F" w:rsidRDefault="0030517B" w:rsidP="00E1448E">
            <w:pPr>
              <w:spacing w:after="0"/>
              <w:jc w:val="center"/>
              <w:rPr>
                <w:rFonts w:eastAsia="Times New Roman" w:cs="Times New Roman"/>
                <w:color w:val="000000"/>
                <w:szCs w:val="28"/>
              </w:rPr>
            </w:pPr>
            <w:r w:rsidRPr="00CA099F">
              <w:rPr>
                <w:rFonts w:eastAsia="Times New Roman" w:cs="Times New Roman"/>
                <w:color w:val="000000"/>
                <w:szCs w:val="24"/>
              </w:rPr>
              <w:t>р</w:t>
            </w:r>
            <w:r w:rsidRPr="00CA099F">
              <w:rPr>
                <w:rFonts w:eastAsia="Times New Roman" w:cs="Times New Roman"/>
                <w:color w:val="000000"/>
                <w:szCs w:val="24"/>
                <w:vertAlign w:val="subscript"/>
              </w:rPr>
              <w:t>1</w:t>
            </w:r>
            <w:r w:rsidRPr="00CA099F">
              <w:rPr>
                <w:rFonts w:eastAsia="Times New Roman" w:cs="Times New Roman"/>
                <w:color w:val="000000"/>
                <w:szCs w:val="24"/>
              </w:rPr>
              <w:t>&lt;0,001</w:t>
            </w:r>
          </w:p>
        </w:tc>
        <w:tc>
          <w:tcPr>
            <w:tcW w:w="574" w:type="pct"/>
          </w:tcPr>
          <w:p w:rsidR="0030517B" w:rsidRPr="00CA099F" w:rsidRDefault="0030517B" w:rsidP="00E1448E">
            <w:pPr>
              <w:spacing w:after="0"/>
              <w:jc w:val="center"/>
              <w:rPr>
                <w:rFonts w:eastAsia="Times New Roman" w:cs="Times New Roman"/>
                <w:szCs w:val="28"/>
              </w:rPr>
            </w:pPr>
          </w:p>
        </w:tc>
        <w:tc>
          <w:tcPr>
            <w:tcW w:w="574" w:type="pct"/>
          </w:tcPr>
          <w:p w:rsidR="0030517B" w:rsidRPr="00CA099F" w:rsidRDefault="0030517B" w:rsidP="00E1448E">
            <w:pPr>
              <w:spacing w:after="0"/>
              <w:jc w:val="center"/>
              <w:rPr>
                <w:rFonts w:eastAsia="Times New Roman" w:cs="Times New Roman"/>
                <w:color w:val="000000"/>
                <w:szCs w:val="28"/>
              </w:rPr>
            </w:pPr>
          </w:p>
        </w:tc>
        <w:tc>
          <w:tcPr>
            <w:tcW w:w="574" w:type="pct"/>
          </w:tcPr>
          <w:p w:rsidR="0030517B" w:rsidRPr="00CA099F" w:rsidRDefault="0030517B" w:rsidP="00E1448E">
            <w:pPr>
              <w:spacing w:after="0" w:line="240" w:lineRule="auto"/>
              <w:jc w:val="center"/>
              <w:rPr>
                <w:rFonts w:eastAsia="Times New Roman" w:cs="Times New Roman"/>
                <w:szCs w:val="28"/>
              </w:rPr>
            </w:pPr>
          </w:p>
        </w:tc>
        <w:tc>
          <w:tcPr>
            <w:tcW w:w="575" w:type="pct"/>
          </w:tcPr>
          <w:p w:rsidR="0030517B" w:rsidRPr="00CA099F" w:rsidRDefault="0030517B" w:rsidP="00E1448E">
            <w:pPr>
              <w:spacing w:after="0" w:line="240" w:lineRule="auto"/>
              <w:jc w:val="center"/>
              <w:rPr>
                <w:rFonts w:eastAsia="Times New Roman" w:cs="Times New Roman"/>
                <w:color w:val="000000"/>
                <w:szCs w:val="28"/>
              </w:rPr>
            </w:pPr>
          </w:p>
        </w:tc>
      </w:tr>
      <w:tr w:rsidR="0030517B" w:rsidRPr="00CA099F" w:rsidTr="00E1448E">
        <w:tc>
          <w:tcPr>
            <w:tcW w:w="5000" w:type="pct"/>
            <w:gridSpan w:val="9"/>
          </w:tcPr>
          <w:p w:rsidR="0030517B" w:rsidRPr="00CA099F" w:rsidRDefault="0030517B" w:rsidP="00E1448E">
            <w:pPr>
              <w:spacing w:after="0" w:line="240" w:lineRule="auto"/>
              <w:jc w:val="both"/>
              <w:rPr>
                <w:rFonts w:eastAsia="Times New Roman" w:cs="Times New Roman"/>
                <w:szCs w:val="28"/>
              </w:rPr>
            </w:pPr>
            <w:r w:rsidRPr="00CA099F">
              <w:rPr>
                <w:rFonts w:eastAsia="Times New Roman" w:cs="Times New Roman"/>
                <w:sz w:val="28"/>
                <w:szCs w:val="28"/>
              </w:rPr>
              <w:t>Примітка:</w:t>
            </w:r>
          </w:p>
          <w:p w:rsidR="0030517B" w:rsidRPr="00CA099F" w:rsidRDefault="0030517B" w:rsidP="00E1448E">
            <w:pPr>
              <w:spacing w:after="0" w:line="240" w:lineRule="auto"/>
              <w:jc w:val="both"/>
              <w:rPr>
                <w:rFonts w:eastAsia="Times New Roman" w:cs="Times New Roman"/>
                <w:szCs w:val="28"/>
              </w:rPr>
            </w:pPr>
            <w:r w:rsidRPr="00CA099F">
              <w:rPr>
                <w:rFonts w:eastAsia="Times New Roman" w:cs="Times New Roman"/>
                <w:sz w:val="28"/>
                <w:szCs w:val="28"/>
              </w:rPr>
              <w:t>*- різниця достовірна стосовно даних групи порівняння в межах одного терміну спостереження</w:t>
            </w:r>
          </w:p>
          <w:p w:rsidR="0030517B" w:rsidRPr="00CA099F" w:rsidRDefault="0030517B" w:rsidP="00E1448E">
            <w:pPr>
              <w:tabs>
                <w:tab w:val="left" w:pos="709"/>
              </w:tabs>
              <w:spacing w:after="0" w:line="240" w:lineRule="auto"/>
              <w:ind w:right="-6"/>
              <w:jc w:val="both"/>
              <w:rPr>
                <w:rFonts w:eastAsia="Times New Roman" w:cs="Times New Roman"/>
                <w:color w:val="000000"/>
                <w:szCs w:val="28"/>
              </w:rPr>
            </w:pPr>
            <w:r w:rsidRPr="00CA099F">
              <w:rPr>
                <w:rFonts w:eastAsia="Times New Roman" w:cs="Times New Roman"/>
                <w:color w:val="000000"/>
                <w:sz w:val="28"/>
                <w:szCs w:val="28"/>
              </w:rPr>
              <w:t>р</w:t>
            </w:r>
            <w:r w:rsidRPr="00CA099F">
              <w:rPr>
                <w:rFonts w:eastAsia="Times New Roman" w:cs="Times New Roman"/>
                <w:color w:val="000000"/>
                <w:sz w:val="28"/>
                <w:szCs w:val="28"/>
                <w:vertAlign w:val="subscript"/>
              </w:rPr>
              <w:t>1</w:t>
            </w:r>
            <w:r w:rsidRPr="00CA099F">
              <w:rPr>
                <w:rFonts w:eastAsia="Times New Roman" w:cs="Times New Roman"/>
                <w:color w:val="000000"/>
                <w:sz w:val="28"/>
                <w:szCs w:val="28"/>
              </w:rPr>
              <w:t xml:space="preserve"> –показник достовірності між дослідними групами, термін спостереження 3 і 6 місяців.</w:t>
            </w:r>
          </w:p>
        </w:tc>
      </w:tr>
    </w:tbl>
    <w:p w:rsidR="0030517B" w:rsidRPr="00CA099F" w:rsidRDefault="0030517B" w:rsidP="0030517B">
      <w:pPr>
        <w:spacing w:after="0" w:line="360" w:lineRule="auto"/>
        <w:jc w:val="both"/>
        <w:rPr>
          <w:rFonts w:eastAsia="Times New Roman" w:cs="Times New Roman"/>
          <w:color w:val="000000"/>
          <w:sz w:val="28"/>
          <w:szCs w:val="28"/>
        </w:rPr>
      </w:pPr>
    </w:p>
    <w:p w:rsidR="0030517B" w:rsidRPr="00CA099F" w:rsidRDefault="00E61D0F" w:rsidP="0030517B">
      <w:pPr>
        <w:spacing w:after="0" w:line="360" w:lineRule="auto"/>
        <w:jc w:val="both"/>
        <w:rPr>
          <w:rFonts w:eastAsia="Times New Roman" w:cs="Times New Roman"/>
          <w:sz w:val="28"/>
          <w:szCs w:val="28"/>
        </w:rPr>
      </w:pPr>
      <w:r>
        <w:rPr>
          <w:rFonts w:eastAsia="Times New Roman" w:cs="Times New Roman"/>
          <w:sz w:val="28"/>
          <w:szCs w:val="28"/>
        </w:rPr>
        <w:tab/>
      </w:r>
      <w:r w:rsidR="0030517B" w:rsidRPr="00CA099F">
        <w:rPr>
          <w:rFonts w:eastAsia="Times New Roman" w:cs="Times New Roman"/>
          <w:sz w:val="28"/>
          <w:szCs w:val="28"/>
        </w:rPr>
        <w:t xml:space="preserve">Щодо пацієнтів, яким під час оперативного втручання введено PRF-згусток, а на післяопераційному етапі було застосовано </w:t>
      </w:r>
      <w:r w:rsidR="009A789C">
        <w:rPr>
          <w:rFonts w:eastAsia="Times New Roman" w:cs="Times New Roman"/>
          <w:sz w:val="28"/>
          <w:szCs w:val="28"/>
        </w:rPr>
        <w:t>церулоплазмін</w:t>
      </w:r>
      <w:r w:rsidR="0030517B" w:rsidRPr="00CA099F">
        <w:rPr>
          <w:rFonts w:eastAsia="Times New Roman" w:cs="Times New Roman"/>
          <w:sz w:val="28"/>
          <w:szCs w:val="28"/>
        </w:rPr>
        <w:t xml:space="preserve">, то вміст лізоциму через 3 місяці спостереження був достовірно вищим на 43,4 %, через 6 місяців – на 34,9 % відносно контрольної групи. У пацієнтів другої і третьої груп через 9 та 12 місяців спостереження вміст лізоциму практично не відрізнявся. </w:t>
      </w:r>
    </w:p>
    <w:p w:rsidR="0030517B" w:rsidRPr="00CA099F" w:rsidRDefault="00E61D0F" w:rsidP="0030517B">
      <w:pPr>
        <w:spacing w:after="0" w:line="360" w:lineRule="auto"/>
        <w:jc w:val="both"/>
        <w:rPr>
          <w:rFonts w:eastAsia="Times New Roman" w:cs="Times New Roman"/>
          <w:color w:val="000000"/>
          <w:sz w:val="28"/>
          <w:szCs w:val="28"/>
        </w:rPr>
      </w:pPr>
      <w:r>
        <w:rPr>
          <w:rFonts w:eastAsia="Times New Roman" w:cs="Times New Roman"/>
          <w:sz w:val="28"/>
          <w:szCs w:val="28"/>
        </w:rPr>
        <w:lastRenderedPageBreak/>
        <w:tab/>
      </w:r>
      <w:r w:rsidR="0030517B" w:rsidRPr="00CA099F">
        <w:rPr>
          <w:rFonts w:eastAsia="Times New Roman" w:cs="Times New Roman"/>
          <w:sz w:val="28"/>
          <w:szCs w:val="28"/>
        </w:rPr>
        <w:t xml:space="preserve">Рівень досліджуваного показника також змінювався впродовж терміну спостереження. Так, у пацієнтів, яким під час оперативного втручання введено PRF-згусток, а на післяопераційному етапі було застосовано </w:t>
      </w:r>
      <w:r w:rsidR="009A789C">
        <w:rPr>
          <w:rFonts w:eastAsia="Times New Roman" w:cs="Times New Roman"/>
          <w:sz w:val="28"/>
          <w:szCs w:val="28"/>
        </w:rPr>
        <w:t>церулоплазмін</w:t>
      </w:r>
      <w:r w:rsidR="009A789C" w:rsidRPr="00CA099F">
        <w:rPr>
          <w:rFonts w:eastAsia="Times New Roman" w:cs="Times New Roman"/>
          <w:sz w:val="28"/>
          <w:szCs w:val="28"/>
        </w:rPr>
        <w:t xml:space="preserve"> </w:t>
      </w:r>
      <w:r w:rsidR="0030517B" w:rsidRPr="00CA099F">
        <w:rPr>
          <w:rFonts w:eastAsia="Times New Roman" w:cs="Times New Roman"/>
          <w:sz w:val="28"/>
          <w:szCs w:val="28"/>
        </w:rPr>
        <w:t>через 6 місяців вміст лізоциму був на 19,1 % (</w:t>
      </w:r>
      <w:r w:rsidR="0030517B" w:rsidRPr="00CA099F">
        <w:rPr>
          <w:rFonts w:eastAsia="Times New Roman" w:cs="Times New Roman"/>
          <w:color w:val="000000"/>
          <w:sz w:val="28"/>
          <w:szCs w:val="28"/>
        </w:rPr>
        <w:t xml:space="preserve">р&lt;0,001) </w:t>
      </w:r>
      <w:r w:rsidR="0030517B" w:rsidRPr="00CA099F">
        <w:rPr>
          <w:rFonts w:eastAsia="Times New Roman" w:cs="Times New Roman"/>
          <w:sz w:val="28"/>
          <w:szCs w:val="28"/>
        </w:rPr>
        <w:t>вищим, стосовно даних попереднього терміну спостереження</w:t>
      </w:r>
      <w:r w:rsidR="0030517B" w:rsidRPr="00CA099F">
        <w:rPr>
          <w:rFonts w:eastAsia="Times New Roman" w:cs="Times New Roman"/>
          <w:color w:val="000000"/>
          <w:sz w:val="28"/>
          <w:szCs w:val="28"/>
        </w:rPr>
        <w:t xml:space="preserve">. </w:t>
      </w:r>
    </w:p>
    <w:p w:rsidR="0030517B" w:rsidRPr="00CA099F" w:rsidRDefault="00E61D0F" w:rsidP="0030517B">
      <w:pPr>
        <w:spacing w:after="0" w:line="360" w:lineRule="auto"/>
        <w:jc w:val="both"/>
        <w:rPr>
          <w:rFonts w:eastAsia="Times New Roman" w:cs="Times New Roman"/>
          <w:sz w:val="28"/>
          <w:szCs w:val="28"/>
        </w:rPr>
      </w:pPr>
      <w:r>
        <w:rPr>
          <w:rFonts w:eastAsia="Times New Roman" w:cs="Times New Roman"/>
          <w:sz w:val="28"/>
          <w:szCs w:val="28"/>
        </w:rPr>
        <w:tab/>
      </w:r>
      <w:r w:rsidR="0030517B" w:rsidRPr="00CA099F">
        <w:rPr>
          <w:rFonts w:eastAsia="Times New Roman" w:cs="Times New Roman"/>
          <w:sz w:val="28"/>
          <w:szCs w:val="28"/>
        </w:rPr>
        <w:t xml:space="preserve">Аналізуючи зміни вмісту лізоциму у гомогенаті шкіри пацієнтів з різними видами інтра- та післяопераційної профілактики патологічних рубців шкіри при хірургічному лікуванні кіст шиї ембріонального походження відносно показників інтактної групи пацієнтів (рис. 5.13) найнижчі показники встановлено у пацієнтів контрольної групи (через 3 місяці спостереження достовірне зменшення на 46,4 %, через 6 місяців – на 32,2 %). Найвищі показники вмісту лізоциму спостерігалися у пацієнтів другої групи (через 3 місяці спостереження достовірне зменшення на 23,2 %, через 6, 9 та 12 місяців – відсутні достовірні зміни). </w:t>
      </w:r>
    </w:p>
    <w:p w:rsidR="0030517B" w:rsidRPr="00CA099F" w:rsidRDefault="0030517B" w:rsidP="0030517B">
      <w:pPr>
        <w:spacing w:after="0" w:line="360" w:lineRule="auto"/>
        <w:jc w:val="both"/>
        <w:rPr>
          <w:rFonts w:eastAsia="Times New Roman" w:cs="Times New Roman"/>
          <w:color w:val="000000"/>
          <w:sz w:val="28"/>
          <w:szCs w:val="28"/>
        </w:rPr>
      </w:pPr>
      <w:r w:rsidRPr="00CA099F">
        <w:rPr>
          <w:rFonts w:ascii="Calibri" w:eastAsia="Times New Roman" w:hAnsi="Calibri" w:cs="Times New Roman"/>
          <w:noProof/>
          <w:sz w:val="22"/>
          <w:lang w:val="ru-RU" w:eastAsia="ru-RU"/>
        </w:rPr>
        <w:drawing>
          <wp:inline distT="0" distB="0" distL="0" distR="0" wp14:anchorId="2BAA6F60" wp14:editId="447F83F3">
            <wp:extent cx="5334000" cy="3067050"/>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334000" cy="3067050"/>
                    </a:xfrm>
                    <a:prstGeom prst="rect">
                      <a:avLst/>
                    </a:prstGeom>
                    <a:noFill/>
                    <a:ln>
                      <a:noFill/>
                    </a:ln>
                  </pic:spPr>
                </pic:pic>
              </a:graphicData>
            </a:graphic>
          </wp:inline>
        </w:drawing>
      </w:r>
    </w:p>
    <w:p w:rsidR="0030517B" w:rsidRPr="00CA099F" w:rsidRDefault="00E61D0F" w:rsidP="0030517B">
      <w:pPr>
        <w:spacing w:after="0" w:line="360" w:lineRule="auto"/>
        <w:jc w:val="both"/>
        <w:rPr>
          <w:rFonts w:eastAsia="Times New Roman" w:cs="Times New Roman"/>
          <w:sz w:val="28"/>
          <w:szCs w:val="28"/>
        </w:rPr>
      </w:pPr>
      <w:r>
        <w:rPr>
          <w:rFonts w:eastAsia="Times New Roman" w:cs="Times New Roman"/>
          <w:sz w:val="28"/>
          <w:szCs w:val="28"/>
        </w:rPr>
        <w:t>Рисунок 5.13</w:t>
      </w:r>
      <w:r w:rsidR="0030517B" w:rsidRPr="00CA099F">
        <w:rPr>
          <w:rFonts w:eastAsia="Times New Roman" w:cs="Times New Roman"/>
          <w:sz w:val="28"/>
          <w:szCs w:val="28"/>
        </w:rPr>
        <w:t xml:space="preserve"> </w:t>
      </w:r>
      <w:r>
        <w:rPr>
          <w:rFonts w:eastAsia="Times New Roman" w:cs="Times New Roman"/>
          <w:sz w:val="28"/>
          <w:szCs w:val="28"/>
        </w:rPr>
        <w:t>Графічне зображення</w:t>
      </w:r>
      <w:r w:rsidR="0030517B" w:rsidRPr="00CA099F">
        <w:rPr>
          <w:rFonts w:eastAsia="Times New Roman" w:cs="Times New Roman"/>
          <w:sz w:val="28"/>
          <w:szCs w:val="28"/>
        </w:rPr>
        <w:t xml:space="preserve"> змін вмісту лізоциму у гомогенаті шкіри пацієнтів з різними видами інтра- та післяопераційної профілактики патологічних рубців шкіри при хірургічному лікуванні кіст шиї ембріонального походження у відсотках (*- різниця достовірна стосовно даних інтактної групи).</w:t>
      </w:r>
    </w:p>
    <w:p w:rsidR="0030517B" w:rsidRPr="00CA099F" w:rsidRDefault="00E61D0F" w:rsidP="0030517B">
      <w:pPr>
        <w:spacing w:after="0" w:line="360" w:lineRule="auto"/>
        <w:jc w:val="both"/>
        <w:rPr>
          <w:rFonts w:eastAsia="MS Mincho" w:cs="Times New Roman"/>
          <w:sz w:val="28"/>
          <w:szCs w:val="28"/>
          <w:lang w:eastAsia="ja-JP"/>
        </w:rPr>
      </w:pPr>
      <w:r>
        <w:rPr>
          <w:rFonts w:eastAsia="MS Mincho" w:cs="Times New Roman"/>
          <w:sz w:val="28"/>
          <w:szCs w:val="28"/>
          <w:lang w:eastAsia="ja-JP"/>
        </w:rPr>
        <w:lastRenderedPageBreak/>
        <w:tab/>
      </w:r>
      <w:r w:rsidR="0030517B" w:rsidRPr="00CA099F">
        <w:rPr>
          <w:rFonts w:eastAsia="MS Mincho" w:cs="Times New Roman"/>
          <w:sz w:val="28"/>
          <w:szCs w:val="28"/>
          <w:lang w:eastAsia="ja-JP"/>
        </w:rPr>
        <w:t>Для визначення ступеня патогенності мікрофлори у гомогенаті шкіри пацієнтів з різними видами інтра- та післяопераційної профілактики патологічних рубців шкіри при хірургічному лікуванні кіст шиї ембріонального походження ми визначали активність ферменту уреази, яка не продукується соматичними клітинами, проте синтезується патогенними і умовно-патогенними мікроорганізмами.</w:t>
      </w:r>
    </w:p>
    <w:p w:rsidR="0030517B" w:rsidRPr="00CA099F" w:rsidRDefault="00E61D0F" w:rsidP="0030517B">
      <w:pPr>
        <w:spacing w:after="0" w:line="360" w:lineRule="auto"/>
        <w:jc w:val="both"/>
        <w:rPr>
          <w:rFonts w:eastAsia="Times New Roman" w:cs="Times New Roman"/>
          <w:sz w:val="28"/>
          <w:szCs w:val="28"/>
        </w:rPr>
      </w:pPr>
      <w:r>
        <w:rPr>
          <w:rFonts w:eastAsia="Times New Roman" w:cs="Times New Roman"/>
          <w:sz w:val="28"/>
          <w:szCs w:val="28"/>
        </w:rPr>
        <w:tab/>
      </w:r>
      <w:r w:rsidR="0030517B" w:rsidRPr="00CA099F">
        <w:rPr>
          <w:rFonts w:eastAsia="Times New Roman" w:cs="Times New Roman"/>
          <w:sz w:val="28"/>
          <w:szCs w:val="28"/>
        </w:rPr>
        <w:t>Результати наших досліджень показали, що даний показник у гомогенаті шкіри пацієнтів, яким під час оперативного втручання введено PRF-згусток, через 3 місяці спостереження був достовірно меншим на 31,2 % (табл. 5.9) відносно контрольної групи. Через 6, 9 та 12 місяців даний показник достовірно не відрізнявся.</w:t>
      </w:r>
    </w:p>
    <w:p w:rsidR="0030517B" w:rsidRDefault="00E61D0F" w:rsidP="0030517B">
      <w:pPr>
        <w:spacing w:after="0" w:line="360" w:lineRule="auto"/>
        <w:jc w:val="both"/>
        <w:rPr>
          <w:rFonts w:eastAsia="Times New Roman" w:cs="Times New Roman"/>
          <w:sz w:val="28"/>
          <w:szCs w:val="28"/>
        </w:rPr>
      </w:pPr>
      <w:r>
        <w:rPr>
          <w:rFonts w:eastAsia="Times New Roman" w:cs="Times New Roman"/>
          <w:sz w:val="28"/>
          <w:szCs w:val="28"/>
        </w:rPr>
        <w:tab/>
      </w:r>
      <w:r w:rsidR="0030517B" w:rsidRPr="00CA099F">
        <w:rPr>
          <w:rFonts w:eastAsia="Times New Roman" w:cs="Times New Roman"/>
          <w:sz w:val="28"/>
          <w:szCs w:val="28"/>
        </w:rPr>
        <w:t xml:space="preserve">Щодо пацієнтів, яким під час оперативного втручання введено PRF-згусток, а на післяопераційному етапі було застосовано </w:t>
      </w:r>
      <w:r w:rsidR="009A789C">
        <w:rPr>
          <w:rFonts w:eastAsia="Times New Roman" w:cs="Times New Roman"/>
          <w:sz w:val="28"/>
          <w:szCs w:val="28"/>
        </w:rPr>
        <w:t>церулоплазмін</w:t>
      </w:r>
      <w:r w:rsidR="0030517B" w:rsidRPr="00CA099F">
        <w:rPr>
          <w:rFonts w:eastAsia="Times New Roman" w:cs="Times New Roman"/>
          <w:sz w:val="28"/>
          <w:szCs w:val="28"/>
        </w:rPr>
        <w:t>, то активність уреази через 3 місяці спостереження була достовірно меншою на 56,2 %, через 6 місяців – на 52,9 % і через 9</w:t>
      </w:r>
      <w:r w:rsidR="000E0994">
        <w:rPr>
          <w:rFonts w:eastAsia="Times New Roman" w:cs="Times New Roman"/>
          <w:sz w:val="28"/>
          <w:szCs w:val="28"/>
        </w:rPr>
        <w:t>– на 50,0</w:t>
      </w:r>
      <w:r w:rsidR="000E0994">
        <w:rPr>
          <w:rFonts w:eastAsia="Times New Roman" w:cs="Times New Roman"/>
          <w:sz w:val="28"/>
          <w:szCs w:val="28"/>
          <w:lang w:val="ru-RU"/>
        </w:rPr>
        <w:t> </w:t>
      </w:r>
      <w:r w:rsidR="0030517B" w:rsidRPr="00CA099F">
        <w:rPr>
          <w:rFonts w:eastAsia="Times New Roman" w:cs="Times New Roman"/>
          <w:sz w:val="28"/>
          <w:szCs w:val="28"/>
        </w:rPr>
        <w:t>%, стосовно даних третьої групи. У пацієнтів другої і третьої груп через 12 місяців спостереження активність уреази достовірно не відрізнялася.</w:t>
      </w:r>
    </w:p>
    <w:p w:rsidR="00615507" w:rsidRPr="00CA099F" w:rsidRDefault="00615507" w:rsidP="00615507">
      <w:pPr>
        <w:spacing w:after="0" w:line="360" w:lineRule="auto"/>
        <w:ind w:firstLine="709"/>
        <w:jc w:val="both"/>
        <w:rPr>
          <w:rFonts w:eastAsia="Times New Roman" w:cs="Times New Roman"/>
          <w:sz w:val="28"/>
          <w:szCs w:val="28"/>
        </w:rPr>
      </w:pPr>
      <w:r>
        <w:rPr>
          <w:rFonts w:eastAsia="Times New Roman" w:cs="Times New Roman"/>
          <w:sz w:val="28"/>
          <w:szCs w:val="28"/>
        </w:rPr>
        <w:t>А</w:t>
      </w:r>
      <w:r w:rsidRPr="00CA099F">
        <w:rPr>
          <w:rFonts w:eastAsia="Times New Roman" w:cs="Times New Roman"/>
          <w:sz w:val="28"/>
          <w:szCs w:val="28"/>
        </w:rPr>
        <w:t xml:space="preserve">налізуючи зміни активності уреази у гомогенаті шкіри пацієнтів з різними видами інтра- та післяопераційної профілактики патологічних рубців шкіри при хірургічному лікуванні кіст шиї ембріонального походження відносно показників інтактної групи пацієнтів (рис. 5.14) найвищі показники встановлено у пацієнтів контрольної групи (через 3 місяці спостереження достовірне переважання у 6,4 рази, через 6 місяців – у 3,4 рази і через 9 – на 160,0 %). </w:t>
      </w:r>
    </w:p>
    <w:p w:rsidR="00615507" w:rsidRPr="00CA099F" w:rsidRDefault="00615507" w:rsidP="0030517B">
      <w:pPr>
        <w:spacing w:after="0" w:line="360" w:lineRule="auto"/>
        <w:jc w:val="both"/>
        <w:rPr>
          <w:rFonts w:ascii="Calibri" w:eastAsia="Times New Roman" w:hAnsi="Calibri" w:cs="Times New Roman"/>
          <w:sz w:val="22"/>
        </w:rPr>
      </w:pPr>
    </w:p>
    <w:p w:rsidR="0030517B" w:rsidRPr="00CA099F" w:rsidRDefault="0030517B" w:rsidP="0030517B">
      <w:pPr>
        <w:spacing w:after="0" w:line="360" w:lineRule="auto"/>
        <w:jc w:val="center"/>
        <w:rPr>
          <w:rFonts w:eastAsia="Times New Roman" w:cs="Times New Roman"/>
          <w:sz w:val="28"/>
          <w:szCs w:val="28"/>
        </w:rPr>
      </w:pPr>
      <w:r w:rsidRPr="00CA099F">
        <w:rPr>
          <w:rFonts w:ascii="Calibri" w:eastAsia="Times New Roman" w:hAnsi="Calibri" w:cs="Times New Roman"/>
          <w:noProof/>
          <w:sz w:val="22"/>
          <w:lang w:val="ru-RU" w:eastAsia="ru-RU"/>
        </w:rPr>
        <w:lastRenderedPageBreak/>
        <w:drawing>
          <wp:inline distT="0" distB="0" distL="0" distR="0" wp14:anchorId="6AF5E574" wp14:editId="76708DB8">
            <wp:extent cx="5715000" cy="3019425"/>
            <wp:effectExtent l="0" t="0" r="0" b="9525"/>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715000" cy="3019425"/>
                    </a:xfrm>
                    <a:prstGeom prst="rect">
                      <a:avLst/>
                    </a:prstGeom>
                    <a:noFill/>
                    <a:ln>
                      <a:noFill/>
                    </a:ln>
                  </pic:spPr>
                </pic:pic>
              </a:graphicData>
            </a:graphic>
          </wp:inline>
        </w:drawing>
      </w:r>
    </w:p>
    <w:p w:rsidR="0030517B" w:rsidRDefault="00E61D0F" w:rsidP="0030517B">
      <w:pPr>
        <w:spacing w:after="0" w:line="360" w:lineRule="auto"/>
        <w:jc w:val="both"/>
        <w:rPr>
          <w:rFonts w:eastAsia="Times New Roman" w:cs="Times New Roman"/>
          <w:sz w:val="28"/>
          <w:szCs w:val="28"/>
        </w:rPr>
      </w:pPr>
      <w:r>
        <w:rPr>
          <w:rFonts w:eastAsia="Times New Roman" w:cs="Times New Roman"/>
          <w:sz w:val="28"/>
          <w:szCs w:val="28"/>
        </w:rPr>
        <w:t>Рисунок 5.1</w:t>
      </w:r>
      <w:r w:rsidR="00A74681">
        <w:rPr>
          <w:rFonts w:eastAsia="Times New Roman" w:cs="Times New Roman"/>
          <w:sz w:val="28"/>
          <w:szCs w:val="28"/>
        </w:rPr>
        <w:t>4 Графічне зображення</w:t>
      </w:r>
      <w:r w:rsidR="0030517B" w:rsidRPr="00CA099F">
        <w:rPr>
          <w:rFonts w:eastAsia="Times New Roman" w:cs="Times New Roman"/>
          <w:sz w:val="28"/>
          <w:szCs w:val="28"/>
        </w:rPr>
        <w:t xml:space="preserve"> змін активності уреази у гомогенаті шкіри пацієнтів з різними видами інтра- та післяопераційної профілактики патологічних рубців шкіри при хірургічному лікуванні кіст шиї ембріонального походження у відсотках (*- різниця достовірна стосовно даних інтактної групи).</w:t>
      </w:r>
    </w:p>
    <w:p w:rsidR="00A105BE" w:rsidRDefault="00A105BE" w:rsidP="0030517B">
      <w:pPr>
        <w:spacing w:after="0" w:line="360" w:lineRule="auto"/>
        <w:jc w:val="both"/>
        <w:rPr>
          <w:rFonts w:eastAsia="Times New Roman" w:cs="Times New Roman"/>
          <w:sz w:val="28"/>
          <w:szCs w:val="28"/>
        </w:rPr>
      </w:pPr>
    </w:p>
    <w:p w:rsidR="00615507" w:rsidRPr="00CA099F" w:rsidRDefault="00A74681" w:rsidP="00615507">
      <w:pPr>
        <w:spacing w:after="0" w:line="360" w:lineRule="auto"/>
        <w:ind w:firstLine="709"/>
        <w:jc w:val="both"/>
        <w:rPr>
          <w:rFonts w:eastAsia="Times New Roman" w:cs="Times New Roman"/>
          <w:sz w:val="28"/>
          <w:szCs w:val="28"/>
        </w:rPr>
      </w:pPr>
      <w:r w:rsidRPr="00615507">
        <w:rPr>
          <w:rFonts w:eastAsia="Times New Roman" w:cs="Times New Roman"/>
          <w:sz w:val="28"/>
          <w:szCs w:val="28"/>
        </w:rPr>
        <w:t>Таким чином,</w:t>
      </w:r>
      <w:r w:rsidR="00615507" w:rsidRPr="00615507">
        <w:rPr>
          <w:rFonts w:eastAsia="Times New Roman" w:cs="Times New Roman"/>
          <w:sz w:val="28"/>
          <w:szCs w:val="28"/>
        </w:rPr>
        <w:t xml:space="preserve"> </w:t>
      </w:r>
      <w:r w:rsidR="00615507">
        <w:rPr>
          <w:rFonts w:eastAsia="Times New Roman" w:cs="Times New Roman"/>
          <w:sz w:val="28"/>
          <w:szCs w:val="28"/>
        </w:rPr>
        <w:t>н</w:t>
      </w:r>
      <w:r w:rsidR="00615507" w:rsidRPr="00CA099F">
        <w:rPr>
          <w:rFonts w:eastAsia="Times New Roman" w:cs="Times New Roman"/>
          <w:sz w:val="28"/>
          <w:szCs w:val="28"/>
        </w:rPr>
        <w:t xml:space="preserve">айнижчі показники активності уреази спостерігалися у пацієнтів, яким під час оперативного втручання введено PRF-згусток, а на післяопераційному етапі було застосовано </w:t>
      </w:r>
      <w:r w:rsidR="009A789C">
        <w:rPr>
          <w:rFonts w:eastAsia="Times New Roman" w:cs="Times New Roman"/>
          <w:sz w:val="28"/>
          <w:szCs w:val="28"/>
        </w:rPr>
        <w:t>церулоплазмін</w:t>
      </w:r>
      <w:r w:rsidR="00615507" w:rsidRPr="00CA099F">
        <w:rPr>
          <w:rFonts w:eastAsia="Times New Roman" w:cs="Times New Roman"/>
          <w:sz w:val="28"/>
          <w:szCs w:val="28"/>
        </w:rPr>
        <w:t>. Так, через 3 місяці даний показник перевищував показник інтактної групи у 2,8 рази, через 6, 9 та 12 місяців – достовірно не відрізнявся.</w:t>
      </w:r>
    </w:p>
    <w:p w:rsidR="00A74681" w:rsidRPr="00615507" w:rsidRDefault="00A74681" w:rsidP="0030517B">
      <w:pPr>
        <w:spacing w:after="0" w:line="360" w:lineRule="auto"/>
        <w:jc w:val="both"/>
        <w:rPr>
          <w:rFonts w:eastAsia="Times New Roman" w:cs="Times New Roman"/>
          <w:sz w:val="28"/>
          <w:szCs w:val="28"/>
        </w:rPr>
      </w:pPr>
    </w:p>
    <w:p w:rsidR="0030517B" w:rsidRPr="00CA099F" w:rsidRDefault="0030517B" w:rsidP="00EA09EA">
      <w:pPr>
        <w:spacing w:after="0" w:line="360" w:lineRule="auto"/>
        <w:ind w:firstLine="709"/>
        <w:contextualSpacing/>
        <w:jc w:val="both"/>
        <w:rPr>
          <w:rFonts w:eastAsia="Times New Roman" w:cs="Times New Roman"/>
          <w:sz w:val="28"/>
          <w:szCs w:val="28"/>
          <w:lang w:val="ru-RU"/>
        </w:rPr>
      </w:pPr>
      <w:r w:rsidRPr="00CA099F">
        <w:rPr>
          <w:rFonts w:eastAsia="Times New Roman" w:cs="Times New Roman"/>
          <w:snapToGrid w:val="0"/>
          <w:sz w:val="28"/>
          <w:szCs w:val="28"/>
          <w:lang w:val="ru-RU"/>
        </w:rPr>
        <w:t>Дані, що наведені в розділі викладені в наступних працях:</w:t>
      </w:r>
    </w:p>
    <w:p w:rsidR="0030517B" w:rsidRPr="00CA099F" w:rsidRDefault="0030517B" w:rsidP="00EA09EA">
      <w:pPr>
        <w:spacing w:after="0" w:line="360" w:lineRule="auto"/>
        <w:ind w:firstLine="709"/>
        <w:jc w:val="both"/>
        <w:rPr>
          <w:rFonts w:eastAsia="Times New Roman" w:cs="Times New Roman"/>
          <w:sz w:val="28"/>
          <w:szCs w:val="28"/>
        </w:rPr>
      </w:pPr>
      <w:r w:rsidRPr="00CA099F">
        <w:rPr>
          <w:rFonts w:eastAsia="Times New Roman" w:cs="Times New Roman"/>
          <w:sz w:val="28"/>
          <w:szCs w:val="28"/>
        </w:rPr>
        <w:t xml:space="preserve">The Dynamics of Changes of Indicators of Products of Peroxide Lipid Oxidation in the Homogenates of Scarring Tissues in Different Terms of the Postoperative Period / </w:t>
      </w:r>
      <w:r w:rsidRPr="00CA099F">
        <w:rPr>
          <w:rFonts w:eastAsia="Times New Roman" w:cs="Times New Roman"/>
          <w:b/>
          <w:sz w:val="28"/>
          <w:szCs w:val="28"/>
        </w:rPr>
        <w:t>L.R. Krynychko</w:t>
      </w:r>
      <w:r w:rsidRPr="00CA099F">
        <w:rPr>
          <w:rFonts w:eastAsia="Times New Roman" w:cs="Times New Roman"/>
          <w:sz w:val="28"/>
          <w:szCs w:val="28"/>
        </w:rPr>
        <w:t>, S.M. Grygorov, K.P. Lokes, O.O. Rozkolupa // Intermedical journal. – 2018. – Vol. 1 (11). – P. 50-54.</w:t>
      </w:r>
    </w:p>
    <w:p w:rsidR="00EA09EA" w:rsidRPr="00EA09EA" w:rsidRDefault="00EA09EA" w:rsidP="00EA09EA">
      <w:pPr>
        <w:spacing w:after="0" w:line="360" w:lineRule="auto"/>
        <w:ind w:firstLine="709"/>
        <w:contextualSpacing/>
        <w:jc w:val="both"/>
        <w:rPr>
          <w:rFonts w:eastAsia="Times New Roman" w:cs="Times New Roman"/>
          <w:sz w:val="28"/>
          <w:szCs w:val="20"/>
          <w:lang w:eastAsia="uk-UA"/>
        </w:rPr>
      </w:pPr>
      <w:r w:rsidRPr="00EA09EA">
        <w:rPr>
          <w:rFonts w:eastAsia="Calibri" w:cs="Times New Roman"/>
          <w:sz w:val="28"/>
          <w:lang w:val="en-US"/>
        </w:rPr>
        <w:t xml:space="preserve">Krinichko L.R. Dynamics of changes of proteins free-radial oxidation, regenerator processes, microbial distribution and non-specific immunity in the gomogenates of scar tissues at different stages of the postoperative period / </w:t>
      </w:r>
      <w:r w:rsidRPr="00EA09EA">
        <w:rPr>
          <w:rFonts w:eastAsia="Calibri" w:cs="Times New Roman"/>
          <w:sz w:val="28"/>
          <w:lang w:val="en-US"/>
        </w:rPr>
        <w:lastRenderedPageBreak/>
        <w:t xml:space="preserve">L.R. Krinichko, S.M. Grigorov // </w:t>
      </w:r>
      <w:r w:rsidRPr="00EA09EA">
        <w:rPr>
          <w:rFonts w:eastAsia="Calibri" w:cs="Times New Roman"/>
          <w:sz w:val="28"/>
        </w:rPr>
        <w:t>Проблеми екології та медицини. – 2018. – Т. 22 (№3-4). – С. 3-6.</w:t>
      </w:r>
    </w:p>
    <w:p w:rsidR="00EA09EA" w:rsidRPr="00EA09EA" w:rsidRDefault="00EA09EA" w:rsidP="00EA09EA">
      <w:pPr>
        <w:spacing w:after="0" w:line="360" w:lineRule="auto"/>
        <w:ind w:firstLine="709"/>
        <w:contextualSpacing/>
        <w:jc w:val="both"/>
        <w:rPr>
          <w:rFonts w:eastAsia="Times New Roman" w:cs="Times New Roman"/>
          <w:sz w:val="28"/>
          <w:szCs w:val="20"/>
          <w:lang w:eastAsia="uk-UA"/>
        </w:rPr>
      </w:pPr>
      <w:r w:rsidRPr="00EA09EA">
        <w:rPr>
          <w:rFonts w:eastAsia="Calibri" w:cs="Times New Roman"/>
          <w:sz w:val="28"/>
        </w:rPr>
        <w:t xml:space="preserve">Визначення розбіжностей продукції активних форм оксисену та вмісту гідропероксидів ліпідів а гомогенатах рубцевозмінених тканин в різні терміни післяопераційного періоду / Л.Р. Криничко, К.П. Локес, С.О. Ставицький </w:t>
      </w:r>
      <w:r w:rsidRPr="00EA09EA">
        <w:rPr>
          <w:rFonts w:eastAsia="Times New Roman" w:cs="Times New Roman"/>
          <w:sz w:val="28"/>
          <w:szCs w:val="20"/>
          <w:lang w:eastAsia="uk-UA"/>
        </w:rPr>
        <w:t>[та ін.] // Вісник проблем біології і медицини. – 2018. – Bип. 4 (146). – С. 95-98.</w:t>
      </w:r>
    </w:p>
    <w:p w:rsidR="0030517B" w:rsidRPr="00EA09EA" w:rsidRDefault="0030517B" w:rsidP="0030517B">
      <w:pPr>
        <w:spacing w:after="0" w:line="360" w:lineRule="auto"/>
        <w:jc w:val="both"/>
        <w:rPr>
          <w:rFonts w:eastAsia="Times New Roman" w:cs="Times New Roman"/>
          <w:sz w:val="28"/>
          <w:szCs w:val="28"/>
        </w:rPr>
      </w:pPr>
    </w:p>
    <w:p w:rsidR="0030517B" w:rsidRDefault="0030517B" w:rsidP="00304E83">
      <w:pPr>
        <w:rPr>
          <w:rFonts w:eastAsia="Calibri" w:cs="Calibri"/>
          <w:sz w:val="28"/>
          <w:szCs w:val="28"/>
        </w:rPr>
      </w:pPr>
      <w:r w:rsidRPr="00EA09EA">
        <w:rPr>
          <w:rFonts w:eastAsia="Calibri" w:cs="Calibri"/>
          <w:sz w:val="28"/>
          <w:szCs w:val="28"/>
        </w:rPr>
        <w:br w:type="page"/>
      </w:r>
    </w:p>
    <w:p w:rsidR="0030517B" w:rsidRPr="00CA099F" w:rsidRDefault="0030517B" w:rsidP="0030517B">
      <w:pPr>
        <w:spacing w:after="160" w:line="360" w:lineRule="auto"/>
        <w:jc w:val="center"/>
        <w:rPr>
          <w:rFonts w:eastAsia="Calibri" w:cs="Times New Roman"/>
          <w:b/>
          <w:sz w:val="28"/>
          <w:szCs w:val="28"/>
        </w:rPr>
      </w:pPr>
      <w:r w:rsidRPr="00CA099F">
        <w:rPr>
          <w:rFonts w:eastAsia="Calibri" w:cs="Times New Roman"/>
          <w:b/>
          <w:sz w:val="28"/>
          <w:szCs w:val="28"/>
        </w:rPr>
        <w:lastRenderedPageBreak/>
        <w:t>АНАЛІЗ І УЗАГАЛЬНЕННЯ РЕЗУЛЬТАТІВ ДОСЛІДЖЕННЯ</w:t>
      </w:r>
    </w:p>
    <w:p w:rsidR="0030517B" w:rsidRPr="00CA099F" w:rsidRDefault="0030517B" w:rsidP="0030517B">
      <w:pPr>
        <w:spacing w:after="160" w:line="360" w:lineRule="auto"/>
        <w:jc w:val="center"/>
        <w:rPr>
          <w:rFonts w:eastAsia="Calibri" w:cs="Times New Roman"/>
          <w:b/>
          <w:sz w:val="28"/>
          <w:szCs w:val="28"/>
        </w:rPr>
      </w:pPr>
    </w:p>
    <w:p w:rsidR="0030517B" w:rsidRPr="00CA099F" w:rsidRDefault="0030517B" w:rsidP="003236D6">
      <w:pPr>
        <w:spacing w:after="160" w:line="360" w:lineRule="auto"/>
        <w:ind w:firstLine="708"/>
        <w:jc w:val="both"/>
        <w:rPr>
          <w:rFonts w:eastAsia="Calibri" w:cs="Times New Roman"/>
          <w:sz w:val="28"/>
          <w:szCs w:val="28"/>
        </w:rPr>
      </w:pPr>
      <w:r w:rsidRPr="00CA099F">
        <w:rPr>
          <w:rFonts w:eastAsia="Calibri" w:cs="Times New Roman"/>
          <w:sz w:val="28"/>
          <w:szCs w:val="28"/>
        </w:rPr>
        <w:t>Утворення патологічно змінених рубцевих тканин на сьогодні набуло особливої уваги та входить у</w:t>
      </w:r>
      <w:r w:rsidR="00A74681">
        <w:rPr>
          <w:rFonts w:eastAsia="Calibri" w:cs="Times New Roman"/>
          <w:sz w:val="28"/>
          <w:szCs w:val="28"/>
        </w:rPr>
        <w:t xml:space="preserve"> коло медико-соціальних проблем, яка</w:t>
      </w:r>
      <w:r w:rsidRPr="00CA099F">
        <w:rPr>
          <w:rFonts w:eastAsia="Calibri" w:cs="Times New Roman"/>
          <w:sz w:val="28"/>
          <w:szCs w:val="28"/>
        </w:rPr>
        <w:t xml:space="preserve"> ускладняється не лише помилками лікаря під час проведення оп</w:t>
      </w:r>
      <w:r w:rsidR="00304E83">
        <w:rPr>
          <w:rFonts w:eastAsia="Calibri" w:cs="Times New Roman"/>
          <w:sz w:val="28"/>
          <w:szCs w:val="28"/>
        </w:rPr>
        <w:t>еративного втручання, надмірним</w:t>
      </w:r>
      <w:r w:rsidRPr="00CA099F">
        <w:rPr>
          <w:rFonts w:eastAsia="Calibri" w:cs="Times New Roman"/>
          <w:sz w:val="28"/>
          <w:szCs w:val="28"/>
        </w:rPr>
        <w:t xml:space="preserve"> натягнення</w:t>
      </w:r>
      <w:r w:rsidR="00304E83">
        <w:rPr>
          <w:rFonts w:eastAsia="Calibri" w:cs="Times New Roman"/>
          <w:sz w:val="28"/>
          <w:szCs w:val="28"/>
        </w:rPr>
        <w:t xml:space="preserve">м країв рани і нехтуванням використання </w:t>
      </w:r>
      <w:r w:rsidRPr="00CA099F">
        <w:rPr>
          <w:rFonts w:eastAsia="Calibri" w:cs="Times New Roman"/>
          <w:sz w:val="28"/>
          <w:szCs w:val="28"/>
        </w:rPr>
        <w:t xml:space="preserve">сучасних атравматичних методик її ушивання, а й уповільненням метаболічних процесів в шкірі та дією </w:t>
      </w:r>
      <w:r w:rsidR="00304E83">
        <w:rPr>
          <w:rFonts w:eastAsia="Calibri" w:cs="Times New Roman"/>
          <w:sz w:val="28"/>
          <w:szCs w:val="28"/>
        </w:rPr>
        <w:t>багатьох зовнішніх факторів</w:t>
      </w:r>
      <w:r w:rsidRPr="00CA099F">
        <w:rPr>
          <w:rFonts w:eastAsia="Calibri" w:cs="Times New Roman"/>
          <w:sz w:val="28"/>
          <w:szCs w:val="28"/>
        </w:rPr>
        <w:t xml:space="preserve">. </w:t>
      </w:r>
    </w:p>
    <w:p w:rsidR="0030517B" w:rsidRPr="00CA099F" w:rsidRDefault="0030517B" w:rsidP="003236D6">
      <w:pPr>
        <w:spacing w:after="160" w:line="360" w:lineRule="auto"/>
        <w:ind w:firstLine="708"/>
        <w:jc w:val="both"/>
        <w:rPr>
          <w:rFonts w:eastAsia="Calibri" w:cs="Times New Roman"/>
          <w:sz w:val="28"/>
          <w:szCs w:val="28"/>
        </w:rPr>
      </w:pPr>
      <w:r w:rsidRPr="00CA099F">
        <w:rPr>
          <w:rFonts w:eastAsia="Calibri" w:cs="Times New Roman"/>
          <w:sz w:val="28"/>
          <w:szCs w:val="28"/>
        </w:rPr>
        <w:t>За останні 5 років кількість пацієнтів з післяопераційними патологічними рубцями шкіри збільшилася на 18,5 %. Осо</w:t>
      </w:r>
      <w:r w:rsidR="00267C06">
        <w:rPr>
          <w:rFonts w:eastAsia="Calibri" w:cs="Times New Roman"/>
          <w:sz w:val="28"/>
          <w:szCs w:val="28"/>
        </w:rPr>
        <w:t xml:space="preserve">бливо це стосується </w:t>
      </w:r>
      <w:r w:rsidR="00D96DA9">
        <w:rPr>
          <w:rFonts w:eastAsia="Calibri" w:cs="Times New Roman"/>
          <w:sz w:val="28"/>
          <w:szCs w:val="28"/>
        </w:rPr>
        <w:t>пацієнтів</w:t>
      </w:r>
      <w:r w:rsidR="00267C06">
        <w:rPr>
          <w:rFonts w:eastAsia="Calibri" w:cs="Times New Roman"/>
          <w:sz w:val="28"/>
          <w:szCs w:val="28"/>
        </w:rPr>
        <w:t>, яки</w:t>
      </w:r>
      <w:r w:rsidRPr="00CA099F">
        <w:rPr>
          <w:rFonts w:eastAsia="Calibri" w:cs="Times New Roman"/>
          <w:sz w:val="28"/>
          <w:szCs w:val="28"/>
        </w:rPr>
        <w:t>м проведені оперативні втручання на відкритих ділянках, зокрема, на шиї</w:t>
      </w:r>
      <w:r w:rsidR="00267C06">
        <w:rPr>
          <w:rFonts w:eastAsia="Calibri" w:cs="Times New Roman"/>
          <w:sz w:val="28"/>
          <w:szCs w:val="28"/>
        </w:rPr>
        <w:t xml:space="preserve"> та обличчі</w:t>
      </w:r>
      <w:r w:rsidRPr="00CA099F">
        <w:rPr>
          <w:rFonts w:eastAsia="Calibri" w:cs="Times New Roman"/>
          <w:sz w:val="28"/>
          <w:szCs w:val="28"/>
        </w:rPr>
        <w:t xml:space="preserve">. Найчастіше серед них зустрічаються операції з приводу серединних та бічних кіст шиї, що й обумовило обраний напрямок досліджень. </w:t>
      </w:r>
    </w:p>
    <w:p w:rsidR="0030517B" w:rsidRPr="00CA099F" w:rsidRDefault="0030517B" w:rsidP="004808B1">
      <w:pPr>
        <w:spacing w:after="160" w:line="360" w:lineRule="auto"/>
        <w:ind w:firstLine="709"/>
        <w:jc w:val="both"/>
        <w:rPr>
          <w:rFonts w:eastAsia="Calibri" w:cs="Times New Roman"/>
          <w:sz w:val="28"/>
          <w:szCs w:val="28"/>
        </w:rPr>
      </w:pPr>
      <w:r w:rsidRPr="00CA099F">
        <w:rPr>
          <w:rFonts w:eastAsia="Calibri" w:cs="Times New Roman"/>
          <w:sz w:val="28"/>
          <w:szCs w:val="28"/>
        </w:rPr>
        <w:t>На етапі проведення клінічних досліджень нами вивчена динаміка змін параметрів оцінки загоєння операційної рани з утворенням нормотрофічного або патологічного рубця при використанні запропонованих методик інтра- та постопераційної профілактики в порівняльному аспекті. При цьому нами використана стандартизована схема оцінки якості рубцевозмінених тканин [</w:t>
      </w:r>
      <w:r w:rsidRPr="00CA099F">
        <w:rPr>
          <w:rFonts w:eastAsia="Calibri" w:cs="Times New Roman"/>
          <w:sz w:val="28"/>
          <w:szCs w:val="28"/>
          <w:lang w:val="ru-RU"/>
        </w:rPr>
        <w:t>139, 140</w:t>
      </w:r>
      <w:r w:rsidR="00267C06">
        <w:rPr>
          <w:rFonts w:eastAsia="Calibri" w:cs="Times New Roman"/>
          <w:sz w:val="28"/>
          <w:szCs w:val="28"/>
        </w:rPr>
        <w:t>]. Вона</w:t>
      </w:r>
      <w:r w:rsidRPr="00CA099F">
        <w:rPr>
          <w:rFonts w:eastAsia="Calibri" w:cs="Times New Roman"/>
          <w:sz w:val="28"/>
          <w:szCs w:val="28"/>
        </w:rPr>
        <w:t xml:space="preserve"> складається з табличних даних</w:t>
      </w:r>
      <w:r w:rsidR="004808B1">
        <w:rPr>
          <w:rFonts w:eastAsia="Calibri" w:cs="Times New Roman"/>
          <w:sz w:val="28"/>
          <w:szCs w:val="28"/>
          <w:lang w:val="ru-RU"/>
        </w:rPr>
        <w:t>,</w:t>
      </w:r>
      <w:r w:rsidRPr="00CA099F">
        <w:rPr>
          <w:rFonts w:eastAsia="Calibri" w:cs="Times New Roman"/>
          <w:sz w:val="28"/>
          <w:szCs w:val="28"/>
        </w:rPr>
        <w:t xml:space="preserve"> що надають візуальну та суб’єктивну характеристику рубця за наступними параметрами:</w:t>
      </w:r>
    </w:p>
    <w:p w:rsidR="0030517B" w:rsidRPr="00CA099F" w:rsidRDefault="0030517B" w:rsidP="0030517B">
      <w:pPr>
        <w:numPr>
          <w:ilvl w:val="0"/>
          <w:numId w:val="11"/>
        </w:numPr>
        <w:spacing w:after="160" w:line="360" w:lineRule="auto"/>
        <w:contextualSpacing/>
        <w:jc w:val="both"/>
        <w:rPr>
          <w:rFonts w:eastAsia="Calibri" w:cs="Calibri"/>
          <w:sz w:val="28"/>
          <w:szCs w:val="28"/>
        </w:rPr>
      </w:pPr>
      <w:r w:rsidRPr="00CA099F">
        <w:rPr>
          <w:rFonts w:eastAsia="Calibri" w:cs="Calibri"/>
          <w:sz w:val="28"/>
          <w:szCs w:val="28"/>
        </w:rPr>
        <w:t>П1 – тип рубця;</w:t>
      </w:r>
    </w:p>
    <w:p w:rsidR="0030517B" w:rsidRPr="00CA099F" w:rsidRDefault="0030517B" w:rsidP="0030517B">
      <w:pPr>
        <w:numPr>
          <w:ilvl w:val="0"/>
          <w:numId w:val="11"/>
        </w:numPr>
        <w:spacing w:after="160" w:line="360" w:lineRule="auto"/>
        <w:contextualSpacing/>
        <w:jc w:val="both"/>
        <w:rPr>
          <w:rFonts w:eastAsia="Calibri" w:cs="Calibri"/>
          <w:sz w:val="28"/>
          <w:szCs w:val="28"/>
        </w:rPr>
      </w:pPr>
      <w:r w:rsidRPr="00CA099F">
        <w:rPr>
          <w:rFonts w:eastAsia="Calibri" w:cs="Calibri"/>
          <w:sz w:val="28"/>
          <w:szCs w:val="28"/>
        </w:rPr>
        <w:t>П2 – консистенція рубця;</w:t>
      </w:r>
    </w:p>
    <w:p w:rsidR="0030517B" w:rsidRPr="00CA099F" w:rsidRDefault="0030517B" w:rsidP="0030517B">
      <w:pPr>
        <w:numPr>
          <w:ilvl w:val="0"/>
          <w:numId w:val="11"/>
        </w:numPr>
        <w:spacing w:after="160" w:line="360" w:lineRule="auto"/>
        <w:contextualSpacing/>
        <w:jc w:val="both"/>
        <w:rPr>
          <w:rFonts w:eastAsia="Calibri" w:cs="Calibri"/>
          <w:sz w:val="28"/>
          <w:szCs w:val="28"/>
        </w:rPr>
      </w:pPr>
      <w:r w:rsidRPr="00CA099F">
        <w:rPr>
          <w:rFonts w:eastAsia="Calibri" w:cs="Calibri"/>
          <w:sz w:val="28"/>
          <w:szCs w:val="28"/>
        </w:rPr>
        <w:t>П3 – колір рубця;</w:t>
      </w:r>
    </w:p>
    <w:p w:rsidR="0030517B" w:rsidRPr="00CA099F" w:rsidRDefault="0030517B" w:rsidP="0030517B">
      <w:pPr>
        <w:numPr>
          <w:ilvl w:val="0"/>
          <w:numId w:val="11"/>
        </w:numPr>
        <w:spacing w:after="160" w:line="360" w:lineRule="auto"/>
        <w:contextualSpacing/>
        <w:jc w:val="both"/>
        <w:rPr>
          <w:rFonts w:eastAsia="Calibri" w:cs="Calibri"/>
          <w:sz w:val="28"/>
          <w:szCs w:val="28"/>
        </w:rPr>
      </w:pPr>
      <w:r w:rsidRPr="00CA099F">
        <w:rPr>
          <w:rFonts w:eastAsia="Calibri" w:cs="Calibri"/>
          <w:sz w:val="28"/>
          <w:szCs w:val="28"/>
        </w:rPr>
        <w:t>П4 – чутливість рубця;</w:t>
      </w:r>
    </w:p>
    <w:p w:rsidR="0030517B" w:rsidRPr="00CA099F" w:rsidRDefault="0030517B" w:rsidP="0030517B">
      <w:pPr>
        <w:numPr>
          <w:ilvl w:val="0"/>
          <w:numId w:val="11"/>
        </w:numPr>
        <w:spacing w:after="160" w:line="360" w:lineRule="auto"/>
        <w:contextualSpacing/>
        <w:jc w:val="both"/>
        <w:rPr>
          <w:rFonts w:eastAsia="Calibri" w:cs="Calibri"/>
          <w:sz w:val="28"/>
          <w:szCs w:val="28"/>
        </w:rPr>
      </w:pPr>
      <w:r w:rsidRPr="00CA099F">
        <w:rPr>
          <w:rFonts w:eastAsia="Calibri" w:cs="Calibri"/>
          <w:sz w:val="28"/>
          <w:szCs w:val="28"/>
        </w:rPr>
        <w:t>П5 – площа рубця.</w:t>
      </w:r>
    </w:p>
    <w:p w:rsidR="0030517B" w:rsidRPr="00CA099F" w:rsidRDefault="0030517B" w:rsidP="003236D6">
      <w:pPr>
        <w:spacing w:after="160" w:line="360" w:lineRule="auto"/>
        <w:ind w:firstLine="709"/>
        <w:jc w:val="both"/>
        <w:rPr>
          <w:rFonts w:eastAsia="Calibri" w:cs="Times New Roman"/>
          <w:sz w:val="28"/>
          <w:szCs w:val="28"/>
        </w:rPr>
      </w:pPr>
      <w:r w:rsidRPr="00CA099F">
        <w:rPr>
          <w:rFonts w:eastAsia="Calibri" w:cs="Times New Roman"/>
          <w:sz w:val="28"/>
          <w:szCs w:val="28"/>
        </w:rPr>
        <w:t xml:space="preserve">Аналіз показника утворення рубцевозмінених тканин П1 (тип рубця) в контрольній групі показав, що на 3 місяць післяопераційного періоду у 40% </w:t>
      </w:r>
      <w:r w:rsidRPr="00CA099F">
        <w:rPr>
          <w:rFonts w:eastAsia="Calibri" w:cs="Times New Roman"/>
          <w:sz w:val="28"/>
          <w:szCs w:val="28"/>
        </w:rPr>
        <w:lastRenderedPageBreak/>
        <w:t xml:space="preserve">пацієнтів спостерігається атрофічний рубець, який має вузликові розростання по периферії, ознаки перетворення на келоїдний рубець </w:t>
      </w:r>
      <w:r w:rsidR="00EF2891">
        <w:rPr>
          <w:rFonts w:eastAsia="Calibri" w:cs="Times New Roman"/>
          <w:sz w:val="28"/>
          <w:szCs w:val="28"/>
        </w:rPr>
        <w:t>фіксуються</w:t>
      </w:r>
      <w:r w:rsidRPr="00CA099F">
        <w:rPr>
          <w:rFonts w:eastAsia="Calibri" w:cs="Times New Roman"/>
          <w:sz w:val="28"/>
          <w:szCs w:val="28"/>
        </w:rPr>
        <w:t xml:space="preserve"> у 10% </w:t>
      </w:r>
      <w:r w:rsidR="00D96DA9">
        <w:rPr>
          <w:rFonts w:eastAsia="Calibri" w:cs="Times New Roman"/>
          <w:sz w:val="28"/>
          <w:szCs w:val="28"/>
        </w:rPr>
        <w:t>пацієнтів</w:t>
      </w:r>
      <w:r w:rsidRPr="00CA099F">
        <w:rPr>
          <w:rFonts w:eastAsia="Calibri" w:cs="Times New Roman"/>
          <w:sz w:val="28"/>
          <w:szCs w:val="28"/>
        </w:rPr>
        <w:t>. Досліджуючи цей показник на 6 місяць встановлено, що у 35% пацієнтів контрольної групи наявн</w:t>
      </w:r>
      <w:r w:rsidR="00EF2891">
        <w:rPr>
          <w:rFonts w:eastAsia="Calibri" w:cs="Times New Roman"/>
          <w:sz w:val="28"/>
          <w:szCs w:val="28"/>
        </w:rPr>
        <w:t>ий гомогенний атрофічний</w:t>
      </w:r>
      <w:r w:rsidRPr="00CA099F">
        <w:rPr>
          <w:rFonts w:eastAsia="Calibri" w:cs="Times New Roman"/>
          <w:sz w:val="28"/>
          <w:szCs w:val="28"/>
        </w:rPr>
        <w:t xml:space="preserve"> руб</w:t>
      </w:r>
      <w:r w:rsidR="00EF2891">
        <w:rPr>
          <w:rFonts w:eastAsia="Calibri" w:cs="Times New Roman"/>
          <w:sz w:val="28"/>
          <w:szCs w:val="28"/>
        </w:rPr>
        <w:t>е</w:t>
      </w:r>
      <w:r w:rsidRPr="00CA099F">
        <w:rPr>
          <w:rFonts w:eastAsia="Calibri" w:cs="Times New Roman"/>
          <w:sz w:val="28"/>
          <w:szCs w:val="28"/>
        </w:rPr>
        <w:t>ц</w:t>
      </w:r>
      <w:r w:rsidR="00EF2891">
        <w:rPr>
          <w:rFonts w:eastAsia="Calibri" w:cs="Times New Roman"/>
          <w:sz w:val="28"/>
          <w:szCs w:val="28"/>
        </w:rPr>
        <w:t>ь</w:t>
      </w:r>
      <w:r w:rsidRPr="00CA099F">
        <w:rPr>
          <w:rFonts w:eastAsia="Calibri" w:cs="Times New Roman"/>
          <w:sz w:val="28"/>
          <w:szCs w:val="28"/>
        </w:rPr>
        <w:t xml:space="preserve">. Ознаки перетворення на келоїдний рубець зафіксовано у </w:t>
      </w:r>
      <w:r w:rsidR="00042096">
        <w:rPr>
          <w:rFonts w:eastAsia="Calibri" w:cs="Times New Roman"/>
          <w:sz w:val="28"/>
          <w:szCs w:val="28"/>
        </w:rPr>
        <w:t>10%</w:t>
      </w:r>
      <w:r w:rsidRPr="00CA099F">
        <w:rPr>
          <w:rFonts w:eastAsia="Calibri" w:cs="Times New Roman"/>
          <w:sz w:val="28"/>
          <w:szCs w:val="28"/>
        </w:rPr>
        <w:t xml:space="preserve"> пацієнтів, а нормотрофічного – у </w:t>
      </w:r>
      <w:r w:rsidR="00042096">
        <w:rPr>
          <w:rFonts w:eastAsia="Calibri" w:cs="Times New Roman"/>
          <w:sz w:val="28"/>
          <w:szCs w:val="28"/>
        </w:rPr>
        <w:t>55%</w:t>
      </w:r>
      <w:r w:rsidRPr="00CA099F">
        <w:rPr>
          <w:rFonts w:eastAsia="Calibri" w:cs="Times New Roman"/>
          <w:sz w:val="28"/>
          <w:szCs w:val="28"/>
        </w:rPr>
        <w:t xml:space="preserve"> випадках, що не суперечить даним літератури [</w:t>
      </w:r>
      <w:r w:rsidRPr="00CA099F">
        <w:rPr>
          <w:rFonts w:eastAsia="Calibri" w:cs="Times New Roman"/>
          <w:sz w:val="28"/>
          <w:szCs w:val="28"/>
          <w:lang w:val="ru-RU"/>
        </w:rPr>
        <w:t>48, 53, 66</w:t>
      </w:r>
      <w:r w:rsidRPr="00CA099F">
        <w:rPr>
          <w:rFonts w:eastAsia="Calibri" w:cs="Times New Roman"/>
          <w:sz w:val="28"/>
          <w:szCs w:val="28"/>
        </w:rPr>
        <w:t>].</w:t>
      </w:r>
    </w:p>
    <w:p w:rsidR="0030517B" w:rsidRPr="00CA099F" w:rsidRDefault="0030517B" w:rsidP="003236D6">
      <w:pPr>
        <w:spacing w:after="160" w:line="360" w:lineRule="auto"/>
        <w:ind w:firstLine="709"/>
        <w:jc w:val="both"/>
        <w:rPr>
          <w:rFonts w:eastAsia="Calibri" w:cs="Times New Roman"/>
          <w:sz w:val="28"/>
          <w:szCs w:val="28"/>
        </w:rPr>
      </w:pPr>
      <w:r w:rsidRPr="00CA099F">
        <w:rPr>
          <w:rFonts w:eastAsia="Calibri" w:cs="Times New Roman"/>
          <w:sz w:val="28"/>
          <w:szCs w:val="28"/>
        </w:rPr>
        <w:t xml:space="preserve">Слід відмітити той факт, що на 9 місяць післяопераційного періоду дані щодо цього показника суттєво покращуються, що свідчить про дію місцевих компенсаторних механізмів при загоєнні </w:t>
      </w:r>
      <w:r w:rsidR="003D4803">
        <w:rPr>
          <w:rFonts w:eastAsia="Calibri" w:cs="Times New Roman"/>
          <w:sz w:val="28"/>
          <w:szCs w:val="28"/>
        </w:rPr>
        <w:t>ран. Але в 10% випадків зберігають</w:t>
      </w:r>
      <w:r w:rsidRPr="00CA099F">
        <w:rPr>
          <w:rFonts w:eastAsia="Calibri" w:cs="Times New Roman"/>
          <w:sz w:val="28"/>
          <w:szCs w:val="28"/>
        </w:rPr>
        <w:t>ся ознаки келоїдного рубця.</w:t>
      </w:r>
    </w:p>
    <w:p w:rsidR="0030517B" w:rsidRPr="00CA099F" w:rsidRDefault="0030517B" w:rsidP="003236D6">
      <w:pPr>
        <w:spacing w:after="160" w:line="360" w:lineRule="auto"/>
        <w:ind w:firstLine="709"/>
        <w:jc w:val="both"/>
        <w:rPr>
          <w:rFonts w:eastAsia="Calibri" w:cs="Times New Roman"/>
          <w:sz w:val="28"/>
          <w:szCs w:val="28"/>
        </w:rPr>
      </w:pPr>
      <w:r w:rsidRPr="00CA099F">
        <w:rPr>
          <w:rFonts w:eastAsia="Calibri" w:cs="Times New Roman"/>
          <w:sz w:val="28"/>
          <w:szCs w:val="28"/>
        </w:rPr>
        <w:t>Нами підтверджено літературні дані, що при дослідженні показника П1 на 12-й міся</w:t>
      </w:r>
      <w:r w:rsidR="00042096">
        <w:rPr>
          <w:rFonts w:eastAsia="Calibri" w:cs="Times New Roman"/>
          <w:sz w:val="28"/>
          <w:szCs w:val="28"/>
        </w:rPr>
        <w:t xml:space="preserve">ць післяопераційного періоду у </w:t>
      </w:r>
      <w:r w:rsidRPr="00CA099F">
        <w:rPr>
          <w:rFonts w:eastAsia="Calibri" w:cs="Times New Roman"/>
          <w:sz w:val="28"/>
          <w:szCs w:val="28"/>
        </w:rPr>
        <w:t>5</w:t>
      </w:r>
      <w:r w:rsidR="00042096">
        <w:rPr>
          <w:rFonts w:eastAsia="Calibri" w:cs="Times New Roman"/>
          <w:sz w:val="28"/>
          <w:szCs w:val="28"/>
        </w:rPr>
        <w:t>0</w:t>
      </w:r>
      <w:r w:rsidRPr="00CA099F">
        <w:rPr>
          <w:rFonts w:eastAsia="Calibri" w:cs="Times New Roman"/>
          <w:sz w:val="28"/>
          <w:szCs w:val="28"/>
        </w:rPr>
        <w:t xml:space="preserve">% випадків в контрольній групі зафіксовано наявність атрофічного гомогенного рубця. Ознаки гіпертрофічного рубця спостерігаються у 20% випадків, наявність </w:t>
      </w:r>
      <w:r w:rsidR="00E5419E">
        <w:rPr>
          <w:rFonts w:eastAsia="Calibri" w:cs="Times New Roman"/>
          <w:sz w:val="28"/>
          <w:szCs w:val="28"/>
        </w:rPr>
        <w:t>келоїдних рубців зафіксовано у 10%</w:t>
      </w:r>
      <w:r w:rsidRPr="00CA099F">
        <w:rPr>
          <w:rFonts w:eastAsia="Calibri" w:cs="Times New Roman"/>
          <w:sz w:val="28"/>
          <w:szCs w:val="28"/>
        </w:rPr>
        <w:t xml:space="preserve"> пацієнтів [</w:t>
      </w:r>
      <w:r w:rsidRPr="00CA099F">
        <w:rPr>
          <w:rFonts w:eastAsia="Calibri" w:cs="Times New Roman"/>
          <w:sz w:val="28"/>
          <w:szCs w:val="28"/>
          <w:lang w:val="ru-RU"/>
        </w:rPr>
        <w:t>68, 71</w:t>
      </w:r>
      <w:r w:rsidRPr="00CA099F">
        <w:rPr>
          <w:rFonts w:eastAsia="Calibri" w:cs="Times New Roman"/>
          <w:sz w:val="28"/>
          <w:szCs w:val="28"/>
        </w:rPr>
        <w:t xml:space="preserve">]. </w:t>
      </w:r>
    </w:p>
    <w:p w:rsidR="0030517B" w:rsidRPr="00CA099F" w:rsidRDefault="0030517B" w:rsidP="003236D6">
      <w:pPr>
        <w:spacing w:after="160" w:line="360" w:lineRule="auto"/>
        <w:ind w:firstLine="709"/>
        <w:jc w:val="both"/>
        <w:rPr>
          <w:rFonts w:eastAsia="Calibri" w:cs="Times New Roman"/>
          <w:sz w:val="28"/>
          <w:szCs w:val="28"/>
        </w:rPr>
      </w:pPr>
      <w:r w:rsidRPr="00CA099F">
        <w:rPr>
          <w:rFonts w:eastAsia="Calibri" w:cs="Times New Roman"/>
          <w:sz w:val="28"/>
          <w:szCs w:val="28"/>
        </w:rPr>
        <w:t>Цікаво відмітити дані щодо спостереження змін показника П2 (консистенція рубця). На відміну від даних інших авторів [</w:t>
      </w:r>
      <w:r w:rsidRPr="00CA099F">
        <w:rPr>
          <w:rFonts w:eastAsia="Calibri" w:cs="Times New Roman"/>
          <w:sz w:val="28"/>
          <w:szCs w:val="28"/>
          <w:lang w:val="ru-RU"/>
        </w:rPr>
        <w:t>57</w:t>
      </w:r>
      <w:r w:rsidRPr="00CA099F">
        <w:rPr>
          <w:rFonts w:eastAsia="Calibri" w:cs="Times New Roman"/>
          <w:sz w:val="28"/>
          <w:szCs w:val="28"/>
        </w:rPr>
        <w:t>], нами встановлено, що суттєві зміни встановлені не на 3-й, а на 9 та 12 місяць спостереження. Так пальпаторно нормальна</w:t>
      </w:r>
      <w:r w:rsidR="003D4803">
        <w:rPr>
          <w:rFonts w:eastAsia="Calibri" w:cs="Times New Roman"/>
          <w:sz w:val="28"/>
          <w:szCs w:val="28"/>
        </w:rPr>
        <w:t xml:space="preserve"> консистенція відзначається у 60% пацієнтів, але при цьому у </w:t>
      </w:r>
      <w:r w:rsidR="00F6274A">
        <w:rPr>
          <w:rFonts w:eastAsia="Calibri" w:cs="Times New Roman"/>
          <w:sz w:val="28"/>
          <w:szCs w:val="28"/>
        </w:rPr>
        <w:t>4</w:t>
      </w:r>
      <w:r w:rsidRPr="00CA099F">
        <w:rPr>
          <w:rFonts w:eastAsia="Calibri" w:cs="Times New Roman"/>
          <w:sz w:val="28"/>
          <w:szCs w:val="28"/>
        </w:rPr>
        <w:t>0% спостер</w:t>
      </w:r>
      <w:r w:rsidR="004C5F7A">
        <w:rPr>
          <w:rFonts w:eastAsia="Calibri" w:cs="Times New Roman"/>
          <w:sz w:val="28"/>
          <w:szCs w:val="28"/>
        </w:rPr>
        <w:t xml:space="preserve">ігається помірне ущільнення (у </w:t>
      </w:r>
      <w:r w:rsidRPr="00CA099F">
        <w:rPr>
          <w:rFonts w:eastAsia="Calibri" w:cs="Times New Roman"/>
          <w:sz w:val="28"/>
          <w:szCs w:val="28"/>
        </w:rPr>
        <w:t>2</w:t>
      </w:r>
      <w:r w:rsidR="00F6274A">
        <w:rPr>
          <w:rFonts w:eastAsia="Calibri" w:cs="Times New Roman"/>
          <w:sz w:val="28"/>
          <w:szCs w:val="28"/>
        </w:rPr>
        <w:t>5</w:t>
      </w:r>
      <w:r w:rsidRPr="00CA099F">
        <w:rPr>
          <w:rFonts w:eastAsia="Calibri" w:cs="Times New Roman"/>
          <w:sz w:val="28"/>
          <w:szCs w:val="28"/>
        </w:rPr>
        <w:t xml:space="preserve">% – в центральній частині, а у </w:t>
      </w:r>
      <w:r w:rsidR="00F6274A">
        <w:rPr>
          <w:rFonts w:eastAsia="Calibri" w:cs="Times New Roman"/>
          <w:sz w:val="28"/>
          <w:szCs w:val="28"/>
        </w:rPr>
        <w:t>15</w:t>
      </w:r>
      <w:r w:rsidR="004C5F7A">
        <w:rPr>
          <w:rFonts w:eastAsia="Calibri" w:cs="Times New Roman"/>
          <w:sz w:val="28"/>
          <w:szCs w:val="28"/>
        </w:rPr>
        <w:t>%</w:t>
      </w:r>
      <w:r w:rsidRPr="00CA099F">
        <w:rPr>
          <w:rFonts w:eastAsia="Calibri" w:cs="Times New Roman"/>
          <w:sz w:val="28"/>
          <w:szCs w:val="28"/>
        </w:rPr>
        <w:t xml:space="preserve"> – в дистальній частині рубця). На 12 місяць слід відзначити, що ознаки нормаль</w:t>
      </w:r>
      <w:r w:rsidR="004C5F7A">
        <w:rPr>
          <w:rFonts w:eastAsia="Calibri" w:cs="Times New Roman"/>
          <w:sz w:val="28"/>
          <w:szCs w:val="28"/>
        </w:rPr>
        <w:t>ної консистенції зафіксовані у</w:t>
      </w:r>
      <w:r w:rsidRPr="00CA099F">
        <w:rPr>
          <w:rFonts w:eastAsia="Calibri" w:cs="Times New Roman"/>
          <w:sz w:val="28"/>
          <w:szCs w:val="28"/>
        </w:rPr>
        <w:t xml:space="preserve"> </w:t>
      </w:r>
      <w:r w:rsidR="002D6409">
        <w:rPr>
          <w:rFonts w:eastAsia="Calibri" w:cs="Times New Roman"/>
          <w:sz w:val="28"/>
          <w:szCs w:val="28"/>
        </w:rPr>
        <w:t>65</w:t>
      </w:r>
      <w:r w:rsidR="004C5F7A">
        <w:rPr>
          <w:rFonts w:eastAsia="Calibri" w:cs="Times New Roman"/>
          <w:sz w:val="28"/>
          <w:szCs w:val="28"/>
        </w:rPr>
        <w:t>%</w:t>
      </w:r>
      <w:r w:rsidRPr="00CA099F">
        <w:rPr>
          <w:rFonts w:eastAsia="Calibri" w:cs="Times New Roman"/>
          <w:sz w:val="28"/>
          <w:szCs w:val="28"/>
        </w:rPr>
        <w:t xml:space="preserve"> </w:t>
      </w:r>
      <w:r w:rsidR="00D96DA9">
        <w:rPr>
          <w:rFonts w:eastAsia="Calibri" w:cs="Times New Roman"/>
          <w:sz w:val="28"/>
          <w:szCs w:val="28"/>
        </w:rPr>
        <w:t>пацієнтів</w:t>
      </w:r>
      <w:r w:rsidR="004C5F7A">
        <w:rPr>
          <w:rFonts w:eastAsia="Calibri" w:cs="Times New Roman"/>
          <w:sz w:val="28"/>
          <w:szCs w:val="28"/>
        </w:rPr>
        <w:t xml:space="preserve">, але у </w:t>
      </w:r>
      <w:r w:rsidR="002D6409">
        <w:rPr>
          <w:rFonts w:eastAsia="Calibri" w:cs="Times New Roman"/>
          <w:sz w:val="28"/>
          <w:szCs w:val="28"/>
        </w:rPr>
        <w:t>30</w:t>
      </w:r>
      <w:r w:rsidRPr="00CA099F">
        <w:rPr>
          <w:rFonts w:eastAsia="Calibri" w:cs="Times New Roman"/>
          <w:sz w:val="28"/>
          <w:szCs w:val="28"/>
        </w:rPr>
        <w:t xml:space="preserve">% </w:t>
      </w:r>
      <w:r w:rsidR="00D96DA9">
        <w:rPr>
          <w:rFonts w:eastAsia="Calibri" w:cs="Times New Roman"/>
          <w:sz w:val="28"/>
          <w:szCs w:val="28"/>
        </w:rPr>
        <w:t>пацієнтів</w:t>
      </w:r>
      <w:r w:rsidRPr="00CA099F">
        <w:rPr>
          <w:rFonts w:eastAsia="Calibri" w:cs="Times New Roman"/>
          <w:sz w:val="28"/>
          <w:szCs w:val="28"/>
        </w:rPr>
        <w:t xml:space="preserve"> спостеріга</w:t>
      </w:r>
      <w:r w:rsidR="004C5F7A">
        <w:rPr>
          <w:rFonts w:eastAsia="Calibri" w:cs="Times New Roman"/>
          <w:sz w:val="28"/>
          <w:szCs w:val="28"/>
        </w:rPr>
        <w:t>ють</w:t>
      </w:r>
      <w:r w:rsidRPr="00CA099F">
        <w:rPr>
          <w:rFonts w:eastAsia="Calibri" w:cs="Times New Roman"/>
          <w:sz w:val="28"/>
          <w:szCs w:val="28"/>
        </w:rPr>
        <w:t>ся помірні ущільнення рубця</w:t>
      </w:r>
      <w:r w:rsidR="002D6409">
        <w:rPr>
          <w:rFonts w:eastAsia="Calibri" w:cs="Times New Roman"/>
          <w:sz w:val="28"/>
          <w:szCs w:val="28"/>
        </w:rPr>
        <w:t>, у 5% випадків має місце ледь помітна індурація</w:t>
      </w:r>
      <w:r w:rsidRPr="00CA099F">
        <w:rPr>
          <w:rFonts w:eastAsia="Calibri" w:cs="Times New Roman"/>
          <w:sz w:val="28"/>
          <w:szCs w:val="28"/>
        </w:rPr>
        <w:t>.</w:t>
      </w:r>
    </w:p>
    <w:p w:rsidR="0030517B" w:rsidRPr="00CA099F" w:rsidRDefault="0030517B" w:rsidP="003236D6">
      <w:pPr>
        <w:spacing w:after="160" w:line="360" w:lineRule="auto"/>
        <w:ind w:firstLine="709"/>
        <w:jc w:val="both"/>
        <w:rPr>
          <w:rFonts w:eastAsia="Calibri" w:cs="Times New Roman"/>
          <w:sz w:val="28"/>
          <w:szCs w:val="28"/>
        </w:rPr>
      </w:pPr>
      <w:r w:rsidRPr="00CA099F">
        <w:rPr>
          <w:rFonts w:eastAsia="Calibri" w:cs="Times New Roman"/>
          <w:sz w:val="28"/>
          <w:szCs w:val="28"/>
        </w:rPr>
        <w:t xml:space="preserve">Суттєва різниця в динаміці показника П3 (колір рубця) встановлена на 6 та 12 місяці спостереження. При вивченні змін цього показника на 6 місяць післяопераційного періоду в контрольній групі ознаки здорової шкіри </w:t>
      </w:r>
      <w:r w:rsidRPr="00CA099F">
        <w:rPr>
          <w:rFonts w:eastAsia="Calibri" w:cs="Times New Roman"/>
          <w:sz w:val="28"/>
          <w:szCs w:val="28"/>
        </w:rPr>
        <w:lastRenderedPageBreak/>
        <w:t>визначен</w:t>
      </w:r>
      <w:r w:rsidR="000C5226">
        <w:rPr>
          <w:rFonts w:eastAsia="Calibri" w:cs="Times New Roman"/>
          <w:sz w:val="28"/>
          <w:szCs w:val="28"/>
        </w:rPr>
        <w:t>і</w:t>
      </w:r>
      <w:r w:rsidRPr="00CA099F">
        <w:rPr>
          <w:rFonts w:eastAsia="Calibri" w:cs="Times New Roman"/>
          <w:sz w:val="28"/>
          <w:szCs w:val="28"/>
        </w:rPr>
        <w:t xml:space="preserve"> у 50% пацієнтів. У 30% пацієнтів нами визначена помірна ерите</w:t>
      </w:r>
      <w:r w:rsidR="000C5226">
        <w:rPr>
          <w:rFonts w:eastAsia="Calibri" w:cs="Times New Roman"/>
          <w:sz w:val="28"/>
          <w:szCs w:val="28"/>
        </w:rPr>
        <w:t xml:space="preserve">ма, а в </w:t>
      </w:r>
      <w:r w:rsidRPr="00CA099F">
        <w:rPr>
          <w:rFonts w:eastAsia="Calibri" w:cs="Times New Roman"/>
          <w:sz w:val="28"/>
          <w:szCs w:val="28"/>
        </w:rPr>
        <w:t xml:space="preserve">20% – виражена. </w:t>
      </w:r>
    </w:p>
    <w:p w:rsidR="0030517B" w:rsidRPr="00CA099F" w:rsidRDefault="000C5226" w:rsidP="003236D6">
      <w:pPr>
        <w:spacing w:after="160" w:line="360" w:lineRule="auto"/>
        <w:ind w:firstLine="709"/>
        <w:jc w:val="both"/>
        <w:rPr>
          <w:rFonts w:eastAsia="Calibri" w:cs="Times New Roman"/>
          <w:sz w:val="28"/>
          <w:szCs w:val="28"/>
        </w:rPr>
      </w:pPr>
      <w:r>
        <w:rPr>
          <w:rFonts w:eastAsia="Calibri" w:cs="Times New Roman"/>
          <w:sz w:val="28"/>
          <w:szCs w:val="28"/>
        </w:rPr>
        <w:t>У</w:t>
      </w:r>
      <w:r w:rsidR="0030517B" w:rsidRPr="00CA099F">
        <w:rPr>
          <w:rFonts w:eastAsia="Calibri" w:cs="Times New Roman"/>
          <w:sz w:val="28"/>
          <w:szCs w:val="28"/>
        </w:rPr>
        <w:t xml:space="preserve"> фінальному терміні спостереження ознак</w:t>
      </w:r>
      <w:r>
        <w:rPr>
          <w:rFonts w:eastAsia="Calibri" w:cs="Times New Roman"/>
          <w:sz w:val="28"/>
          <w:szCs w:val="28"/>
        </w:rPr>
        <w:t xml:space="preserve">и здорової шкіри виявлено у </w:t>
      </w:r>
      <w:r w:rsidR="00EC149D">
        <w:rPr>
          <w:rFonts w:eastAsia="Calibri" w:cs="Times New Roman"/>
          <w:sz w:val="28"/>
          <w:szCs w:val="28"/>
        </w:rPr>
        <w:t>8</w:t>
      </w:r>
      <w:r w:rsidR="0030517B" w:rsidRPr="00CA099F">
        <w:rPr>
          <w:rFonts w:eastAsia="Calibri" w:cs="Times New Roman"/>
          <w:sz w:val="28"/>
          <w:szCs w:val="28"/>
        </w:rPr>
        <w:t>0% пацієнтів</w:t>
      </w:r>
      <w:r w:rsidR="00EC149D">
        <w:rPr>
          <w:rFonts w:eastAsia="Calibri" w:cs="Times New Roman"/>
          <w:sz w:val="28"/>
          <w:szCs w:val="28"/>
        </w:rPr>
        <w:t xml:space="preserve">, </w:t>
      </w:r>
      <w:r w:rsidR="00EC149D" w:rsidRPr="00CA099F">
        <w:rPr>
          <w:rFonts w:eastAsia="Calibri" w:cs="Times New Roman"/>
          <w:sz w:val="28"/>
          <w:szCs w:val="28"/>
        </w:rPr>
        <w:t>з ознаками помірної та вираженої еритеми</w:t>
      </w:r>
      <w:r w:rsidR="00EC149D">
        <w:rPr>
          <w:rFonts w:eastAsia="Calibri" w:cs="Times New Roman"/>
          <w:sz w:val="28"/>
          <w:szCs w:val="28"/>
        </w:rPr>
        <w:t xml:space="preserve"> по 10</w:t>
      </w:r>
      <w:r>
        <w:rPr>
          <w:rFonts w:eastAsia="Calibri" w:cs="Times New Roman"/>
          <w:sz w:val="28"/>
          <w:szCs w:val="28"/>
        </w:rPr>
        <w:t>%</w:t>
      </w:r>
      <w:r w:rsidR="0030517B" w:rsidRPr="00CA099F">
        <w:rPr>
          <w:rFonts w:eastAsia="Calibri" w:cs="Times New Roman"/>
          <w:sz w:val="28"/>
          <w:szCs w:val="28"/>
        </w:rPr>
        <w:t xml:space="preserve"> пацієнт</w:t>
      </w:r>
      <w:r>
        <w:rPr>
          <w:rFonts w:eastAsia="Calibri" w:cs="Times New Roman"/>
          <w:sz w:val="28"/>
          <w:szCs w:val="28"/>
        </w:rPr>
        <w:t>ів</w:t>
      </w:r>
      <w:r w:rsidR="0030517B" w:rsidRPr="00CA099F">
        <w:rPr>
          <w:rFonts w:eastAsia="Calibri" w:cs="Times New Roman"/>
          <w:sz w:val="28"/>
          <w:szCs w:val="28"/>
        </w:rPr>
        <w:t>, що підтверджує літературні дані [65, 70, 80].</w:t>
      </w:r>
    </w:p>
    <w:p w:rsidR="0030517B" w:rsidRPr="00CA099F" w:rsidRDefault="0030517B" w:rsidP="003236D6">
      <w:pPr>
        <w:spacing w:after="160" w:line="360" w:lineRule="auto"/>
        <w:ind w:firstLine="709"/>
        <w:jc w:val="both"/>
        <w:rPr>
          <w:rFonts w:eastAsia="Calibri" w:cs="Times New Roman"/>
          <w:sz w:val="28"/>
          <w:szCs w:val="28"/>
        </w:rPr>
      </w:pPr>
      <w:r w:rsidRPr="00CA099F">
        <w:rPr>
          <w:rFonts w:eastAsia="Calibri" w:cs="Times New Roman"/>
          <w:sz w:val="28"/>
          <w:szCs w:val="28"/>
        </w:rPr>
        <w:t>Поступове зниження показника П4 (чутливість рубця) спостерігається протягом всього терміну спостереження. При цьому слід відзначити досить рівне зменшення всіх клінічних ознак цього</w:t>
      </w:r>
      <w:r w:rsidR="00B0179E">
        <w:rPr>
          <w:rFonts w:eastAsia="Calibri" w:cs="Times New Roman"/>
          <w:sz w:val="28"/>
          <w:szCs w:val="28"/>
        </w:rPr>
        <w:t xml:space="preserve"> показника, чого не спостерігаєть</w:t>
      </w:r>
      <w:r w:rsidRPr="00CA099F">
        <w:rPr>
          <w:rFonts w:eastAsia="Calibri" w:cs="Times New Roman"/>
          <w:sz w:val="28"/>
          <w:szCs w:val="28"/>
        </w:rPr>
        <w:t xml:space="preserve">ся при дослідження інших показників в контрольній групі </w:t>
      </w:r>
      <w:r w:rsidR="00D96DA9">
        <w:rPr>
          <w:rFonts w:eastAsia="Calibri" w:cs="Times New Roman"/>
          <w:sz w:val="28"/>
          <w:szCs w:val="28"/>
        </w:rPr>
        <w:t>пацієнтів</w:t>
      </w:r>
      <w:r w:rsidRPr="00CA099F">
        <w:rPr>
          <w:rFonts w:eastAsia="Calibri" w:cs="Times New Roman"/>
          <w:sz w:val="28"/>
          <w:szCs w:val="28"/>
        </w:rPr>
        <w:t xml:space="preserve">. </w:t>
      </w:r>
    </w:p>
    <w:p w:rsidR="0030517B" w:rsidRPr="00CA099F" w:rsidRDefault="0030517B" w:rsidP="003236D6">
      <w:pPr>
        <w:spacing w:after="160" w:line="360" w:lineRule="auto"/>
        <w:ind w:firstLine="709"/>
        <w:jc w:val="both"/>
        <w:rPr>
          <w:rFonts w:eastAsia="Calibri" w:cs="Times New Roman"/>
          <w:sz w:val="28"/>
          <w:szCs w:val="28"/>
        </w:rPr>
      </w:pPr>
      <w:r w:rsidRPr="00CA099F">
        <w:rPr>
          <w:rFonts w:eastAsia="Calibri" w:cs="Times New Roman"/>
          <w:sz w:val="28"/>
          <w:szCs w:val="28"/>
        </w:rPr>
        <w:t>На 12 місяць післяопераційного періоду стан напру</w:t>
      </w:r>
      <w:r w:rsidR="00B0179E">
        <w:rPr>
          <w:rFonts w:eastAsia="Calibri" w:cs="Times New Roman"/>
          <w:sz w:val="28"/>
          <w:szCs w:val="28"/>
        </w:rPr>
        <w:t>женості рубця пацієнти відмічають</w:t>
      </w:r>
      <w:r w:rsidRPr="00CA099F">
        <w:rPr>
          <w:rFonts w:eastAsia="Calibri" w:cs="Times New Roman"/>
          <w:sz w:val="28"/>
          <w:szCs w:val="28"/>
        </w:rPr>
        <w:t xml:space="preserve"> у 20%</w:t>
      </w:r>
      <w:r w:rsidR="00B0179E">
        <w:rPr>
          <w:rFonts w:eastAsia="Calibri" w:cs="Times New Roman"/>
          <w:sz w:val="28"/>
          <w:szCs w:val="28"/>
        </w:rPr>
        <w:t xml:space="preserve"> випадках. 10%</w:t>
      </w:r>
      <w:r w:rsidRPr="00CA099F">
        <w:rPr>
          <w:rFonts w:eastAsia="Calibri" w:cs="Times New Roman"/>
          <w:sz w:val="28"/>
          <w:szCs w:val="28"/>
        </w:rPr>
        <w:t xml:space="preserve"> пацієнт</w:t>
      </w:r>
      <w:r w:rsidR="00B0179E">
        <w:rPr>
          <w:rFonts w:eastAsia="Calibri" w:cs="Times New Roman"/>
          <w:sz w:val="28"/>
          <w:szCs w:val="28"/>
        </w:rPr>
        <w:t xml:space="preserve">ів скаржуться на свербіж, </w:t>
      </w:r>
      <w:r w:rsidRPr="00CA099F">
        <w:rPr>
          <w:rFonts w:eastAsia="Calibri" w:cs="Times New Roman"/>
          <w:sz w:val="28"/>
          <w:szCs w:val="28"/>
        </w:rPr>
        <w:t xml:space="preserve">5% – на біль. Але отримані дані свідчать про відсутність профілактичних дій щодо утворення патологічних рубцевозмінених тканин. </w:t>
      </w:r>
    </w:p>
    <w:p w:rsidR="0030517B" w:rsidRPr="00CA099F" w:rsidRDefault="0030517B" w:rsidP="003236D6">
      <w:pPr>
        <w:spacing w:after="160" w:line="360" w:lineRule="auto"/>
        <w:ind w:firstLine="709"/>
        <w:jc w:val="both"/>
        <w:rPr>
          <w:rFonts w:eastAsia="Calibri" w:cs="Times New Roman"/>
          <w:sz w:val="28"/>
          <w:szCs w:val="28"/>
        </w:rPr>
      </w:pPr>
      <w:r w:rsidRPr="00CA099F">
        <w:rPr>
          <w:rFonts w:eastAsia="Calibri" w:cs="Times New Roman"/>
          <w:sz w:val="28"/>
          <w:szCs w:val="28"/>
        </w:rPr>
        <w:t>Таким чином, нами підтверджена думка багатьох авторів, щодо необхідності проведення профілактичних дій протягом усього терміну утворення рубця [</w:t>
      </w:r>
      <w:r w:rsidRPr="00CA099F">
        <w:rPr>
          <w:rFonts w:eastAsia="Calibri" w:cs="Times New Roman"/>
          <w:sz w:val="28"/>
          <w:szCs w:val="28"/>
          <w:lang w:val="ru-RU"/>
        </w:rPr>
        <w:t>85, 88-91</w:t>
      </w:r>
      <w:r w:rsidRPr="00CA099F">
        <w:rPr>
          <w:rFonts w:eastAsia="Calibri" w:cs="Times New Roman"/>
          <w:sz w:val="28"/>
          <w:szCs w:val="28"/>
        </w:rPr>
        <w:t>].</w:t>
      </w:r>
    </w:p>
    <w:p w:rsidR="0030517B" w:rsidRPr="00CA099F" w:rsidRDefault="0030517B" w:rsidP="003236D6">
      <w:pPr>
        <w:spacing w:after="160" w:line="360" w:lineRule="auto"/>
        <w:ind w:firstLine="709"/>
        <w:jc w:val="both"/>
        <w:rPr>
          <w:rFonts w:eastAsia="Calibri" w:cs="Times New Roman"/>
          <w:sz w:val="28"/>
          <w:szCs w:val="28"/>
        </w:rPr>
      </w:pPr>
      <w:r w:rsidRPr="00CA099F">
        <w:rPr>
          <w:rFonts w:eastAsia="Calibri" w:cs="Times New Roman"/>
          <w:sz w:val="28"/>
          <w:szCs w:val="28"/>
        </w:rPr>
        <w:t>Аналіз змін пока</w:t>
      </w:r>
      <w:r w:rsidR="00B85909">
        <w:rPr>
          <w:rFonts w:eastAsia="Calibri" w:cs="Times New Roman"/>
          <w:sz w:val="28"/>
          <w:szCs w:val="28"/>
        </w:rPr>
        <w:t>зника П5 (площа рубця) не виявляє</w:t>
      </w:r>
      <w:r w:rsidRPr="00CA099F">
        <w:rPr>
          <w:rFonts w:eastAsia="Calibri" w:cs="Times New Roman"/>
          <w:sz w:val="28"/>
          <w:szCs w:val="28"/>
        </w:rPr>
        <w:t xml:space="preserve"> суттєвих змін, враховуючі початкову малу площу ушитої рани, але слід зауважити, що на 12 місяць післяопераційного періоду в контрольній </w:t>
      </w:r>
      <w:r w:rsidR="00B85909">
        <w:rPr>
          <w:rFonts w:eastAsia="Calibri" w:cs="Times New Roman"/>
          <w:sz w:val="28"/>
          <w:szCs w:val="28"/>
        </w:rPr>
        <w:t>групі ознака малої площі виявляється</w:t>
      </w:r>
      <w:r w:rsidRPr="00CA099F">
        <w:rPr>
          <w:rFonts w:eastAsia="Calibri" w:cs="Times New Roman"/>
          <w:sz w:val="28"/>
          <w:szCs w:val="28"/>
        </w:rPr>
        <w:t xml:space="preserve"> у 80% пацієнтів, у 15% </w:t>
      </w:r>
      <w:r w:rsidR="00D96DA9">
        <w:rPr>
          <w:rFonts w:eastAsia="Calibri" w:cs="Times New Roman"/>
          <w:sz w:val="28"/>
          <w:szCs w:val="28"/>
        </w:rPr>
        <w:t>пацієнтів</w:t>
      </w:r>
      <w:r w:rsidR="00B85909">
        <w:rPr>
          <w:rFonts w:eastAsia="Calibri" w:cs="Times New Roman"/>
          <w:sz w:val="28"/>
          <w:szCs w:val="28"/>
        </w:rPr>
        <w:t xml:space="preserve"> середня площа не перевищує</w:t>
      </w:r>
      <w:r w:rsidRPr="00CA099F">
        <w:rPr>
          <w:rFonts w:eastAsia="Calibri" w:cs="Times New Roman"/>
          <w:sz w:val="28"/>
          <w:szCs w:val="28"/>
        </w:rPr>
        <w:t xml:space="preserve"> 8,6 мм</w:t>
      </w:r>
      <w:r w:rsidRPr="00CA099F">
        <w:rPr>
          <w:rFonts w:eastAsia="Calibri" w:cs="Times New Roman"/>
          <w:sz w:val="28"/>
          <w:szCs w:val="28"/>
          <w:vertAlign w:val="superscript"/>
        </w:rPr>
        <w:t>2</w:t>
      </w:r>
      <w:r w:rsidRPr="00CA099F">
        <w:rPr>
          <w:rFonts w:eastAsia="Calibri" w:cs="Times New Roman"/>
          <w:sz w:val="28"/>
          <w:szCs w:val="28"/>
        </w:rPr>
        <w:t>, а в 5% випадків відмічена велика площа рубцевозмінених тканин.</w:t>
      </w:r>
    </w:p>
    <w:p w:rsidR="0030517B" w:rsidRDefault="0030517B" w:rsidP="003236D6">
      <w:pPr>
        <w:spacing w:after="160" w:line="360" w:lineRule="auto"/>
        <w:ind w:firstLine="709"/>
        <w:jc w:val="both"/>
        <w:rPr>
          <w:rFonts w:eastAsia="Calibri" w:cs="Times New Roman"/>
          <w:sz w:val="28"/>
          <w:szCs w:val="28"/>
        </w:rPr>
      </w:pPr>
      <w:r w:rsidRPr="00CA099F">
        <w:rPr>
          <w:rFonts w:eastAsia="Calibri" w:cs="Times New Roman"/>
          <w:sz w:val="28"/>
          <w:szCs w:val="28"/>
        </w:rPr>
        <w:t xml:space="preserve">Дані, щодо динаміки змін клінічних показників утворення рубцевозмінених тканин у </w:t>
      </w:r>
      <w:r w:rsidR="00D96DA9">
        <w:rPr>
          <w:rFonts w:eastAsia="Calibri" w:cs="Times New Roman"/>
          <w:sz w:val="28"/>
          <w:szCs w:val="28"/>
        </w:rPr>
        <w:t>пацієнтів</w:t>
      </w:r>
      <w:r w:rsidRPr="00CA099F">
        <w:rPr>
          <w:rFonts w:eastAsia="Calibri" w:cs="Times New Roman"/>
          <w:sz w:val="28"/>
          <w:szCs w:val="28"/>
        </w:rPr>
        <w:t xml:space="preserve"> контрольної групи наведено в таблиці 6.1.</w:t>
      </w:r>
    </w:p>
    <w:p w:rsidR="00A105BE" w:rsidRDefault="00A105BE" w:rsidP="003236D6">
      <w:pPr>
        <w:spacing w:after="160" w:line="360" w:lineRule="auto"/>
        <w:ind w:firstLine="709"/>
        <w:jc w:val="both"/>
        <w:rPr>
          <w:rFonts w:eastAsia="Calibri" w:cs="Times New Roman"/>
          <w:sz w:val="28"/>
          <w:szCs w:val="28"/>
        </w:rPr>
      </w:pPr>
    </w:p>
    <w:p w:rsidR="00A105BE" w:rsidRPr="00CA099F" w:rsidRDefault="00A105BE" w:rsidP="003236D6">
      <w:pPr>
        <w:spacing w:after="160" w:line="360" w:lineRule="auto"/>
        <w:ind w:firstLine="709"/>
        <w:jc w:val="both"/>
        <w:rPr>
          <w:rFonts w:eastAsia="Calibri" w:cs="Times New Roman"/>
          <w:sz w:val="28"/>
          <w:szCs w:val="28"/>
        </w:rPr>
      </w:pPr>
    </w:p>
    <w:p w:rsidR="0030517B" w:rsidRPr="00CA099F" w:rsidRDefault="0030517B" w:rsidP="0030517B">
      <w:pPr>
        <w:spacing w:after="160" w:line="360" w:lineRule="auto"/>
        <w:jc w:val="right"/>
        <w:rPr>
          <w:rFonts w:eastAsia="Calibri" w:cs="Times New Roman"/>
          <w:i/>
          <w:sz w:val="28"/>
          <w:szCs w:val="28"/>
        </w:rPr>
      </w:pPr>
      <w:r w:rsidRPr="00CA099F">
        <w:rPr>
          <w:rFonts w:eastAsia="Calibri" w:cs="Times New Roman"/>
          <w:i/>
          <w:sz w:val="28"/>
          <w:szCs w:val="28"/>
        </w:rPr>
        <w:t>Таблиця 6.1</w:t>
      </w:r>
    </w:p>
    <w:p w:rsidR="0030517B" w:rsidRPr="00CA099F" w:rsidRDefault="0030517B" w:rsidP="0030517B">
      <w:pPr>
        <w:spacing w:after="160" w:line="360" w:lineRule="auto"/>
        <w:jc w:val="center"/>
        <w:rPr>
          <w:rFonts w:eastAsia="Calibri" w:cs="Times New Roman"/>
          <w:b/>
          <w:sz w:val="28"/>
          <w:szCs w:val="28"/>
        </w:rPr>
      </w:pPr>
      <w:r w:rsidRPr="00CA099F">
        <w:rPr>
          <w:rFonts w:eastAsia="Calibri" w:cs="Times New Roman"/>
          <w:b/>
          <w:sz w:val="28"/>
          <w:szCs w:val="28"/>
        </w:rPr>
        <w:lastRenderedPageBreak/>
        <w:t>Динаміка клінічних змін показників у пацієнтів контрольної групи на різних етапах післяопераційного періоду</w:t>
      </w:r>
    </w:p>
    <w:tbl>
      <w:tblPr>
        <w:tblW w:w="96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30"/>
        <w:gridCol w:w="1956"/>
        <w:gridCol w:w="1985"/>
        <w:gridCol w:w="1984"/>
        <w:gridCol w:w="1985"/>
      </w:tblGrid>
      <w:tr w:rsidR="0030517B" w:rsidRPr="00CA099F" w:rsidTr="00E1448E">
        <w:trPr>
          <w:trHeight w:val="1344"/>
          <w:jc w:val="center"/>
        </w:trPr>
        <w:tc>
          <w:tcPr>
            <w:tcW w:w="1730" w:type="dxa"/>
            <w:tcBorders>
              <w:top w:val="single" w:sz="4" w:space="0" w:color="auto"/>
              <w:left w:val="single" w:sz="4" w:space="0" w:color="auto"/>
              <w:bottom w:val="single" w:sz="4" w:space="0" w:color="auto"/>
              <w:right w:val="single" w:sz="4" w:space="0" w:color="auto"/>
              <w:tl2br w:val="single" w:sz="4" w:space="0" w:color="auto"/>
            </w:tcBorders>
          </w:tcPr>
          <w:p w:rsidR="0030517B" w:rsidRPr="00CA099F" w:rsidRDefault="0030517B" w:rsidP="00E1448E">
            <w:pPr>
              <w:spacing w:after="160" w:line="259" w:lineRule="auto"/>
              <w:rPr>
                <w:rFonts w:eastAsia="Calibri" w:cs="Times New Roman"/>
                <w:szCs w:val="28"/>
              </w:rPr>
            </w:pPr>
            <w:r w:rsidRPr="00CA099F">
              <w:rPr>
                <w:rFonts w:eastAsia="Calibri" w:cs="Times New Roman"/>
                <w:sz w:val="28"/>
                <w:szCs w:val="28"/>
              </w:rPr>
              <w:t xml:space="preserve">     Термін</w:t>
            </w:r>
          </w:p>
          <w:p w:rsidR="0030517B" w:rsidRPr="00CA099F" w:rsidRDefault="0030517B" w:rsidP="00E1448E">
            <w:pPr>
              <w:spacing w:after="160" w:line="259" w:lineRule="auto"/>
              <w:rPr>
                <w:rFonts w:eastAsia="Calibri" w:cs="Times New Roman"/>
                <w:szCs w:val="28"/>
              </w:rPr>
            </w:pPr>
          </w:p>
          <w:p w:rsidR="0030517B" w:rsidRPr="00CA099F" w:rsidRDefault="0030517B" w:rsidP="00E1448E">
            <w:pPr>
              <w:spacing w:after="160" w:line="259" w:lineRule="auto"/>
              <w:rPr>
                <w:rFonts w:eastAsia="Calibri" w:cs="Times New Roman"/>
                <w:szCs w:val="28"/>
              </w:rPr>
            </w:pPr>
            <w:r w:rsidRPr="00CA099F">
              <w:rPr>
                <w:rFonts w:eastAsia="Calibri" w:cs="Times New Roman"/>
                <w:sz w:val="28"/>
                <w:szCs w:val="28"/>
              </w:rPr>
              <w:t>Показник</w:t>
            </w:r>
          </w:p>
        </w:tc>
        <w:tc>
          <w:tcPr>
            <w:tcW w:w="1956" w:type="dxa"/>
            <w:tcBorders>
              <w:top w:val="single" w:sz="4" w:space="0" w:color="auto"/>
              <w:left w:val="single" w:sz="4" w:space="0" w:color="auto"/>
              <w:bottom w:val="single" w:sz="4" w:space="0" w:color="auto"/>
              <w:right w:val="single" w:sz="4" w:space="0" w:color="auto"/>
            </w:tcBorders>
          </w:tcPr>
          <w:p w:rsidR="0030517B" w:rsidRPr="00CA099F" w:rsidRDefault="0030517B" w:rsidP="00E1448E">
            <w:pPr>
              <w:spacing w:after="160" w:line="259" w:lineRule="auto"/>
              <w:jc w:val="center"/>
              <w:rPr>
                <w:rFonts w:eastAsia="Calibri" w:cs="Times New Roman"/>
                <w:szCs w:val="28"/>
              </w:rPr>
            </w:pPr>
          </w:p>
          <w:p w:rsidR="0030517B" w:rsidRPr="00CA099F" w:rsidRDefault="0030517B" w:rsidP="00E1448E">
            <w:pPr>
              <w:spacing w:after="160" w:line="259" w:lineRule="auto"/>
              <w:jc w:val="center"/>
              <w:rPr>
                <w:rFonts w:eastAsia="Calibri" w:cs="Times New Roman"/>
                <w:szCs w:val="28"/>
              </w:rPr>
            </w:pPr>
            <w:r w:rsidRPr="00CA099F">
              <w:rPr>
                <w:rFonts w:eastAsia="Calibri" w:cs="Times New Roman"/>
                <w:sz w:val="28"/>
                <w:szCs w:val="28"/>
              </w:rPr>
              <w:t>3 місяць</w:t>
            </w:r>
          </w:p>
        </w:tc>
        <w:tc>
          <w:tcPr>
            <w:tcW w:w="1985" w:type="dxa"/>
            <w:tcBorders>
              <w:top w:val="single" w:sz="4" w:space="0" w:color="auto"/>
              <w:left w:val="single" w:sz="4" w:space="0" w:color="auto"/>
              <w:bottom w:val="single" w:sz="4" w:space="0" w:color="auto"/>
              <w:right w:val="single" w:sz="4" w:space="0" w:color="auto"/>
            </w:tcBorders>
          </w:tcPr>
          <w:p w:rsidR="0030517B" w:rsidRPr="00CA099F" w:rsidRDefault="0030517B" w:rsidP="00E1448E">
            <w:pPr>
              <w:spacing w:after="160" w:line="259" w:lineRule="auto"/>
              <w:jc w:val="center"/>
              <w:rPr>
                <w:rFonts w:eastAsia="Calibri" w:cs="Times New Roman"/>
                <w:szCs w:val="28"/>
              </w:rPr>
            </w:pPr>
          </w:p>
          <w:p w:rsidR="0030517B" w:rsidRPr="00CA099F" w:rsidRDefault="0030517B" w:rsidP="00E1448E">
            <w:pPr>
              <w:spacing w:after="160" w:line="259" w:lineRule="auto"/>
              <w:jc w:val="center"/>
              <w:rPr>
                <w:rFonts w:eastAsia="Calibri" w:cs="Times New Roman"/>
                <w:szCs w:val="28"/>
              </w:rPr>
            </w:pPr>
            <w:r w:rsidRPr="00CA099F">
              <w:rPr>
                <w:rFonts w:eastAsia="Calibri" w:cs="Times New Roman"/>
                <w:sz w:val="28"/>
                <w:szCs w:val="28"/>
              </w:rPr>
              <w:t>6 місяць</w:t>
            </w:r>
          </w:p>
        </w:tc>
        <w:tc>
          <w:tcPr>
            <w:tcW w:w="1984" w:type="dxa"/>
            <w:tcBorders>
              <w:top w:val="single" w:sz="4" w:space="0" w:color="auto"/>
              <w:left w:val="single" w:sz="4" w:space="0" w:color="auto"/>
              <w:bottom w:val="single" w:sz="4" w:space="0" w:color="auto"/>
              <w:right w:val="single" w:sz="4" w:space="0" w:color="auto"/>
            </w:tcBorders>
          </w:tcPr>
          <w:p w:rsidR="0030517B" w:rsidRPr="00CA099F" w:rsidRDefault="0030517B" w:rsidP="00E1448E">
            <w:pPr>
              <w:spacing w:after="160" w:line="259" w:lineRule="auto"/>
              <w:jc w:val="center"/>
              <w:rPr>
                <w:rFonts w:eastAsia="Calibri" w:cs="Times New Roman"/>
                <w:szCs w:val="28"/>
              </w:rPr>
            </w:pPr>
          </w:p>
          <w:p w:rsidR="0030517B" w:rsidRPr="00CA099F" w:rsidRDefault="0030517B" w:rsidP="00E1448E">
            <w:pPr>
              <w:spacing w:after="160" w:line="259" w:lineRule="auto"/>
              <w:jc w:val="center"/>
              <w:rPr>
                <w:rFonts w:eastAsia="Calibri" w:cs="Times New Roman"/>
                <w:szCs w:val="28"/>
              </w:rPr>
            </w:pPr>
            <w:r w:rsidRPr="00CA099F">
              <w:rPr>
                <w:rFonts w:eastAsia="Calibri" w:cs="Times New Roman"/>
                <w:sz w:val="28"/>
                <w:szCs w:val="28"/>
              </w:rPr>
              <w:t>9 місяць</w:t>
            </w:r>
          </w:p>
        </w:tc>
        <w:tc>
          <w:tcPr>
            <w:tcW w:w="1985" w:type="dxa"/>
            <w:tcBorders>
              <w:top w:val="single" w:sz="4" w:space="0" w:color="auto"/>
              <w:left w:val="single" w:sz="4" w:space="0" w:color="auto"/>
              <w:bottom w:val="single" w:sz="4" w:space="0" w:color="auto"/>
              <w:right w:val="single" w:sz="4" w:space="0" w:color="auto"/>
            </w:tcBorders>
          </w:tcPr>
          <w:p w:rsidR="0030517B" w:rsidRPr="00CA099F" w:rsidRDefault="0030517B" w:rsidP="00E1448E">
            <w:pPr>
              <w:spacing w:after="160" w:line="259" w:lineRule="auto"/>
              <w:jc w:val="center"/>
              <w:rPr>
                <w:rFonts w:eastAsia="Calibri" w:cs="Times New Roman"/>
                <w:szCs w:val="28"/>
              </w:rPr>
            </w:pPr>
          </w:p>
          <w:p w:rsidR="0030517B" w:rsidRPr="00CA099F" w:rsidRDefault="0030517B" w:rsidP="00E1448E">
            <w:pPr>
              <w:spacing w:after="160" w:line="259" w:lineRule="auto"/>
              <w:jc w:val="center"/>
              <w:rPr>
                <w:rFonts w:eastAsia="Calibri" w:cs="Times New Roman"/>
                <w:szCs w:val="28"/>
              </w:rPr>
            </w:pPr>
            <w:r w:rsidRPr="00CA099F">
              <w:rPr>
                <w:rFonts w:eastAsia="Calibri" w:cs="Times New Roman"/>
                <w:sz w:val="28"/>
                <w:szCs w:val="28"/>
              </w:rPr>
              <w:t>12 місяць</w:t>
            </w:r>
          </w:p>
        </w:tc>
      </w:tr>
      <w:tr w:rsidR="0030517B" w:rsidRPr="00CA099F" w:rsidTr="00E1448E">
        <w:tblPrEx>
          <w:tblLook w:val="04A0" w:firstRow="1" w:lastRow="0" w:firstColumn="1" w:lastColumn="0" w:noHBand="0" w:noVBand="1"/>
        </w:tblPrEx>
        <w:trPr>
          <w:jc w:val="center"/>
        </w:trPr>
        <w:tc>
          <w:tcPr>
            <w:tcW w:w="1730" w:type="dxa"/>
            <w:vMerge w:val="restart"/>
            <w:shd w:val="clear" w:color="auto" w:fill="auto"/>
          </w:tcPr>
          <w:p w:rsidR="0030517B" w:rsidRPr="00CA099F" w:rsidRDefault="0030517B" w:rsidP="00E1448E">
            <w:pPr>
              <w:spacing w:after="160" w:line="259" w:lineRule="auto"/>
              <w:jc w:val="center"/>
              <w:rPr>
                <w:rFonts w:eastAsia="Calibri" w:cs="Times New Roman"/>
                <w:szCs w:val="28"/>
              </w:rPr>
            </w:pPr>
            <w:r w:rsidRPr="00CA099F">
              <w:rPr>
                <w:rFonts w:eastAsia="Calibri" w:cs="Times New Roman"/>
                <w:sz w:val="28"/>
                <w:szCs w:val="28"/>
              </w:rPr>
              <w:t>П1</w:t>
            </w:r>
          </w:p>
        </w:tc>
        <w:tc>
          <w:tcPr>
            <w:tcW w:w="1956" w:type="dxa"/>
            <w:shd w:val="clear" w:color="auto" w:fill="auto"/>
          </w:tcPr>
          <w:p w:rsidR="0030517B" w:rsidRPr="00CA099F" w:rsidRDefault="0030517B" w:rsidP="00E1448E">
            <w:pPr>
              <w:spacing w:after="160" w:line="259" w:lineRule="auto"/>
              <w:rPr>
                <w:rFonts w:eastAsia="Calibri" w:cs="Times New Roman"/>
                <w:szCs w:val="28"/>
              </w:rPr>
            </w:pPr>
            <w:r w:rsidRPr="00CA099F">
              <w:rPr>
                <w:rFonts w:eastAsia="Calibri" w:cs="Times New Roman"/>
                <w:sz w:val="28"/>
                <w:szCs w:val="28"/>
              </w:rPr>
              <w:t>А – 8 (40%)</w:t>
            </w:r>
          </w:p>
        </w:tc>
        <w:tc>
          <w:tcPr>
            <w:tcW w:w="1985" w:type="dxa"/>
            <w:shd w:val="clear" w:color="auto" w:fill="auto"/>
          </w:tcPr>
          <w:p w:rsidR="0030517B" w:rsidRPr="00CA099F" w:rsidRDefault="0030517B" w:rsidP="00E1448E">
            <w:pPr>
              <w:spacing w:after="160" w:line="259" w:lineRule="auto"/>
              <w:rPr>
                <w:rFonts w:eastAsia="Calibri" w:cs="Times New Roman"/>
                <w:szCs w:val="28"/>
              </w:rPr>
            </w:pPr>
            <w:r w:rsidRPr="00CA099F">
              <w:rPr>
                <w:rFonts w:eastAsia="Calibri" w:cs="Times New Roman"/>
                <w:sz w:val="28"/>
                <w:szCs w:val="28"/>
              </w:rPr>
              <w:t xml:space="preserve">А – </w:t>
            </w:r>
            <w:r w:rsidRPr="00CA099F">
              <w:rPr>
                <w:rFonts w:eastAsia="Calibri" w:cs="Times New Roman"/>
                <w:sz w:val="28"/>
                <w:szCs w:val="28"/>
                <w:lang w:val="en-TT"/>
              </w:rPr>
              <w:t>7</w:t>
            </w:r>
            <w:r w:rsidRPr="00CA099F">
              <w:rPr>
                <w:rFonts w:eastAsia="Calibri" w:cs="Times New Roman"/>
                <w:sz w:val="28"/>
                <w:szCs w:val="28"/>
              </w:rPr>
              <w:t xml:space="preserve"> (</w:t>
            </w:r>
            <w:r w:rsidRPr="00CA099F">
              <w:rPr>
                <w:rFonts w:eastAsia="Calibri" w:cs="Times New Roman"/>
                <w:sz w:val="28"/>
                <w:szCs w:val="28"/>
                <w:lang w:val="en-TT"/>
              </w:rPr>
              <w:t>35</w:t>
            </w:r>
            <w:r w:rsidRPr="00CA099F">
              <w:rPr>
                <w:rFonts w:eastAsia="Calibri" w:cs="Times New Roman"/>
                <w:sz w:val="28"/>
                <w:szCs w:val="28"/>
              </w:rPr>
              <w:t>%)</w:t>
            </w:r>
          </w:p>
        </w:tc>
        <w:tc>
          <w:tcPr>
            <w:tcW w:w="1984" w:type="dxa"/>
            <w:shd w:val="clear" w:color="auto" w:fill="auto"/>
          </w:tcPr>
          <w:p w:rsidR="0030517B" w:rsidRPr="00CA099F" w:rsidRDefault="0030517B" w:rsidP="00E1448E">
            <w:pPr>
              <w:spacing w:after="160" w:line="259" w:lineRule="auto"/>
              <w:rPr>
                <w:rFonts w:eastAsia="Calibri" w:cs="Times New Roman"/>
                <w:szCs w:val="28"/>
              </w:rPr>
            </w:pPr>
            <w:r w:rsidRPr="00CA099F">
              <w:rPr>
                <w:rFonts w:eastAsia="Calibri" w:cs="Times New Roman"/>
                <w:sz w:val="28"/>
                <w:szCs w:val="28"/>
              </w:rPr>
              <w:t xml:space="preserve">А – </w:t>
            </w:r>
            <w:r w:rsidRPr="00CA099F">
              <w:rPr>
                <w:rFonts w:eastAsia="Calibri" w:cs="Times New Roman"/>
                <w:sz w:val="28"/>
                <w:szCs w:val="28"/>
                <w:lang w:val="en-US"/>
              </w:rPr>
              <w:t>10</w:t>
            </w:r>
            <w:r w:rsidRPr="00CA099F">
              <w:rPr>
                <w:rFonts w:eastAsia="Calibri" w:cs="Times New Roman"/>
                <w:sz w:val="28"/>
                <w:szCs w:val="28"/>
              </w:rPr>
              <w:t xml:space="preserve"> (</w:t>
            </w:r>
            <w:r w:rsidRPr="00CA099F">
              <w:rPr>
                <w:rFonts w:eastAsia="Calibri" w:cs="Times New Roman"/>
                <w:sz w:val="28"/>
                <w:szCs w:val="28"/>
                <w:lang w:val="en-US"/>
              </w:rPr>
              <w:t>50</w:t>
            </w:r>
            <w:r w:rsidRPr="00CA099F">
              <w:rPr>
                <w:rFonts w:eastAsia="Calibri" w:cs="Times New Roman"/>
                <w:sz w:val="28"/>
                <w:szCs w:val="28"/>
              </w:rPr>
              <w:t>%)</w:t>
            </w:r>
          </w:p>
        </w:tc>
        <w:tc>
          <w:tcPr>
            <w:tcW w:w="1985" w:type="dxa"/>
            <w:shd w:val="clear" w:color="auto" w:fill="auto"/>
          </w:tcPr>
          <w:p w:rsidR="0030517B" w:rsidRPr="00CA099F" w:rsidRDefault="0030517B" w:rsidP="00E1448E">
            <w:pPr>
              <w:spacing w:after="160" w:line="259" w:lineRule="auto"/>
              <w:rPr>
                <w:rFonts w:eastAsia="Calibri" w:cs="Times New Roman"/>
                <w:szCs w:val="28"/>
              </w:rPr>
            </w:pPr>
            <w:r w:rsidRPr="00CA099F">
              <w:rPr>
                <w:rFonts w:eastAsia="Calibri" w:cs="Times New Roman"/>
                <w:sz w:val="28"/>
                <w:szCs w:val="28"/>
              </w:rPr>
              <w:t>А – 9 (45%)</w:t>
            </w:r>
          </w:p>
        </w:tc>
      </w:tr>
      <w:tr w:rsidR="0030517B" w:rsidRPr="00CA099F" w:rsidTr="00E1448E">
        <w:tblPrEx>
          <w:tblLook w:val="04A0" w:firstRow="1" w:lastRow="0" w:firstColumn="1" w:lastColumn="0" w:noHBand="0" w:noVBand="1"/>
        </w:tblPrEx>
        <w:trPr>
          <w:jc w:val="center"/>
        </w:trPr>
        <w:tc>
          <w:tcPr>
            <w:tcW w:w="1730" w:type="dxa"/>
            <w:vMerge/>
            <w:shd w:val="clear" w:color="auto" w:fill="auto"/>
          </w:tcPr>
          <w:p w:rsidR="0030517B" w:rsidRPr="00CA099F" w:rsidRDefault="0030517B" w:rsidP="00E1448E">
            <w:pPr>
              <w:spacing w:after="160" w:line="259" w:lineRule="auto"/>
              <w:jc w:val="center"/>
              <w:rPr>
                <w:rFonts w:eastAsia="Calibri" w:cs="Times New Roman"/>
                <w:szCs w:val="28"/>
              </w:rPr>
            </w:pPr>
          </w:p>
        </w:tc>
        <w:tc>
          <w:tcPr>
            <w:tcW w:w="1956" w:type="dxa"/>
            <w:shd w:val="clear" w:color="auto" w:fill="auto"/>
          </w:tcPr>
          <w:p w:rsidR="0030517B" w:rsidRPr="00CA099F" w:rsidRDefault="0030517B" w:rsidP="00E1448E">
            <w:pPr>
              <w:spacing w:after="160" w:line="259" w:lineRule="auto"/>
              <w:rPr>
                <w:rFonts w:eastAsia="Calibri" w:cs="Times New Roman"/>
                <w:szCs w:val="28"/>
              </w:rPr>
            </w:pPr>
            <w:r w:rsidRPr="00CA099F">
              <w:rPr>
                <w:rFonts w:eastAsia="Calibri" w:cs="Times New Roman"/>
                <w:sz w:val="28"/>
                <w:szCs w:val="28"/>
              </w:rPr>
              <w:t xml:space="preserve">Н – </w:t>
            </w:r>
            <w:r w:rsidRPr="00CA099F">
              <w:rPr>
                <w:rFonts w:eastAsia="Calibri" w:cs="Times New Roman"/>
                <w:sz w:val="28"/>
                <w:szCs w:val="28"/>
                <w:lang w:val="en-TT"/>
              </w:rPr>
              <w:t>4</w:t>
            </w:r>
            <w:r w:rsidRPr="00CA099F">
              <w:rPr>
                <w:rFonts w:eastAsia="Calibri" w:cs="Times New Roman"/>
                <w:sz w:val="28"/>
                <w:szCs w:val="28"/>
              </w:rPr>
              <w:t xml:space="preserve"> (</w:t>
            </w:r>
            <w:r w:rsidRPr="00CA099F">
              <w:rPr>
                <w:rFonts w:eastAsia="Calibri" w:cs="Times New Roman"/>
                <w:sz w:val="28"/>
                <w:szCs w:val="28"/>
                <w:lang w:val="en-TT"/>
              </w:rPr>
              <w:t>20</w:t>
            </w:r>
            <w:r w:rsidRPr="00CA099F">
              <w:rPr>
                <w:rFonts w:eastAsia="Calibri" w:cs="Times New Roman"/>
                <w:sz w:val="28"/>
                <w:szCs w:val="28"/>
              </w:rPr>
              <w:t>%)</w:t>
            </w:r>
          </w:p>
        </w:tc>
        <w:tc>
          <w:tcPr>
            <w:tcW w:w="1985" w:type="dxa"/>
            <w:shd w:val="clear" w:color="auto" w:fill="auto"/>
          </w:tcPr>
          <w:p w:rsidR="0030517B" w:rsidRPr="00CA099F" w:rsidRDefault="0030517B" w:rsidP="00E1448E">
            <w:pPr>
              <w:spacing w:after="160" w:line="259" w:lineRule="auto"/>
              <w:rPr>
                <w:rFonts w:eastAsia="Calibri" w:cs="Times New Roman"/>
                <w:szCs w:val="28"/>
              </w:rPr>
            </w:pPr>
            <w:r w:rsidRPr="00CA099F">
              <w:rPr>
                <w:rFonts w:eastAsia="Calibri" w:cs="Times New Roman"/>
                <w:sz w:val="28"/>
                <w:szCs w:val="28"/>
              </w:rPr>
              <w:t xml:space="preserve">Н – </w:t>
            </w:r>
            <w:r w:rsidRPr="00CA099F">
              <w:rPr>
                <w:rFonts w:eastAsia="Calibri" w:cs="Times New Roman"/>
                <w:sz w:val="28"/>
                <w:szCs w:val="28"/>
                <w:lang w:val="en-TT"/>
              </w:rPr>
              <w:t>5</w:t>
            </w:r>
            <w:r w:rsidRPr="00CA099F">
              <w:rPr>
                <w:rFonts w:eastAsia="Calibri" w:cs="Times New Roman"/>
                <w:sz w:val="28"/>
                <w:szCs w:val="28"/>
              </w:rPr>
              <w:t xml:space="preserve"> (25%)</w:t>
            </w:r>
          </w:p>
        </w:tc>
        <w:tc>
          <w:tcPr>
            <w:tcW w:w="1984" w:type="dxa"/>
            <w:shd w:val="clear" w:color="auto" w:fill="auto"/>
          </w:tcPr>
          <w:p w:rsidR="0030517B" w:rsidRPr="00CA099F" w:rsidRDefault="0030517B" w:rsidP="00E1448E">
            <w:pPr>
              <w:spacing w:after="160" w:line="259" w:lineRule="auto"/>
              <w:rPr>
                <w:rFonts w:eastAsia="Calibri" w:cs="Times New Roman"/>
                <w:szCs w:val="28"/>
              </w:rPr>
            </w:pPr>
            <w:r w:rsidRPr="00CA099F">
              <w:rPr>
                <w:rFonts w:eastAsia="Calibri" w:cs="Times New Roman"/>
                <w:sz w:val="28"/>
                <w:szCs w:val="28"/>
              </w:rPr>
              <w:t xml:space="preserve">Н – </w:t>
            </w:r>
            <w:r w:rsidRPr="00CA099F">
              <w:rPr>
                <w:rFonts w:eastAsia="Calibri" w:cs="Times New Roman"/>
                <w:sz w:val="28"/>
                <w:szCs w:val="28"/>
                <w:lang w:val="en-US"/>
              </w:rPr>
              <w:t>4</w:t>
            </w:r>
            <w:r w:rsidRPr="00CA099F">
              <w:rPr>
                <w:rFonts w:eastAsia="Calibri" w:cs="Times New Roman"/>
                <w:sz w:val="28"/>
                <w:szCs w:val="28"/>
              </w:rPr>
              <w:t xml:space="preserve"> (</w:t>
            </w:r>
            <w:r w:rsidRPr="00CA099F">
              <w:rPr>
                <w:rFonts w:eastAsia="Calibri" w:cs="Times New Roman"/>
                <w:sz w:val="28"/>
                <w:szCs w:val="28"/>
                <w:lang w:val="en-US"/>
              </w:rPr>
              <w:t>20</w:t>
            </w:r>
            <w:r w:rsidRPr="00CA099F">
              <w:rPr>
                <w:rFonts w:eastAsia="Calibri" w:cs="Times New Roman"/>
                <w:sz w:val="28"/>
                <w:szCs w:val="28"/>
              </w:rPr>
              <w:t>%)</w:t>
            </w:r>
          </w:p>
        </w:tc>
        <w:tc>
          <w:tcPr>
            <w:tcW w:w="1985" w:type="dxa"/>
            <w:shd w:val="clear" w:color="auto" w:fill="auto"/>
          </w:tcPr>
          <w:p w:rsidR="0030517B" w:rsidRPr="00CA099F" w:rsidRDefault="0030517B" w:rsidP="00E1448E">
            <w:pPr>
              <w:spacing w:after="160" w:line="259" w:lineRule="auto"/>
              <w:rPr>
                <w:rFonts w:eastAsia="Calibri" w:cs="Times New Roman"/>
                <w:szCs w:val="28"/>
              </w:rPr>
            </w:pPr>
            <w:r w:rsidRPr="00CA099F">
              <w:rPr>
                <w:rFonts w:eastAsia="Calibri" w:cs="Times New Roman"/>
                <w:sz w:val="28"/>
                <w:szCs w:val="28"/>
              </w:rPr>
              <w:t>Н – 5 (25%)</w:t>
            </w:r>
          </w:p>
        </w:tc>
      </w:tr>
      <w:tr w:rsidR="0030517B" w:rsidRPr="00CA099F" w:rsidTr="00E1448E">
        <w:tblPrEx>
          <w:tblLook w:val="04A0" w:firstRow="1" w:lastRow="0" w:firstColumn="1" w:lastColumn="0" w:noHBand="0" w:noVBand="1"/>
        </w:tblPrEx>
        <w:trPr>
          <w:trHeight w:val="124"/>
          <w:jc w:val="center"/>
        </w:trPr>
        <w:tc>
          <w:tcPr>
            <w:tcW w:w="1730" w:type="dxa"/>
            <w:vMerge/>
            <w:shd w:val="clear" w:color="auto" w:fill="auto"/>
          </w:tcPr>
          <w:p w:rsidR="0030517B" w:rsidRPr="00CA099F" w:rsidRDefault="0030517B" w:rsidP="00E1448E">
            <w:pPr>
              <w:spacing w:after="160" w:line="259" w:lineRule="auto"/>
              <w:jc w:val="center"/>
              <w:rPr>
                <w:rFonts w:eastAsia="Calibri" w:cs="Times New Roman"/>
                <w:szCs w:val="28"/>
              </w:rPr>
            </w:pPr>
          </w:p>
        </w:tc>
        <w:tc>
          <w:tcPr>
            <w:tcW w:w="1956" w:type="dxa"/>
            <w:shd w:val="clear" w:color="auto" w:fill="auto"/>
          </w:tcPr>
          <w:p w:rsidR="0030517B" w:rsidRPr="00CA099F" w:rsidRDefault="0030517B" w:rsidP="00E1448E">
            <w:pPr>
              <w:spacing w:after="160" w:line="259" w:lineRule="auto"/>
              <w:rPr>
                <w:rFonts w:eastAsia="Calibri" w:cs="Times New Roman"/>
                <w:szCs w:val="28"/>
              </w:rPr>
            </w:pPr>
            <w:r w:rsidRPr="00CA099F">
              <w:rPr>
                <w:rFonts w:eastAsia="Calibri" w:cs="Times New Roman"/>
                <w:sz w:val="28"/>
                <w:szCs w:val="28"/>
              </w:rPr>
              <w:t>Г</w:t>
            </w:r>
            <w:r w:rsidRPr="00CA099F">
              <w:rPr>
                <w:rFonts w:eastAsia="Calibri" w:cs="Times New Roman"/>
                <w:sz w:val="28"/>
                <w:szCs w:val="28"/>
                <w:vertAlign w:val="subscript"/>
              </w:rPr>
              <w:t>г</w:t>
            </w:r>
            <w:r w:rsidRPr="00CA099F">
              <w:rPr>
                <w:rFonts w:eastAsia="Calibri" w:cs="Times New Roman"/>
                <w:sz w:val="28"/>
                <w:szCs w:val="28"/>
              </w:rPr>
              <w:t xml:space="preserve">– </w:t>
            </w:r>
            <w:r w:rsidRPr="00CA099F">
              <w:rPr>
                <w:rFonts w:eastAsia="Calibri" w:cs="Times New Roman"/>
                <w:sz w:val="28"/>
                <w:szCs w:val="28"/>
                <w:lang w:val="en-TT"/>
              </w:rPr>
              <w:t>4</w:t>
            </w:r>
            <w:r w:rsidRPr="00CA099F">
              <w:rPr>
                <w:rFonts w:eastAsia="Calibri" w:cs="Times New Roman"/>
                <w:sz w:val="28"/>
                <w:szCs w:val="28"/>
              </w:rPr>
              <w:t xml:space="preserve"> (</w:t>
            </w:r>
            <w:r w:rsidRPr="00CA099F">
              <w:rPr>
                <w:rFonts w:eastAsia="Calibri" w:cs="Times New Roman"/>
                <w:sz w:val="28"/>
                <w:szCs w:val="28"/>
                <w:lang w:val="en-TT"/>
              </w:rPr>
              <w:t>20</w:t>
            </w:r>
            <w:r w:rsidRPr="00CA099F">
              <w:rPr>
                <w:rFonts w:eastAsia="Calibri" w:cs="Times New Roman"/>
                <w:sz w:val="28"/>
                <w:szCs w:val="28"/>
              </w:rPr>
              <w:t>%)</w:t>
            </w:r>
          </w:p>
        </w:tc>
        <w:tc>
          <w:tcPr>
            <w:tcW w:w="1985" w:type="dxa"/>
            <w:shd w:val="clear" w:color="auto" w:fill="auto"/>
          </w:tcPr>
          <w:p w:rsidR="0030517B" w:rsidRPr="00CA099F" w:rsidRDefault="0030517B" w:rsidP="00E1448E">
            <w:pPr>
              <w:spacing w:after="160" w:line="259" w:lineRule="auto"/>
              <w:rPr>
                <w:rFonts w:eastAsia="Calibri" w:cs="Times New Roman"/>
                <w:szCs w:val="28"/>
              </w:rPr>
            </w:pPr>
            <w:r w:rsidRPr="00CA099F">
              <w:rPr>
                <w:rFonts w:eastAsia="Calibri" w:cs="Times New Roman"/>
                <w:sz w:val="28"/>
                <w:szCs w:val="28"/>
              </w:rPr>
              <w:t>Г</w:t>
            </w:r>
            <w:r w:rsidRPr="00CA099F">
              <w:rPr>
                <w:rFonts w:eastAsia="Calibri" w:cs="Times New Roman"/>
                <w:sz w:val="28"/>
                <w:szCs w:val="28"/>
                <w:vertAlign w:val="subscript"/>
              </w:rPr>
              <w:t>г</w:t>
            </w:r>
            <w:r w:rsidRPr="00CA099F">
              <w:rPr>
                <w:rFonts w:eastAsia="Calibri" w:cs="Times New Roman"/>
                <w:sz w:val="28"/>
                <w:szCs w:val="28"/>
              </w:rPr>
              <w:t xml:space="preserve"> – </w:t>
            </w:r>
            <w:r w:rsidRPr="00CA099F">
              <w:rPr>
                <w:rFonts w:eastAsia="Calibri" w:cs="Times New Roman"/>
                <w:sz w:val="28"/>
                <w:szCs w:val="28"/>
                <w:lang w:val="en-TT"/>
              </w:rPr>
              <w:t>3</w:t>
            </w:r>
            <w:r w:rsidRPr="00CA099F">
              <w:rPr>
                <w:rFonts w:eastAsia="Calibri" w:cs="Times New Roman"/>
                <w:sz w:val="28"/>
                <w:szCs w:val="28"/>
              </w:rPr>
              <w:t xml:space="preserve"> (15%)</w:t>
            </w:r>
          </w:p>
        </w:tc>
        <w:tc>
          <w:tcPr>
            <w:tcW w:w="1984" w:type="dxa"/>
            <w:shd w:val="clear" w:color="auto" w:fill="auto"/>
          </w:tcPr>
          <w:p w:rsidR="0030517B" w:rsidRPr="00CA099F" w:rsidRDefault="0030517B" w:rsidP="00E1448E">
            <w:pPr>
              <w:spacing w:after="160" w:line="259" w:lineRule="auto"/>
              <w:rPr>
                <w:rFonts w:eastAsia="Calibri" w:cs="Times New Roman"/>
                <w:szCs w:val="28"/>
              </w:rPr>
            </w:pPr>
            <w:r w:rsidRPr="00CA099F">
              <w:rPr>
                <w:rFonts w:eastAsia="Calibri" w:cs="Times New Roman"/>
                <w:sz w:val="28"/>
                <w:szCs w:val="28"/>
              </w:rPr>
              <w:t>Г</w:t>
            </w:r>
            <w:r w:rsidRPr="00CA099F">
              <w:rPr>
                <w:rFonts w:eastAsia="Calibri" w:cs="Times New Roman"/>
                <w:sz w:val="28"/>
                <w:szCs w:val="28"/>
                <w:vertAlign w:val="subscript"/>
              </w:rPr>
              <w:t>г</w:t>
            </w:r>
            <w:r w:rsidRPr="00CA099F">
              <w:rPr>
                <w:rFonts w:eastAsia="Calibri" w:cs="Times New Roman"/>
                <w:sz w:val="28"/>
                <w:szCs w:val="28"/>
              </w:rPr>
              <w:t xml:space="preserve"> – </w:t>
            </w:r>
            <w:r w:rsidRPr="00CA099F">
              <w:rPr>
                <w:rFonts w:eastAsia="Calibri" w:cs="Times New Roman"/>
                <w:sz w:val="28"/>
                <w:szCs w:val="28"/>
                <w:lang w:val="en-US"/>
              </w:rPr>
              <w:t>4</w:t>
            </w:r>
            <w:r w:rsidRPr="00CA099F">
              <w:rPr>
                <w:rFonts w:eastAsia="Calibri" w:cs="Times New Roman"/>
                <w:sz w:val="28"/>
                <w:szCs w:val="28"/>
              </w:rPr>
              <w:t xml:space="preserve"> (</w:t>
            </w:r>
            <w:r w:rsidRPr="00CA099F">
              <w:rPr>
                <w:rFonts w:eastAsia="Calibri" w:cs="Times New Roman"/>
                <w:sz w:val="28"/>
                <w:szCs w:val="28"/>
                <w:lang w:val="en-US"/>
              </w:rPr>
              <w:t>20</w:t>
            </w:r>
            <w:r w:rsidRPr="00CA099F">
              <w:rPr>
                <w:rFonts w:eastAsia="Calibri" w:cs="Times New Roman"/>
                <w:sz w:val="28"/>
                <w:szCs w:val="28"/>
              </w:rPr>
              <w:t>%)</w:t>
            </w:r>
          </w:p>
        </w:tc>
        <w:tc>
          <w:tcPr>
            <w:tcW w:w="1985" w:type="dxa"/>
            <w:shd w:val="clear" w:color="auto" w:fill="auto"/>
          </w:tcPr>
          <w:p w:rsidR="0030517B" w:rsidRPr="00CA099F" w:rsidRDefault="0030517B" w:rsidP="00E1448E">
            <w:pPr>
              <w:spacing w:after="160" w:line="259" w:lineRule="auto"/>
              <w:rPr>
                <w:rFonts w:eastAsia="Calibri" w:cs="Times New Roman"/>
                <w:szCs w:val="28"/>
              </w:rPr>
            </w:pPr>
            <w:r w:rsidRPr="00CA099F">
              <w:rPr>
                <w:rFonts w:eastAsia="Calibri" w:cs="Times New Roman"/>
                <w:sz w:val="28"/>
                <w:szCs w:val="28"/>
              </w:rPr>
              <w:t>Г</w:t>
            </w:r>
            <w:r w:rsidRPr="00CA099F">
              <w:rPr>
                <w:rFonts w:eastAsia="Calibri" w:cs="Times New Roman"/>
                <w:sz w:val="28"/>
                <w:szCs w:val="28"/>
                <w:vertAlign w:val="subscript"/>
              </w:rPr>
              <w:t>г</w:t>
            </w:r>
            <w:r w:rsidRPr="00CA099F">
              <w:rPr>
                <w:rFonts w:eastAsia="Calibri" w:cs="Times New Roman"/>
                <w:sz w:val="28"/>
                <w:szCs w:val="28"/>
              </w:rPr>
              <w:t xml:space="preserve"> – 2 (10%)</w:t>
            </w:r>
          </w:p>
        </w:tc>
      </w:tr>
      <w:tr w:rsidR="0030517B" w:rsidRPr="00CA099F" w:rsidTr="00E1448E">
        <w:tblPrEx>
          <w:tblLook w:val="04A0" w:firstRow="1" w:lastRow="0" w:firstColumn="1" w:lastColumn="0" w:noHBand="0" w:noVBand="1"/>
        </w:tblPrEx>
        <w:trPr>
          <w:trHeight w:val="124"/>
          <w:jc w:val="center"/>
        </w:trPr>
        <w:tc>
          <w:tcPr>
            <w:tcW w:w="1730" w:type="dxa"/>
            <w:vMerge/>
            <w:shd w:val="clear" w:color="auto" w:fill="auto"/>
          </w:tcPr>
          <w:p w:rsidR="0030517B" w:rsidRPr="00CA099F" w:rsidRDefault="0030517B" w:rsidP="00E1448E">
            <w:pPr>
              <w:spacing w:after="160" w:line="259" w:lineRule="auto"/>
              <w:jc w:val="center"/>
              <w:rPr>
                <w:rFonts w:eastAsia="Calibri" w:cs="Times New Roman"/>
                <w:szCs w:val="28"/>
              </w:rPr>
            </w:pPr>
          </w:p>
        </w:tc>
        <w:tc>
          <w:tcPr>
            <w:tcW w:w="1956" w:type="dxa"/>
            <w:shd w:val="clear" w:color="auto" w:fill="auto"/>
          </w:tcPr>
          <w:p w:rsidR="0030517B" w:rsidRPr="00CA099F" w:rsidRDefault="0030517B" w:rsidP="00E1448E">
            <w:pPr>
              <w:spacing w:after="160" w:line="259" w:lineRule="auto"/>
              <w:rPr>
                <w:rFonts w:eastAsia="Calibri" w:cs="Times New Roman"/>
                <w:szCs w:val="28"/>
              </w:rPr>
            </w:pPr>
            <w:r w:rsidRPr="00CA099F">
              <w:rPr>
                <w:rFonts w:eastAsia="Calibri" w:cs="Times New Roman"/>
                <w:sz w:val="28"/>
                <w:szCs w:val="28"/>
              </w:rPr>
              <w:t>Г</w:t>
            </w:r>
            <w:r w:rsidRPr="00CA099F">
              <w:rPr>
                <w:rFonts w:eastAsia="Calibri" w:cs="Times New Roman"/>
                <w:sz w:val="28"/>
                <w:szCs w:val="28"/>
                <w:vertAlign w:val="subscript"/>
              </w:rPr>
              <w:t>в</w:t>
            </w:r>
            <w:r w:rsidRPr="00CA099F">
              <w:rPr>
                <w:rFonts w:eastAsia="Calibri" w:cs="Times New Roman"/>
                <w:sz w:val="28"/>
                <w:szCs w:val="28"/>
              </w:rPr>
              <w:t xml:space="preserve"> – 2 (10%)</w:t>
            </w:r>
          </w:p>
        </w:tc>
        <w:tc>
          <w:tcPr>
            <w:tcW w:w="1985" w:type="dxa"/>
            <w:shd w:val="clear" w:color="auto" w:fill="auto"/>
          </w:tcPr>
          <w:p w:rsidR="0030517B" w:rsidRPr="00CA099F" w:rsidRDefault="0030517B" w:rsidP="00E1448E">
            <w:pPr>
              <w:spacing w:after="160" w:line="259" w:lineRule="auto"/>
              <w:rPr>
                <w:rFonts w:eastAsia="Calibri" w:cs="Times New Roman"/>
                <w:szCs w:val="28"/>
              </w:rPr>
            </w:pPr>
            <w:r w:rsidRPr="00CA099F">
              <w:rPr>
                <w:rFonts w:eastAsia="Calibri" w:cs="Times New Roman"/>
                <w:sz w:val="28"/>
                <w:szCs w:val="28"/>
              </w:rPr>
              <w:t>Г</w:t>
            </w:r>
            <w:r w:rsidRPr="00CA099F">
              <w:rPr>
                <w:rFonts w:eastAsia="Calibri" w:cs="Times New Roman"/>
                <w:sz w:val="28"/>
                <w:szCs w:val="28"/>
                <w:vertAlign w:val="subscript"/>
                <w:lang w:val="ru-RU"/>
              </w:rPr>
              <w:t>в</w:t>
            </w:r>
            <w:r w:rsidRPr="00CA099F">
              <w:rPr>
                <w:rFonts w:eastAsia="Calibri" w:cs="Times New Roman"/>
                <w:sz w:val="28"/>
                <w:szCs w:val="28"/>
              </w:rPr>
              <w:t xml:space="preserve"> – </w:t>
            </w:r>
            <w:r w:rsidRPr="00CA099F">
              <w:rPr>
                <w:rFonts w:eastAsia="Calibri" w:cs="Times New Roman"/>
                <w:sz w:val="28"/>
                <w:szCs w:val="28"/>
                <w:lang w:val="ru-RU"/>
              </w:rPr>
              <w:t>3</w:t>
            </w:r>
            <w:r w:rsidRPr="00CA099F">
              <w:rPr>
                <w:rFonts w:eastAsia="Calibri" w:cs="Times New Roman"/>
                <w:sz w:val="28"/>
                <w:szCs w:val="28"/>
              </w:rPr>
              <w:t xml:space="preserve"> (</w:t>
            </w:r>
            <w:r w:rsidRPr="00CA099F">
              <w:rPr>
                <w:rFonts w:eastAsia="Calibri" w:cs="Times New Roman"/>
                <w:sz w:val="28"/>
                <w:szCs w:val="28"/>
                <w:lang w:val="ru-RU"/>
              </w:rPr>
              <w:t>15</w:t>
            </w:r>
            <w:r w:rsidRPr="00CA099F">
              <w:rPr>
                <w:rFonts w:eastAsia="Calibri" w:cs="Times New Roman"/>
                <w:sz w:val="28"/>
                <w:szCs w:val="28"/>
              </w:rPr>
              <w:t>%)</w:t>
            </w:r>
          </w:p>
        </w:tc>
        <w:tc>
          <w:tcPr>
            <w:tcW w:w="1984" w:type="dxa"/>
            <w:shd w:val="clear" w:color="auto" w:fill="auto"/>
          </w:tcPr>
          <w:p w:rsidR="0030517B" w:rsidRPr="00CA099F" w:rsidRDefault="0030517B" w:rsidP="00E1448E">
            <w:pPr>
              <w:spacing w:after="160" w:line="259" w:lineRule="auto"/>
              <w:rPr>
                <w:rFonts w:eastAsia="Calibri" w:cs="Times New Roman"/>
                <w:szCs w:val="28"/>
              </w:rPr>
            </w:pPr>
            <w:r w:rsidRPr="00CA099F">
              <w:rPr>
                <w:rFonts w:eastAsia="Calibri" w:cs="Times New Roman"/>
                <w:sz w:val="28"/>
                <w:szCs w:val="28"/>
              </w:rPr>
              <w:t>Г</w:t>
            </w:r>
            <w:r w:rsidRPr="00CA099F">
              <w:rPr>
                <w:rFonts w:eastAsia="Calibri" w:cs="Times New Roman"/>
                <w:sz w:val="28"/>
                <w:szCs w:val="28"/>
                <w:vertAlign w:val="subscript"/>
              </w:rPr>
              <w:t>в</w:t>
            </w:r>
            <w:r w:rsidRPr="00CA099F">
              <w:rPr>
                <w:rFonts w:eastAsia="Calibri" w:cs="Times New Roman"/>
                <w:sz w:val="28"/>
                <w:szCs w:val="28"/>
              </w:rPr>
              <w:t xml:space="preserve"> – 0 (0%)</w:t>
            </w:r>
          </w:p>
        </w:tc>
        <w:tc>
          <w:tcPr>
            <w:tcW w:w="1985" w:type="dxa"/>
            <w:shd w:val="clear" w:color="auto" w:fill="auto"/>
          </w:tcPr>
          <w:p w:rsidR="0030517B" w:rsidRPr="00CA099F" w:rsidRDefault="0030517B" w:rsidP="00E1448E">
            <w:pPr>
              <w:spacing w:after="160" w:line="259" w:lineRule="auto"/>
              <w:rPr>
                <w:rFonts w:eastAsia="Calibri" w:cs="Times New Roman"/>
                <w:szCs w:val="28"/>
              </w:rPr>
            </w:pPr>
            <w:r w:rsidRPr="00CA099F">
              <w:rPr>
                <w:rFonts w:eastAsia="Calibri" w:cs="Times New Roman"/>
                <w:sz w:val="28"/>
                <w:szCs w:val="28"/>
              </w:rPr>
              <w:t>Г</w:t>
            </w:r>
            <w:r w:rsidRPr="00CA099F">
              <w:rPr>
                <w:rFonts w:eastAsia="Calibri" w:cs="Times New Roman"/>
                <w:sz w:val="28"/>
                <w:szCs w:val="28"/>
                <w:vertAlign w:val="subscript"/>
              </w:rPr>
              <w:t>в</w:t>
            </w:r>
            <w:r w:rsidRPr="00CA099F">
              <w:rPr>
                <w:rFonts w:eastAsia="Calibri" w:cs="Times New Roman"/>
                <w:sz w:val="28"/>
                <w:szCs w:val="28"/>
              </w:rPr>
              <w:t xml:space="preserve"> – 2 (10%)</w:t>
            </w:r>
          </w:p>
        </w:tc>
      </w:tr>
      <w:tr w:rsidR="0030517B" w:rsidRPr="00CA099F" w:rsidTr="00E1448E">
        <w:tblPrEx>
          <w:tblLook w:val="04A0" w:firstRow="1" w:lastRow="0" w:firstColumn="1" w:lastColumn="0" w:noHBand="0" w:noVBand="1"/>
        </w:tblPrEx>
        <w:trPr>
          <w:trHeight w:val="136"/>
          <w:jc w:val="center"/>
        </w:trPr>
        <w:tc>
          <w:tcPr>
            <w:tcW w:w="1730" w:type="dxa"/>
            <w:vMerge/>
            <w:shd w:val="clear" w:color="auto" w:fill="auto"/>
          </w:tcPr>
          <w:p w:rsidR="0030517B" w:rsidRPr="00CA099F" w:rsidRDefault="0030517B" w:rsidP="00E1448E">
            <w:pPr>
              <w:spacing w:after="160" w:line="259" w:lineRule="auto"/>
              <w:jc w:val="center"/>
              <w:rPr>
                <w:rFonts w:eastAsia="Calibri" w:cs="Times New Roman"/>
                <w:szCs w:val="28"/>
              </w:rPr>
            </w:pPr>
          </w:p>
        </w:tc>
        <w:tc>
          <w:tcPr>
            <w:tcW w:w="1956" w:type="dxa"/>
            <w:shd w:val="clear" w:color="auto" w:fill="auto"/>
          </w:tcPr>
          <w:p w:rsidR="0030517B" w:rsidRPr="00CA099F" w:rsidRDefault="0030517B" w:rsidP="00E1448E">
            <w:pPr>
              <w:spacing w:after="160" w:line="259" w:lineRule="auto"/>
              <w:rPr>
                <w:rFonts w:eastAsia="Calibri" w:cs="Times New Roman"/>
                <w:szCs w:val="28"/>
              </w:rPr>
            </w:pPr>
            <w:r w:rsidRPr="00CA099F">
              <w:rPr>
                <w:rFonts w:eastAsia="Calibri" w:cs="Times New Roman"/>
                <w:sz w:val="28"/>
                <w:szCs w:val="28"/>
              </w:rPr>
              <w:t>К– 2 (10%)</w:t>
            </w:r>
          </w:p>
        </w:tc>
        <w:tc>
          <w:tcPr>
            <w:tcW w:w="1985" w:type="dxa"/>
            <w:shd w:val="clear" w:color="auto" w:fill="auto"/>
          </w:tcPr>
          <w:p w:rsidR="0030517B" w:rsidRPr="00CA099F" w:rsidRDefault="0030517B" w:rsidP="00E1448E">
            <w:pPr>
              <w:spacing w:after="160" w:line="259" w:lineRule="auto"/>
              <w:rPr>
                <w:rFonts w:eastAsia="Calibri" w:cs="Times New Roman"/>
                <w:szCs w:val="28"/>
              </w:rPr>
            </w:pPr>
            <w:r w:rsidRPr="00CA099F">
              <w:rPr>
                <w:rFonts w:eastAsia="Calibri" w:cs="Times New Roman"/>
                <w:sz w:val="28"/>
                <w:szCs w:val="28"/>
              </w:rPr>
              <w:t xml:space="preserve">К – </w:t>
            </w:r>
            <w:r w:rsidRPr="00CA099F">
              <w:rPr>
                <w:rFonts w:eastAsia="Calibri" w:cs="Times New Roman"/>
                <w:sz w:val="28"/>
                <w:szCs w:val="28"/>
                <w:lang w:val="ru-RU"/>
              </w:rPr>
              <w:t>2</w:t>
            </w:r>
            <w:r w:rsidRPr="00CA099F">
              <w:rPr>
                <w:rFonts w:eastAsia="Calibri" w:cs="Times New Roman"/>
                <w:sz w:val="28"/>
                <w:szCs w:val="28"/>
              </w:rPr>
              <w:t xml:space="preserve"> (</w:t>
            </w:r>
            <w:r w:rsidRPr="00CA099F">
              <w:rPr>
                <w:rFonts w:eastAsia="Calibri" w:cs="Times New Roman"/>
                <w:sz w:val="28"/>
                <w:szCs w:val="28"/>
                <w:lang w:val="ru-RU"/>
              </w:rPr>
              <w:t>10</w:t>
            </w:r>
            <w:r w:rsidRPr="00CA099F">
              <w:rPr>
                <w:rFonts w:eastAsia="Calibri" w:cs="Times New Roman"/>
                <w:sz w:val="28"/>
                <w:szCs w:val="28"/>
              </w:rPr>
              <w:t>%)</w:t>
            </w:r>
          </w:p>
        </w:tc>
        <w:tc>
          <w:tcPr>
            <w:tcW w:w="1984" w:type="dxa"/>
            <w:shd w:val="clear" w:color="auto" w:fill="auto"/>
          </w:tcPr>
          <w:p w:rsidR="0030517B" w:rsidRPr="00CA099F" w:rsidRDefault="0030517B" w:rsidP="00E1448E">
            <w:pPr>
              <w:spacing w:after="160" w:line="259" w:lineRule="auto"/>
              <w:rPr>
                <w:rFonts w:eastAsia="Calibri" w:cs="Times New Roman"/>
                <w:szCs w:val="28"/>
              </w:rPr>
            </w:pPr>
            <w:r w:rsidRPr="00CA099F">
              <w:rPr>
                <w:rFonts w:eastAsia="Calibri" w:cs="Times New Roman"/>
                <w:sz w:val="28"/>
                <w:szCs w:val="28"/>
              </w:rPr>
              <w:t>К – 2 (10%)</w:t>
            </w:r>
          </w:p>
        </w:tc>
        <w:tc>
          <w:tcPr>
            <w:tcW w:w="1985" w:type="dxa"/>
            <w:shd w:val="clear" w:color="auto" w:fill="auto"/>
          </w:tcPr>
          <w:p w:rsidR="0030517B" w:rsidRPr="00CA099F" w:rsidRDefault="0030517B" w:rsidP="00E1448E">
            <w:pPr>
              <w:spacing w:after="160" w:line="259" w:lineRule="auto"/>
              <w:rPr>
                <w:rFonts w:eastAsia="Calibri" w:cs="Times New Roman"/>
                <w:szCs w:val="28"/>
              </w:rPr>
            </w:pPr>
            <w:r w:rsidRPr="00CA099F">
              <w:rPr>
                <w:rFonts w:eastAsia="Calibri" w:cs="Times New Roman"/>
                <w:sz w:val="28"/>
                <w:szCs w:val="28"/>
              </w:rPr>
              <w:t>К – 2 (10%)</w:t>
            </w:r>
          </w:p>
        </w:tc>
      </w:tr>
      <w:tr w:rsidR="0030517B" w:rsidRPr="00CA099F" w:rsidTr="00E1448E">
        <w:tblPrEx>
          <w:tblLook w:val="04A0" w:firstRow="1" w:lastRow="0" w:firstColumn="1" w:lastColumn="0" w:noHBand="0" w:noVBand="1"/>
        </w:tblPrEx>
        <w:trPr>
          <w:trHeight w:val="583"/>
          <w:jc w:val="center"/>
        </w:trPr>
        <w:tc>
          <w:tcPr>
            <w:tcW w:w="1730" w:type="dxa"/>
            <w:vMerge w:val="restart"/>
            <w:shd w:val="clear" w:color="auto" w:fill="auto"/>
          </w:tcPr>
          <w:p w:rsidR="0030517B" w:rsidRPr="00CA099F" w:rsidRDefault="0030517B" w:rsidP="00E1448E">
            <w:pPr>
              <w:spacing w:after="160" w:line="259" w:lineRule="auto"/>
              <w:jc w:val="center"/>
              <w:rPr>
                <w:rFonts w:eastAsia="Calibri" w:cs="Times New Roman"/>
                <w:szCs w:val="28"/>
              </w:rPr>
            </w:pPr>
            <w:r w:rsidRPr="00CA099F">
              <w:rPr>
                <w:rFonts w:eastAsia="Calibri" w:cs="Times New Roman"/>
                <w:sz w:val="28"/>
                <w:szCs w:val="28"/>
              </w:rPr>
              <w:t>П2</w:t>
            </w:r>
          </w:p>
        </w:tc>
        <w:tc>
          <w:tcPr>
            <w:tcW w:w="1956" w:type="dxa"/>
            <w:shd w:val="clear" w:color="auto" w:fill="auto"/>
          </w:tcPr>
          <w:p w:rsidR="0030517B" w:rsidRPr="00CA099F" w:rsidRDefault="0030517B" w:rsidP="00E1448E">
            <w:pPr>
              <w:spacing w:after="160" w:line="259" w:lineRule="auto"/>
              <w:rPr>
                <w:rFonts w:eastAsia="Calibri" w:cs="Times New Roman"/>
                <w:szCs w:val="28"/>
              </w:rPr>
            </w:pPr>
            <w:r w:rsidRPr="00CA099F">
              <w:rPr>
                <w:rFonts w:eastAsia="Calibri" w:cs="Times New Roman"/>
                <w:sz w:val="28"/>
                <w:szCs w:val="28"/>
              </w:rPr>
              <w:t>Н – 8 (40%)</w:t>
            </w:r>
          </w:p>
        </w:tc>
        <w:tc>
          <w:tcPr>
            <w:tcW w:w="1985" w:type="dxa"/>
            <w:shd w:val="clear" w:color="auto" w:fill="auto"/>
          </w:tcPr>
          <w:p w:rsidR="0030517B" w:rsidRPr="00CA099F" w:rsidRDefault="0030517B" w:rsidP="00E1448E">
            <w:pPr>
              <w:spacing w:after="160" w:line="259" w:lineRule="auto"/>
              <w:rPr>
                <w:rFonts w:eastAsia="Calibri" w:cs="Times New Roman"/>
                <w:szCs w:val="28"/>
              </w:rPr>
            </w:pPr>
            <w:r w:rsidRPr="00CA099F">
              <w:rPr>
                <w:rFonts w:eastAsia="Calibri" w:cs="Times New Roman"/>
                <w:sz w:val="28"/>
                <w:szCs w:val="28"/>
              </w:rPr>
              <w:t xml:space="preserve">Н – </w:t>
            </w:r>
            <w:r w:rsidRPr="00CA099F">
              <w:rPr>
                <w:rFonts w:eastAsia="Calibri" w:cs="Times New Roman"/>
                <w:sz w:val="28"/>
                <w:szCs w:val="28"/>
                <w:lang w:val="ru-RU"/>
              </w:rPr>
              <w:t>10</w:t>
            </w:r>
            <w:r w:rsidRPr="00CA099F">
              <w:rPr>
                <w:rFonts w:eastAsia="Calibri" w:cs="Times New Roman"/>
                <w:sz w:val="28"/>
                <w:szCs w:val="28"/>
              </w:rPr>
              <w:t xml:space="preserve"> (</w:t>
            </w:r>
            <w:r w:rsidRPr="00CA099F">
              <w:rPr>
                <w:rFonts w:eastAsia="Calibri" w:cs="Times New Roman"/>
                <w:sz w:val="28"/>
                <w:szCs w:val="28"/>
                <w:lang w:val="ru-RU"/>
              </w:rPr>
              <w:t>50</w:t>
            </w:r>
            <w:r w:rsidRPr="00CA099F">
              <w:rPr>
                <w:rFonts w:eastAsia="Calibri" w:cs="Times New Roman"/>
                <w:sz w:val="28"/>
                <w:szCs w:val="28"/>
              </w:rPr>
              <w:t>%)</w:t>
            </w:r>
          </w:p>
        </w:tc>
        <w:tc>
          <w:tcPr>
            <w:tcW w:w="1984" w:type="dxa"/>
            <w:shd w:val="clear" w:color="auto" w:fill="auto"/>
          </w:tcPr>
          <w:p w:rsidR="0030517B" w:rsidRPr="00CA099F" w:rsidRDefault="0030517B" w:rsidP="00E1448E">
            <w:pPr>
              <w:spacing w:after="160" w:line="259" w:lineRule="auto"/>
              <w:rPr>
                <w:rFonts w:eastAsia="Calibri" w:cs="Times New Roman"/>
                <w:szCs w:val="28"/>
              </w:rPr>
            </w:pPr>
            <w:r w:rsidRPr="00CA099F">
              <w:rPr>
                <w:rFonts w:eastAsia="Calibri" w:cs="Times New Roman"/>
                <w:sz w:val="28"/>
                <w:szCs w:val="28"/>
              </w:rPr>
              <w:t>Н – 12 (60%)</w:t>
            </w:r>
          </w:p>
        </w:tc>
        <w:tc>
          <w:tcPr>
            <w:tcW w:w="1985" w:type="dxa"/>
            <w:shd w:val="clear" w:color="auto" w:fill="auto"/>
          </w:tcPr>
          <w:p w:rsidR="0030517B" w:rsidRPr="00CA099F" w:rsidRDefault="0030517B" w:rsidP="00E1448E">
            <w:pPr>
              <w:spacing w:after="160" w:line="259" w:lineRule="auto"/>
              <w:rPr>
                <w:rFonts w:eastAsia="Calibri" w:cs="Times New Roman"/>
                <w:szCs w:val="28"/>
              </w:rPr>
            </w:pPr>
            <w:r w:rsidRPr="00CA099F">
              <w:rPr>
                <w:rFonts w:eastAsia="Calibri" w:cs="Times New Roman"/>
                <w:sz w:val="28"/>
                <w:szCs w:val="28"/>
              </w:rPr>
              <w:t>Н – 12 (60%)</w:t>
            </w:r>
          </w:p>
        </w:tc>
      </w:tr>
      <w:tr w:rsidR="0030517B" w:rsidRPr="00CA099F" w:rsidTr="00E1448E">
        <w:tblPrEx>
          <w:tblLook w:val="04A0" w:firstRow="1" w:lastRow="0" w:firstColumn="1" w:lastColumn="0" w:noHBand="0" w:noVBand="1"/>
        </w:tblPrEx>
        <w:trPr>
          <w:trHeight w:val="124"/>
          <w:jc w:val="center"/>
        </w:trPr>
        <w:tc>
          <w:tcPr>
            <w:tcW w:w="1730" w:type="dxa"/>
            <w:vMerge/>
            <w:shd w:val="clear" w:color="auto" w:fill="auto"/>
          </w:tcPr>
          <w:p w:rsidR="0030517B" w:rsidRPr="00CA099F" w:rsidRDefault="0030517B" w:rsidP="00E1448E">
            <w:pPr>
              <w:spacing w:after="160" w:line="259" w:lineRule="auto"/>
              <w:jc w:val="center"/>
              <w:rPr>
                <w:rFonts w:eastAsia="Calibri" w:cs="Times New Roman"/>
                <w:szCs w:val="28"/>
              </w:rPr>
            </w:pPr>
          </w:p>
        </w:tc>
        <w:tc>
          <w:tcPr>
            <w:tcW w:w="1956" w:type="dxa"/>
            <w:shd w:val="clear" w:color="auto" w:fill="auto"/>
          </w:tcPr>
          <w:p w:rsidR="0030517B" w:rsidRPr="00CA099F" w:rsidRDefault="0030517B" w:rsidP="00E1448E">
            <w:pPr>
              <w:spacing w:after="160" w:line="259" w:lineRule="auto"/>
              <w:rPr>
                <w:rFonts w:eastAsia="Calibri" w:cs="Times New Roman"/>
                <w:szCs w:val="28"/>
              </w:rPr>
            </w:pPr>
            <w:r w:rsidRPr="00CA099F">
              <w:rPr>
                <w:rFonts w:eastAsia="Calibri" w:cs="Times New Roman"/>
                <w:sz w:val="28"/>
                <w:szCs w:val="28"/>
              </w:rPr>
              <w:t>У – 11 (55%)</w:t>
            </w:r>
          </w:p>
        </w:tc>
        <w:tc>
          <w:tcPr>
            <w:tcW w:w="1985" w:type="dxa"/>
            <w:shd w:val="clear" w:color="auto" w:fill="auto"/>
          </w:tcPr>
          <w:p w:rsidR="0030517B" w:rsidRPr="00CA099F" w:rsidRDefault="0030517B" w:rsidP="00E1448E">
            <w:pPr>
              <w:spacing w:after="160" w:line="259" w:lineRule="auto"/>
              <w:rPr>
                <w:rFonts w:eastAsia="Calibri" w:cs="Times New Roman"/>
                <w:szCs w:val="28"/>
              </w:rPr>
            </w:pPr>
            <w:r w:rsidRPr="00CA099F">
              <w:rPr>
                <w:rFonts w:eastAsia="Calibri" w:cs="Times New Roman"/>
                <w:sz w:val="28"/>
                <w:szCs w:val="28"/>
              </w:rPr>
              <w:t xml:space="preserve">У – </w:t>
            </w:r>
            <w:r w:rsidRPr="00CA099F">
              <w:rPr>
                <w:rFonts w:eastAsia="Calibri" w:cs="Times New Roman"/>
                <w:sz w:val="28"/>
                <w:szCs w:val="28"/>
                <w:lang w:val="ru-RU"/>
              </w:rPr>
              <w:t>9</w:t>
            </w:r>
            <w:r w:rsidRPr="00CA099F">
              <w:rPr>
                <w:rFonts w:eastAsia="Calibri" w:cs="Times New Roman"/>
                <w:sz w:val="28"/>
                <w:szCs w:val="28"/>
              </w:rPr>
              <w:t xml:space="preserve"> (</w:t>
            </w:r>
            <w:r w:rsidRPr="00CA099F">
              <w:rPr>
                <w:rFonts w:eastAsia="Calibri" w:cs="Times New Roman"/>
                <w:sz w:val="28"/>
                <w:szCs w:val="28"/>
                <w:lang w:val="ru-RU"/>
              </w:rPr>
              <w:t>45</w:t>
            </w:r>
            <w:r w:rsidRPr="00CA099F">
              <w:rPr>
                <w:rFonts w:eastAsia="Calibri" w:cs="Times New Roman"/>
                <w:sz w:val="28"/>
                <w:szCs w:val="28"/>
              </w:rPr>
              <w:t>%)</w:t>
            </w:r>
          </w:p>
        </w:tc>
        <w:tc>
          <w:tcPr>
            <w:tcW w:w="1984" w:type="dxa"/>
            <w:shd w:val="clear" w:color="auto" w:fill="auto"/>
          </w:tcPr>
          <w:p w:rsidR="0030517B" w:rsidRPr="00CA099F" w:rsidRDefault="0030517B" w:rsidP="00E1448E">
            <w:pPr>
              <w:spacing w:after="160" w:line="259" w:lineRule="auto"/>
              <w:rPr>
                <w:rFonts w:eastAsia="Calibri" w:cs="Times New Roman"/>
                <w:szCs w:val="28"/>
              </w:rPr>
            </w:pPr>
            <w:r w:rsidRPr="00CA099F">
              <w:rPr>
                <w:rFonts w:eastAsia="Calibri" w:cs="Times New Roman"/>
                <w:sz w:val="28"/>
                <w:szCs w:val="28"/>
              </w:rPr>
              <w:t>У – 8 (40%)</w:t>
            </w:r>
          </w:p>
        </w:tc>
        <w:tc>
          <w:tcPr>
            <w:tcW w:w="1985" w:type="dxa"/>
            <w:shd w:val="clear" w:color="auto" w:fill="auto"/>
          </w:tcPr>
          <w:p w:rsidR="0030517B" w:rsidRPr="00CA099F" w:rsidRDefault="0030517B" w:rsidP="00E1448E">
            <w:pPr>
              <w:spacing w:after="160" w:line="259" w:lineRule="auto"/>
              <w:rPr>
                <w:rFonts w:eastAsia="Calibri" w:cs="Times New Roman"/>
                <w:szCs w:val="28"/>
              </w:rPr>
            </w:pPr>
            <w:r w:rsidRPr="00CA099F">
              <w:rPr>
                <w:rFonts w:eastAsia="Calibri" w:cs="Times New Roman"/>
                <w:sz w:val="28"/>
                <w:szCs w:val="28"/>
              </w:rPr>
              <w:t>У – 7 (35%)</w:t>
            </w:r>
          </w:p>
        </w:tc>
      </w:tr>
      <w:tr w:rsidR="0030517B" w:rsidRPr="00CA099F" w:rsidTr="00E1448E">
        <w:tblPrEx>
          <w:tblLook w:val="04A0" w:firstRow="1" w:lastRow="0" w:firstColumn="1" w:lastColumn="0" w:noHBand="0" w:noVBand="1"/>
        </w:tblPrEx>
        <w:trPr>
          <w:trHeight w:val="124"/>
          <w:jc w:val="center"/>
        </w:trPr>
        <w:tc>
          <w:tcPr>
            <w:tcW w:w="1730" w:type="dxa"/>
            <w:vMerge/>
            <w:shd w:val="clear" w:color="auto" w:fill="auto"/>
          </w:tcPr>
          <w:p w:rsidR="0030517B" w:rsidRPr="00CA099F" w:rsidRDefault="0030517B" w:rsidP="00E1448E">
            <w:pPr>
              <w:spacing w:after="160" w:line="259" w:lineRule="auto"/>
              <w:jc w:val="center"/>
              <w:rPr>
                <w:rFonts w:eastAsia="Calibri" w:cs="Times New Roman"/>
                <w:szCs w:val="28"/>
              </w:rPr>
            </w:pPr>
          </w:p>
        </w:tc>
        <w:tc>
          <w:tcPr>
            <w:tcW w:w="1956" w:type="dxa"/>
            <w:shd w:val="clear" w:color="auto" w:fill="auto"/>
          </w:tcPr>
          <w:p w:rsidR="0030517B" w:rsidRPr="00CA099F" w:rsidRDefault="0030517B" w:rsidP="00E1448E">
            <w:pPr>
              <w:spacing w:after="160" w:line="259" w:lineRule="auto"/>
              <w:rPr>
                <w:rFonts w:eastAsia="Calibri" w:cs="Times New Roman"/>
                <w:szCs w:val="28"/>
              </w:rPr>
            </w:pPr>
            <w:r w:rsidRPr="00CA099F">
              <w:rPr>
                <w:rFonts w:eastAsia="Calibri" w:cs="Times New Roman"/>
                <w:sz w:val="28"/>
                <w:szCs w:val="28"/>
              </w:rPr>
              <w:t>І – 1 (5%)</w:t>
            </w:r>
          </w:p>
        </w:tc>
        <w:tc>
          <w:tcPr>
            <w:tcW w:w="1985" w:type="dxa"/>
            <w:shd w:val="clear" w:color="auto" w:fill="auto"/>
          </w:tcPr>
          <w:p w:rsidR="0030517B" w:rsidRPr="00CA099F" w:rsidRDefault="0030517B" w:rsidP="00E1448E">
            <w:pPr>
              <w:spacing w:after="160" w:line="259" w:lineRule="auto"/>
              <w:rPr>
                <w:rFonts w:eastAsia="Calibri" w:cs="Times New Roman"/>
                <w:szCs w:val="28"/>
              </w:rPr>
            </w:pPr>
            <w:r w:rsidRPr="00CA099F">
              <w:rPr>
                <w:rFonts w:eastAsia="Calibri" w:cs="Times New Roman"/>
                <w:sz w:val="28"/>
                <w:szCs w:val="28"/>
              </w:rPr>
              <w:t>І – 1 (</w:t>
            </w:r>
            <w:r w:rsidRPr="00CA099F">
              <w:rPr>
                <w:rFonts w:eastAsia="Calibri" w:cs="Times New Roman"/>
                <w:sz w:val="28"/>
                <w:szCs w:val="28"/>
                <w:lang w:val="ru-RU"/>
              </w:rPr>
              <w:t>5</w:t>
            </w:r>
            <w:r w:rsidRPr="00CA099F">
              <w:rPr>
                <w:rFonts w:eastAsia="Calibri" w:cs="Times New Roman"/>
                <w:sz w:val="28"/>
                <w:szCs w:val="28"/>
              </w:rPr>
              <w:t>%)</w:t>
            </w:r>
          </w:p>
        </w:tc>
        <w:tc>
          <w:tcPr>
            <w:tcW w:w="1984" w:type="dxa"/>
            <w:shd w:val="clear" w:color="auto" w:fill="auto"/>
          </w:tcPr>
          <w:p w:rsidR="0030517B" w:rsidRPr="00CA099F" w:rsidRDefault="0030517B" w:rsidP="00E1448E">
            <w:pPr>
              <w:spacing w:after="160" w:line="259" w:lineRule="auto"/>
              <w:rPr>
                <w:rFonts w:eastAsia="Calibri" w:cs="Times New Roman"/>
                <w:szCs w:val="28"/>
              </w:rPr>
            </w:pPr>
            <w:r w:rsidRPr="00CA099F">
              <w:rPr>
                <w:rFonts w:eastAsia="Calibri" w:cs="Times New Roman"/>
                <w:sz w:val="28"/>
                <w:szCs w:val="28"/>
              </w:rPr>
              <w:t>І – 0 (0%)</w:t>
            </w:r>
          </w:p>
        </w:tc>
        <w:tc>
          <w:tcPr>
            <w:tcW w:w="1985" w:type="dxa"/>
            <w:shd w:val="clear" w:color="auto" w:fill="auto"/>
          </w:tcPr>
          <w:p w:rsidR="0030517B" w:rsidRPr="00CA099F" w:rsidRDefault="0030517B" w:rsidP="00E1448E">
            <w:pPr>
              <w:spacing w:after="160" w:line="259" w:lineRule="auto"/>
              <w:rPr>
                <w:rFonts w:eastAsia="Calibri" w:cs="Times New Roman"/>
                <w:szCs w:val="28"/>
              </w:rPr>
            </w:pPr>
            <w:r w:rsidRPr="00CA099F">
              <w:rPr>
                <w:rFonts w:eastAsia="Calibri" w:cs="Times New Roman"/>
                <w:sz w:val="28"/>
                <w:szCs w:val="28"/>
              </w:rPr>
              <w:t>І – 1 (5%)</w:t>
            </w:r>
          </w:p>
        </w:tc>
      </w:tr>
      <w:tr w:rsidR="0030517B" w:rsidRPr="00CA099F" w:rsidTr="00E1448E">
        <w:tblPrEx>
          <w:tblLook w:val="04A0" w:firstRow="1" w:lastRow="0" w:firstColumn="1" w:lastColumn="0" w:noHBand="0" w:noVBand="1"/>
        </w:tblPrEx>
        <w:trPr>
          <w:trHeight w:val="458"/>
          <w:jc w:val="center"/>
        </w:trPr>
        <w:tc>
          <w:tcPr>
            <w:tcW w:w="1730" w:type="dxa"/>
            <w:vMerge w:val="restart"/>
            <w:shd w:val="clear" w:color="auto" w:fill="auto"/>
          </w:tcPr>
          <w:p w:rsidR="0030517B" w:rsidRPr="00CA099F" w:rsidRDefault="0030517B" w:rsidP="00E1448E">
            <w:pPr>
              <w:spacing w:after="160" w:line="259" w:lineRule="auto"/>
              <w:jc w:val="center"/>
              <w:rPr>
                <w:rFonts w:eastAsia="Calibri" w:cs="Times New Roman"/>
                <w:szCs w:val="28"/>
              </w:rPr>
            </w:pPr>
            <w:r w:rsidRPr="00CA099F">
              <w:rPr>
                <w:rFonts w:eastAsia="Calibri" w:cs="Times New Roman"/>
                <w:sz w:val="28"/>
                <w:szCs w:val="28"/>
              </w:rPr>
              <w:t>П3</w:t>
            </w:r>
          </w:p>
        </w:tc>
        <w:tc>
          <w:tcPr>
            <w:tcW w:w="1956" w:type="dxa"/>
            <w:shd w:val="clear" w:color="auto" w:fill="auto"/>
          </w:tcPr>
          <w:p w:rsidR="0030517B" w:rsidRPr="00CA099F" w:rsidRDefault="0030517B" w:rsidP="00E1448E">
            <w:pPr>
              <w:spacing w:after="160" w:line="259" w:lineRule="auto"/>
              <w:rPr>
                <w:rFonts w:eastAsia="Calibri" w:cs="Times New Roman"/>
                <w:szCs w:val="28"/>
              </w:rPr>
            </w:pPr>
            <w:r w:rsidRPr="00CA099F">
              <w:rPr>
                <w:rFonts w:eastAsia="Calibri" w:cs="Times New Roman"/>
                <w:sz w:val="28"/>
                <w:szCs w:val="28"/>
              </w:rPr>
              <w:t>Н – 5 (25%)</w:t>
            </w:r>
          </w:p>
        </w:tc>
        <w:tc>
          <w:tcPr>
            <w:tcW w:w="1985" w:type="dxa"/>
            <w:shd w:val="clear" w:color="auto" w:fill="auto"/>
          </w:tcPr>
          <w:p w:rsidR="0030517B" w:rsidRPr="00CA099F" w:rsidRDefault="0030517B" w:rsidP="00E1448E">
            <w:pPr>
              <w:spacing w:after="160" w:line="259" w:lineRule="auto"/>
              <w:rPr>
                <w:rFonts w:eastAsia="Calibri" w:cs="Times New Roman"/>
                <w:szCs w:val="28"/>
              </w:rPr>
            </w:pPr>
            <w:r w:rsidRPr="00CA099F">
              <w:rPr>
                <w:rFonts w:eastAsia="Calibri" w:cs="Times New Roman"/>
                <w:sz w:val="28"/>
                <w:szCs w:val="28"/>
              </w:rPr>
              <w:t>Н – 10 (</w:t>
            </w:r>
            <w:r w:rsidRPr="00CA099F">
              <w:rPr>
                <w:rFonts w:eastAsia="Calibri" w:cs="Times New Roman"/>
                <w:sz w:val="28"/>
                <w:szCs w:val="28"/>
                <w:lang w:val="ru-RU"/>
              </w:rPr>
              <w:t>50</w:t>
            </w:r>
            <w:r w:rsidRPr="00CA099F">
              <w:rPr>
                <w:rFonts w:eastAsia="Calibri" w:cs="Times New Roman"/>
                <w:sz w:val="28"/>
                <w:szCs w:val="28"/>
              </w:rPr>
              <w:t>%)</w:t>
            </w:r>
          </w:p>
        </w:tc>
        <w:tc>
          <w:tcPr>
            <w:tcW w:w="1984" w:type="dxa"/>
            <w:shd w:val="clear" w:color="auto" w:fill="auto"/>
          </w:tcPr>
          <w:p w:rsidR="0030517B" w:rsidRPr="00CA099F" w:rsidRDefault="0030517B" w:rsidP="00E1448E">
            <w:pPr>
              <w:spacing w:after="160" w:line="259" w:lineRule="auto"/>
              <w:rPr>
                <w:rFonts w:eastAsia="Calibri" w:cs="Times New Roman"/>
                <w:szCs w:val="28"/>
              </w:rPr>
            </w:pPr>
            <w:r w:rsidRPr="00CA099F">
              <w:rPr>
                <w:rFonts w:eastAsia="Calibri" w:cs="Times New Roman"/>
                <w:sz w:val="28"/>
                <w:szCs w:val="28"/>
              </w:rPr>
              <w:t>Н – 12 (60%)</w:t>
            </w:r>
          </w:p>
        </w:tc>
        <w:tc>
          <w:tcPr>
            <w:tcW w:w="1985" w:type="dxa"/>
            <w:shd w:val="clear" w:color="auto" w:fill="auto"/>
          </w:tcPr>
          <w:p w:rsidR="0030517B" w:rsidRPr="00CA099F" w:rsidRDefault="0030517B" w:rsidP="00E1448E">
            <w:pPr>
              <w:spacing w:after="160" w:line="259" w:lineRule="auto"/>
              <w:rPr>
                <w:rFonts w:eastAsia="Calibri" w:cs="Times New Roman"/>
                <w:szCs w:val="28"/>
              </w:rPr>
            </w:pPr>
            <w:r w:rsidRPr="00CA099F">
              <w:rPr>
                <w:rFonts w:eastAsia="Calibri" w:cs="Times New Roman"/>
                <w:sz w:val="28"/>
                <w:szCs w:val="28"/>
              </w:rPr>
              <w:t>Н – 17 (85%)</w:t>
            </w:r>
          </w:p>
        </w:tc>
      </w:tr>
      <w:tr w:rsidR="0030517B" w:rsidRPr="00CA099F" w:rsidTr="00E1448E">
        <w:tblPrEx>
          <w:tblLook w:val="04A0" w:firstRow="1" w:lastRow="0" w:firstColumn="1" w:lastColumn="0" w:noHBand="0" w:noVBand="1"/>
        </w:tblPrEx>
        <w:trPr>
          <w:trHeight w:val="124"/>
          <w:jc w:val="center"/>
        </w:trPr>
        <w:tc>
          <w:tcPr>
            <w:tcW w:w="1730" w:type="dxa"/>
            <w:vMerge/>
            <w:shd w:val="clear" w:color="auto" w:fill="auto"/>
          </w:tcPr>
          <w:p w:rsidR="0030517B" w:rsidRPr="00CA099F" w:rsidRDefault="0030517B" w:rsidP="00E1448E">
            <w:pPr>
              <w:spacing w:after="160" w:line="259" w:lineRule="auto"/>
              <w:jc w:val="center"/>
              <w:rPr>
                <w:rFonts w:eastAsia="Calibri" w:cs="Times New Roman"/>
                <w:szCs w:val="28"/>
              </w:rPr>
            </w:pPr>
          </w:p>
        </w:tc>
        <w:tc>
          <w:tcPr>
            <w:tcW w:w="1956" w:type="dxa"/>
            <w:shd w:val="clear" w:color="auto" w:fill="auto"/>
          </w:tcPr>
          <w:p w:rsidR="0030517B" w:rsidRPr="00CA099F" w:rsidRDefault="0030517B" w:rsidP="00E1448E">
            <w:pPr>
              <w:spacing w:after="160" w:line="259" w:lineRule="auto"/>
              <w:rPr>
                <w:rFonts w:eastAsia="Calibri" w:cs="Times New Roman"/>
                <w:szCs w:val="28"/>
              </w:rPr>
            </w:pPr>
            <w:r w:rsidRPr="00CA099F">
              <w:rPr>
                <w:rFonts w:eastAsia="Calibri" w:cs="Times New Roman"/>
                <w:sz w:val="28"/>
                <w:szCs w:val="28"/>
              </w:rPr>
              <w:t>Е</w:t>
            </w:r>
            <w:r w:rsidRPr="00CA099F">
              <w:rPr>
                <w:rFonts w:eastAsia="Calibri" w:cs="Times New Roman"/>
                <w:sz w:val="28"/>
                <w:szCs w:val="28"/>
                <w:vertAlign w:val="subscript"/>
              </w:rPr>
              <w:t>п</w:t>
            </w:r>
            <w:r w:rsidRPr="00CA099F">
              <w:rPr>
                <w:rFonts w:eastAsia="Calibri" w:cs="Times New Roman"/>
                <w:sz w:val="28"/>
                <w:szCs w:val="28"/>
              </w:rPr>
              <w:t xml:space="preserve"> – 9 (45%)</w:t>
            </w:r>
          </w:p>
        </w:tc>
        <w:tc>
          <w:tcPr>
            <w:tcW w:w="1985" w:type="dxa"/>
            <w:shd w:val="clear" w:color="auto" w:fill="auto"/>
          </w:tcPr>
          <w:p w:rsidR="0030517B" w:rsidRPr="00CA099F" w:rsidRDefault="0030517B" w:rsidP="00E1448E">
            <w:pPr>
              <w:spacing w:after="160" w:line="259" w:lineRule="auto"/>
              <w:rPr>
                <w:rFonts w:eastAsia="Calibri" w:cs="Times New Roman"/>
                <w:szCs w:val="28"/>
              </w:rPr>
            </w:pPr>
            <w:r w:rsidRPr="00CA099F">
              <w:rPr>
                <w:rFonts w:eastAsia="Calibri" w:cs="Times New Roman"/>
                <w:sz w:val="28"/>
                <w:szCs w:val="28"/>
              </w:rPr>
              <w:t>Е</w:t>
            </w:r>
            <w:r w:rsidRPr="00CA099F">
              <w:rPr>
                <w:rFonts w:eastAsia="Calibri" w:cs="Times New Roman"/>
                <w:sz w:val="28"/>
                <w:szCs w:val="28"/>
                <w:vertAlign w:val="subscript"/>
              </w:rPr>
              <w:t>п</w:t>
            </w:r>
            <w:r w:rsidRPr="00CA099F">
              <w:rPr>
                <w:rFonts w:eastAsia="Calibri" w:cs="Times New Roman"/>
                <w:sz w:val="28"/>
                <w:szCs w:val="28"/>
              </w:rPr>
              <w:t xml:space="preserve"> – </w:t>
            </w:r>
            <w:r w:rsidRPr="00CA099F">
              <w:rPr>
                <w:rFonts w:eastAsia="Calibri" w:cs="Times New Roman"/>
                <w:sz w:val="28"/>
                <w:szCs w:val="28"/>
                <w:lang w:val="ru-RU"/>
              </w:rPr>
              <w:t>6</w:t>
            </w:r>
            <w:r w:rsidRPr="00CA099F">
              <w:rPr>
                <w:rFonts w:eastAsia="Calibri" w:cs="Times New Roman"/>
                <w:sz w:val="28"/>
                <w:szCs w:val="28"/>
              </w:rPr>
              <w:t xml:space="preserve"> (</w:t>
            </w:r>
            <w:r w:rsidRPr="00CA099F">
              <w:rPr>
                <w:rFonts w:eastAsia="Calibri" w:cs="Times New Roman"/>
                <w:sz w:val="28"/>
                <w:szCs w:val="28"/>
                <w:lang w:val="ru-RU"/>
              </w:rPr>
              <w:t>30</w:t>
            </w:r>
            <w:r w:rsidRPr="00CA099F">
              <w:rPr>
                <w:rFonts w:eastAsia="Calibri" w:cs="Times New Roman"/>
                <w:sz w:val="28"/>
                <w:szCs w:val="28"/>
              </w:rPr>
              <w:t>%)</w:t>
            </w:r>
          </w:p>
        </w:tc>
        <w:tc>
          <w:tcPr>
            <w:tcW w:w="1984" w:type="dxa"/>
            <w:shd w:val="clear" w:color="auto" w:fill="auto"/>
          </w:tcPr>
          <w:p w:rsidR="0030517B" w:rsidRPr="00CA099F" w:rsidRDefault="0030517B" w:rsidP="00E1448E">
            <w:pPr>
              <w:spacing w:after="160" w:line="259" w:lineRule="auto"/>
              <w:rPr>
                <w:rFonts w:eastAsia="Calibri" w:cs="Times New Roman"/>
                <w:szCs w:val="28"/>
              </w:rPr>
            </w:pPr>
            <w:r w:rsidRPr="00CA099F">
              <w:rPr>
                <w:rFonts w:eastAsia="Calibri" w:cs="Times New Roman"/>
                <w:sz w:val="28"/>
                <w:szCs w:val="28"/>
              </w:rPr>
              <w:t>Е</w:t>
            </w:r>
            <w:r w:rsidRPr="00CA099F">
              <w:rPr>
                <w:rFonts w:eastAsia="Calibri" w:cs="Times New Roman"/>
                <w:sz w:val="28"/>
                <w:szCs w:val="28"/>
                <w:vertAlign w:val="subscript"/>
              </w:rPr>
              <w:t>п</w:t>
            </w:r>
            <w:r w:rsidRPr="00CA099F">
              <w:rPr>
                <w:rFonts w:eastAsia="Calibri" w:cs="Times New Roman"/>
                <w:sz w:val="28"/>
                <w:szCs w:val="28"/>
              </w:rPr>
              <w:t xml:space="preserve"> – 6 (30%)</w:t>
            </w:r>
          </w:p>
        </w:tc>
        <w:tc>
          <w:tcPr>
            <w:tcW w:w="1985" w:type="dxa"/>
            <w:shd w:val="clear" w:color="auto" w:fill="auto"/>
          </w:tcPr>
          <w:p w:rsidR="0030517B" w:rsidRPr="00CA099F" w:rsidRDefault="0030517B" w:rsidP="00E1448E">
            <w:pPr>
              <w:spacing w:after="160" w:line="259" w:lineRule="auto"/>
              <w:rPr>
                <w:rFonts w:eastAsia="Calibri" w:cs="Times New Roman"/>
                <w:szCs w:val="28"/>
              </w:rPr>
            </w:pPr>
            <w:r w:rsidRPr="00CA099F">
              <w:rPr>
                <w:rFonts w:eastAsia="Calibri" w:cs="Times New Roman"/>
                <w:sz w:val="28"/>
                <w:szCs w:val="28"/>
              </w:rPr>
              <w:t>Е</w:t>
            </w:r>
            <w:r w:rsidRPr="00CA099F">
              <w:rPr>
                <w:rFonts w:eastAsia="Calibri" w:cs="Times New Roman"/>
                <w:sz w:val="28"/>
                <w:szCs w:val="28"/>
                <w:vertAlign w:val="subscript"/>
              </w:rPr>
              <w:t>п</w:t>
            </w:r>
            <w:r w:rsidRPr="00CA099F">
              <w:rPr>
                <w:rFonts w:eastAsia="Calibri" w:cs="Times New Roman"/>
                <w:sz w:val="28"/>
                <w:szCs w:val="28"/>
              </w:rPr>
              <w:t xml:space="preserve"> – 2 (10%)</w:t>
            </w:r>
          </w:p>
        </w:tc>
      </w:tr>
      <w:tr w:rsidR="0030517B" w:rsidRPr="00CA099F" w:rsidTr="00E1448E">
        <w:tblPrEx>
          <w:tblLook w:val="04A0" w:firstRow="1" w:lastRow="0" w:firstColumn="1" w:lastColumn="0" w:noHBand="0" w:noVBand="1"/>
        </w:tblPrEx>
        <w:trPr>
          <w:trHeight w:val="124"/>
          <w:jc w:val="center"/>
        </w:trPr>
        <w:tc>
          <w:tcPr>
            <w:tcW w:w="1730" w:type="dxa"/>
            <w:vMerge/>
            <w:shd w:val="clear" w:color="auto" w:fill="auto"/>
          </w:tcPr>
          <w:p w:rsidR="0030517B" w:rsidRPr="00CA099F" w:rsidRDefault="0030517B" w:rsidP="00E1448E">
            <w:pPr>
              <w:spacing w:after="160" w:line="259" w:lineRule="auto"/>
              <w:jc w:val="center"/>
              <w:rPr>
                <w:rFonts w:eastAsia="Calibri" w:cs="Times New Roman"/>
                <w:szCs w:val="28"/>
              </w:rPr>
            </w:pPr>
          </w:p>
        </w:tc>
        <w:tc>
          <w:tcPr>
            <w:tcW w:w="1956" w:type="dxa"/>
            <w:shd w:val="clear" w:color="auto" w:fill="auto"/>
          </w:tcPr>
          <w:p w:rsidR="0030517B" w:rsidRPr="00CA099F" w:rsidRDefault="0030517B" w:rsidP="00E1448E">
            <w:pPr>
              <w:spacing w:after="160" w:line="259" w:lineRule="auto"/>
              <w:rPr>
                <w:rFonts w:eastAsia="Calibri" w:cs="Times New Roman"/>
                <w:szCs w:val="28"/>
              </w:rPr>
            </w:pPr>
            <w:r w:rsidRPr="00CA099F">
              <w:rPr>
                <w:rFonts w:eastAsia="Calibri" w:cs="Times New Roman"/>
                <w:sz w:val="28"/>
                <w:szCs w:val="28"/>
              </w:rPr>
              <w:t>Е</w:t>
            </w:r>
            <w:r w:rsidRPr="00CA099F">
              <w:rPr>
                <w:rFonts w:eastAsia="Calibri" w:cs="Times New Roman"/>
                <w:sz w:val="28"/>
                <w:szCs w:val="28"/>
                <w:vertAlign w:val="subscript"/>
              </w:rPr>
              <w:t>в</w:t>
            </w:r>
            <w:r w:rsidRPr="00CA099F">
              <w:rPr>
                <w:rFonts w:eastAsia="Calibri" w:cs="Times New Roman"/>
                <w:sz w:val="28"/>
                <w:szCs w:val="28"/>
              </w:rPr>
              <w:t xml:space="preserve"> – </w:t>
            </w:r>
            <w:r w:rsidRPr="00CA099F">
              <w:rPr>
                <w:rFonts w:eastAsia="Calibri" w:cs="Times New Roman"/>
                <w:sz w:val="28"/>
                <w:szCs w:val="28"/>
                <w:lang w:val="en-TT"/>
              </w:rPr>
              <w:t>6</w:t>
            </w:r>
            <w:r w:rsidRPr="00CA099F">
              <w:rPr>
                <w:rFonts w:eastAsia="Calibri" w:cs="Times New Roman"/>
                <w:sz w:val="28"/>
                <w:szCs w:val="28"/>
              </w:rPr>
              <w:t xml:space="preserve"> (</w:t>
            </w:r>
            <w:r w:rsidRPr="00CA099F">
              <w:rPr>
                <w:rFonts w:eastAsia="Calibri" w:cs="Times New Roman"/>
                <w:sz w:val="28"/>
                <w:szCs w:val="28"/>
                <w:lang w:val="en-TT"/>
              </w:rPr>
              <w:t>30</w:t>
            </w:r>
            <w:r w:rsidRPr="00CA099F">
              <w:rPr>
                <w:rFonts w:eastAsia="Calibri" w:cs="Times New Roman"/>
                <w:sz w:val="28"/>
                <w:szCs w:val="28"/>
              </w:rPr>
              <w:t>%)</w:t>
            </w:r>
          </w:p>
        </w:tc>
        <w:tc>
          <w:tcPr>
            <w:tcW w:w="1985" w:type="dxa"/>
            <w:shd w:val="clear" w:color="auto" w:fill="auto"/>
          </w:tcPr>
          <w:p w:rsidR="0030517B" w:rsidRPr="00CA099F" w:rsidRDefault="0030517B" w:rsidP="00E1448E">
            <w:pPr>
              <w:spacing w:after="160" w:line="259" w:lineRule="auto"/>
              <w:rPr>
                <w:rFonts w:eastAsia="Calibri" w:cs="Times New Roman"/>
                <w:szCs w:val="28"/>
              </w:rPr>
            </w:pPr>
            <w:r w:rsidRPr="00CA099F">
              <w:rPr>
                <w:rFonts w:eastAsia="Calibri" w:cs="Times New Roman"/>
                <w:sz w:val="28"/>
                <w:szCs w:val="28"/>
              </w:rPr>
              <w:t>Е</w:t>
            </w:r>
            <w:r w:rsidRPr="00CA099F">
              <w:rPr>
                <w:rFonts w:eastAsia="Calibri" w:cs="Times New Roman"/>
                <w:sz w:val="28"/>
                <w:szCs w:val="28"/>
                <w:vertAlign w:val="subscript"/>
              </w:rPr>
              <w:t>в</w:t>
            </w:r>
            <w:r w:rsidRPr="00CA099F">
              <w:rPr>
                <w:rFonts w:eastAsia="Calibri" w:cs="Times New Roman"/>
                <w:sz w:val="28"/>
                <w:szCs w:val="28"/>
              </w:rPr>
              <w:t xml:space="preserve"> – </w:t>
            </w:r>
            <w:r w:rsidRPr="00CA099F">
              <w:rPr>
                <w:rFonts w:eastAsia="Calibri" w:cs="Times New Roman"/>
                <w:sz w:val="28"/>
                <w:szCs w:val="28"/>
                <w:lang w:val="ru-RU"/>
              </w:rPr>
              <w:t>4</w:t>
            </w:r>
            <w:r w:rsidRPr="00CA099F">
              <w:rPr>
                <w:rFonts w:eastAsia="Calibri" w:cs="Times New Roman"/>
                <w:sz w:val="28"/>
                <w:szCs w:val="28"/>
              </w:rPr>
              <w:t xml:space="preserve"> (</w:t>
            </w:r>
            <w:r w:rsidRPr="00CA099F">
              <w:rPr>
                <w:rFonts w:eastAsia="Calibri" w:cs="Times New Roman"/>
                <w:sz w:val="28"/>
                <w:szCs w:val="28"/>
                <w:lang w:val="ru-RU"/>
              </w:rPr>
              <w:t>20</w:t>
            </w:r>
            <w:r w:rsidRPr="00CA099F">
              <w:rPr>
                <w:rFonts w:eastAsia="Calibri" w:cs="Times New Roman"/>
                <w:sz w:val="28"/>
                <w:szCs w:val="28"/>
              </w:rPr>
              <w:t>%)</w:t>
            </w:r>
          </w:p>
        </w:tc>
        <w:tc>
          <w:tcPr>
            <w:tcW w:w="1984" w:type="dxa"/>
            <w:shd w:val="clear" w:color="auto" w:fill="auto"/>
          </w:tcPr>
          <w:p w:rsidR="0030517B" w:rsidRPr="00CA099F" w:rsidRDefault="0030517B" w:rsidP="00E1448E">
            <w:pPr>
              <w:spacing w:after="160" w:line="259" w:lineRule="auto"/>
              <w:rPr>
                <w:rFonts w:eastAsia="Calibri" w:cs="Times New Roman"/>
                <w:szCs w:val="28"/>
              </w:rPr>
            </w:pPr>
            <w:r w:rsidRPr="00CA099F">
              <w:rPr>
                <w:rFonts w:eastAsia="Calibri" w:cs="Times New Roman"/>
                <w:sz w:val="28"/>
                <w:szCs w:val="28"/>
              </w:rPr>
              <w:t>Е</w:t>
            </w:r>
            <w:r w:rsidRPr="00CA099F">
              <w:rPr>
                <w:rFonts w:eastAsia="Calibri" w:cs="Times New Roman"/>
                <w:sz w:val="28"/>
                <w:szCs w:val="28"/>
                <w:vertAlign w:val="subscript"/>
              </w:rPr>
              <w:t>в</w:t>
            </w:r>
            <w:r w:rsidRPr="00CA099F">
              <w:rPr>
                <w:rFonts w:eastAsia="Calibri" w:cs="Times New Roman"/>
                <w:sz w:val="28"/>
                <w:szCs w:val="28"/>
              </w:rPr>
              <w:t xml:space="preserve"> – 2 (10%)</w:t>
            </w:r>
          </w:p>
        </w:tc>
        <w:tc>
          <w:tcPr>
            <w:tcW w:w="1985" w:type="dxa"/>
            <w:shd w:val="clear" w:color="auto" w:fill="auto"/>
          </w:tcPr>
          <w:p w:rsidR="0030517B" w:rsidRPr="00CA099F" w:rsidRDefault="0030517B" w:rsidP="00E1448E">
            <w:pPr>
              <w:spacing w:after="160" w:line="259" w:lineRule="auto"/>
              <w:rPr>
                <w:rFonts w:eastAsia="Calibri" w:cs="Times New Roman"/>
                <w:szCs w:val="28"/>
              </w:rPr>
            </w:pPr>
            <w:r w:rsidRPr="00CA099F">
              <w:rPr>
                <w:rFonts w:eastAsia="Calibri" w:cs="Times New Roman"/>
                <w:sz w:val="28"/>
                <w:szCs w:val="28"/>
              </w:rPr>
              <w:t>Е</w:t>
            </w:r>
            <w:r w:rsidRPr="00CA099F">
              <w:rPr>
                <w:rFonts w:eastAsia="Calibri" w:cs="Times New Roman"/>
                <w:sz w:val="28"/>
                <w:szCs w:val="28"/>
                <w:vertAlign w:val="subscript"/>
              </w:rPr>
              <w:t>в</w:t>
            </w:r>
            <w:r w:rsidRPr="00CA099F">
              <w:rPr>
                <w:rFonts w:eastAsia="Calibri" w:cs="Times New Roman"/>
                <w:sz w:val="28"/>
                <w:szCs w:val="28"/>
              </w:rPr>
              <w:t xml:space="preserve"> – 1 (5%)</w:t>
            </w:r>
          </w:p>
        </w:tc>
      </w:tr>
      <w:tr w:rsidR="0030517B" w:rsidRPr="00CA099F" w:rsidTr="00E1448E">
        <w:tblPrEx>
          <w:tblLook w:val="04A0" w:firstRow="1" w:lastRow="0" w:firstColumn="1" w:lastColumn="0" w:noHBand="0" w:noVBand="1"/>
        </w:tblPrEx>
        <w:trPr>
          <w:trHeight w:val="583"/>
          <w:jc w:val="center"/>
        </w:trPr>
        <w:tc>
          <w:tcPr>
            <w:tcW w:w="1730" w:type="dxa"/>
            <w:vMerge w:val="restart"/>
            <w:shd w:val="clear" w:color="auto" w:fill="auto"/>
          </w:tcPr>
          <w:p w:rsidR="0030517B" w:rsidRPr="00CA099F" w:rsidRDefault="0030517B" w:rsidP="00E1448E">
            <w:pPr>
              <w:spacing w:after="160" w:line="259" w:lineRule="auto"/>
              <w:jc w:val="center"/>
              <w:rPr>
                <w:rFonts w:eastAsia="Calibri" w:cs="Times New Roman"/>
                <w:szCs w:val="28"/>
              </w:rPr>
            </w:pPr>
            <w:r w:rsidRPr="00CA099F">
              <w:rPr>
                <w:rFonts w:eastAsia="Calibri" w:cs="Times New Roman"/>
                <w:sz w:val="28"/>
                <w:szCs w:val="28"/>
              </w:rPr>
              <w:t>П4</w:t>
            </w:r>
          </w:p>
        </w:tc>
        <w:tc>
          <w:tcPr>
            <w:tcW w:w="1956" w:type="dxa"/>
            <w:shd w:val="clear" w:color="auto" w:fill="auto"/>
          </w:tcPr>
          <w:p w:rsidR="0030517B" w:rsidRPr="00CA099F" w:rsidRDefault="0030517B" w:rsidP="00E1448E">
            <w:pPr>
              <w:spacing w:after="160" w:line="259" w:lineRule="auto"/>
              <w:rPr>
                <w:rFonts w:eastAsia="Calibri" w:cs="Times New Roman"/>
                <w:szCs w:val="28"/>
              </w:rPr>
            </w:pPr>
            <w:r w:rsidRPr="00CA099F">
              <w:rPr>
                <w:rFonts w:eastAsia="Calibri" w:cs="Times New Roman"/>
                <w:sz w:val="28"/>
                <w:szCs w:val="28"/>
              </w:rPr>
              <w:t>Н</w:t>
            </w:r>
            <w:r w:rsidRPr="00CA099F">
              <w:rPr>
                <w:rFonts w:eastAsia="Calibri" w:cs="Times New Roman"/>
                <w:sz w:val="28"/>
                <w:szCs w:val="28"/>
                <w:vertAlign w:val="subscript"/>
              </w:rPr>
              <w:t>ж</w:t>
            </w:r>
            <w:r w:rsidRPr="00CA099F">
              <w:rPr>
                <w:rFonts w:eastAsia="Calibri" w:cs="Times New Roman"/>
                <w:sz w:val="28"/>
                <w:szCs w:val="28"/>
              </w:rPr>
              <w:t xml:space="preserve"> – </w:t>
            </w:r>
            <w:r w:rsidRPr="00CA099F">
              <w:rPr>
                <w:rFonts w:eastAsia="Calibri" w:cs="Times New Roman"/>
                <w:sz w:val="28"/>
                <w:szCs w:val="28"/>
                <w:lang w:val="en-TT"/>
              </w:rPr>
              <w:t>13</w:t>
            </w:r>
            <w:r w:rsidRPr="00CA099F">
              <w:rPr>
                <w:rFonts w:eastAsia="Calibri" w:cs="Times New Roman"/>
                <w:sz w:val="28"/>
                <w:szCs w:val="28"/>
              </w:rPr>
              <w:t xml:space="preserve"> (</w:t>
            </w:r>
            <w:r w:rsidRPr="00CA099F">
              <w:rPr>
                <w:rFonts w:eastAsia="Calibri" w:cs="Times New Roman"/>
                <w:sz w:val="28"/>
                <w:szCs w:val="28"/>
                <w:lang w:val="en-TT"/>
              </w:rPr>
              <w:t>65</w:t>
            </w:r>
            <w:r w:rsidRPr="00CA099F">
              <w:rPr>
                <w:rFonts w:eastAsia="Calibri" w:cs="Times New Roman"/>
                <w:sz w:val="28"/>
                <w:szCs w:val="28"/>
              </w:rPr>
              <w:t>%)</w:t>
            </w:r>
          </w:p>
        </w:tc>
        <w:tc>
          <w:tcPr>
            <w:tcW w:w="1985" w:type="dxa"/>
            <w:shd w:val="clear" w:color="auto" w:fill="auto"/>
          </w:tcPr>
          <w:p w:rsidR="0030517B" w:rsidRPr="00CA099F" w:rsidRDefault="0030517B" w:rsidP="00E1448E">
            <w:pPr>
              <w:spacing w:after="160" w:line="259" w:lineRule="auto"/>
              <w:rPr>
                <w:rFonts w:eastAsia="Calibri" w:cs="Times New Roman"/>
                <w:szCs w:val="28"/>
              </w:rPr>
            </w:pPr>
            <w:r w:rsidRPr="00CA099F">
              <w:rPr>
                <w:rFonts w:eastAsia="Calibri" w:cs="Times New Roman"/>
                <w:sz w:val="28"/>
                <w:szCs w:val="28"/>
              </w:rPr>
              <w:t>Н</w:t>
            </w:r>
            <w:r w:rsidRPr="00CA099F">
              <w:rPr>
                <w:rFonts w:eastAsia="Calibri" w:cs="Times New Roman"/>
                <w:sz w:val="28"/>
                <w:szCs w:val="28"/>
                <w:vertAlign w:val="subscript"/>
              </w:rPr>
              <w:t>ж</w:t>
            </w:r>
            <w:r w:rsidRPr="00CA099F">
              <w:rPr>
                <w:rFonts w:eastAsia="Calibri" w:cs="Times New Roman"/>
                <w:sz w:val="28"/>
                <w:szCs w:val="28"/>
              </w:rPr>
              <w:t xml:space="preserve"> – 11 (40%)</w:t>
            </w:r>
          </w:p>
        </w:tc>
        <w:tc>
          <w:tcPr>
            <w:tcW w:w="1984" w:type="dxa"/>
            <w:shd w:val="clear" w:color="auto" w:fill="auto"/>
          </w:tcPr>
          <w:p w:rsidR="0030517B" w:rsidRPr="00CA099F" w:rsidRDefault="0030517B" w:rsidP="00E1448E">
            <w:pPr>
              <w:spacing w:after="160" w:line="259" w:lineRule="auto"/>
              <w:rPr>
                <w:rFonts w:eastAsia="Calibri" w:cs="Times New Roman"/>
                <w:szCs w:val="28"/>
              </w:rPr>
            </w:pPr>
            <w:r w:rsidRPr="00CA099F">
              <w:rPr>
                <w:rFonts w:eastAsia="Calibri" w:cs="Times New Roman"/>
                <w:sz w:val="28"/>
                <w:szCs w:val="28"/>
              </w:rPr>
              <w:t>Н</w:t>
            </w:r>
            <w:r w:rsidRPr="00CA099F">
              <w:rPr>
                <w:rFonts w:eastAsia="Calibri" w:cs="Times New Roman"/>
                <w:sz w:val="28"/>
                <w:szCs w:val="28"/>
                <w:vertAlign w:val="subscript"/>
              </w:rPr>
              <w:t>ж</w:t>
            </w:r>
            <w:r w:rsidRPr="00CA099F">
              <w:rPr>
                <w:rFonts w:eastAsia="Calibri" w:cs="Times New Roman"/>
                <w:sz w:val="28"/>
                <w:szCs w:val="28"/>
              </w:rPr>
              <w:t xml:space="preserve"> – 8 (40%)</w:t>
            </w:r>
          </w:p>
        </w:tc>
        <w:tc>
          <w:tcPr>
            <w:tcW w:w="1985" w:type="dxa"/>
            <w:shd w:val="clear" w:color="auto" w:fill="auto"/>
          </w:tcPr>
          <w:p w:rsidR="0030517B" w:rsidRPr="00CA099F" w:rsidRDefault="0030517B" w:rsidP="00E1448E">
            <w:pPr>
              <w:spacing w:after="160" w:line="259" w:lineRule="auto"/>
              <w:rPr>
                <w:rFonts w:eastAsia="Calibri" w:cs="Times New Roman"/>
                <w:szCs w:val="28"/>
              </w:rPr>
            </w:pPr>
            <w:r w:rsidRPr="00CA099F">
              <w:rPr>
                <w:rFonts w:eastAsia="Calibri" w:cs="Times New Roman"/>
                <w:sz w:val="28"/>
                <w:szCs w:val="28"/>
              </w:rPr>
              <w:t>Н</w:t>
            </w:r>
            <w:r w:rsidRPr="00CA099F">
              <w:rPr>
                <w:rFonts w:eastAsia="Calibri" w:cs="Times New Roman"/>
                <w:sz w:val="28"/>
                <w:szCs w:val="28"/>
                <w:vertAlign w:val="subscript"/>
              </w:rPr>
              <w:t>ж</w:t>
            </w:r>
            <w:r w:rsidRPr="00CA099F">
              <w:rPr>
                <w:rFonts w:eastAsia="Calibri" w:cs="Times New Roman"/>
                <w:sz w:val="28"/>
                <w:szCs w:val="28"/>
              </w:rPr>
              <w:t xml:space="preserve"> – 4 (20%)</w:t>
            </w:r>
          </w:p>
        </w:tc>
      </w:tr>
      <w:tr w:rsidR="0030517B" w:rsidRPr="00CA099F" w:rsidTr="00E1448E">
        <w:tblPrEx>
          <w:tblLook w:val="04A0" w:firstRow="1" w:lastRow="0" w:firstColumn="1" w:lastColumn="0" w:noHBand="0" w:noVBand="1"/>
        </w:tblPrEx>
        <w:trPr>
          <w:trHeight w:val="124"/>
          <w:jc w:val="center"/>
        </w:trPr>
        <w:tc>
          <w:tcPr>
            <w:tcW w:w="1730" w:type="dxa"/>
            <w:vMerge/>
            <w:shd w:val="clear" w:color="auto" w:fill="auto"/>
          </w:tcPr>
          <w:p w:rsidR="0030517B" w:rsidRPr="00CA099F" w:rsidRDefault="0030517B" w:rsidP="00E1448E">
            <w:pPr>
              <w:spacing w:after="160" w:line="259" w:lineRule="auto"/>
              <w:jc w:val="center"/>
              <w:rPr>
                <w:rFonts w:eastAsia="Calibri" w:cs="Times New Roman"/>
                <w:szCs w:val="28"/>
              </w:rPr>
            </w:pPr>
          </w:p>
        </w:tc>
        <w:tc>
          <w:tcPr>
            <w:tcW w:w="1956" w:type="dxa"/>
            <w:shd w:val="clear" w:color="auto" w:fill="auto"/>
          </w:tcPr>
          <w:p w:rsidR="0030517B" w:rsidRPr="00CA099F" w:rsidRDefault="0030517B" w:rsidP="00E1448E">
            <w:pPr>
              <w:spacing w:after="160" w:line="259" w:lineRule="auto"/>
              <w:rPr>
                <w:rFonts w:eastAsia="Calibri" w:cs="Times New Roman"/>
                <w:szCs w:val="28"/>
              </w:rPr>
            </w:pPr>
            <w:r w:rsidRPr="00CA099F">
              <w:rPr>
                <w:rFonts w:eastAsia="Calibri" w:cs="Times New Roman"/>
                <w:sz w:val="28"/>
                <w:szCs w:val="28"/>
              </w:rPr>
              <w:t xml:space="preserve">С – </w:t>
            </w:r>
            <w:r w:rsidRPr="00CA099F">
              <w:rPr>
                <w:rFonts w:eastAsia="Calibri" w:cs="Times New Roman"/>
                <w:sz w:val="28"/>
                <w:szCs w:val="28"/>
                <w:lang w:val="en-TT"/>
              </w:rPr>
              <w:t>5</w:t>
            </w:r>
            <w:r w:rsidRPr="00CA099F">
              <w:rPr>
                <w:rFonts w:eastAsia="Calibri" w:cs="Times New Roman"/>
                <w:sz w:val="28"/>
                <w:szCs w:val="28"/>
              </w:rPr>
              <w:t xml:space="preserve"> (</w:t>
            </w:r>
            <w:r w:rsidRPr="00CA099F">
              <w:rPr>
                <w:rFonts w:eastAsia="Calibri" w:cs="Times New Roman"/>
                <w:sz w:val="28"/>
                <w:szCs w:val="28"/>
                <w:lang w:val="en-TT"/>
              </w:rPr>
              <w:t>25</w:t>
            </w:r>
            <w:r w:rsidRPr="00CA099F">
              <w:rPr>
                <w:rFonts w:eastAsia="Calibri" w:cs="Times New Roman"/>
                <w:sz w:val="28"/>
                <w:szCs w:val="28"/>
              </w:rPr>
              <w:t>%)</w:t>
            </w:r>
          </w:p>
        </w:tc>
        <w:tc>
          <w:tcPr>
            <w:tcW w:w="1985" w:type="dxa"/>
            <w:shd w:val="clear" w:color="auto" w:fill="auto"/>
          </w:tcPr>
          <w:p w:rsidR="0030517B" w:rsidRPr="00CA099F" w:rsidRDefault="0030517B" w:rsidP="00E1448E">
            <w:pPr>
              <w:spacing w:after="160" w:line="259" w:lineRule="auto"/>
              <w:rPr>
                <w:rFonts w:eastAsia="Calibri" w:cs="Times New Roman"/>
                <w:szCs w:val="28"/>
              </w:rPr>
            </w:pPr>
            <w:r w:rsidRPr="00CA099F">
              <w:rPr>
                <w:rFonts w:eastAsia="Calibri" w:cs="Times New Roman"/>
                <w:sz w:val="28"/>
                <w:szCs w:val="28"/>
              </w:rPr>
              <w:t xml:space="preserve">С – </w:t>
            </w:r>
            <w:r w:rsidRPr="00CA099F">
              <w:rPr>
                <w:rFonts w:eastAsia="Calibri" w:cs="Times New Roman"/>
                <w:sz w:val="28"/>
                <w:szCs w:val="28"/>
                <w:lang w:val="ru-RU"/>
              </w:rPr>
              <w:t>2</w:t>
            </w:r>
            <w:r w:rsidRPr="00CA099F">
              <w:rPr>
                <w:rFonts w:eastAsia="Calibri" w:cs="Times New Roman"/>
                <w:sz w:val="28"/>
                <w:szCs w:val="28"/>
              </w:rPr>
              <w:t xml:space="preserve"> (</w:t>
            </w:r>
            <w:r w:rsidRPr="00CA099F">
              <w:rPr>
                <w:rFonts w:eastAsia="Calibri" w:cs="Times New Roman"/>
                <w:sz w:val="28"/>
                <w:szCs w:val="28"/>
                <w:lang w:val="ru-RU"/>
              </w:rPr>
              <w:t>10</w:t>
            </w:r>
            <w:r w:rsidRPr="00CA099F">
              <w:rPr>
                <w:rFonts w:eastAsia="Calibri" w:cs="Times New Roman"/>
                <w:sz w:val="28"/>
                <w:szCs w:val="28"/>
              </w:rPr>
              <w:t>%)</w:t>
            </w:r>
          </w:p>
        </w:tc>
        <w:tc>
          <w:tcPr>
            <w:tcW w:w="1984" w:type="dxa"/>
            <w:shd w:val="clear" w:color="auto" w:fill="auto"/>
          </w:tcPr>
          <w:p w:rsidR="0030517B" w:rsidRPr="00CA099F" w:rsidRDefault="0030517B" w:rsidP="00E1448E">
            <w:pPr>
              <w:spacing w:after="160" w:line="259" w:lineRule="auto"/>
              <w:rPr>
                <w:rFonts w:eastAsia="Calibri" w:cs="Times New Roman"/>
                <w:szCs w:val="28"/>
              </w:rPr>
            </w:pPr>
            <w:r w:rsidRPr="00CA099F">
              <w:rPr>
                <w:rFonts w:eastAsia="Calibri" w:cs="Times New Roman"/>
                <w:sz w:val="28"/>
                <w:szCs w:val="28"/>
              </w:rPr>
              <w:t>С – 3 (15%)</w:t>
            </w:r>
          </w:p>
        </w:tc>
        <w:tc>
          <w:tcPr>
            <w:tcW w:w="1985" w:type="dxa"/>
            <w:shd w:val="clear" w:color="auto" w:fill="auto"/>
          </w:tcPr>
          <w:p w:rsidR="0030517B" w:rsidRPr="00CA099F" w:rsidRDefault="0030517B" w:rsidP="00E1448E">
            <w:pPr>
              <w:spacing w:after="160" w:line="259" w:lineRule="auto"/>
              <w:rPr>
                <w:rFonts w:eastAsia="Calibri" w:cs="Times New Roman"/>
                <w:szCs w:val="28"/>
              </w:rPr>
            </w:pPr>
            <w:r w:rsidRPr="00CA099F">
              <w:rPr>
                <w:rFonts w:eastAsia="Calibri" w:cs="Times New Roman"/>
                <w:sz w:val="28"/>
                <w:szCs w:val="28"/>
              </w:rPr>
              <w:t>С – 2 (10%)</w:t>
            </w:r>
          </w:p>
        </w:tc>
      </w:tr>
      <w:tr w:rsidR="0030517B" w:rsidRPr="00CA099F" w:rsidTr="00E1448E">
        <w:tblPrEx>
          <w:tblLook w:val="04A0" w:firstRow="1" w:lastRow="0" w:firstColumn="1" w:lastColumn="0" w:noHBand="0" w:noVBand="1"/>
        </w:tblPrEx>
        <w:trPr>
          <w:trHeight w:val="429"/>
          <w:jc w:val="center"/>
        </w:trPr>
        <w:tc>
          <w:tcPr>
            <w:tcW w:w="1730" w:type="dxa"/>
            <w:vMerge/>
            <w:shd w:val="clear" w:color="auto" w:fill="auto"/>
          </w:tcPr>
          <w:p w:rsidR="0030517B" w:rsidRPr="00CA099F" w:rsidRDefault="0030517B" w:rsidP="00E1448E">
            <w:pPr>
              <w:spacing w:after="160" w:line="259" w:lineRule="auto"/>
              <w:jc w:val="center"/>
              <w:rPr>
                <w:rFonts w:eastAsia="Calibri" w:cs="Times New Roman"/>
                <w:szCs w:val="28"/>
              </w:rPr>
            </w:pPr>
          </w:p>
        </w:tc>
        <w:tc>
          <w:tcPr>
            <w:tcW w:w="1956" w:type="dxa"/>
            <w:shd w:val="clear" w:color="auto" w:fill="auto"/>
          </w:tcPr>
          <w:p w:rsidR="0030517B" w:rsidRPr="00CA099F" w:rsidRDefault="0030517B" w:rsidP="00E1448E">
            <w:pPr>
              <w:spacing w:after="160" w:line="259" w:lineRule="auto"/>
              <w:rPr>
                <w:rFonts w:eastAsia="Calibri" w:cs="Times New Roman"/>
                <w:szCs w:val="28"/>
              </w:rPr>
            </w:pPr>
            <w:r w:rsidRPr="00CA099F">
              <w:rPr>
                <w:rFonts w:eastAsia="Calibri" w:cs="Times New Roman"/>
                <w:sz w:val="28"/>
                <w:szCs w:val="28"/>
              </w:rPr>
              <w:t xml:space="preserve">П – </w:t>
            </w:r>
            <w:r w:rsidRPr="00CA099F">
              <w:rPr>
                <w:rFonts w:eastAsia="Calibri" w:cs="Times New Roman"/>
                <w:sz w:val="28"/>
                <w:szCs w:val="28"/>
                <w:lang w:val="en-TT"/>
              </w:rPr>
              <w:t>0</w:t>
            </w:r>
            <w:r w:rsidRPr="00CA099F">
              <w:rPr>
                <w:rFonts w:eastAsia="Calibri" w:cs="Times New Roman"/>
                <w:sz w:val="28"/>
                <w:szCs w:val="28"/>
              </w:rPr>
              <w:t xml:space="preserve"> (</w:t>
            </w:r>
            <w:r w:rsidRPr="00CA099F">
              <w:rPr>
                <w:rFonts w:eastAsia="Calibri" w:cs="Times New Roman"/>
                <w:sz w:val="28"/>
                <w:szCs w:val="28"/>
                <w:lang w:val="en-TT"/>
              </w:rPr>
              <w:t>0</w:t>
            </w:r>
            <w:r w:rsidRPr="00CA099F">
              <w:rPr>
                <w:rFonts w:eastAsia="Calibri" w:cs="Times New Roman"/>
                <w:sz w:val="28"/>
                <w:szCs w:val="28"/>
              </w:rPr>
              <w:t>%)</w:t>
            </w:r>
          </w:p>
        </w:tc>
        <w:tc>
          <w:tcPr>
            <w:tcW w:w="1985" w:type="dxa"/>
            <w:shd w:val="clear" w:color="auto" w:fill="auto"/>
          </w:tcPr>
          <w:p w:rsidR="0030517B" w:rsidRPr="00CA099F" w:rsidRDefault="0030517B" w:rsidP="00E1448E">
            <w:pPr>
              <w:spacing w:after="160" w:line="259" w:lineRule="auto"/>
              <w:rPr>
                <w:rFonts w:eastAsia="Calibri" w:cs="Times New Roman"/>
                <w:szCs w:val="28"/>
              </w:rPr>
            </w:pPr>
            <w:r w:rsidRPr="00CA099F">
              <w:rPr>
                <w:rFonts w:eastAsia="Calibri" w:cs="Times New Roman"/>
                <w:sz w:val="28"/>
                <w:szCs w:val="28"/>
              </w:rPr>
              <w:t xml:space="preserve">П – </w:t>
            </w:r>
            <w:r w:rsidRPr="00CA099F">
              <w:rPr>
                <w:rFonts w:eastAsia="Calibri" w:cs="Times New Roman"/>
                <w:sz w:val="28"/>
                <w:szCs w:val="28"/>
                <w:lang w:val="ru-RU"/>
              </w:rPr>
              <w:t>1</w:t>
            </w:r>
            <w:r w:rsidRPr="00CA099F">
              <w:rPr>
                <w:rFonts w:eastAsia="Calibri" w:cs="Times New Roman"/>
                <w:sz w:val="28"/>
                <w:szCs w:val="28"/>
              </w:rPr>
              <w:t xml:space="preserve"> (</w:t>
            </w:r>
            <w:r w:rsidRPr="00CA099F">
              <w:rPr>
                <w:rFonts w:eastAsia="Calibri" w:cs="Times New Roman"/>
                <w:sz w:val="28"/>
                <w:szCs w:val="28"/>
                <w:lang w:val="ru-RU"/>
              </w:rPr>
              <w:t>5</w:t>
            </w:r>
            <w:r w:rsidRPr="00CA099F">
              <w:rPr>
                <w:rFonts w:eastAsia="Calibri" w:cs="Times New Roman"/>
                <w:sz w:val="28"/>
                <w:szCs w:val="28"/>
              </w:rPr>
              <w:t>%)</w:t>
            </w:r>
          </w:p>
        </w:tc>
        <w:tc>
          <w:tcPr>
            <w:tcW w:w="1984" w:type="dxa"/>
            <w:shd w:val="clear" w:color="auto" w:fill="auto"/>
          </w:tcPr>
          <w:p w:rsidR="0030517B" w:rsidRPr="00CA099F" w:rsidRDefault="0030517B" w:rsidP="00E1448E">
            <w:pPr>
              <w:spacing w:after="160" w:line="259" w:lineRule="auto"/>
              <w:rPr>
                <w:rFonts w:eastAsia="Calibri" w:cs="Times New Roman"/>
                <w:szCs w:val="28"/>
              </w:rPr>
            </w:pPr>
            <w:r w:rsidRPr="00CA099F">
              <w:rPr>
                <w:rFonts w:eastAsia="Calibri" w:cs="Times New Roman"/>
                <w:sz w:val="28"/>
                <w:szCs w:val="28"/>
              </w:rPr>
              <w:t>П – 0 (0%)</w:t>
            </w:r>
          </w:p>
        </w:tc>
        <w:tc>
          <w:tcPr>
            <w:tcW w:w="1985" w:type="dxa"/>
            <w:shd w:val="clear" w:color="auto" w:fill="auto"/>
          </w:tcPr>
          <w:p w:rsidR="0030517B" w:rsidRPr="00CA099F" w:rsidRDefault="0030517B" w:rsidP="00E1448E">
            <w:pPr>
              <w:spacing w:after="160" w:line="259" w:lineRule="auto"/>
              <w:rPr>
                <w:rFonts w:eastAsia="Calibri" w:cs="Times New Roman"/>
                <w:szCs w:val="28"/>
              </w:rPr>
            </w:pPr>
            <w:r w:rsidRPr="00CA099F">
              <w:rPr>
                <w:rFonts w:eastAsia="Calibri" w:cs="Times New Roman"/>
                <w:sz w:val="28"/>
                <w:szCs w:val="28"/>
              </w:rPr>
              <w:t>П – 0 (0%)</w:t>
            </w:r>
          </w:p>
        </w:tc>
      </w:tr>
      <w:tr w:rsidR="0030517B" w:rsidRPr="00CA099F" w:rsidTr="00E1448E">
        <w:tblPrEx>
          <w:tblLook w:val="04A0" w:firstRow="1" w:lastRow="0" w:firstColumn="1" w:lastColumn="0" w:noHBand="0" w:noVBand="1"/>
        </w:tblPrEx>
        <w:trPr>
          <w:trHeight w:val="124"/>
          <w:jc w:val="center"/>
        </w:trPr>
        <w:tc>
          <w:tcPr>
            <w:tcW w:w="1730" w:type="dxa"/>
            <w:vMerge/>
            <w:shd w:val="clear" w:color="auto" w:fill="auto"/>
          </w:tcPr>
          <w:p w:rsidR="0030517B" w:rsidRPr="00CA099F" w:rsidRDefault="0030517B" w:rsidP="00E1448E">
            <w:pPr>
              <w:spacing w:after="160" w:line="259" w:lineRule="auto"/>
              <w:jc w:val="center"/>
              <w:rPr>
                <w:rFonts w:eastAsia="Calibri" w:cs="Times New Roman"/>
                <w:szCs w:val="28"/>
              </w:rPr>
            </w:pPr>
          </w:p>
        </w:tc>
        <w:tc>
          <w:tcPr>
            <w:tcW w:w="1956" w:type="dxa"/>
            <w:shd w:val="clear" w:color="auto" w:fill="auto"/>
          </w:tcPr>
          <w:p w:rsidR="0030517B" w:rsidRPr="00CA099F" w:rsidRDefault="0030517B" w:rsidP="00E1448E">
            <w:pPr>
              <w:spacing w:after="160" w:line="259" w:lineRule="auto"/>
              <w:rPr>
                <w:rFonts w:eastAsia="Calibri" w:cs="Times New Roman"/>
                <w:szCs w:val="28"/>
              </w:rPr>
            </w:pPr>
            <w:r w:rsidRPr="00CA099F">
              <w:rPr>
                <w:rFonts w:eastAsia="Calibri" w:cs="Times New Roman"/>
                <w:sz w:val="28"/>
                <w:szCs w:val="28"/>
              </w:rPr>
              <w:t xml:space="preserve">Б – </w:t>
            </w:r>
            <w:r w:rsidRPr="00CA099F">
              <w:rPr>
                <w:rFonts w:eastAsia="Calibri" w:cs="Times New Roman"/>
                <w:sz w:val="28"/>
                <w:szCs w:val="28"/>
                <w:lang w:val="en-TT"/>
              </w:rPr>
              <w:t>2</w:t>
            </w:r>
            <w:r w:rsidRPr="00CA099F">
              <w:rPr>
                <w:rFonts w:eastAsia="Calibri" w:cs="Times New Roman"/>
                <w:sz w:val="28"/>
                <w:szCs w:val="28"/>
              </w:rPr>
              <w:t xml:space="preserve"> (</w:t>
            </w:r>
            <w:r w:rsidRPr="00CA099F">
              <w:rPr>
                <w:rFonts w:eastAsia="Calibri" w:cs="Times New Roman"/>
                <w:sz w:val="28"/>
                <w:szCs w:val="28"/>
                <w:lang w:val="en-TT"/>
              </w:rPr>
              <w:t>10</w:t>
            </w:r>
            <w:r w:rsidRPr="00CA099F">
              <w:rPr>
                <w:rFonts w:eastAsia="Calibri" w:cs="Times New Roman"/>
                <w:sz w:val="28"/>
                <w:szCs w:val="28"/>
              </w:rPr>
              <w:t>%)</w:t>
            </w:r>
          </w:p>
        </w:tc>
        <w:tc>
          <w:tcPr>
            <w:tcW w:w="1985" w:type="dxa"/>
            <w:shd w:val="clear" w:color="auto" w:fill="auto"/>
          </w:tcPr>
          <w:p w:rsidR="0030517B" w:rsidRPr="00CA099F" w:rsidRDefault="0030517B" w:rsidP="00E1448E">
            <w:pPr>
              <w:spacing w:after="160" w:line="259" w:lineRule="auto"/>
              <w:rPr>
                <w:rFonts w:eastAsia="Calibri" w:cs="Times New Roman"/>
                <w:szCs w:val="28"/>
              </w:rPr>
            </w:pPr>
            <w:r w:rsidRPr="00CA099F">
              <w:rPr>
                <w:rFonts w:eastAsia="Calibri" w:cs="Times New Roman"/>
                <w:sz w:val="28"/>
                <w:szCs w:val="28"/>
              </w:rPr>
              <w:t xml:space="preserve">Б – </w:t>
            </w:r>
            <w:r w:rsidRPr="00CA099F">
              <w:rPr>
                <w:rFonts w:eastAsia="Calibri" w:cs="Times New Roman"/>
                <w:sz w:val="28"/>
                <w:szCs w:val="28"/>
                <w:lang w:val="ru-RU"/>
              </w:rPr>
              <w:t>0</w:t>
            </w:r>
            <w:r w:rsidRPr="00CA099F">
              <w:rPr>
                <w:rFonts w:eastAsia="Calibri" w:cs="Times New Roman"/>
                <w:sz w:val="28"/>
                <w:szCs w:val="28"/>
              </w:rPr>
              <w:t xml:space="preserve"> (</w:t>
            </w:r>
            <w:r w:rsidRPr="00CA099F">
              <w:rPr>
                <w:rFonts w:eastAsia="Calibri" w:cs="Times New Roman"/>
                <w:sz w:val="28"/>
                <w:szCs w:val="28"/>
                <w:lang w:val="ru-RU"/>
              </w:rPr>
              <w:t>0</w:t>
            </w:r>
            <w:r w:rsidRPr="00CA099F">
              <w:rPr>
                <w:rFonts w:eastAsia="Calibri" w:cs="Times New Roman"/>
                <w:sz w:val="28"/>
                <w:szCs w:val="28"/>
              </w:rPr>
              <w:t>%)</w:t>
            </w:r>
          </w:p>
        </w:tc>
        <w:tc>
          <w:tcPr>
            <w:tcW w:w="1984" w:type="dxa"/>
            <w:shd w:val="clear" w:color="auto" w:fill="auto"/>
          </w:tcPr>
          <w:p w:rsidR="0030517B" w:rsidRPr="00CA099F" w:rsidRDefault="0030517B" w:rsidP="00E1448E">
            <w:pPr>
              <w:spacing w:after="160" w:line="259" w:lineRule="auto"/>
              <w:rPr>
                <w:rFonts w:eastAsia="Calibri" w:cs="Times New Roman"/>
                <w:szCs w:val="28"/>
              </w:rPr>
            </w:pPr>
            <w:r w:rsidRPr="00CA099F">
              <w:rPr>
                <w:rFonts w:eastAsia="Calibri" w:cs="Times New Roman"/>
                <w:sz w:val="28"/>
                <w:szCs w:val="28"/>
              </w:rPr>
              <w:t>Б – 1 (5%)</w:t>
            </w:r>
          </w:p>
        </w:tc>
        <w:tc>
          <w:tcPr>
            <w:tcW w:w="1985" w:type="dxa"/>
            <w:shd w:val="clear" w:color="auto" w:fill="auto"/>
          </w:tcPr>
          <w:p w:rsidR="0030517B" w:rsidRPr="00CA099F" w:rsidRDefault="0030517B" w:rsidP="00E1448E">
            <w:pPr>
              <w:spacing w:after="160" w:line="259" w:lineRule="auto"/>
              <w:rPr>
                <w:rFonts w:eastAsia="Calibri" w:cs="Times New Roman"/>
                <w:szCs w:val="28"/>
              </w:rPr>
            </w:pPr>
            <w:r w:rsidRPr="00CA099F">
              <w:rPr>
                <w:rFonts w:eastAsia="Calibri" w:cs="Times New Roman"/>
                <w:sz w:val="28"/>
                <w:szCs w:val="28"/>
              </w:rPr>
              <w:t>Б – 1 (5%)</w:t>
            </w:r>
          </w:p>
        </w:tc>
      </w:tr>
      <w:tr w:rsidR="0030517B" w:rsidRPr="00CA099F" w:rsidTr="00E1448E">
        <w:tblPrEx>
          <w:tblLook w:val="04A0" w:firstRow="1" w:lastRow="0" w:firstColumn="1" w:lastColumn="0" w:noHBand="0" w:noVBand="1"/>
        </w:tblPrEx>
        <w:trPr>
          <w:trHeight w:val="583"/>
          <w:jc w:val="center"/>
        </w:trPr>
        <w:tc>
          <w:tcPr>
            <w:tcW w:w="1730" w:type="dxa"/>
            <w:vMerge w:val="restart"/>
            <w:shd w:val="clear" w:color="auto" w:fill="auto"/>
          </w:tcPr>
          <w:p w:rsidR="0030517B" w:rsidRPr="00CA099F" w:rsidRDefault="0030517B" w:rsidP="00E1448E">
            <w:pPr>
              <w:spacing w:after="160" w:line="259" w:lineRule="auto"/>
              <w:jc w:val="center"/>
              <w:rPr>
                <w:rFonts w:eastAsia="Calibri" w:cs="Times New Roman"/>
                <w:szCs w:val="28"/>
              </w:rPr>
            </w:pPr>
            <w:r w:rsidRPr="00CA099F">
              <w:rPr>
                <w:rFonts w:eastAsia="Calibri" w:cs="Times New Roman"/>
                <w:sz w:val="28"/>
                <w:szCs w:val="28"/>
              </w:rPr>
              <w:t>П5</w:t>
            </w:r>
          </w:p>
        </w:tc>
        <w:tc>
          <w:tcPr>
            <w:tcW w:w="1956" w:type="dxa"/>
            <w:shd w:val="clear" w:color="auto" w:fill="auto"/>
          </w:tcPr>
          <w:p w:rsidR="0030517B" w:rsidRPr="00CA099F" w:rsidRDefault="0030517B" w:rsidP="00E1448E">
            <w:pPr>
              <w:spacing w:after="160" w:line="259" w:lineRule="auto"/>
              <w:rPr>
                <w:rFonts w:eastAsia="Calibri" w:cs="Times New Roman"/>
                <w:szCs w:val="28"/>
              </w:rPr>
            </w:pPr>
            <w:r w:rsidRPr="00CA099F">
              <w:rPr>
                <w:rFonts w:eastAsia="Calibri" w:cs="Times New Roman"/>
                <w:sz w:val="28"/>
                <w:szCs w:val="28"/>
              </w:rPr>
              <w:t xml:space="preserve">1 – </w:t>
            </w:r>
            <w:r w:rsidRPr="00CA099F">
              <w:rPr>
                <w:rFonts w:eastAsia="Calibri" w:cs="Times New Roman"/>
                <w:sz w:val="28"/>
                <w:szCs w:val="28"/>
                <w:lang w:val="en-TT"/>
              </w:rPr>
              <w:t>13</w:t>
            </w:r>
            <w:r w:rsidRPr="00CA099F">
              <w:rPr>
                <w:rFonts w:eastAsia="Calibri" w:cs="Times New Roman"/>
                <w:sz w:val="28"/>
                <w:szCs w:val="28"/>
              </w:rPr>
              <w:t xml:space="preserve"> (</w:t>
            </w:r>
            <w:r w:rsidRPr="00CA099F">
              <w:rPr>
                <w:rFonts w:eastAsia="Calibri" w:cs="Times New Roman"/>
                <w:sz w:val="28"/>
                <w:szCs w:val="28"/>
                <w:lang w:val="en-TT"/>
              </w:rPr>
              <w:t>65</w:t>
            </w:r>
            <w:r w:rsidRPr="00CA099F">
              <w:rPr>
                <w:rFonts w:eastAsia="Calibri" w:cs="Times New Roman"/>
                <w:sz w:val="28"/>
                <w:szCs w:val="28"/>
              </w:rPr>
              <w:t>%)</w:t>
            </w:r>
          </w:p>
        </w:tc>
        <w:tc>
          <w:tcPr>
            <w:tcW w:w="1985" w:type="dxa"/>
            <w:shd w:val="clear" w:color="auto" w:fill="auto"/>
          </w:tcPr>
          <w:p w:rsidR="0030517B" w:rsidRPr="00CA099F" w:rsidRDefault="0030517B" w:rsidP="00E1448E">
            <w:pPr>
              <w:spacing w:after="160" w:line="259" w:lineRule="auto"/>
              <w:rPr>
                <w:rFonts w:eastAsia="Calibri" w:cs="Times New Roman"/>
                <w:szCs w:val="28"/>
              </w:rPr>
            </w:pPr>
            <w:r w:rsidRPr="00CA099F">
              <w:rPr>
                <w:rFonts w:eastAsia="Calibri" w:cs="Times New Roman"/>
                <w:sz w:val="28"/>
                <w:szCs w:val="28"/>
              </w:rPr>
              <w:t xml:space="preserve">1 – </w:t>
            </w:r>
            <w:r w:rsidRPr="00CA099F">
              <w:rPr>
                <w:rFonts w:eastAsia="Calibri" w:cs="Times New Roman"/>
                <w:sz w:val="28"/>
                <w:szCs w:val="28"/>
                <w:lang w:val="ru-RU"/>
              </w:rPr>
              <w:t>13</w:t>
            </w:r>
            <w:r w:rsidRPr="00CA099F">
              <w:rPr>
                <w:rFonts w:eastAsia="Calibri" w:cs="Times New Roman"/>
                <w:sz w:val="28"/>
                <w:szCs w:val="28"/>
              </w:rPr>
              <w:t xml:space="preserve"> (</w:t>
            </w:r>
            <w:r w:rsidRPr="00CA099F">
              <w:rPr>
                <w:rFonts w:eastAsia="Calibri" w:cs="Times New Roman"/>
                <w:sz w:val="28"/>
                <w:szCs w:val="28"/>
                <w:lang w:val="ru-RU"/>
              </w:rPr>
              <w:t>65</w:t>
            </w:r>
            <w:r w:rsidRPr="00CA099F">
              <w:rPr>
                <w:rFonts w:eastAsia="Calibri" w:cs="Times New Roman"/>
                <w:sz w:val="28"/>
                <w:szCs w:val="28"/>
              </w:rPr>
              <w:t>%)</w:t>
            </w:r>
          </w:p>
        </w:tc>
        <w:tc>
          <w:tcPr>
            <w:tcW w:w="1984" w:type="dxa"/>
            <w:shd w:val="clear" w:color="auto" w:fill="auto"/>
          </w:tcPr>
          <w:p w:rsidR="0030517B" w:rsidRPr="00CA099F" w:rsidRDefault="0030517B" w:rsidP="00E1448E">
            <w:pPr>
              <w:spacing w:after="160" w:line="259" w:lineRule="auto"/>
              <w:rPr>
                <w:rFonts w:eastAsia="Calibri" w:cs="Times New Roman"/>
                <w:szCs w:val="28"/>
              </w:rPr>
            </w:pPr>
            <w:r w:rsidRPr="00CA099F">
              <w:rPr>
                <w:rFonts w:eastAsia="Calibri" w:cs="Times New Roman"/>
                <w:sz w:val="28"/>
                <w:szCs w:val="28"/>
              </w:rPr>
              <w:t>1 – 14 (70%)</w:t>
            </w:r>
          </w:p>
        </w:tc>
        <w:tc>
          <w:tcPr>
            <w:tcW w:w="1985" w:type="dxa"/>
            <w:shd w:val="clear" w:color="auto" w:fill="auto"/>
          </w:tcPr>
          <w:p w:rsidR="0030517B" w:rsidRPr="00CA099F" w:rsidRDefault="0030517B" w:rsidP="00E1448E">
            <w:pPr>
              <w:spacing w:after="160" w:line="259" w:lineRule="auto"/>
              <w:rPr>
                <w:rFonts w:eastAsia="Calibri" w:cs="Times New Roman"/>
                <w:szCs w:val="28"/>
              </w:rPr>
            </w:pPr>
            <w:r w:rsidRPr="00CA099F">
              <w:rPr>
                <w:rFonts w:eastAsia="Calibri" w:cs="Times New Roman"/>
                <w:sz w:val="28"/>
                <w:szCs w:val="28"/>
              </w:rPr>
              <w:t>1 – 16 (80%)</w:t>
            </w:r>
          </w:p>
        </w:tc>
      </w:tr>
      <w:tr w:rsidR="0030517B" w:rsidRPr="00CA099F" w:rsidTr="00E1448E">
        <w:tblPrEx>
          <w:tblLook w:val="04A0" w:firstRow="1" w:lastRow="0" w:firstColumn="1" w:lastColumn="0" w:noHBand="0" w:noVBand="1"/>
        </w:tblPrEx>
        <w:trPr>
          <w:trHeight w:val="124"/>
          <w:jc w:val="center"/>
        </w:trPr>
        <w:tc>
          <w:tcPr>
            <w:tcW w:w="1730" w:type="dxa"/>
            <w:vMerge/>
            <w:shd w:val="clear" w:color="auto" w:fill="auto"/>
          </w:tcPr>
          <w:p w:rsidR="0030517B" w:rsidRPr="00CA099F" w:rsidRDefault="0030517B" w:rsidP="00E1448E">
            <w:pPr>
              <w:spacing w:after="160" w:line="259" w:lineRule="auto"/>
              <w:rPr>
                <w:rFonts w:eastAsia="Calibri" w:cs="Times New Roman"/>
                <w:szCs w:val="28"/>
              </w:rPr>
            </w:pPr>
          </w:p>
        </w:tc>
        <w:tc>
          <w:tcPr>
            <w:tcW w:w="1956" w:type="dxa"/>
            <w:shd w:val="clear" w:color="auto" w:fill="auto"/>
          </w:tcPr>
          <w:p w:rsidR="0030517B" w:rsidRPr="00CA099F" w:rsidRDefault="0030517B" w:rsidP="00E1448E">
            <w:pPr>
              <w:spacing w:after="160" w:line="259" w:lineRule="auto"/>
              <w:rPr>
                <w:rFonts w:eastAsia="Calibri" w:cs="Times New Roman"/>
                <w:szCs w:val="28"/>
              </w:rPr>
            </w:pPr>
            <w:r w:rsidRPr="00CA099F">
              <w:rPr>
                <w:rFonts w:eastAsia="Calibri" w:cs="Times New Roman"/>
                <w:sz w:val="28"/>
                <w:szCs w:val="28"/>
              </w:rPr>
              <w:t xml:space="preserve">2 – </w:t>
            </w:r>
            <w:r w:rsidRPr="00CA099F">
              <w:rPr>
                <w:rFonts w:eastAsia="Calibri" w:cs="Times New Roman"/>
                <w:sz w:val="28"/>
                <w:szCs w:val="28"/>
                <w:lang w:val="en-TT"/>
              </w:rPr>
              <w:t>4</w:t>
            </w:r>
            <w:r w:rsidRPr="00CA099F">
              <w:rPr>
                <w:rFonts w:eastAsia="Calibri" w:cs="Times New Roman"/>
                <w:sz w:val="28"/>
                <w:szCs w:val="28"/>
              </w:rPr>
              <w:t xml:space="preserve"> (</w:t>
            </w:r>
            <w:r w:rsidRPr="00CA099F">
              <w:rPr>
                <w:rFonts w:eastAsia="Calibri" w:cs="Times New Roman"/>
                <w:sz w:val="28"/>
                <w:szCs w:val="28"/>
                <w:lang w:val="en-TT"/>
              </w:rPr>
              <w:t>20</w:t>
            </w:r>
            <w:r w:rsidRPr="00CA099F">
              <w:rPr>
                <w:rFonts w:eastAsia="Calibri" w:cs="Times New Roman"/>
                <w:sz w:val="28"/>
                <w:szCs w:val="28"/>
              </w:rPr>
              <w:t>%)</w:t>
            </w:r>
          </w:p>
        </w:tc>
        <w:tc>
          <w:tcPr>
            <w:tcW w:w="1985" w:type="dxa"/>
            <w:shd w:val="clear" w:color="auto" w:fill="auto"/>
          </w:tcPr>
          <w:p w:rsidR="0030517B" w:rsidRPr="00CA099F" w:rsidRDefault="0030517B" w:rsidP="00E1448E">
            <w:pPr>
              <w:spacing w:after="160" w:line="259" w:lineRule="auto"/>
              <w:rPr>
                <w:rFonts w:eastAsia="Calibri" w:cs="Times New Roman"/>
                <w:szCs w:val="28"/>
              </w:rPr>
            </w:pPr>
            <w:r w:rsidRPr="00CA099F">
              <w:rPr>
                <w:rFonts w:eastAsia="Calibri" w:cs="Times New Roman"/>
                <w:sz w:val="28"/>
                <w:szCs w:val="28"/>
              </w:rPr>
              <w:t xml:space="preserve">2 – </w:t>
            </w:r>
            <w:r w:rsidRPr="00CA099F">
              <w:rPr>
                <w:rFonts w:eastAsia="Calibri" w:cs="Times New Roman"/>
                <w:sz w:val="28"/>
                <w:szCs w:val="28"/>
                <w:lang w:val="ru-RU"/>
              </w:rPr>
              <w:t>4</w:t>
            </w:r>
            <w:r w:rsidRPr="00CA099F">
              <w:rPr>
                <w:rFonts w:eastAsia="Calibri" w:cs="Times New Roman"/>
                <w:sz w:val="28"/>
                <w:szCs w:val="28"/>
              </w:rPr>
              <w:t xml:space="preserve"> (</w:t>
            </w:r>
            <w:r w:rsidRPr="00CA099F">
              <w:rPr>
                <w:rFonts w:eastAsia="Calibri" w:cs="Times New Roman"/>
                <w:sz w:val="28"/>
                <w:szCs w:val="28"/>
                <w:lang w:val="ru-RU"/>
              </w:rPr>
              <w:t>20</w:t>
            </w:r>
            <w:r w:rsidRPr="00CA099F">
              <w:rPr>
                <w:rFonts w:eastAsia="Calibri" w:cs="Times New Roman"/>
                <w:sz w:val="28"/>
                <w:szCs w:val="28"/>
              </w:rPr>
              <w:t>%)</w:t>
            </w:r>
          </w:p>
        </w:tc>
        <w:tc>
          <w:tcPr>
            <w:tcW w:w="1984" w:type="dxa"/>
            <w:shd w:val="clear" w:color="auto" w:fill="auto"/>
          </w:tcPr>
          <w:p w:rsidR="0030517B" w:rsidRPr="00CA099F" w:rsidRDefault="0030517B" w:rsidP="00E1448E">
            <w:pPr>
              <w:spacing w:after="160" w:line="259" w:lineRule="auto"/>
              <w:rPr>
                <w:rFonts w:eastAsia="Calibri" w:cs="Times New Roman"/>
                <w:szCs w:val="28"/>
              </w:rPr>
            </w:pPr>
            <w:r w:rsidRPr="00CA099F">
              <w:rPr>
                <w:rFonts w:eastAsia="Calibri" w:cs="Times New Roman"/>
                <w:sz w:val="28"/>
                <w:szCs w:val="28"/>
              </w:rPr>
              <w:t>2 – 4 (20%)</w:t>
            </w:r>
          </w:p>
        </w:tc>
        <w:tc>
          <w:tcPr>
            <w:tcW w:w="1985" w:type="dxa"/>
            <w:shd w:val="clear" w:color="auto" w:fill="auto"/>
          </w:tcPr>
          <w:p w:rsidR="0030517B" w:rsidRPr="00CA099F" w:rsidRDefault="0030517B" w:rsidP="00E1448E">
            <w:pPr>
              <w:spacing w:after="160" w:line="259" w:lineRule="auto"/>
              <w:rPr>
                <w:rFonts w:eastAsia="Calibri" w:cs="Times New Roman"/>
                <w:szCs w:val="28"/>
              </w:rPr>
            </w:pPr>
            <w:r w:rsidRPr="00CA099F">
              <w:rPr>
                <w:rFonts w:eastAsia="Calibri" w:cs="Times New Roman"/>
                <w:sz w:val="28"/>
                <w:szCs w:val="28"/>
              </w:rPr>
              <w:t>2 – 3 (15%)</w:t>
            </w:r>
          </w:p>
        </w:tc>
      </w:tr>
      <w:tr w:rsidR="0030517B" w:rsidRPr="00CA099F" w:rsidTr="00E1448E">
        <w:tblPrEx>
          <w:tblLook w:val="04A0" w:firstRow="1" w:lastRow="0" w:firstColumn="1" w:lastColumn="0" w:noHBand="0" w:noVBand="1"/>
        </w:tblPrEx>
        <w:trPr>
          <w:trHeight w:val="355"/>
          <w:jc w:val="center"/>
        </w:trPr>
        <w:tc>
          <w:tcPr>
            <w:tcW w:w="1730" w:type="dxa"/>
            <w:vMerge/>
            <w:shd w:val="clear" w:color="auto" w:fill="auto"/>
          </w:tcPr>
          <w:p w:rsidR="0030517B" w:rsidRPr="00CA099F" w:rsidRDefault="0030517B" w:rsidP="00E1448E">
            <w:pPr>
              <w:spacing w:after="160" w:line="259" w:lineRule="auto"/>
              <w:rPr>
                <w:rFonts w:eastAsia="Calibri" w:cs="Times New Roman"/>
                <w:szCs w:val="28"/>
              </w:rPr>
            </w:pPr>
          </w:p>
        </w:tc>
        <w:tc>
          <w:tcPr>
            <w:tcW w:w="1956" w:type="dxa"/>
            <w:shd w:val="clear" w:color="auto" w:fill="auto"/>
          </w:tcPr>
          <w:p w:rsidR="0030517B" w:rsidRPr="00CA099F" w:rsidRDefault="0030517B" w:rsidP="00E1448E">
            <w:pPr>
              <w:spacing w:after="160" w:line="259" w:lineRule="auto"/>
              <w:rPr>
                <w:rFonts w:eastAsia="Calibri" w:cs="Times New Roman"/>
                <w:szCs w:val="28"/>
              </w:rPr>
            </w:pPr>
            <w:r w:rsidRPr="00CA099F">
              <w:rPr>
                <w:rFonts w:eastAsia="Calibri" w:cs="Times New Roman"/>
                <w:sz w:val="28"/>
                <w:szCs w:val="28"/>
              </w:rPr>
              <w:t xml:space="preserve">3 – </w:t>
            </w:r>
            <w:r w:rsidRPr="00CA099F">
              <w:rPr>
                <w:rFonts w:eastAsia="Calibri" w:cs="Times New Roman"/>
                <w:sz w:val="28"/>
                <w:szCs w:val="28"/>
                <w:lang w:val="en-TT"/>
              </w:rPr>
              <w:t>3</w:t>
            </w:r>
            <w:r w:rsidRPr="00CA099F">
              <w:rPr>
                <w:rFonts w:eastAsia="Calibri" w:cs="Times New Roman"/>
                <w:sz w:val="28"/>
                <w:szCs w:val="28"/>
              </w:rPr>
              <w:t xml:space="preserve"> (</w:t>
            </w:r>
            <w:r w:rsidRPr="00CA099F">
              <w:rPr>
                <w:rFonts w:eastAsia="Calibri" w:cs="Times New Roman"/>
                <w:sz w:val="28"/>
                <w:szCs w:val="28"/>
                <w:lang w:val="en-TT"/>
              </w:rPr>
              <w:t>15</w:t>
            </w:r>
            <w:r w:rsidRPr="00CA099F">
              <w:rPr>
                <w:rFonts w:eastAsia="Calibri" w:cs="Times New Roman"/>
                <w:sz w:val="28"/>
                <w:szCs w:val="28"/>
              </w:rPr>
              <w:t>%)</w:t>
            </w:r>
          </w:p>
        </w:tc>
        <w:tc>
          <w:tcPr>
            <w:tcW w:w="1985" w:type="dxa"/>
            <w:shd w:val="clear" w:color="auto" w:fill="auto"/>
          </w:tcPr>
          <w:p w:rsidR="0030517B" w:rsidRPr="00CA099F" w:rsidRDefault="0030517B" w:rsidP="00E1448E">
            <w:pPr>
              <w:spacing w:after="160" w:line="259" w:lineRule="auto"/>
              <w:rPr>
                <w:rFonts w:eastAsia="Calibri" w:cs="Times New Roman"/>
                <w:szCs w:val="28"/>
              </w:rPr>
            </w:pPr>
            <w:r w:rsidRPr="00CA099F">
              <w:rPr>
                <w:rFonts w:eastAsia="Calibri" w:cs="Times New Roman"/>
                <w:sz w:val="28"/>
                <w:szCs w:val="28"/>
              </w:rPr>
              <w:t xml:space="preserve">3 – </w:t>
            </w:r>
            <w:r w:rsidRPr="00CA099F">
              <w:rPr>
                <w:rFonts w:eastAsia="Calibri" w:cs="Times New Roman"/>
                <w:sz w:val="28"/>
                <w:szCs w:val="28"/>
                <w:lang w:val="ru-RU"/>
              </w:rPr>
              <w:t>3</w:t>
            </w:r>
            <w:r w:rsidRPr="00CA099F">
              <w:rPr>
                <w:rFonts w:eastAsia="Calibri" w:cs="Times New Roman"/>
                <w:sz w:val="28"/>
                <w:szCs w:val="28"/>
              </w:rPr>
              <w:t xml:space="preserve"> (</w:t>
            </w:r>
            <w:r w:rsidRPr="00CA099F">
              <w:rPr>
                <w:rFonts w:eastAsia="Calibri" w:cs="Times New Roman"/>
                <w:sz w:val="28"/>
                <w:szCs w:val="28"/>
                <w:lang w:val="ru-RU"/>
              </w:rPr>
              <w:t>15</w:t>
            </w:r>
            <w:r w:rsidRPr="00CA099F">
              <w:rPr>
                <w:rFonts w:eastAsia="Calibri" w:cs="Times New Roman"/>
                <w:sz w:val="28"/>
                <w:szCs w:val="28"/>
              </w:rPr>
              <w:t>%)</w:t>
            </w:r>
          </w:p>
        </w:tc>
        <w:tc>
          <w:tcPr>
            <w:tcW w:w="1984" w:type="dxa"/>
            <w:shd w:val="clear" w:color="auto" w:fill="auto"/>
          </w:tcPr>
          <w:p w:rsidR="0030517B" w:rsidRPr="00CA099F" w:rsidRDefault="0030517B" w:rsidP="00E1448E">
            <w:pPr>
              <w:spacing w:after="160" w:line="259" w:lineRule="auto"/>
              <w:rPr>
                <w:rFonts w:eastAsia="Calibri" w:cs="Times New Roman"/>
                <w:szCs w:val="28"/>
              </w:rPr>
            </w:pPr>
            <w:r w:rsidRPr="00CA099F">
              <w:rPr>
                <w:rFonts w:eastAsia="Calibri" w:cs="Times New Roman"/>
                <w:sz w:val="28"/>
                <w:szCs w:val="28"/>
              </w:rPr>
              <w:t>3 – 2 (10%)</w:t>
            </w:r>
          </w:p>
        </w:tc>
        <w:tc>
          <w:tcPr>
            <w:tcW w:w="1985" w:type="dxa"/>
            <w:shd w:val="clear" w:color="auto" w:fill="auto"/>
          </w:tcPr>
          <w:p w:rsidR="0030517B" w:rsidRPr="00CA099F" w:rsidRDefault="0030517B" w:rsidP="00E1448E">
            <w:pPr>
              <w:spacing w:after="160" w:line="259" w:lineRule="auto"/>
              <w:rPr>
                <w:rFonts w:eastAsia="Calibri" w:cs="Times New Roman"/>
                <w:szCs w:val="28"/>
              </w:rPr>
            </w:pPr>
            <w:r w:rsidRPr="00CA099F">
              <w:rPr>
                <w:rFonts w:eastAsia="Calibri" w:cs="Times New Roman"/>
                <w:sz w:val="28"/>
                <w:szCs w:val="28"/>
              </w:rPr>
              <w:t>3 – 1 (5%)</w:t>
            </w:r>
          </w:p>
        </w:tc>
      </w:tr>
      <w:tr w:rsidR="0030517B" w:rsidRPr="00CA099F" w:rsidTr="00E1448E">
        <w:tblPrEx>
          <w:tblLook w:val="04A0" w:firstRow="1" w:lastRow="0" w:firstColumn="1" w:lastColumn="0" w:noHBand="0" w:noVBand="1"/>
        </w:tblPrEx>
        <w:trPr>
          <w:jc w:val="center"/>
        </w:trPr>
        <w:tc>
          <w:tcPr>
            <w:tcW w:w="1730" w:type="dxa"/>
            <w:shd w:val="clear" w:color="auto" w:fill="auto"/>
          </w:tcPr>
          <w:p w:rsidR="0030517B" w:rsidRPr="00CA099F" w:rsidRDefault="0030517B" w:rsidP="00E1448E">
            <w:pPr>
              <w:spacing w:after="160" w:line="259" w:lineRule="auto"/>
              <w:jc w:val="center"/>
              <w:rPr>
                <w:rFonts w:eastAsia="Calibri" w:cs="Times New Roman"/>
                <w:szCs w:val="28"/>
              </w:rPr>
            </w:pPr>
            <w:r w:rsidRPr="00CA099F">
              <w:rPr>
                <w:rFonts w:eastAsia="Calibri" w:cs="Times New Roman"/>
                <w:sz w:val="28"/>
                <w:szCs w:val="28"/>
              </w:rPr>
              <w:t>Примітка</w:t>
            </w:r>
          </w:p>
        </w:tc>
        <w:tc>
          <w:tcPr>
            <w:tcW w:w="1956" w:type="dxa"/>
            <w:shd w:val="clear" w:color="auto" w:fill="auto"/>
          </w:tcPr>
          <w:p w:rsidR="0030517B" w:rsidRPr="00CA099F" w:rsidRDefault="0030517B" w:rsidP="00E1448E">
            <w:pPr>
              <w:spacing w:after="160" w:line="259" w:lineRule="auto"/>
              <w:jc w:val="center"/>
              <w:rPr>
                <w:rFonts w:eastAsia="Calibri" w:cs="Times New Roman"/>
                <w:szCs w:val="28"/>
              </w:rPr>
            </w:pPr>
            <w:r w:rsidRPr="00CA099F">
              <w:rPr>
                <w:rFonts w:eastAsia="Calibri" w:cs="Times New Roman"/>
                <w:sz w:val="28"/>
                <w:szCs w:val="28"/>
              </w:rPr>
              <w:t>p&gt;0,0003</w:t>
            </w:r>
          </w:p>
        </w:tc>
        <w:tc>
          <w:tcPr>
            <w:tcW w:w="1985" w:type="dxa"/>
            <w:shd w:val="clear" w:color="auto" w:fill="auto"/>
          </w:tcPr>
          <w:p w:rsidR="0030517B" w:rsidRPr="00CA099F" w:rsidRDefault="0030517B" w:rsidP="00E1448E">
            <w:pPr>
              <w:spacing w:after="160" w:line="259" w:lineRule="auto"/>
              <w:jc w:val="center"/>
              <w:rPr>
                <w:rFonts w:eastAsia="Calibri" w:cs="Times New Roman"/>
                <w:szCs w:val="28"/>
              </w:rPr>
            </w:pPr>
            <w:r w:rsidRPr="00CA099F">
              <w:rPr>
                <w:rFonts w:eastAsia="Calibri" w:cs="Times New Roman"/>
                <w:sz w:val="28"/>
                <w:szCs w:val="28"/>
              </w:rPr>
              <w:t>p&gt;0,0017</w:t>
            </w:r>
          </w:p>
        </w:tc>
        <w:tc>
          <w:tcPr>
            <w:tcW w:w="1984" w:type="dxa"/>
            <w:shd w:val="clear" w:color="auto" w:fill="auto"/>
          </w:tcPr>
          <w:p w:rsidR="0030517B" w:rsidRPr="00CA099F" w:rsidRDefault="0030517B" w:rsidP="00E1448E">
            <w:pPr>
              <w:spacing w:after="160" w:line="259" w:lineRule="auto"/>
              <w:jc w:val="center"/>
              <w:rPr>
                <w:rFonts w:eastAsia="Calibri" w:cs="Times New Roman"/>
                <w:szCs w:val="28"/>
              </w:rPr>
            </w:pPr>
            <w:r w:rsidRPr="00CA099F">
              <w:rPr>
                <w:rFonts w:eastAsia="Calibri" w:cs="Times New Roman"/>
                <w:sz w:val="28"/>
                <w:szCs w:val="28"/>
              </w:rPr>
              <w:t>p&gt;0,0001</w:t>
            </w:r>
          </w:p>
        </w:tc>
        <w:tc>
          <w:tcPr>
            <w:tcW w:w="1985" w:type="dxa"/>
            <w:shd w:val="clear" w:color="auto" w:fill="auto"/>
          </w:tcPr>
          <w:p w:rsidR="0030517B" w:rsidRPr="00CA099F" w:rsidRDefault="0030517B" w:rsidP="00E1448E">
            <w:pPr>
              <w:spacing w:after="160" w:line="259" w:lineRule="auto"/>
              <w:jc w:val="center"/>
              <w:rPr>
                <w:rFonts w:eastAsia="Calibri" w:cs="Times New Roman"/>
                <w:szCs w:val="28"/>
              </w:rPr>
            </w:pPr>
            <w:r w:rsidRPr="00CA099F">
              <w:rPr>
                <w:rFonts w:eastAsia="Calibri" w:cs="Times New Roman"/>
                <w:sz w:val="28"/>
                <w:szCs w:val="28"/>
              </w:rPr>
              <w:t>p&gt;0,0004</w:t>
            </w:r>
          </w:p>
        </w:tc>
      </w:tr>
    </w:tbl>
    <w:p w:rsidR="0030517B" w:rsidRPr="00CA099F" w:rsidRDefault="0030517B" w:rsidP="0030517B">
      <w:pPr>
        <w:spacing w:after="0" w:line="360" w:lineRule="auto"/>
        <w:jc w:val="both"/>
        <w:rPr>
          <w:rFonts w:eastAsia="SimSun" w:cs="Times New Roman"/>
          <w:sz w:val="28"/>
          <w:szCs w:val="28"/>
          <w:lang w:eastAsia="zh-CN"/>
        </w:rPr>
      </w:pPr>
    </w:p>
    <w:p w:rsidR="0030517B" w:rsidRPr="00CA099F" w:rsidRDefault="0030517B" w:rsidP="0030517B">
      <w:pPr>
        <w:spacing w:after="160" w:line="360" w:lineRule="auto"/>
        <w:rPr>
          <w:rFonts w:eastAsia="Calibri" w:cs="Times New Roman"/>
          <w:sz w:val="28"/>
          <w:szCs w:val="28"/>
        </w:rPr>
      </w:pPr>
    </w:p>
    <w:p w:rsidR="0030517B" w:rsidRPr="00CA099F" w:rsidRDefault="0030517B" w:rsidP="0030517B">
      <w:pPr>
        <w:spacing w:after="160" w:line="360" w:lineRule="auto"/>
        <w:jc w:val="both"/>
        <w:rPr>
          <w:rFonts w:eastAsia="Calibri" w:cs="Times New Roman"/>
          <w:sz w:val="28"/>
          <w:szCs w:val="28"/>
        </w:rPr>
      </w:pPr>
      <w:r w:rsidRPr="00CA099F">
        <w:rPr>
          <w:rFonts w:eastAsia="Calibri" w:cs="Times New Roman"/>
          <w:sz w:val="28"/>
          <w:szCs w:val="28"/>
        </w:rPr>
        <w:lastRenderedPageBreak/>
        <w:tab/>
        <w:t xml:space="preserve">Аналіз динаміки клінічних змін показника П1 в 1 групі </w:t>
      </w:r>
      <w:r w:rsidR="00D96DA9">
        <w:rPr>
          <w:rFonts w:eastAsia="Calibri" w:cs="Times New Roman"/>
          <w:sz w:val="28"/>
          <w:szCs w:val="28"/>
        </w:rPr>
        <w:t>пацієнтів</w:t>
      </w:r>
      <w:r w:rsidRPr="00CA099F">
        <w:rPr>
          <w:rFonts w:eastAsia="Calibri" w:cs="Times New Roman"/>
          <w:sz w:val="28"/>
          <w:szCs w:val="28"/>
        </w:rPr>
        <w:t xml:space="preserve"> показує його суттєву зміну на 6 місяць спостереженн</w:t>
      </w:r>
      <w:r w:rsidR="006C3AA8">
        <w:rPr>
          <w:rFonts w:eastAsia="Calibri" w:cs="Times New Roman"/>
          <w:sz w:val="28"/>
          <w:szCs w:val="28"/>
        </w:rPr>
        <w:t xml:space="preserve">я. Наявність атрофічного рубця </w:t>
      </w:r>
      <w:r w:rsidRPr="00CA099F">
        <w:rPr>
          <w:rFonts w:eastAsia="Calibri" w:cs="Times New Roman"/>
          <w:sz w:val="28"/>
          <w:szCs w:val="28"/>
        </w:rPr>
        <w:t>фікс</w:t>
      </w:r>
      <w:r w:rsidR="006C3AA8">
        <w:rPr>
          <w:rFonts w:eastAsia="Calibri" w:cs="Times New Roman"/>
          <w:sz w:val="28"/>
          <w:szCs w:val="28"/>
        </w:rPr>
        <w:t xml:space="preserve">ується в </w:t>
      </w:r>
      <w:r w:rsidRPr="00CA099F">
        <w:rPr>
          <w:rFonts w:eastAsia="Calibri" w:cs="Times New Roman"/>
          <w:sz w:val="28"/>
          <w:szCs w:val="28"/>
        </w:rPr>
        <w:t>30% випадках (у 5%</w:t>
      </w:r>
      <w:r w:rsidR="006C3AA8">
        <w:rPr>
          <w:rFonts w:eastAsia="Calibri" w:cs="Times New Roman"/>
          <w:sz w:val="28"/>
          <w:szCs w:val="28"/>
        </w:rPr>
        <w:t xml:space="preserve"> пацієнтів</w:t>
      </w:r>
      <w:r w:rsidRPr="00CA099F">
        <w:rPr>
          <w:rFonts w:eastAsia="Calibri" w:cs="Times New Roman"/>
          <w:sz w:val="28"/>
          <w:szCs w:val="28"/>
        </w:rPr>
        <w:t xml:space="preserve"> з вузликовими розростаннями). У 5% пацієнт</w:t>
      </w:r>
      <w:r w:rsidR="006C3AA8">
        <w:rPr>
          <w:rFonts w:eastAsia="Calibri" w:cs="Times New Roman"/>
          <w:sz w:val="28"/>
          <w:szCs w:val="28"/>
        </w:rPr>
        <w:t>ів</w:t>
      </w:r>
      <w:r w:rsidRPr="00CA099F">
        <w:rPr>
          <w:rFonts w:eastAsia="Calibri" w:cs="Times New Roman"/>
          <w:sz w:val="28"/>
          <w:szCs w:val="28"/>
        </w:rPr>
        <w:t xml:space="preserve"> </w:t>
      </w:r>
      <w:r w:rsidR="006C3AA8">
        <w:rPr>
          <w:rFonts w:eastAsia="Calibri" w:cs="Times New Roman"/>
          <w:sz w:val="28"/>
          <w:szCs w:val="28"/>
        </w:rPr>
        <w:t>має місце</w:t>
      </w:r>
      <w:r w:rsidRPr="00CA099F">
        <w:rPr>
          <w:rFonts w:eastAsia="Calibri" w:cs="Times New Roman"/>
          <w:sz w:val="28"/>
          <w:szCs w:val="28"/>
        </w:rPr>
        <w:t xml:space="preserve"> вірогідне утворення гіпертрофічного рубця та утворення келоїду – також у 5% пацієнт</w:t>
      </w:r>
      <w:r w:rsidR="006C3AA8">
        <w:rPr>
          <w:rFonts w:eastAsia="Calibri" w:cs="Times New Roman"/>
          <w:sz w:val="28"/>
          <w:szCs w:val="28"/>
        </w:rPr>
        <w:t>ів</w:t>
      </w:r>
      <w:r w:rsidRPr="00CA099F">
        <w:rPr>
          <w:rFonts w:eastAsia="Calibri" w:cs="Times New Roman"/>
          <w:sz w:val="28"/>
          <w:szCs w:val="28"/>
        </w:rPr>
        <w:t>. Наявність нормотроф</w:t>
      </w:r>
      <w:r w:rsidR="006C3AA8">
        <w:rPr>
          <w:rFonts w:eastAsia="Calibri" w:cs="Times New Roman"/>
          <w:sz w:val="28"/>
          <w:szCs w:val="28"/>
        </w:rPr>
        <w:t>і</w:t>
      </w:r>
      <w:r w:rsidR="00B7572A">
        <w:rPr>
          <w:rFonts w:eastAsia="Calibri" w:cs="Times New Roman"/>
          <w:sz w:val="28"/>
          <w:szCs w:val="28"/>
        </w:rPr>
        <w:t>чного рубця спостерігається у 60</w:t>
      </w:r>
      <w:r w:rsidR="006C3AA8">
        <w:rPr>
          <w:rFonts w:eastAsia="Calibri" w:cs="Times New Roman"/>
          <w:sz w:val="28"/>
          <w:szCs w:val="28"/>
        </w:rPr>
        <w:t>%</w:t>
      </w:r>
      <w:r w:rsidRPr="00CA099F">
        <w:rPr>
          <w:rFonts w:eastAsia="Calibri" w:cs="Times New Roman"/>
          <w:sz w:val="28"/>
          <w:szCs w:val="28"/>
        </w:rPr>
        <w:t xml:space="preserve"> пацієнтів, а на 12 місяць утворення гомогенного атрофічного рубця фікс</w:t>
      </w:r>
      <w:r w:rsidR="006A45FB">
        <w:rPr>
          <w:rFonts w:eastAsia="Calibri" w:cs="Times New Roman"/>
          <w:sz w:val="28"/>
          <w:szCs w:val="28"/>
        </w:rPr>
        <w:t>ується</w:t>
      </w:r>
      <w:r w:rsidRPr="00CA099F">
        <w:rPr>
          <w:rFonts w:eastAsia="Calibri" w:cs="Times New Roman"/>
          <w:sz w:val="28"/>
          <w:szCs w:val="28"/>
        </w:rPr>
        <w:t xml:space="preserve"> у </w:t>
      </w:r>
      <w:r w:rsidR="006A45FB">
        <w:rPr>
          <w:rFonts w:eastAsia="Calibri" w:cs="Times New Roman"/>
          <w:sz w:val="28"/>
          <w:szCs w:val="28"/>
        </w:rPr>
        <w:t>20%</w:t>
      </w:r>
      <w:r w:rsidRPr="00CA099F">
        <w:rPr>
          <w:rFonts w:eastAsia="Calibri" w:cs="Times New Roman"/>
          <w:sz w:val="28"/>
          <w:szCs w:val="28"/>
        </w:rPr>
        <w:t xml:space="preserve"> випадках</w:t>
      </w:r>
      <w:r w:rsidR="00F27423">
        <w:rPr>
          <w:rFonts w:eastAsia="Calibri" w:cs="Times New Roman"/>
          <w:sz w:val="28"/>
          <w:szCs w:val="28"/>
        </w:rPr>
        <w:t xml:space="preserve">, </w:t>
      </w:r>
      <w:r w:rsidR="00F27423" w:rsidRPr="00B435B1">
        <w:rPr>
          <w:rFonts w:eastAsia="Calibri" w:cs="Times New Roman"/>
          <w:sz w:val="28"/>
          <w:szCs w:val="28"/>
        </w:rPr>
        <w:t>а гіпертрофічного – у 10% спостережень</w:t>
      </w:r>
      <w:r w:rsidRPr="00CA099F">
        <w:rPr>
          <w:rFonts w:eastAsia="Calibri" w:cs="Times New Roman"/>
          <w:sz w:val="28"/>
          <w:szCs w:val="28"/>
        </w:rPr>
        <w:t xml:space="preserve">. У </w:t>
      </w:r>
      <w:r w:rsidR="006A45FB">
        <w:rPr>
          <w:rFonts w:eastAsia="Calibri" w:cs="Times New Roman"/>
          <w:sz w:val="28"/>
          <w:szCs w:val="28"/>
        </w:rPr>
        <w:t>70% пацієнтів наявні</w:t>
      </w:r>
      <w:r w:rsidRPr="00CA099F">
        <w:rPr>
          <w:rFonts w:eastAsia="Calibri" w:cs="Times New Roman"/>
          <w:sz w:val="28"/>
          <w:szCs w:val="28"/>
        </w:rPr>
        <w:t xml:space="preserve"> нормотрофічні рубці.</w:t>
      </w:r>
    </w:p>
    <w:p w:rsidR="0030517B" w:rsidRPr="00CA099F" w:rsidRDefault="0030517B" w:rsidP="0030517B">
      <w:pPr>
        <w:spacing w:after="160" w:line="360" w:lineRule="auto"/>
        <w:jc w:val="both"/>
        <w:rPr>
          <w:rFonts w:eastAsia="Calibri" w:cs="Times New Roman"/>
          <w:sz w:val="28"/>
          <w:szCs w:val="28"/>
        </w:rPr>
      </w:pPr>
      <w:r w:rsidRPr="00CA099F">
        <w:rPr>
          <w:rFonts w:eastAsia="Calibri" w:cs="Times New Roman"/>
          <w:sz w:val="28"/>
          <w:szCs w:val="28"/>
        </w:rPr>
        <w:tab/>
        <w:t>Найбільші зміни в динаміці показника П2 також спостерігаються на 6 місяць післяопераційного періоду. Так ознаки нормальної</w:t>
      </w:r>
      <w:r w:rsidR="006A45FB">
        <w:rPr>
          <w:rFonts w:eastAsia="Calibri" w:cs="Times New Roman"/>
          <w:sz w:val="28"/>
          <w:szCs w:val="28"/>
        </w:rPr>
        <w:t xml:space="preserve"> консистенції відзначаються у</w:t>
      </w:r>
      <w:r w:rsidRPr="00CA099F">
        <w:rPr>
          <w:rFonts w:eastAsia="Calibri" w:cs="Times New Roman"/>
          <w:sz w:val="28"/>
          <w:szCs w:val="28"/>
        </w:rPr>
        <w:t xml:space="preserve"> 70% пацієнтів, при цьому кількість пацієнтів з ущільненнями в цент</w:t>
      </w:r>
      <w:r w:rsidR="006A45FB">
        <w:rPr>
          <w:rFonts w:eastAsia="Calibri" w:cs="Times New Roman"/>
          <w:sz w:val="28"/>
          <w:szCs w:val="28"/>
        </w:rPr>
        <w:t xml:space="preserve">ральній частині зменшується до </w:t>
      </w:r>
      <w:r w:rsidRPr="00CA099F">
        <w:rPr>
          <w:rFonts w:eastAsia="Calibri" w:cs="Times New Roman"/>
          <w:sz w:val="28"/>
          <w:szCs w:val="28"/>
        </w:rPr>
        <w:t xml:space="preserve">30%. У </w:t>
      </w:r>
      <w:r w:rsidR="006A45FB">
        <w:rPr>
          <w:rFonts w:eastAsia="Calibri" w:cs="Times New Roman"/>
          <w:sz w:val="28"/>
          <w:szCs w:val="28"/>
        </w:rPr>
        <w:t>5%</w:t>
      </w:r>
      <w:r w:rsidRPr="00CA099F">
        <w:rPr>
          <w:rFonts w:eastAsia="Calibri" w:cs="Times New Roman"/>
          <w:sz w:val="28"/>
          <w:szCs w:val="28"/>
        </w:rPr>
        <w:t xml:space="preserve"> пацієнт</w:t>
      </w:r>
      <w:r w:rsidR="006A45FB">
        <w:rPr>
          <w:rFonts w:eastAsia="Calibri" w:cs="Times New Roman"/>
          <w:sz w:val="28"/>
          <w:szCs w:val="28"/>
        </w:rPr>
        <w:t>ів</w:t>
      </w:r>
      <w:r w:rsidRPr="00CA099F">
        <w:rPr>
          <w:rFonts w:eastAsia="Calibri" w:cs="Times New Roman"/>
          <w:sz w:val="28"/>
          <w:szCs w:val="28"/>
        </w:rPr>
        <w:t xml:space="preserve"> пальпуються поодинокі ущільнення в ділянці дистального краю. Явища індурації в центральній час</w:t>
      </w:r>
      <w:r w:rsidR="005D6DAC">
        <w:rPr>
          <w:rFonts w:eastAsia="Calibri" w:cs="Times New Roman"/>
          <w:sz w:val="28"/>
          <w:szCs w:val="28"/>
        </w:rPr>
        <w:t xml:space="preserve">тині рубця, на які скаржилися </w:t>
      </w:r>
      <w:r w:rsidRPr="00CA099F">
        <w:rPr>
          <w:rFonts w:eastAsia="Calibri" w:cs="Times New Roman"/>
          <w:sz w:val="28"/>
          <w:szCs w:val="28"/>
        </w:rPr>
        <w:t>5% пацієнт</w:t>
      </w:r>
      <w:r w:rsidR="005D6DAC">
        <w:rPr>
          <w:rFonts w:eastAsia="Calibri" w:cs="Times New Roman"/>
          <w:sz w:val="28"/>
          <w:szCs w:val="28"/>
        </w:rPr>
        <w:t>ів</w:t>
      </w:r>
      <w:r w:rsidRPr="00CA099F">
        <w:rPr>
          <w:rFonts w:eastAsia="Calibri" w:cs="Times New Roman"/>
          <w:sz w:val="28"/>
          <w:szCs w:val="28"/>
        </w:rPr>
        <w:t>, зникають, що не суперечить даним літератури [</w:t>
      </w:r>
      <w:r w:rsidRPr="00CA099F">
        <w:rPr>
          <w:rFonts w:eastAsia="Calibri" w:cs="Times New Roman"/>
          <w:sz w:val="28"/>
          <w:szCs w:val="28"/>
          <w:lang w:val="ru-RU"/>
        </w:rPr>
        <w:t>68</w:t>
      </w:r>
      <w:r w:rsidRPr="00CA099F">
        <w:rPr>
          <w:rFonts w:eastAsia="Calibri" w:cs="Times New Roman"/>
          <w:sz w:val="28"/>
          <w:szCs w:val="28"/>
        </w:rPr>
        <w:t xml:space="preserve">]. Слід відмітити стрибок в позитивній динаміці змін показника П3 на 12 місяць спостереження, якій свідчить </w:t>
      </w:r>
      <w:r w:rsidR="005D6DAC">
        <w:rPr>
          <w:rFonts w:eastAsia="Calibri" w:cs="Times New Roman"/>
          <w:sz w:val="28"/>
          <w:szCs w:val="28"/>
        </w:rPr>
        <w:t>про ефективність запропонованої</w:t>
      </w:r>
      <w:r w:rsidRPr="00CA099F">
        <w:rPr>
          <w:rFonts w:eastAsia="Calibri" w:cs="Times New Roman"/>
          <w:sz w:val="28"/>
          <w:szCs w:val="28"/>
        </w:rPr>
        <w:t xml:space="preserve"> методики інтраопераційної профілактики утворення патологічних рубців із застосуванням </w:t>
      </w:r>
      <w:r w:rsidRPr="00CA099F">
        <w:rPr>
          <w:rFonts w:eastAsia="Calibri" w:cs="Times New Roman"/>
          <w:sz w:val="28"/>
          <w:szCs w:val="28"/>
          <w:lang w:val="en-US"/>
        </w:rPr>
        <w:t>PRF</w:t>
      </w:r>
      <w:r w:rsidRPr="00CA099F">
        <w:rPr>
          <w:rFonts w:eastAsia="Calibri" w:cs="Times New Roman"/>
          <w:sz w:val="28"/>
          <w:szCs w:val="28"/>
        </w:rPr>
        <w:t xml:space="preserve"> мембран в глибоких та поверхне</w:t>
      </w:r>
      <w:r w:rsidR="005D6DAC">
        <w:rPr>
          <w:rFonts w:eastAsia="Calibri" w:cs="Times New Roman"/>
          <w:sz w:val="28"/>
          <w:szCs w:val="28"/>
        </w:rPr>
        <w:t>вих шарах операційної рани. У 85%</w:t>
      </w:r>
      <w:r w:rsidR="00F323FA">
        <w:rPr>
          <w:rFonts w:eastAsia="Calibri" w:cs="Times New Roman"/>
          <w:sz w:val="28"/>
          <w:szCs w:val="28"/>
        </w:rPr>
        <w:t xml:space="preserve"> випадках мають місце</w:t>
      </w:r>
      <w:r w:rsidRPr="00CA099F">
        <w:rPr>
          <w:rFonts w:eastAsia="Calibri" w:cs="Times New Roman"/>
          <w:sz w:val="28"/>
          <w:szCs w:val="28"/>
        </w:rPr>
        <w:t xml:space="preserve"> ознаки здорової шкіри з ві</w:t>
      </w:r>
      <w:r w:rsidR="00F323FA">
        <w:rPr>
          <w:rFonts w:eastAsia="Calibri" w:cs="Times New Roman"/>
          <w:sz w:val="28"/>
          <w:szCs w:val="28"/>
        </w:rPr>
        <w:t>зуалізацією помірної еритеми у 10%</w:t>
      </w:r>
      <w:r w:rsidRPr="00CA099F">
        <w:rPr>
          <w:rFonts w:eastAsia="Calibri" w:cs="Times New Roman"/>
          <w:sz w:val="28"/>
          <w:szCs w:val="28"/>
        </w:rPr>
        <w:t xml:space="preserve"> та вираженої – у 5% </w:t>
      </w:r>
      <w:r w:rsidR="00F323FA">
        <w:rPr>
          <w:rFonts w:eastAsia="Calibri" w:cs="Times New Roman"/>
          <w:sz w:val="28"/>
          <w:szCs w:val="28"/>
        </w:rPr>
        <w:t>пацієнтів</w:t>
      </w:r>
      <w:r w:rsidRPr="00CA099F">
        <w:rPr>
          <w:rFonts w:eastAsia="Calibri" w:cs="Times New Roman"/>
          <w:sz w:val="28"/>
          <w:szCs w:val="28"/>
        </w:rPr>
        <w:t>.</w:t>
      </w:r>
    </w:p>
    <w:p w:rsidR="0030517B" w:rsidRPr="00CA099F" w:rsidRDefault="0030517B" w:rsidP="003236D6">
      <w:pPr>
        <w:spacing w:after="160" w:line="360" w:lineRule="auto"/>
        <w:ind w:firstLine="708"/>
        <w:jc w:val="both"/>
        <w:rPr>
          <w:rFonts w:eastAsia="Calibri" w:cs="Times New Roman"/>
          <w:sz w:val="28"/>
          <w:szCs w:val="28"/>
        </w:rPr>
      </w:pPr>
      <w:r w:rsidRPr="00CA099F">
        <w:rPr>
          <w:rFonts w:eastAsia="Calibri" w:cs="Times New Roman"/>
          <w:sz w:val="28"/>
          <w:szCs w:val="28"/>
        </w:rPr>
        <w:t xml:space="preserve">Схожу динаміку нами прослідковано в змінах показника П4. Нами встановлено, що 1 групі </w:t>
      </w:r>
      <w:r w:rsidR="00D96DA9">
        <w:rPr>
          <w:rFonts w:eastAsia="Calibri" w:cs="Times New Roman"/>
          <w:sz w:val="28"/>
          <w:szCs w:val="28"/>
        </w:rPr>
        <w:t>пацієнтів</w:t>
      </w:r>
      <w:r w:rsidRPr="00CA099F">
        <w:rPr>
          <w:rFonts w:eastAsia="Calibri" w:cs="Times New Roman"/>
          <w:sz w:val="28"/>
          <w:szCs w:val="28"/>
        </w:rPr>
        <w:t xml:space="preserve"> ознаки напруженості рубця відміч</w:t>
      </w:r>
      <w:r w:rsidR="003A25E3">
        <w:rPr>
          <w:rFonts w:eastAsia="Calibri" w:cs="Times New Roman"/>
          <w:sz w:val="28"/>
          <w:szCs w:val="28"/>
        </w:rPr>
        <w:t>аться</w:t>
      </w:r>
      <w:r w:rsidRPr="00CA099F">
        <w:rPr>
          <w:rFonts w:eastAsia="Calibri" w:cs="Times New Roman"/>
          <w:sz w:val="28"/>
          <w:szCs w:val="28"/>
        </w:rPr>
        <w:t xml:space="preserve"> в 15% випадках, свербіж </w:t>
      </w:r>
      <w:r w:rsidR="00D014B1">
        <w:rPr>
          <w:rFonts w:eastAsia="Calibri" w:cs="Times New Roman"/>
          <w:sz w:val="28"/>
          <w:szCs w:val="28"/>
        </w:rPr>
        <w:t xml:space="preserve">– </w:t>
      </w:r>
      <w:r w:rsidRPr="00CA099F">
        <w:rPr>
          <w:rFonts w:eastAsia="Calibri" w:cs="Times New Roman"/>
          <w:sz w:val="28"/>
          <w:szCs w:val="28"/>
        </w:rPr>
        <w:t>у 5%</w:t>
      </w:r>
      <w:r w:rsidR="00D014B1">
        <w:rPr>
          <w:rFonts w:eastAsia="Calibri" w:cs="Times New Roman"/>
          <w:sz w:val="28"/>
          <w:szCs w:val="28"/>
        </w:rPr>
        <w:t xml:space="preserve"> </w:t>
      </w:r>
      <w:r w:rsidRPr="00CA099F">
        <w:rPr>
          <w:rFonts w:eastAsia="Calibri" w:cs="Times New Roman"/>
          <w:sz w:val="28"/>
          <w:szCs w:val="28"/>
        </w:rPr>
        <w:t>пацієнт</w:t>
      </w:r>
      <w:r w:rsidR="00D014B1">
        <w:rPr>
          <w:rFonts w:eastAsia="Calibri" w:cs="Times New Roman"/>
          <w:sz w:val="28"/>
          <w:szCs w:val="28"/>
        </w:rPr>
        <w:t>ів</w:t>
      </w:r>
      <w:r w:rsidRPr="00CA099F">
        <w:rPr>
          <w:rFonts w:eastAsia="Calibri" w:cs="Times New Roman"/>
          <w:sz w:val="28"/>
          <w:szCs w:val="28"/>
        </w:rPr>
        <w:t xml:space="preserve">. Скарги на біль та печію </w:t>
      </w:r>
      <w:r w:rsidR="00D014B1">
        <w:rPr>
          <w:rFonts w:eastAsia="Calibri" w:cs="Times New Roman"/>
          <w:sz w:val="28"/>
          <w:szCs w:val="28"/>
        </w:rPr>
        <w:t>пацієнти</w:t>
      </w:r>
      <w:r w:rsidRPr="00CA099F">
        <w:rPr>
          <w:rFonts w:eastAsia="Calibri" w:cs="Times New Roman"/>
          <w:sz w:val="28"/>
          <w:szCs w:val="28"/>
        </w:rPr>
        <w:t xml:space="preserve"> заперечу</w:t>
      </w:r>
      <w:r w:rsidR="00D014B1">
        <w:rPr>
          <w:rFonts w:eastAsia="Calibri" w:cs="Times New Roman"/>
          <w:sz w:val="28"/>
          <w:szCs w:val="28"/>
        </w:rPr>
        <w:t>ють</w:t>
      </w:r>
      <w:r w:rsidRPr="00CA099F">
        <w:rPr>
          <w:rFonts w:eastAsia="Calibri" w:cs="Times New Roman"/>
          <w:sz w:val="28"/>
          <w:szCs w:val="28"/>
        </w:rPr>
        <w:t>. Дані клінічних змін показника П5 суттєво не варію</w:t>
      </w:r>
      <w:r w:rsidR="00D014B1">
        <w:rPr>
          <w:rFonts w:eastAsia="Calibri" w:cs="Times New Roman"/>
          <w:sz w:val="28"/>
          <w:szCs w:val="28"/>
        </w:rPr>
        <w:t>ють</w:t>
      </w:r>
      <w:r w:rsidRPr="00CA099F">
        <w:rPr>
          <w:rFonts w:eastAsia="Calibri" w:cs="Times New Roman"/>
          <w:sz w:val="28"/>
          <w:szCs w:val="28"/>
        </w:rPr>
        <w:t>, що свідчить про відсутність передумов утворення патологічних рубцевозмінених тканин. Так на 3 місяць післяопераційного пе</w:t>
      </w:r>
      <w:r w:rsidR="00D014B1">
        <w:rPr>
          <w:rFonts w:eastAsia="Calibri" w:cs="Times New Roman"/>
          <w:sz w:val="28"/>
          <w:szCs w:val="28"/>
        </w:rPr>
        <w:t>ріоду ознака малої площі складає</w:t>
      </w:r>
      <w:r w:rsidRPr="00CA099F">
        <w:rPr>
          <w:rFonts w:eastAsia="Calibri" w:cs="Times New Roman"/>
          <w:sz w:val="28"/>
          <w:szCs w:val="28"/>
        </w:rPr>
        <w:t xml:space="preserve"> 80% пацієнтів, середня площа </w:t>
      </w:r>
      <w:r w:rsidR="00D014B1">
        <w:rPr>
          <w:rFonts w:eastAsia="Calibri" w:cs="Times New Roman"/>
          <w:sz w:val="28"/>
          <w:szCs w:val="28"/>
        </w:rPr>
        <w:t>фіксується</w:t>
      </w:r>
      <w:r w:rsidRPr="00CA099F">
        <w:rPr>
          <w:rFonts w:eastAsia="Calibri" w:cs="Times New Roman"/>
          <w:sz w:val="28"/>
          <w:szCs w:val="28"/>
        </w:rPr>
        <w:t xml:space="preserve"> у </w:t>
      </w:r>
      <w:r w:rsidR="00882365">
        <w:rPr>
          <w:rFonts w:eastAsia="Calibri" w:cs="Times New Roman"/>
          <w:sz w:val="28"/>
          <w:szCs w:val="28"/>
        </w:rPr>
        <w:t>15%</w:t>
      </w:r>
      <w:r w:rsidRPr="00CA099F">
        <w:rPr>
          <w:rFonts w:eastAsia="Calibri" w:cs="Times New Roman"/>
          <w:sz w:val="28"/>
          <w:szCs w:val="28"/>
        </w:rPr>
        <w:t xml:space="preserve"> </w:t>
      </w:r>
      <w:r w:rsidR="00D96DA9">
        <w:rPr>
          <w:rFonts w:eastAsia="Calibri" w:cs="Times New Roman"/>
          <w:sz w:val="28"/>
          <w:szCs w:val="28"/>
        </w:rPr>
        <w:t>пацієнтів</w:t>
      </w:r>
      <w:r w:rsidR="00882365">
        <w:rPr>
          <w:rFonts w:eastAsia="Calibri" w:cs="Times New Roman"/>
          <w:sz w:val="28"/>
          <w:szCs w:val="28"/>
        </w:rPr>
        <w:t xml:space="preserve"> (не перевищує</w:t>
      </w:r>
      <w:r w:rsidRPr="00CA099F">
        <w:rPr>
          <w:rFonts w:eastAsia="Calibri" w:cs="Times New Roman"/>
          <w:sz w:val="28"/>
          <w:szCs w:val="28"/>
        </w:rPr>
        <w:t xml:space="preserve"> 9,2 мм</w:t>
      </w:r>
      <w:r w:rsidRPr="00CA099F">
        <w:rPr>
          <w:rFonts w:eastAsia="Calibri" w:cs="Times New Roman"/>
          <w:sz w:val="28"/>
          <w:szCs w:val="28"/>
          <w:vertAlign w:val="superscript"/>
        </w:rPr>
        <w:t>2</w:t>
      </w:r>
      <w:r w:rsidRPr="00CA099F">
        <w:rPr>
          <w:rFonts w:eastAsia="Calibri" w:cs="Times New Roman"/>
          <w:sz w:val="28"/>
          <w:szCs w:val="28"/>
        </w:rPr>
        <w:t xml:space="preserve">) та у </w:t>
      </w:r>
      <w:r w:rsidR="00882365">
        <w:rPr>
          <w:rFonts w:eastAsia="Calibri" w:cs="Times New Roman"/>
          <w:sz w:val="28"/>
          <w:szCs w:val="28"/>
        </w:rPr>
        <w:t>5%</w:t>
      </w:r>
      <w:r w:rsidRPr="00CA099F">
        <w:rPr>
          <w:rFonts w:eastAsia="Calibri" w:cs="Times New Roman"/>
          <w:sz w:val="28"/>
          <w:szCs w:val="28"/>
        </w:rPr>
        <w:t xml:space="preserve"> </w:t>
      </w:r>
      <w:r w:rsidR="00D96DA9">
        <w:rPr>
          <w:rFonts w:eastAsia="Calibri" w:cs="Times New Roman"/>
          <w:sz w:val="28"/>
          <w:szCs w:val="28"/>
        </w:rPr>
        <w:t>пацієнтів</w:t>
      </w:r>
      <w:r w:rsidRPr="00CA099F">
        <w:rPr>
          <w:rFonts w:eastAsia="Calibri" w:cs="Times New Roman"/>
          <w:sz w:val="28"/>
          <w:szCs w:val="28"/>
        </w:rPr>
        <w:t xml:space="preserve"> була відмічена велика площа, а на 12 мі</w:t>
      </w:r>
      <w:r w:rsidR="00882365">
        <w:rPr>
          <w:rFonts w:eastAsia="Calibri" w:cs="Times New Roman"/>
          <w:sz w:val="28"/>
          <w:szCs w:val="28"/>
        </w:rPr>
        <w:t xml:space="preserve">сяць ознака </w:t>
      </w:r>
      <w:r w:rsidR="00882365">
        <w:rPr>
          <w:rFonts w:eastAsia="Calibri" w:cs="Times New Roman"/>
          <w:sz w:val="28"/>
          <w:szCs w:val="28"/>
        </w:rPr>
        <w:lastRenderedPageBreak/>
        <w:t>малої площі складає</w:t>
      </w:r>
      <w:r w:rsidR="00247382">
        <w:rPr>
          <w:rFonts w:eastAsia="Calibri" w:cs="Times New Roman"/>
          <w:sz w:val="28"/>
          <w:szCs w:val="28"/>
        </w:rPr>
        <w:t xml:space="preserve"> </w:t>
      </w:r>
      <w:r w:rsidRPr="00CA099F">
        <w:rPr>
          <w:rFonts w:eastAsia="Calibri" w:cs="Times New Roman"/>
          <w:sz w:val="28"/>
          <w:szCs w:val="28"/>
        </w:rPr>
        <w:t xml:space="preserve">90% пацієнтів, середня площа </w:t>
      </w:r>
      <w:r w:rsidR="00247382">
        <w:rPr>
          <w:rFonts w:eastAsia="Calibri" w:cs="Times New Roman"/>
          <w:sz w:val="28"/>
          <w:szCs w:val="28"/>
        </w:rPr>
        <w:t>– 10%</w:t>
      </w:r>
      <w:r w:rsidRPr="00CA099F">
        <w:rPr>
          <w:rFonts w:eastAsia="Calibri" w:cs="Times New Roman"/>
          <w:sz w:val="28"/>
          <w:szCs w:val="28"/>
        </w:rPr>
        <w:t xml:space="preserve"> </w:t>
      </w:r>
      <w:r w:rsidR="00D96DA9">
        <w:rPr>
          <w:rFonts w:eastAsia="Calibri" w:cs="Times New Roman"/>
          <w:sz w:val="28"/>
          <w:szCs w:val="28"/>
        </w:rPr>
        <w:t>пацієнтів</w:t>
      </w:r>
      <w:r w:rsidRPr="00CA099F">
        <w:rPr>
          <w:rFonts w:eastAsia="Calibri" w:cs="Times New Roman"/>
          <w:sz w:val="28"/>
          <w:szCs w:val="28"/>
        </w:rPr>
        <w:t xml:space="preserve"> (не перевищу</w:t>
      </w:r>
      <w:r w:rsidR="00247382">
        <w:rPr>
          <w:rFonts w:eastAsia="Calibri" w:cs="Times New Roman"/>
          <w:sz w:val="28"/>
          <w:szCs w:val="28"/>
        </w:rPr>
        <w:t>є</w:t>
      </w:r>
      <w:r w:rsidRPr="00CA099F">
        <w:rPr>
          <w:rFonts w:eastAsia="Calibri" w:cs="Times New Roman"/>
          <w:sz w:val="28"/>
          <w:szCs w:val="28"/>
        </w:rPr>
        <w:t xml:space="preserve"> 8,1 мм</w:t>
      </w:r>
      <w:r w:rsidRPr="00CA099F">
        <w:rPr>
          <w:rFonts w:eastAsia="Calibri" w:cs="Times New Roman"/>
          <w:sz w:val="28"/>
          <w:szCs w:val="28"/>
          <w:vertAlign w:val="superscript"/>
        </w:rPr>
        <w:t>2</w:t>
      </w:r>
      <w:r w:rsidRPr="00CA099F">
        <w:rPr>
          <w:rFonts w:eastAsia="Calibri" w:cs="Times New Roman"/>
          <w:sz w:val="28"/>
          <w:szCs w:val="28"/>
        </w:rPr>
        <w:t xml:space="preserve">) та відсутність </w:t>
      </w:r>
      <w:r w:rsidR="00D96DA9">
        <w:rPr>
          <w:rFonts w:eastAsia="Calibri" w:cs="Times New Roman"/>
          <w:sz w:val="28"/>
          <w:szCs w:val="28"/>
        </w:rPr>
        <w:t>пацієнтів</w:t>
      </w:r>
      <w:r w:rsidR="00247382">
        <w:rPr>
          <w:rFonts w:eastAsia="Calibri" w:cs="Times New Roman"/>
          <w:sz w:val="28"/>
          <w:szCs w:val="28"/>
        </w:rPr>
        <w:t>, які мають</w:t>
      </w:r>
      <w:r w:rsidRPr="00CA099F">
        <w:rPr>
          <w:rFonts w:eastAsia="Calibri" w:cs="Times New Roman"/>
          <w:sz w:val="28"/>
          <w:szCs w:val="28"/>
        </w:rPr>
        <w:t xml:space="preserve"> ознаку великої площі.</w:t>
      </w:r>
    </w:p>
    <w:p w:rsidR="0030517B" w:rsidRPr="00CA099F" w:rsidRDefault="0030517B" w:rsidP="003236D6">
      <w:pPr>
        <w:spacing w:after="160" w:line="360" w:lineRule="auto"/>
        <w:ind w:firstLine="708"/>
        <w:jc w:val="both"/>
        <w:rPr>
          <w:rFonts w:eastAsia="Calibri" w:cs="Times New Roman"/>
          <w:sz w:val="28"/>
          <w:szCs w:val="28"/>
        </w:rPr>
      </w:pPr>
      <w:r w:rsidRPr="00CA099F">
        <w:rPr>
          <w:rFonts w:eastAsia="Calibri" w:cs="Times New Roman"/>
          <w:sz w:val="28"/>
          <w:szCs w:val="28"/>
        </w:rPr>
        <w:t xml:space="preserve">Дані, щодо динаміки змін клінічних показників утворення рубцевозмінених тканин у </w:t>
      </w:r>
      <w:r w:rsidR="00D96DA9">
        <w:rPr>
          <w:rFonts w:eastAsia="Calibri" w:cs="Times New Roman"/>
          <w:sz w:val="28"/>
          <w:szCs w:val="28"/>
        </w:rPr>
        <w:t>пацієнтів</w:t>
      </w:r>
      <w:r w:rsidRPr="00CA099F">
        <w:rPr>
          <w:rFonts w:eastAsia="Calibri" w:cs="Times New Roman"/>
          <w:sz w:val="28"/>
          <w:szCs w:val="28"/>
        </w:rPr>
        <w:t xml:space="preserve"> 1 клінічної групи наведено в таблиці 6.2.</w:t>
      </w:r>
    </w:p>
    <w:p w:rsidR="0030517B" w:rsidRPr="00CA099F" w:rsidRDefault="0030517B" w:rsidP="0030517B">
      <w:pPr>
        <w:spacing w:after="160" w:line="360" w:lineRule="auto"/>
        <w:jc w:val="right"/>
        <w:rPr>
          <w:rFonts w:eastAsia="Calibri" w:cs="Times New Roman"/>
          <w:i/>
          <w:sz w:val="28"/>
          <w:szCs w:val="28"/>
        </w:rPr>
      </w:pPr>
      <w:r w:rsidRPr="00CA099F">
        <w:rPr>
          <w:rFonts w:eastAsia="Calibri" w:cs="Times New Roman"/>
          <w:i/>
          <w:sz w:val="28"/>
          <w:szCs w:val="28"/>
        </w:rPr>
        <w:t>Таблиця 6.2</w:t>
      </w:r>
    </w:p>
    <w:p w:rsidR="0030517B" w:rsidRPr="00CA099F" w:rsidRDefault="0030517B" w:rsidP="0030517B">
      <w:pPr>
        <w:spacing w:after="160" w:line="360" w:lineRule="auto"/>
        <w:jc w:val="center"/>
        <w:rPr>
          <w:rFonts w:eastAsia="Calibri" w:cs="Times New Roman"/>
          <w:b/>
          <w:sz w:val="28"/>
          <w:szCs w:val="28"/>
        </w:rPr>
      </w:pPr>
      <w:r w:rsidRPr="00CA099F">
        <w:rPr>
          <w:rFonts w:eastAsia="Calibri" w:cs="Times New Roman"/>
          <w:b/>
          <w:sz w:val="28"/>
          <w:szCs w:val="28"/>
        </w:rPr>
        <w:t>Динаміка клінічних змін показників у пацієнтів 1 групи на різних етапах післяопераційного періоду</w:t>
      </w:r>
    </w:p>
    <w:tbl>
      <w:tblPr>
        <w:tblW w:w="96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30"/>
        <w:gridCol w:w="1956"/>
        <w:gridCol w:w="1985"/>
        <w:gridCol w:w="1984"/>
        <w:gridCol w:w="1985"/>
      </w:tblGrid>
      <w:tr w:rsidR="0030517B" w:rsidRPr="00CA099F" w:rsidTr="00A105BE">
        <w:trPr>
          <w:trHeight w:val="827"/>
          <w:jc w:val="center"/>
        </w:trPr>
        <w:tc>
          <w:tcPr>
            <w:tcW w:w="1730" w:type="dxa"/>
            <w:vMerge w:val="restart"/>
            <w:tcBorders>
              <w:top w:val="single" w:sz="4" w:space="0" w:color="auto"/>
              <w:left w:val="single" w:sz="4" w:space="0" w:color="auto"/>
              <w:right w:val="single" w:sz="4" w:space="0" w:color="auto"/>
              <w:tl2br w:val="single" w:sz="4" w:space="0" w:color="auto"/>
            </w:tcBorders>
          </w:tcPr>
          <w:p w:rsidR="0030517B" w:rsidRPr="00CA099F" w:rsidRDefault="0030517B" w:rsidP="00E1448E">
            <w:pPr>
              <w:spacing w:after="160" w:line="259" w:lineRule="auto"/>
              <w:rPr>
                <w:rFonts w:eastAsia="Calibri" w:cs="Times New Roman"/>
                <w:szCs w:val="28"/>
              </w:rPr>
            </w:pPr>
            <w:r w:rsidRPr="00CA099F">
              <w:rPr>
                <w:rFonts w:eastAsia="Calibri" w:cs="Times New Roman"/>
                <w:sz w:val="28"/>
                <w:szCs w:val="28"/>
              </w:rPr>
              <w:t xml:space="preserve">     Термін</w:t>
            </w:r>
          </w:p>
          <w:p w:rsidR="00A105BE" w:rsidRDefault="00A105BE" w:rsidP="00E1448E">
            <w:pPr>
              <w:spacing w:after="160" w:line="259" w:lineRule="auto"/>
              <w:rPr>
                <w:rFonts w:eastAsia="Calibri" w:cs="Times New Roman"/>
                <w:szCs w:val="28"/>
              </w:rPr>
            </w:pPr>
          </w:p>
          <w:p w:rsidR="0030517B" w:rsidRPr="00CA099F" w:rsidRDefault="0030517B" w:rsidP="00E1448E">
            <w:pPr>
              <w:spacing w:after="160" w:line="259" w:lineRule="auto"/>
              <w:rPr>
                <w:rFonts w:eastAsia="Calibri" w:cs="Times New Roman"/>
                <w:szCs w:val="28"/>
              </w:rPr>
            </w:pPr>
            <w:r w:rsidRPr="00CA099F">
              <w:rPr>
                <w:rFonts w:eastAsia="Calibri" w:cs="Times New Roman"/>
                <w:sz w:val="28"/>
                <w:szCs w:val="28"/>
              </w:rPr>
              <w:t>Показник</w:t>
            </w:r>
          </w:p>
        </w:tc>
        <w:tc>
          <w:tcPr>
            <w:tcW w:w="1956" w:type="dxa"/>
            <w:tcBorders>
              <w:top w:val="single" w:sz="4" w:space="0" w:color="auto"/>
              <w:left w:val="single" w:sz="4" w:space="0" w:color="auto"/>
              <w:bottom w:val="single" w:sz="4" w:space="0" w:color="auto"/>
              <w:right w:val="single" w:sz="4" w:space="0" w:color="auto"/>
            </w:tcBorders>
          </w:tcPr>
          <w:p w:rsidR="0030517B" w:rsidRPr="00CA099F" w:rsidRDefault="0030517B" w:rsidP="00E1448E">
            <w:pPr>
              <w:spacing w:after="160" w:line="259" w:lineRule="auto"/>
              <w:jc w:val="center"/>
              <w:rPr>
                <w:rFonts w:eastAsia="Calibri" w:cs="Times New Roman"/>
                <w:szCs w:val="28"/>
              </w:rPr>
            </w:pPr>
            <w:r w:rsidRPr="00CA099F">
              <w:rPr>
                <w:rFonts w:eastAsia="Calibri" w:cs="Times New Roman"/>
                <w:sz w:val="28"/>
                <w:szCs w:val="28"/>
              </w:rPr>
              <w:t>3 місяць</w:t>
            </w:r>
          </w:p>
        </w:tc>
        <w:tc>
          <w:tcPr>
            <w:tcW w:w="1985" w:type="dxa"/>
            <w:tcBorders>
              <w:top w:val="single" w:sz="4" w:space="0" w:color="auto"/>
              <w:left w:val="single" w:sz="4" w:space="0" w:color="auto"/>
              <w:bottom w:val="single" w:sz="4" w:space="0" w:color="auto"/>
              <w:right w:val="single" w:sz="4" w:space="0" w:color="auto"/>
            </w:tcBorders>
          </w:tcPr>
          <w:p w:rsidR="0030517B" w:rsidRPr="00CA099F" w:rsidRDefault="0030517B" w:rsidP="00E1448E">
            <w:pPr>
              <w:spacing w:after="160" w:line="259" w:lineRule="auto"/>
              <w:jc w:val="center"/>
              <w:rPr>
                <w:rFonts w:eastAsia="Calibri" w:cs="Times New Roman"/>
                <w:szCs w:val="28"/>
              </w:rPr>
            </w:pPr>
            <w:r w:rsidRPr="00CA099F">
              <w:rPr>
                <w:rFonts w:eastAsia="Calibri" w:cs="Times New Roman"/>
                <w:sz w:val="28"/>
                <w:szCs w:val="28"/>
              </w:rPr>
              <w:t>6 місяць</w:t>
            </w:r>
          </w:p>
        </w:tc>
        <w:tc>
          <w:tcPr>
            <w:tcW w:w="1984" w:type="dxa"/>
            <w:tcBorders>
              <w:top w:val="single" w:sz="4" w:space="0" w:color="auto"/>
              <w:left w:val="single" w:sz="4" w:space="0" w:color="auto"/>
              <w:bottom w:val="single" w:sz="4" w:space="0" w:color="auto"/>
              <w:right w:val="single" w:sz="4" w:space="0" w:color="auto"/>
            </w:tcBorders>
          </w:tcPr>
          <w:p w:rsidR="0030517B" w:rsidRPr="00CA099F" w:rsidRDefault="0030517B" w:rsidP="00E1448E">
            <w:pPr>
              <w:spacing w:after="160" w:line="259" w:lineRule="auto"/>
              <w:jc w:val="center"/>
              <w:rPr>
                <w:rFonts w:eastAsia="Calibri" w:cs="Times New Roman"/>
                <w:szCs w:val="28"/>
              </w:rPr>
            </w:pPr>
            <w:r w:rsidRPr="00CA099F">
              <w:rPr>
                <w:rFonts w:eastAsia="Calibri" w:cs="Times New Roman"/>
                <w:sz w:val="28"/>
                <w:szCs w:val="28"/>
              </w:rPr>
              <w:t>9 місяць</w:t>
            </w:r>
          </w:p>
        </w:tc>
        <w:tc>
          <w:tcPr>
            <w:tcW w:w="1985" w:type="dxa"/>
            <w:tcBorders>
              <w:top w:val="single" w:sz="4" w:space="0" w:color="auto"/>
              <w:left w:val="single" w:sz="4" w:space="0" w:color="auto"/>
              <w:bottom w:val="single" w:sz="4" w:space="0" w:color="auto"/>
              <w:right w:val="single" w:sz="4" w:space="0" w:color="auto"/>
            </w:tcBorders>
          </w:tcPr>
          <w:p w:rsidR="0030517B" w:rsidRPr="00CA099F" w:rsidRDefault="0030517B" w:rsidP="00E1448E">
            <w:pPr>
              <w:spacing w:after="160" w:line="259" w:lineRule="auto"/>
              <w:jc w:val="center"/>
              <w:rPr>
                <w:rFonts w:eastAsia="Calibri" w:cs="Times New Roman"/>
                <w:szCs w:val="28"/>
              </w:rPr>
            </w:pPr>
            <w:r w:rsidRPr="00CA099F">
              <w:rPr>
                <w:rFonts w:eastAsia="Calibri" w:cs="Times New Roman"/>
                <w:sz w:val="28"/>
                <w:szCs w:val="28"/>
              </w:rPr>
              <w:t>12 місяць</w:t>
            </w:r>
          </w:p>
        </w:tc>
      </w:tr>
      <w:tr w:rsidR="0030517B" w:rsidRPr="00CA099F" w:rsidTr="00E1448E">
        <w:trPr>
          <w:trHeight w:val="358"/>
          <w:jc w:val="center"/>
        </w:trPr>
        <w:tc>
          <w:tcPr>
            <w:tcW w:w="1730" w:type="dxa"/>
            <w:vMerge/>
            <w:tcBorders>
              <w:left w:val="single" w:sz="4" w:space="0" w:color="auto"/>
              <w:bottom w:val="single" w:sz="4" w:space="0" w:color="auto"/>
              <w:right w:val="single" w:sz="4" w:space="0" w:color="auto"/>
              <w:tl2br w:val="single" w:sz="4" w:space="0" w:color="auto"/>
            </w:tcBorders>
          </w:tcPr>
          <w:p w:rsidR="0030517B" w:rsidRPr="00CA099F" w:rsidRDefault="0030517B" w:rsidP="00E1448E">
            <w:pPr>
              <w:spacing w:after="160" w:line="259" w:lineRule="auto"/>
              <w:rPr>
                <w:rFonts w:eastAsia="Calibri" w:cs="Times New Roman"/>
                <w:szCs w:val="28"/>
              </w:rPr>
            </w:pPr>
          </w:p>
        </w:tc>
        <w:tc>
          <w:tcPr>
            <w:tcW w:w="1956" w:type="dxa"/>
            <w:tcBorders>
              <w:top w:val="single" w:sz="4" w:space="0" w:color="auto"/>
              <w:left w:val="single" w:sz="4" w:space="0" w:color="auto"/>
              <w:bottom w:val="single" w:sz="4" w:space="0" w:color="auto"/>
              <w:right w:val="single" w:sz="4" w:space="0" w:color="auto"/>
            </w:tcBorders>
          </w:tcPr>
          <w:p w:rsidR="0030517B" w:rsidRPr="00CA099F" w:rsidRDefault="0030517B" w:rsidP="00E1448E">
            <w:pPr>
              <w:spacing w:after="160" w:line="259" w:lineRule="auto"/>
              <w:jc w:val="center"/>
              <w:rPr>
                <w:rFonts w:eastAsia="Calibri" w:cs="Times New Roman"/>
                <w:szCs w:val="28"/>
              </w:rPr>
            </w:pPr>
            <w:r w:rsidRPr="00CA099F">
              <w:rPr>
                <w:rFonts w:eastAsia="Calibri" w:cs="Times New Roman"/>
                <w:sz w:val="28"/>
                <w:szCs w:val="28"/>
              </w:rPr>
              <w:t>1</w:t>
            </w:r>
          </w:p>
        </w:tc>
        <w:tc>
          <w:tcPr>
            <w:tcW w:w="1985" w:type="dxa"/>
            <w:tcBorders>
              <w:top w:val="single" w:sz="4" w:space="0" w:color="auto"/>
              <w:left w:val="single" w:sz="4" w:space="0" w:color="auto"/>
              <w:bottom w:val="single" w:sz="4" w:space="0" w:color="auto"/>
              <w:right w:val="single" w:sz="4" w:space="0" w:color="auto"/>
            </w:tcBorders>
          </w:tcPr>
          <w:p w:rsidR="0030517B" w:rsidRPr="00CA099F" w:rsidRDefault="0030517B" w:rsidP="00E1448E">
            <w:pPr>
              <w:spacing w:after="160" w:line="259" w:lineRule="auto"/>
              <w:jc w:val="center"/>
              <w:rPr>
                <w:rFonts w:eastAsia="Calibri" w:cs="Times New Roman"/>
                <w:szCs w:val="28"/>
              </w:rPr>
            </w:pPr>
            <w:r w:rsidRPr="00CA099F">
              <w:rPr>
                <w:rFonts w:eastAsia="Calibri" w:cs="Times New Roman"/>
                <w:sz w:val="28"/>
                <w:szCs w:val="28"/>
              </w:rPr>
              <w:t>2</w:t>
            </w:r>
          </w:p>
        </w:tc>
        <w:tc>
          <w:tcPr>
            <w:tcW w:w="1984" w:type="dxa"/>
            <w:tcBorders>
              <w:top w:val="single" w:sz="4" w:space="0" w:color="auto"/>
              <w:left w:val="single" w:sz="4" w:space="0" w:color="auto"/>
              <w:bottom w:val="single" w:sz="4" w:space="0" w:color="auto"/>
              <w:right w:val="single" w:sz="4" w:space="0" w:color="auto"/>
            </w:tcBorders>
          </w:tcPr>
          <w:p w:rsidR="0030517B" w:rsidRPr="00CA099F" w:rsidRDefault="0030517B" w:rsidP="00E1448E">
            <w:pPr>
              <w:spacing w:after="160" w:line="259" w:lineRule="auto"/>
              <w:jc w:val="center"/>
              <w:rPr>
                <w:rFonts w:eastAsia="Calibri" w:cs="Times New Roman"/>
                <w:szCs w:val="28"/>
              </w:rPr>
            </w:pPr>
            <w:r w:rsidRPr="00CA099F">
              <w:rPr>
                <w:rFonts w:eastAsia="Calibri" w:cs="Times New Roman"/>
                <w:sz w:val="28"/>
                <w:szCs w:val="28"/>
              </w:rPr>
              <w:t>3</w:t>
            </w:r>
          </w:p>
        </w:tc>
        <w:tc>
          <w:tcPr>
            <w:tcW w:w="1985" w:type="dxa"/>
            <w:tcBorders>
              <w:top w:val="single" w:sz="4" w:space="0" w:color="auto"/>
              <w:left w:val="single" w:sz="4" w:space="0" w:color="auto"/>
              <w:bottom w:val="single" w:sz="4" w:space="0" w:color="auto"/>
              <w:right w:val="single" w:sz="4" w:space="0" w:color="auto"/>
            </w:tcBorders>
          </w:tcPr>
          <w:p w:rsidR="0030517B" w:rsidRPr="00CA099F" w:rsidRDefault="0030517B" w:rsidP="00E1448E">
            <w:pPr>
              <w:spacing w:after="160" w:line="259" w:lineRule="auto"/>
              <w:jc w:val="center"/>
              <w:rPr>
                <w:rFonts w:eastAsia="Calibri" w:cs="Times New Roman"/>
                <w:szCs w:val="28"/>
              </w:rPr>
            </w:pPr>
            <w:r w:rsidRPr="00CA099F">
              <w:rPr>
                <w:rFonts w:eastAsia="Calibri" w:cs="Times New Roman"/>
                <w:sz w:val="28"/>
                <w:szCs w:val="28"/>
              </w:rPr>
              <w:t>4</w:t>
            </w:r>
          </w:p>
        </w:tc>
      </w:tr>
      <w:tr w:rsidR="0030517B" w:rsidRPr="00CA099F" w:rsidTr="00E1448E">
        <w:tblPrEx>
          <w:tblLook w:val="04A0" w:firstRow="1" w:lastRow="0" w:firstColumn="1" w:lastColumn="0" w:noHBand="0" w:noVBand="1"/>
        </w:tblPrEx>
        <w:trPr>
          <w:jc w:val="center"/>
        </w:trPr>
        <w:tc>
          <w:tcPr>
            <w:tcW w:w="1730" w:type="dxa"/>
            <w:vMerge w:val="restart"/>
            <w:shd w:val="clear" w:color="auto" w:fill="auto"/>
          </w:tcPr>
          <w:p w:rsidR="0030517B" w:rsidRPr="00CA099F" w:rsidRDefault="0030517B" w:rsidP="00E1448E">
            <w:pPr>
              <w:spacing w:after="160" w:line="259" w:lineRule="auto"/>
              <w:jc w:val="center"/>
              <w:rPr>
                <w:rFonts w:eastAsia="Calibri" w:cs="Times New Roman"/>
                <w:szCs w:val="28"/>
              </w:rPr>
            </w:pPr>
            <w:r w:rsidRPr="00CA099F">
              <w:rPr>
                <w:rFonts w:eastAsia="Calibri" w:cs="Times New Roman"/>
                <w:sz w:val="28"/>
                <w:szCs w:val="28"/>
              </w:rPr>
              <w:t>П1</w:t>
            </w:r>
          </w:p>
        </w:tc>
        <w:tc>
          <w:tcPr>
            <w:tcW w:w="1956" w:type="dxa"/>
            <w:shd w:val="clear" w:color="auto" w:fill="auto"/>
          </w:tcPr>
          <w:p w:rsidR="0030517B" w:rsidRPr="00CA099F" w:rsidRDefault="0030517B" w:rsidP="00E1448E">
            <w:pPr>
              <w:spacing w:after="160" w:line="259" w:lineRule="auto"/>
              <w:rPr>
                <w:rFonts w:eastAsia="Calibri" w:cs="Times New Roman"/>
                <w:szCs w:val="28"/>
              </w:rPr>
            </w:pPr>
            <w:r w:rsidRPr="00CA099F">
              <w:rPr>
                <w:rFonts w:eastAsia="Calibri" w:cs="Times New Roman"/>
                <w:sz w:val="28"/>
                <w:szCs w:val="28"/>
              </w:rPr>
              <w:t>А – 5 (25%)</w:t>
            </w:r>
          </w:p>
        </w:tc>
        <w:tc>
          <w:tcPr>
            <w:tcW w:w="1985" w:type="dxa"/>
            <w:shd w:val="clear" w:color="auto" w:fill="auto"/>
          </w:tcPr>
          <w:p w:rsidR="0030517B" w:rsidRPr="00CA099F" w:rsidRDefault="0030517B" w:rsidP="00E1448E">
            <w:pPr>
              <w:spacing w:after="160" w:line="259" w:lineRule="auto"/>
              <w:rPr>
                <w:rFonts w:eastAsia="Calibri" w:cs="Times New Roman"/>
                <w:szCs w:val="28"/>
              </w:rPr>
            </w:pPr>
            <w:r w:rsidRPr="00CA099F">
              <w:rPr>
                <w:rFonts w:eastAsia="Calibri" w:cs="Times New Roman"/>
                <w:sz w:val="28"/>
                <w:szCs w:val="28"/>
              </w:rPr>
              <w:t>А – 6 (30%)</w:t>
            </w:r>
          </w:p>
        </w:tc>
        <w:tc>
          <w:tcPr>
            <w:tcW w:w="1984" w:type="dxa"/>
            <w:shd w:val="clear" w:color="auto" w:fill="auto"/>
          </w:tcPr>
          <w:p w:rsidR="0030517B" w:rsidRPr="00CA099F" w:rsidRDefault="0030517B" w:rsidP="00E1448E">
            <w:pPr>
              <w:spacing w:after="160" w:line="259" w:lineRule="auto"/>
              <w:rPr>
                <w:rFonts w:eastAsia="Calibri" w:cs="Times New Roman"/>
                <w:szCs w:val="28"/>
              </w:rPr>
            </w:pPr>
            <w:r w:rsidRPr="00CA099F">
              <w:rPr>
                <w:rFonts w:eastAsia="Calibri" w:cs="Times New Roman"/>
                <w:sz w:val="28"/>
                <w:szCs w:val="28"/>
              </w:rPr>
              <w:t>А – 5 (25%)</w:t>
            </w:r>
          </w:p>
        </w:tc>
        <w:tc>
          <w:tcPr>
            <w:tcW w:w="1985" w:type="dxa"/>
            <w:shd w:val="clear" w:color="auto" w:fill="auto"/>
          </w:tcPr>
          <w:p w:rsidR="0030517B" w:rsidRPr="00CA099F" w:rsidRDefault="0030517B" w:rsidP="00E1448E">
            <w:pPr>
              <w:spacing w:after="160" w:line="259" w:lineRule="auto"/>
              <w:rPr>
                <w:rFonts w:eastAsia="Calibri" w:cs="Times New Roman"/>
                <w:szCs w:val="28"/>
              </w:rPr>
            </w:pPr>
            <w:r w:rsidRPr="00CA099F">
              <w:rPr>
                <w:rFonts w:eastAsia="Calibri" w:cs="Times New Roman"/>
                <w:sz w:val="28"/>
                <w:szCs w:val="28"/>
              </w:rPr>
              <w:t>А – 4 (20%)</w:t>
            </w:r>
          </w:p>
        </w:tc>
      </w:tr>
      <w:tr w:rsidR="0030517B" w:rsidRPr="00CA099F" w:rsidTr="00E1448E">
        <w:tblPrEx>
          <w:tblLook w:val="04A0" w:firstRow="1" w:lastRow="0" w:firstColumn="1" w:lastColumn="0" w:noHBand="0" w:noVBand="1"/>
        </w:tblPrEx>
        <w:trPr>
          <w:jc w:val="center"/>
        </w:trPr>
        <w:tc>
          <w:tcPr>
            <w:tcW w:w="1730" w:type="dxa"/>
            <w:vMerge/>
            <w:shd w:val="clear" w:color="auto" w:fill="auto"/>
          </w:tcPr>
          <w:p w:rsidR="0030517B" w:rsidRPr="00CA099F" w:rsidRDefault="0030517B" w:rsidP="00E1448E">
            <w:pPr>
              <w:spacing w:after="160" w:line="259" w:lineRule="auto"/>
              <w:jc w:val="center"/>
              <w:rPr>
                <w:rFonts w:eastAsia="Calibri" w:cs="Times New Roman"/>
                <w:szCs w:val="28"/>
              </w:rPr>
            </w:pPr>
          </w:p>
        </w:tc>
        <w:tc>
          <w:tcPr>
            <w:tcW w:w="1956" w:type="dxa"/>
            <w:shd w:val="clear" w:color="auto" w:fill="auto"/>
          </w:tcPr>
          <w:p w:rsidR="0030517B" w:rsidRPr="00CA099F" w:rsidRDefault="0030517B" w:rsidP="00E1448E">
            <w:pPr>
              <w:spacing w:after="160" w:line="259" w:lineRule="auto"/>
              <w:rPr>
                <w:rFonts w:eastAsia="Calibri" w:cs="Times New Roman"/>
                <w:szCs w:val="28"/>
              </w:rPr>
            </w:pPr>
            <w:r w:rsidRPr="00CA099F">
              <w:rPr>
                <w:rFonts w:eastAsia="Calibri" w:cs="Times New Roman"/>
                <w:sz w:val="28"/>
                <w:szCs w:val="28"/>
              </w:rPr>
              <w:t>Н – 10 (50%)</w:t>
            </w:r>
          </w:p>
        </w:tc>
        <w:tc>
          <w:tcPr>
            <w:tcW w:w="1985" w:type="dxa"/>
            <w:shd w:val="clear" w:color="auto" w:fill="auto"/>
          </w:tcPr>
          <w:p w:rsidR="0030517B" w:rsidRPr="00CA099F" w:rsidRDefault="0030517B" w:rsidP="00E1448E">
            <w:pPr>
              <w:spacing w:after="160" w:line="259" w:lineRule="auto"/>
              <w:rPr>
                <w:rFonts w:eastAsia="Calibri" w:cs="Times New Roman"/>
                <w:szCs w:val="28"/>
              </w:rPr>
            </w:pPr>
            <w:r w:rsidRPr="00CA099F">
              <w:rPr>
                <w:rFonts w:eastAsia="Calibri" w:cs="Times New Roman"/>
                <w:sz w:val="28"/>
                <w:szCs w:val="28"/>
              </w:rPr>
              <w:t>Н – 13 (65%)</w:t>
            </w:r>
          </w:p>
        </w:tc>
        <w:tc>
          <w:tcPr>
            <w:tcW w:w="1984" w:type="dxa"/>
            <w:shd w:val="clear" w:color="auto" w:fill="auto"/>
          </w:tcPr>
          <w:p w:rsidR="0030517B" w:rsidRPr="00CA099F" w:rsidRDefault="0030517B" w:rsidP="00E1448E">
            <w:pPr>
              <w:spacing w:after="160" w:line="259" w:lineRule="auto"/>
              <w:rPr>
                <w:rFonts w:eastAsia="Calibri" w:cs="Times New Roman"/>
                <w:szCs w:val="28"/>
              </w:rPr>
            </w:pPr>
            <w:r w:rsidRPr="00CA099F">
              <w:rPr>
                <w:rFonts w:eastAsia="Calibri" w:cs="Times New Roman"/>
                <w:sz w:val="28"/>
                <w:szCs w:val="28"/>
              </w:rPr>
              <w:t>Н – 13 (65%)</w:t>
            </w:r>
          </w:p>
        </w:tc>
        <w:tc>
          <w:tcPr>
            <w:tcW w:w="1985" w:type="dxa"/>
            <w:shd w:val="clear" w:color="auto" w:fill="auto"/>
          </w:tcPr>
          <w:p w:rsidR="0030517B" w:rsidRPr="00CA099F" w:rsidRDefault="0030517B" w:rsidP="00E1448E">
            <w:pPr>
              <w:spacing w:after="160" w:line="259" w:lineRule="auto"/>
              <w:rPr>
                <w:rFonts w:eastAsia="Calibri" w:cs="Times New Roman"/>
                <w:szCs w:val="28"/>
              </w:rPr>
            </w:pPr>
            <w:r w:rsidRPr="00CA099F">
              <w:rPr>
                <w:rFonts w:eastAsia="Calibri" w:cs="Times New Roman"/>
                <w:sz w:val="28"/>
                <w:szCs w:val="28"/>
              </w:rPr>
              <w:t>Н – 14 (70%)</w:t>
            </w:r>
          </w:p>
        </w:tc>
      </w:tr>
      <w:tr w:rsidR="0030517B" w:rsidRPr="00CA099F" w:rsidTr="00E1448E">
        <w:tblPrEx>
          <w:tblLook w:val="04A0" w:firstRow="1" w:lastRow="0" w:firstColumn="1" w:lastColumn="0" w:noHBand="0" w:noVBand="1"/>
        </w:tblPrEx>
        <w:trPr>
          <w:trHeight w:val="124"/>
          <w:jc w:val="center"/>
        </w:trPr>
        <w:tc>
          <w:tcPr>
            <w:tcW w:w="1730" w:type="dxa"/>
            <w:vMerge/>
            <w:shd w:val="clear" w:color="auto" w:fill="auto"/>
          </w:tcPr>
          <w:p w:rsidR="0030517B" w:rsidRPr="00CA099F" w:rsidRDefault="0030517B" w:rsidP="00E1448E">
            <w:pPr>
              <w:spacing w:after="160" w:line="259" w:lineRule="auto"/>
              <w:jc w:val="center"/>
              <w:rPr>
                <w:rFonts w:eastAsia="Calibri" w:cs="Times New Roman"/>
                <w:szCs w:val="28"/>
              </w:rPr>
            </w:pPr>
          </w:p>
        </w:tc>
        <w:tc>
          <w:tcPr>
            <w:tcW w:w="1956" w:type="dxa"/>
            <w:shd w:val="clear" w:color="auto" w:fill="auto"/>
          </w:tcPr>
          <w:p w:rsidR="0030517B" w:rsidRPr="00CA099F" w:rsidRDefault="0030517B" w:rsidP="00E1448E">
            <w:pPr>
              <w:spacing w:after="160" w:line="259" w:lineRule="auto"/>
              <w:rPr>
                <w:rFonts w:eastAsia="Calibri" w:cs="Times New Roman"/>
                <w:szCs w:val="28"/>
              </w:rPr>
            </w:pPr>
            <w:r w:rsidRPr="00CA099F">
              <w:rPr>
                <w:rFonts w:eastAsia="Calibri" w:cs="Times New Roman"/>
                <w:sz w:val="28"/>
                <w:szCs w:val="28"/>
              </w:rPr>
              <w:t>Г</w:t>
            </w:r>
            <w:r w:rsidRPr="00CA099F">
              <w:rPr>
                <w:rFonts w:eastAsia="Calibri" w:cs="Times New Roman"/>
                <w:sz w:val="28"/>
                <w:szCs w:val="28"/>
                <w:vertAlign w:val="subscript"/>
              </w:rPr>
              <w:t>г</w:t>
            </w:r>
            <w:r w:rsidRPr="00CA099F">
              <w:rPr>
                <w:rFonts w:eastAsia="Calibri" w:cs="Times New Roman"/>
                <w:sz w:val="28"/>
                <w:szCs w:val="28"/>
              </w:rPr>
              <w:t xml:space="preserve"> – 4 (20%)</w:t>
            </w:r>
          </w:p>
        </w:tc>
        <w:tc>
          <w:tcPr>
            <w:tcW w:w="1985" w:type="dxa"/>
            <w:shd w:val="clear" w:color="auto" w:fill="auto"/>
          </w:tcPr>
          <w:p w:rsidR="0030517B" w:rsidRPr="00CA099F" w:rsidRDefault="0030517B" w:rsidP="00E1448E">
            <w:pPr>
              <w:spacing w:after="160" w:line="259" w:lineRule="auto"/>
              <w:rPr>
                <w:rFonts w:eastAsia="Calibri" w:cs="Times New Roman"/>
                <w:szCs w:val="28"/>
              </w:rPr>
            </w:pPr>
            <w:r w:rsidRPr="00CA099F">
              <w:rPr>
                <w:rFonts w:eastAsia="Calibri" w:cs="Times New Roman"/>
                <w:sz w:val="28"/>
                <w:szCs w:val="28"/>
              </w:rPr>
              <w:t>Г</w:t>
            </w:r>
            <w:r w:rsidRPr="00CA099F">
              <w:rPr>
                <w:rFonts w:eastAsia="Calibri" w:cs="Times New Roman"/>
                <w:sz w:val="28"/>
                <w:szCs w:val="28"/>
                <w:vertAlign w:val="subscript"/>
              </w:rPr>
              <w:t>г</w:t>
            </w:r>
            <w:r w:rsidRPr="00CA099F">
              <w:rPr>
                <w:rFonts w:eastAsia="Calibri" w:cs="Times New Roman"/>
                <w:sz w:val="28"/>
                <w:szCs w:val="28"/>
              </w:rPr>
              <w:t xml:space="preserve"> – 0 (0%)</w:t>
            </w:r>
          </w:p>
        </w:tc>
        <w:tc>
          <w:tcPr>
            <w:tcW w:w="1984" w:type="dxa"/>
            <w:shd w:val="clear" w:color="auto" w:fill="auto"/>
          </w:tcPr>
          <w:p w:rsidR="0030517B" w:rsidRPr="00CA099F" w:rsidRDefault="0030517B" w:rsidP="00E1448E">
            <w:pPr>
              <w:spacing w:after="160" w:line="259" w:lineRule="auto"/>
              <w:rPr>
                <w:rFonts w:eastAsia="Calibri" w:cs="Times New Roman"/>
                <w:szCs w:val="28"/>
              </w:rPr>
            </w:pPr>
            <w:r w:rsidRPr="00CA099F">
              <w:rPr>
                <w:rFonts w:eastAsia="Calibri" w:cs="Times New Roman"/>
                <w:sz w:val="28"/>
                <w:szCs w:val="28"/>
              </w:rPr>
              <w:t>Г</w:t>
            </w:r>
            <w:r w:rsidRPr="00CA099F">
              <w:rPr>
                <w:rFonts w:eastAsia="Calibri" w:cs="Times New Roman"/>
                <w:sz w:val="28"/>
                <w:szCs w:val="28"/>
                <w:vertAlign w:val="subscript"/>
              </w:rPr>
              <w:t>г</w:t>
            </w:r>
            <w:r w:rsidRPr="00CA099F">
              <w:rPr>
                <w:rFonts w:eastAsia="Calibri" w:cs="Times New Roman"/>
                <w:sz w:val="28"/>
                <w:szCs w:val="28"/>
              </w:rPr>
              <w:t xml:space="preserve"> – 2 (10%)</w:t>
            </w:r>
          </w:p>
        </w:tc>
        <w:tc>
          <w:tcPr>
            <w:tcW w:w="1985" w:type="dxa"/>
            <w:shd w:val="clear" w:color="auto" w:fill="auto"/>
          </w:tcPr>
          <w:p w:rsidR="0030517B" w:rsidRPr="00CA099F" w:rsidRDefault="0030517B" w:rsidP="00E1448E">
            <w:pPr>
              <w:spacing w:after="160" w:line="259" w:lineRule="auto"/>
              <w:rPr>
                <w:rFonts w:eastAsia="Calibri" w:cs="Times New Roman"/>
                <w:szCs w:val="28"/>
              </w:rPr>
            </w:pPr>
            <w:r w:rsidRPr="00CA099F">
              <w:rPr>
                <w:rFonts w:eastAsia="Calibri" w:cs="Times New Roman"/>
                <w:sz w:val="28"/>
                <w:szCs w:val="28"/>
              </w:rPr>
              <w:t>Г</w:t>
            </w:r>
            <w:r w:rsidRPr="00CA099F">
              <w:rPr>
                <w:rFonts w:eastAsia="Calibri" w:cs="Times New Roman"/>
                <w:sz w:val="28"/>
                <w:szCs w:val="28"/>
                <w:vertAlign w:val="subscript"/>
              </w:rPr>
              <w:t>г</w:t>
            </w:r>
            <w:r w:rsidRPr="00CA099F">
              <w:rPr>
                <w:rFonts w:eastAsia="Calibri" w:cs="Times New Roman"/>
                <w:sz w:val="28"/>
                <w:szCs w:val="28"/>
              </w:rPr>
              <w:t xml:space="preserve"> – 2 (10%)</w:t>
            </w:r>
          </w:p>
        </w:tc>
      </w:tr>
      <w:tr w:rsidR="0030517B" w:rsidRPr="00CA099F" w:rsidTr="00E1448E">
        <w:tblPrEx>
          <w:tblLook w:val="04A0" w:firstRow="1" w:lastRow="0" w:firstColumn="1" w:lastColumn="0" w:noHBand="0" w:noVBand="1"/>
        </w:tblPrEx>
        <w:trPr>
          <w:trHeight w:val="124"/>
          <w:jc w:val="center"/>
        </w:trPr>
        <w:tc>
          <w:tcPr>
            <w:tcW w:w="1730" w:type="dxa"/>
            <w:vMerge/>
            <w:shd w:val="clear" w:color="auto" w:fill="auto"/>
          </w:tcPr>
          <w:p w:rsidR="0030517B" w:rsidRPr="00CA099F" w:rsidRDefault="0030517B" w:rsidP="00E1448E">
            <w:pPr>
              <w:spacing w:after="160" w:line="259" w:lineRule="auto"/>
              <w:jc w:val="center"/>
              <w:rPr>
                <w:rFonts w:eastAsia="Calibri" w:cs="Times New Roman"/>
                <w:szCs w:val="28"/>
              </w:rPr>
            </w:pPr>
          </w:p>
        </w:tc>
        <w:tc>
          <w:tcPr>
            <w:tcW w:w="1956" w:type="dxa"/>
            <w:shd w:val="clear" w:color="auto" w:fill="auto"/>
          </w:tcPr>
          <w:p w:rsidR="0030517B" w:rsidRPr="00CA099F" w:rsidRDefault="0030517B" w:rsidP="00E1448E">
            <w:pPr>
              <w:spacing w:after="160" w:line="259" w:lineRule="auto"/>
              <w:rPr>
                <w:rFonts w:eastAsia="Calibri" w:cs="Times New Roman"/>
                <w:szCs w:val="28"/>
              </w:rPr>
            </w:pPr>
            <w:r w:rsidRPr="00CA099F">
              <w:rPr>
                <w:rFonts w:eastAsia="Calibri" w:cs="Times New Roman"/>
                <w:sz w:val="28"/>
                <w:szCs w:val="28"/>
              </w:rPr>
              <w:t>Г</w:t>
            </w:r>
            <w:r w:rsidRPr="00CA099F">
              <w:rPr>
                <w:rFonts w:eastAsia="Calibri" w:cs="Times New Roman"/>
                <w:sz w:val="28"/>
                <w:szCs w:val="28"/>
                <w:vertAlign w:val="subscript"/>
              </w:rPr>
              <w:t>в</w:t>
            </w:r>
            <w:r w:rsidRPr="00CA099F">
              <w:rPr>
                <w:rFonts w:eastAsia="Calibri" w:cs="Times New Roman"/>
                <w:sz w:val="28"/>
                <w:szCs w:val="28"/>
              </w:rPr>
              <w:t xml:space="preserve"> – 1 (5%)</w:t>
            </w:r>
          </w:p>
        </w:tc>
        <w:tc>
          <w:tcPr>
            <w:tcW w:w="1985" w:type="dxa"/>
            <w:shd w:val="clear" w:color="auto" w:fill="auto"/>
          </w:tcPr>
          <w:p w:rsidR="0030517B" w:rsidRPr="00CA099F" w:rsidRDefault="0030517B" w:rsidP="00E1448E">
            <w:pPr>
              <w:spacing w:after="160" w:line="259" w:lineRule="auto"/>
              <w:rPr>
                <w:rFonts w:eastAsia="Calibri" w:cs="Times New Roman"/>
                <w:szCs w:val="28"/>
              </w:rPr>
            </w:pPr>
            <w:r w:rsidRPr="00CA099F">
              <w:rPr>
                <w:rFonts w:eastAsia="Calibri" w:cs="Times New Roman"/>
                <w:sz w:val="28"/>
                <w:szCs w:val="28"/>
              </w:rPr>
              <w:t>Г</w:t>
            </w:r>
            <w:r w:rsidRPr="00CA099F">
              <w:rPr>
                <w:rFonts w:eastAsia="Calibri" w:cs="Times New Roman"/>
                <w:sz w:val="28"/>
                <w:szCs w:val="28"/>
                <w:vertAlign w:val="subscript"/>
              </w:rPr>
              <w:t>в</w:t>
            </w:r>
            <w:r w:rsidRPr="00CA099F">
              <w:rPr>
                <w:rFonts w:eastAsia="Calibri" w:cs="Times New Roman"/>
                <w:sz w:val="28"/>
                <w:szCs w:val="28"/>
              </w:rPr>
              <w:t xml:space="preserve"> – 1 (5%)</w:t>
            </w:r>
          </w:p>
        </w:tc>
        <w:tc>
          <w:tcPr>
            <w:tcW w:w="1984" w:type="dxa"/>
            <w:shd w:val="clear" w:color="auto" w:fill="auto"/>
          </w:tcPr>
          <w:p w:rsidR="0030517B" w:rsidRPr="00CA099F" w:rsidRDefault="0030517B" w:rsidP="00E1448E">
            <w:pPr>
              <w:spacing w:after="160" w:line="259" w:lineRule="auto"/>
              <w:rPr>
                <w:rFonts w:eastAsia="Calibri" w:cs="Times New Roman"/>
                <w:szCs w:val="28"/>
              </w:rPr>
            </w:pPr>
            <w:r w:rsidRPr="00CA099F">
              <w:rPr>
                <w:rFonts w:eastAsia="Calibri" w:cs="Times New Roman"/>
                <w:sz w:val="28"/>
                <w:szCs w:val="28"/>
              </w:rPr>
              <w:t>Г</w:t>
            </w:r>
            <w:r w:rsidRPr="00CA099F">
              <w:rPr>
                <w:rFonts w:eastAsia="Calibri" w:cs="Times New Roman"/>
                <w:sz w:val="28"/>
                <w:szCs w:val="28"/>
                <w:vertAlign w:val="subscript"/>
              </w:rPr>
              <w:t>в</w:t>
            </w:r>
            <w:r w:rsidRPr="00CA099F">
              <w:rPr>
                <w:rFonts w:eastAsia="Calibri" w:cs="Times New Roman"/>
                <w:sz w:val="28"/>
                <w:szCs w:val="28"/>
              </w:rPr>
              <w:t xml:space="preserve"> – 0 (0%)</w:t>
            </w:r>
          </w:p>
        </w:tc>
        <w:tc>
          <w:tcPr>
            <w:tcW w:w="1985" w:type="dxa"/>
            <w:shd w:val="clear" w:color="auto" w:fill="auto"/>
          </w:tcPr>
          <w:p w:rsidR="0030517B" w:rsidRPr="00CA099F" w:rsidRDefault="0030517B" w:rsidP="00E1448E">
            <w:pPr>
              <w:spacing w:after="160" w:line="259" w:lineRule="auto"/>
              <w:rPr>
                <w:rFonts w:eastAsia="Calibri" w:cs="Times New Roman"/>
                <w:szCs w:val="28"/>
              </w:rPr>
            </w:pPr>
            <w:r w:rsidRPr="00CA099F">
              <w:rPr>
                <w:rFonts w:eastAsia="Calibri" w:cs="Times New Roman"/>
                <w:sz w:val="28"/>
                <w:szCs w:val="28"/>
              </w:rPr>
              <w:t>Г</w:t>
            </w:r>
            <w:r w:rsidRPr="00CA099F">
              <w:rPr>
                <w:rFonts w:eastAsia="Calibri" w:cs="Times New Roman"/>
                <w:sz w:val="28"/>
                <w:szCs w:val="28"/>
                <w:vertAlign w:val="subscript"/>
              </w:rPr>
              <w:t>в</w:t>
            </w:r>
            <w:r w:rsidRPr="00CA099F">
              <w:rPr>
                <w:rFonts w:eastAsia="Calibri" w:cs="Times New Roman"/>
                <w:sz w:val="28"/>
                <w:szCs w:val="28"/>
              </w:rPr>
              <w:t xml:space="preserve"> – 0 (0%)</w:t>
            </w:r>
          </w:p>
        </w:tc>
      </w:tr>
      <w:tr w:rsidR="0030517B" w:rsidRPr="00CA099F" w:rsidTr="00E1448E">
        <w:tblPrEx>
          <w:tblLook w:val="04A0" w:firstRow="1" w:lastRow="0" w:firstColumn="1" w:lastColumn="0" w:noHBand="0" w:noVBand="1"/>
        </w:tblPrEx>
        <w:trPr>
          <w:trHeight w:val="136"/>
          <w:jc w:val="center"/>
        </w:trPr>
        <w:tc>
          <w:tcPr>
            <w:tcW w:w="1730" w:type="dxa"/>
            <w:vMerge/>
            <w:shd w:val="clear" w:color="auto" w:fill="auto"/>
          </w:tcPr>
          <w:p w:rsidR="0030517B" w:rsidRPr="00CA099F" w:rsidRDefault="0030517B" w:rsidP="00E1448E">
            <w:pPr>
              <w:spacing w:after="160" w:line="259" w:lineRule="auto"/>
              <w:jc w:val="center"/>
              <w:rPr>
                <w:rFonts w:eastAsia="Calibri" w:cs="Times New Roman"/>
                <w:szCs w:val="28"/>
              </w:rPr>
            </w:pPr>
          </w:p>
        </w:tc>
        <w:tc>
          <w:tcPr>
            <w:tcW w:w="1956" w:type="dxa"/>
            <w:shd w:val="clear" w:color="auto" w:fill="auto"/>
          </w:tcPr>
          <w:p w:rsidR="0030517B" w:rsidRPr="00CA099F" w:rsidRDefault="0030517B" w:rsidP="00E1448E">
            <w:pPr>
              <w:spacing w:after="160" w:line="259" w:lineRule="auto"/>
              <w:rPr>
                <w:rFonts w:eastAsia="Calibri" w:cs="Times New Roman"/>
                <w:szCs w:val="28"/>
              </w:rPr>
            </w:pPr>
            <w:r w:rsidRPr="00CA099F">
              <w:rPr>
                <w:rFonts w:eastAsia="Calibri" w:cs="Times New Roman"/>
                <w:sz w:val="28"/>
                <w:szCs w:val="28"/>
              </w:rPr>
              <w:t>К – 0 (0%)</w:t>
            </w:r>
          </w:p>
        </w:tc>
        <w:tc>
          <w:tcPr>
            <w:tcW w:w="1985" w:type="dxa"/>
            <w:shd w:val="clear" w:color="auto" w:fill="auto"/>
          </w:tcPr>
          <w:p w:rsidR="0030517B" w:rsidRPr="00CA099F" w:rsidRDefault="0030517B" w:rsidP="00E1448E">
            <w:pPr>
              <w:spacing w:after="160" w:line="259" w:lineRule="auto"/>
              <w:rPr>
                <w:rFonts w:eastAsia="Calibri" w:cs="Times New Roman"/>
                <w:szCs w:val="28"/>
              </w:rPr>
            </w:pPr>
            <w:r w:rsidRPr="00CA099F">
              <w:rPr>
                <w:rFonts w:eastAsia="Calibri" w:cs="Times New Roman"/>
                <w:sz w:val="28"/>
                <w:szCs w:val="28"/>
              </w:rPr>
              <w:t>К – 0 (0%)</w:t>
            </w:r>
          </w:p>
        </w:tc>
        <w:tc>
          <w:tcPr>
            <w:tcW w:w="1984" w:type="dxa"/>
            <w:shd w:val="clear" w:color="auto" w:fill="auto"/>
          </w:tcPr>
          <w:p w:rsidR="0030517B" w:rsidRPr="00CA099F" w:rsidRDefault="0030517B" w:rsidP="00E1448E">
            <w:pPr>
              <w:spacing w:after="160" w:line="259" w:lineRule="auto"/>
              <w:rPr>
                <w:rFonts w:eastAsia="Calibri" w:cs="Times New Roman"/>
                <w:szCs w:val="28"/>
              </w:rPr>
            </w:pPr>
            <w:r w:rsidRPr="00CA099F">
              <w:rPr>
                <w:rFonts w:eastAsia="Calibri" w:cs="Times New Roman"/>
                <w:sz w:val="28"/>
                <w:szCs w:val="28"/>
              </w:rPr>
              <w:t>К – 0 (0%)</w:t>
            </w:r>
          </w:p>
        </w:tc>
        <w:tc>
          <w:tcPr>
            <w:tcW w:w="1985" w:type="dxa"/>
            <w:shd w:val="clear" w:color="auto" w:fill="auto"/>
          </w:tcPr>
          <w:p w:rsidR="0030517B" w:rsidRPr="00CA099F" w:rsidRDefault="0030517B" w:rsidP="00E1448E">
            <w:pPr>
              <w:spacing w:after="160" w:line="259" w:lineRule="auto"/>
              <w:rPr>
                <w:rFonts w:eastAsia="Calibri" w:cs="Times New Roman"/>
                <w:szCs w:val="28"/>
              </w:rPr>
            </w:pPr>
            <w:r w:rsidRPr="00CA099F">
              <w:rPr>
                <w:rFonts w:eastAsia="Calibri" w:cs="Times New Roman"/>
                <w:sz w:val="28"/>
                <w:szCs w:val="28"/>
              </w:rPr>
              <w:t>К – 0 (0%)</w:t>
            </w:r>
          </w:p>
        </w:tc>
      </w:tr>
      <w:tr w:rsidR="0030517B" w:rsidRPr="00CA099F" w:rsidTr="00E1448E">
        <w:tblPrEx>
          <w:tblLook w:val="04A0" w:firstRow="1" w:lastRow="0" w:firstColumn="1" w:lastColumn="0" w:noHBand="0" w:noVBand="1"/>
        </w:tblPrEx>
        <w:trPr>
          <w:trHeight w:val="583"/>
          <w:jc w:val="center"/>
        </w:trPr>
        <w:tc>
          <w:tcPr>
            <w:tcW w:w="1730" w:type="dxa"/>
            <w:vMerge w:val="restart"/>
            <w:shd w:val="clear" w:color="auto" w:fill="auto"/>
          </w:tcPr>
          <w:p w:rsidR="0030517B" w:rsidRPr="00CA099F" w:rsidRDefault="0030517B" w:rsidP="00E1448E">
            <w:pPr>
              <w:spacing w:after="160" w:line="259" w:lineRule="auto"/>
              <w:jc w:val="center"/>
              <w:rPr>
                <w:rFonts w:eastAsia="Calibri" w:cs="Times New Roman"/>
                <w:szCs w:val="28"/>
              </w:rPr>
            </w:pPr>
            <w:r w:rsidRPr="00CA099F">
              <w:rPr>
                <w:rFonts w:eastAsia="Calibri" w:cs="Times New Roman"/>
                <w:sz w:val="28"/>
                <w:szCs w:val="28"/>
              </w:rPr>
              <w:t>П2</w:t>
            </w:r>
          </w:p>
        </w:tc>
        <w:tc>
          <w:tcPr>
            <w:tcW w:w="1956" w:type="dxa"/>
            <w:shd w:val="clear" w:color="auto" w:fill="auto"/>
          </w:tcPr>
          <w:p w:rsidR="0030517B" w:rsidRPr="00CA099F" w:rsidRDefault="0030517B" w:rsidP="00E1448E">
            <w:pPr>
              <w:spacing w:after="160" w:line="259" w:lineRule="auto"/>
              <w:rPr>
                <w:rFonts w:eastAsia="Calibri" w:cs="Times New Roman"/>
                <w:szCs w:val="28"/>
              </w:rPr>
            </w:pPr>
            <w:r w:rsidRPr="00CA099F">
              <w:rPr>
                <w:rFonts w:eastAsia="Calibri" w:cs="Times New Roman"/>
                <w:sz w:val="28"/>
                <w:szCs w:val="28"/>
              </w:rPr>
              <w:t>Н – 9 (45%)</w:t>
            </w:r>
          </w:p>
        </w:tc>
        <w:tc>
          <w:tcPr>
            <w:tcW w:w="1985" w:type="dxa"/>
            <w:shd w:val="clear" w:color="auto" w:fill="auto"/>
          </w:tcPr>
          <w:p w:rsidR="0030517B" w:rsidRPr="00CA099F" w:rsidRDefault="0030517B" w:rsidP="00E1448E">
            <w:pPr>
              <w:spacing w:after="160" w:line="259" w:lineRule="auto"/>
              <w:rPr>
                <w:rFonts w:eastAsia="Calibri" w:cs="Times New Roman"/>
                <w:szCs w:val="28"/>
              </w:rPr>
            </w:pPr>
            <w:r w:rsidRPr="00CA099F">
              <w:rPr>
                <w:rFonts w:eastAsia="Calibri" w:cs="Times New Roman"/>
                <w:sz w:val="28"/>
                <w:szCs w:val="28"/>
              </w:rPr>
              <w:t>Н – 14 (70%)</w:t>
            </w:r>
          </w:p>
        </w:tc>
        <w:tc>
          <w:tcPr>
            <w:tcW w:w="1984" w:type="dxa"/>
            <w:shd w:val="clear" w:color="auto" w:fill="auto"/>
          </w:tcPr>
          <w:p w:rsidR="0030517B" w:rsidRPr="00CA099F" w:rsidRDefault="0030517B" w:rsidP="00E1448E">
            <w:pPr>
              <w:spacing w:after="160" w:line="259" w:lineRule="auto"/>
              <w:rPr>
                <w:rFonts w:eastAsia="Calibri" w:cs="Times New Roman"/>
                <w:szCs w:val="28"/>
              </w:rPr>
            </w:pPr>
            <w:r w:rsidRPr="00CA099F">
              <w:rPr>
                <w:rFonts w:eastAsia="Calibri" w:cs="Times New Roman"/>
                <w:sz w:val="28"/>
                <w:szCs w:val="28"/>
              </w:rPr>
              <w:t>Н – 15 (75%)</w:t>
            </w:r>
          </w:p>
        </w:tc>
        <w:tc>
          <w:tcPr>
            <w:tcW w:w="1985" w:type="dxa"/>
            <w:shd w:val="clear" w:color="auto" w:fill="auto"/>
          </w:tcPr>
          <w:p w:rsidR="0030517B" w:rsidRPr="00CA099F" w:rsidRDefault="0030517B" w:rsidP="00E1448E">
            <w:pPr>
              <w:spacing w:after="160" w:line="259" w:lineRule="auto"/>
              <w:rPr>
                <w:rFonts w:eastAsia="Calibri" w:cs="Times New Roman"/>
                <w:szCs w:val="28"/>
              </w:rPr>
            </w:pPr>
            <w:r w:rsidRPr="00CA099F">
              <w:rPr>
                <w:rFonts w:eastAsia="Calibri" w:cs="Times New Roman"/>
                <w:sz w:val="28"/>
                <w:szCs w:val="28"/>
              </w:rPr>
              <w:t>Н – 15 (75%)</w:t>
            </w:r>
          </w:p>
        </w:tc>
      </w:tr>
      <w:tr w:rsidR="0030517B" w:rsidRPr="00CA099F" w:rsidTr="00E1448E">
        <w:tblPrEx>
          <w:tblLook w:val="04A0" w:firstRow="1" w:lastRow="0" w:firstColumn="1" w:lastColumn="0" w:noHBand="0" w:noVBand="1"/>
        </w:tblPrEx>
        <w:trPr>
          <w:trHeight w:val="124"/>
          <w:jc w:val="center"/>
        </w:trPr>
        <w:tc>
          <w:tcPr>
            <w:tcW w:w="1730" w:type="dxa"/>
            <w:vMerge/>
            <w:shd w:val="clear" w:color="auto" w:fill="auto"/>
          </w:tcPr>
          <w:p w:rsidR="0030517B" w:rsidRPr="00CA099F" w:rsidRDefault="0030517B" w:rsidP="00E1448E">
            <w:pPr>
              <w:spacing w:after="160" w:line="259" w:lineRule="auto"/>
              <w:jc w:val="center"/>
              <w:rPr>
                <w:rFonts w:eastAsia="Calibri" w:cs="Times New Roman"/>
                <w:szCs w:val="28"/>
              </w:rPr>
            </w:pPr>
          </w:p>
        </w:tc>
        <w:tc>
          <w:tcPr>
            <w:tcW w:w="1956" w:type="dxa"/>
            <w:shd w:val="clear" w:color="auto" w:fill="auto"/>
          </w:tcPr>
          <w:p w:rsidR="0030517B" w:rsidRPr="00CA099F" w:rsidRDefault="0030517B" w:rsidP="00E1448E">
            <w:pPr>
              <w:spacing w:after="160" w:line="259" w:lineRule="auto"/>
              <w:rPr>
                <w:rFonts w:eastAsia="Calibri" w:cs="Times New Roman"/>
                <w:szCs w:val="28"/>
              </w:rPr>
            </w:pPr>
            <w:r w:rsidRPr="00CA099F">
              <w:rPr>
                <w:rFonts w:eastAsia="Calibri" w:cs="Times New Roman"/>
                <w:sz w:val="28"/>
                <w:szCs w:val="28"/>
              </w:rPr>
              <w:t>У – 9 (45%)</w:t>
            </w:r>
          </w:p>
        </w:tc>
        <w:tc>
          <w:tcPr>
            <w:tcW w:w="1985" w:type="dxa"/>
            <w:shd w:val="clear" w:color="auto" w:fill="auto"/>
          </w:tcPr>
          <w:p w:rsidR="0030517B" w:rsidRPr="00CA099F" w:rsidRDefault="0030517B" w:rsidP="00E1448E">
            <w:pPr>
              <w:spacing w:after="160" w:line="259" w:lineRule="auto"/>
              <w:rPr>
                <w:rFonts w:eastAsia="Calibri" w:cs="Times New Roman"/>
                <w:szCs w:val="28"/>
              </w:rPr>
            </w:pPr>
            <w:r w:rsidRPr="00CA099F">
              <w:rPr>
                <w:rFonts w:eastAsia="Calibri" w:cs="Times New Roman"/>
                <w:sz w:val="28"/>
                <w:szCs w:val="28"/>
              </w:rPr>
              <w:t>У – 6 (30%)</w:t>
            </w:r>
          </w:p>
        </w:tc>
        <w:tc>
          <w:tcPr>
            <w:tcW w:w="1984" w:type="dxa"/>
            <w:shd w:val="clear" w:color="auto" w:fill="auto"/>
          </w:tcPr>
          <w:p w:rsidR="0030517B" w:rsidRPr="00CA099F" w:rsidRDefault="0030517B" w:rsidP="00E1448E">
            <w:pPr>
              <w:spacing w:after="160" w:line="259" w:lineRule="auto"/>
              <w:rPr>
                <w:rFonts w:eastAsia="Calibri" w:cs="Times New Roman"/>
                <w:szCs w:val="28"/>
              </w:rPr>
            </w:pPr>
            <w:r w:rsidRPr="00CA099F">
              <w:rPr>
                <w:rFonts w:eastAsia="Calibri" w:cs="Times New Roman"/>
                <w:sz w:val="28"/>
                <w:szCs w:val="28"/>
              </w:rPr>
              <w:t>У – 5 (25%)</w:t>
            </w:r>
          </w:p>
        </w:tc>
        <w:tc>
          <w:tcPr>
            <w:tcW w:w="1985" w:type="dxa"/>
            <w:shd w:val="clear" w:color="auto" w:fill="auto"/>
          </w:tcPr>
          <w:p w:rsidR="0030517B" w:rsidRPr="00CA099F" w:rsidRDefault="0030517B" w:rsidP="00E1448E">
            <w:pPr>
              <w:spacing w:after="160" w:line="259" w:lineRule="auto"/>
              <w:rPr>
                <w:rFonts w:eastAsia="Calibri" w:cs="Times New Roman"/>
                <w:szCs w:val="28"/>
              </w:rPr>
            </w:pPr>
            <w:r w:rsidRPr="00CA099F">
              <w:rPr>
                <w:rFonts w:eastAsia="Calibri" w:cs="Times New Roman"/>
                <w:sz w:val="28"/>
                <w:szCs w:val="28"/>
              </w:rPr>
              <w:t>У – 5 (25%)</w:t>
            </w:r>
          </w:p>
        </w:tc>
      </w:tr>
      <w:tr w:rsidR="0030517B" w:rsidRPr="00CA099F" w:rsidTr="00E1448E">
        <w:tblPrEx>
          <w:tblLook w:val="04A0" w:firstRow="1" w:lastRow="0" w:firstColumn="1" w:lastColumn="0" w:noHBand="0" w:noVBand="1"/>
        </w:tblPrEx>
        <w:trPr>
          <w:trHeight w:val="124"/>
          <w:jc w:val="center"/>
        </w:trPr>
        <w:tc>
          <w:tcPr>
            <w:tcW w:w="1730" w:type="dxa"/>
            <w:vMerge/>
            <w:shd w:val="clear" w:color="auto" w:fill="auto"/>
          </w:tcPr>
          <w:p w:rsidR="0030517B" w:rsidRPr="00CA099F" w:rsidRDefault="0030517B" w:rsidP="00E1448E">
            <w:pPr>
              <w:spacing w:after="160" w:line="259" w:lineRule="auto"/>
              <w:jc w:val="center"/>
              <w:rPr>
                <w:rFonts w:eastAsia="Calibri" w:cs="Times New Roman"/>
                <w:szCs w:val="28"/>
              </w:rPr>
            </w:pPr>
          </w:p>
        </w:tc>
        <w:tc>
          <w:tcPr>
            <w:tcW w:w="1956" w:type="dxa"/>
            <w:shd w:val="clear" w:color="auto" w:fill="auto"/>
          </w:tcPr>
          <w:p w:rsidR="0030517B" w:rsidRPr="00CA099F" w:rsidRDefault="0030517B" w:rsidP="00E1448E">
            <w:pPr>
              <w:spacing w:after="160" w:line="259" w:lineRule="auto"/>
              <w:rPr>
                <w:rFonts w:eastAsia="Calibri" w:cs="Times New Roman"/>
                <w:szCs w:val="28"/>
              </w:rPr>
            </w:pPr>
            <w:r w:rsidRPr="00CA099F">
              <w:rPr>
                <w:rFonts w:eastAsia="Calibri" w:cs="Times New Roman"/>
                <w:sz w:val="28"/>
                <w:szCs w:val="28"/>
              </w:rPr>
              <w:t>І – 2 (10%)</w:t>
            </w:r>
          </w:p>
        </w:tc>
        <w:tc>
          <w:tcPr>
            <w:tcW w:w="1985" w:type="dxa"/>
            <w:shd w:val="clear" w:color="auto" w:fill="auto"/>
          </w:tcPr>
          <w:p w:rsidR="0030517B" w:rsidRPr="00CA099F" w:rsidRDefault="0030517B" w:rsidP="00E1448E">
            <w:pPr>
              <w:spacing w:after="160" w:line="259" w:lineRule="auto"/>
              <w:rPr>
                <w:rFonts w:eastAsia="Calibri" w:cs="Times New Roman"/>
                <w:szCs w:val="28"/>
              </w:rPr>
            </w:pPr>
            <w:r w:rsidRPr="00CA099F">
              <w:rPr>
                <w:rFonts w:eastAsia="Calibri" w:cs="Times New Roman"/>
                <w:sz w:val="28"/>
                <w:szCs w:val="28"/>
              </w:rPr>
              <w:t>І – 0 (0%)</w:t>
            </w:r>
          </w:p>
        </w:tc>
        <w:tc>
          <w:tcPr>
            <w:tcW w:w="1984" w:type="dxa"/>
            <w:shd w:val="clear" w:color="auto" w:fill="auto"/>
          </w:tcPr>
          <w:p w:rsidR="0030517B" w:rsidRPr="00CA099F" w:rsidRDefault="0030517B" w:rsidP="00E1448E">
            <w:pPr>
              <w:spacing w:after="160" w:line="259" w:lineRule="auto"/>
              <w:rPr>
                <w:rFonts w:eastAsia="Calibri" w:cs="Times New Roman"/>
                <w:szCs w:val="28"/>
              </w:rPr>
            </w:pPr>
            <w:r w:rsidRPr="00CA099F">
              <w:rPr>
                <w:rFonts w:eastAsia="Calibri" w:cs="Times New Roman"/>
                <w:sz w:val="28"/>
                <w:szCs w:val="28"/>
              </w:rPr>
              <w:t>І – 0 (0%)</w:t>
            </w:r>
          </w:p>
        </w:tc>
        <w:tc>
          <w:tcPr>
            <w:tcW w:w="1985" w:type="dxa"/>
            <w:shd w:val="clear" w:color="auto" w:fill="auto"/>
          </w:tcPr>
          <w:p w:rsidR="0030517B" w:rsidRPr="00CA099F" w:rsidRDefault="0030517B" w:rsidP="00E1448E">
            <w:pPr>
              <w:spacing w:after="160" w:line="259" w:lineRule="auto"/>
              <w:rPr>
                <w:rFonts w:eastAsia="Calibri" w:cs="Times New Roman"/>
                <w:szCs w:val="28"/>
              </w:rPr>
            </w:pPr>
            <w:r w:rsidRPr="00CA099F">
              <w:rPr>
                <w:rFonts w:eastAsia="Calibri" w:cs="Times New Roman"/>
                <w:sz w:val="28"/>
                <w:szCs w:val="28"/>
              </w:rPr>
              <w:t>І – 0 (0%)</w:t>
            </w:r>
          </w:p>
        </w:tc>
      </w:tr>
      <w:tr w:rsidR="0030517B" w:rsidRPr="00CA099F" w:rsidTr="00E1448E">
        <w:tblPrEx>
          <w:tblLook w:val="04A0" w:firstRow="1" w:lastRow="0" w:firstColumn="1" w:lastColumn="0" w:noHBand="0" w:noVBand="1"/>
        </w:tblPrEx>
        <w:trPr>
          <w:trHeight w:val="458"/>
          <w:jc w:val="center"/>
        </w:trPr>
        <w:tc>
          <w:tcPr>
            <w:tcW w:w="1730" w:type="dxa"/>
            <w:vMerge w:val="restart"/>
            <w:shd w:val="clear" w:color="auto" w:fill="auto"/>
          </w:tcPr>
          <w:p w:rsidR="0030517B" w:rsidRPr="00CA099F" w:rsidRDefault="0030517B" w:rsidP="00E1448E">
            <w:pPr>
              <w:spacing w:after="160" w:line="259" w:lineRule="auto"/>
              <w:jc w:val="center"/>
              <w:rPr>
                <w:rFonts w:eastAsia="Calibri" w:cs="Times New Roman"/>
                <w:szCs w:val="28"/>
              </w:rPr>
            </w:pPr>
            <w:r w:rsidRPr="00CA099F">
              <w:rPr>
                <w:rFonts w:eastAsia="Calibri" w:cs="Times New Roman"/>
                <w:sz w:val="28"/>
                <w:szCs w:val="28"/>
              </w:rPr>
              <w:t>П3</w:t>
            </w:r>
          </w:p>
        </w:tc>
        <w:tc>
          <w:tcPr>
            <w:tcW w:w="1956" w:type="dxa"/>
            <w:shd w:val="clear" w:color="auto" w:fill="auto"/>
          </w:tcPr>
          <w:p w:rsidR="0030517B" w:rsidRPr="00CA099F" w:rsidRDefault="0030517B" w:rsidP="00E1448E">
            <w:pPr>
              <w:spacing w:after="160" w:line="259" w:lineRule="auto"/>
              <w:rPr>
                <w:rFonts w:eastAsia="Calibri" w:cs="Times New Roman"/>
                <w:szCs w:val="28"/>
              </w:rPr>
            </w:pPr>
            <w:r w:rsidRPr="00CA099F">
              <w:rPr>
                <w:rFonts w:eastAsia="Calibri" w:cs="Times New Roman"/>
                <w:sz w:val="28"/>
                <w:szCs w:val="28"/>
              </w:rPr>
              <w:t>Н – 9 (45%)</w:t>
            </w:r>
          </w:p>
        </w:tc>
        <w:tc>
          <w:tcPr>
            <w:tcW w:w="1985" w:type="dxa"/>
            <w:shd w:val="clear" w:color="auto" w:fill="auto"/>
          </w:tcPr>
          <w:p w:rsidR="0030517B" w:rsidRPr="00CA099F" w:rsidRDefault="0030517B" w:rsidP="00E1448E">
            <w:pPr>
              <w:spacing w:after="160" w:line="259" w:lineRule="auto"/>
              <w:rPr>
                <w:rFonts w:eastAsia="Calibri" w:cs="Times New Roman"/>
                <w:szCs w:val="28"/>
              </w:rPr>
            </w:pPr>
            <w:r w:rsidRPr="00CA099F">
              <w:rPr>
                <w:rFonts w:eastAsia="Calibri" w:cs="Times New Roman"/>
                <w:sz w:val="28"/>
                <w:szCs w:val="28"/>
              </w:rPr>
              <w:t>Н – 11 (55%)</w:t>
            </w:r>
          </w:p>
        </w:tc>
        <w:tc>
          <w:tcPr>
            <w:tcW w:w="1984" w:type="dxa"/>
            <w:shd w:val="clear" w:color="auto" w:fill="auto"/>
          </w:tcPr>
          <w:p w:rsidR="0030517B" w:rsidRPr="00CA099F" w:rsidRDefault="0030517B" w:rsidP="00E1448E">
            <w:pPr>
              <w:spacing w:after="160" w:line="259" w:lineRule="auto"/>
              <w:rPr>
                <w:rFonts w:eastAsia="Calibri" w:cs="Times New Roman"/>
                <w:szCs w:val="28"/>
              </w:rPr>
            </w:pPr>
            <w:r w:rsidRPr="00CA099F">
              <w:rPr>
                <w:rFonts w:eastAsia="Calibri" w:cs="Times New Roman"/>
                <w:sz w:val="28"/>
                <w:szCs w:val="28"/>
              </w:rPr>
              <w:t>Н – 12 (60%)</w:t>
            </w:r>
          </w:p>
        </w:tc>
        <w:tc>
          <w:tcPr>
            <w:tcW w:w="1985" w:type="dxa"/>
            <w:shd w:val="clear" w:color="auto" w:fill="auto"/>
          </w:tcPr>
          <w:p w:rsidR="0030517B" w:rsidRPr="00CA099F" w:rsidRDefault="0030517B" w:rsidP="00E1448E">
            <w:pPr>
              <w:spacing w:after="160" w:line="259" w:lineRule="auto"/>
              <w:rPr>
                <w:rFonts w:eastAsia="Calibri" w:cs="Times New Roman"/>
                <w:szCs w:val="28"/>
              </w:rPr>
            </w:pPr>
            <w:r w:rsidRPr="00CA099F">
              <w:rPr>
                <w:rFonts w:eastAsia="Calibri" w:cs="Times New Roman"/>
                <w:sz w:val="28"/>
                <w:szCs w:val="28"/>
              </w:rPr>
              <w:t>Н – 17 (85%)</w:t>
            </w:r>
          </w:p>
        </w:tc>
      </w:tr>
      <w:tr w:rsidR="0030517B" w:rsidRPr="00CA099F" w:rsidTr="00E1448E">
        <w:tblPrEx>
          <w:tblLook w:val="04A0" w:firstRow="1" w:lastRow="0" w:firstColumn="1" w:lastColumn="0" w:noHBand="0" w:noVBand="1"/>
        </w:tblPrEx>
        <w:trPr>
          <w:trHeight w:val="124"/>
          <w:jc w:val="center"/>
        </w:trPr>
        <w:tc>
          <w:tcPr>
            <w:tcW w:w="1730" w:type="dxa"/>
            <w:vMerge/>
            <w:shd w:val="clear" w:color="auto" w:fill="auto"/>
          </w:tcPr>
          <w:p w:rsidR="0030517B" w:rsidRPr="00CA099F" w:rsidRDefault="0030517B" w:rsidP="00E1448E">
            <w:pPr>
              <w:spacing w:after="160" w:line="259" w:lineRule="auto"/>
              <w:jc w:val="center"/>
              <w:rPr>
                <w:rFonts w:eastAsia="Calibri" w:cs="Times New Roman"/>
                <w:szCs w:val="28"/>
              </w:rPr>
            </w:pPr>
          </w:p>
        </w:tc>
        <w:tc>
          <w:tcPr>
            <w:tcW w:w="1956" w:type="dxa"/>
            <w:shd w:val="clear" w:color="auto" w:fill="auto"/>
          </w:tcPr>
          <w:p w:rsidR="0030517B" w:rsidRPr="00CA099F" w:rsidRDefault="0030517B" w:rsidP="00E1448E">
            <w:pPr>
              <w:spacing w:after="160" w:line="259" w:lineRule="auto"/>
              <w:rPr>
                <w:rFonts w:eastAsia="Calibri" w:cs="Times New Roman"/>
                <w:szCs w:val="28"/>
              </w:rPr>
            </w:pPr>
            <w:r w:rsidRPr="00CA099F">
              <w:rPr>
                <w:rFonts w:eastAsia="Calibri" w:cs="Times New Roman"/>
                <w:sz w:val="28"/>
                <w:szCs w:val="28"/>
              </w:rPr>
              <w:t>Е</w:t>
            </w:r>
            <w:r w:rsidRPr="00CA099F">
              <w:rPr>
                <w:rFonts w:eastAsia="Calibri" w:cs="Times New Roman"/>
                <w:sz w:val="28"/>
                <w:szCs w:val="28"/>
                <w:vertAlign w:val="subscript"/>
              </w:rPr>
              <w:t>п</w:t>
            </w:r>
            <w:r w:rsidRPr="00CA099F">
              <w:rPr>
                <w:rFonts w:eastAsia="Calibri" w:cs="Times New Roman"/>
                <w:sz w:val="28"/>
                <w:szCs w:val="28"/>
              </w:rPr>
              <w:t xml:space="preserve"> – 7 (35%)</w:t>
            </w:r>
          </w:p>
        </w:tc>
        <w:tc>
          <w:tcPr>
            <w:tcW w:w="1985" w:type="dxa"/>
            <w:shd w:val="clear" w:color="auto" w:fill="auto"/>
          </w:tcPr>
          <w:p w:rsidR="0030517B" w:rsidRPr="00CA099F" w:rsidRDefault="0030517B" w:rsidP="00E1448E">
            <w:pPr>
              <w:spacing w:after="160" w:line="259" w:lineRule="auto"/>
              <w:rPr>
                <w:rFonts w:eastAsia="Calibri" w:cs="Times New Roman"/>
                <w:szCs w:val="28"/>
              </w:rPr>
            </w:pPr>
            <w:r w:rsidRPr="00CA099F">
              <w:rPr>
                <w:rFonts w:eastAsia="Calibri" w:cs="Times New Roman"/>
                <w:sz w:val="28"/>
                <w:szCs w:val="28"/>
              </w:rPr>
              <w:t>Е</w:t>
            </w:r>
            <w:r w:rsidRPr="00CA099F">
              <w:rPr>
                <w:rFonts w:eastAsia="Calibri" w:cs="Times New Roman"/>
                <w:sz w:val="28"/>
                <w:szCs w:val="28"/>
                <w:vertAlign w:val="subscript"/>
              </w:rPr>
              <w:t>п</w:t>
            </w:r>
            <w:r w:rsidRPr="00CA099F">
              <w:rPr>
                <w:rFonts w:eastAsia="Calibri" w:cs="Times New Roman"/>
                <w:sz w:val="28"/>
                <w:szCs w:val="28"/>
              </w:rPr>
              <w:t xml:space="preserve"> – 6 (30%)</w:t>
            </w:r>
          </w:p>
        </w:tc>
        <w:tc>
          <w:tcPr>
            <w:tcW w:w="1984" w:type="dxa"/>
            <w:shd w:val="clear" w:color="auto" w:fill="auto"/>
          </w:tcPr>
          <w:p w:rsidR="0030517B" w:rsidRPr="00CA099F" w:rsidRDefault="0030517B" w:rsidP="00E1448E">
            <w:pPr>
              <w:spacing w:after="160" w:line="259" w:lineRule="auto"/>
              <w:rPr>
                <w:rFonts w:eastAsia="Calibri" w:cs="Times New Roman"/>
                <w:szCs w:val="28"/>
              </w:rPr>
            </w:pPr>
            <w:r w:rsidRPr="00CA099F">
              <w:rPr>
                <w:rFonts w:eastAsia="Calibri" w:cs="Times New Roman"/>
                <w:sz w:val="28"/>
                <w:szCs w:val="28"/>
              </w:rPr>
              <w:t>Е</w:t>
            </w:r>
            <w:r w:rsidRPr="00CA099F">
              <w:rPr>
                <w:rFonts w:eastAsia="Calibri" w:cs="Times New Roman"/>
                <w:sz w:val="28"/>
                <w:szCs w:val="28"/>
                <w:vertAlign w:val="subscript"/>
              </w:rPr>
              <w:t>п</w:t>
            </w:r>
            <w:r w:rsidRPr="00CA099F">
              <w:rPr>
                <w:rFonts w:eastAsia="Calibri" w:cs="Times New Roman"/>
                <w:sz w:val="28"/>
                <w:szCs w:val="28"/>
              </w:rPr>
              <w:t xml:space="preserve"> – 6 (30%)</w:t>
            </w:r>
          </w:p>
        </w:tc>
        <w:tc>
          <w:tcPr>
            <w:tcW w:w="1985" w:type="dxa"/>
            <w:shd w:val="clear" w:color="auto" w:fill="auto"/>
          </w:tcPr>
          <w:p w:rsidR="0030517B" w:rsidRPr="00CA099F" w:rsidRDefault="0030517B" w:rsidP="00E1448E">
            <w:pPr>
              <w:spacing w:after="160" w:line="259" w:lineRule="auto"/>
              <w:rPr>
                <w:rFonts w:eastAsia="Calibri" w:cs="Times New Roman"/>
                <w:szCs w:val="28"/>
              </w:rPr>
            </w:pPr>
            <w:r w:rsidRPr="00CA099F">
              <w:rPr>
                <w:rFonts w:eastAsia="Calibri" w:cs="Times New Roman"/>
                <w:sz w:val="28"/>
                <w:szCs w:val="28"/>
              </w:rPr>
              <w:t>Е</w:t>
            </w:r>
            <w:r w:rsidRPr="00CA099F">
              <w:rPr>
                <w:rFonts w:eastAsia="Calibri" w:cs="Times New Roman"/>
                <w:sz w:val="28"/>
                <w:szCs w:val="28"/>
                <w:vertAlign w:val="subscript"/>
              </w:rPr>
              <w:t>п</w:t>
            </w:r>
            <w:r w:rsidRPr="00CA099F">
              <w:rPr>
                <w:rFonts w:eastAsia="Calibri" w:cs="Times New Roman"/>
                <w:sz w:val="28"/>
                <w:szCs w:val="28"/>
              </w:rPr>
              <w:t xml:space="preserve"> – 2 (10%)</w:t>
            </w:r>
          </w:p>
        </w:tc>
      </w:tr>
      <w:tr w:rsidR="0030517B" w:rsidRPr="00CA099F" w:rsidTr="00E1448E">
        <w:tblPrEx>
          <w:tblLook w:val="04A0" w:firstRow="1" w:lastRow="0" w:firstColumn="1" w:lastColumn="0" w:noHBand="0" w:noVBand="1"/>
        </w:tblPrEx>
        <w:trPr>
          <w:trHeight w:val="124"/>
          <w:jc w:val="center"/>
        </w:trPr>
        <w:tc>
          <w:tcPr>
            <w:tcW w:w="1730" w:type="dxa"/>
            <w:vMerge/>
            <w:shd w:val="clear" w:color="auto" w:fill="auto"/>
          </w:tcPr>
          <w:p w:rsidR="0030517B" w:rsidRPr="00CA099F" w:rsidRDefault="0030517B" w:rsidP="00E1448E">
            <w:pPr>
              <w:spacing w:after="160" w:line="259" w:lineRule="auto"/>
              <w:jc w:val="center"/>
              <w:rPr>
                <w:rFonts w:eastAsia="Calibri" w:cs="Times New Roman"/>
                <w:szCs w:val="28"/>
              </w:rPr>
            </w:pPr>
          </w:p>
        </w:tc>
        <w:tc>
          <w:tcPr>
            <w:tcW w:w="1956" w:type="dxa"/>
            <w:shd w:val="clear" w:color="auto" w:fill="auto"/>
          </w:tcPr>
          <w:p w:rsidR="0030517B" w:rsidRPr="00CA099F" w:rsidRDefault="0030517B" w:rsidP="00E1448E">
            <w:pPr>
              <w:spacing w:after="160" w:line="259" w:lineRule="auto"/>
              <w:rPr>
                <w:rFonts w:eastAsia="Calibri" w:cs="Times New Roman"/>
                <w:szCs w:val="28"/>
              </w:rPr>
            </w:pPr>
            <w:r w:rsidRPr="00CA099F">
              <w:rPr>
                <w:rFonts w:eastAsia="Calibri" w:cs="Times New Roman"/>
                <w:sz w:val="28"/>
                <w:szCs w:val="28"/>
              </w:rPr>
              <w:t>Е</w:t>
            </w:r>
            <w:r w:rsidRPr="00CA099F">
              <w:rPr>
                <w:rFonts w:eastAsia="Calibri" w:cs="Times New Roman"/>
                <w:sz w:val="28"/>
                <w:szCs w:val="28"/>
                <w:vertAlign w:val="subscript"/>
              </w:rPr>
              <w:t>в</w:t>
            </w:r>
            <w:r w:rsidRPr="00CA099F">
              <w:rPr>
                <w:rFonts w:eastAsia="Calibri" w:cs="Times New Roman"/>
                <w:sz w:val="28"/>
                <w:szCs w:val="28"/>
              </w:rPr>
              <w:t xml:space="preserve"> – 4 (20%)</w:t>
            </w:r>
          </w:p>
        </w:tc>
        <w:tc>
          <w:tcPr>
            <w:tcW w:w="1985" w:type="dxa"/>
            <w:shd w:val="clear" w:color="auto" w:fill="auto"/>
          </w:tcPr>
          <w:p w:rsidR="0030517B" w:rsidRPr="00CA099F" w:rsidRDefault="0030517B" w:rsidP="00E1448E">
            <w:pPr>
              <w:spacing w:after="160" w:line="259" w:lineRule="auto"/>
              <w:rPr>
                <w:rFonts w:eastAsia="Calibri" w:cs="Times New Roman"/>
                <w:szCs w:val="28"/>
              </w:rPr>
            </w:pPr>
            <w:r w:rsidRPr="00CA099F">
              <w:rPr>
                <w:rFonts w:eastAsia="Calibri" w:cs="Times New Roman"/>
                <w:sz w:val="28"/>
                <w:szCs w:val="28"/>
              </w:rPr>
              <w:t>Е</w:t>
            </w:r>
            <w:r w:rsidRPr="00CA099F">
              <w:rPr>
                <w:rFonts w:eastAsia="Calibri" w:cs="Times New Roman"/>
                <w:sz w:val="28"/>
                <w:szCs w:val="28"/>
                <w:vertAlign w:val="subscript"/>
              </w:rPr>
              <w:t>в</w:t>
            </w:r>
            <w:r w:rsidRPr="00CA099F">
              <w:rPr>
                <w:rFonts w:eastAsia="Calibri" w:cs="Times New Roman"/>
                <w:sz w:val="28"/>
                <w:szCs w:val="28"/>
              </w:rPr>
              <w:t xml:space="preserve"> – 3 (15%)</w:t>
            </w:r>
          </w:p>
        </w:tc>
        <w:tc>
          <w:tcPr>
            <w:tcW w:w="1984" w:type="dxa"/>
            <w:shd w:val="clear" w:color="auto" w:fill="auto"/>
          </w:tcPr>
          <w:p w:rsidR="0030517B" w:rsidRPr="00CA099F" w:rsidRDefault="0030517B" w:rsidP="00E1448E">
            <w:pPr>
              <w:spacing w:after="160" w:line="259" w:lineRule="auto"/>
              <w:rPr>
                <w:rFonts w:eastAsia="Calibri" w:cs="Times New Roman"/>
                <w:szCs w:val="28"/>
              </w:rPr>
            </w:pPr>
            <w:r w:rsidRPr="00CA099F">
              <w:rPr>
                <w:rFonts w:eastAsia="Calibri" w:cs="Times New Roman"/>
                <w:sz w:val="28"/>
                <w:szCs w:val="28"/>
              </w:rPr>
              <w:t>Е</w:t>
            </w:r>
            <w:r w:rsidRPr="00CA099F">
              <w:rPr>
                <w:rFonts w:eastAsia="Calibri" w:cs="Times New Roman"/>
                <w:sz w:val="28"/>
                <w:szCs w:val="28"/>
                <w:vertAlign w:val="subscript"/>
              </w:rPr>
              <w:t>в</w:t>
            </w:r>
            <w:r w:rsidRPr="00CA099F">
              <w:rPr>
                <w:rFonts w:eastAsia="Calibri" w:cs="Times New Roman"/>
                <w:sz w:val="28"/>
                <w:szCs w:val="28"/>
              </w:rPr>
              <w:t xml:space="preserve"> – 2 (10%)</w:t>
            </w:r>
          </w:p>
        </w:tc>
        <w:tc>
          <w:tcPr>
            <w:tcW w:w="1985" w:type="dxa"/>
            <w:shd w:val="clear" w:color="auto" w:fill="auto"/>
          </w:tcPr>
          <w:p w:rsidR="0030517B" w:rsidRPr="00CA099F" w:rsidRDefault="0030517B" w:rsidP="00E1448E">
            <w:pPr>
              <w:spacing w:after="160" w:line="259" w:lineRule="auto"/>
              <w:rPr>
                <w:rFonts w:eastAsia="Calibri" w:cs="Times New Roman"/>
                <w:szCs w:val="28"/>
              </w:rPr>
            </w:pPr>
            <w:r w:rsidRPr="00CA099F">
              <w:rPr>
                <w:rFonts w:eastAsia="Calibri" w:cs="Times New Roman"/>
                <w:sz w:val="28"/>
                <w:szCs w:val="28"/>
              </w:rPr>
              <w:t>Е</w:t>
            </w:r>
            <w:r w:rsidRPr="00CA099F">
              <w:rPr>
                <w:rFonts w:eastAsia="Calibri" w:cs="Times New Roman"/>
                <w:sz w:val="28"/>
                <w:szCs w:val="28"/>
                <w:vertAlign w:val="subscript"/>
              </w:rPr>
              <w:t>в</w:t>
            </w:r>
            <w:r w:rsidRPr="00CA099F">
              <w:rPr>
                <w:rFonts w:eastAsia="Calibri" w:cs="Times New Roman"/>
                <w:sz w:val="28"/>
                <w:szCs w:val="28"/>
              </w:rPr>
              <w:t xml:space="preserve"> – 1 (5%)</w:t>
            </w:r>
          </w:p>
        </w:tc>
      </w:tr>
      <w:tr w:rsidR="0030517B" w:rsidRPr="00CA099F" w:rsidTr="00E1448E">
        <w:tblPrEx>
          <w:tblLook w:val="04A0" w:firstRow="1" w:lastRow="0" w:firstColumn="1" w:lastColumn="0" w:noHBand="0" w:noVBand="1"/>
        </w:tblPrEx>
        <w:trPr>
          <w:trHeight w:val="583"/>
          <w:jc w:val="center"/>
        </w:trPr>
        <w:tc>
          <w:tcPr>
            <w:tcW w:w="1730" w:type="dxa"/>
            <w:vMerge w:val="restart"/>
            <w:shd w:val="clear" w:color="auto" w:fill="auto"/>
          </w:tcPr>
          <w:p w:rsidR="0030517B" w:rsidRPr="00CA099F" w:rsidRDefault="0030517B" w:rsidP="00E1448E">
            <w:pPr>
              <w:spacing w:after="160" w:line="259" w:lineRule="auto"/>
              <w:jc w:val="center"/>
              <w:rPr>
                <w:rFonts w:eastAsia="Calibri" w:cs="Times New Roman"/>
                <w:szCs w:val="28"/>
              </w:rPr>
            </w:pPr>
            <w:r w:rsidRPr="00CA099F">
              <w:rPr>
                <w:rFonts w:eastAsia="Calibri" w:cs="Times New Roman"/>
                <w:sz w:val="28"/>
                <w:szCs w:val="28"/>
              </w:rPr>
              <w:t>П4</w:t>
            </w:r>
          </w:p>
        </w:tc>
        <w:tc>
          <w:tcPr>
            <w:tcW w:w="1956" w:type="dxa"/>
            <w:shd w:val="clear" w:color="auto" w:fill="auto"/>
          </w:tcPr>
          <w:p w:rsidR="0030517B" w:rsidRPr="00CA099F" w:rsidRDefault="0030517B" w:rsidP="00E1448E">
            <w:pPr>
              <w:spacing w:after="160" w:line="259" w:lineRule="auto"/>
              <w:rPr>
                <w:rFonts w:eastAsia="Calibri" w:cs="Times New Roman"/>
                <w:szCs w:val="28"/>
              </w:rPr>
            </w:pPr>
            <w:r w:rsidRPr="00CA099F">
              <w:rPr>
                <w:rFonts w:eastAsia="Calibri" w:cs="Times New Roman"/>
                <w:sz w:val="28"/>
                <w:szCs w:val="28"/>
              </w:rPr>
              <w:t>Н</w:t>
            </w:r>
            <w:r w:rsidRPr="00CA099F">
              <w:rPr>
                <w:rFonts w:eastAsia="Calibri" w:cs="Times New Roman"/>
                <w:sz w:val="28"/>
                <w:szCs w:val="28"/>
                <w:vertAlign w:val="subscript"/>
              </w:rPr>
              <w:t>ж</w:t>
            </w:r>
            <w:r w:rsidRPr="00CA099F">
              <w:rPr>
                <w:rFonts w:eastAsia="Calibri" w:cs="Times New Roman"/>
                <w:sz w:val="28"/>
                <w:szCs w:val="28"/>
              </w:rPr>
              <w:t xml:space="preserve"> – 11 (55%)</w:t>
            </w:r>
          </w:p>
        </w:tc>
        <w:tc>
          <w:tcPr>
            <w:tcW w:w="1985" w:type="dxa"/>
            <w:shd w:val="clear" w:color="auto" w:fill="auto"/>
          </w:tcPr>
          <w:p w:rsidR="0030517B" w:rsidRPr="00CA099F" w:rsidRDefault="0030517B" w:rsidP="00E1448E">
            <w:pPr>
              <w:spacing w:after="160" w:line="259" w:lineRule="auto"/>
              <w:rPr>
                <w:rFonts w:eastAsia="Calibri" w:cs="Times New Roman"/>
                <w:szCs w:val="28"/>
              </w:rPr>
            </w:pPr>
            <w:r w:rsidRPr="00CA099F">
              <w:rPr>
                <w:rFonts w:eastAsia="Calibri" w:cs="Times New Roman"/>
                <w:sz w:val="28"/>
                <w:szCs w:val="28"/>
              </w:rPr>
              <w:t>Н</w:t>
            </w:r>
            <w:r w:rsidRPr="00CA099F">
              <w:rPr>
                <w:rFonts w:eastAsia="Calibri" w:cs="Times New Roman"/>
                <w:sz w:val="28"/>
                <w:szCs w:val="28"/>
                <w:vertAlign w:val="subscript"/>
              </w:rPr>
              <w:t>ж</w:t>
            </w:r>
            <w:r w:rsidRPr="00CA099F">
              <w:rPr>
                <w:rFonts w:eastAsia="Calibri" w:cs="Times New Roman"/>
                <w:sz w:val="28"/>
                <w:szCs w:val="28"/>
              </w:rPr>
              <w:t xml:space="preserve"> – 10 (50%)</w:t>
            </w:r>
          </w:p>
        </w:tc>
        <w:tc>
          <w:tcPr>
            <w:tcW w:w="1984" w:type="dxa"/>
            <w:shd w:val="clear" w:color="auto" w:fill="auto"/>
          </w:tcPr>
          <w:p w:rsidR="0030517B" w:rsidRPr="00CA099F" w:rsidRDefault="0030517B" w:rsidP="00E1448E">
            <w:pPr>
              <w:spacing w:after="160" w:line="259" w:lineRule="auto"/>
              <w:rPr>
                <w:rFonts w:eastAsia="Calibri" w:cs="Times New Roman"/>
                <w:szCs w:val="28"/>
              </w:rPr>
            </w:pPr>
            <w:r w:rsidRPr="00CA099F">
              <w:rPr>
                <w:rFonts w:eastAsia="Calibri" w:cs="Times New Roman"/>
                <w:sz w:val="28"/>
                <w:szCs w:val="28"/>
              </w:rPr>
              <w:t>Н</w:t>
            </w:r>
            <w:r w:rsidRPr="00CA099F">
              <w:rPr>
                <w:rFonts w:eastAsia="Calibri" w:cs="Times New Roman"/>
                <w:sz w:val="28"/>
                <w:szCs w:val="28"/>
                <w:vertAlign w:val="subscript"/>
              </w:rPr>
              <w:t>ж</w:t>
            </w:r>
            <w:r w:rsidRPr="00CA099F">
              <w:rPr>
                <w:rFonts w:eastAsia="Calibri" w:cs="Times New Roman"/>
                <w:sz w:val="28"/>
                <w:szCs w:val="28"/>
              </w:rPr>
              <w:t xml:space="preserve"> – 8 (40%)</w:t>
            </w:r>
          </w:p>
        </w:tc>
        <w:tc>
          <w:tcPr>
            <w:tcW w:w="1985" w:type="dxa"/>
            <w:shd w:val="clear" w:color="auto" w:fill="auto"/>
          </w:tcPr>
          <w:p w:rsidR="0030517B" w:rsidRPr="00CA099F" w:rsidRDefault="0030517B" w:rsidP="00E1448E">
            <w:pPr>
              <w:spacing w:after="160" w:line="259" w:lineRule="auto"/>
              <w:rPr>
                <w:rFonts w:eastAsia="Calibri" w:cs="Times New Roman"/>
                <w:szCs w:val="28"/>
              </w:rPr>
            </w:pPr>
            <w:r w:rsidRPr="00CA099F">
              <w:rPr>
                <w:rFonts w:eastAsia="Calibri" w:cs="Times New Roman"/>
                <w:sz w:val="28"/>
                <w:szCs w:val="28"/>
              </w:rPr>
              <w:t>Н</w:t>
            </w:r>
            <w:r w:rsidRPr="00CA099F">
              <w:rPr>
                <w:rFonts w:eastAsia="Calibri" w:cs="Times New Roman"/>
                <w:sz w:val="28"/>
                <w:szCs w:val="28"/>
                <w:vertAlign w:val="subscript"/>
              </w:rPr>
              <w:t>ж</w:t>
            </w:r>
            <w:r w:rsidRPr="00CA099F">
              <w:rPr>
                <w:rFonts w:eastAsia="Calibri" w:cs="Times New Roman"/>
                <w:sz w:val="28"/>
                <w:szCs w:val="28"/>
              </w:rPr>
              <w:t xml:space="preserve"> – 3 (15%)</w:t>
            </w:r>
          </w:p>
        </w:tc>
      </w:tr>
      <w:tr w:rsidR="0030517B" w:rsidRPr="00CA099F" w:rsidTr="00E1448E">
        <w:tblPrEx>
          <w:tblLook w:val="04A0" w:firstRow="1" w:lastRow="0" w:firstColumn="1" w:lastColumn="0" w:noHBand="0" w:noVBand="1"/>
        </w:tblPrEx>
        <w:trPr>
          <w:trHeight w:val="124"/>
          <w:jc w:val="center"/>
        </w:trPr>
        <w:tc>
          <w:tcPr>
            <w:tcW w:w="1730" w:type="dxa"/>
            <w:vMerge/>
            <w:shd w:val="clear" w:color="auto" w:fill="auto"/>
          </w:tcPr>
          <w:p w:rsidR="0030517B" w:rsidRPr="00CA099F" w:rsidRDefault="0030517B" w:rsidP="00E1448E">
            <w:pPr>
              <w:spacing w:after="160" w:line="259" w:lineRule="auto"/>
              <w:jc w:val="center"/>
              <w:rPr>
                <w:rFonts w:eastAsia="Calibri" w:cs="Times New Roman"/>
                <w:szCs w:val="28"/>
              </w:rPr>
            </w:pPr>
          </w:p>
        </w:tc>
        <w:tc>
          <w:tcPr>
            <w:tcW w:w="1956" w:type="dxa"/>
            <w:shd w:val="clear" w:color="auto" w:fill="auto"/>
          </w:tcPr>
          <w:p w:rsidR="0030517B" w:rsidRPr="00CA099F" w:rsidRDefault="0030517B" w:rsidP="00E1448E">
            <w:pPr>
              <w:spacing w:after="160" w:line="259" w:lineRule="auto"/>
              <w:rPr>
                <w:rFonts w:eastAsia="Calibri" w:cs="Times New Roman"/>
                <w:szCs w:val="28"/>
              </w:rPr>
            </w:pPr>
            <w:r w:rsidRPr="00CA099F">
              <w:rPr>
                <w:rFonts w:eastAsia="Calibri" w:cs="Times New Roman"/>
                <w:sz w:val="28"/>
                <w:szCs w:val="28"/>
              </w:rPr>
              <w:t>С – 4 (20%)</w:t>
            </w:r>
          </w:p>
        </w:tc>
        <w:tc>
          <w:tcPr>
            <w:tcW w:w="1985" w:type="dxa"/>
            <w:shd w:val="clear" w:color="auto" w:fill="auto"/>
          </w:tcPr>
          <w:p w:rsidR="0030517B" w:rsidRPr="00CA099F" w:rsidRDefault="0030517B" w:rsidP="00E1448E">
            <w:pPr>
              <w:spacing w:after="160" w:line="259" w:lineRule="auto"/>
              <w:rPr>
                <w:rFonts w:eastAsia="Calibri" w:cs="Times New Roman"/>
                <w:szCs w:val="28"/>
              </w:rPr>
            </w:pPr>
            <w:r w:rsidRPr="00CA099F">
              <w:rPr>
                <w:rFonts w:eastAsia="Calibri" w:cs="Times New Roman"/>
                <w:sz w:val="28"/>
                <w:szCs w:val="28"/>
              </w:rPr>
              <w:t>С – 2 (10%)</w:t>
            </w:r>
          </w:p>
        </w:tc>
        <w:tc>
          <w:tcPr>
            <w:tcW w:w="1984" w:type="dxa"/>
            <w:shd w:val="clear" w:color="auto" w:fill="auto"/>
          </w:tcPr>
          <w:p w:rsidR="0030517B" w:rsidRPr="00CA099F" w:rsidRDefault="0030517B" w:rsidP="00E1448E">
            <w:pPr>
              <w:spacing w:after="160" w:line="259" w:lineRule="auto"/>
              <w:rPr>
                <w:rFonts w:eastAsia="Calibri" w:cs="Times New Roman"/>
                <w:szCs w:val="28"/>
              </w:rPr>
            </w:pPr>
            <w:r w:rsidRPr="00CA099F">
              <w:rPr>
                <w:rFonts w:eastAsia="Calibri" w:cs="Times New Roman"/>
                <w:sz w:val="28"/>
                <w:szCs w:val="28"/>
              </w:rPr>
              <w:t>С – 1 (5%)</w:t>
            </w:r>
          </w:p>
        </w:tc>
        <w:tc>
          <w:tcPr>
            <w:tcW w:w="1985" w:type="dxa"/>
            <w:shd w:val="clear" w:color="auto" w:fill="auto"/>
          </w:tcPr>
          <w:p w:rsidR="0030517B" w:rsidRPr="00CA099F" w:rsidRDefault="0030517B" w:rsidP="00E1448E">
            <w:pPr>
              <w:spacing w:after="160" w:line="259" w:lineRule="auto"/>
              <w:rPr>
                <w:rFonts w:eastAsia="Calibri" w:cs="Times New Roman"/>
                <w:szCs w:val="28"/>
              </w:rPr>
            </w:pPr>
            <w:r w:rsidRPr="00CA099F">
              <w:rPr>
                <w:rFonts w:eastAsia="Calibri" w:cs="Times New Roman"/>
                <w:sz w:val="28"/>
                <w:szCs w:val="28"/>
              </w:rPr>
              <w:t>С – 1 (5%)</w:t>
            </w:r>
          </w:p>
        </w:tc>
      </w:tr>
      <w:tr w:rsidR="0030517B" w:rsidRPr="00CA099F" w:rsidTr="00E1448E">
        <w:tblPrEx>
          <w:tblLook w:val="04A0" w:firstRow="1" w:lastRow="0" w:firstColumn="1" w:lastColumn="0" w:noHBand="0" w:noVBand="1"/>
        </w:tblPrEx>
        <w:trPr>
          <w:trHeight w:val="429"/>
          <w:jc w:val="center"/>
        </w:trPr>
        <w:tc>
          <w:tcPr>
            <w:tcW w:w="1730" w:type="dxa"/>
            <w:vMerge/>
            <w:shd w:val="clear" w:color="auto" w:fill="auto"/>
          </w:tcPr>
          <w:p w:rsidR="0030517B" w:rsidRPr="00CA099F" w:rsidRDefault="0030517B" w:rsidP="00E1448E">
            <w:pPr>
              <w:spacing w:after="160" w:line="259" w:lineRule="auto"/>
              <w:jc w:val="center"/>
              <w:rPr>
                <w:rFonts w:eastAsia="Calibri" w:cs="Times New Roman"/>
                <w:szCs w:val="28"/>
              </w:rPr>
            </w:pPr>
          </w:p>
        </w:tc>
        <w:tc>
          <w:tcPr>
            <w:tcW w:w="1956" w:type="dxa"/>
            <w:shd w:val="clear" w:color="auto" w:fill="auto"/>
          </w:tcPr>
          <w:p w:rsidR="0030517B" w:rsidRPr="00CA099F" w:rsidRDefault="0030517B" w:rsidP="00E1448E">
            <w:pPr>
              <w:spacing w:after="160" w:line="259" w:lineRule="auto"/>
              <w:rPr>
                <w:rFonts w:eastAsia="Calibri" w:cs="Times New Roman"/>
                <w:szCs w:val="28"/>
              </w:rPr>
            </w:pPr>
            <w:r w:rsidRPr="00CA099F">
              <w:rPr>
                <w:rFonts w:eastAsia="Calibri" w:cs="Times New Roman"/>
                <w:sz w:val="28"/>
                <w:szCs w:val="28"/>
              </w:rPr>
              <w:t>П – 1 (5%)</w:t>
            </w:r>
          </w:p>
        </w:tc>
        <w:tc>
          <w:tcPr>
            <w:tcW w:w="1985" w:type="dxa"/>
            <w:shd w:val="clear" w:color="auto" w:fill="auto"/>
          </w:tcPr>
          <w:p w:rsidR="0030517B" w:rsidRPr="00CA099F" w:rsidRDefault="0030517B" w:rsidP="00E1448E">
            <w:pPr>
              <w:spacing w:after="160" w:line="259" w:lineRule="auto"/>
              <w:rPr>
                <w:rFonts w:eastAsia="Calibri" w:cs="Times New Roman"/>
                <w:szCs w:val="28"/>
              </w:rPr>
            </w:pPr>
            <w:r w:rsidRPr="00CA099F">
              <w:rPr>
                <w:rFonts w:eastAsia="Calibri" w:cs="Times New Roman"/>
                <w:sz w:val="28"/>
                <w:szCs w:val="28"/>
              </w:rPr>
              <w:t>П – 1 (5%)</w:t>
            </w:r>
          </w:p>
        </w:tc>
        <w:tc>
          <w:tcPr>
            <w:tcW w:w="1984" w:type="dxa"/>
            <w:shd w:val="clear" w:color="auto" w:fill="auto"/>
          </w:tcPr>
          <w:p w:rsidR="0030517B" w:rsidRPr="00CA099F" w:rsidRDefault="0030517B" w:rsidP="00E1448E">
            <w:pPr>
              <w:spacing w:after="160" w:line="259" w:lineRule="auto"/>
              <w:rPr>
                <w:rFonts w:eastAsia="Calibri" w:cs="Times New Roman"/>
                <w:szCs w:val="28"/>
              </w:rPr>
            </w:pPr>
            <w:r w:rsidRPr="00CA099F">
              <w:rPr>
                <w:rFonts w:eastAsia="Calibri" w:cs="Times New Roman"/>
                <w:sz w:val="28"/>
                <w:szCs w:val="28"/>
              </w:rPr>
              <w:t>П – 0 (0%)</w:t>
            </w:r>
          </w:p>
        </w:tc>
        <w:tc>
          <w:tcPr>
            <w:tcW w:w="1985" w:type="dxa"/>
            <w:shd w:val="clear" w:color="auto" w:fill="auto"/>
          </w:tcPr>
          <w:p w:rsidR="0030517B" w:rsidRPr="00CA099F" w:rsidRDefault="0030517B" w:rsidP="00E1448E">
            <w:pPr>
              <w:spacing w:after="160" w:line="259" w:lineRule="auto"/>
              <w:rPr>
                <w:rFonts w:eastAsia="Calibri" w:cs="Times New Roman"/>
                <w:szCs w:val="28"/>
              </w:rPr>
            </w:pPr>
            <w:r w:rsidRPr="00CA099F">
              <w:rPr>
                <w:rFonts w:eastAsia="Calibri" w:cs="Times New Roman"/>
                <w:sz w:val="28"/>
                <w:szCs w:val="28"/>
              </w:rPr>
              <w:t>П – 0 (0%)</w:t>
            </w:r>
          </w:p>
        </w:tc>
      </w:tr>
      <w:tr w:rsidR="0030517B" w:rsidRPr="00CA099F" w:rsidTr="00E1448E">
        <w:tblPrEx>
          <w:tblLook w:val="04A0" w:firstRow="1" w:lastRow="0" w:firstColumn="1" w:lastColumn="0" w:noHBand="0" w:noVBand="1"/>
        </w:tblPrEx>
        <w:trPr>
          <w:trHeight w:val="124"/>
          <w:jc w:val="center"/>
        </w:trPr>
        <w:tc>
          <w:tcPr>
            <w:tcW w:w="1730" w:type="dxa"/>
            <w:vMerge/>
            <w:shd w:val="clear" w:color="auto" w:fill="auto"/>
          </w:tcPr>
          <w:p w:rsidR="0030517B" w:rsidRPr="00CA099F" w:rsidRDefault="0030517B" w:rsidP="00E1448E">
            <w:pPr>
              <w:spacing w:after="160" w:line="259" w:lineRule="auto"/>
              <w:jc w:val="center"/>
              <w:rPr>
                <w:rFonts w:eastAsia="Calibri" w:cs="Times New Roman"/>
                <w:szCs w:val="28"/>
              </w:rPr>
            </w:pPr>
          </w:p>
        </w:tc>
        <w:tc>
          <w:tcPr>
            <w:tcW w:w="1956" w:type="dxa"/>
            <w:shd w:val="clear" w:color="auto" w:fill="auto"/>
          </w:tcPr>
          <w:p w:rsidR="0030517B" w:rsidRPr="00CA099F" w:rsidRDefault="0030517B" w:rsidP="00E1448E">
            <w:pPr>
              <w:spacing w:after="160" w:line="259" w:lineRule="auto"/>
              <w:rPr>
                <w:rFonts w:eastAsia="Calibri" w:cs="Times New Roman"/>
                <w:szCs w:val="28"/>
              </w:rPr>
            </w:pPr>
            <w:r w:rsidRPr="00CA099F">
              <w:rPr>
                <w:rFonts w:eastAsia="Calibri" w:cs="Times New Roman"/>
                <w:sz w:val="28"/>
                <w:szCs w:val="28"/>
              </w:rPr>
              <w:t>Б – 0 (0%)</w:t>
            </w:r>
          </w:p>
        </w:tc>
        <w:tc>
          <w:tcPr>
            <w:tcW w:w="1985" w:type="dxa"/>
            <w:shd w:val="clear" w:color="auto" w:fill="auto"/>
          </w:tcPr>
          <w:p w:rsidR="0030517B" w:rsidRPr="00CA099F" w:rsidRDefault="0030517B" w:rsidP="00E1448E">
            <w:pPr>
              <w:spacing w:after="160" w:line="259" w:lineRule="auto"/>
              <w:rPr>
                <w:rFonts w:eastAsia="Calibri" w:cs="Times New Roman"/>
                <w:szCs w:val="28"/>
              </w:rPr>
            </w:pPr>
            <w:r w:rsidRPr="00CA099F">
              <w:rPr>
                <w:rFonts w:eastAsia="Calibri" w:cs="Times New Roman"/>
                <w:sz w:val="28"/>
                <w:szCs w:val="28"/>
              </w:rPr>
              <w:t>Б – 0 (0%)</w:t>
            </w:r>
          </w:p>
        </w:tc>
        <w:tc>
          <w:tcPr>
            <w:tcW w:w="1984" w:type="dxa"/>
            <w:shd w:val="clear" w:color="auto" w:fill="auto"/>
          </w:tcPr>
          <w:p w:rsidR="0030517B" w:rsidRPr="00CA099F" w:rsidRDefault="0030517B" w:rsidP="00E1448E">
            <w:pPr>
              <w:spacing w:after="160" w:line="259" w:lineRule="auto"/>
              <w:rPr>
                <w:rFonts w:eastAsia="Calibri" w:cs="Times New Roman"/>
                <w:szCs w:val="28"/>
              </w:rPr>
            </w:pPr>
            <w:r w:rsidRPr="00CA099F">
              <w:rPr>
                <w:rFonts w:eastAsia="Calibri" w:cs="Times New Roman"/>
                <w:sz w:val="28"/>
                <w:szCs w:val="28"/>
              </w:rPr>
              <w:t>Б – 0 (0%)</w:t>
            </w:r>
          </w:p>
        </w:tc>
        <w:tc>
          <w:tcPr>
            <w:tcW w:w="1985" w:type="dxa"/>
            <w:shd w:val="clear" w:color="auto" w:fill="auto"/>
          </w:tcPr>
          <w:p w:rsidR="0030517B" w:rsidRPr="00CA099F" w:rsidRDefault="0030517B" w:rsidP="00E1448E">
            <w:pPr>
              <w:spacing w:after="160" w:line="259" w:lineRule="auto"/>
              <w:rPr>
                <w:rFonts w:eastAsia="Calibri" w:cs="Times New Roman"/>
                <w:szCs w:val="28"/>
              </w:rPr>
            </w:pPr>
            <w:r w:rsidRPr="00CA099F">
              <w:rPr>
                <w:rFonts w:eastAsia="Calibri" w:cs="Times New Roman"/>
                <w:sz w:val="28"/>
                <w:szCs w:val="28"/>
              </w:rPr>
              <w:t>Б – 0 (0%)</w:t>
            </w:r>
          </w:p>
        </w:tc>
      </w:tr>
    </w:tbl>
    <w:p w:rsidR="0030517B" w:rsidRPr="00CA099F" w:rsidRDefault="0030517B" w:rsidP="0030517B">
      <w:pPr>
        <w:spacing w:after="160" w:line="259" w:lineRule="auto"/>
        <w:jc w:val="right"/>
        <w:rPr>
          <w:rFonts w:eastAsia="Calibri" w:cs="Times New Roman"/>
          <w:i/>
          <w:sz w:val="28"/>
          <w:szCs w:val="28"/>
        </w:rPr>
      </w:pPr>
      <w:r w:rsidRPr="00CA099F">
        <w:rPr>
          <w:rFonts w:eastAsia="Calibri" w:cs="Times New Roman"/>
          <w:i/>
          <w:sz w:val="28"/>
          <w:szCs w:val="28"/>
        </w:rPr>
        <w:t>Продовження таблиці 6.2</w:t>
      </w:r>
    </w:p>
    <w:tbl>
      <w:tblPr>
        <w:tblW w:w="96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30"/>
        <w:gridCol w:w="1956"/>
        <w:gridCol w:w="1985"/>
        <w:gridCol w:w="1984"/>
        <w:gridCol w:w="1985"/>
      </w:tblGrid>
      <w:tr w:rsidR="0030517B" w:rsidRPr="00CA099F" w:rsidTr="00E1448E">
        <w:trPr>
          <w:trHeight w:val="583"/>
          <w:jc w:val="center"/>
        </w:trPr>
        <w:tc>
          <w:tcPr>
            <w:tcW w:w="1730" w:type="dxa"/>
            <w:shd w:val="clear" w:color="auto" w:fill="auto"/>
          </w:tcPr>
          <w:p w:rsidR="0030517B" w:rsidRPr="00CA099F" w:rsidRDefault="0030517B" w:rsidP="00E1448E">
            <w:pPr>
              <w:spacing w:after="160" w:line="259" w:lineRule="auto"/>
              <w:jc w:val="center"/>
              <w:rPr>
                <w:rFonts w:eastAsia="Calibri" w:cs="Times New Roman"/>
                <w:szCs w:val="28"/>
              </w:rPr>
            </w:pPr>
            <w:r w:rsidRPr="00CA099F">
              <w:rPr>
                <w:rFonts w:eastAsia="Calibri" w:cs="Times New Roman"/>
                <w:sz w:val="28"/>
                <w:szCs w:val="28"/>
              </w:rPr>
              <w:lastRenderedPageBreak/>
              <w:t>Показник</w:t>
            </w:r>
          </w:p>
        </w:tc>
        <w:tc>
          <w:tcPr>
            <w:tcW w:w="1956" w:type="dxa"/>
            <w:shd w:val="clear" w:color="auto" w:fill="auto"/>
          </w:tcPr>
          <w:p w:rsidR="0030517B" w:rsidRPr="00CA099F" w:rsidRDefault="0030517B" w:rsidP="00E1448E">
            <w:pPr>
              <w:spacing w:after="160" w:line="259" w:lineRule="auto"/>
              <w:jc w:val="center"/>
              <w:rPr>
                <w:rFonts w:eastAsia="Calibri" w:cs="Times New Roman"/>
                <w:szCs w:val="28"/>
              </w:rPr>
            </w:pPr>
            <w:r w:rsidRPr="00CA099F">
              <w:rPr>
                <w:rFonts w:eastAsia="Calibri" w:cs="Times New Roman"/>
                <w:sz w:val="28"/>
                <w:szCs w:val="28"/>
              </w:rPr>
              <w:t>1</w:t>
            </w:r>
          </w:p>
        </w:tc>
        <w:tc>
          <w:tcPr>
            <w:tcW w:w="1985" w:type="dxa"/>
            <w:shd w:val="clear" w:color="auto" w:fill="auto"/>
          </w:tcPr>
          <w:p w:rsidR="0030517B" w:rsidRPr="00CA099F" w:rsidRDefault="0030517B" w:rsidP="00E1448E">
            <w:pPr>
              <w:spacing w:after="160" w:line="259" w:lineRule="auto"/>
              <w:jc w:val="center"/>
              <w:rPr>
                <w:rFonts w:eastAsia="Calibri" w:cs="Times New Roman"/>
                <w:szCs w:val="28"/>
              </w:rPr>
            </w:pPr>
            <w:r w:rsidRPr="00CA099F">
              <w:rPr>
                <w:rFonts w:eastAsia="Calibri" w:cs="Times New Roman"/>
                <w:sz w:val="28"/>
                <w:szCs w:val="28"/>
              </w:rPr>
              <w:t>2</w:t>
            </w:r>
          </w:p>
        </w:tc>
        <w:tc>
          <w:tcPr>
            <w:tcW w:w="1984" w:type="dxa"/>
            <w:shd w:val="clear" w:color="auto" w:fill="auto"/>
          </w:tcPr>
          <w:p w:rsidR="0030517B" w:rsidRPr="00CA099F" w:rsidRDefault="0030517B" w:rsidP="00E1448E">
            <w:pPr>
              <w:spacing w:after="160" w:line="259" w:lineRule="auto"/>
              <w:jc w:val="center"/>
              <w:rPr>
                <w:rFonts w:eastAsia="Calibri" w:cs="Times New Roman"/>
                <w:szCs w:val="28"/>
              </w:rPr>
            </w:pPr>
            <w:r w:rsidRPr="00CA099F">
              <w:rPr>
                <w:rFonts w:eastAsia="Calibri" w:cs="Times New Roman"/>
                <w:sz w:val="28"/>
                <w:szCs w:val="28"/>
              </w:rPr>
              <w:t>3</w:t>
            </w:r>
          </w:p>
        </w:tc>
        <w:tc>
          <w:tcPr>
            <w:tcW w:w="1985" w:type="dxa"/>
            <w:shd w:val="clear" w:color="auto" w:fill="auto"/>
          </w:tcPr>
          <w:p w:rsidR="0030517B" w:rsidRPr="00CA099F" w:rsidRDefault="0030517B" w:rsidP="00E1448E">
            <w:pPr>
              <w:spacing w:after="160" w:line="259" w:lineRule="auto"/>
              <w:jc w:val="center"/>
              <w:rPr>
                <w:rFonts w:eastAsia="Calibri" w:cs="Times New Roman"/>
                <w:szCs w:val="28"/>
              </w:rPr>
            </w:pPr>
            <w:r w:rsidRPr="00CA099F">
              <w:rPr>
                <w:rFonts w:eastAsia="Calibri" w:cs="Times New Roman"/>
                <w:sz w:val="28"/>
                <w:szCs w:val="28"/>
              </w:rPr>
              <w:t>4</w:t>
            </w:r>
          </w:p>
        </w:tc>
      </w:tr>
      <w:tr w:rsidR="0030517B" w:rsidRPr="00CA099F" w:rsidTr="00E1448E">
        <w:trPr>
          <w:trHeight w:val="583"/>
          <w:jc w:val="center"/>
        </w:trPr>
        <w:tc>
          <w:tcPr>
            <w:tcW w:w="1730" w:type="dxa"/>
            <w:vMerge w:val="restart"/>
            <w:shd w:val="clear" w:color="auto" w:fill="auto"/>
          </w:tcPr>
          <w:p w:rsidR="0030517B" w:rsidRPr="00CA099F" w:rsidRDefault="0030517B" w:rsidP="00E1448E">
            <w:pPr>
              <w:spacing w:after="160" w:line="259" w:lineRule="auto"/>
              <w:jc w:val="center"/>
              <w:rPr>
                <w:rFonts w:eastAsia="Calibri" w:cs="Times New Roman"/>
                <w:szCs w:val="28"/>
              </w:rPr>
            </w:pPr>
          </w:p>
          <w:p w:rsidR="0030517B" w:rsidRPr="00CA099F" w:rsidRDefault="0030517B" w:rsidP="00E1448E">
            <w:pPr>
              <w:spacing w:after="160" w:line="259" w:lineRule="auto"/>
              <w:jc w:val="center"/>
              <w:rPr>
                <w:rFonts w:eastAsia="Calibri" w:cs="Times New Roman"/>
                <w:szCs w:val="28"/>
              </w:rPr>
            </w:pPr>
            <w:r w:rsidRPr="00CA099F">
              <w:rPr>
                <w:rFonts w:eastAsia="Calibri" w:cs="Times New Roman"/>
                <w:sz w:val="28"/>
                <w:szCs w:val="28"/>
              </w:rPr>
              <w:t>П5</w:t>
            </w:r>
          </w:p>
        </w:tc>
        <w:tc>
          <w:tcPr>
            <w:tcW w:w="1956" w:type="dxa"/>
            <w:shd w:val="clear" w:color="auto" w:fill="auto"/>
          </w:tcPr>
          <w:p w:rsidR="0030517B" w:rsidRPr="00CA099F" w:rsidRDefault="0030517B" w:rsidP="00E1448E">
            <w:pPr>
              <w:spacing w:after="160" w:line="259" w:lineRule="auto"/>
              <w:rPr>
                <w:rFonts w:eastAsia="Calibri" w:cs="Times New Roman"/>
                <w:szCs w:val="28"/>
              </w:rPr>
            </w:pPr>
            <w:r w:rsidRPr="00CA099F">
              <w:rPr>
                <w:rFonts w:eastAsia="Calibri" w:cs="Times New Roman"/>
                <w:sz w:val="28"/>
                <w:szCs w:val="28"/>
              </w:rPr>
              <w:t>1 – 16 (80%)</w:t>
            </w:r>
          </w:p>
        </w:tc>
        <w:tc>
          <w:tcPr>
            <w:tcW w:w="1985" w:type="dxa"/>
            <w:shd w:val="clear" w:color="auto" w:fill="auto"/>
          </w:tcPr>
          <w:p w:rsidR="0030517B" w:rsidRPr="00CA099F" w:rsidRDefault="0030517B" w:rsidP="00E1448E">
            <w:pPr>
              <w:spacing w:after="160" w:line="259" w:lineRule="auto"/>
              <w:rPr>
                <w:rFonts w:eastAsia="Calibri" w:cs="Times New Roman"/>
                <w:szCs w:val="28"/>
              </w:rPr>
            </w:pPr>
            <w:r w:rsidRPr="00CA099F">
              <w:rPr>
                <w:rFonts w:eastAsia="Calibri" w:cs="Times New Roman"/>
                <w:sz w:val="28"/>
                <w:szCs w:val="28"/>
              </w:rPr>
              <w:t>1 – 16 (80%)</w:t>
            </w:r>
          </w:p>
        </w:tc>
        <w:tc>
          <w:tcPr>
            <w:tcW w:w="1984" w:type="dxa"/>
            <w:shd w:val="clear" w:color="auto" w:fill="auto"/>
          </w:tcPr>
          <w:p w:rsidR="0030517B" w:rsidRPr="00CA099F" w:rsidRDefault="0030517B" w:rsidP="00E1448E">
            <w:pPr>
              <w:spacing w:after="160" w:line="259" w:lineRule="auto"/>
              <w:rPr>
                <w:rFonts w:eastAsia="Calibri" w:cs="Times New Roman"/>
                <w:szCs w:val="28"/>
              </w:rPr>
            </w:pPr>
            <w:r w:rsidRPr="00CA099F">
              <w:rPr>
                <w:rFonts w:eastAsia="Calibri" w:cs="Times New Roman"/>
                <w:sz w:val="28"/>
                <w:szCs w:val="28"/>
              </w:rPr>
              <w:t>1 – 17 (85%)</w:t>
            </w:r>
          </w:p>
        </w:tc>
        <w:tc>
          <w:tcPr>
            <w:tcW w:w="1985" w:type="dxa"/>
            <w:shd w:val="clear" w:color="auto" w:fill="auto"/>
          </w:tcPr>
          <w:p w:rsidR="0030517B" w:rsidRPr="00CA099F" w:rsidRDefault="0030517B" w:rsidP="00E1448E">
            <w:pPr>
              <w:spacing w:after="160" w:line="259" w:lineRule="auto"/>
              <w:rPr>
                <w:rFonts w:eastAsia="Calibri" w:cs="Times New Roman"/>
                <w:szCs w:val="28"/>
              </w:rPr>
            </w:pPr>
            <w:r w:rsidRPr="00CA099F">
              <w:rPr>
                <w:rFonts w:eastAsia="Calibri" w:cs="Times New Roman"/>
                <w:sz w:val="28"/>
                <w:szCs w:val="28"/>
              </w:rPr>
              <w:t>1 – 18 (90%)</w:t>
            </w:r>
          </w:p>
        </w:tc>
      </w:tr>
      <w:tr w:rsidR="0030517B" w:rsidRPr="00CA099F" w:rsidTr="00E1448E">
        <w:trPr>
          <w:trHeight w:val="124"/>
          <w:jc w:val="center"/>
        </w:trPr>
        <w:tc>
          <w:tcPr>
            <w:tcW w:w="1730" w:type="dxa"/>
            <w:vMerge/>
            <w:shd w:val="clear" w:color="auto" w:fill="auto"/>
          </w:tcPr>
          <w:p w:rsidR="0030517B" w:rsidRPr="00CA099F" w:rsidRDefault="0030517B" w:rsidP="00E1448E">
            <w:pPr>
              <w:spacing w:after="160" w:line="259" w:lineRule="auto"/>
              <w:rPr>
                <w:rFonts w:eastAsia="Calibri" w:cs="Times New Roman"/>
                <w:szCs w:val="28"/>
              </w:rPr>
            </w:pPr>
          </w:p>
        </w:tc>
        <w:tc>
          <w:tcPr>
            <w:tcW w:w="1956" w:type="dxa"/>
            <w:shd w:val="clear" w:color="auto" w:fill="auto"/>
          </w:tcPr>
          <w:p w:rsidR="0030517B" w:rsidRPr="00CA099F" w:rsidRDefault="0030517B" w:rsidP="00E1448E">
            <w:pPr>
              <w:spacing w:after="160" w:line="259" w:lineRule="auto"/>
              <w:rPr>
                <w:rFonts w:eastAsia="Calibri" w:cs="Times New Roman"/>
                <w:szCs w:val="28"/>
              </w:rPr>
            </w:pPr>
            <w:r w:rsidRPr="00CA099F">
              <w:rPr>
                <w:rFonts w:eastAsia="Calibri" w:cs="Times New Roman"/>
                <w:sz w:val="28"/>
                <w:szCs w:val="28"/>
              </w:rPr>
              <w:t>2 – 3 (15%)</w:t>
            </w:r>
          </w:p>
        </w:tc>
        <w:tc>
          <w:tcPr>
            <w:tcW w:w="1985" w:type="dxa"/>
            <w:shd w:val="clear" w:color="auto" w:fill="auto"/>
          </w:tcPr>
          <w:p w:rsidR="0030517B" w:rsidRPr="00CA099F" w:rsidRDefault="0030517B" w:rsidP="00E1448E">
            <w:pPr>
              <w:spacing w:after="160" w:line="259" w:lineRule="auto"/>
              <w:rPr>
                <w:rFonts w:eastAsia="Calibri" w:cs="Times New Roman"/>
                <w:szCs w:val="28"/>
              </w:rPr>
            </w:pPr>
            <w:r w:rsidRPr="00CA099F">
              <w:rPr>
                <w:rFonts w:eastAsia="Calibri" w:cs="Times New Roman"/>
                <w:sz w:val="28"/>
                <w:szCs w:val="28"/>
              </w:rPr>
              <w:t>2 – 3 (15%)</w:t>
            </w:r>
          </w:p>
        </w:tc>
        <w:tc>
          <w:tcPr>
            <w:tcW w:w="1984" w:type="dxa"/>
            <w:shd w:val="clear" w:color="auto" w:fill="auto"/>
          </w:tcPr>
          <w:p w:rsidR="0030517B" w:rsidRPr="00CA099F" w:rsidRDefault="0030517B" w:rsidP="00E1448E">
            <w:pPr>
              <w:spacing w:after="160" w:line="259" w:lineRule="auto"/>
              <w:rPr>
                <w:rFonts w:eastAsia="Calibri" w:cs="Times New Roman"/>
                <w:szCs w:val="28"/>
              </w:rPr>
            </w:pPr>
            <w:r w:rsidRPr="00CA099F">
              <w:rPr>
                <w:rFonts w:eastAsia="Calibri" w:cs="Times New Roman"/>
                <w:sz w:val="28"/>
                <w:szCs w:val="28"/>
              </w:rPr>
              <w:t>2 – 2 (10%)</w:t>
            </w:r>
          </w:p>
        </w:tc>
        <w:tc>
          <w:tcPr>
            <w:tcW w:w="1985" w:type="dxa"/>
            <w:shd w:val="clear" w:color="auto" w:fill="auto"/>
          </w:tcPr>
          <w:p w:rsidR="0030517B" w:rsidRPr="00CA099F" w:rsidRDefault="0030517B" w:rsidP="00E1448E">
            <w:pPr>
              <w:spacing w:after="160" w:line="259" w:lineRule="auto"/>
              <w:rPr>
                <w:rFonts w:eastAsia="Calibri" w:cs="Times New Roman"/>
                <w:szCs w:val="28"/>
              </w:rPr>
            </w:pPr>
            <w:r w:rsidRPr="00CA099F">
              <w:rPr>
                <w:rFonts w:eastAsia="Calibri" w:cs="Times New Roman"/>
                <w:sz w:val="28"/>
                <w:szCs w:val="28"/>
              </w:rPr>
              <w:t>2 – 2 (10%)</w:t>
            </w:r>
          </w:p>
        </w:tc>
      </w:tr>
      <w:tr w:rsidR="0030517B" w:rsidRPr="00CA099F" w:rsidTr="00E1448E">
        <w:trPr>
          <w:trHeight w:val="355"/>
          <w:jc w:val="center"/>
        </w:trPr>
        <w:tc>
          <w:tcPr>
            <w:tcW w:w="1730" w:type="dxa"/>
            <w:vMerge/>
            <w:shd w:val="clear" w:color="auto" w:fill="auto"/>
          </w:tcPr>
          <w:p w:rsidR="0030517B" w:rsidRPr="00CA099F" w:rsidRDefault="0030517B" w:rsidP="00E1448E">
            <w:pPr>
              <w:spacing w:after="160" w:line="259" w:lineRule="auto"/>
              <w:rPr>
                <w:rFonts w:eastAsia="Calibri" w:cs="Times New Roman"/>
                <w:szCs w:val="28"/>
              </w:rPr>
            </w:pPr>
          </w:p>
        </w:tc>
        <w:tc>
          <w:tcPr>
            <w:tcW w:w="1956" w:type="dxa"/>
            <w:shd w:val="clear" w:color="auto" w:fill="auto"/>
          </w:tcPr>
          <w:p w:rsidR="0030517B" w:rsidRPr="00CA099F" w:rsidRDefault="0030517B" w:rsidP="00E1448E">
            <w:pPr>
              <w:spacing w:after="160" w:line="259" w:lineRule="auto"/>
              <w:rPr>
                <w:rFonts w:eastAsia="Calibri" w:cs="Times New Roman"/>
                <w:szCs w:val="28"/>
              </w:rPr>
            </w:pPr>
            <w:r w:rsidRPr="00CA099F">
              <w:rPr>
                <w:rFonts w:eastAsia="Calibri" w:cs="Times New Roman"/>
                <w:sz w:val="28"/>
                <w:szCs w:val="28"/>
              </w:rPr>
              <w:t>3 – 1 (5%)</w:t>
            </w:r>
          </w:p>
        </w:tc>
        <w:tc>
          <w:tcPr>
            <w:tcW w:w="1985" w:type="dxa"/>
            <w:shd w:val="clear" w:color="auto" w:fill="auto"/>
          </w:tcPr>
          <w:p w:rsidR="0030517B" w:rsidRPr="00CA099F" w:rsidRDefault="0030517B" w:rsidP="00E1448E">
            <w:pPr>
              <w:spacing w:after="160" w:line="259" w:lineRule="auto"/>
              <w:rPr>
                <w:rFonts w:eastAsia="Calibri" w:cs="Times New Roman"/>
                <w:szCs w:val="28"/>
              </w:rPr>
            </w:pPr>
            <w:r w:rsidRPr="00CA099F">
              <w:rPr>
                <w:rFonts w:eastAsia="Calibri" w:cs="Times New Roman"/>
                <w:sz w:val="28"/>
                <w:szCs w:val="28"/>
              </w:rPr>
              <w:t>3 – 1 (5%)</w:t>
            </w:r>
          </w:p>
        </w:tc>
        <w:tc>
          <w:tcPr>
            <w:tcW w:w="1984" w:type="dxa"/>
            <w:shd w:val="clear" w:color="auto" w:fill="auto"/>
          </w:tcPr>
          <w:p w:rsidR="0030517B" w:rsidRPr="00CA099F" w:rsidRDefault="0030517B" w:rsidP="00E1448E">
            <w:pPr>
              <w:spacing w:after="160" w:line="259" w:lineRule="auto"/>
              <w:rPr>
                <w:rFonts w:eastAsia="Calibri" w:cs="Times New Roman"/>
                <w:szCs w:val="28"/>
              </w:rPr>
            </w:pPr>
            <w:r w:rsidRPr="00CA099F">
              <w:rPr>
                <w:rFonts w:eastAsia="Calibri" w:cs="Times New Roman"/>
                <w:sz w:val="28"/>
                <w:szCs w:val="28"/>
              </w:rPr>
              <w:t>3 – 1 (5%)</w:t>
            </w:r>
          </w:p>
        </w:tc>
        <w:tc>
          <w:tcPr>
            <w:tcW w:w="1985" w:type="dxa"/>
            <w:shd w:val="clear" w:color="auto" w:fill="auto"/>
          </w:tcPr>
          <w:p w:rsidR="0030517B" w:rsidRPr="00CA099F" w:rsidRDefault="0030517B" w:rsidP="00E1448E">
            <w:pPr>
              <w:spacing w:after="160" w:line="259" w:lineRule="auto"/>
              <w:rPr>
                <w:rFonts w:eastAsia="Calibri" w:cs="Times New Roman"/>
                <w:szCs w:val="28"/>
              </w:rPr>
            </w:pPr>
            <w:r w:rsidRPr="00CA099F">
              <w:rPr>
                <w:rFonts w:eastAsia="Calibri" w:cs="Times New Roman"/>
                <w:sz w:val="28"/>
                <w:szCs w:val="28"/>
              </w:rPr>
              <w:t>3 – 0 (0%)</w:t>
            </w:r>
          </w:p>
        </w:tc>
      </w:tr>
      <w:tr w:rsidR="0030517B" w:rsidRPr="00CA099F" w:rsidTr="00E1448E">
        <w:trPr>
          <w:jc w:val="center"/>
        </w:trPr>
        <w:tc>
          <w:tcPr>
            <w:tcW w:w="1730" w:type="dxa"/>
            <w:shd w:val="clear" w:color="auto" w:fill="auto"/>
          </w:tcPr>
          <w:p w:rsidR="0030517B" w:rsidRPr="00CA099F" w:rsidRDefault="0030517B" w:rsidP="00E1448E">
            <w:pPr>
              <w:spacing w:after="160" w:line="259" w:lineRule="auto"/>
              <w:jc w:val="center"/>
              <w:rPr>
                <w:rFonts w:eastAsia="Calibri" w:cs="Times New Roman"/>
                <w:szCs w:val="28"/>
              </w:rPr>
            </w:pPr>
            <w:r w:rsidRPr="00CA099F">
              <w:rPr>
                <w:rFonts w:eastAsia="Calibri" w:cs="Times New Roman"/>
                <w:sz w:val="28"/>
                <w:szCs w:val="28"/>
              </w:rPr>
              <w:t>Примітка</w:t>
            </w:r>
          </w:p>
        </w:tc>
        <w:tc>
          <w:tcPr>
            <w:tcW w:w="1956" w:type="dxa"/>
            <w:shd w:val="clear" w:color="auto" w:fill="auto"/>
          </w:tcPr>
          <w:p w:rsidR="0030517B" w:rsidRPr="00CA099F" w:rsidRDefault="0030517B" w:rsidP="00E1448E">
            <w:pPr>
              <w:spacing w:after="160" w:line="259" w:lineRule="auto"/>
              <w:jc w:val="center"/>
              <w:rPr>
                <w:rFonts w:eastAsia="Calibri" w:cs="Times New Roman"/>
                <w:szCs w:val="28"/>
              </w:rPr>
            </w:pPr>
            <w:r w:rsidRPr="00CA099F">
              <w:rPr>
                <w:rFonts w:eastAsia="Calibri" w:cs="Times New Roman"/>
                <w:sz w:val="28"/>
                <w:szCs w:val="28"/>
              </w:rPr>
              <w:t>p&gt;0,0003</w:t>
            </w:r>
          </w:p>
        </w:tc>
        <w:tc>
          <w:tcPr>
            <w:tcW w:w="1985" w:type="dxa"/>
            <w:shd w:val="clear" w:color="auto" w:fill="auto"/>
          </w:tcPr>
          <w:p w:rsidR="0030517B" w:rsidRPr="00CA099F" w:rsidRDefault="0030517B" w:rsidP="00E1448E">
            <w:pPr>
              <w:spacing w:after="160" w:line="259" w:lineRule="auto"/>
              <w:jc w:val="center"/>
              <w:rPr>
                <w:rFonts w:eastAsia="Calibri" w:cs="Times New Roman"/>
                <w:szCs w:val="28"/>
              </w:rPr>
            </w:pPr>
            <w:r w:rsidRPr="00CA099F">
              <w:rPr>
                <w:rFonts w:eastAsia="Calibri" w:cs="Times New Roman"/>
                <w:sz w:val="28"/>
                <w:szCs w:val="28"/>
              </w:rPr>
              <w:t>p&gt;0,0017</w:t>
            </w:r>
          </w:p>
        </w:tc>
        <w:tc>
          <w:tcPr>
            <w:tcW w:w="1984" w:type="dxa"/>
            <w:shd w:val="clear" w:color="auto" w:fill="auto"/>
          </w:tcPr>
          <w:p w:rsidR="0030517B" w:rsidRPr="00CA099F" w:rsidRDefault="0030517B" w:rsidP="00E1448E">
            <w:pPr>
              <w:spacing w:after="160" w:line="259" w:lineRule="auto"/>
              <w:jc w:val="center"/>
              <w:rPr>
                <w:rFonts w:eastAsia="Calibri" w:cs="Times New Roman"/>
                <w:szCs w:val="28"/>
              </w:rPr>
            </w:pPr>
            <w:r w:rsidRPr="00CA099F">
              <w:rPr>
                <w:rFonts w:eastAsia="Calibri" w:cs="Times New Roman"/>
                <w:sz w:val="28"/>
                <w:szCs w:val="28"/>
              </w:rPr>
              <w:t>p&gt;0,0001</w:t>
            </w:r>
          </w:p>
        </w:tc>
        <w:tc>
          <w:tcPr>
            <w:tcW w:w="1985" w:type="dxa"/>
            <w:shd w:val="clear" w:color="auto" w:fill="auto"/>
          </w:tcPr>
          <w:p w:rsidR="0030517B" w:rsidRPr="00CA099F" w:rsidRDefault="0030517B" w:rsidP="00E1448E">
            <w:pPr>
              <w:spacing w:after="160" w:line="259" w:lineRule="auto"/>
              <w:jc w:val="center"/>
              <w:rPr>
                <w:rFonts w:eastAsia="Calibri" w:cs="Times New Roman"/>
                <w:szCs w:val="28"/>
              </w:rPr>
            </w:pPr>
            <w:r w:rsidRPr="00CA099F">
              <w:rPr>
                <w:rFonts w:eastAsia="Calibri" w:cs="Times New Roman"/>
                <w:sz w:val="28"/>
                <w:szCs w:val="28"/>
              </w:rPr>
              <w:t>p&gt;0,0004</w:t>
            </w:r>
          </w:p>
        </w:tc>
      </w:tr>
    </w:tbl>
    <w:p w:rsidR="0030517B" w:rsidRPr="00CA099F" w:rsidRDefault="0030517B" w:rsidP="0030517B">
      <w:pPr>
        <w:spacing w:after="0" w:line="360" w:lineRule="auto"/>
        <w:jc w:val="both"/>
        <w:rPr>
          <w:rFonts w:eastAsia="SimSun" w:cs="Times New Roman"/>
          <w:sz w:val="28"/>
          <w:szCs w:val="28"/>
          <w:lang w:eastAsia="zh-CN"/>
        </w:rPr>
      </w:pPr>
    </w:p>
    <w:p w:rsidR="00C612ED" w:rsidRDefault="0030517B" w:rsidP="003236D6">
      <w:pPr>
        <w:spacing w:after="160" w:line="360" w:lineRule="auto"/>
        <w:ind w:firstLine="708"/>
        <w:jc w:val="both"/>
        <w:rPr>
          <w:rFonts w:eastAsia="Calibri" w:cs="Times New Roman"/>
          <w:sz w:val="28"/>
          <w:szCs w:val="28"/>
        </w:rPr>
      </w:pPr>
      <w:r w:rsidRPr="00CA099F">
        <w:rPr>
          <w:rFonts w:eastAsia="Calibri" w:cs="Times New Roman"/>
          <w:sz w:val="28"/>
          <w:szCs w:val="28"/>
        </w:rPr>
        <w:t xml:space="preserve">При аналізі динаміки змін показника П1 в 2 групі </w:t>
      </w:r>
      <w:r w:rsidR="00D96DA9">
        <w:rPr>
          <w:rFonts w:eastAsia="Calibri" w:cs="Times New Roman"/>
          <w:sz w:val="28"/>
          <w:szCs w:val="28"/>
        </w:rPr>
        <w:t>пацієнтів</w:t>
      </w:r>
      <w:r w:rsidRPr="00CA099F">
        <w:rPr>
          <w:rFonts w:eastAsia="Calibri" w:cs="Times New Roman"/>
          <w:sz w:val="28"/>
          <w:szCs w:val="28"/>
        </w:rPr>
        <w:t xml:space="preserve"> слід зауважити, що їх характер свідчить про наявність як функціонального так і косметичного ефекту від авторської ме</w:t>
      </w:r>
      <w:r w:rsidR="008B65D0">
        <w:rPr>
          <w:rFonts w:eastAsia="Calibri" w:cs="Times New Roman"/>
          <w:sz w:val="28"/>
          <w:szCs w:val="28"/>
        </w:rPr>
        <w:t>тодики подвійної інтра- та пост</w:t>
      </w:r>
      <w:r w:rsidRPr="00CA099F">
        <w:rPr>
          <w:rFonts w:eastAsia="Calibri" w:cs="Times New Roman"/>
          <w:sz w:val="28"/>
          <w:szCs w:val="28"/>
        </w:rPr>
        <w:t>операційної профілактики утворення патологічних рубців шкіри. Вже на 3 місяць спостереження вірогідність утворення н</w:t>
      </w:r>
      <w:r w:rsidR="008B65D0">
        <w:rPr>
          <w:rFonts w:eastAsia="Calibri" w:cs="Times New Roman"/>
          <w:sz w:val="28"/>
          <w:szCs w:val="28"/>
        </w:rPr>
        <w:t>ормотрофічного рубця встановлюється</w:t>
      </w:r>
      <w:r w:rsidRPr="00CA099F">
        <w:rPr>
          <w:rFonts w:eastAsia="Calibri" w:cs="Times New Roman"/>
          <w:sz w:val="28"/>
          <w:szCs w:val="28"/>
        </w:rPr>
        <w:t xml:space="preserve"> у 70% пацієнтів. Атрофічні рубцевозмінені тканини фікс</w:t>
      </w:r>
      <w:r w:rsidR="008B65D0">
        <w:rPr>
          <w:rFonts w:eastAsia="Calibri" w:cs="Times New Roman"/>
          <w:sz w:val="28"/>
          <w:szCs w:val="28"/>
        </w:rPr>
        <w:t>уються</w:t>
      </w:r>
      <w:r w:rsidRPr="00CA099F">
        <w:rPr>
          <w:rFonts w:eastAsia="Calibri" w:cs="Times New Roman"/>
          <w:sz w:val="28"/>
          <w:szCs w:val="28"/>
        </w:rPr>
        <w:t xml:space="preserve"> у 15% пацієнтів, і лише в </w:t>
      </w:r>
      <w:r w:rsidR="008B65D0">
        <w:rPr>
          <w:rFonts w:eastAsia="Calibri" w:cs="Times New Roman"/>
          <w:sz w:val="28"/>
          <w:szCs w:val="28"/>
        </w:rPr>
        <w:t>5% випадках</w:t>
      </w:r>
      <w:r w:rsidR="00803C75">
        <w:rPr>
          <w:rFonts w:eastAsia="Calibri" w:cs="Times New Roman"/>
          <w:sz w:val="28"/>
          <w:szCs w:val="28"/>
        </w:rPr>
        <w:t xml:space="preserve"> –</w:t>
      </w:r>
      <w:r w:rsidRPr="00CA099F">
        <w:rPr>
          <w:rFonts w:eastAsia="Calibri" w:cs="Times New Roman"/>
          <w:sz w:val="28"/>
          <w:szCs w:val="28"/>
        </w:rPr>
        <w:t xml:space="preserve"> вірогідні вузликові розростання в ділянці латерального краю рубця. Ознак келоїдизації рубцевозмінених тканин також не виявл</w:t>
      </w:r>
      <w:r w:rsidR="00803C75">
        <w:rPr>
          <w:rFonts w:eastAsia="Calibri" w:cs="Times New Roman"/>
          <w:sz w:val="28"/>
          <w:szCs w:val="28"/>
        </w:rPr>
        <w:t>яється</w:t>
      </w:r>
      <w:r w:rsidRPr="00CA099F">
        <w:rPr>
          <w:rFonts w:eastAsia="Calibri" w:cs="Times New Roman"/>
          <w:sz w:val="28"/>
          <w:szCs w:val="28"/>
        </w:rPr>
        <w:t xml:space="preserve">, </w:t>
      </w:r>
      <w:r w:rsidR="00E939D3" w:rsidRPr="006B23DA">
        <w:rPr>
          <w:rFonts w:eastAsia="Calibri" w:cs="Times New Roman"/>
          <w:sz w:val="28"/>
          <w:szCs w:val="28"/>
        </w:rPr>
        <w:t>у 10% випадків наявні ознаки гіпертрофічного рубця.</w:t>
      </w:r>
      <w:r w:rsidR="00E939D3">
        <w:rPr>
          <w:rFonts w:eastAsia="Calibri" w:cs="Times New Roman"/>
          <w:sz w:val="28"/>
          <w:szCs w:val="28"/>
        </w:rPr>
        <w:t xml:space="preserve"> </w:t>
      </w:r>
    </w:p>
    <w:p w:rsidR="0030517B" w:rsidRPr="00CA099F" w:rsidRDefault="00E939D3" w:rsidP="003236D6">
      <w:pPr>
        <w:spacing w:after="160" w:line="360" w:lineRule="auto"/>
        <w:ind w:firstLine="708"/>
        <w:jc w:val="both"/>
        <w:rPr>
          <w:rFonts w:eastAsia="Calibri" w:cs="Times New Roman"/>
          <w:sz w:val="28"/>
          <w:szCs w:val="28"/>
        </w:rPr>
      </w:pPr>
      <w:r>
        <w:rPr>
          <w:rFonts w:eastAsia="Calibri" w:cs="Times New Roman"/>
          <w:sz w:val="28"/>
          <w:szCs w:val="28"/>
        </w:rPr>
        <w:t>Н</w:t>
      </w:r>
      <w:r w:rsidR="0030517B" w:rsidRPr="00CA099F">
        <w:rPr>
          <w:rFonts w:eastAsia="Calibri" w:cs="Times New Roman"/>
          <w:sz w:val="28"/>
          <w:szCs w:val="28"/>
        </w:rPr>
        <w:t xml:space="preserve">а 12 місяць в </w:t>
      </w:r>
      <w:r w:rsidR="00803C75">
        <w:rPr>
          <w:rFonts w:eastAsia="Calibri" w:cs="Times New Roman"/>
          <w:sz w:val="28"/>
          <w:szCs w:val="28"/>
        </w:rPr>
        <w:t>10%</w:t>
      </w:r>
      <w:r w:rsidR="0030517B" w:rsidRPr="00CA099F">
        <w:rPr>
          <w:rFonts w:eastAsia="Calibri" w:cs="Times New Roman"/>
          <w:sz w:val="28"/>
          <w:szCs w:val="28"/>
        </w:rPr>
        <w:t xml:space="preserve"> випадках спостерігається атрофічний гомогенний рубець, в 5% – гіпертрофічний</w:t>
      </w:r>
      <w:r w:rsidR="00803C75">
        <w:rPr>
          <w:rFonts w:eastAsia="Calibri" w:cs="Times New Roman"/>
          <w:sz w:val="28"/>
          <w:szCs w:val="28"/>
        </w:rPr>
        <w:t>. Ознак келоїдизації не виявляється</w:t>
      </w:r>
      <w:r w:rsidR="0030517B" w:rsidRPr="00CA099F">
        <w:rPr>
          <w:rFonts w:eastAsia="Calibri" w:cs="Times New Roman"/>
          <w:sz w:val="28"/>
          <w:szCs w:val="28"/>
        </w:rPr>
        <w:t>, а у 85% пацієнтів спостерігається нормотрофічний рубець, що повністю співпадає з даними літератури [</w:t>
      </w:r>
      <w:r w:rsidR="0030517B" w:rsidRPr="00CA099F">
        <w:rPr>
          <w:rFonts w:eastAsia="Calibri" w:cs="Times New Roman"/>
          <w:sz w:val="28"/>
          <w:szCs w:val="28"/>
          <w:lang w:val="ru-RU"/>
        </w:rPr>
        <w:t>107</w:t>
      </w:r>
      <w:r w:rsidR="0030517B" w:rsidRPr="00CA099F">
        <w:rPr>
          <w:rFonts w:eastAsia="Calibri" w:cs="Times New Roman"/>
          <w:sz w:val="28"/>
          <w:szCs w:val="28"/>
        </w:rPr>
        <w:t>, 1</w:t>
      </w:r>
      <w:r w:rsidR="0030517B" w:rsidRPr="00CA099F">
        <w:rPr>
          <w:rFonts w:eastAsia="Calibri" w:cs="Times New Roman"/>
          <w:sz w:val="28"/>
          <w:szCs w:val="28"/>
          <w:lang w:val="ru-RU"/>
        </w:rPr>
        <w:t>34</w:t>
      </w:r>
      <w:r w:rsidR="0030517B" w:rsidRPr="00CA099F">
        <w:rPr>
          <w:rFonts w:eastAsia="Calibri" w:cs="Times New Roman"/>
          <w:sz w:val="28"/>
          <w:szCs w:val="28"/>
        </w:rPr>
        <w:t>, 1</w:t>
      </w:r>
      <w:r w:rsidR="0030517B" w:rsidRPr="00CA099F">
        <w:rPr>
          <w:rFonts w:eastAsia="Calibri" w:cs="Times New Roman"/>
          <w:sz w:val="28"/>
          <w:szCs w:val="28"/>
          <w:lang w:val="ru-RU"/>
        </w:rPr>
        <w:t>48</w:t>
      </w:r>
      <w:r w:rsidR="0030517B" w:rsidRPr="00CA099F">
        <w:rPr>
          <w:rFonts w:eastAsia="Calibri" w:cs="Times New Roman"/>
          <w:sz w:val="28"/>
          <w:szCs w:val="28"/>
        </w:rPr>
        <w:t>].</w:t>
      </w:r>
    </w:p>
    <w:p w:rsidR="008652C5" w:rsidRDefault="0030517B" w:rsidP="003236D6">
      <w:pPr>
        <w:spacing w:after="160" w:line="360" w:lineRule="auto"/>
        <w:ind w:firstLine="708"/>
        <w:jc w:val="both"/>
        <w:rPr>
          <w:rFonts w:eastAsia="Calibri" w:cs="Times New Roman"/>
          <w:sz w:val="28"/>
          <w:szCs w:val="28"/>
        </w:rPr>
      </w:pPr>
      <w:r w:rsidRPr="00CA099F">
        <w:rPr>
          <w:rFonts w:eastAsia="Calibri" w:cs="Times New Roman"/>
          <w:sz w:val="28"/>
          <w:szCs w:val="28"/>
        </w:rPr>
        <w:t>Ефективність запропонованої методики нами підтверджена при дослідження динаміки клінічних змін показника П2 на 6 місяць та його невеликі зміни протягом всього подальшого періоду спостереження. Так в указаний термін нормаль</w:t>
      </w:r>
      <w:r w:rsidR="001E75A4">
        <w:rPr>
          <w:rFonts w:eastAsia="Calibri" w:cs="Times New Roman"/>
          <w:sz w:val="28"/>
          <w:szCs w:val="28"/>
        </w:rPr>
        <w:t xml:space="preserve">на консистенція визначається у </w:t>
      </w:r>
      <w:r w:rsidRPr="00CA099F">
        <w:rPr>
          <w:rFonts w:eastAsia="Calibri" w:cs="Times New Roman"/>
          <w:sz w:val="28"/>
          <w:szCs w:val="28"/>
        </w:rPr>
        <w:t xml:space="preserve">80% </w:t>
      </w:r>
      <w:r w:rsidR="00D96DA9">
        <w:rPr>
          <w:rFonts w:eastAsia="Calibri" w:cs="Times New Roman"/>
          <w:sz w:val="28"/>
          <w:szCs w:val="28"/>
        </w:rPr>
        <w:t>пацієнтів</w:t>
      </w:r>
      <w:r w:rsidR="001E75A4">
        <w:rPr>
          <w:rFonts w:eastAsia="Calibri" w:cs="Times New Roman"/>
          <w:sz w:val="28"/>
          <w:szCs w:val="28"/>
        </w:rPr>
        <w:t xml:space="preserve">, у </w:t>
      </w:r>
      <w:r w:rsidRPr="00CA099F">
        <w:rPr>
          <w:rFonts w:eastAsia="Calibri" w:cs="Times New Roman"/>
          <w:sz w:val="28"/>
          <w:szCs w:val="28"/>
        </w:rPr>
        <w:t>20% пацієнтів пальпуються поодинокі осередки ущільнення в центральній частині без їх наявності в маргінальних краях рубця</w:t>
      </w:r>
      <w:r w:rsidR="001E75A4">
        <w:rPr>
          <w:rFonts w:eastAsia="Calibri" w:cs="Times New Roman"/>
          <w:sz w:val="28"/>
          <w:szCs w:val="28"/>
        </w:rPr>
        <w:t xml:space="preserve">. </w:t>
      </w:r>
    </w:p>
    <w:p w:rsidR="0030517B" w:rsidRPr="00CA099F" w:rsidRDefault="001E75A4" w:rsidP="003236D6">
      <w:pPr>
        <w:spacing w:after="160" w:line="360" w:lineRule="auto"/>
        <w:ind w:firstLine="708"/>
        <w:jc w:val="both"/>
        <w:rPr>
          <w:rFonts w:eastAsia="Calibri" w:cs="Times New Roman"/>
          <w:sz w:val="28"/>
          <w:szCs w:val="28"/>
        </w:rPr>
      </w:pPr>
      <w:r>
        <w:rPr>
          <w:rFonts w:eastAsia="Calibri" w:cs="Times New Roman"/>
          <w:sz w:val="28"/>
          <w:szCs w:val="28"/>
        </w:rPr>
        <w:t xml:space="preserve">На 12 місяць у </w:t>
      </w:r>
      <w:r w:rsidR="0030517B" w:rsidRPr="00CA099F">
        <w:rPr>
          <w:rFonts w:eastAsia="Calibri" w:cs="Times New Roman"/>
          <w:sz w:val="28"/>
          <w:szCs w:val="28"/>
        </w:rPr>
        <w:t>90% пацієнтів пальпаторно визначається нормаль</w:t>
      </w:r>
      <w:r>
        <w:rPr>
          <w:rFonts w:eastAsia="Calibri" w:cs="Times New Roman"/>
          <w:sz w:val="28"/>
          <w:szCs w:val="28"/>
        </w:rPr>
        <w:t>на консистенція рубця, в 10%</w:t>
      </w:r>
      <w:r w:rsidR="0030517B" w:rsidRPr="00CA099F">
        <w:rPr>
          <w:rFonts w:eastAsia="Calibri" w:cs="Times New Roman"/>
          <w:sz w:val="28"/>
          <w:szCs w:val="28"/>
        </w:rPr>
        <w:t xml:space="preserve"> випадках візуалізується лише поодинокий осередок </w:t>
      </w:r>
      <w:r w:rsidR="0030517B" w:rsidRPr="00CA099F">
        <w:rPr>
          <w:rFonts w:eastAsia="Calibri" w:cs="Times New Roman"/>
          <w:sz w:val="28"/>
          <w:szCs w:val="28"/>
        </w:rPr>
        <w:lastRenderedPageBreak/>
        <w:t>ущільнення в центральній частині рубця за умов глибокої пальпації рубця без видимих ознак індурації.</w:t>
      </w:r>
    </w:p>
    <w:p w:rsidR="0030517B" w:rsidRPr="00CA099F" w:rsidRDefault="0030517B" w:rsidP="003236D6">
      <w:pPr>
        <w:spacing w:after="160" w:line="360" w:lineRule="auto"/>
        <w:ind w:firstLine="708"/>
        <w:jc w:val="both"/>
        <w:rPr>
          <w:rFonts w:eastAsia="Calibri" w:cs="Times New Roman"/>
          <w:sz w:val="28"/>
          <w:szCs w:val="28"/>
        </w:rPr>
      </w:pPr>
      <w:r w:rsidRPr="00CA099F">
        <w:rPr>
          <w:rFonts w:eastAsia="Calibri" w:cs="Times New Roman"/>
          <w:sz w:val="28"/>
          <w:szCs w:val="28"/>
        </w:rPr>
        <w:t>Дані щодо кольору рубця при аналізі показника П3 свідчать про позитивний вплив запропонованої методики на 6 місяць спостереження: близький до норми стан ш</w:t>
      </w:r>
      <w:r w:rsidR="001E75A4">
        <w:rPr>
          <w:rFonts w:eastAsia="Calibri" w:cs="Times New Roman"/>
          <w:sz w:val="28"/>
          <w:szCs w:val="28"/>
        </w:rPr>
        <w:t xml:space="preserve">кіри нами спостерігається в </w:t>
      </w:r>
      <w:r w:rsidRPr="00CA099F">
        <w:rPr>
          <w:rFonts w:eastAsia="Calibri" w:cs="Times New Roman"/>
          <w:sz w:val="28"/>
          <w:szCs w:val="28"/>
        </w:rPr>
        <w:t>65% випадках. У 25%</w:t>
      </w:r>
      <w:r w:rsidR="001E75A4">
        <w:rPr>
          <w:rFonts w:eastAsia="Calibri" w:cs="Times New Roman"/>
          <w:sz w:val="28"/>
          <w:szCs w:val="28"/>
        </w:rPr>
        <w:t xml:space="preserve"> пацієнтів встановлюються</w:t>
      </w:r>
      <w:r w:rsidRPr="00CA099F">
        <w:rPr>
          <w:rFonts w:eastAsia="Calibri" w:cs="Times New Roman"/>
          <w:sz w:val="28"/>
          <w:szCs w:val="28"/>
        </w:rPr>
        <w:t xml:space="preserve"> ознаки помірної еритеми, кількість пацієнтів з вираженою еритемою зменшується до 10%, а </w:t>
      </w:r>
      <w:r w:rsidR="001E75A4">
        <w:rPr>
          <w:rFonts w:eastAsia="Calibri" w:cs="Times New Roman"/>
          <w:sz w:val="28"/>
          <w:szCs w:val="28"/>
        </w:rPr>
        <w:t>до</w:t>
      </w:r>
      <w:r w:rsidRPr="00CA099F">
        <w:rPr>
          <w:rFonts w:eastAsia="Calibri" w:cs="Times New Roman"/>
          <w:sz w:val="28"/>
          <w:szCs w:val="28"/>
        </w:rPr>
        <w:t xml:space="preserve"> 12 місяц</w:t>
      </w:r>
      <w:r w:rsidR="001E75A4">
        <w:rPr>
          <w:rFonts w:eastAsia="Calibri" w:cs="Times New Roman"/>
          <w:sz w:val="28"/>
          <w:szCs w:val="28"/>
        </w:rPr>
        <w:t>я</w:t>
      </w:r>
      <w:r w:rsidRPr="00CA099F">
        <w:rPr>
          <w:rFonts w:eastAsia="Calibri" w:cs="Times New Roman"/>
          <w:sz w:val="28"/>
          <w:szCs w:val="28"/>
        </w:rPr>
        <w:t xml:space="preserve"> – </w:t>
      </w:r>
      <w:r w:rsidR="001E75A4">
        <w:rPr>
          <w:rFonts w:eastAsia="Calibri" w:cs="Times New Roman"/>
          <w:sz w:val="28"/>
          <w:szCs w:val="28"/>
        </w:rPr>
        <w:t>зникає</w:t>
      </w:r>
      <w:r w:rsidRPr="00CA099F">
        <w:rPr>
          <w:rFonts w:eastAsia="Calibri" w:cs="Times New Roman"/>
          <w:sz w:val="28"/>
          <w:szCs w:val="28"/>
        </w:rPr>
        <w:t>.</w:t>
      </w:r>
    </w:p>
    <w:p w:rsidR="00C612ED" w:rsidRDefault="0030517B" w:rsidP="003236D6">
      <w:pPr>
        <w:spacing w:after="160" w:line="360" w:lineRule="auto"/>
        <w:ind w:firstLine="708"/>
        <w:jc w:val="both"/>
        <w:rPr>
          <w:rFonts w:eastAsia="Calibri" w:cs="Times New Roman"/>
          <w:sz w:val="28"/>
          <w:szCs w:val="28"/>
        </w:rPr>
      </w:pPr>
      <w:r w:rsidRPr="00CA099F">
        <w:rPr>
          <w:rFonts w:eastAsia="Calibri" w:cs="Times New Roman"/>
          <w:sz w:val="28"/>
          <w:szCs w:val="28"/>
        </w:rPr>
        <w:t xml:space="preserve">Аналіз показника П4 свідчить про поступове зменшення його цифрових даних протягом всього періоду спостереження із суттєвим покращенням клінічної картини на 9 місяць післяопераційного періоду: на напруженість рубця скаржиться </w:t>
      </w:r>
      <w:r w:rsidR="000C2338">
        <w:rPr>
          <w:rFonts w:eastAsia="Calibri" w:cs="Times New Roman"/>
          <w:sz w:val="28"/>
          <w:szCs w:val="28"/>
        </w:rPr>
        <w:t>15%</w:t>
      </w:r>
      <w:r w:rsidRPr="00CA099F">
        <w:rPr>
          <w:rFonts w:eastAsia="Calibri" w:cs="Times New Roman"/>
          <w:sz w:val="28"/>
          <w:szCs w:val="28"/>
        </w:rPr>
        <w:t xml:space="preserve"> </w:t>
      </w:r>
      <w:r w:rsidR="00D96DA9">
        <w:rPr>
          <w:rFonts w:eastAsia="Calibri" w:cs="Times New Roman"/>
          <w:sz w:val="28"/>
          <w:szCs w:val="28"/>
        </w:rPr>
        <w:t>пацієнтів</w:t>
      </w:r>
      <w:r w:rsidRPr="00CA099F">
        <w:rPr>
          <w:rFonts w:eastAsia="Calibri" w:cs="Times New Roman"/>
          <w:sz w:val="28"/>
          <w:szCs w:val="28"/>
        </w:rPr>
        <w:t xml:space="preserve">, скарг на біль, печію та свербіж не відзначається. На 12 місяць кількість </w:t>
      </w:r>
      <w:r w:rsidR="00D96DA9">
        <w:rPr>
          <w:rFonts w:eastAsia="Calibri" w:cs="Times New Roman"/>
          <w:sz w:val="28"/>
          <w:szCs w:val="28"/>
        </w:rPr>
        <w:t>пацієнтів</w:t>
      </w:r>
      <w:r w:rsidRPr="00CA099F">
        <w:rPr>
          <w:rFonts w:eastAsia="Calibri" w:cs="Times New Roman"/>
          <w:sz w:val="28"/>
          <w:szCs w:val="28"/>
        </w:rPr>
        <w:t>, що скаржаться на напруженість рубцевозм</w:t>
      </w:r>
      <w:r w:rsidR="000C2338">
        <w:rPr>
          <w:rFonts w:eastAsia="Calibri" w:cs="Times New Roman"/>
          <w:sz w:val="28"/>
          <w:szCs w:val="28"/>
        </w:rPr>
        <w:t>інених тканин зменшується до 5%</w:t>
      </w:r>
      <w:r w:rsidRPr="00CA099F">
        <w:rPr>
          <w:rFonts w:eastAsia="Calibri" w:cs="Times New Roman"/>
          <w:sz w:val="28"/>
          <w:szCs w:val="28"/>
        </w:rPr>
        <w:t>.</w:t>
      </w:r>
    </w:p>
    <w:p w:rsidR="0030517B" w:rsidRPr="00CA099F" w:rsidRDefault="0030517B" w:rsidP="003236D6">
      <w:pPr>
        <w:spacing w:after="160" w:line="360" w:lineRule="auto"/>
        <w:ind w:firstLine="708"/>
        <w:jc w:val="both"/>
        <w:rPr>
          <w:rFonts w:eastAsia="Calibri" w:cs="Times New Roman"/>
          <w:sz w:val="28"/>
          <w:szCs w:val="28"/>
        </w:rPr>
      </w:pPr>
      <w:r w:rsidRPr="00CA099F">
        <w:rPr>
          <w:rFonts w:eastAsia="Calibri" w:cs="Times New Roman"/>
          <w:sz w:val="28"/>
          <w:szCs w:val="28"/>
        </w:rPr>
        <w:t xml:space="preserve"> Зміни показника П5 свідчать про збільшення кількості </w:t>
      </w:r>
      <w:r w:rsidR="00D96DA9">
        <w:rPr>
          <w:rFonts w:eastAsia="Calibri" w:cs="Times New Roman"/>
          <w:sz w:val="28"/>
          <w:szCs w:val="28"/>
        </w:rPr>
        <w:t>пацієнтів</w:t>
      </w:r>
      <w:r w:rsidRPr="00CA099F">
        <w:rPr>
          <w:rFonts w:eastAsia="Calibri" w:cs="Times New Roman"/>
          <w:sz w:val="28"/>
          <w:szCs w:val="28"/>
        </w:rPr>
        <w:t xml:space="preserve"> з ознакою малої площі протягом всього періоду спостереження з повною відсутністю пацієнтів з ознаками великої площі, що, безумовно, підкреслює якість проведеної методики профілактики.</w:t>
      </w:r>
    </w:p>
    <w:p w:rsidR="0030517B" w:rsidRPr="00CA099F" w:rsidRDefault="0030517B" w:rsidP="003236D6">
      <w:pPr>
        <w:spacing w:after="160" w:line="360" w:lineRule="auto"/>
        <w:ind w:firstLine="708"/>
        <w:jc w:val="both"/>
        <w:rPr>
          <w:rFonts w:eastAsia="Calibri" w:cs="Times New Roman"/>
          <w:sz w:val="28"/>
          <w:szCs w:val="28"/>
        </w:rPr>
      </w:pPr>
      <w:r w:rsidRPr="00CA099F">
        <w:rPr>
          <w:rFonts w:eastAsia="Calibri" w:cs="Times New Roman"/>
          <w:sz w:val="28"/>
          <w:szCs w:val="28"/>
        </w:rPr>
        <w:t xml:space="preserve">Дані, щодо динаміки змін клінічних показників утворення рубцевозмінених тканин у </w:t>
      </w:r>
      <w:r w:rsidR="00D96DA9">
        <w:rPr>
          <w:rFonts w:eastAsia="Calibri" w:cs="Times New Roman"/>
          <w:sz w:val="28"/>
          <w:szCs w:val="28"/>
        </w:rPr>
        <w:t>пацієнтів</w:t>
      </w:r>
      <w:r w:rsidRPr="00CA099F">
        <w:rPr>
          <w:rFonts w:eastAsia="Calibri" w:cs="Times New Roman"/>
          <w:sz w:val="28"/>
          <w:szCs w:val="28"/>
        </w:rPr>
        <w:t xml:space="preserve"> 2 клінічної групи наведено в таблиці 6.3.</w:t>
      </w:r>
    </w:p>
    <w:p w:rsidR="008652C5" w:rsidRDefault="008652C5" w:rsidP="0030517B">
      <w:pPr>
        <w:spacing w:after="160" w:line="360" w:lineRule="auto"/>
        <w:jc w:val="right"/>
        <w:rPr>
          <w:rFonts w:eastAsia="Calibri" w:cs="Times New Roman"/>
          <w:i/>
          <w:sz w:val="28"/>
          <w:szCs w:val="28"/>
        </w:rPr>
      </w:pPr>
    </w:p>
    <w:p w:rsidR="008652C5" w:rsidRDefault="008652C5" w:rsidP="0030517B">
      <w:pPr>
        <w:spacing w:after="160" w:line="360" w:lineRule="auto"/>
        <w:jc w:val="right"/>
        <w:rPr>
          <w:rFonts w:eastAsia="Calibri" w:cs="Times New Roman"/>
          <w:i/>
          <w:sz w:val="28"/>
          <w:szCs w:val="28"/>
        </w:rPr>
      </w:pPr>
    </w:p>
    <w:p w:rsidR="008652C5" w:rsidRDefault="008652C5" w:rsidP="0030517B">
      <w:pPr>
        <w:spacing w:after="160" w:line="360" w:lineRule="auto"/>
        <w:jc w:val="right"/>
        <w:rPr>
          <w:rFonts w:eastAsia="Calibri" w:cs="Times New Roman"/>
          <w:i/>
          <w:sz w:val="28"/>
          <w:szCs w:val="28"/>
        </w:rPr>
      </w:pPr>
    </w:p>
    <w:p w:rsidR="008652C5" w:rsidRDefault="008652C5" w:rsidP="0030517B">
      <w:pPr>
        <w:spacing w:after="160" w:line="360" w:lineRule="auto"/>
        <w:jc w:val="right"/>
        <w:rPr>
          <w:rFonts w:eastAsia="Calibri" w:cs="Times New Roman"/>
          <w:i/>
          <w:sz w:val="28"/>
          <w:szCs w:val="28"/>
        </w:rPr>
      </w:pPr>
    </w:p>
    <w:p w:rsidR="008652C5" w:rsidRDefault="008652C5" w:rsidP="0030517B">
      <w:pPr>
        <w:spacing w:after="160" w:line="360" w:lineRule="auto"/>
        <w:jc w:val="right"/>
        <w:rPr>
          <w:rFonts w:eastAsia="Calibri" w:cs="Times New Roman"/>
          <w:i/>
          <w:sz w:val="28"/>
          <w:szCs w:val="28"/>
        </w:rPr>
      </w:pPr>
    </w:p>
    <w:p w:rsidR="0030517B" w:rsidRPr="00CA099F" w:rsidRDefault="0030517B" w:rsidP="0030517B">
      <w:pPr>
        <w:spacing w:after="160" w:line="360" w:lineRule="auto"/>
        <w:jc w:val="right"/>
        <w:rPr>
          <w:rFonts w:eastAsia="Calibri" w:cs="Times New Roman"/>
          <w:i/>
          <w:sz w:val="28"/>
          <w:szCs w:val="28"/>
        </w:rPr>
      </w:pPr>
      <w:r w:rsidRPr="00CA099F">
        <w:rPr>
          <w:rFonts w:eastAsia="Calibri" w:cs="Times New Roman"/>
          <w:i/>
          <w:sz w:val="28"/>
          <w:szCs w:val="28"/>
        </w:rPr>
        <w:t>Таблиця 6.3</w:t>
      </w:r>
    </w:p>
    <w:p w:rsidR="0030517B" w:rsidRPr="00CA099F" w:rsidRDefault="0030517B" w:rsidP="0030517B">
      <w:pPr>
        <w:spacing w:after="160" w:line="360" w:lineRule="auto"/>
        <w:jc w:val="center"/>
        <w:rPr>
          <w:rFonts w:eastAsia="Calibri" w:cs="Times New Roman"/>
          <w:b/>
          <w:sz w:val="28"/>
          <w:szCs w:val="28"/>
        </w:rPr>
      </w:pPr>
      <w:r w:rsidRPr="00CA099F">
        <w:rPr>
          <w:rFonts w:eastAsia="Calibri" w:cs="Times New Roman"/>
          <w:b/>
          <w:sz w:val="28"/>
          <w:szCs w:val="28"/>
        </w:rPr>
        <w:lastRenderedPageBreak/>
        <w:t>Динаміка клінічних змін показників у пацієнтів 2 групи на різних етапах післяопераційного періоду</w:t>
      </w:r>
    </w:p>
    <w:tbl>
      <w:tblPr>
        <w:tblW w:w="96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30"/>
        <w:gridCol w:w="1956"/>
        <w:gridCol w:w="1985"/>
        <w:gridCol w:w="1984"/>
        <w:gridCol w:w="1985"/>
      </w:tblGrid>
      <w:tr w:rsidR="0030517B" w:rsidRPr="00CA099F" w:rsidTr="00E1448E">
        <w:trPr>
          <w:trHeight w:val="1152"/>
          <w:jc w:val="center"/>
        </w:trPr>
        <w:tc>
          <w:tcPr>
            <w:tcW w:w="1730" w:type="dxa"/>
            <w:vMerge w:val="restart"/>
            <w:tcBorders>
              <w:top w:val="single" w:sz="4" w:space="0" w:color="auto"/>
              <w:left w:val="single" w:sz="4" w:space="0" w:color="auto"/>
              <w:right w:val="single" w:sz="4" w:space="0" w:color="auto"/>
              <w:tl2br w:val="single" w:sz="4" w:space="0" w:color="auto"/>
            </w:tcBorders>
          </w:tcPr>
          <w:p w:rsidR="0030517B" w:rsidRPr="00CA099F" w:rsidRDefault="0030517B" w:rsidP="00E1448E">
            <w:pPr>
              <w:spacing w:after="160" w:line="259" w:lineRule="auto"/>
              <w:rPr>
                <w:rFonts w:eastAsia="Calibri" w:cs="Times New Roman"/>
                <w:szCs w:val="28"/>
              </w:rPr>
            </w:pPr>
            <w:r w:rsidRPr="00CA099F">
              <w:rPr>
                <w:rFonts w:eastAsia="Calibri" w:cs="Times New Roman"/>
                <w:sz w:val="28"/>
                <w:szCs w:val="28"/>
              </w:rPr>
              <w:t xml:space="preserve">     Термін</w:t>
            </w:r>
          </w:p>
          <w:p w:rsidR="0030517B" w:rsidRPr="00CA099F" w:rsidRDefault="0030517B" w:rsidP="00E1448E">
            <w:pPr>
              <w:spacing w:after="160" w:line="259" w:lineRule="auto"/>
              <w:rPr>
                <w:rFonts w:eastAsia="Calibri" w:cs="Times New Roman"/>
                <w:szCs w:val="28"/>
              </w:rPr>
            </w:pPr>
          </w:p>
          <w:p w:rsidR="0030517B" w:rsidRPr="00CA099F" w:rsidRDefault="0030517B" w:rsidP="00E1448E">
            <w:pPr>
              <w:spacing w:after="160" w:line="259" w:lineRule="auto"/>
              <w:rPr>
                <w:rFonts w:eastAsia="Calibri" w:cs="Times New Roman"/>
                <w:szCs w:val="28"/>
              </w:rPr>
            </w:pPr>
            <w:r w:rsidRPr="00CA099F">
              <w:rPr>
                <w:rFonts w:eastAsia="Calibri" w:cs="Times New Roman"/>
                <w:sz w:val="28"/>
                <w:szCs w:val="28"/>
              </w:rPr>
              <w:t>Показник</w:t>
            </w:r>
          </w:p>
        </w:tc>
        <w:tc>
          <w:tcPr>
            <w:tcW w:w="1956" w:type="dxa"/>
            <w:tcBorders>
              <w:top w:val="single" w:sz="4" w:space="0" w:color="auto"/>
              <w:left w:val="single" w:sz="4" w:space="0" w:color="auto"/>
              <w:bottom w:val="single" w:sz="4" w:space="0" w:color="auto"/>
              <w:right w:val="single" w:sz="4" w:space="0" w:color="auto"/>
            </w:tcBorders>
          </w:tcPr>
          <w:p w:rsidR="0030517B" w:rsidRPr="00CA099F" w:rsidRDefault="0030517B" w:rsidP="00E1448E">
            <w:pPr>
              <w:spacing w:after="160" w:line="259" w:lineRule="auto"/>
              <w:jc w:val="center"/>
              <w:rPr>
                <w:rFonts w:eastAsia="Calibri" w:cs="Times New Roman"/>
                <w:szCs w:val="28"/>
              </w:rPr>
            </w:pPr>
          </w:p>
          <w:p w:rsidR="0030517B" w:rsidRPr="00CA099F" w:rsidRDefault="0030517B" w:rsidP="00E1448E">
            <w:pPr>
              <w:spacing w:after="160" w:line="259" w:lineRule="auto"/>
              <w:jc w:val="center"/>
              <w:rPr>
                <w:rFonts w:eastAsia="Calibri" w:cs="Times New Roman"/>
                <w:szCs w:val="28"/>
              </w:rPr>
            </w:pPr>
            <w:r w:rsidRPr="00CA099F">
              <w:rPr>
                <w:rFonts w:eastAsia="Calibri" w:cs="Times New Roman"/>
                <w:sz w:val="28"/>
                <w:szCs w:val="28"/>
              </w:rPr>
              <w:t>3 місяць</w:t>
            </w:r>
          </w:p>
        </w:tc>
        <w:tc>
          <w:tcPr>
            <w:tcW w:w="1985" w:type="dxa"/>
            <w:tcBorders>
              <w:top w:val="single" w:sz="4" w:space="0" w:color="auto"/>
              <w:left w:val="single" w:sz="4" w:space="0" w:color="auto"/>
              <w:bottom w:val="single" w:sz="4" w:space="0" w:color="auto"/>
              <w:right w:val="single" w:sz="4" w:space="0" w:color="auto"/>
            </w:tcBorders>
          </w:tcPr>
          <w:p w:rsidR="0030517B" w:rsidRPr="00CA099F" w:rsidRDefault="0030517B" w:rsidP="00E1448E">
            <w:pPr>
              <w:spacing w:after="160" w:line="259" w:lineRule="auto"/>
              <w:jc w:val="center"/>
              <w:rPr>
                <w:rFonts w:eastAsia="Calibri" w:cs="Times New Roman"/>
                <w:szCs w:val="28"/>
              </w:rPr>
            </w:pPr>
          </w:p>
          <w:p w:rsidR="0030517B" w:rsidRPr="00CA099F" w:rsidRDefault="0030517B" w:rsidP="00E1448E">
            <w:pPr>
              <w:spacing w:after="160" w:line="259" w:lineRule="auto"/>
              <w:jc w:val="center"/>
              <w:rPr>
                <w:rFonts w:eastAsia="Calibri" w:cs="Times New Roman"/>
                <w:szCs w:val="28"/>
              </w:rPr>
            </w:pPr>
            <w:r w:rsidRPr="00CA099F">
              <w:rPr>
                <w:rFonts w:eastAsia="Calibri" w:cs="Times New Roman"/>
                <w:sz w:val="28"/>
                <w:szCs w:val="28"/>
              </w:rPr>
              <w:t>6 місяць</w:t>
            </w:r>
          </w:p>
        </w:tc>
        <w:tc>
          <w:tcPr>
            <w:tcW w:w="1984" w:type="dxa"/>
            <w:tcBorders>
              <w:top w:val="single" w:sz="4" w:space="0" w:color="auto"/>
              <w:left w:val="single" w:sz="4" w:space="0" w:color="auto"/>
              <w:bottom w:val="single" w:sz="4" w:space="0" w:color="auto"/>
              <w:right w:val="single" w:sz="4" w:space="0" w:color="auto"/>
            </w:tcBorders>
          </w:tcPr>
          <w:p w:rsidR="0030517B" w:rsidRPr="00CA099F" w:rsidRDefault="0030517B" w:rsidP="00E1448E">
            <w:pPr>
              <w:spacing w:after="160" w:line="259" w:lineRule="auto"/>
              <w:jc w:val="center"/>
              <w:rPr>
                <w:rFonts w:eastAsia="Calibri" w:cs="Times New Roman"/>
                <w:szCs w:val="28"/>
              </w:rPr>
            </w:pPr>
          </w:p>
          <w:p w:rsidR="0030517B" w:rsidRPr="00CA099F" w:rsidRDefault="0030517B" w:rsidP="00E1448E">
            <w:pPr>
              <w:spacing w:after="160" w:line="259" w:lineRule="auto"/>
              <w:jc w:val="center"/>
              <w:rPr>
                <w:rFonts w:eastAsia="Calibri" w:cs="Times New Roman"/>
                <w:szCs w:val="28"/>
              </w:rPr>
            </w:pPr>
            <w:r w:rsidRPr="00CA099F">
              <w:rPr>
                <w:rFonts w:eastAsia="Calibri" w:cs="Times New Roman"/>
                <w:sz w:val="28"/>
                <w:szCs w:val="28"/>
              </w:rPr>
              <w:t>9 місяць</w:t>
            </w:r>
          </w:p>
        </w:tc>
        <w:tc>
          <w:tcPr>
            <w:tcW w:w="1985" w:type="dxa"/>
            <w:tcBorders>
              <w:top w:val="single" w:sz="4" w:space="0" w:color="auto"/>
              <w:left w:val="single" w:sz="4" w:space="0" w:color="auto"/>
              <w:bottom w:val="single" w:sz="4" w:space="0" w:color="auto"/>
              <w:right w:val="single" w:sz="4" w:space="0" w:color="auto"/>
            </w:tcBorders>
          </w:tcPr>
          <w:p w:rsidR="0030517B" w:rsidRPr="00CA099F" w:rsidRDefault="0030517B" w:rsidP="00E1448E">
            <w:pPr>
              <w:spacing w:after="160" w:line="259" w:lineRule="auto"/>
              <w:jc w:val="center"/>
              <w:rPr>
                <w:rFonts w:eastAsia="Calibri" w:cs="Times New Roman"/>
                <w:szCs w:val="28"/>
              </w:rPr>
            </w:pPr>
          </w:p>
          <w:p w:rsidR="0030517B" w:rsidRPr="00CA099F" w:rsidRDefault="0030517B" w:rsidP="00E1448E">
            <w:pPr>
              <w:spacing w:after="160" w:line="259" w:lineRule="auto"/>
              <w:jc w:val="center"/>
              <w:rPr>
                <w:rFonts w:eastAsia="Calibri" w:cs="Times New Roman"/>
                <w:szCs w:val="28"/>
              </w:rPr>
            </w:pPr>
            <w:r w:rsidRPr="00CA099F">
              <w:rPr>
                <w:rFonts w:eastAsia="Calibri" w:cs="Times New Roman"/>
                <w:sz w:val="28"/>
                <w:szCs w:val="28"/>
              </w:rPr>
              <w:t>12 місяць</w:t>
            </w:r>
          </w:p>
        </w:tc>
      </w:tr>
      <w:tr w:rsidR="0030517B" w:rsidRPr="00CA099F" w:rsidTr="00E1448E">
        <w:trPr>
          <w:trHeight w:val="358"/>
          <w:jc w:val="center"/>
        </w:trPr>
        <w:tc>
          <w:tcPr>
            <w:tcW w:w="1730" w:type="dxa"/>
            <w:vMerge/>
            <w:tcBorders>
              <w:left w:val="single" w:sz="4" w:space="0" w:color="auto"/>
              <w:bottom w:val="single" w:sz="4" w:space="0" w:color="auto"/>
              <w:right w:val="single" w:sz="4" w:space="0" w:color="auto"/>
              <w:tl2br w:val="single" w:sz="4" w:space="0" w:color="auto"/>
            </w:tcBorders>
          </w:tcPr>
          <w:p w:rsidR="0030517B" w:rsidRPr="00CA099F" w:rsidRDefault="0030517B" w:rsidP="00E1448E">
            <w:pPr>
              <w:spacing w:after="160" w:line="259" w:lineRule="auto"/>
              <w:rPr>
                <w:rFonts w:eastAsia="Calibri" w:cs="Times New Roman"/>
                <w:szCs w:val="28"/>
              </w:rPr>
            </w:pPr>
          </w:p>
        </w:tc>
        <w:tc>
          <w:tcPr>
            <w:tcW w:w="1956" w:type="dxa"/>
            <w:tcBorders>
              <w:top w:val="single" w:sz="4" w:space="0" w:color="auto"/>
              <w:left w:val="single" w:sz="4" w:space="0" w:color="auto"/>
              <w:bottom w:val="single" w:sz="4" w:space="0" w:color="auto"/>
              <w:right w:val="single" w:sz="4" w:space="0" w:color="auto"/>
            </w:tcBorders>
          </w:tcPr>
          <w:p w:rsidR="0030517B" w:rsidRPr="00CA099F" w:rsidRDefault="0030517B" w:rsidP="00E1448E">
            <w:pPr>
              <w:spacing w:after="160" w:line="259" w:lineRule="auto"/>
              <w:jc w:val="center"/>
              <w:rPr>
                <w:rFonts w:eastAsia="Calibri" w:cs="Times New Roman"/>
                <w:szCs w:val="28"/>
              </w:rPr>
            </w:pPr>
            <w:r w:rsidRPr="00CA099F">
              <w:rPr>
                <w:rFonts w:eastAsia="Calibri" w:cs="Times New Roman"/>
                <w:sz w:val="28"/>
                <w:szCs w:val="28"/>
              </w:rPr>
              <w:t>1</w:t>
            </w:r>
          </w:p>
        </w:tc>
        <w:tc>
          <w:tcPr>
            <w:tcW w:w="1985" w:type="dxa"/>
            <w:tcBorders>
              <w:top w:val="single" w:sz="4" w:space="0" w:color="auto"/>
              <w:left w:val="single" w:sz="4" w:space="0" w:color="auto"/>
              <w:bottom w:val="single" w:sz="4" w:space="0" w:color="auto"/>
              <w:right w:val="single" w:sz="4" w:space="0" w:color="auto"/>
            </w:tcBorders>
          </w:tcPr>
          <w:p w:rsidR="0030517B" w:rsidRPr="00CA099F" w:rsidRDefault="0030517B" w:rsidP="00E1448E">
            <w:pPr>
              <w:spacing w:after="160" w:line="259" w:lineRule="auto"/>
              <w:jc w:val="center"/>
              <w:rPr>
                <w:rFonts w:eastAsia="Calibri" w:cs="Times New Roman"/>
                <w:szCs w:val="28"/>
              </w:rPr>
            </w:pPr>
            <w:r w:rsidRPr="00CA099F">
              <w:rPr>
                <w:rFonts w:eastAsia="Calibri" w:cs="Times New Roman"/>
                <w:sz w:val="28"/>
                <w:szCs w:val="28"/>
              </w:rPr>
              <w:t>2</w:t>
            </w:r>
          </w:p>
        </w:tc>
        <w:tc>
          <w:tcPr>
            <w:tcW w:w="1984" w:type="dxa"/>
            <w:tcBorders>
              <w:top w:val="single" w:sz="4" w:space="0" w:color="auto"/>
              <w:left w:val="single" w:sz="4" w:space="0" w:color="auto"/>
              <w:bottom w:val="single" w:sz="4" w:space="0" w:color="auto"/>
              <w:right w:val="single" w:sz="4" w:space="0" w:color="auto"/>
            </w:tcBorders>
          </w:tcPr>
          <w:p w:rsidR="0030517B" w:rsidRPr="00CA099F" w:rsidRDefault="0030517B" w:rsidP="00E1448E">
            <w:pPr>
              <w:spacing w:after="160" w:line="259" w:lineRule="auto"/>
              <w:jc w:val="center"/>
              <w:rPr>
                <w:rFonts w:eastAsia="Calibri" w:cs="Times New Roman"/>
                <w:szCs w:val="28"/>
              </w:rPr>
            </w:pPr>
            <w:r w:rsidRPr="00CA099F">
              <w:rPr>
                <w:rFonts w:eastAsia="Calibri" w:cs="Times New Roman"/>
                <w:sz w:val="28"/>
                <w:szCs w:val="28"/>
              </w:rPr>
              <w:t>3</w:t>
            </w:r>
          </w:p>
        </w:tc>
        <w:tc>
          <w:tcPr>
            <w:tcW w:w="1985" w:type="dxa"/>
            <w:tcBorders>
              <w:top w:val="single" w:sz="4" w:space="0" w:color="auto"/>
              <w:left w:val="single" w:sz="4" w:space="0" w:color="auto"/>
              <w:bottom w:val="single" w:sz="4" w:space="0" w:color="auto"/>
              <w:right w:val="single" w:sz="4" w:space="0" w:color="auto"/>
            </w:tcBorders>
          </w:tcPr>
          <w:p w:rsidR="0030517B" w:rsidRPr="00CA099F" w:rsidRDefault="0030517B" w:rsidP="00E1448E">
            <w:pPr>
              <w:spacing w:after="160" w:line="259" w:lineRule="auto"/>
              <w:jc w:val="center"/>
              <w:rPr>
                <w:rFonts w:eastAsia="Calibri" w:cs="Times New Roman"/>
                <w:szCs w:val="28"/>
              </w:rPr>
            </w:pPr>
            <w:r w:rsidRPr="00CA099F">
              <w:rPr>
                <w:rFonts w:eastAsia="Calibri" w:cs="Times New Roman"/>
                <w:sz w:val="28"/>
                <w:szCs w:val="28"/>
              </w:rPr>
              <w:t>4</w:t>
            </w:r>
          </w:p>
        </w:tc>
      </w:tr>
      <w:tr w:rsidR="0030517B" w:rsidRPr="00CA099F" w:rsidTr="00E1448E">
        <w:tblPrEx>
          <w:tblLook w:val="04A0" w:firstRow="1" w:lastRow="0" w:firstColumn="1" w:lastColumn="0" w:noHBand="0" w:noVBand="1"/>
        </w:tblPrEx>
        <w:trPr>
          <w:jc w:val="center"/>
        </w:trPr>
        <w:tc>
          <w:tcPr>
            <w:tcW w:w="1730" w:type="dxa"/>
            <w:vMerge w:val="restart"/>
            <w:shd w:val="clear" w:color="auto" w:fill="auto"/>
          </w:tcPr>
          <w:p w:rsidR="0030517B" w:rsidRPr="00CA099F" w:rsidRDefault="0030517B" w:rsidP="00E1448E">
            <w:pPr>
              <w:spacing w:after="160" w:line="259" w:lineRule="auto"/>
              <w:jc w:val="center"/>
              <w:rPr>
                <w:rFonts w:eastAsia="Calibri" w:cs="Times New Roman"/>
                <w:szCs w:val="28"/>
              </w:rPr>
            </w:pPr>
            <w:r w:rsidRPr="00CA099F">
              <w:rPr>
                <w:rFonts w:eastAsia="Calibri" w:cs="Times New Roman"/>
                <w:sz w:val="28"/>
                <w:szCs w:val="28"/>
              </w:rPr>
              <w:t>П1</w:t>
            </w:r>
          </w:p>
        </w:tc>
        <w:tc>
          <w:tcPr>
            <w:tcW w:w="1956" w:type="dxa"/>
            <w:shd w:val="clear" w:color="auto" w:fill="auto"/>
          </w:tcPr>
          <w:p w:rsidR="0030517B" w:rsidRPr="00CA099F" w:rsidRDefault="0030517B" w:rsidP="00E1448E">
            <w:pPr>
              <w:spacing w:after="160" w:line="259" w:lineRule="auto"/>
              <w:rPr>
                <w:rFonts w:eastAsia="Calibri" w:cs="Times New Roman"/>
                <w:szCs w:val="28"/>
              </w:rPr>
            </w:pPr>
            <w:r w:rsidRPr="00CA099F">
              <w:rPr>
                <w:rFonts w:eastAsia="Calibri" w:cs="Times New Roman"/>
                <w:sz w:val="28"/>
                <w:szCs w:val="28"/>
              </w:rPr>
              <w:t>А – 3 (15%)</w:t>
            </w:r>
          </w:p>
        </w:tc>
        <w:tc>
          <w:tcPr>
            <w:tcW w:w="1985" w:type="dxa"/>
            <w:shd w:val="clear" w:color="auto" w:fill="auto"/>
          </w:tcPr>
          <w:p w:rsidR="0030517B" w:rsidRPr="00CA099F" w:rsidRDefault="0030517B" w:rsidP="00E1448E">
            <w:pPr>
              <w:spacing w:after="160" w:line="259" w:lineRule="auto"/>
              <w:rPr>
                <w:rFonts w:eastAsia="Calibri" w:cs="Times New Roman"/>
                <w:szCs w:val="28"/>
              </w:rPr>
            </w:pPr>
            <w:r w:rsidRPr="00CA099F">
              <w:rPr>
                <w:rFonts w:eastAsia="Calibri" w:cs="Times New Roman"/>
                <w:sz w:val="28"/>
                <w:szCs w:val="28"/>
              </w:rPr>
              <w:t>А – 3 (15%)</w:t>
            </w:r>
          </w:p>
        </w:tc>
        <w:tc>
          <w:tcPr>
            <w:tcW w:w="1984" w:type="dxa"/>
            <w:shd w:val="clear" w:color="auto" w:fill="auto"/>
          </w:tcPr>
          <w:p w:rsidR="0030517B" w:rsidRPr="00CA099F" w:rsidRDefault="0030517B" w:rsidP="00E1448E">
            <w:pPr>
              <w:spacing w:after="160" w:line="259" w:lineRule="auto"/>
              <w:rPr>
                <w:rFonts w:eastAsia="Calibri" w:cs="Times New Roman"/>
                <w:szCs w:val="28"/>
              </w:rPr>
            </w:pPr>
            <w:r w:rsidRPr="00CA099F">
              <w:rPr>
                <w:rFonts w:eastAsia="Calibri" w:cs="Times New Roman"/>
                <w:sz w:val="28"/>
                <w:szCs w:val="28"/>
              </w:rPr>
              <w:t>А – 2 (10%)</w:t>
            </w:r>
          </w:p>
        </w:tc>
        <w:tc>
          <w:tcPr>
            <w:tcW w:w="1985" w:type="dxa"/>
            <w:shd w:val="clear" w:color="auto" w:fill="auto"/>
          </w:tcPr>
          <w:p w:rsidR="0030517B" w:rsidRPr="00CA099F" w:rsidRDefault="0030517B" w:rsidP="00E1448E">
            <w:pPr>
              <w:spacing w:after="160" w:line="259" w:lineRule="auto"/>
              <w:rPr>
                <w:rFonts w:eastAsia="Calibri" w:cs="Times New Roman"/>
                <w:szCs w:val="28"/>
              </w:rPr>
            </w:pPr>
            <w:r w:rsidRPr="00CA099F">
              <w:rPr>
                <w:rFonts w:eastAsia="Calibri" w:cs="Times New Roman"/>
                <w:sz w:val="28"/>
                <w:szCs w:val="28"/>
              </w:rPr>
              <w:t>А – 2 (10%)</w:t>
            </w:r>
          </w:p>
        </w:tc>
      </w:tr>
      <w:tr w:rsidR="0030517B" w:rsidRPr="00CA099F" w:rsidTr="00E1448E">
        <w:tblPrEx>
          <w:tblLook w:val="04A0" w:firstRow="1" w:lastRow="0" w:firstColumn="1" w:lastColumn="0" w:noHBand="0" w:noVBand="1"/>
        </w:tblPrEx>
        <w:trPr>
          <w:jc w:val="center"/>
        </w:trPr>
        <w:tc>
          <w:tcPr>
            <w:tcW w:w="1730" w:type="dxa"/>
            <w:vMerge/>
            <w:shd w:val="clear" w:color="auto" w:fill="auto"/>
          </w:tcPr>
          <w:p w:rsidR="0030517B" w:rsidRPr="00CA099F" w:rsidRDefault="0030517B" w:rsidP="00E1448E">
            <w:pPr>
              <w:spacing w:after="160" w:line="259" w:lineRule="auto"/>
              <w:jc w:val="center"/>
              <w:rPr>
                <w:rFonts w:eastAsia="Calibri" w:cs="Times New Roman"/>
                <w:szCs w:val="28"/>
              </w:rPr>
            </w:pPr>
          </w:p>
        </w:tc>
        <w:tc>
          <w:tcPr>
            <w:tcW w:w="1956" w:type="dxa"/>
            <w:shd w:val="clear" w:color="auto" w:fill="auto"/>
          </w:tcPr>
          <w:p w:rsidR="0030517B" w:rsidRPr="00CA099F" w:rsidRDefault="0030517B" w:rsidP="00E1448E">
            <w:pPr>
              <w:spacing w:after="160" w:line="259" w:lineRule="auto"/>
              <w:rPr>
                <w:rFonts w:eastAsia="Calibri" w:cs="Times New Roman"/>
                <w:szCs w:val="28"/>
              </w:rPr>
            </w:pPr>
            <w:r w:rsidRPr="00CA099F">
              <w:rPr>
                <w:rFonts w:eastAsia="Calibri" w:cs="Times New Roman"/>
                <w:sz w:val="28"/>
                <w:szCs w:val="28"/>
              </w:rPr>
              <w:t>Н – 14 (70%)</w:t>
            </w:r>
          </w:p>
        </w:tc>
        <w:tc>
          <w:tcPr>
            <w:tcW w:w="1985" w:type="dxa"/>
            <w:shd w:val="clear" w:color="auto" w:fill="auto"/>
          </w:tcPr>
          <w:p w:rsidR="0030517B" w:rsidRPr="00CA099F" w:rsidRDefault="0030517B" w:rsidP="00E1448E">
            <w:pPr>
              <w:spacing w:after="160" w:line="259" w:lineRule="auto"/>
              <w:rPr>
                <w:rFonts w:eastAsia="Calibri" w:cs="Times New Roman"/>
                <w:szCs w:val="28"/>
              </w:rPr>
            </w:pPr>
            <w:r w:rsidRPr="00CA099F">
              <w:rPr>
                <w:rFonts w:eastAsia="Calibri" w:cs="Times New Roman"/>
                <w:sz w:val="28"/>
                <w:szCs w:val="28"/>
              </w:rPr>
              <w:t>Н – 16 (80%)</w:t>
            </w:r>
          </w:p>
        </w:tc>
        <w:tc>
          <w:tcPr>
            <w:tcW w:w="1984" w:type="dxa"/>
            <w:shd w:val="clear" w:color="auto" w:fill="auto"/>
          </w:tcPr>
          <w:p w:rsidR="0030517B" w:rsidRPr="00CA099F" w:rsidRDefault="0030517B" w:rsidP="00E1448E">
            <w:pPr>
              <w:spacing w:after="160" w:line="259" w:lineRule="auto"/>
              <w:rPr>
                <w:rFonts w:eastAsia="Calibri" w:cs="Times New Roman"/>
                <w:szCs w:val="28"/>
              </w:rPr>
            </w:pPr>
            <w:r w:rsidRPr="00CA099F">
              <w:rPr>
                <w:rFonts w:eastAsia="Calibri" w:cs="Times New Roman"/>
                <w:sz w:val="28"/>
                <w:szCs w:val="28"/>
              </w:rPr>
              <w:t>Н – 17 (85%)</w:t>
            </w:r>
          </w:p>
        </w:tc>
        <w:tc>
          <w:tcPr>
            <w:tcW w:w="1985" w:type="dxa"/>
            <w:shd w:val="clear" w:color="auto" w:fill="auto"/>
          </w:tcPr>
          <w:p w:rsidR="0030517B" w:rsidRPr="00CA099F" w:rsidRDefault="0030517B" w:rsidP="00E1448E">
            <w:pPr>
              <w:spacing w:after="160" w:line="259" w:lineRule="auto"/>
              <w:rPr>
                <w:rFonts w:eastAsia="Calibri" w:cs="Times New Roman"/>
                <w:szCs w:val="28"/>
              </w:rPr>
            </w:pPr>
            <w:r w:rsidRPr="00CA099F">
              <w:rPr>
                <w:rFonts w:eastAsia="Calibri" w:cs="Times New Roman"/>
                <w:sz w:val="28"/>
                <w:szCs w:val="28"/>
              </w:rPr>
              <w:t>Н – 17 (85%)</w:t>
            </w:r>
          </w:p>
        </w:tc>
      </w:tr>
      <w:tr w:rsidR="0030517B" w:rsidRPr="00CA099F" w:rsidTr="00E1448E">
        <w:tblPrEx>
          <w:tblLook w:val="04A0" w:firstRow="1" w:lastRow="0" w:firstColumn="1" w:lastColumn="0" w:noHBand="0" w:noVBand="1"/>
        </w:tblPrEx>
        <w:trPr>
          <w:trHeight w:val="124"/>
          <w:jc w:val="center"/>
        </w:trPr>
        <w:tc>
          <w:tcPr>
            <w:tcW w:w="1730" w:type="dxa"/>
            <w:vMerge/>
            <w:shd w:val="clear" w:color="auto" w:fill="auto"/>
          </w:tcPr>
          <w:p w:rsidR="0030517B" w:rsidRPr="00CA099F" w:rsidRDefault="0030517B" w:rsidP="00E1448E">
            <w:pPr>
              <w:spacing w:after="160" w:line="259" w:lineRule="auto"/>
              <w:jc w:val="center"/>
              <w:rPr>
                <w:rFonts w:eastAsia="Calibri" w:cs="Times New Roman"/>
                <w:szCs w:val="28"/>
              </w:rPr>
            </w:pPr>
          </w:p>
        </w:tc>
        <w:tc>
          <w:tcPr>
            <w:tcW w:w="1956" w:type="dxa"/>
            <w:shd w:val="clear" w:color="auto" w:fill="auto"/>
          </w:tcPr>
          <w:p w:rsidR="0030517B" w:rsidRPr="00CA099F" w:rsidRDefault="0030517B" w:rsidP="00E1448E">
            <w:pPr>
              <w:spacing w:after="160" w:line="259" w:lineRule="auto"/>
              <w:rPr>
                <w:rFonts w:eastAsia="Calibri" w:cs="Times New Roman"/>
                <w:szCs w:val="28"/>
              </w:rPr>
            </w:pPr>
            <w:r w:rsidRPr="00CA099F">
              <w:rPr>
                <w:rFonts w:eastAsia="Calibri" w:cs="Times New Roman"/>
                <w:sz w:val="28"/>
                <w:szCs w:val="28"/>
              </w:rPr>
              <w:t>Г</w:t>
            </w:r>
            <w:r w:rsidRPr="00CA099F">
              <w:rPr>
                <w:rFonts w:eastAsia="Calibri" w:cs="Times New Roman"/>
                <w:sz w:val="28"/>
                <w:szCs w:val="28"/>
                <w:vertAlign w:val="subscript"/>
              </w:rPr>
              <w:t>г</w:t>
            </w:r>
            <w:r w:rsidRPr="00CA099F">
              <w:rPr>
                <w:rFonts w:eastAsia="Calibri" w:cs="Times New Roman"/>
                <w:sz w:val="28"/>
                <w:szCs w:val="28"/>
              </w:rPr>
              <w:t xml:space="preserve"> – 2 (10%)</w:t>
            </w:r>
          </w:p>
        </w:tc>
        <w:tc>
          <w:tcPr>
            <w:tcW w:w="1985" w:type="dxa"/>
            <w:shd w:val="clear" w:color="auto" w:fill="auto"/>
          </w:tcPr>
          <w:p w:rsidR="0030517B" w:rsidRPr="00CA099F" w:rsidRDefault="0030517B" w:rsidP="00E1448E">
            <w:pPr>
              <w:spacing w:after="160" w:line="259" w:lineRule="auto"/>
              <w:rPr>
                <w:rFonts w:eastAsia="Calibri" w:cs="Times New Roman"/>
                <w:szCs w:val="28"/>
              </w:rPr>
            </w:pPr>
            <w:r w:rsidRPr="00CA099F">
              <w:rPr>
                <w:rFonts w:eastAsia="Calibri" w:cs="Times New Roman"/>
                <w:sz w:val="28"/>
                <w:szCs w:val="28"/>
              </w:rPr>
              <w:t>Г</w:t>
            </w:r>
            <w:r w:rsidRPr="00CA099F">
              <w:rPr>
                <w:rFonts w:eastAsia="Calibri" w:cs="Times New Roman"/>
                <w:sz w:val="28"/>
                <w:szCs w:val="28"/>
                <w:vertAlign w:val="subscript"/>
              </w:rPr>
              <w:t>г</w:t>
            </w:r>
            <w:r w:rsidRPr="00CA099F">
              <w:rPr>
                <w:rFonts w:eastAsia="Calibri" w:cs="Times New Roman"/>
                <w:sz w:val="28"/>
                <w:szCs w:val="28"/>
              </w:rPr>
              <w:t xml:space="preserve"> – 1 (5%)</w:t>
            </w:r>
          </w:p>
        </w:tc>
        <w:tc>
          <w:tcPr>
            <w:tcW w:w="1984" w:type="dxa"/>
            <w:shd w:val="clear" w:color="auto" w:fill="auto"/>
          </w:tcPr>
          <w:p w:rsidR="0030517B" w:rsidRPr="00CA099F" w:rsidRDefault="0030517B" w:rsidP="00E1448E">
            <w:pPr>
              <w:spacing w:after="160" w:line="259" w:lineRule="auto"/>
              <w:rPr>
                <w:rFonts w:eastAsia="Calibri" w:cs="Times New Roman"/>
                <w:szCs w:val="28"/>
              </w:rPr>
            </w:pPr>
            <w:r w:rsidRPr="00CA099F">
              <w:rPr>
                <w:rFonts w:eastAsia="Calibri" w:cs="Times New Roman"/>
                <w:sz w:val="28"/>
                <w:szCs w:val="28"/>
              </w:rPr>
              <w:t>Г</w:t>
            </w:r>
            <w:r w:rsidRPr="00CA099F">
              <w:rPr>
                <w:rFonts w:eastAsia="Calibri" w:cs="Times New Roman"/>
                <w:sz w:val="28"/>
                <w:szCs w:val="28"/>
                <w:vertAlign w:val="subscript"/>
              </w:rPr>
              <w:t>г</w:t>
            </w:r>
            <w:r w:rsidRPr="00CA099F">
              <w:rPr>
                <w:rFonts w:eastAsia="Calibri" w:cs="Times New Roman"/>
                <w:sz w:val="28"/>
                <w:szCs w:val="28"/>
              </w:rPr>
              <w:t xml:space="preserve"> – 1 (5%)</w:t>
            </w:r>
          </w:p>
        </w:tc>
        <w:tc>
          <w:tcPr>
            <w:tcW w:w="1985" w:type="dxa"/>
            <w:shd w:val="clear" w:color="auto" w:fill="auto"/>
          </w:tcPr>
          <w:p w:rsidR="0030517B" w:rsidRPr="00CA099F" w:rsidRDefault="0030517B" w:rsidP="00E1448E">
            <w:pPr>
              <w:spacing w:after="160" w:line="259" w:lineRule="auto"/>
              <w:rPr>
                <w:rFonts w:eastAsia="Calibri" w:cs="Times New Roman"/>
                <w:szCs w:val="28"/>
              </w:rPr>
            </w:pPr>
            <w:r w:rsidRPr="00CA099F">
              <w:rPr>
                <w:rFonts w:eastAsia="Calibri" w:cs="Times New Roman"/>
                <w:sz w:val="28"/>
                <w:szCs w:val="28"/>
              </w:rPr>
              <w:t>Г</w:t>
            </w:r>
            <w:r w:rsidRPr="00CA099F">
              <w:rPr>
                <w:rFonts w:eastAsia="Calibri" w:cs="Times New Roman"/>
                <w:sz w:val="28"/>
                <w:szCs w:val="28"/>
                <w:vertAlign w:val="subscript"/>
              </w:rPr>
              <w:t>г</w:t>
            </w:r>
            <w:r w:rsidRPr="00CA099F">
              <w:rPr>
                <w:rFonts w:eastAsia="Calibri" w:cs="Times New Roman"/>
                <w:sz w:val="28"/>
                <w:szCs w:val="28"/>
              </w:rPr>
              <w:t xml:space="preserve"> – 1 (5%)</w:t>
            </w:r>
          </w:p>
        </w:tc>
      </w:tr>
      <w:tr w:rsidR="0030517B" w:rsidRPr="00CA099F" w:rsidTr="00E1448E">
        <w:tblPrEx>
          <w:tblLook w:val="04A0" w:firstRow="1" w:lastRow="0" w:firstColumn="1" w:lastColumn="0" w:noHBand="0" w:noVBand="1"/>
        </w:tblPrEx>
        <w:trPr>
          <w:trHeight w:val="124"/>
          <w:jc w:val="center"/>
        </w:trPr>
        <w:tc>
          <w:tcPr>
            <w:tcW w:w="1730" w:type="dxa"/>
            <w:vMerge/>
            <w:shd w:val="clear" w:color="auto" w:fill="auto"/>
          </w:tcPr>
          <w:p w:rsidR="0030517B" w:rsidRPr="00CA099F" w:rsidRDefault="0030517B" w:rsidP="00E1448E">
            <w:pPr>
              <w:spacing w:after="160" w:line="259" w:lineRule="auto"/>
              <w:jc w:val="center"/>
              <w:rPr>
                <w:rFonts w:eastAsia="Calibri" w:cs="Times New Roman"/>
                <w:szCs w:val="28"/>
              </w:rPr>
            </w:pPr>
          </w:p>
        </w:tc>
        <w:tc>
          <w:tcPr>
            <w:tcW w:w="1956" w:type="dxa"/>
            <w:shd w:val="clear" w:color="auto" w:fill="auto"/>
          </w:tcPr>
          <w:p w:rsidR="0030517B" w:rsidRPr="00CA099F" w:rsidRDefault="0030517B" w:rsidP="00E1448E">
            <w:pPr>
              <w:spacing w:after="160" w:line="259" w:lineRule="auto"/>
              <w:rPr>
                <w:rFonts w:eastAsia="Calibri" w:cs="Times New Roman"/>
                <w:szCs w:val="28"/>
              </w:rPr>
            </w:pPr>
            <w:r w:rsidRPr="00CA099F">
              <w:rPr>
                <w:rFonts w:eastAsia="Calibri" w:cs="Times New Roman"/>
                <w:sz w:val="28"/>
                <w:szCs w:val="28"/>
              </w:rPr>
              <w:t>Г</w:t>
            </w:r>
            <w:r w:rsidRPr="00CA099F">
              <w:rPr>
                <w:rFonts w:eastAsia="Calibri" w:cs="Times New Roman"/>
                <w:sz w:val="28"/>
                <w:szCs w:val="28"/>
                <w:vertAlign w:val="subscript"/>
              </w:rPr>
              <w:t>в</w:t>
            </w:r>
            <w:r w:rsidRPr="00CA099F">
              <w:rPr>
                <w:rFonts w:eastAsia="Calibri" w:cs="Times New Roman"/>
                <w:sz w:val="28"/>
                <w:szCs w:val="28"/>
              </w:rPr>
              <w:t xml:space="preserve"> – 1 (5%)</w:t>
            </w:r>
          </w:p>
        </w:tc>
        <w:tc>
          <w:tcPr>
            <w:tcW w:w="1985" w:type="dxa"/>
            <w:shd w:val="clear" w:color="auto" w:fill="auto"/>
          </w:tcPr>
          <w:p w:rsidR="0030517B" w:rsidRPr="00CA099F" w:rsidRDefault="0030517B" w:rsidP="00E1448E">
            <w:pPr>
              <w:spacing w:after="160" w:line="259" w:lineRule="auto"/>
              <w:rPr>
                <w:rFonts w:eastAsia="Calibri" w:cs="Times New Roman"/>
                <w:szCs w:val="28"/>
              </w:rPr>
            </w:pPr>
            <w:r w:rsidRPr="00CA099F">
              <w:rPr>
                <w:rFonts w:eastAsia="Calibri" w:cs="Times New Roman"/>
                <w:sz w:val="28"/>
                <w:szCs w:val="28"/>
              </w:rPr>
              <w:t>Г</w:t>
            </w:r>
            <w:r w:rsidRPr="00CA099F">
              <w:rPr>
                <w:rFonts w:eastAsia="Calibri" w:cs="Times New Roman"/>
                <w:sz w:val="28"/>
                <w:szCs w:val="28"/>
                <w:vertAlign w:val="subscript"/>
              </w:rPr>
              <w:t>в</w:t>
            </w:r>
            <w:r w:rsidRPr="00CA099F">
              <w:rPr>
                <w:rFonts w:eastAsia="Calibri" w:cs="Times New Roman"/>
                <w:sz w:val="28"/>
                <w:szCs w:val="28"/>
              </w:rPr>
              <w:t xml:space="preserve"> – 0 (0%)</w:t>
            </w:r>
          </w:p>
        </w:tc>
        <w:tc>
          <w:tcPr>
            <w:tcW w:w="1984" w:type="dxa"/>
            <w:shd w:val="clear" w:color="auto" w:fill="auto"/>
          </w:tcPr>
          <w:p w:rsidR="0030517B" w:rsidRPr="00CA099F" w:rsidRDefault="0030517B" w:rsidP="00E1448E">
            <w:pPr>
              <w:spacing w:after="160" w:line="259" w:lineRule="auto"/>
              <w:rPr>
                <w:rFonts w:eastAsia="Calibri" w:cs="Times New Roman"/>
                <w:szCs w:val="28"/>
              </w:rPr>
            </w:pPr>
            <w:r w:rsidRPr="00CA099F">
              <w:rPr>
                <w:rFonts w:eastAsia="Calibri" w:cs="Times New Roman"/>
                <w:sz w:val="28"/>
                <w:szCs w:val="28"/>
              </w:rPr>
              <w:t>Г</w:t>
            </w:r>
            <w:r w:rsidRPr="00CA099F">
              <w:rPr>
                <w:rFonts w:eastAsia="Calibri" w:cs="Times New Roman"/>
                <w:sz w:val="28"/>
                <w:szCs w:val="28"/>
                <w:vertAlign w:val="subscript"/>
              </w:rPr>
              <w:t>в</w:t>
            </w:r>
            <w:r w:rsidRPr="00CA099F">
              <w:rPr>
                <w:rFonts w:eastAsia="Calibri" w:cs="Times New Roman"/>
                <w:sz w:val="28"/>
                <w:szCs w:val="28"/>
              </w:rPr>
              <w:t xml:space="preserve"> – 0 (0%)</w:t>
            </w:r>
          </w:p>
        </w:tc>
        <w:tc>
          <w:tcPr>
            <w:tcW w:w="1985" w:type="dxa"/>
            <w:shd w:val="clear" w:color="auto" w:fill="auto"/>
          </w:tcPr>
          <w:p w:rsidR="0030517B" w:rsidRPr="00CA099F" w:rsidRDefault="0030517B" w:rsidP="00E1448E">
            <w:pPr>
              <w:spacing w:after="160" w:line="259" w:lineRule="auto"/>
              <w:rPr>
                <w:rFonts w:eastAsia="Calibri" w:cs="Times New Roman"/>
                <w:szCs w:val="28"/>
              </w:rPr>
            </w:pPr>
            <w:r w:rsidRPr="00CA099F">
              <w:rPr>
                <w:rFonts w:eastAsia="Calibri" w:cs="Times New Roman"/>
                <w:sz w:val="28"/>
                <w:szCs w:val="28"/>
              </w:rPr>
              <w:t>Г</w:t>
            </w:r>
            <w:r w:rsidRPr="00CA099F">
              <w:rPr>
                <w:rFonts w:eastAsia="Calibri" w:cs="Times New Roman"/>
                <w:sz w:val="28"/>
                <w:szCs w:val="28"/>
                <w:vertAlign w:val="subscript"/>
              </w:rPr>
              <w:t>в</w:t>
            </w:r>
            <w:r w:rsidRPr="00CA099F">
              <w:rPr>
                <w:rFonts w:eastAsia="Calibri" w:cs="Times New Roman"/>
                <w:sz w:val="28"/>
                <w:szCs w:val="28"/>
              </w:rPr>
              <w:t xml:space="preserve"> – 0 (0%)</w:t>
            </w:r>
          </w:p>
        </w:tc>
      </w:tr>
      <w:tr w:rsidR="0030517B" w:rsidRPr="00CA099F" w:rsidTr="00E1448E">
        <w:tblPrEx>
          <w:tblLook w:val="04A0" w:firstRow="1" w:lastRow="0" w:firstColumn="1" w:lastColumn="0" w:noHBand="0" w:noVBand="1"/>
        </w:tblPrEx>
        <w:trPr>
          <w:trHeight w:val="136"/>
          <w:jc w:val="center"/>
        </w:trPr>
        <w:tc>
          <w:tcPr>
            <w:tcW w:w="1730" w:type="dxa"/>
            <w:vMerge/>
            <w:shd w:val="clear" w:color="auto" w:fill="auto"/>
          </w:tcPr>
          <w:p w:rsidR="0030517B" w:rsidRPr="00CA099F" w:rsidRDefault="0030517B" w:rsidP="00E1448E">
            <w:pPr>
              <w:spacing w:after="160" w:line="259" w:lineRule="auto"/>
              <w:jc w:val="center"/>
              <w:rPr>
                <w:rFonts w:eastAsia="Calibri" w:cs="Times New Roman"/>
                <w:szCs w:val="28"/>
              </w:rPr>
            </w:pPr>
          </w:p>
        </w:tc>
        <w:tc>
          <w:tcPr>
            <w:tcW w:w="1956" w:type="dxa"/>
            <w:shd w:val="clear" w:color="auto" w:fill="auto"/>
          </w:tcPr>
          <w:p w:rsidR="0030517B" w:rsidRPr="00CA099F" w:rsidRDefault="0030517B" w:rsidP="00E1448E">
            <w:pPr>
              <w:spacing w:after="160" w:line="259" w:lineRule="auto"/>
              <w:rPr>
                <w:rFonts w:eastAsia="Calibri" w:cs="Times New Roman"/>
                <w:szCs w:val="28"/>
              </w:rPr>
            </w:pPr>
            <w:r w:rsidRPr="00CA099F">
              <w:rPr>
                <w:rFonts w:eastAsia="Calibri" w:cs="Times New Roman"/>
                <w:sz w:val="28"/>
                <w:szCs w:val="28"/>
              </w:rPr>
              <w:t>К – 0 (0%)</w:t>
            </w:r>
          </w:p>
        </w:tc>
        <w:tc>
          <w:tcPr>
            <w:tcW w:w="1985" w:type="dxa"/>
            <w:shd w:val="clear" w:color="auto" w:fill="auto"/>
          </w:tcPr>
          <w:p w:rsidR="0030517B" w:rsidRPr="00CA099F" w:rsidRDefault="0030517B" w:rsidP="00E1448E">
            <w:pPr>
              <w:spacing w:after="160" w:line="259" w:lineRule="auto"/>
              <w:rPr>
                <w:rFonts w:eastAsia="Calibri" w:cs="Times New Roman"/>
                <w:szCs w:val="28"/>
              </w:rPr>
            </w:pPr>
            <w:r w:rsidRPr="00CA099F">
              <w:rPr>
                <w:rFonts w:eastAsia="Calibri" w:cs="Times New Roman"/>
                <w:sz w:val="28"/>
                <w:szCs w:val="28"/>
              </w:rPr>
              <w:t>К – 0 (0%)</w:t>
            </w:r>
          </w:p>
        </w:tc>
        <w:tc>
          <w:tcPr>
            <w:tcW w:w="1984" w:type="dxa"/>
            <w:shd w:val="clear" w:color="auto" w:fill="auto"/>
          </w:tcPr>
          <w:p w:rsidR="0030517B" w:rsidRPr="00CA099F" w:rsidRDefault="0030517B" w:rsidP="00E1448E">
            <w:pPr>
              <w:spacing w:after="160" w:line="259" w:lineRule="auto"/>
              <w:rPr>
                <w:rFonts w:eastAsia="Calibri" w:cs="Times New Roman"/>
                <w:szCs w:val="28"/>
              </w:rPr>
            </w:pPr>
            <w:r w:rsidRPr="00CA099F">
              <w:rPr>
                <w:rFonts w:eastAsia="Calibri" w:cs="Times New Roman"/>
                <w:sz w:val="28"/>
                <w:szCs w:val="28"/>
              </w:rPr>
              <w:t>К – 0 (0%)</w:t>
            </w:r>
          </w:p>
        </w:tc>
        <w:tc>
          <w:tcPr>
            <w:tcW w:w="1985" w:type="dxa"/>
            <w:shd w:val="clear" w:color="auto" w:fill="auto"/>
          </w:tcPr>
          <w:p w:rsidR="0030517B" w:rsidRPr="00CA099F" w:rsidRDefault="0030517B" w:rsidP="00E1448E">
            <w:pPr>
              <w:spacing w:after="160" w:line="259" w:lineRule="auto"/>
              <w:rPr>
                <w:rFonts w:eastAsia="Calibri" w:cs="Times New Roman"/>
                <w:szCs w:val="28"/>
              </w:rPr>
            </w:pPr>
            <w:r w:rsidRPr="00CA099F">
              <w:rPr>
                <w:rFonts w:eastAsia="Calibri" w:cs="Times New Roman"/>
                <w:sz w:val="28"/>
                <w:szCs w:val="28"/>
              </w:rPr>
              <w:t>К – 0 (0%)</w:t>
            </w:r>
          </w:p>
        </w:tc>
      </w:tr>
      <w:tr w:rsidR="0030517B" w:rsidRPr="00CA099F" w:rsidTr="00E1448E">
        <w:tblPrEx>
          <w:tblLook w:val="04A0" w:firstRow="1" w:lastRow="0" w:firstColumn="1" w:lastColumn="0" w:noHBand="0" w:noVBand="1"/>
        </w:tblPrEx>
        <w:trPr>
          <w:trHeight w:val="583"/>
          <w:jc w:val="center"/>
        </w:trPr>
        <w:tc>
          <w:tcPr>
            <w:tcW w:w="1730" w:type="dxa"/>
            <w:vMerge w:val="restart"/>
            <w:shd w:val="clear" w:color="auto" w:fill="auto"/>
          </w:tcPr>
          <w:p w:rsidR="0030517B" w:rsidRPr="00CA099F" w:rsidRDefault="0030517B" w:rsidP="00E1448E">
            <w:pPr>
              <w:spacing w:after="160" w:line="259" w:lineRule="auto"/>
              <w:jc w:val="center"/>
              <w:rPr>
                <w:rFonts w:eastAsia="Calibri" w:cs="Times New Roman"/>
                <w:szCs w:val="28"/>
              </w:rPr>
            </w:pPr>
            <w:r w:rsidRPr="00CA099F">
              <w:rPr>
                <w:rFonts w:eastAsia="Calibri" w:cs="Times New Roman"/>
                <w:sz w:val="28"/>
                <w:szCs w:val="28"/>
              </w:rPr>
              <w:t>П2</w:t>
            </w:r>
          </w:p>
        </w:tc>
        <w:tc>
          <w:tcPr>
            <w:tcW w:w="1956" w:type="dxa"/>
            <w:shd w:val="clear" w:color="auto" w:fill="auto"/>
          </w:tcPr>
          <w:p w:rsidR="0030517B" w:rsidRPr="00CA099F" w:rsidRDefault="0030517B" w:rsidP="00E1448E">
            <w:pPr>
              <w:spacing w:after="160" w:line="259" w:lineRule="auto"/>
              <w:rPr>
                <w:rFonts w:eastAsia="Calibri" w:cs="Times New Roman"/>
                <w:szCs w:val="28"/>
              </w:rPr>
            </w:pPr>
            <w:r w:rsidRPr="00CA099F">
              <w:rPr>
                <w:rFonts w:eastAsia="Calibri" w:cs="Times New Roman"/>
                <w:sz w:val="28"/>
                <w:szCs w:val="28"/>
              </w:rPr>
              <w:t>Н – 12 (60%)</w:t>
            </w:r>
          </w:p>
        </w:tc>
        <w:tc>
          <w:tcPr>
            <w:tcW w:w="1985" w:type="dxa"/>
            <w:shd w:val="clear" w:color="auto" w:fill="auto"/>
          </w:tcPr>
          <w:p w:rsidR="0030517B" w:rsidRPr="00CA099F" w:rsidRDefault="0030517B" w:rsidP="00E1448E">
            <w:pPr>
              <w:spacing w:after="160" w:line="259" w:lineRule="auto"/>
              <w:rPr>
                <w:rFonts w:eastAsia="Calibri" w:cs="Times New Roman"/>
                <w:szCs w:val="28"/>
              </w:rPr>
            </w:pPr>
            <w:r w:rsidRPr="00CA099F">
              <w:rPr>
                <w:rFonts w:eastAsia="Calibri" w:cs="Times New Roman"/>
                <w:sz w:val="28"/>
                <w:szCs w:val="28"/>
              </w:rPr>
              <w:t>Н – 16 (80%)</w:t>
            </w:r>
          </w:p>
        </w:tc>
        <w:tc>
          <w:tcPr>
            <w:tcW w:w="1984" w:type="dxa"/>
            <w:shd w:val="clear" w:color="auto" w:fill="auto"/>
          </w:tcPr>
          <w:p w:rsidR="0030517B" w:rsidRPr="00CA099F" w:rsidRDefault="0030517B" w:rsidP="00E1448E">
            <w:pPr>
              <w:spacing w:after="160" w:line="259" w:lineRule="auto"/>
              <w:rPr>
                <w:rFonts w:eastAsia="Calibri" w:cs="Times New Roman"/>
                <w:szCs w:val="28"/>
              </w:rPr>
            </w:pPr>
            <w:r w:rsidRPr="00CA099F">
              <w:rPr>
                <w:rFonts w:eastAsia="Calibri" w:cs="Times New Roman"/>
                <w:sz w:val="28"/>
                <w:szCs w:val="28"/>
              </w:rPr>
              <w:t>Н – 16 (80%)</w:t>
            </w:r>
          </w:p>
        </w:tc>
        <w:tc>
          <w:tcPr>
            <w:tcW w:w="1985" w:type="dxa"/>
            <w:shd w:val="clear" w:color="auto" w:fill="auto"/>
          </w:tcPr>
          <w:p w:rsidR="0030517B" w:rsidRPr="00CA099F" w:rsidRDefault="0030517B" w:rsidP="00E1448E">
            <w:pPr>
              <w:spacing w:after="160" w:line="259" w:lineRule="auto"/>
              <w:rPr>
                <w:rFonts w:eastAsia="Calibri" w:cs="Times New Roman"/>
                <w:szCs w:val="28"/>
              </w:rPr>
            </w:pPr>
            <w:r w:rsidRPr="00CA099F">
              <w:rPr>
                <w:rFonts w:eastAsia="Calibri" w:cs="Times New Roman"/>
                <w:sz w:val="28"/>
                <w:szCs w:val="28"/>
              </w:rPr>
              <w:t>Н – 18 (90%)</w:t>
            </w:r>
          </w:p>
        </w:tc>
      </w:tr>
      <w:tr w:rsidR="0030517B" w:rsidRPr="00CA099F" w:rsidTr="00E1448E">
        <w:tblPrEx>
          <w:tblLook w:val="04A0" w:firstRow="1" w:lastRow="0" w:firstColumn="1" w:lastColumn="0" w:noHBand="0" w:noVBand="1"/>
        </w:tblPrEx>
        <w:trPr>
          <w:trHeight w:val="124"/>
          <w:jc w:val="center"/>
        </w:trPr>
        <w:tc>
          <w:tcPr>
            <w:tcW w:w="1730" w:type="dxa"/>
            <w:vMerge/>
            <w:shd w:val="clear" w:color="auto" w:fill="auto"/>
          </w:tcPr>
          <w:p w:rsidR="0030517B" w:rsidRPr="00CA099F" w:rsidRDefault="0030517B" w:rsidP="00E1448E">
            <w:pPr>
              <w:spacing w:after="160" w:line="259" w:lineRule="auto"/>
              <w:jc w:val="center"/>
              <w:rPr>
                <w:rFonts w:eastAsia="Calibri" w:cs="Times New Roman"/>
                <w:szCs w:val="28"/>
              </w:rPr>
            </w:pPr>
          </w:p>
        </w:tc>
        <w:tc>
          <w:tcPr>
            <w:tcW w:w="1956" w:type="dxa"/>
            <w:shd w:val="clear" w:color="auto" w:fill="auto"/>
          </w:tcPr>
          <w:p w:rsidR="0030517B" w:rsidRPr="00CA099F" w:rsidRDefault="0030517B" w:rsidP="00E1448E">
            <w:pPr>
              <w:spacing w:after="160" w:line="259" w:lineRule="auto"/>
              <w:rPr>
                <w:rFonts w:eastAsia="Calibri" w:cs="Times New Roman"/>
                <w:szCs w:val="28"/>
              </w:rPr>
            </w:pPr>
            <w:r w:rsidRPr="00CA099F">
              <w:rPr>
                <w:rFonts w:eastAsia="Calibri" w:cs="Times New Roman"/>
                <w:sz w:val="28"/>
                <w:szCs w:val="28"/>
              </w:rPr>
              <w:t>У – 8 (40%)</w:t>
            </w:r>
          </w:p>
        </w:tc>
        <w:tc>
          <w:tcPr>
            <w:tcW w:w="1985" w:type="dxa"/>
            <w:shd w:val="clear" w:color="auto" w:fill="auto"/>
          </w:tcPr>
          <w:p w:rsidR="0030517B" w:rsidRPr="00CA099F" w:rsidRDefault="0030517B" w:rsidP="00E1448E">
            <w:pPr>
              <w:spacing w:after="160" w:line="259" w:lineRule="auto"/>
              <w:rPr>
                <w:rFonts w:eastAsia="Calibri" w:cs="Times New Roman"/>
                <w:szCs w:val="28"/>
              </w:rPr>
            </w:pPr>
            <w:r w:rsidRPr="00CA099F">
              <w:rPr>
                <w:rFonts w:eastAsia="Calibri" w:cs="Times New Roman"/>
                <w:sz w:val="28"/>
                <w:szCs w:val="28"/>
              </w:rPr>
              <w:t>У – 4 (20%)</w:t>
            </w:r>
          </w:p>
        </w:tc>
        <w:tc>
          <w:tcPr>
            <w:tcW w:w="1984" w:type="dxa"/>
            <w:shd w:val="clear" w:color="auto" w:fill="auto"/>
          </w:tcPr>
          <w:p w:rsidR="0030517B" w:rsidRPr="00CA099F" w:rsidRDefault="0030517B" w:rsidP="00E1448E">
            <w:pPr>
              <w:spacing w:after="160" w:line="259" w:lineRule="auto"/>
              <w:rPr>
                <w:rFonts w:eastAsia="Calibri" w:cs="Times New Roman"/>
                <w:szCs w:val="28"/>
              </w:rPr>
            </w:pPr>
            <w:r w:rsidRPr="00CA099F">
              <w:rPr>
                <w:rFonts w:eastAsia="Calibri" w:cs="Times New Roman"/>
                <w:sz w:val="28"/>
                <w:szCs w:val="28"/>
              </w:rPr>
              <w:t>У – 4 (20%)</w:t>
            </w:r>
          </w:p>
        </w:tc>
        <w:tc>
          <w:tcPr>
            <w:tcW w:w="1985" w:type="dxa"/>
            <w:shd w:val="clear" w:color="auto" w:fill="auto"/>
          </w:tcPr>
          <w:p w:rsidR="0030517B" w:rsidRPr="00CA099F" w:rsidRDefault="0030517B" w:rsidP="00E1448E">
            <w:pPr>
              <w:spacing w:after="160" w:line="259" w:lineRule="auto"/>
              <w:rPr>
                <w:rFonts w:eastAsia="Calibri" w:cs="Times New Roman"/>
                <w:szCs w:val="28"/>
              </w:rPr>
            </w:pPr>
            <w:r w:rsidRPr="00CA099F">
              <w:rPr>
                <w:rFonts w:eastAsia="Calibri" w:cs="Times New Roman"/>
                <w:sz w:val="28"/>
                <w:szCs w:val="28"/>
              </w:rPr>
              <w:t>У – 2 (10%)</w:t>
            </w:r>
          </w:p>
        </w:tc>
      </w:tr>
      <w:tr w:rsidR="0030517B" w:rsidRPr="00CA099F" w:rsidTr="00E1448E">
        <w:tblPrEx>
          <w:tblLook w:val="04A0" w:firstRow="1" w:lastRow="0" w:firstColumn="1" w:lastColumn="0" w:noHBand="0" w:noVBand="1"/>
        </w:tblPrEx>
        <w:trPr>
          <w:trHeight w:val="124"/>
          <w:jc w:val="center"/>
        </w:trPr>
        <w:tc>
          <w:tcPr>
            <w:tcW w:w="1730" w:type="dxa"/>
            <w:vMerge/>
            <w:shd w:val="clear" w:color="auto" w:fill="auto"/>
          </w:tcPr>
          <w:p w:rsidR="0030517B" w:rsidRPr="00CA099F" w:rsidRDefault="0030517B" w:rsidP="00E1448E">
            <w:pPr>
              <w:spacing w:after="160" w:line="259" w:lineRule="auto"/>
              <w:jc w:val="center"/>
              <w:rPr>
                <w:rFonts w:eastAsia="Calibri" w:cs="Times New Roman"/>
                <w:szCs w:val="28"/>
              </w:rPr>
            </w:pPr>
          </w:p>
        </w:tc>
        <w:tc>
          <w:tcPr>
            <w:tcW w:w="1956" w:type="dxa"/>
            <w:shd w:val="clear" w:color="auto" w:fill="auto"/>
          </w:tcPr>
          <w:p w:rsidR="0030517B" w:rsidRPr="00CA099F" w:rsidRDefault="0030517B" w:rsidP="00E1448E">
            <w:pPr>
              <w:spacing w:after="160" w:line="259" w:lineRule="auto"/>
              <w:rPr>
                <w:rFonts w:eastAsia="Calibri" w:cs="Times New Roman"/>
                <w:szCs w:val="28"/>
              </w:rPr>
            </w:pPr>
            <w:r w:rsidRPr="00CA099F">
              <w:rPr>
                <w:rFonts w:eastAsia="Calibri" w:cs="Times New Roman"/>
                <w:sz w:val="28"/>
                <w:szCs w:val="28"/>
              </w:rPr>
              <w:t>І – 0 (0%)</w:t>
            </w:r>
          </w:p>
        </w:tc>
        <w:tc>
          <w:tcPr>
            <w:tcW w:w="1985" w:type="dxa"/>
            <w:shd w:val="clear" w:color="auto" w:fill="auto"/>
          </w:tcPr>
          <w:p w:rsidR="0030517B" w:rsidRPr="00CA099F" w:rsidRDefault="0030517B" w:rsidP="00E1448E">
            <w:pPr>
              <w:spacing w:after="160" w:line="259" w:lineRule="auto"/>
              <w:rPr>
                <w:rFonts w:eastAsia="Calibri" w:cs="Times New Roman"/>
                <w:szCs w:val="28"/>
              </w:rPr>
            </w:pPr>
            <w:r w:rsidRPr="00CA099F">
              <w:rPr>
                <w:rFonts w:eastAsia="Calibri" w:cs="Times New Roman"/>
                <w:sz w:val="28"/>
                <w:szCs w:val="28"/>
              </w:rPr>
              <w:t>І – 0 (0%)</w:t>
            </w:r>
          </w:p>
        </w:tc>
        <w:tc>
          <w:tcPr>
            <w:tcW w:w="1984" w:type="dxa"/>
            <w:shd w:val="clear" w:color="auto" w:fill="auto"/>
          </w:tcPr>
          <w:p w:rsidR="0030517B" w:rsidRPr="00CA099F" w:rsidRDefault="0030517B" w:rsidP="00E1448E">
            <w:pPr>
              <w:spacing w:after="160" w:line="259" w:lineRule="auto"/>
              <w:rPr>
                <w:rFonts w:eastAsia="Calibri" w:cs="Times New Roman"/>
                <w:szCs w:val="28"/>
              </w:rPr>
            </w:pPr>
            <w:r w:rsidRPr="00CA099F">
              <w:rPr>
                <w:rFonts w:eastAsia="Calibri" w:cs="Times New Roman"/>
                <w:sz w:val="28"/>
                <w:szCs w:val="28"/>
              </w:rPr>
              <w:t>І – 0 (0%)</w:t>
            </w:r>
          </w:p>
        </w:tc>
        <w:tc>
          <w:tcPr>
            <w:tcW w:w="1985" w:type="dxa"/>
            <w:shd w:val="clear" w:color="auto" w:fill="auto"/>
          </w:tcPr>
          <w:p w:rsidR="0030517B" w:rsidRPr="00CA099F" w:rsidRDefault="0030517B" w:rsidP="00E1448E">
            <w:pPr>
              <w:spacing w:after="160" w:line="259" w:lineRule="auto"/>
              <w:rPr>
                <w:rFonts w:eastAsia="Calibri" w:cs="Times New Roman"/>
                <w:szCs w:val="28"/>
              </w:rPr>
            </w:pPr>
            <w:r w:rsidRPr="00CA099F">
              <w:rPr>
                <w:rFonts w:eastAsia="Calibri" w:cs="Times New Roman"/>
                <w:sz w:val="28"/>
                <w:szCs w:val="28"/>
              </w:rPr>
              <w:t>І – 0 (0%)</w:t>
            </w:r>
          </w:p>
        </w:tc>
      </w:tr>
      <w:tr w:rsidR="0030517B" w:rsidRPr="00CA099F" w:rsidTr="00E1448E">
        <w:tblPrEx>
          <w:tblLook w:val="04A0" w:firstRow="1" w:lastRow="0" w:firstColumn="1" w:lastColumn="0" w:noHBand="0" w:noVBand="1"/>
        </w:tblPrEx>
        <w:trPr>
          <w:trHeight w:val="458"/>
          <w:jc w:val="center"/>
        </w:trPr>
        <w:tc>
          <w:tcPr>
            <w:tcW w:w="1730" w:type="dxa"/>
            <w:vMerge w:val="restart"/>
            <w:shd w:val="clear" w:color="auto" w:fill="auto"/>
          </w:tcPr>
          <w:p w:rsidR="0030517B" w:rsidRPr="00CA099F" w:rsidRDefault="0030517B" w:rsidP="00E1448E">
            <w:pPr>
              <w:spacing w:after="160" w:line="259" w:lineRule="auto"/>
              <w:jc w:val="center"/>
              <w:rPr>
                <w:rFonts w:eastAsia="Calibri" w:cs="Times New Roman"/>
                <w:szCs w:val="28"/>
              </w:rPr>
            </w:pPr>
            <w:r w:rsidRPr="00CA099F">
              <w:rPr>
                <w:rFonts w:eastAsia="Calibri" w:cs="Times New Roman"/>
                <w:sz w:val="28"/>
                <w:szCs w:val="28"/>
              </w:rPr>
              <w:t>П3</w:t>
            </w:r>
          </w:p>
        </w:tc>
        <w:tc>
          <w:tcPr>
            <w:tcW w:w="1956" w:type="dxa"/>
            <w:shd w:val="clear" w:color="auto" w:fill="auto"/>
          </w:tcPr>
          <w:p w:rsidR="0030517B" w:rsidRPr="00CA099F" w:rsidRDefault="0030517B" w:rsidP="00E1448E">
            <w:pPr>
              <w:spacing w:after="160" w:line="259" w:lineRule="auto"/>
              <w:rPr>
                <w:rFonts w:eastAsia="Calibri" w:cs="Times New Roman"/>
                <w:szCs w:val="28"/>
              </w:rPr>
            </w:pPr>
            <w:r w:rsidRPr="00CA099F">
              <w:rPr>
                <w:rFonts w:eastAsia="Calibri" w:cs="Times New Roman"/>
                <w:sz w:val="28"/>
                <w:szCs w:val="28"/>
              </w:rPr>
              <w:t>Н – 11 (55%)</w:t>
            </w:r>
          </w:p>
        </w:tc>
        <w:tc>
          <w:tcPr>
            <w:tcW w:w="1985" w:type="dxa"/>
            <w:shd w:val="clear" w:color="auto" w:fill="auto"/>
          </w:tcPr>
          <w:p w:rsidR="0030517B" w:rsidRPr="00CA099F" w:rsidRDefault="0030517B" w:rsidP="00E1448E">
            <w:pPr>
              <w:spacing w:after="160" w:line="259" w:lineRule="auto"/>
              <w:rPr>
                <w:rFonts w:eastAsia="Calibri" w:cs="Times New Roman"/>
                <w:szCs w:val="28"/>
              </w:rPr>
            </w:pPr>
            <w:r w:rsidRPr="00CA099F">
              <w:rPr>
                <w:rFonts w:eastAsia="Calibri" w:cs="Times New Roman"/>
                <w:sz w:val="28"/>
                <w:szCs w:val="28"/>
              </w:rPr>
              <w:t>Н – 13 (65%)</w:t>
            </w:r>
          </w:p>
        </w:tc>
        <w:tc>
          <w:tcPr>
            <w:tcW w:w="1984" w:type="dxa"/>
            <w:shd w:val="clear" w:color="auto" w:fill="auto"/>
          </w:tcPr>
          <w:p w:rsidR="0030517B" w:rsidRPr="00CA099F" w:rsidRDefault="0030517B" w:rsidP="00E1448E">
            <w:pPr>
              <w:spacing w:after="160" w:line="259" w:lineRule="auto"/>
              <w:rPr>
                <w:rFonts w:eastAsia="Calibri" w:cs="Times New Roman"/>
                <w:szCs w:val="28"/>
              </w:rPr>
            </w:pPr>
            <w:r w:rsidRPr="00CA099F">
              <w:rPr>
                <w:rFonts w:eastAsia="Calibri" w:cs="Times New Roman"/>
                <w:sz w:val="28"/>
                <w:szCs w:val="28"/>
              </w:rPr>
              <w:t>Н – 15 (75%)</w:t>
            </w:r>
          </w:p>
        </w:tc>
        <w:tc>
          <w:tcPr>
            <w:tcW w:w="1985" w:type="dxa"/>
            <w:shd w:val="clear" w:color="auto" w:fill="auto"/>
          </w:tcPr>
          <w:p w:rsidR="0030517B" w:rsidRPr="00CA099F" w:rsidRDefault="0030517B" w:rsidP="00E1448E">
            <w:pPr>
              <w:spacing w:after="160" w:line="259" w:lineRule="auto"/>
              <w:rPr>
                <w:rFonts w:eastAsia="Calibri" w:cs="Times New Roman"/>
                <w:szCs w:val="28"/>
              </w:rPr>
            </w:pPr>
            <w:r w:rsidRPr="00CA099F">
              <w:rPr>
                <w:rFonts w:eastAsia="Calibri" w:cs="Times New Roman"/>
                <w:sz w:val="28"/>
                <w:szCs w:val="28"/>
              </w:rPr>
              <w:t>Н – 18 (90%)</w:t>
            </w:r>
          </w:p>
        </w:tc>
      </w:tr>
      <w:tr w:rsidR="0030517B" w:rsidRPr="00CA099F" w:rsidTr="00E1448E">
        <w:tblPrEx>
          <w:tblLook w:val="04A0" w:firstRow="1" w:lastRow="0" w:firstColumn="1" w:lastColumn="0" w:noHBand="0" w:noVBand="1"/>
        </w:tblPrEx>
        <w:trPr>
          <w:trHeight w:val="124"/>
          <w:jc w:val="center"/>
        </w:trPr>
        <w:tc>
          <w:tcPr>
            <w:tcW w:w="1730" w:type="dxa"/>
            <w:vMerge/>
            <w:shd w:val="clear" w:color="auto" w:fill="auto"/>
          </w:tcPr>
          <w:p w:rsidR="0030517B" w:rsidRPr="00CA099F" w:rsidRDefault="0030517B" w:rsidP="00E1448E">
            <w:pPr>
              <w:spacing w:after="160" w:line="259" w:lineRule="auto"/>
              <w:jc w:val="center"/>
              <w:rPr>
                <w:rFonts w:eastAsia="Calibri" w:cs="Times New Roman"/>
                <w:szCs w:val="28"/>
              </w:rPr>
            </w:pPr>
          </w:p>
        </w:tc>
        <w:tc>
          <w:tcPr>
            <w:tcW w:w="1956" w:type="dxa"/>
            <w:shd w:val="clear" w:color="auto" w:fill="auto"/>
          </w:tcPr>
          <w:p w:rsidR="0030517B" w:rsidRPr="00CA099F" w:rsidRDefault="0030517B" w:rsidP="00E1448E">
            <w:pPr>
              <w:spacing w:after="160" w:line="259" w:lineRule="auto"/>
              <w:rPr>
                <w:rFonts w:eastAsia="Calibri" w:cs="Times New Roman"/>
                <w:szCs w:val="28"/>
              </w:rPr>
            </w:pPr>
            <w:r w:rsidRPr="00CA099F">
              <w:rPr>
                <w:rFonts w:eastAsia="Calibri" w:cs="Times New Roman"/>
                <w:sz w:val="28"/>
                <w:szCs w:val="28"/>
              </w:rPr>
              <w:t>Е</w:t>
            </w:r>
            <w:r w:rsidRPr="00CA099F">
              <w:rPr>
                <w:rFonts w:eastAsia="Calibri" w:cs="Times New Roman"/>
                <w:sz w:val="28"/>
                <w:szCs w:val="28"/>
                <w:vertAlign w:val="subscript"/>
              </w:rPr>
              <w:t>п</w:t>
            </w:r>
            <w:r w:rsidRPr="00CA099F">
              <w:rPr>
                <w:rFonts w:eastAsia="Calibri" w:cs="Times New Roman"/>
                <w:sz w:val="28"/>
                <w:szCs w:val="28"/>
              </w:rPr>
              <w:t xml:space="preserve"> – 7 (35%)</w:t>
            </w:r>
          </w:p>
        </w:tc>
        <w:tc>
          <w:tcPr>
            <w:tcW w:w="1985" w:type="dxa"/>
            <w:shd w:val="clear" w:color="auto" w:fill="auto"/>
          </w:tcPr>
          <w:p w:rsidR="0030517B" w:rsidRPr="00CA099F" w:rsidRDefault="0030517B" w:rsidP="00E1448E">
            <w:pPr>
              <w:spacing w:after="160" w:line="259" w:lineRule="auto"/>
              <w:rPr>
                <w:rFonts w:eastAsia="Calibri" w:cs="Times New Roman"/>
                <w:szCs w:val="28"/>
              </w:rPr>
            </w:pPr>
            <w:r w:rsidRPr="00CA099F">
              <w:rPr>
                <w:rFonts w:eastAsia="Calibri" w:cs="Times New Roman"/>
                <w:sz w:val="28"/>
                <w:szCs w:val="28"/>
              </w:rPr>
              <w:t>Е</w:t>
            </w:r>
            <w:r w:rsidRPr="00CA099F">
              <w:rPr>
                <w:rFonts w:eastAsia="Calibri" w:cs="Times New Roman"/>
                <w:sz w:val="28"/>
                <w:szCs w:val="28"/>
                <w:vertAlign w:val="subscript"/>
              </w:rPr>
              <w:t>п</w:t>
            </w:r>
            <w:r w:rsidRPr="00CA099F">
              <w:rPr>
                <w:rFonts w:eastAsia="Calibri" w:cs="Times New Roman"/>
                <w:sz w:val="28"/>
                <w:szCs w:val="28"/>
              </w:rPr>
              <w:t xml:space="preserve"> – 5 (25%)</w:t>
            </w:r>
          </w:p>
        </w:tc>
        <w:tc>
          <w:tcPr>
            <w:tcW w:w="1984" w:type="dxa"/>
            <w:shd w:val="clear" w:color="auto" w:fill="auto"/>
          </w:tcPr>
          <w:p w:rsidR="0030517B" w:rsidRPr="00CA099F" w:rsidRDefault="0030517B" w:rsidP="00E1448E">
            <w:pPr>
              <w:spacing w:after="160" w:line="259" w:lineRule="auto"/>
              <w:rPr>
                <w:rFonts w:eastAsia="Calibri" w:cs="Times New Roman"/>
                <w:szCs w:val="28"/>
              </w:rPr>
            </w:pPr>
            <w:r w:rsidRPr="00CA099F">
              <w:rPr>
                <w:rFonts w:eastAsia="Calibri" w:cs="Times New Roman"/>
                <w:sz w:val="28"/>
                <w:szCs w:val="28"/>
              </w:rPr>
              <w:t>Е</w:t>
            </w:r>
            <w:r w:rsidRPr="00CA099F">
              <w:rPr>
                <w:rFonts w:eastAsia="Calibri" w:cs="Times New Roman"/>
                <w:sz w:val="28"/>
                <w:szCs w:val="28"/>
                <w:vertAlign w:val="subscript"/>
              </w:rPr>
              <w:t>п</w:t>
            </w:r>
            <w:r w:rsidRPr="00CA099F">
              <w:rPr>
                <w:rFonts w:eastAsia="Calibri" w:cs="Times New Roman"/>
                <w:sz w:val="28"/>
                <w:szCs w:val="28"/>
              </w:rPr>
              <w:t xml:space="preserve"> – 4 (20%)</w:t>
            </w:r>
          </w:p>
        </w:tc>
        <w:tc>
          <w:tcPr>
            <w:tcW w:w="1985" w:type="dxa"/>
            <w:shd w:val="clear" w:color="auto" w:fill="auto"/>
          </w:tcPr>
          <w:p w:rsidR="0030517B" w:rsidRPr="00CA099F" w:rsidRDefault="0030517B" w:rsidP="00E1448E">
            <w:pPr>
              <w:spacing w:after="160" w:line="259" w:lineRule="auto"/>
              <w:rPr>
                <w:rFonts w:eastAsia="Calibri" w:cs="Times New Roman"/>
                <w:szCs w:val="28"/>
              </w:rPr>
            </w:pPr>
            <w:r w:rsidRPr="00CA099F">
              <w:rPr>
                <w:rFonts w:eastAsia="Calibri" w:cs="Times New Roman"/>
                <w:sz w:val="28"/>
                <w:szCs w:val="28"/>
              </w:rPr>
              <w:t>Е</w:t>
            </w:r>
            <w:r w:rsidRPr="00CA099F">
              <w:rPr>
                <w:rFonts w:eastAsia="Calibri" w:cs="Times New Roman"/>
                <w:sz w:val="28"/>
                <w:szCs w:val="28"/>
                <w:vertAlign w:val="subscript"/>
              </w:rPr>
              <w:t>п</w:t>
            </w:r>
            <w:r w:rsidRPr="00CA099F">
              <w:rPr>
                <w:rFonts w:eastAsia="Calibri" w:cs="Times New Roman"/>
                <w:sz w:val="28"/>
                <w:szCs w:val="28"/>
              </w:rPr>
              <w:t xml:space="preserve"> – 2 (10%)</w:t>
            </w:r>
          </w:p>
        </w:tc>
      </w:tr>
      <w:tr w:rsidR="0030517B" w:rsidRPr="00CA099F" w:rsidTr="00E1448E">
        <w:tblPrEx>
          <w:tblLook w:val="04A0" w:firstRow="1" w:lastRow="0" w:firstColumn="1" w:lastColumn="0" w:noHBand="0" w:noVBand="1"/>
        </w:tblPrEx>
        <w:trPr>
          <w:trHeight w:val="124"/>
          <w:jc w:val="center"/>
        </w:trPr>
        <w:tc>
          <w:tcPr>
            <w:tcW w:w="1730" w:type="dxa"/>
            <w:vMerge/>
            <w:shd w:val="clear" w:color="auto" w:fill="auto"/>
          </w:tcPr>
          <w:p w:rsidR="0030517B" w:rsidRPr="00CA099F" w:rsidRDefault="0030517B" w:rsidP="00E1448E">
            <w:pPr>
              <w:spacing w:after="160" w:line="259" w:lineRule="auto"/>
              <w:jc w:val="center"/>
              <w:rPr>
                <w:rFonts w:eastAsia="Calibri" w:cs="Times New Roman"/>
                <w:szCs w:val="28"/>
              </w:rPr>
            </w:pPr>
          </w:p>
        </w:tc>
        <w:tc>
          <w:tcPr>
            <w:tcW w:w="1956" w:type="dxa"/>
            <w:shd w:val="clear" w:color="auto" w:fill="auto"/>
          </w:tcPr>
          <w:p w:rsidR="0030517B" w:rsidRPr="00CA099F" w:rsidRDefault="0030517B" w:rsidP="00E1448E">
            <w:pPr>
              <w:spacing w:after="160" w:line="259" w:lineRule="auto"/>
              <w:rPr>
                <w:rFonts w:eastAsia="Calibri" w:cs="Times New Roman"/>
                <w:szCs w:val="28"/>
              </w:rPr>
            </w:pPr>
            <w:r w:rsidRPr="00CA099F">
              <w:rPr>
                <w:rFonts w:eastAsia="Calibri" w:cs="Times New Roman"/>
                <w:sz w:val="28"/>
                <w:szCs w:val="28"/>
              </w:rPr>
              <w:t>Е</w:t>
            </w:r>
            <w:r w:rsidRPr="00CA099F">
              <w:rPr>
                <w:rFonts w:eastAsia="Calibri" w:cs="Times New Roman"/>
                <w:sz w:val="28"/>
                <w:szCs w:val="28"/>
                <w:vertAlign w:val="subscript"/>
              </w:rPr>
              <w:t>в</w:t>
            </w:r>
            <w:r w:rsidRPr="00CA099F">
              <w:rPr>
                <w:rFonts w:eastAsia="Calibri" w:cs="Times New Roman"/>
                <w:sz w:val="28"/>
                <w:szCs w:val="28"/>
              </w:rPr>
              <w:t xml:space="preserve"> – 2 (10%)</w:t>
            </w:r>
          </w:p>
        </w:tc>
        <w:tc>
          <w:tcPr>
            <w:tcW w:w="1985" w:type="dxa"/>
            <w:shd w:val="clear" w:color="auto" w:fill="auto"/>
          </w:tcPr>
          <w:p w:rsidR="0030517B" w:rsidRPr="00CA099F" w:rsidRDefault="0030517B" w:rsidP="00E1448E">
            <w:pPr>
              <w:spacing w:after="160" w:line="259" w:lineRule="auto"/>
              <w:rPr>
                <w:rFonts w:eastAsia="Calibri" w:cs="Times New Roman"/>
                <w:szCs w:val="28"/>
              </w:rPr>
            </w:pPr>
            <w:r w:rsidRPr="00CA099F">
              <w:rPr>
                <w:rFonts w:eastAsia="Calibri" w:cs="Times New Roman"/>
                <w:sz w:val="28"/>
                <w:szCs w:val="28"/>
              </w:rPr>
              <w:t>Е</w:t>
            </w:r>
            <w:r w:rsidRPr="00CA099F">
              <w:rPr>
                <w:rFonts w:eastAsia="Calibri" w:cs="Times New Roman"/>
                <w:sz w:val="28"/>
                <w:szCs w:val="28"/>
                <w:vertAlign w:val="subscript"/>
              </w:rPr>
              <w:t>в</w:t>
            </w:r>
            <w:r w:rsidRPr="00CA099F">
              <w:rPr>
                <w:rFonts w:eastAsia="Calibri" w:cs="Times New Roman"/>
                <w:sz w:val="28"/>
                <w:szCs w:val="28"/>
              </w:rPr>
              <w:t xml:space="preserve"> – 2 (10%)</w:t>
            </w:r>
          </w:p>
        </w:tc>
        <w:tc>
          <w:tcPr>
            <w:tcW w:w="1984" w:type="dxa"/>
            <w:shd w:val="clear" w:color="auto" w:fill="auto"/>
          </w:tcPr>
          <w:p w:rsidR="0030517B" w:rsidRPr="00CA099F" w:rsidRDefault="0030517B" w:rsidP="00E1448E">
            <w:pPr>
              <w:spacing w:after="160" w:line="259" w:lineRule="auto"/>
              <w:rPr>
                <w:rFonts w:eastAsia="Calibri" w:cs="Times New Roman"/>
                <w:szCs w:val="28"/>
              </w:rPr>
            </w:pPr>
            <w:r w:rsidRPr="00CA099F">
              <w:rPr>
                <w:rFonts w:eastAsia="Calibri" w:cs="Times New Roman"/>
                <w:sz w:val="28"/>
                <w:szCs w:val="28"/>
              </w:rPr>
              <w:t>Е</w:t>
            </w:r>
            <w:r w:rsidRPr="00CA099F">
              <w:rPr>
                <w:rFonts w:eastAsia="Calibri" w:cs="Times New Roman"/>
                <w:sz w:val="28"/>
                <w:szCs w:val="28"/>
                <w:vertAlign w:val="subscript"/>
              </w:rPr>
              <w:t>в</w:t>
            </w:r>
            <w:r w:rsidRPr="00CA099F">
              <w:rPr>
                <w:rFonts w:eastAsia="Calibri" w:cs="Times New Roman"/>
                <w:sz w:val="28"/>
                <w:szCs w:val="28"/>
              </w:rPr>
              <w:t xml:space="preserve"> – 1 (5%)</w:t>
            </w:r>
          </w:p>
        </w:tc>
        <w:tc>
          <w:tcPr>
            <w:tcW w:w="1985" w:type="dxa"/>
            <w:shd w:val="clear" w:color="auto" w:fill="auto"/>
          </w:tcPr>
          <w:p w:rsidR="0030517B" w:rsidRPr="00CA099F" w:rsidRDefault="0030517B" w:rsidP="00E1448E">
            <w:pPr>
              <w:spacing w:after="160" w:line="259" w:lineRule="auto"/>
              <w:rPr>
                <w:rFonts w:eastAsia="Calibri" w:cs="Times New Roman"/>
                <w:szCs w:val="28"/>
              </w:rPr>
            </w:pPr>
            <w:r w:rsidRPr="00CA099F">
              <w:rPr>
                <w:rFonts w:eastAsia="Calibri" w:cs="Times New Roman"/>
                <w:sz w:val="28"/>
                <w:szCs w:val="28"/>
              </w:rPr>
              <w:t>Е</w:t>
            </w:r>
            <w:r w:rsidRPr="00CA099F">
              <w:rPr>
                <w:rFonts w:eastAsia="Calibri" w:cs="Times New Roman"/>
                <w:sz w:val="28"/>
                <w:szCs w:val="28"/>
                <w:vertAlign w:val="subscript"/>
              </w:rPr>
              <w:t>в</w:t>
            </w:r>
            <w:r w:rsidRPr="00CA099F">
              <w:rPr>
                <w:rFonts w:eastAsia="Calibri" w:cs="Times New Roman"/>
                <w:sz w:val="28"/>
                <w:szCs w:val="28"/>
              </w:rPr>
              <w:t xml:space="preserve"> – 0 (0%)</w:t>
            </w:r>
          </w:p>
        </w:tc>
      </w:tr>
      <w:tr w:rsidR="0030517B" w:rsidRPr="00CA099F" w:rsidTr="00E1448E">
        <w:tblPrEx>
          <w:tblLook w:val="04A0" w:firstRow="1" w:lastRow="0" w:firstColumn="1" w:lastColumn="0" w:noHBand="0" w:noVBand="1"/>
        </w:tblPrEx>
        <w:trPr>
          <w:trHeight w:val="583"/>
          <w:jc w:val="center"/>
        </w:trPr>
        <w:tc>
          <w:tcPr>
            <w:tcW w:w="1730" w:type="dxa"/>
            <w:vMerge w:val="restart"/>
            <w:shd w:val="clear" w:color="auto" w:fill="auto"/>
          </w:tcPr>
          <w:p w:rsidR="0030517B" w:rsidRPr="00CA099F" w:rsidRDefault="0030517B" w:rsidP="00E1448E">
            <w:pPr>
              <w:spacing w:after="160" w:line="259" w:lineRule="auto"/>
              <w:jc w:val="center"/>
              <w:rPr>
                <w:rFonts w:eastAsia="Calibri" w:cs="Times New Roman"/>
                <w:szCs w:val="28"/>
              </w:rPr>
            </w:pPr>
            <w:r w:rsidRPr="00CA099F">
              <w:rPr>
                <w:rFonts w:eastAsia="Calibri" w:cs="Times New Roman"/>
                <w:sz w:val="28"/>
                <w:szCs w:val="28"/>
              </w:rPr>
              <w:t>П4</w:t>
            </w:r>
          </w:p>
        </w:tc>
        <w:tc>
          <w:tcPr>
            <w:tcW w:w="1956" w:type="dxa"/>
            <w:shd w:val="clear" w:color="auto" w:fill="auto"/>
          </w:tcPr>
          <w:p w:rsidR="0030517B" w:rsidRPr="00CA099F" w:rsidRDefault="0030517B" w:rsidP="00E1448E">
            <w:pPr>
              <w:spacing w:after="160" w:line="259" w:lineRule="auto"/>
              <w:rPr>
                <w:rFonts w:eastAsia="Calibri" w:cs="Times New Roman"/>
                <w:szCs w:val="28"/>
              </w:rPr>
            </w:pPr>
            <w:r w:rsidRPr="00CA099F">
              <w:rPr>
                <w:rFonts w:eastAsia="Calibri" w:cs="Times New Roman"/>
                <w:sz w:val="28"/>
                <w:szCs w:val="28"/>
              </w:rPr>
              <w:t>Н</w:t>
            </w:r>
            <w:r w:rsidRPr="00CA099F">
              <w:rPr>
                <w:rFonts w:eastAsia="Calibri" w:cs="Times New Roman"/>
                <w:sz w:val="28"/>
                <w:szCs w:val="28"/>
                <w:vertAlign w:val="subscript"/>
              </w:rPr>
              <w:t>ж</w:t>
            </w:r>
            <w:r w:rsidRPr="00CA099F">
              <w:rPr>
                <w:rFonts w:eastAsia="Calibri" w:cs="Times New Roman"/>
                <w:sz w:val="28"/>
                <w:szCs w:val="28"/>
              </w:rPr>
              <w:t xml:space="preserve"> – 6 (30%)</w:t>
            </w:r>
          </w:p>
        </w:tc>
        <w:tc>
          <w:tcPr>
            <w:tcW w:w="1985" w:type="dxa"/>
            <w:shd w:val="clear" w:color="auto" w:fill="auto"/>
          </w:tcPr>
          <w:p w:rsidR="0030517B" w:rsidRPr="00CA099F" w:rsidRDefault="0030517B" w:rsidP="00E1448E">
            <w:pPr>
              <w:spacing w:after="160" w:line="259" w:lineRule="auto"/>
              <w:rPr>
                <w:rFonts w:eastAsia="Calibri" w:cs="Times New Roman"/>
                <w:szCs w:val="28"/>
              </w:rPr>
            </w:pPr>
            <w:r w:rsidRPr="00CA099F">
              <w:rPr>
                <w:rFonts w:eastAsia="Calibri" w:cs="Times New Roman"/>
                <w:sz w:val="28"/>
                <w:szCs w:val="28"/>
              </w:rPr>
              <w:t>Н</w:t>
            </w:r>
            <w:r w:rsidRPr="00CA099F">
              <w:rPr>
                <w:rFonts w:eastAsia="Calibri" w:cs="Times New Roman"/>
                <w:sz w:val="28"/>
                <w:szCs w:val="28"/>
                <w:vertAlign w:val="subscript"/>
              </w:rPr>
              <w:t>ж</w:t>
            </w:r>
            <w:r w:rsidRPr="00CA099F">
              <w:rPr>
                <w:rFonts w:eastAsia="Calibri" w:cs="Times New Roman"/>
                <w:sz w:val="28"/>
                <w:szCs w:val="28"/>
              </w:rPr>
              <w:t xml:space="preserve"> – 5 (25%)</w:t>
            </w:r>
          </w:p>
        </w:tc>
        <w:tc>
          <w:tcPr>
            <w:tcW w:w="1984" w:type="dxa"/>
            <w:shd w:val="clear" w:color="auto" w:fill="auto"/>
          </w:tcPr>
          <w:p w:rsidR="0030517B" w:rsidRPr="00CA099F" w:rsidRDefault="0030517B" w:rsidP="00E1448E">
            <w:pPr>
              <w:spacing w:after="160" w:line="259" w:lineRule="auto"/>
              <w:rPr>
                <w:rFonts w:eastAsia="Calibri" w:cs="Times New Roman"/>
                <w:szCs w:val="28"/>
              </w:rPr>
            </w:pPr>
            <w:r w:rsidRPr="00CA099F">
              <w:rPr>
                <w:rFonts w:eastAsia="Calibri" w:cs="Times New Roman"/>
                <w:sz w:val="28"/>
                <w:szCs w:val="28"/>
              </w:rPr>
              <w:t>Н</w:t>
            </w:r>
            <w:r w:rsidRPr="00CA099F">
              <w:rPr>
                <w:rFonts w:eastAsia="Calibri" w:cs="Times New Roman"/>
                <w:sz w:val="28"/>
                <w:szCs w:val="28"/>
                <w:vertAlign w:val="subscript"/>
              </w:rPr>
              <w:t>ж</w:t>
            </w:r>
            <w:r w:rsidRPr="00CA099F">
              <w:rPr>
                <w:rFonts w:eastAsia="Calibri" w:cs="Times New Roman"/>
                <w:sz w:val="28"/>
                <w:szCs w:val="28"/>
              </w:rPr>
              <w:t xml:space="preserve"> – 3 (15%)</w:t>
            </w:r>
          </w:p>
        </w:tc>
        <w:tc>
          <w:tcPr>
            <w:tcW w:w="1985" w:type="dxa"/>
            <w:shd w:val="clear" w:color="auto" w:fill="auto"/>
          </w:tcPr>
          <w:p w:rsidR="0030517B" w:rsidRPr="00CA099F" w:rsidRDefault="0030517B" w:rsidP="00E1448E">
            <w:pPr>
              <w:spacing w:after="160" w:line="259" w:lineRule="auto"/>
              <w:rPr>
                <w:rFonts w:eastAsia="Calibri" w:cs="Times New Roman"/>
                <w:szCs w:val="28"/>
              </w:rPr>
            </w:pPr>
            <w:r w:rsidRPr="00CA099F">
              <w:rPr>
                <w:rFonts w:eastAsia="Calibri" w:cs="Times New Roman"/>
                <w:sz w:val="28"/>
                <w:szCs w:val="28"/>
              </w:rPr>
              <w:t>Н</w:t>
            </w:r>
            <w:r w:rsidRPr="00CA099F">
              <w:rPr>
                <w:rFonts w:eastAsia="Calibri" w:cs="Times New Roman"/>
                <w:sz w:val="28"/>
                <w:szCs w:val="28"/>
                <w:vertAlign w:val="subscript"/>
              </w:rPr>
              <w:t>ж</w:t>
            </w:r>
            <w:r w:rsidRPr="00CA099F">
              <w:rPr>
                <w:rFonts w:eastAsia="Calibri" w:cs="Times New Roman"/>
                <w:sz w:val="28"/>
                <w:szCs w:val="28"/>
              </w:rPr>
              <w:t xml:space="preserve"> – 1 (5%)</w:t>
            </w:r>
          </w:p>
        </w:tc>
      </w:tr>
      <w:tr w:rsidR="0030517B" w:rsidRPr="00CA099F" w:rsidTr="00E1448E">
        <w:tblPrEx>
          <w:tblLook w:val="04A0" w:firstRow="1" w:lastRow="0" w:firstColumn="1" w:lastColumn="0" w:noHBand="0" w:noVBand="1"/>
        </w:tblPrEx>
        <w:trPr>
          <w:trHeight w:val="124"/>
          <w:jc w:val="center"/>
        </w:trPr>
        <w:tc>
          <w:tcPr>
            <w:tcW w:w="1730" w:type="dxa"/>
            <w:vMerge/>
            <w:shd w:val="clear" w:color="auto" w:fill="auto"/>
          </w:tcPr>
          <w:p w:rsidR="0030517B" w:rsidRPr="00CA099F" w:rsidRDefault="0030517B" w:rsidP="00E1448E">
            <w:pPr>
              <w:spacing w:after="160" w:line="259" w:lineRule="auto"/>
              <w:jc w:val="center"/>
              <w:rPr>
                <w:rFonts w:eastAsia="Calibri" w:cs="Times New Roman"/>
                <w:szCs w:val="28"/>
              </w:rPr>
            </w:pPr>
          </w:p>
        </w:tc>
        <w:tc>
          <w:tcPr>
            <w:tcW w:w="1956" w:type="dxa"/>
            <w:shd w:val="clear" w:color="auto" w:fill="auto"/>
          </w:tcPr>
          <w:p w:rsidR="0030517B" w:rsidRPr="00CA099F" w:rsidRDefault="0030517B" w:rsidP="00E1448E">
            <w:pPr>
              <w:spacing w:after="160" w:line="259" w:lineRule="auto"/>
              <w:rPr>
                <w:rFonts w:eastAsia="Calibri" w:cs="Times New Roman"/>
                <w:szCs w:val="28"/>
              </w:rPr>
            </w:pPr>
            <w:r w:rsidRPr="00CA099F">
              <w:rPr>
                <w:rFonts w:eastAsia="Calibri" w:cs="Times New Roman"/>
                <w:sz w:val="28"/>
                <w:szCs w:val="28"/>
              </w:rPr>
              <w:t>С – 3 (15%)</w:t>
            </w:r>
          </w:p>
        </w:tc>
        <w:tc>
          <w:tcPr>
            <w:tcW w:w="1985" w:type="dxa"/>
            <w:shd w:val="clear" w:color="auto" w:fill="auto"/>
          </w:tcPr>
          <w:p w:rsidR="0030517B" w:rsidRPr="00CA099F" w:rsidRDefault="0030517B" w:rsidP="00E1448E">
            <w:pPr>
              <w:spacing w:after="160" w:line="259" w:lineRule="auto"/>
              <w:rPr>
                <w:rFonts w:eastAsia="Calibri" w:cs="Times New Roman"/>
                <w:szCs w:val="28"/>
              </w:rPr>
            </w:pPr>
            <w:r w:rsidRPr="00CA099F">
              <w:rPr>
                <w:rFonts w:eastAsia="Calibri" w:cs="Times New Roman"/>
                <w:sz w:val="28"/>
                <w:szCs w:val="28"/>
              </w:rPr>
              <w:t>С – 2(10%)</w:t>
            </w:r>
          </w:p>
        </w:tc>
        <w:tc>
          <w:tcPr>
            <w:tcW w:w="1984" w:type="dxa"/>
            <w:shd w:val="clear" w:color="auto" w:fill="auto"/>
          </w:tcPr>
          <w:p w:rsidR="0030517B" w:rsidRPr="00CA099F" w:rsidRDefault="0030517B" w:rsidP="00E1448E">
            <w:pPr>
              <w:spacing w:after="160" w:line="259" w:lineRule="auto"/>
              <w:rPr>
                <w:rFonts w:eastAsia="Calibri" w:cs="Times New Roman"/>
                <w:szCs w:val="28"/>
              </w:rPr>
            </w:pPr>
            <w:r w:rsidRPr="00CA099F">
              <w:rPr>
                <w:rFonts w:eastAsia="Calibri" w:cs="Times New Roman"/>
                <w:sz w:val="28"/>
                <w:szCs w:val="28"/>
              </w:rPr>
              <w:t>С – 0 (0%)</w:t>
            </w:r>
          </w:p>
        </w:tc>
        <w:tc>
          <w:tcPr>
            <w:tcW w:w="1985" w:type="dxa"/>
            <w:shd w:val="clear" w:color="auto" w:fill="auto"/>
          </w:tcPr>
          <w:p w:rsidR="0030517B" w:rsidRPr="00CA099F" w:rsidRDefault="0030517B" w:rsidP="00E1448E">
            <w:pPr>
              <w:spacing w:after="160" w:line="259" w:lineRule="auto"/>
              <w:rPr>
                <w:rFonts w:eastAsia="Calibri" w:cs="Times New Roman"/>
                <w:szCs w:val="28"/>
              </w:rPr>
            </w:pPr>
            <w:r w:rsidRPr="00CA099F">
              <w:rPr>
                <w:rFonts w:eastAsia="Calibri" w:cs="Times New Roman"/>
                <w:sz w:val="28"/>
                <w:szCs w:val="28"/>
              </w:rPr>
              <w:t>С – 0 (0%)</w:t>
            </w:r>
          </w:p>
        </w:tc>
      </w:tr>
      <w:tr w:rsidR="0030517B" w:rsidRPr="00CA099F" w:rsidTr="00E1448E">
        <w:tblPrEx>
          <w:tblLook w:val="04A0" w:firstRow="1" w:lastRow="0" w:firstColumn="1" w:lastColumn="0" w:noHBand="0" w:noVBand="1"/>
        </w:tblPrEx>
        <w:trPr>
          <w:trHeight w:val="429"/>
          <w:jc w:val="center"/>
        </w:trPr>
        <w:tc>
          <w:tcPr>
            <w:tcW w:w="1730" w:type="dxa"/>
            <w:vMerge/>
            <w:shd w:val="clear" w:color="auto" w:fill="auto"/>
          </w:tcPr>
          <w:p w:rsidR="0030517B" w:rsidRPr="00CA099F" w:rsidRDefault="0030517B" w:rsidP="00E1448E">
            <w:pPr>
              <w:spacing w:after="160" w:line="259" w:lineRule="auto"/>
              <w:jc w:val="center"/>
              <w:rPr>
                <w:rFonts w:eastAsia="Calibri" w:cs="Times New Roman"/>
                <w:szCs w:val="28"/>
              </w:rPr>
            </w:pPr>
          </w:p>
        </w:tc>
        <w:tc>
          <w:tcPr>
            <w:tcW w:w="1956" w:type="dxa"/>
            <w:shd w:val="clear" w:color="auto" w:fill="auto"/>
          </w:tcPr>
          <w:p w:rsidR="0030517B" w:rsidRPr="00CA099F" w:rsidRDefault="0030517B" w:rsidP="00E1448E">
            <w:pPr>
              <w:spacing w:after="160" w:line="259" w:lineRule="auto"/>
              <w:rPr>
                <w:rFonts w:eastAsia="Calibri" w:cs="Times New Roman"/>
                <w:szCs w:val="28"/>
              </w:rPr>
            </w:pPr>
            <w:r w:rsidRPr="00CA099F">
              <w:rPr>
                <w:rFonts w:eastAsia="Calibri" w:cs="Times New Roman"/>
                <w:sz w:val="28"/>
                <w:szCs w:val="28"/>
              </w:rPr>
              <w:t>П – 0 (0%)</w:t>
            </w:r>
          </w:p>
        </w:tc>
        <w:tc>
          <w:tcPr>
            <w:tcW w:w="1985" w:type="dxa"/>
            <w:shd w:val="clear" w:color="auto" w:fill="auto"/>
          </w:tcPr>
          <w:p w:rsidR="0030517B" w:rsidRPr="00CA099F" w:rsidRDefault="0030517B" w:rsidP="00E1448E">
            <w:pPr>
              <w:spacing w:after="160" w:line="259" w:lineRule="auto"/>
              <w:rPr>
                <w:rFonts w:eastAsia="Calibri" w:cs="Times New Roman"/>
                <w:szCs w:val="28"/>
              </w:rPr>
            </w:pPr>
            <w:r w:rsidRPr="00CA099F">
              <w:rPr>
                <w:rFonts w:eastAsia="Calibri" w:cs="Times New Roman"/>
                <w:sz w:val="28"/>
                <w:szCs w:val="28"/>
              </w:rPr>
              <w:t>П – 0 (0%)</w:t>
            </w:r>
          </w:p>
        </w:tc>
        <w:tc>
          <w:tcPr>
            <w:tcW w:w="1984" w:type="dxa"/>
            <w:shd w:val="clear" w:color="auto" w:fill="auto"/>
          </w:tcPr>
          <w:p w:rsidR="0030517B" w:rsidRPr="00CA099F" w:rsidRDefault="0030517B" w:rsidP="00E1448E">
            <w:pPr>
              <w:spacing w:after="160" w:line="259" w:lineRule="auto"/>
              <w:rPr>
                <w:rFonts w:eastAsia="Calibri" w:cs="Times New Roman"/>
                <w:szCs w:val="28"/>
              </w:rPr>
            </w:pPr>
            <w:r w:rsidRPr="00CA099F">
              <w:rPr>
                <w:rFonts w:eastAsia="Calibri" w:cs="Times New Roman"/>
                <w:sz w:val="28"/>
                <w:szCs w:val="28"/>
              </w:rPr>
              <w:t>П – 0 (0%)</w:t>
            </w:r>
          </w:p>
        </w:tc>
        <w:tc>
          <w:tcPr>
            <w:tcW w:w="1985" w:type="dxa"/>
            <w:shd w:val="clear" w:color="auto" w:fill="auto"/>
          </w:tcPr>
          <w:p w:rsidR="0030517B" w:rsidRPr="00CA099F" w:rsidRDefault="0030517B" w:rsidP="00E1448E">
            <w:pPr>
              <w:spacing w:after="160" w:line="259" w:lineRule="auto"/>
              <w:rPr>
                <w:rFonts w:eastAsia="Calibri" w:cs="Times New Roman"/>
                <w:szCs w:val="28"/>
              </w:rPr>
            </w:pPr>
            <w:r w:rsidRPr="00CA099F">
              <w:rPr>
                <w:rFonts w:eastAsia="Calibri" w:cs="Times New Roman"/>
                <w:sz w:val="28"/>
                <w:szCs w:val="28"/>
              </w:rPr>
              <w:t>П – 0 (0%)</w:t>
            </w:r>
          </w:p>
        </w:tc>
      </w:tr>
      <w:tr w:rsidR="0030517B" w:rsidRPr="00CA099F" w:rsidTr="00E1448E">
        <w:tblPrEx>
          <w:tblLook w:val="04A0" w:firstRow="1" w:lastRow="0" w:firstColumn="1" w:lastColumn="0" w:noHBand="0" w:noVBand="1"/>
        </w:tblPrEx>
        <w:trPr>
          <w:trHeight w:val="124"/>
          <w:jc w:val="center"/>
        </w:trPr>
        <w:tc>
          <w:tcPr>
            <w:tcW w:w="1730" w:type="dxa"/>
            <w:vMerge/>
            <w:shd w:val="clear" w:color="auto" w:fill="auto"/>
          </w:tcPr>
          <w:p w:rsidR="0030517B" w:rsidRPr="00CA099F" w:rsidRDefault="0030517B" w:rsidP="00E1448E">
            <w:pPr>
              <w:spacing w:after="160" w:line="259" w:lineRule="auto"/>
              <w:jc w:val="center"/>
              <w:rPr>
                <w:rFonts w:eastAsia="Calibri" w:cs="Times New Roman"/>
                <w:szCs w:val="28"/>
              </w:rPr>
            </w:pPr>
          </w:p>
        </w:tc>
        <w:tc>
          <w:tcPr>
            <w:tcW w:w="1956" w:type="dxa"/>
            <w:shd w:val="clear" w:color="auto" w:fill="auto"/>
          </w:tcPr>
          <w:p w:rsidR="0030517B" w:rsidRPr="00CA099F" w:rsidRDefault="0030517B" w:rsidP="00E1448E">
            <w:pPr>
              <w:spacing w:after="160" w:line="259" w:lineRule="auto"/>
              <w:rPr>
                <w:rFonts w:eastAsia="Calibri" w:cs="Times New Roman"/>
                <w:szCs w:val="28"/>
              </w:rPr>
            </w:pPr>
            <w:r w:rsidRPr="00CA099F">
              <w:rPr>
                <w:rFonts w:eastAsia="Calibri" w:cs="Times New Roman"/>
                <w:sz w:val="28"/>
                <w:szCs w:val="28"/>
              </w:rPr>
              <w:t>Б – 0 (0%)</w:t>
            </w:r>
          </w:p>
        </w:tc>
        <w:tc>
          <w:tcPr>
            <w:tcW w:w="1985" w:type="dxa"/>
            <w:shd w:val="clear" w:color="auto" w:fill="auto"/>
          </w:tcPr>
          <w:p w:rsidR="0030517B" w:rsidRPr="00CA099F" w:rsidRDefault="0030517B" w:rsidP="00E1448E">
            <w:pPr>
              <w:spacing w:after="160" w:line="259" w:lineRule="auto"/>
              <w:rPr>
                <w:rFonts w:eastAsia="Calibri" w:cs="Times New Roman"/>
                <w:szCs w:val="28"/>
              </w:rPr>
            </w:pPr>
            <w:r w:rsidRPr="00CA099F">
              <w:rPr>
                <w:rFonts w:eastAsia="Calibri" w:cs="Times New Roman"/>
                <w:sz w:val="28"/>
                <w:szCs w:val="28"/>
              </w:rPr>
              <w:t>Б – 0 (0%)</w:t>
            </w:r>
          </w:p>
        </w:tc>
        <w:tc>
          <w:tcPr>
            <w:tcW w:w="1984" w:type="dxa"/>
            <w:shd w:val="clear" w:color="auto" w:fill="auto"/>
          </w:tcPr>
          <w:p w:rsidR="0030517B" w:rsidRPr="00CA099F" w:rsidRDefault="0030517B" w:rsidP="00E1448E">
            <w:pPr>
              <w:spacing w:after="160" w:line="259" w:lineRule="auto"/>
              <w:rPr>
                <w:rFonts w:eastAsia="Calibri" w:cs="Times New Roman"/>
                <w:szCs w:val="28"/>
              </w:rPr>
            </w:pPr>
            <w:r w:rsidRPr="00CA099F">
              <w:rPr>
                <w:rFonts w:eastAsia="Calibri" w:cs="Times New Roman"/>
                <w:sz w:val="28"/>
                <w:szCs w:val="28"/>
              </w:rPr>
              <w:t>Б – 0 (0%)</w:t>
            </w:r>
          </w:p>
        </w:tc>
        <w:tc>
          <w:tcPr>
            <w:tcW w:w="1985" w:type="dxa"/>
            <w:shd w:val="clear" w:color="auto" w:fill="auto"/>
          </w:tcPr>
          <w:p w:rsidR="0030517B" w:rsidRPr="00CA099F" w:rsidRDefault="0030517B" w:rsidP="00E1448E">
            <w:pPr>
              <w:spacing w:after="160" w:line="259" w:lineRule="auto"/>
              <w:rPr>
                <w:rFonts w:eastAsia="Calibri" w:cs="Times New Roman"/>
                <w:szCs w:val="28"/>
              </w:rPr>
            </w:pPr>
            <w:r w:rsidRPr="00CA099F">
              <w:rPr>
                <w:rFonts w:eastAsia="Calibri" w:cs="Times New Roman"/>
                <w:sz w:val="28"/>
                <w:szCs w:val="28"/>
              </w:rPr>
              <w:t>Б – 0 (0%)</w:t>
            </w:r>
          </w:p>
        </w:tc>
      </w:tr>
      <w:tr w:rsidR="0030517B" w:rsidRPr="00CA099F" w:rsidTr="00E1448E">
        <w:tblPrEx>
          <w:tblLook w:val="04A0" w:firstRow="1" w:lastRow="0" w:firstColumn="1" w:lastColumn="0" w:noHBand="0" w:noVBand="1"/>
        </w:tblPrEx>
        <w:trPr>
          <w:trHeight w:val="583"/>
          <w:jc w:val="center"/>
        </w:trPr>
        <w:tc>
          <w:tcPr>
            <w:tcW w:w="1730" w:type="dxa"/>
            <w:vMerge w:val="restart"/>
            <w:shd w:val="clear" w:color="auto" w:fill="auto"/>
          </w:tcPr>
          <w:p w:rsidR="0030517B" w:rsidRPr="00CA099F" w:rsidRDefault="0030517B" w:rsidP="00E1448E">
            <w:pPr>
              <w:spacing w:after="160" w:line="259" w:lineRule="auto"/>
              <w:jc w:val="center"/>
              <w:rPr>
                <w:rFonts w:eastAsia="Calibri" w:cs="Times New Roman"/>
                <w:szCs w:val="28"/>
              </w:rPr>
            </w:pPr>
            <w:r w:rsidRPr="00CA099F">
              <w:rPr>
                <w:rFonts w:eastAsia="Calibri" w:cs="Times New Roman"/>
                <w:sz w:val="28"/>
                <w:szCs w:val="28"/>
              </w:rPr>
              <w:t>П5</w:t>
            </w:r>
          </w:p>
        </w:tc>
        <w:tc>
          <w:tcPr>
            <w:tcW w:w="1956" w:type="dxa"/>
            <w:shd w:val="clear" w:color="auto" w:fill="auto"/>
          </w:tcPr>
          <w:p w:rsidR="0030517B" w:rsidRPr="00CA099F" w:rsidRDefault="0030517B" w:rsidP="00E1448E">
            <w:pPr>
              <w:spacing w:after="160" w:line="259" w:lineRule="auto"/>
              <w:rPr>
                <w:rFonts w:eastAsia="Calibri" w:cs="Times New Roman"/>
                <w:szCs w:val="28"/>
              </w:rPr>
            </w:pPr>
            <w:r w:rsidRPr="00CA099F">
              <w:rPr>
                <w:rFonts w:eastAsia="Calibri" w:cs="Times New Roman"/>
                <w:sz w:val="28"/>
                <w:szCs w:val="28"/>
              </w:rPr>
              <w:t>1 – 17 (85%)</w:t>
            </w:r>
          </w:p>
        </w:tc>
        <w:tc>
          <w:tcPr>
            <w:tcW w:w="1985" w:type="dxa"/>
            <w:shd w:val="clear" w:color="auto" w:fill="auto"/>
          </w:tcPr>
          <w:p w:rsidR="0030517B" w:rsidRPr="00CA099F" w:rsidRDefault="0030517B" w:rsidP="00E1448E">
            <w:pPr>
              <w:spacing w:after="160" w:line="259" w:lineRule="auto"/>
              <w:rPr>
                <w:rFonts w:eastAsia="Calibri" w:cs="Times New Roman"/>
                <w:szCs w:val="28"/>
              </w:rPr>
            </w:pPr>
            <w:r w:rsidRPr="00CA099F">
              <w:rPr>
                <w:rFonts w:eastAsia="Calibri" w:cs="Times New Roman"/>
                <w:sz w:val="28"/>
                <w:szCs w:val="28"/>
              </w:rPr>
              <w:t>1 – 17 (85%)</w:t>
            </w:r>
          </w:p>
        </w:tc>
        <w:tc>
          <w:tcPr>
            <w:tcW w:w="1984" w:type="dxa"/>
            <w:shd w:val="clear" w:color="auto" w:fill="auto"/>
          </w:tcPr>
          <w:p w:rsidR="0030517B" w:rsidRPr="00CA099F" w:rsidRDefault="0030517B" w:rsidP="00E1448E">
            <w:pPr>
              <w:spacing w:after="160" w:line="259" w:lineRule="auto"/>
              <w:rPr>
                <w:rFonts w:eastAsia="Calibri" w:cs="Times New Roman"/>
                <w:szCs w:val="28"/>
              </w:rPr>
            </w:pPr>
            <w:r w:rsidRPr="00CA099F">
              <w:rPr>
                <w:rFonts w:eastAsia="Calibri" w:cs="Times New Roman"/>
                <w:sz w:val="28"/>
                <w:szCs w:val="28"/>
              </w:rPr>
              <w:t>1 – 19 (95%)</w:t>
            </w:r>
          </w:p>
        </w:tc>
        <w:tc>
          <w:tcPr>
            <w:tcW w:w="1985" w:type="dxa"/>
            <w:shd w:val="clear" w:color="auto" w:fill="auto"/>
          </w:tcPr>
          <w:p w:rsidR="0030517B" w:rsidRPr="00CA099F" w:rsidRDefault="0030517B" w:rsidP="00E1448E">
            <w:pPr>
              <w:spacing w:after="160" w:line="259" w:lineRule="auto"/>
              <w:rPr>
                <w:rFonts w:eastAsia="Calibri" w:cs="Times New Roman"/>
                <w:szCs w:val="28"/>
              </w:rPr>
            </w:pPr>
            <w:r w:rsidRPr="00CA099F">
              <w:rPr>
                <w:rFonts w:eastAsia="Calibri" w:cs="Times New Roman"/>
                <w:sz w:val="28"/>
                <w:szCs w:val="28"/>
              </w:rPr>
              <w:t>1 – 19 (95%)</w:t>
            </w:r>
          </w:p>
        </w:tc>
      </w:tr>
      <w:tr w:rsidR="0030517B" w:rsidRPr="00CA099F" w:rsidTr="00E1448E">
        <w:tblPrEx>
          <w:tblLook w:val="04A0" w:firstRow="1" w:lastRow="0" w:firstColumn="1" w:lastColumn="0" w:noHBand="0" w:noVBand="1"/>
        </w:tblPrEx>
        <w:trPr>
          <w:trHeight w:val="124"/>
          <w:jc w:val="center"/>
        </w:trPr>
        <w:tc>
          <w:tcPr>
            <w:tcW w:w="1730" w:type="dxa"/>
            <w:vMerge/>
            <w:shd w:val="clear" w:color="auto" w:fill="auto"/>
          </w:tcPr>
          <w:p w:rsidR="0030517B" w:rsidRPr="00CA099F" w:rsidRDefault="0030517B" w:rsidP="00E1448E">
            <w:pPr>
              <w:spacing w:after="160" w:line="259" w:lineRule="auto"/>
              <w:rPr>
                <w:rFonts w:eastAsia="Calibri" w:cs="Times New Roman"/>
                <w:szCs w:val="28"/>
              </w:rPr>
            </w:pPr>
          </w:p>
        </w:tc>
        <w:tc>
          <w:tcPr>
            <w:tcW w:w="1956" w:type="dxa"/>
            <w:shd w:val="clear" w:color="auto" w:fill="auto"/>
          </w:tcPr>
          <w:p w:rsidR="0030517B" w:rsidRPr="00CA099F" w:rsidRDefault="0030517B" w:rsidP="00E1448E">
            <w:pPr>
              <w:spacing w:after="160" w:line="259" w:lineRule="auto"/>
              <w:rPr>
                <w:rFonts w:eastAsia="Calibri" w:cs="Times New Roman"/>
                <w:szCs w:val="28"/>
              </w:rPr>
            </w:pPr>
            <w:r w:rsidRPr="00CA099F">
              <w:rPr>
                <w:rFonts w:eastAsia="Calibri" w:cs="Times New Roman"/>
                <w:sz w:val="28"/>
                <w:szCs w:val="28"/>
              </w:rPr>
              <w:t>2 – 3 (15%)</w:t>
            </w:r>
          </w:p>
        </w:tc>
        <w:tc>
          <w:tcPr>
            <w:tcW w:w="1985" w:type="dxa"/>
            <w:shd w:val="clear" w:color="auto" w:fill="auto"/>
          </w:tcPr>
          <w:p w:rsidR="0030517B" w:rsidRPr="00CA099F" w:rsidRDefault="0030517B" w:rsidP="00E1448E">
            <w:pPr>
              <w:spacing w:after="160" w:line="259" w:lineRule="auto"/>
              <w:rPr>
                <w:rFonts w:eastAsia="Calibri" w:cs="Times New Roman"/>
                <w:szCs w:val="28"/>
              </w:rPr>
            </w:pPr>
            <w:r w:rsidRPr="00CA099F">
              <w:rPr>
                <w:rFonts w:eastAsia="Calibri" w:cs="Times New Roman"/>
                <w:sz w:val="28"/>
                <w:szCs w:val="28"/>
              </w:rPr>
              <w:t>2 – 3 (15%)</w:t>
            </w:r>
          </w:p>
        </w:tc>
        <w:tc>
          <w:tcPr>
            <w:tcW w:w="1984" w:type="dxa"/>
            <w:shd w:val="clear" w:color="auto" w:fill="auto"/>
          </w:tcPr>
          <w:p w:rsidR="0030517B" w:rsidRPr="00CA099F" w:rsidRDefault="0030517B" w:rsidP="00E1448E">
            <w:pPr>
              <w:spacing w:after="160" w:line="259" w:lineRule="auto"/>
              <w:rPr>
                <w:rFonts w:eastAsia="Calibri" w:cs="Times New Roman"/>
                <w:szCs w:val="28"/>
              </w:rPr>
            </w:pPr>
            <w:r w:rsidRPr="00CA099F">
              <w:rPr>
                <w:rFonts w:eastAsia="Calibri" w:cs="Times New Roman"/>
                <w:sz w:val="28"/>
                <w:szCs w:val="28"/>
              </w:rPr>
              <w:t>2 – 1 (5%)</w:t>
            </w:r>
          </w:p>
        </w:tc>
        <w:tc>
          <w:tcPr>
            <w:tcW w:w="1985" w:type="dxa"/>
            <w:shd w:val="clear" w:color="auto" w:fill="auto"/>
          </w:tcPr>
          <w:p w:rsidR="0030517B" w:rsidRPr="00CA099F" w:rsidRDefault="0030517B" w:rsidP="00E1448E">
            <w:pPr>
              <w:spacing w:after="160" w:line="259" w:lineRule="auto"/>
              <w:rPr>
                <w:rFonts w:eastAsia="Calibri" w:cs="Times New Roman"/>
                <w:szCs w:val="28"/>
              </w:rPr>
            </w:pPr>
            <w:r w:rsidRPr="00CA099F">
              <w:rPr>
                <w:rFonts w:eastAsia="Calibri" w:cs="Times New Roman"/>
                <w:sz w:val="28"/>
                <w:szCs w:val="28"/>
              </w:rPr>
              <w:t>2 – 1 (5%)</w:t>
            </w:r>
          </w:p>
        </w:tc>
      </w:tr>
      <w:tr w:rsidR="0030517B" w:rsidRPr="00CA099F" w:rsidTr="00E1448E">
        <w:tblPrEx>
          <w:tblLook w:val="04A0" w:firstRow="1" w:lastRow="0" w:firstColumn="1" w:lastColumn="0" w:noHBand="0" w:noVBand="1"/>
        </w:tblPrEx>
        <w:trPr>
          <w:trHeight w:val="355"/>
          <w:jc w:val="center"/>
        </w:trPr>
        <w:tc>
          <w:tcPr>
            <w:tcW w:w="1730" w:type="dxa"/>
            <w:vMerge/>
            <w:shd w:val="clear" w:color="auto" w:fill="auto"/>
          </w:tcPr>
          <w:p w:rsidR="0030517B" w:rsidRPr="00CA099F" w:rsidRDefault="0030517B" w:rsidP="00E1448E">
            <w:pPr>
              <w:spacing w:after="160" w:line="259" w:lineRule="auto"/>
              <w:rPr>
                <w:rFonts w:eastAsia="Calibri" w:cs="Times New Roman"/>
                <w:szCs w:val="28"/>
              </w:rPr>
            </w:pPr>
          </w:p>
        </w:tc>
        <w:tc>
          <w:tcPr>
            <w:tcW w:w="1956" w:type="dxa"/>
            <w:shd w:val="clear" w:color="auto" w:fill="auto"/>
          </w:tcPr>
          <w:p w:rsidR="0030517B" w:rsidRPr="00CA099F" w:rsidRDefault="0030517B" w:rsidP="00E1448E">
            <w:pPr>
              <w:spacing w:after="160" w:line="259" w:lineRule="auto"/>
              <w:rPr>
                <w:rFonts w:eastAsia="Calibri" w:cs="Times New Roman"/>
                <w:szCs w:val="28"/>
              </w:rPr>
            </w:pPr>
            <w:r w:rsidRPr="00CA099F">
              <w:rPr>
                <w:rFonts w:eastAsia="Calibri" w:cs="Times New Roman"/>
                <w:sz w:val="28"/>
                <w:szCs w:val="28"/>
              </w:rPr>
              <w:t>3 – 0 (0%)</w:t>
            </w:r>
          </w:p>
        </w:tc>
        <w:tc>
          <w:tcPr>
            <w:tcW w:w="1985" w:type="dxa"/>
            <w:shd w:val="clear" w:color="auto" w:fill="auto"/>
          </w:tcPr>
          <w:p w:rsidR="0030517B" w:rsidRPr="00CA099F" w:rsidRDefault="0030517B" w:rsidP="00E1448E">
            <w:pPr>
              <w:spacing w:after="160" w:line="259" w:lineRule="auto"/>
              <w:rPr>
                <w:rFonts w:eastAsia="Calibri" w:cs="Times New Roman"/>
                <w:szCs w:val="28"/>
              </w:rPr>
            </w:pPr>
            <w:r w:rsidRPr="00CA099F">
              <w:rPr>
                <w:rFonts w:eastAsia="Calibri" w:cs="Times New Roman"/>
                <w:sz w:val="28"/>
                <w:szCs w:val="28"/>
              </w:rPr>
              <w:t>3 – 0 (0%)</w:t>
            </w:r>
          </w:p>
        </w:tc>
        <w:tc>
          <w:tcPr>
            <w:tcW w:w="1984" w:type="dxa"/>
            <w:shd w:val="clear" w:color="auto" w:fill="auto"/>
          </w:tcPr>
          <w:p w:rsidR="0030517B" w:rsidRPr="00CA099F" w:rsidRDefault="0030517B" w:rsidP="00E1448E">
            <w:pPr>
              <w:spacing w:after="160" w:line="259" w:lineRule="auto"/>
              <w:rPr>
                <w:rFonts w:eastAsia="Calibri" w:cs="Times New Roman"/>
                <w:szCs w:val="28"/>
              </w:rPr>
            </w:pPr>
            <w:r w:rsidRPr="00CA099F">
              <w:rPr>
                <w:rFonts w:eastAsia="Calibri" w:cs="Times New Roman"/>
                <w:sz w:val="28"/>
                <w:szCs w:val="28"/>
              </w:rPr>
              <w:t>3 – 0 (0%)</w:t>
            </w:r>
          </w:p>
        </w:tc>
        <w:tc>
          <w:tcPr>
            <w:tcW w:w="1985" w:type="dxa"/>
            <w:shd w:val="clear" w:color="auto" w:fill="auto"/>
          </w:tcPr>
          <w:p w:rsidR="0030517B" w:rsidRPr="00CA099F" w:rsidRDefault="0030517B" w:rsidP="00E1448E">
            <w:pPr>
              <w:spacing w:after="160" w:line="259" w:lineRule="auto"/>
              <w:rPr>
                <w:rFonts w:eastAsia="Calibri" w:cs="Times New Roman"/>
                <w:szCs w:val="28"/>
              </w:rPr>
            </w:pPr>
            <w:r w:rsidRPr="00CA099F">
              <w:rPr>
                <w:rFonts w:eastAsia="Calibri" w:cs="Times New Roman"/>
                <w:sz w:val="28"/>
                <w:szCs w:val="28"/>
              </w:rPr>
              <w:t>3 – 0 (0%)</w:t>
            </w:r>
          </w:p>
        </w:tc>
      </w:tr>
      <w:tr w:rsidR="0030517B" w:rsidRPr="00CA099F" w:rsidTr="00E1448E">
        <w:tblPrEx>
          <w:tblLook w:val="04A0" w:firstRow="1" w:lastRow="0" w:firstColumn="1" w:lastColumn="0" w:noHBand="0" w:noVBand="1"/>
        </w:tblPrEx>
        <w:trPr>
          <w:jc w:val="center"/>
        </w:trPr>
        <w:tc>
          <w:tcPr>
            <w:tcW w:w="1730" w:type="dxa"/>
            <w:shd w:val="clear" w:color="auto" w:fill="auto"/>
          </w:tcPr>
          <w:p w:rsidR="0030517B" w:rsidRPr="00CA099F" w:rsidRDefault="0030517B" w:rsidP="00E1448E">
            <w:pPr>
              <w:spacing w:after="160" w:line="259" w:lineRule="auto"/>
              <w:jc w:val="center"/>
              <w:rPr>
                <w:rFonts w:eastAsia="Calibri" w:cs="Times New Roman"/>
                <w:szCs w:val="28"/>
              </w:rPr>
            </w:pPr>
            <w:r w:rsidRPr="00CA099F">
              <w:rPr>
                <w:rFonts w:eastAsia="Calibri" w:cs="Times New Roman"/>
                <w:sz w:val="28"/>
                <w:szCs w:val="28"/>
              </w:rPr>
              <w:t>Примітка</w:t>
            </w:r>
          </w:p>
        </w:tc>
        <w:tc>
          <w:tcPr>
            <w:tcW w:w="1956" w:type="dxa"/>
            <w:shd w:val="clear" w:color="auto" w:fill="auto"/>
          </w:tcPr>
          <w:p w:rsidR="0030517B" w:rsidRPr="00CA099F" w:rsidRDefault="0030517B" w:rsidP="00E1448E">
            <w:pPr>
              <w:spacing w:after="160" w:line="259" w:lineRule="auto"/>
              <w:jc w:val="center"/>
              <w:rPr>
                <w:rFonts w:eastAsia="Calibri" w:cs="Times New Roman"/>
                <w:szCs w:val="28"/>
              </w:rPr>
            </w:pPr>
            <w:r w:rsidRPr="00CA099F">
              <w:rPr>
                <w:rFonts w:eastAsia="Calibri" w:cs="Times New Roman"/>
                <w:sz w:val="28"/>
                <w:szCs w:val="28"/>
              </w:rPr>
              <w:t>p&gt;0,0003</w:t>
            </w:r>
          </w:p>
        </w:tc>
        <w:tc>
          <w:tcPr>
            <w:tcW w:w="1985" w:type="dxa"/>
            <w:shd w:val="clear" w:color="auto" w:fill="auto"/>
          </w:tcPr>
          <w:p w:rsidR="0030517B" w:rsidRPr="00CA099F" w:rsidRDefault="0030517B" w:rsidP="00E1448E">
            <w:pPr>
              <w:spacing w:after="160" w:line="259" w:lineRule="auto"/>
              <w:jc w:val="center"/>
              <w:rPr>
                <w:rFonts w:eastAsia="Calibri" w:cs="Times New Roman"/>
                <w:szCs w:val="28"/>
              </w:rPr>
            </w:pPr>
            <w:r w:rsidRPr="00CA099F">
              <w:rPr>
                <w:rFonts w:eastAsia="Calibri" w:cs="Times New Roman"/>
                <w:sz w:val="28"/>
                <w:szCs w:val="28"/>
              </w:rPr>
              <w:t>p&gt;0,0017</w:t>
            </w:r>
          </w:p>
        </w:tc>
        <w:tc>
          <w:tcPr>
            <w:tcW w:w="1984" w:type="dxa"/>
            <w:shd w:val="clear" w:color="auto" w:fill="auto"/>
          </w:tcPr>
          <w:p w:rsidR="0030517B" w:rsidRPr="00CA099F" w:rsidRDefault="0030517B" w:rsidP="00E1448E">
            <w:pPr>
              <w:spacing w:after="160" w:line="259" w:lineRule="auto"/>
              <w:jc w:val="center"/>
              <w:rPr>
                <w:rFonts w:eastAsia="Calibri" w:cs="Times New Roman"/>
                <w:szCs w:val="28"/>
              </w:rPr>
            </w:pPr>
            <w:r w:rsidRPr="00CA099F">
              <w:rPr>
                <w:rFonts w:eastAsia="Calibri" w:cs="Times New Roman"/>
                <w:sz w:val="28"/>
                <w:szCs w:val="28"/>
              </w:rPr>
              <w:t>p&gt;0,0001</w:t>
            </w:r>
          </w:p>
        </w:tc>
        <w:tc>
          <w:tcPr>
            <w:tcW w:w="1985" w:type="dxa"/>
            <w:shd w:val="clear" w:color="auto" w:fill="auto"/>
          </w:tcPr>
          <w:p w:rsidR="0030517B" w:rsidRPr="00CA099F" w:rsidRDefault="0030517B" w:rsidP="00E1448E">
            <w:pPr>
              <w:spacing w:after="160" w:line="259" w:lineRule="auto"/>
              <w:jc w:val="center"/>
              <w:rPr>
                <w:rFonts w:eastAsia="Calibri" w:cs="Times New Roman"/>
                <w:szCs w:val="28"/>
              </w:rPr>
            </w:pPr>
            <w:r w:rsidRPr="00CA099F">
              <w:rPr>
                <w:rFonts w:eastAsia="Calibri" w:cs="Times New Roman"/>
                <w:sz w:val="28"/>
                <w:szCs w:val="28"/>
              </w:rPr>
              <w:t>p&gt;0,0004</w:t>
            </w:r>
          </w:p>
        </w:tc>
      </w:tr>
    </w:tbl>
    <w:p w:rsidR="0030517B" w:rsidRPr="00CA099F" w:rsidRDefault="0030517B" w:rsidP="0030517B">
      <w:pPr>
        <w:spacing w:after="0" w:line="360" w:lineRule="auto"/>
        <w:jc w:val="both"/>
        <w:rPr>
          <w:rFonts w:eastAsia="SimSun" w:cs="Times New Roman"/>
          <w:sz w:val="28"/>
          <w:szCs w:val="28"/>
          <w:lang w:eastAsia="zh-CN"/>
        </w:rPr>
      </w:pPr>
    </w:p>
    <w:p w:rsidR="0030517B" w:rsidRPr="00CA099F" w:rsidRDefault="0030517B" w:rsidP="0030517B">
      <w:pPr>
        <w:spacing w:after="160" w:line="360" w:lineRule="auto"/>
        <w:jc w:val="both"/>
        <w:rPr>
          <w:rFonts w:eastAsia="Calibri" w:cs="Times New Roman"/>
          <w:sz w:val="28"/>
          <w:szCs w:val="28"/>
        </w:rPr>
      </w:pPr>
      <w:r w:rsidRPr="00CA099F">
        <w:rPr>
          <w:rFonts w:eastAsia="Calibri" w:cs="Times New Roman"/>
          <w:sz w:val="28"/>
          <w:szCs w:val="28"/>
        </w:rPr>
        <w:tab/>
        <w:t xml:space="preserve">При цифровому аналізі температурних показників рубцевозмінених тканин у </w:t>
      </w:r>
      <w:r w:rsidR="00D96DA9">
        <w:rPr>
          <w:rFonts w:eastAsia="Calibri" w:cs="Times New Roman"/>
          <w:sz w:val="28"/>
          <w:szCs w:val="28"/>
        </w:rPr>
        <w:t>пацієнтів</w:t>
      </w:r>
      <w:r w:rsidRPr="00CA099F">
        <w:rPr>
          <w:rFonts w:eastAsia="Calibri" w:cs="Times New Roman"/>
          <w:sz w:val="28"/>
          <w:szCs w:val="28"/>
        </w:rPr>
        <w:t xml:space="preserve"> контрольної групи слід відзначити, що найменша </w:t>
      </w:r>
      <w:r w:rsidRPr="00CA099F">
        <w:rPr>
          <w:rFonts w:eastAsia="Calibri" w:cs="Times New Roman"/>
          <w:sz w:val="28"/>
          <w:szCs w:val="28"/>
        </w:rPr>
        <w:lastRenderedPageBreak/>
        <w:t>температура спостеріга</w:t>
      </w:r>
      <w:r w:rsidR="000C2338">
        <w:rPr>
          <w:rFonts w:eastAsia="Calibri" w:cs="Times New Roman"/>
          <w:sz w:val="28"/>
          <w:szCs w:val="28"/>
        </w:rPr>
        <w:t>єть</w:t>
      </w:r>
      <w:r w:rsidRPr="00CA099F">
        <w:rPr>
          <w:rFonts w:eastAsia="Calibri" w:cs="Times New Roman"/>
          <w:sz w:val="28"/>
          <w:szCs w:val="28"/>
        </w:rPr>
        <w:t xml:space="preserve">ся в центральній частині рубця протягом всього терміну спостереження. </w:t>
      </w:r>
    </w:p>
    <w:p w:rsidR="0030517B" w:rsidRPr="00CA099F" w:rsidRDefault="0030517B" w:rsidP="003236D6">
      <w:pPr>
        <w:spacing w:after="160" w:line="360" w:lineRule="auto"/>
        <w:ind w:firstLine="708"/>
        <w:jc w:val="both"/>
        <w:rPr>
          <w:rFonts w:eastAsia="Calibri" w:cs="Times New Roman"/>
          <w:sz w:val="28"/>
          <w:szCs w:val="28"/>
        </w:rPr>
      </w:pPr>
      <w:r w:rsidRPr="00CA099F">
        <w:rPr>
          <w:rFonts w:eastAsia="Calibri" w:cs="Times New Roman"/>
          <w:sz w:val="28"/>
          <w:szCs w:val="28"/>
        </w:rPr>
        <w:t xml:space="preserve">У кінцевих краях зафіксовані дещо більші показники, при чому, різниця у температурі між медіальним та латеральним краями рубця у </w:t>
      </w:r>
      <w:r w:rsidR="000C2338">
        <w:rPr>
          <w:rFonts w:eastAsia="Calibri" w:cs="Times New Roman"/>
          <w:sz w:val="28"/>
          <w:szCs w:val="28"/>
        </w:rPr>
        <w:t>середньому коливаєть</w:t>
      </w:r>
      <w:r w:rsidRPr="00CA099F">
        <w:rPr>
          <w:rFonts w:eastAsia="Calibri" w:cs="Times New Roman"/>
          <w:sz w:val="28"/>
          <w:szCs w:val="28"/>
        </w:rPr>
        <w:t>ся в межах 0,7±0,5 °С, що свідчить про розлади мікроциркуляції та гіпоксичний стан в певних ділянках рубця (табл. 6.4).</w:t>
      </w:r>
    </w:p>
    <w:p w:rsidR="0030517B" w:rsidRPr="00CA099F" w:rsidRDefault="0030517B" w:rsidP="0030517B">
      <w:pPr>
        <w:spacing w:after="160" w:line="360" w:lineRule="auto"/>
        <w:jc w:val="right"/>
        <w:rPr>
          <w:rFonts w:eastAsia="Calibri" w:cs="Times New Roman"/>
          <w:i/>
          <w:sz w:val="28"/>
          <w:szCs w:val="28"/>
        </w:rPr>
      </w:pPr>
    </w:p>
    <w:p w:rsidR="0030517B" w:rsidRPr="00CA099F" w:rsidRDefault="0030517B" w:rsidP="0030517B">
      <w:pPr>
        <w:spacing w:after="160" w:line="360" w:lineRule="auto"/>
        <w:jc w:val="right"/>
        <w:rPr>
          <w:rFonts w:eastAsia="Calibri" w:cs="Times New Roman"/>
          <w:i/>
          <w:sz w:val="28"/>
          <w:szCs w:val="28"/>
        </w:rPr>
      </w:pPr>
      <w:r w:rsidRPr="00CA099F">
        <w:rPr>
          <w:rFonts w:eastAsia="Calibri" w:cs="Times New Roman"/>
          <w:i/>
          <w:sz w:val="28"/>
          <w:szCs w:val="28"/>
        </w:rPr>
        <w:t>Таблиця 6.4</w:t>
      </w:r>
    </w:p>
    <w:p w:rsidR="0030517B" w:rsidRPr="00CA099F" w:rsidRDefault="0030517B" w:rsidP="0030517B">
      <w:pPr>
        <w:spacing w:after="160" w:line="360" w:lineRule="auto"/>
        <w:jc w:val="center"/>
        <w:rPr>
          <w:rFonts w:eastAsia="Calibri" w:cs="Times New Roman"/>
          <w:b/>
          <w:sz w:val="28"/>
          <w:szCs w:val="28"/>
        </w:rPr>
      </w:pPr>
      <w:r w:rsidRPr="00CA099F">
        <w:rPr>
          <w:rFonts w:eastAsia="Calibri" w:cs="Times New Roman"/>
          <w:b/>
          <w:sz w:val="28"/>
          <w:szCs w:val="28"/>
        </w:rPr>
        <w:t>Динаміка змін показників температури рубця у пацієнтів контрольної групи на різних етапах післяопераційного періоду</w:t>
      </w:r>
    </w:p>
    <w:tbl>
      <w:tblPr>
        <w:tblStyle w:val="a9"/>
        <w:tblW w:w="0" w:type="auto"/>
        <w:tblLook w:val="04A0" w:firstRow="1" w:lastRow="0" w:firstColumn="1" w:lastColumn="0" w:noHBand="0" w:noVBand="1"/>
      </w:tblPr>
      <w:tblGrid>
        <w:gridCol w:w="2013"/>
        <w:gridCol w:w="1833"/>
        <w:gridCol w:w="1833"/>
        <w:gridCol w:w="1833"/>
        <w:gridCol w:w="1833"/>
      </w:tblGrid>
      <w:tr w:rsidR="0030517B" w:rsidRPr="00CA099F" w:rsidTr="008652C5">
        <w:tc>
          <w:tcPr>
            <w:tcW w:w="2012" w:type="dxa"/>
          </w:tcPr>
          <w:p w:rsidR="0030517B" w:rsidRPr="00CA099F" w:rsidRDefault="0030517B" w:rsidP="00E1448E">
            <w:pPr>
              <w:spacing w:line="360" w:lineRule="auto"/>
              <w:jc w:val="center"/>
              <w:rPr>
                <w:sz w:val="28"/>
                <w:szCs w:val="28"/>
              </w:rPr>
            </w:pPr>
            <w:r w:rsidRPr="00CA099F">
              <w:rPr>
                <w:sz w:val="28"/>
                <w:szCs w:val="28"/>
              </w:rPr>
              <w:t>Термін спостереження</w:t>
            </w:r>
          </w:p>
        </w:tc>
        <w:tc>
          <w:tcPr>
            <w:tcW w:w="1869" w:type="dxa"/>
          </w:tcPr>
          <w:p w:rsidR="0030517B" w:rsidRPr="00CA099F" w:rsidRDefault="0030517B" w:rsidP="00E1448E">
            <w:pPr>
              <w:spacing w:line="360" w:lineRule="auto"/>
              <w:jc w:val="center"/>
              <w:rPr>
                <w:sz w:val="28"/>
                <w:szCs w:val="28"/>
              </w:rPr>
            </w:pPr>
            <w:r w:rsidRPr="00CA099F">
              <w:rPr>
                <w:sz w:val="28"/>
                <w:szCs w:val="28"/>
              </w:rPr>
              <w:t>3 місяць</w:t>
            </w:r>
          </w:p>
        </w:tc>
        <w:tc>
          <w:tcPr>
            <w:tcW w:w="1869" w:type="dxa"/>
          </w:tcPr>
          <w:p w:rsidR="0030517B" w:rsidRPr="00CA099F" w:rsidRDefault="0030517B" w:rsidP="00E1448E">
            <w:pPr>
              <w:spacing w:line="360" w:lineRule="auto"/>
              <w:jc w:val="center"/>
              <w:rPr>
                <w:sz w:val="28"/>
                <w:szCs w:val="28"/>
              </w:rPr>
            </w:pPr>
            <w:r w:rsidRPr="00CA099F">
              <w:rPr>
                <w:sz w:val="28"/>
                <w:szCs w:val="28"/>
              </w:rPr>
              <w:t>6 місяць</w:t>
            </w:r>
          </w:p>
        </w:tc>
        <w:tc>
          <w:tcPr>
            <w:tcW w:w="1869" w:type="dxa"/>
          </w:tcPr>
          <w:p w:rsidR="0030517B" w:rsidRPr="00CA099F" w:rsidRDefault="0030517B" w:rsidP="00E1448E">
            <w:pPr>
              <w:spacing w:line="360" w:lineRule="auto"/>
              <w:jc w:val="center"/>
              <w:rPr>
                <w:sz w:val="28"/>
                <w:szCs w:val="28"/>
              </w:rPr>
            </w:pPr>
            <w:r w:rsidRPr="00CA099F">
              <w:rPr>
                <w:sz w:val="28"/>
                <w:szCs w:val="28"/>
              </w:rPr>
              <w:t>9 місяць</w:t>
            </w:r>
          </w:p>
        </w:tc>
        <w:tc>
          <w:tcPr>
            <w:tcW w:w="1869" w:type="dxa"/>
          </w:tcPr>
          <w:p w:rsidR="0030517B" w:rsidRPr="00CA099F" w:rsidRDefault="0030517B" w:rsidP="00E1448E">
            <w:pPr>
              <w:spacing w:line="360" w:lineRule="auto"/>
              <w:jc w:val="center"/>
              <w:rPr>
                <w:sz w:val="28"/>
                <w:szCs w:val="28"/>
              </w:rPr>
            </w:pPr>
            <w:r w:rsidRPr="00CA099F">
              <w:rPr>
                <w:sz w:val="28"/>
                <w:szCs w:val="28"/>
              </w:rPr>
              <w:t>12 місяць</w:t>
            </w:r>
          </w:p>
        </w:tc>
      </w:tr>
      <w:tr w:rsidR="0030517B" w:rsidRPr="00CA099F" w:rsidTr="008652C5">
        <w:tc>
          <w:tcPr>
            <w:tcW w:w="2012" w:type="dxa"/>
          </w:tcPr>
          <w:p w:rsidR="0030517B" w:rsidRPr="00CA099F" w:rsidRDefault="0030517B" w:rsidP="00E1448E">
            <w:pPr>
              <w:spacing w:line="360" w:lineRule="auto"/>
              <w:jc w:val="center"/>
              <w:rPr>
                <w:sz w:val="28"/>
                <w:szCs w:val="28"/>
              </w:rPr>
            </w:pPr>
            <w:r w:rsidRPr="00CA099F">
              <w:rPr>
                <w:sz w:val="28"/>
                <w:szCs w:val="28"/>
              </w:rPr>
              <w:t>Центральна частина рубця</w:t>
            </w:r>
          </w:p>
        </w:tc>
        <w:tc>
          <w:tcPr>
            <w:tcW w:w="1869" w:type="dxa"/>
          </w:tcPr>
          <w:p w:rsidR="0030517B" w:rsidRPr="00CA099F" w:rsidRDefault="0030517B" w:rsidP="00E1448E">
            <w:pPr>
              <w:spacing w:line="360" w:lineRule="auto"/>
              <w:jc w:val="center"/>
              <w:rPr>
                <w:sz w:val="28"/>
                <w:szCs w:val="28"/>
              </w:rPr>
            </w:pPr>
            <w:r w:rsidRPr="00CA099F">
              <w:rPr>
                <w:sz w:val="28"/>
                <w:szCs w:val="28"/>
              </w:rPr>
              <w:t>24,9±0,7 ̽</w:t>
            </w:r>
          </w:p>
        </w:tc>
        <w:tc>
          <w:tcPr>
            <w:tcW w:w="1869" w:type="dxa"/>
          </w:tcPr>
          <w:p w:rsidR="0030517B" w:rsidRPr="00CA099F" w:rsidRDefault="0030517B" w:rsidP="00E1448E">
            <w:pPr>
              <w:spacing w:line="360" w:lineRule="auto"/>
              <w:jc w:val="center"/>
              <w:rPr>
                <w:sz w:val="28"/>
                <w:szCs w:val="28"/>
              </w:rPr>
            </w:pPr>
            <w:r w:rsidRPr="00CA099F">
              <w:rPr>
                <w:sz w:val="28"/>
                <w:szCs w:val="28"/>
              </w:rPr>
              <w:t>26,8±1,2</w:t>
            </w:r>
          </w:p>
        </w:tc>
        <w:tc>
          <w:tcPr>
            <w:tcW w:w="1869" w:type="dxa"/>
          </w:tcPr>
          <w:p w:rsidR="0030517B" w:rsidRPr="00CA099F" w:rsidRDefault="0030517B" w:rsidP="00E1448E">
            <w:pPr>
              <w:spacing w:line="360" w:lineRule="auto"/>
              <w:jc w:val="center"/>
              <w:rPr>
                <w:sz w:val="28"/>
                <w:szCs w:val="28"/>
              </w:rPr>
            </w:pPr>
            <w:r w:rsidRPr="00CA099F">
              <w:rPr>
                <w:sz w:val="28"/>
                <w:szCs w:val="28"/>
              </w:rPr>
              <w:t>28,1±1,1 ̽</w:t>
            </w:r>
          </w:p>
        </w:tc>
        <w:tc>
          <w:tcPr>
            <w:tcW w:w="1869" w:type="dxa"/>
          </w:tcPr>
          <w:p w:rsidR="0030517B" w:rsidRPr="00CA099F" w:rsidRDefault="0030517B" w:rsidP="00E1448E">
            <w:pPr>
              <w:spacing w:line="360" w:lineRule="auto"/>
              <w:jc w:val="center"/>
              <w:rPr>
                <w:sz w:val="28"/>
                <w:szCs w:val="28"/>
              </w:rPr>
            </w:pPr>
            <w:r w:rsidRPr="00CA099F">
              <w:rPr>
                <w:sz w:val="28"/>
                <w:szCs w:val="28"/>
              </w:rPr>
              <w:t>29,7±0,7</w:t>
            </w:r>
          </w:p>
        </w:tc>
      </w:tr>
      <w:tr w:rsidR="0030517B" w:rsidRPr="00CA099F" w:rsidTr="008652C5">
        <w:tc>
          <w:tcPr>
            <w:tcW w:w="2012" w:type="dxa"/>
          </w:tcPr>
          <w:p w:rsidR="0030517B" w:rsidRPr="00CA099F" w:rsidRDefault="0030517B" w:rsidP="00E1448E">
            <w:pPr>
              <w:spacing w:line="360" w:lineRule="auto"/>
              <w:jc w:val="center"/>
              <w:rPr>
                <w:sz w:val="28"/>
                <w:szCs w:val="28"/>
              </w:rPr>
            </w:pPr>
            <w:r w:rsidRPr="00CA099F">
              <w:rPr>
                <w:sz w:val="28"/>
                <w:szCs w:val="28"/>
              </w:rPr>
              <w:t>Медіальний край</w:t>
            </w:r>
          </w:p>
        </w:tc>
        <w:tc>
          <w:tcPr>
            <w:tcW w:w="1869" w:type="dxa"/>
          </w:tcPr>
          <w:p w:rsidR="0030517B" w:rsidRPr="00CA099F" w:rsidRDefault="0030517B" w:rsidP="00E1448E">
            <w:pPr>
              <w:spacing w:line="360" w:lineRule="auto"/>
              <w:jc w:val="center"/>
              <w:rPr>
                <w:sz w:val="28"/>
                <w:szCs w:val="28"/>
              </w:rPr>
            </w:pPr>
            <w:r w:rsidRPr="00CA099F">
              <w:rPr>
                <w:sz w:val="28"/>
                <w:szCs w:val="28"/>
              </w:rPr>
              <w:t>29,8±0,9</w:t>
            </w:r>
          </w:p>
        </w:tc>
        <w:tc>
          <w:tcPr>
            <w:tcW w:w="1869" w:type="dxa"/>
          </w:tcPr>
          <w:p w:rsidR="0030517B" w:rsidRPr="00CA099F" w:rsidRDefault="0030517B" w:rsidP="00E1448E">
            <w:pPr>
              <w:spacing w:line="360" w:lineRule="auto"/>
              <w:jc w:val="center"/>
              <w:rPr>
                <w:sz w:val="28"/>
                <w:szCs w:val="28"/>
              </w:rPr>
            </w:pPr>
            <w:r w:rsidRPr="00CA099F">
              <w:rPr>
                <w:sz w:val="28"/>
                <w:szCs w:val="28"/>
              </w:rPr>
              <w:t>30,6±1,1 ̽</w:t>
            </w:r>
          </w:p>
        </w:tc>
        <w:tc>
          <w:tcPr>
            <w:tcW w:w="1869" w:type="dxa"/>
          </w:tcPr>
          <w:p w:rsidR="0030517B" w:rsidRPr="00CA099F" w:rsidRDefault="0030517B" w:rsidP="00E1448E">
            <w:pPr>
              <w:spacing w:line="360" w:lineRule="auto"/>
              <w:jc w:val="center"/>
              <w:rPr>
                <w:sz w:val="28"/>
                <w:szCs w:val="28"/>
              </w:rPr>
            </w:pPr>
            <w:r w:rsidRPr="00CA099F">
              <w:rPr>
                <w:sz w:val="28"/>
                <w:szCs w:val="28"/>
              </w:rPr>
              <w:t>31,1±0,9</w:t>
            </w:r>
          </w:p>
        </w:tc>
        <w:tc>
          <w:tcPr>
            <w:tcW w:w="1869" w:type="dxa"/>
          </w:tcPr>
          <w:p w:rsidR="0030517B" w:rsidRPr="00CA099F" w:rsidRDefault="0030517B" w:rsidP="00E1448E">
            <w:pPr>
              <w:spacing w:line="360" w:lineRule="auto"/>
              <w:jc w:val="center"/>
              <w:rPr>
                <w:sz w:val="28"/>
                <w:szCs w:val="28"/>
              </w:rPr>
            </w:pPr>
            <w:r w:rsidRPr="00CA099F">
              <w:rPr>
                <w:sz w:val="28"/>
                <w:szCs w:val="28"/>
              </w:rPr>
              <w:t>32,3±1,2 ̽</w:t>
            </w:r>
          </w:p>
        </w:tc>
      </w:tr>
      <w:tr w:rsidR="0030517B" w:rsidRPr="00CA099F" w:rsidTr="008652C5">
        <w:tc>
          <w:tcPr>
            <w:tcW w:w="2012" w:type="dxa"/>
          </w:tcPr>
          <w:p w:rsidR="0030517B" w:rsidRPr="00CA099F" w:rsidRDefault="0030517B" w:rsidP="00E1448E">
            <w:pPr>
              <w:spacing w:line="360" w:lineRule="auto"/>
              <w:jc w:val="center"/>
              <w:rPr>
                <w:sz w:val="28"/>
                <w:szCs w:val="28"/>
              </w:rPr>
            </w:pPr>
            <w:r w:rsidRPr="00CA099F">
              <w:rPr>
                <w:sz w:val="28"/>
                <w:szCs w:val="28"/>
              </w:rPr>
              <w:t>Латеральний край</w:t>
            </w:r>
          </w:p>
        </w:tc>
        <w:tc>
          <w:tcPr>
            <w:tcW w:w="1869" w:type="dxa"/>
          </w:tcPr>
          <w:p w:rsidR="0030517B" w:rsidRPr="00CA099F" w:rsidRDefault="0030517B" w:rsidP="00E1448E">
            <w:pPr>
              <w:spacing w:line="360" w:lineRule="auto"/>
              <w:jc w:val="center"/>
              <w:rPr>
                <w:sz w:val="28"/>
                <w:szCs w:val="28"/>
              </w:rPr>
            </w:pPr>
            <w:r w:rsidRPr="00CA099F">
              <w:rPr>
                <w:sz w:val="28"/>
                <w:szCs w:val="28"/>
              </w:rPr>
              <w:t>28,7±1,3</w:t>
            </w:r>
          </w:p>
        </w:tc>
        <w:tc>
          <w:tcPr>
            <w:tcW w:w="1869" w:type="dxa"/>
          </w:tcPr>
          <w:p w:rsidR="0030517B" w:rsidRPr="00CA099F" w:rsidRDefault="0030517B" w:rsidP="00E1448E">
            <w:pPr>
              <w:spacing w:line="360" w:lineRule="auto"/>
              <w:jc w:val="center"/>
              <w:rPr>
                <w:sz w:val="28"/>
                <w:szCs w:val="28"/>
              </w:rPr>
            </w:pPr>
            <w:r w:rsidRPr="00CA099F">
              <w:rPr>
                <w:sz w:val="28"/>
                <w:szCs w:val="28"/>
              </w:rPr>
              <w:t>30,1±1,4 ̽</w:t>
            </w:r>
          </w:p>
        </w:tc>
        <w:tc>
          <w:tcPr>
            <w:tcW w:w="1869" w:type="dxa"/>
          </w:tcPr>
          <w:p w:rsidR="0030517B" w:rsidRPr="00CA099F" w:rsidRDefault="0030517B" w:rsidP="00E1448E">
            <w:pPr>
              <w:spacing w:line="360" w:lineRule="auto"/>
              <w:jc w:val="center"/>
              <w:rPr>
                <w:sz w:val="28"/>
                <w:szCs w:val="28"/>
              </w:rPr>
            </w:pPr>
            <w:r w:rsidRPr="00CA099F">
              <w:rPr>
                <w:sz w:val="28"/>
                <w:szCs w:val="28"/>
              </w:rPr>
              <w:t>31,7±1,2</w:t>
            </w:r>
          </w:p>
        </w:tc>
        <w:tc>
          <w:tcPr>
            <w:tcW w:w="1869" w:type="dxa"/>
          </w:tcPr>
          <w:p w:rsidR="0030517B" w:rsidRPr="00CA099F" w:rsidRDefault="0030517B" w:rsidP="00E1448E">
            <w:pPr>
              <w:spacing w:line="360" w:lineRule="auto"/>
              <w:jc w:val="center"/>
              <w:rPr>
                <w:sz w:val="28"/>
                <w:szCs w:val="28"/>
              </w:rPr>
            </w:pPr>
            <w:r w:rsidRPr="00CA099F">
              <w:rPr>
                <w:sz w:val="28"/>
                <w:szCs w:val="28"/>
              </w:rPr>
              <w:t>32,9±1,5</w:t>
            </w:r>
          </w:p>
        </w:tc>
      </w:tr>
      <w:tr w:rsidR="008652C5" w:rsidRPr="00CA099F" w:rsidTr="00B435B1">
        <w:tc>
          <w:tcPr>
            <w:tcW w:w="9488" w:type="dxa"/>
            <w:gridSpan w:val="5"/>
          </w:tcPr>
          <w:p w:rsidR="008652C5" w:rsidRPr="008652C5" w:rsidRDefault="008652C5" w:rsidP="008652C5">
            <w:pPr>
              <w:spacing w:after="160" w:line="360" w:lineRule="auto"/>
              <w:jc w:val="both"/>
              <w:rPr>
                <w:sz w:val="28"/>
                <w:szCs w:val="28"/>
                <w:lang w:val="uk-UA"/>
              </w:rPr>
            </w:pPr>
            <w:r w:rsidRPr="008652C5">
              <w:rPr>
                <w:rFonts w:eastAsia="Calibri" w:cs="Times New Roman"/>
                <w:sz w:val="28"/>
                <w:szCs w:val="28"/>
                <w:lang w:val="uk-UA"/>
              </w:rPr>
              <w:t xml:space="preserve">Примітка: ̽ – відмінності між показниками в різні періоди профілактики з вірогідністю нульової гіпотези </w:t>
            </w:r>
            <w:r w:rsidRPr="00CA099F">
              <w:rPr>
                <w:rFonts w:eastAsia="Calibri" w:cs="Times New Roman"/>
                <w:sz w:val="28"/>
                <w:szCs w:val="28"/>
              </w:rPr>
              <w:t>p</w:t>
            </w:r>
            <w:r w:rsidRPr="008652C5">
              <w:rPr>
                <w:rFonts w:eastAsia="Calibri" w:cs="Times New Roman"/>
                <w:sz w:val="28"/>
                <w:szCs w:val="28"/>
                <w:lang w:val="uk-UA"/>
              </w:rPr>
              <w:t>&lt;0.05 статистично достовірні.</w:t>
            </w:r>
          </w:p>
        </w:tc>
      </w:tr>
    </w:tbl>
    <w:p w:rsidR="008652C5" w:rsidRPr="00CA099F" w:rsidRDefault="008652C5" w:rsidP="0030517B">
      <w:pPr>
        <w:spacing w:after="160" w:line="360" w:lineRule="auto"/>
        <w:jc w:val="both"/>
        <w:rPr>
          <w:rFonts w:eastAsia="Calibri" w:cs="Times New Roman"/>
          <w:sz w:val="28"/>
          <w:szCs w:val="28"/>
        </w:rPr>
      </w:pPr>
    </w:p>
    <w:p w:rsidR="0030517B" w:rsidRPr="00CA099F" w:rsidRDefault="0030517B" w:rsidP="0030517B">
      <w:pPr>
        <w:spacing w:after="160" w:line="360" w:lineRule="auto"/>
        <w:jc w:val="both"/>
        <w:rPr>
          <w:rFonts w:eastAsia="Calibri" w:cs="Times New Roman"/>
          <w:sz w:val="28"/>
          <w:szCs w:val="28"/>
        </w:rPr>
      </w:pPr>
      <w:r w:rsidRPr="00CA099F">
        <w:rPr>
          <w:rFonts w:eastAsia="Calibri" w:cs="Times New Roman"/>
          <w:b/>
          <w:sz w:val="28"/>
          <w:szCs w:val="28"/>
        </w:rPr>
        <w:tab/>
      </w:r>
      <w:r w:rsidRPr="00CA099F">
        <w:rPr>
          <w:rFonts w:eastAsia="Calibri" w:cs="Times New Roman"/>
          <w:sz w:val="28"/>
          <w:szCs w:val="28"/>
        </w:rPr>
        <w:t xml:space="preserve">Дещо інша картина спостерігається при аналізі показників термометрії рубцевозмінених тканин у </w:t>
      </w:r>
      <w:r w:rsidR="00D96DA9">
        <w:rPr>
          <w:rFonts w:eastAsia="Calibri" w:cs="Times New Roman"/>
          <w:sz w:val="28"/>
          <w:szCs w:val="28"/>
        </w:rPr>
        <w:t>пацієнтів</w:t>
      </w:r>
      <w:r w:rsidRPr="00CA099F">
        <w:rPr>
          <w:rFonts w:eastAsia="Calibri" w:cs="Times New Roman"/>
          <w:sz w:val="28"/>
          <w:szCs w:val="28"/>
        </w:rPr>
        <w:t xml:space="preserve"> 1 групи. Найменші температурні показники фікс</w:t>
      </w:r>
      <w:r w:rsidR="004D5E40">
        <w:rPr>
          <w:rFonts w:eastAsia="Calibri" w:cs="Times New Roman"/>
          <w:sz w:val="28"/>
          <w:szCs w:val="28"/>
        </w:rPr>
        <w:t>уються</w:t>
      </w:r>
      <w:r w:rsidRPr="00CA099F">
        <w:rPr>
          <w:rFonts w:eastAsia="Calibri" w:cs="Times New Roman"/>
          <w:sz w:val="28"/>
          <w:szCs w:val="28"/>
        </w:rPr>
        <w:t xml:space="preserve"> в центральній частині рубця, найбільші </w:t>
      </w:r>
      <w:r w:rsidR="004D5E40">
        <w:rPr>
          <w:rFonts w:eastAsia="Calibri" w:cs="Times New Roman"/>
          <w:sz w:val="28"/>
          <w:szCs w:val="28"/>
        </w:rPr>
        <w:t xml:space="preserve">– </w:t>
      </w:r>
      <w:r w:rsidRPr="00CA099F">
        <w:rPr>
          <w:rFonts w:eastAsia="Calibri" w:cs="Times New Roman"/>
          <w:sz w:val="28"/>
          <w:szCs w:val="28"/>
        </w:rPr>
        <w:t>в ділянці латерального краю. Також в порівнянні з попередньою групою слід відзначити факт зростання середньої температури на 0,9±0,6 °С (табл. 6.5).</w:t>
      </w:r>
    </w:p>
    <w:p w:rsidR="0030517B" w:rsidRPr="00CA099F" w:rsidRDefault="0030517B" w:rsidP="0030517B">
      <w:pPr>
        <w:spacing w:after="160" w:line="360" w:lineRule="auto"/>
        <w:jc w:val="right"/>
        <w:rPr>
          <w:rFonts w:eastAsia="Calibri" w:cs="Times New Roman"/>
          <w:i/>
          <w:sz w:val="28"/>
          <w:szCs w:val="28"/>
        </w:rPr>
      </w:pPr>
      <w:r w:rsidRPr="00CA099F">
        <w:rPr>
          <w:rFonts w:eastAsia="Calibri" w:cs="Times New Roman"/>
          <w:i/>
          <w:sz w:val="28"/>
          <w:szCs w:val="28"/>
        </w:rPr>
        <w:lastRenderedPageBreak/>
        <w:t>Таблиця 6.5</w:t>
      </w:r>
    </w:p>
    <w:p w:rsidR="0030517B" w:rsidRPr="00CA099F" w:rsidRDefault="0030517B" w:rsidP="0030517B">
      <w:pPr>
        <w:spacing w:after="160" w:line="360" w:lineRule="auto"/>
        <w:jc w:val="center"/>
        <w:rPr>
          <w:rFonts w:eastAsia="Calibri" w:cs="Times New Roman"/>
          <w:b/>
          <w:sz w:val="28"/>
          <w:szCs w:val="28"/>
        </w:rPr>
      </w:pPr>
      <w:r w:rsidRPr="00CA099F">
        <w:rPr>
          <w:rFonts w:eastAsia="Calibri" w:cs="Times New Roman"/>
          <w:b/>
          <w:sz w:val="28"/>
          <w:szCs w:val="28"/>
        </w:rPr>
        <w:t>Динаміка змін показників температури рубця у пацієнтів 1 групи на різних етапах післяопераційного періоду</w:t>
      </w:r>
    </w:p>
    <w:tbl>
      <w:tblPr>
        <w:tblStyle w:val="a9"/>
        <w:tblW w:w="0" w:type="auto"/>
        <w:tblLook w:val="04A0" w:firstRow="1" w:lastRow="0" w:firstColumn="1" w:lastColumn="0" w:noHBand="0" w:noVBand="1"/>
      </w:tblPr>
      <w:tblGrid>
        <w:gridCol w:w="2013"/>
        <w:gridCol w:w="1833"/>
        <w:gridCol w:w="1833"/>
        <w:gridCol w:w="1833"/>
        <w:gridCol w:w="1833"/>
      </w:tblGrid>
      <w:tr w:rsidR="0030517B" w:rsidRPr="00CA099F" w:rsidTr="00E1448E">
        <w:tc>
          <w:tcPr>
            <w:tcW w:w="2013" w:type="dxa"/>
          </w:tcPr>
          <w:p w:rsidR="0030517B" w:rsidRPr="00CA099F" w:rsidRDefault="0030517B" w:rsidP="00E1448E">
            <w:pPr>
              <w:spacing w:line="360" w:lineRule="auto"/>
              <w:jc w:val="center"/>
              <w:rPr>
                <w:sz w:val="28"/>
                <w:szCs w:val="28"/>
              </w:rPr>
            </w:pPr>
            <w:r w:rsidRPr="00CA099F">
              <w:rPr>
                <w:sz w:val="28"/>
                <w:szCs w:val="28"/>
              </w:rPr>
              <w:t>Термін спостереження</w:t>
            </w:r>
          </w:p>
        </w:tc>
        <w:tc>
          <w:tcPr>
            <w:tcW w:w="1833" w:type="dxa"/>
          </w:tcPr>
          <w:p w:rsidR="0030517B" w:rsidRPr="00CA099F" w:rsidRDefault="0030517B" w:rsidP="00E1448E">
            <w:pPr>
              <w:spacing w:line="360" w:lineRule="auto"/>
              <w:jc w:val="center"/>
              <w:rPr>
                <w:sz w:val="28"/>
                <w:szCs w:val="28"/>
              </w:rPr>
            </w:pPr>
            <w:r w:rsidRPr="00CA099F">
              <w:rPr>
                <w:sz w:val="28"/>
                <w:szCs w:val="28"/>
              </w:rPr>
              <w:t>3 місяць</w:t>
            </w:r>
          </w:p>
        </w:tc>
        <w:tc>
          <w:tcPr>
            <w:tcW w:w="1833" w:type="dxa"/>
          </w:tcPr>
          <w:p w:rsidR="0030517B" w:rsidRPr="00CA099F" w:rsidRDefault="0030517B" w:rsidP="00E1448E">
            <w:pPr>
              <w:spacing w:line="360" w:lineRule="auto"/>
              <w:jc w:val="center"/>
              <w:rPr>
                <w:sz w:val="28"/>
                <w:szCs w:val="28"/>
              </w:rPr>
            </w:pPr>
            <w:r w:rsidRPr="00CA099F">
              <w:rPr>
                <w:sz w:val="28"/>
                <w:szCs w:val="28"/>
              </w:rPr>
              <w:t>6 місяць</w:t>
            </w:r>
          </w:p>
        </w:tc>
        <w:tc>
          <w:tcPr>
            <w:tcW w:w="1833" w:type="dxa"/>
          </w:tcPr>
          <w:p w:rsidR="0030517B" w:rsidRPr="00CA099F" w:rsidRDefault="0030517B" w:rsidP="00E1448E">
            <w:pPr>
              <w:spacing w:line="360" w:lineRule="auto"/>
              <w:jc w:val="center"/>
              <w:rPr>
                <w:sz w:val="28"/>
                <w:szCs w:val="28"/>
              </w:rPr>
            </w:pPr>
            <w:r w:rsidRPr="00CA099F">
              <w:rPr>
                <w:sz w:val="28"/>
                <w:szCs w:val="28"/>
              </w:rPr>
              <w:t>9 місяць</w:t>
            </w:r>
          </w:p>
        </w:tc>
        <w:tc>
          <w:tcPr>
            <w:tcW w:w="1833" w:type="dxa"/>
          </w:tcPr>
          <w:p w:rsidR="0030517B" w:rsidRPr="00CA099F" w:rsidRDefault="0030517B" w:rsidP="00E1448E">
            <w:pPr>
              <w:spacing w:line="360" w:lineRule="auto"/>
              <w:jc w:val="center"/>
              <w:rPr>
                <w:sz w:val="28"/>
                <w:szCs w:val="28"/>
              </w:rPr>
            </w:pPr>
            <w:r w:rsidRPr="00CA099F">
              <w:rPr>
                <w:sz w:val="28"/>
                <w:szCs w:val="28"/>
              </w:rPr>
              <w:t>12 місяць</w:t>
            </w:r>
          </w:p>
        </w:tc>
      </w:tr>
      <w:tr w:rsidR="0030517B" w:rsidRPr="00CA099F" w:rsidTr="00E1448E">
        <w:tc>
          <w:tcPr>
            <w:tcW w:w="2013" w:type="dxa"/>
          </w:tcPr>
          <w:p w:rsidR="0030517B" w:rsidRPr="00CA099F" w:rsidRDefault="0030517B" w:rsidP="00E1448E">
            <w:pPr>
              <w:spacing w:line="360" w:lineRule="auto"/>
              <w:jc w:val="center"/>
              <w:rPr>
                <w:sz w:val="28"/>
                <w:szCs w:val="28"/>
              </w:rPr>
            </w:pPr>
            <w:r w:rsidRPr="00CA099F">
              <w:rPr>
                <w:sz w:val="28"/>
                <w:szCs w:val="28"/>
              </w:rPr>
              <w:t>Центральна частина рубця</w:t>
            </w:r>
          </w:p>
        </w:tc>
        <w:tc>
          <w:tcPr>
            <w:tcW w:w="1833" w:type="dxa"/>
          </w:tcPr>
          <w:p w:rsidR="0030517B" w:rsidRPr="00CA099F" w:rsidRDefault="0030517B" w:rsidP="00E1448E">
            <w:pPr>
              <w:spacing w:line="360" w:lineRule="auto"/>
              <w:jc w:val="center"/>
              <w:rPr>
                <w:sz w:val="28"/>
                <w:szCs w:val="28"/>
              </w:rPr>
            </w:pPr>
            <w:r w:rsidRPr="00CA099F">
              <w:rPr>
                <w:sz w:val="28"/>
                <w:szCs w:val="28"/>
              </w:rPr>
              <w:t>25,6±0,9 ̽</w:t>
            </w:r>
          </w:p>
        </w:tc>
        <w:tc>
          <w:tcPr>
            <w:tcW w:w="1833" w:type="dxa"/>
          </w:tcPr>
          <w:p w:rsidR="0030517B" w:rsidRPr="00CA099F" w:rsidRDefault="0030517B" w:rsidP="00E1448E">
            <w:pPr>
              <w:spacing w:line="360" w:lineRule="auto"/>
              <w:jc w:val="center"/>
              <w:rPr>
                <w:sz w:val="28"/>
                <w:szCs w:val="28"/>
              </w:rPr>
            </w:pPr>
            <w:r w:rsidRPr="00CA099F">
              <w:rPr>
                <w:sz w:val="28"/>
                <w:szCs w:val="28"/>
              </w:rPr>
              <w:t>28,1±1,3</w:t>
            </w:r>
          </w:p>
        </w:tc>
        <w:tc>
          <w:tcPr>
            <w:tcW w:w="1833" w:type="dxa"/>
          </w:tcPr>
          <w:p w:rsidR="0030517B" w:rsidRPr="00CA099F" w:rsidRDefault="0030517B" w:rsidP="00E1448E">
            <w:pPr>
              <w:spacing w:line="360" w:lineRule="auto"/>
              <w:jc w:val="center"/>
              <w:rPr>
                <w:sz w:val="28"/>
                <w:szCs w:val="28"/>
              </w:rPr>
            </w:pPr>
            <w:r w:rsidRPr="00CA099F">
              <w:rPr>
                <w:sz w:val="28"/>
                <w:szCs w:val="28"/>
              </w:rPr>
              <w:t>29,2±1,7 ̽</w:t>
            </w:r>
          </w:p>
        </w:tc>
        <w:tc>
          <w:tcPr>
            <w:tcW w:w="1833" w:type="dxa"/>
          </w:tcPr>
          <w:p w:rsidR="0030517B" w:rsidRPr="00CA099F" w:rsidRDefault="0030517B" w:rsidP="00E1448E">
            <w:pPr>
              <w:spacing w:line="360" w:lineRule="auto"/>
              <w:jc w:val="center"/>
              <w:rPr>
                <w:sz w:val="28"/>
                <w:szCs w:val="28"/>
              </w:rPr>
            </w:pPr>
            <w:r w:rsidRPr="00CA099F">
              <w:rPr>
                <w:sz w:val="28"/>
                <w:szCs w:val="28"/>
              </w:rPr>
              <w:t>30,2±0,8</w:t>
            </w:r>
          </w:p>
        </w:tc>
      </w:tr>
      <w:tr w:rsidR="0003712A" w:rsidRPr="00CA099F" w:rsidTr="00953FC1">
        <w:tc>
          <w:tcPr>
            <w:tcW w:w="2013" w:type="dxa"/>
          </w:tcPr>
          <w:p w:rsidR="0003712A" w:rsidRPr="00CA099F" w:rsidRDefault="0003712A" w:rsidP="00953FC1">
            <w:pPr>
              <w:spacing w:line="360" w:lineRule="auto"/>
              <w:jc w:val="center"/>
              <w:rPr>
                <w:sz w:val="28"/>
                <w:szCs w:val="28"/>
              </w:rPr>
            </w:pPr>
            <w:r w:rsidRPr="00CA099F">
              <w:rPr>
                <w:sz w:val="28"/>
                <w:szCs w:val="28"/>
              </w:rPr>
              <w:t>Медіальний край</w:t>
            </w:r>
          </w:p>
        </w:tc>
        <w:tc>
          <w:tcPr>
            <w:tcW w:w="1833" w:type="dxa"/>
          </w:tcPr>
          <w:p w:rsidR="0003712A" w:rsidRPr="00CA099F" w:rsidRDefault="0003712A" w:rsidP="00953FC1">
            <w:pPr>
              <w:spacing w:line="360" w:lineRule="auto"/>
              <w:jc w:val="center"/>
              <w:rPr>
                <w:sz w:val="28"/>
                <w:szCs w:val="28"/>
              </w:rPr>
            </w:pPr>
            <w:r w:rsidRPr="00CA099F">
              <w:rPr>
                <w:sz w:val="28"/>
                <w:szCs w:val="28"/>
              </w:rPr>
              <w:t>29,9±0,8</w:t>
            </w:r>
          </w:p>
        </w:tc>
        <w:tc>
          <w:tcPr>
            <w:tcW w:w="1833" w:type="dxa"/>
          </w:tcPr>
          <w:p w:rsidR="0003712A" w:rsidRPr="00CA099F" w:rsidRDefault="0003712A" w:rsidP="00953FC1">
            <w:pPr>
              <w:spacing w:line="360" w:lineRule="auto"/>
              <w:jc w:val="center"/>
              <w:rPr>
                <w:sz w:val="28"/>
                <w:szCs w:val="28"/>
              </w:rPr>
            </w:pPr>
            <w:r w:rsidRPr="00CA099F">
              <w:rPr>
                <w:sz w:val="28"/>
                <w:szCs w:val="28"/>
              </w:rPr>
              <w:t>31,1±0,9 ̽</w:t>
            </w:r>
          </w:p>
        </w:tc>
        <w:tc>
          <w:tcPr>
            <w:tcW w:w="1833" w:type="dxa"/>
          </w:tcPr>
          <w:p w:rsidR="0003712A" w:rsidRPr="00CA099F" w:rsidRDefault="0003712A" w:rsidP="00953FC1">
            <w:pPr>
              <w:spacing w:line="360" w:lineRule="auto"/>
              <w:jc w:val="center"/>
              <w:rPr>
                <w:sz w:val="28"/>
                <w:szCs w:val="28"/>
              </w:rPr>
            </w:pPr>
            <w:r w:rsidRPr="00CA099F">
              <w:rPr>
                <w:sz w:val="28"/>
                <w:szCs w:val="28"/>
              </w:rPr>
              <w:t>32,1±1,5</w:t>
            </w:r>
          </w:p>
        </w:tc>
        <w:tc>
          <w:tcPr>
            <w:tcW w:w="1833" w:type="dxa"/>
          </w:tcPr>
          <w:p w:rsidR="0003712A" w:rsidRPr="00CA099F" w:rsidRDefault="0003712A" w:rsidP="00953FC1">
            <w:pPr>
              <w:spacing w:line="360" w:lineRule="auto"/>
              <w:jc w:val="center"/>
              <w:rPr>
                <w:sz w:val="28"/>
                <w:szCs w:val="28"/>
              </w:rPr>
            </w:pPr>
            <w:r w:rsidRPr="00CA099F">
              <w:rPr>
                <w:sz w:val="28"/>
                <w:szCs w:val="28"/>
              </w:rPr>
              <w:t>33,6±1,6 ̽</w:t>
            </w:r>
          </w:p>
        </w:tc>
      </w:tr>
      <w:tr w:rsidR="0003712A" w:rsidRPr="00CA099F" w:rsidTr="00953FC1">
        <w:tc>
          <w:tcPr>
            <w:tcW w:w="2013" w:type="dxa"/>
          </w:tcPr>
          <w:p w:rsidR="0003712A" w:rsidRPr="00CA099F" w:rsidRDefault="0003712A" w:rsidP="00953FC1">
            <w:pPr>
              <w:spacing w:line="360" w:lineRule="auto"/>
              <w:jc w:val="center"/>
              <w:rPr>
                <w:sz w:val="28"/>
                <w:szCs w:val="28"/>
              </w:rPr>
            </w:pPr>
            <w:r w:rsidRPr="00CA099F">
              <w:rPr>
                <w:sz w:val="28"/>
                <w:szCs w:val="28"/>
              </w:rPr>
              <w:t>Латеральний край</w:t>
            </w:r>
          </w:p>
        </w:tc>
        <w:tc>
          <w:tcPr>
            <w:tcW w:w="1833" w:type="dxa"/>
          </w:tcPr>
          <w:p w:rsidR="0003712A" w:rsidRPr="00CA099F" w:rsidRDefault="0003712A" w:rsidP="00953FC1">
            <w:pPr>
              <w:spacing w:line="360" w:lineRule="auto"/>
              <w:jc w:val="center"/>
              <w:rPr>
                <w:sz w:val="28"/>
                <w:szCs w:val="28"/>
              </w:rPr>
            </w:pPr>
            <w:r w:rsidRPr="00CA099F">
              <w:rPr>
                <w:sz w:val="28"/>
                <w:szCs w:val="28"/>
              </w:rPr>
              <w:t>30,2±1,1</w:t>
            </w:r>
          </w:p>
        </w:tc>
        <w:tc>
          <w:tcPr>
            <w:tcW w:w="1833" w:type="dxa"/>
          </w:tcPr>
          <w:p w:rsidR="0003712A" w:rsidRPr="00CA099F" w:rsidRDefault="0003712A" w:rsidP="00953FC1">
            <w:pPr>
              <w:spacing w:line="360" w:lineRule="auto"/>
              <w:jc w:val="center"/>
              <w:rPr>
                <w:sz w:val="28"/>
                <w:szCs w:val="28"/>
              </w:rPr>
            </w:pPr>
            <w:r w:rsidRPr="00CA099F">
              <w:rPr>
                <w:sz w:val="28"/>
                <w:szCs w:val="28"/>
              </w:rPr>
              <w:t>31,3±0,8 ̽</w:t>
            </w:r>
          </w:p>
        </w:tc>
        <w:tc>
          <w:tcPr>
            <w:tcW w:w="1833" w:type="dxa"/>
          </w:tcPr>
          <w:p w:rsidR="0003712A" w:rsidRPr="00CA099F" w:rsidRDefault="0003712A" w:rsidP="00953FC1">
            <w:pPr>
              <w:spacing w:line="360" w:lineRule="auto"/>
              <w:jc w:val="center"/>
              <w:rPr>
                <w:sz w:val="28"/>
                <w:szCs w:val="28"/>
              </w:rPr>
            </w:pPr>
            <w:r w:rsidRPr="00CA099F">
              <w:rPr>
                <w:sz w:val="28"/>
                <w:szCs w:val="28"/>
              </w:rPr>
              <w:t>32,4±1,4</w:t>
            </w:r>
          </w:p>
        </w:tc>
        <w:tc>
          <w:tcPr>
            <w:tcW w:w="1833" w:type="dxa"/>
          </w:tcPr>
          <w:p w:rsidR="0003712A" w:rsidRPr="00CA099F" w:rsidRDefault="0003712A" w:rsidP="00953FC1">
            <w:pPr>
              <w:spacing w:line="360" w:lineRule="auto"/>
              <w:jc w:val="center"/>
              <w:rPr>
                <w:sz w:val="28"/>
                <w:szCs w:val="28"/>
              </w:rPr>
            </w:pPr>
            <w:r w:rsidRPr="00CA099F">
              <w:rPr>
                <w:sz w:val="28"/>
                <w:szCs w:val="28"/>
              </w:rPr>
              <w:t>33,8±1,4</w:t>
            </w:r>
          </w:p>
        </w:tc>
      </w:tr>
      <w:tr w:rsidR="00084587" w:rsidRPr="00CA099F" w:rsidTr="00B435B1">
        <w:tc>
          <w:tcPr>
            <w:tcW w:w="9345" w:type="dxa"/>
            <w:gridSpan w:val="5"/>
          </w:tcPr>
          <w:p w:rsidR="00084587" w:rsidRPr="00084587" w:rsidRDefault="00084587" w:rsidP="00084587">
            <w:pPr>
              <w:spacing w:line="360" w:lineRule="auto"/>
              <w:jc w:val="both"/>
              <w:rPr>
                <w:sz w:val="28"/>
                <w:szCs w:val="28"/>
                <w:lang w:val="uk-UA"/>
              </w:rPr>
            </w:pPr>
            <w:r w:rsidRPr="00084587">
              <w:rPr>
                <w:rFonts w:eastAsia="Calibri" w:cs="Times New Roman"/>
                <w:sz w:val="28"/>
                <w:szCs w:val="28"/>
                <w:lang w:val="uk-UA"/>
              </w:rPr>
              <w:t xml:space="preserve">Примітка: ̽ – відмінності між показниками в різні періоди профілактики з вірогідністю нульової гіпотези </w:t>
            </w:r>
            <w:r w:rsidRPr="00CA099F">
              <w:rPr>
                <w:rFonts w:eastAsia="Calibri" w:cs="Times New Roman"/>
                <w:sz w:val="28"/>
                <w:szCs w:val="28"/>
              </w:rPr>
              <w:t>p</w:t>
            </w:r>
            <w:r w:rsidRPr="00084587">
              <w:rPr>
                <w:rFonts w:eastAsia="Calibri" w:cs="Times New Roman"/>
                <w:sz w:val="28"/>
                <w:szCs w:val="28"/>
                <w:lang w:val="uk-UA"/>
              </w:rPr>
              <w:t>&lt;0.05 статистично достовірні.</w:t>
            </w:r>
          </w:p>
        </w:tc>
      </w:tr>
    </w:tbl>
    <w:p w:rsidR="0030517B" w:rsidRPr="00CA099F" w:rsidRDefault="0030517B" w:rsidP="0030517B">
      <w:pPr>
        <w:spacing w:after="160" w:line="360" w:lineRule="auto"/>
        <w:jc w:val="both"/>
        <w:rPr>
          <w:rFonts w:eastAsia="Calibri" w:cs="Times New Roman"/>
          <w:sz w:val="28"/>
          <w:szCs w:val="28"/>
        </w:rPr>
      </w:pPr>
    </w:p>
    <w:p w:rsidR="0030517B" w:rsidRDefault="0030517B" w:rsidP="0030517B">
      <w:pPr>
        <w:spacing w:after="160" w:line="360" w:lineRule="auto"/>
        <w:jc w:val="both"/>
        <w:rPr>
          <w:rFonts w:eastAsia="Calibri" w:cs="Times New Roman"/>
          <w:sz w:val="28"/>
          <w:szCs w:val="28"/>
        </w:rPr>
      </w:pPr>
      <w:r w:rsidRPr="002F147B">
        <w:rPr>
          <w:rFonts w:eastAsia="Calibri" w:cs="Times New Roman"/>
          <w:sz w:val="28"/>
          <w:szCs w:val="28"/>
        </w:rPr>
        <w:t>При аналізі цифрових термометричних показників пацієнтів 2 групи слід звернути увагу про найвищі показники температури в усіх ділянках рубцевозмінених тканин в середньому на 0,8±0,5 °С.</w:t>
      </w:r>
      <w:r w:rsidRPr="00CA099F">
        <w:rPr>
          <w:rFonts w:eastAsia="Calibri" w:cs="Times New Roman"/>
          <w:sz w:val="28"/>
          <w:szCs w:val="28"/>
        </w:rPr>
        <w:t xml:space="preserve"> Вочевидь, це пов’язано із застосуванням пацієнтам цієї групи церулоплазміну, який суттєво покращує мікроциркуляцію у місці введення (табл. 6.6). </w:t>
      </w:r>
    </w:p>
    <w:p w:rsidR="00084587" w:rsidRPr="00CA099F" w:rsidRDefault="00084587" w:rsidP="00084587">
      <w:pPr>
        <w:spacing w:after="160" w:line="360" w:lineRule="auto"/>
        <w:jc w:val="both"/>
        <w:rPr>
          <w:rFonts w:eastAsia="Calibri" w:cs="Times New Roman"/>
          <w:sz w:val="28"/>
          <w:szCs w:val="28"/>
        </w:rPr>
      </w:pPr>
      <w:r w:rsidRPr="00CA099F">
        <w:rPr>
          <w:rFonts w:eastAsia="Calibri" w:cs="Times New Roman"/>
          <w:sz w:val="28"/>
          <w:szCs w:val="28"/>
        </w:rPr>
        <w:tab/>
        <w:t>На наступному етапі дослідження нами створено морфологічну та біохімічну доказову базу ефективності застосування авторської методики інтра- та пост-операційної профілактики утворення патологічних рубців шкіри.</w:t>
      </w:r>
    </w:p>
    <w:p w:rsidR="00084587" w:rsidRPr="00CA099F" w:rsidRDefault="00084587" w:rsidP="0030517B">
      <w:pPr>
        <w:spacing w:after="160" w:line="360" w:lineRule="auto"/>
        <w:jc w:val="both"/>
        <w:rPr>
          <w:rFonts w:eastAsia="Calibri" w:cs="Times New Roman"/>
          <w:sz w:val="28"/>
          <w:szCs w:val="28"/>
        </w:rPr>
      </w:pPr>
    </w:p>
    <w:p w:rsidR="0030517B" w:rsidRPr="00CA099F" w:rsidRDefault="0030517B" w:rsidP="0030517B">
      <w:pPr>
        <w:spacing w:after="160" w:line="360" w:lineRule="auto"/>
        <w:jc w:val="right"/>
        <w:rPr>
          <w:rFonts w:eastAsia="Calibri" w:cs="Times New Roman"/>
          <w:i/>
          <w:sz w:val="28"/>
          <w:szCs w:val="28"/>
        </w:rPr>
      </w:pPr>
      <w:r w:rsidRPr="00CA099F">
        <w:rPr>
          <w:rFonts w:eastAsia="Calibri" w:cs="Times New Roman"/>
          <w:i/>
          <w:sz w:val="28"/>
          <w:szCs w:val="28"/>
        </w:rPr>
        <w:t>Таблиця 6.6</w:t>
      </w:r>
    </w:p>
    <w:p w:rsidR="0030517B" w:rsidRPr="00CA099F" w:rsidRDefault="0030517B" w:rsidP="0030517B">
      <w:pPr>
        <w:spacing w:after="160" w:line="360" w:lineRule="auto"/>
        <w:jc w:val="center"/>
        <w:rPr>
          <w:rFonts w:eastAsia="Calibri" w:cs="Times New Roman"/>
          <w:b/>
          <w:sz w:val="28"/>
          <w:szCs w:val="28"/>
        </w:rPr>
      </w:pPr>
      <w:r w:rsidRPr="00CA099F">
        <w:rPr>
          <w:rFonts w:eastAsia="Calibri" w:cs="Times New Roman"/>
          <w:b/>
          <w:sz w:val="28"/>
          <w:szCs w:val="28"/>
        </w:rPr>
        <w:lastRenderedPageBreak/>
        <w:t>Динаміка змін показників температури рубця у пацієнтів 2 групи на різних етапах післяопераційного періоду</w:t>
      </w:r>
    </w:p>
    <w:tbl>
      <w:tblPr>
        <w:tblStyle w:val="a9"/>
        <w:tblW w:w="0" w:type="auto"/>
        <w:tblLook w:val="04A0" w:firstRow="1" w:lastRow="0" w:firstColumn="1" w:lastColumn="0" w:noHBand="0" w:noVBand="1"/>
      </w:tblPr>
      <w:tblGrid>
        <w:gridCol w:w="2013"/>
        <w:gridCol w:w="1833"/>
        <w:gridCol w:w="1833"/>
        <w:gridCol w:w="1833"/>
        <w:gridCol w:w="1833"/>
      </w:tblGrid>
      <w:tr w:rsidR="0030517B" w:rsidRPr="00CA099F" w:rsidTr="00E1448E">
        <w:tc>
          <w:tcPr>
            <w:tcW w:w="2013" w:type="dxa"/>
          </w:tcPr>
          <w:p w:rsidR="0030517B" w:rsidRPr="00CA099F" w:rsidRDefault="0030517B" w:rsidP="00E1448E">
            <w:pPr>
              <w:spacing w:line="360" w:lineRule="auto"/>
              <w:jc w:val="center"/>
              <w:rPr>
                <w:sz w:val="28"/>
                <w:szCs w:val="28"/>
              </w:rPr>
            </w:pPr>
            <w:r w:rsidRPr="00CA099F">
              <w:rPr>
                <w:sz w:val="28"/>
                <w:szCs w:val="28"/>
              </w:rPr>
              <w:t>Термін спостереження</w:t>
            </w:r>
          </w:p>
        </w:tc>
        <w:tc>
          <w:tcPr>
            <w:tcW w:w="1833" w:type="dxa"/>
          </w:tcPr>
          <w:p w:rsidR="0030517B" w:rsidRPr="00CA099F" w:rsidRDefault="0030517B" w:rsidP="00E1448E">
            <w:pPr>
              <w:spacing w:line="360" w:lineRule="auto"/>
              <w:jc w:val="center"/>
              <w:rPr>
                <w:sz w:val="28"/>
                <w:szCs w:val="28"/>
              </w:rPr>
            </w:pPr>
            <w:r w:rsidRPr="00CA099F">
              <w:rPr>
                <w:sz w:val="28"/>
                <w:szCs w:val="28"/>
              </w:rPr>
              <w:t>3 місяць</w:t>
            </w:r>
          </w:p>
        </w:tc>
        <w:tc>
          <w:tcPr>
            <w:tcW w:w="1833" w:type="dxa"/>
          </w:tcPr>
          <w:p w:rsidR="0030517B" w:rsidRPr="00CA099F" w:rsidRDefault="0030517B" w:rsidP="00E1448E">
            <w:pPr>
              <w:spacing w:line="360" w:lineRule="auto"/>
              <w:jc w:val="center"/>
              <w:rPr>
                <w:sz w:val="28"/>
                <w:szCs w:val="28"/>
              </w:rPr>
            </w:pPr>
            <w:r w:rsidRPr="00CA099F">
              <w:rPr>
                <w:sz w:val="28"/>
                <w:szCs w:val="28"/>
              </w:rPr>
              <w:t>6 місяць</w:t>
            </w:r>
          </w:p>
        </w:tc>
        <w:tc>
          <w:tcPr>
            <w:tcW w:w="1833" w:type="dxa"/>
          </w:tcPr>
          <w:p w:rsidR="0030517B" w:rsidRPr="00CA099F" w:rsidRDefault="0030517B" w:rsidP="00E1448E">
            <w:pPr>
              <w:spacing w:line="360" w:lineRule="auto"/>
              <w:jc w:val="center"/>
              <w:rPr>
                <w:sz w:val="28"/>
                <w:szCs w:val="28"/>
              </w:rPr>
            </w:pPr>
            <w:r w:rsidRPr="00CA099F">
              <w:rPr>
                <w:sz w:val="28"/>
                <w:szCs w:val="28"/>
              </w:rPr>
              <w:t>9 місяць</w:t>
            </w:r>
          </w:p>
        </w:tc>
        <w:tc>
          <w:tcPr>
            <w:tcW w:w="1833" w:type="dxa"/>
          </w:tcPr>
          <w:p w:rsidR="0030517B" w:rsidRPr="00CA099F" w:rsidRDefault="0030517B" w:rsidP="00E1448E">
            <w:pPr>
              <w:spacing w:line="360" w:lineRule="auto"/>
              <w:jc w:val="center"/>
              <w:rPr>
                <w:sz w:val="28"/>
                <w:szCs w:val="28"/>
              </w:rPr>
            </w:pPr>
            <w:r w:rsidRPr="00CA099F">
              <w:rPr>
                <w:sz w:val="28"/>
                <w:szCs w:val="28"/>
              </w:rPr>
              <w:t>12 місяць</w:t>
            </w:r>
          </w:p>
        </w:tc>
      </w:tr>
      <w:tr w:rsidR="0030517B" w:rsidRPr="00CA099F" w:rsidTr="00E1448E">
        <w:tc>
          <w:tcPr>
            <w:tcW w:w="2013" w:type="dxa"/>
          </w:tcPr>
          <w:p w:rsidR="0030517B" w:rsidRPr="00CA099F" w:rsidRDefault="0030517B" w:rsidP="00E1448E">
            <w:pPr>
              <w:spacing w:line="360" w:lineRule="auto"/>
              <w:jc w:val="center"/>
              <w:rPr>
                <w:sz w:val="28"/>
                <w:szCs w:val="28"/>
              </w:rPr>
            </w:pPr>
            <w:r w:rsidRPr="00CA099F">
              <w:rPr>
                <w:sz w:val="28"/>
                <w:szCs w:val="28"/>
              </w:rPr>
              <w:t>Центральна частина рубця</w:t>
            </w:r>
          </w:p>
        </w:tc>
        <w:tc>
          <w:tcPr>
            <w:tcW w:w="1833" w:type="dxa"/>
          </w:tcPr>
          <w:p w:rsidR="0030517B" w:rsidRPr="00CA099F" w:rsidRDefault="0030517B" w:rsidP="00E1448E">
            <w:pPr>
              <w:spacing w:line="360" w:lineRule="auto"/>
              <w:jc w:val="center"/>
              <w:rPr>
                <w:sz w:val="28"/>
                <w:szCs w:val="28"/>
              </w:rPr>
            </w:pPr>
            <w:r w:rsidRPr="00CA099F">
              <w:rPr>
                <w:sz w:val="28"/>
                <w:szCs w:val="28"/>
              </w:rPr>
              <w:t>26,6±0,8 ̽</w:t>
            </w:r>
          </w:p>
        </w:tc>
        <w:tc>
          <w:tcPr>
            <w:tcW w:w="1833" w:type="dxa"/>
          </w:tcPr>
          <w:p w:rsidR="0030517B" w:rsidRPr="00CA099F" w:rsidRDefault="0030517B" w:rsidP="00E1448E">
            <w:pPr>
              <w:spacing w:line="360" w:lineRule="auto"/>
              <w:jc w:val="center"/>
              <w:rPr>
                <w:sz w:val="28"/>
                <w:szCs w:val="28"/>
              </w:rPr>
            </w:pPr>
            <w:r w:rsidRPr="00CA099F">
              <w:rPr>
                <w:sz w:val="28"/>
                <w:szCs w:val="28"/>
              </w:rPr>
              <w:t>28,9±1,2</w:t>
            </w:r>
          </w:p>
        </w:tc>
        <w:tc>
          <w:tcPr>
            <w:tcW w:w="1833" w:type="dxa"/>
          </w:tcPr>
          <w:p w:rsidR="0030517B" w:rsidRPr="00CA099F" w:rsidRDefault="0030517B" w:rsidP="00E1448E">
            <w:pPr>
              <w:spacing w:line="360" w:lineRule="auto"/>
              <w:jc w:val="center"/>
              <w:rPr>
                <w:sz w:val="28"/>
                <w:szCs w:val="28"/>
              </w:rPr>
            </w:pPr>
            <w:r w:rsidRPr="00CA099F">
              <w:rPr>
                <w:sz w:val="28"/>
                <w:szCs w:val="28"/>
              </w:rPr>
              <w:t>30,4±1,6 ̽</w:t>
            </w:r>
          </w:p>
        </w:tc>
        <w:tc>
          <w:tcPr>
            <w:tcW w:w="1833" w:type="dxa"/>
          </w:tcPr>
          <w:p w:rsidR="0030517B" w:rsidRPr="00CA099F" w:rsidRDefault="0030517B" w:rsidP="00E1448E">
            <w:pPr>
              <w:spacing w:line="360" w:lineRule="auto"/>
              <w:jc w:val="center"/>
              <w:rPr>
                <w:sz w:val="28"/>
                <w:szCs w:val="28"/>
              </w:rPr>
            </w:pPr>
            <w:r w:rsidRPr="00CA099F">
              <w:rPr>
                <w:sz w:val="28"/>
                <w:szCs w:val="28"/>
              </w:rPr>
              <w:t>33,9±1,7</w:t>
            </w:r>
          </w:p>
        </w:tc>
      </w:tr>
      <w:tr w:rsidR="0030517B" w:rsidRPr="00CA099F" w:rsidTr="00E1448E">
        <w:tc>
          <w:tcPr>
            <w:tcW w:w="2013" w:type="dxa"/>
          </w:tcPr>
          <w:p w:rsidR="0030517B" w:rsidRPr="00CA099F" w:rsidRDefault="0030517B" w:rsidP="00E1448E">
            <w:pPr>
              <w:spacing w:line="360" w:lineRule="auto"/>
              <w:jc w:val="center"/>
              <w:rPr>
                <w:sz w:val="28"/>
                <w:szCs w:val="28"/>
              </w:rPr>
            </w:pPr>
            <w:r w:rsidRPr="00CA099F">
              <w:rPr>
                <w:sz w:val="28"/>
                <w:szCs w:val="28"/>
              </w:rPr>
              <w:t>Медіальний край</w:t>
            </w:r>
          </w:p>
        </w:tc>
        <w:tc>
          <w:tcPr>
            <w:tcW w:w="1833" w:type="dxa"/>
          </w:tcPr>
          <w:p w:rsidR="0030517B" w:rsidRPr="00CA099F" w:rsidRDefault="0030517B" w:rsidP="00E1448E">
            <w:pPr>
              <w:spacing w:line="360" w:lineRule="auto"/>
              <w:jc w:val="center"/>
              <w:rPr>
                <w:sz w:val="28"/>
                <w:szCs w:val="28"/>
              </w:rPr>
            </w:pPr>
            <w:r w:rsidRPr="00CA099F">
              <w:rPr>
                <w:sz w:val="28"/>
                <w:szCs w:val="28"/>
              </w:rPr>
              <w:t>30,1±0,6</w:t>
            </w:r>
          </w:p>
        </w:tc>
        <w:tc>
          <w:tcPr>
            <w:tcW w:w="1833" w:type="dxa"/>
          </w:tcPr>
          <w:p w:rsidR="0030517B" w:rsidRPr="00CA099F" w:rsidRDefault="0030517B" w:rsidP="00E1448E">
            <w:pPr>
              <w:spacing w:line="360" w:lineRule="auto"/>
              <w:jc w:val="center"/>
              <w:rPr>
                <w:sz w:val="28"/>
                <w:szCs w:val="28"/>
              </w:rPr>
            </w:pPr>
            <w:r w:rsidRPr="00CA099F">
              <w:rPr>
                <w:sz w:val="28"/>
                <w:szCs w:val="28"/>
              </w:rPr>
              <w:t>31,4±1,4 ̽</w:t>
            </w:r>
          </w:p>
        </w:tc>
        <w:tc>
          <w:tcPr>
            <w:tcW w:w="1833" w:type="dxa"/>
          </w:tcPr>
          <w:p w:rsidR="0030517B" w:rsidRPr="00CA099F" w:rsidRDefault="0030517B" w:rsidP="00E1448E">
            <w:pPr>
              <w:spacing w:line="360" w:lineRule="auto"/>
              <w:jc w:val="center"/>
              <w:rPr>
                <w:sz w:val="28"/>
                <w:szCs w:val="28"/>
              </w:rPr>
            </w:pPr>
            <w:r w:rsidRPr="00CA099F">
              <w:rPr>
                <w:sz w:val="28"/>
                <w:szCs w:val="28"/>
              </w:rPr>
              <w:t>32,9±1,7</w:t>
            </w:r>
          </w:p>
        </w:tc>
        <w:tc>
          <w:tcPr>
            <w:tcW w:w="1833" w:type="dxa"/>
          </w:tcPr>
          <w:p w:rsidR="0030517B" w:rsidRPr="00CA099F" w:rsidRDefault="0030517B" w:rsidP="00E1448E">
            <w:pPr>
              <w:spacing w:line="360" w:lineRule="auto"/>
              <w:jc w:val="center"/>
              <w:rPr>
                <w:sz w:val="28"/>
                <w:szCs w:val="28"/>
              </w:rPr>
            </w:pPr>
            <w:r w:rsidRPr="00CA099F">
              <w:rPr>
                <w:sz w:val="28"/>
                <w:szCs w:val="28"/>
              </w:rPr>
              <w:t>34,4±1,7 ̽</w:t>
            </w:r>
          </w:p>
        </w:tc>
      </w:tr>
      <w:tr w:rsidR="0030517B" w:rsidRPr="00CA099F" w:rsidTr="00E1448E">
        <w:tc>
          <w:tcPr>
            <w:tcW w:w="2013" w:type="dxa"/>
          </w:tcPr>
          <w:p w:rsidR="0030517B" w:rsidRPr="00CA099F" w:rsidRDefault="0030517B" w:rsidP="00E1448E">
            <w:pPr>
              <w:spacing w:line="360" w:lineRule="auto"/>
              <w:jc w:val="center"/>
              <w:rPr>
                <w:sz w:val="28"/>
                <w:szCs w:val="28"/>
              </w:rPr>
            </w:pPr>
            <w:r w:rsidRPr="00CA099F">
              <w:rPr>
                <w:sz w:val="28"/>
                <w:szCs w:val="28"/>
              </w:rPr>
              <w:t>Латеральний край</w:t>
            </w:r>
          </w:p>
        </w:tc>
        <w:tc>
          <w:tcPr>
            <w:tcW w:w="1833" w:type="dxa"/>
          </w:tcPr>
          <w:p w:rsidR="0030517B" w:rsidRPr="00CA099F" w:rsidRDefault="0030517B" w:rsidP="00E1448E">
            <w:pPr>
              <w:spacing w:line="360" w:lineRule="auto"/>
              <w:jc w:val="center"/>
              <w:rPr>
                <w:sz w:val="28"/>
                <w:szCs w:val="28"/>
              </w:rPr>
            </w:pPr>
            <w:r w:rsidRPr="00CA099F">
              <w:rPr>
                <w:sz w:val="28"/>
                <w:szCs w:val="28"/>
              </w:rPr>
              <w:t>30,8±0,7</w:t>
            </w:r>
          </w:p>
        </w:tc>
        <w:tc>
          <w:tcPr>
            <w:tcW w:w="1833" w:type="dxa"/>
          </w:tcPr>
          <w:p w:rsidR="0030517B" w:rsidRPr="00CA099F" w:rsidRDefault="0030517B" w:rsidP="00E1448E">
            <w:pPr>
              <w:spacing w:line="360" w:lineRule="auto"/>
              <w:jc w:val="center"/>
              <w:rPr>
                <w:sz w:val="28"/>
                <w:szCs w:val="28"/>
              </w:rPr>
            </w:pPr>
            <w:r w:rsidRPr="00CA099F">
              <w:rPr>
                <w:sz w:val="28"/>
                <w:szCs w:val="28"/>
              </w:rPr>
              <w:t>31,7±1,6 ̽</w:t>
            </w:r>
          </w:p>
        </w:tc>
        <w:tc>
          <w:tcPr>
            <w:tcW w:w="1833" w:type="dxa"/>
          </w:tcPr>
          <w:p w:rsidR="0030517B" w:rsidRPr="00CA099F" w:rsidRDefault="0030517B" w:rsidP="00E1448E">
            <w:pPr>
              <w:spacing w:line="360" w:lineRule="auto"/>
              <w:jc w:val="center"/>
              <w:rPr>
                <w:sz w:val="28"/>
                <w:szCs w:val="28"/>
              </w:rPr>
            </w:pPr>
            <w:r w:rsidRPr="00CA099F">
              <w:rPr>
                <w:sz w:val="28"/>
                <w:szCs w:val="28"/>
              </w:rPr>
              <w:t>33,2±1,9</w:t>
            </w:r>
          </w:p>
        </w:tc>
        <w:tc>
          <w:tcPr>
            <w:tcW w:w="1833" w:type="dxa"/>
          </w:tcPr>
          <w:p w:rsidR="0030517B" w:rsidRPr="00CA099F" w:rsidRDefault="0030517B" w:rsidP="00E1448E">
            <w:pPr>
              <w:spacing w:line="360" w:lineRule="auto"/>
              <w:jc w:val="center"/>
              <w:rPr>
                <w:sz w:val="28"/>
                <w:szCs w:val="28"/>
              </w:rPr>
            </w:pPr>
            <w:r w:rsidRPr="00CA099F">
              <w:rPr>
                <w:sz w:val="28"/>
                <w:szCs w:val="28"/>
              </w:rPr>
              <w:t>34,5±1,8</w:t>
            </w:r>
          </w:p>
        </w:tc>
      </w:tr>
      <w:tr w:rsidR="00084587" w:rsidRPr="00CA099F" w:rsidTr="00B435B1">
        <w:tc>
          <w:tcPr>
            <w:tcW w:w="9345" w:type="dxa"/>
            <w:gridSpan w:val="5"/>
          </w:tcPr>
          <w:p w:rsidR="00084587" w:rsidRPr="00084587" w:rsidRDefault="00084587" w:rsidP="00084587">
            <w:pPr>
              <w:spacing w:after="160" w:line="360" w:lineRule="auto"/>
              <w:jc w:val="both"/>
              <w:rPr>
                <w:sz w:val="28"/>
                <w:szCs w:val="28"/>
                <w:lang w:val="uk-UA"/>
              </w:rPr>
            </w:pPr>
            <w:r w:rsidRPr="00084587">
              <w:rPr>
                <w:rFonts w:eastAsia="Calibri" w:cs="Times New Roman"/>
                <w:sz w:val="28"/>
                <w:szCs w:val="28"/>
                <w:lang w:val="uk-UA"/>
              </w:rPr>
              <w:t xml:space="preserve">Примітка: ̽ – відмінності між показниками в різні періоди профілактики з вірогідністю нульової гіпотези </w:t>
            </w:r>
            <w:r w:rsidRPr="00CA099F">
              <w:rPr>
                <w:rFonts w:eastAsia="Calibri" w:cs="Times New Roman"/>
                <w:sz w:val="28"/>
                <w:szCs w:val="28"/>
              </w:rPr>
              <w:t>p</w:t>
            </w:r>
            <w:r w:rsidRPr="00084587">
              <w:rPr>
                <w:rFonts w:eastAsia="Calibri" w:cs="Times New Roman"/>
                <w:sz w:val="28"/>
                <w:szCs w:val="28"/>
                <w:lang w:val="uk-UA"/>
              </w:rPr>
              <w:t>&lt;0.05 статистично достовірні.</w:t>
            </w:r>
          </w:p>
        </w:tc>
      </w:tr>
    </w:tbl>
    <w:p w:rsidR="00084587" w:rsidRPr="00CA099F" w:rsidRDefault="00084587" w:rsidP="0030517B">
      <w:pPr>
        <w:spacing w:after="160" w:line="360" w:lineRule="auto"/>
        <w:jc w:val="both"/>
        <w:rPr>
          <w:rFonts w:eastAsia="Calibri" w:cs="Times New Roman"/>
          <w:sz w:val="28"/>
          <w:szCs w:val="28"/>
        </w:rPr>
      </w:pPr>
    </w:p>
    <w:p w:rsidR="0030517B" w:rsidRPr="00CA099F" w:rsidRDefault="0030517B" w:rsidP="0030517B">
      <w:pPr>
        <w:spacing w:after="160" w:line="360" w:lineRule="auto"/>
        <w:jc w:val="both"/>
        <w:rPr>
          <w:rFonts w:eastAsia="Calibri" w:cs="Times New Roman"/>
          <w:sz w:val="28"/>
          <w:szCs w:val="28"/>
        </w:rPr>
      </w:pPr>
      <w:r w:rsidRPr="00CA099F">
        <w:rPr>
          <w:rFonts w:eastAsia="Calibri" w:cs="Times New Roman"/>
          <w:sz w:val="28"/>
          <w:szCs w:val="28"/>
        </w:rPr>
        <w:tab/>
        <w:t xml:space="preserve">Детальне вивчення покривного епітелію на 3 місяць післяопераційного періоду за допомогою великих збільшень світлового мікроскопа у </w:t>
      </w:r>
      <w:r w:rsidR="00D96DA9">
        <w:rPr>
          <w:rFonts w:eastAsia="Calibri" w:cs="Times New Roman"/>
          <w:sz w:val="28"/>
          <w:szCs w:val="28"/>
        </w:rPr>
        <w:t>пацієнтів</w:t>
      </w:r>
      <w:r w:rsidRPr="00CA099F">
        <w:rPr>
          <w:rFonts w:eastAsia="Calibri" w:cs="Times New Roman"/>
          <w:sz w:val="28"/>
          <w:szCs w:val="28"/>
        </w:rPr>
        <w:t xml:space="preserve"> контрольної групи дозволило виявити в ньому деякі відмінності, від описаної в літературі будови незміненого епідермісу цієї області [52]. Також періодично серед епітеліоцитів базального шару, а в окремих випадках і серед епітеліальних клітин розташованого вище шипуватого шару, зуст</w:t>
      </w:r>
      <w:r w:rsidR="00B63A48">
        <w:rPr>
          <w:rFonts w:eastAsia="Calibri" w:cs="Times New Roman"/>
          <w:sz w:val="28"/>
          <w:szCs w:val="28"/>
        </w:rPr>
        <w:t>річають</w:t>
      </w:r>
      <w:r w:rsidRPr="00CA099F">
        <w:rPr>
          <w:rFonts w:eastAsia="Calibri" w:cs="Times New Roman"/>
          <w:sz w:val="28"/>
          <w:szCs w:val="28"/>
        </w:rPr>
        <w:t>ся інтраепітеліальні лімфоцити, що мігру</w:t>
      </w:r>
      <w:r w:rsidR="00B63A48">
        <w:rPr>
          <w:rFonts w:eastAsia="Calibri" w:cs="Times New Roman"/>
          <w:sz w:val="28"/>
          <w:szCs w:val="28"/>
        </w:rPr>
        <w:t>ють</w:t>
      </w:r>
      <w:r w:rsidRPr="00CA099F">
        <w:rPr>
          <w:rFonts w:eastAsia="Calibri" w:cs="Times New Roman"/>
          <w:sz w:val="28"/>
          <w:szCs w:val="28"/>
        </w:rPr>
        <w:t xml:space="preserve"> в епітеліальний пласт із підлеглої дерми, здолавши базальну мембрану. Дещо частіше </w:t>
      </w:r>
      <w:r w:rsidR="00122C61">
        <w:rPr>
          <w:rFonts w:eastAsia="Calibri" w:cs="Times New Roman"/>
          <w:sz w:val="28"/>
          <w:szCs w:val="28"/>
        </w:rPr>
        <w:t>доводить</w:t>
      </w:r>
      <w:r w:rsidRPr="00CA099F">
        <w:rPr>
          <w:rFonts w:eastAsia="Calibri" w:cs="Times New Roman"/>
          <w:sz w:val="28"/>
          <w:szCs w:val="28"/>
        </w:rPr>
        <w:t>ся спостерігати надмірну проліферацію епітелію, що проявляється як відносно рівномірним потовщенням пласта останнього, так і появою, в одиничних випадках тяжів епітелію занурених всередину рубця, що формується.</w:t>
      </w:r>
    </w:p>
    <w:p w:rsidR="0030517B" w:rsidRPr="00CA099F" w:rsidRDefault="0030517B" w:rsidP="0030517B">
      <w:pPr>
        <w:spacing w:after="160" w:line="360" w:lineRule="auto"/>
        <w:jc w:val="both"/>
        <w:rPr>
          <w:rFonts w:eastAsia="Calibri" w:cs="Times New Roman"/>
          <w:sz w:val="28"/>
          <w:szCs w:val="28"/>
        </w:rPr>
      </w:pPr>
      <w:r w:rsidRPr="00CA099F">
        <w:rPr>
          <w:rFonts w:eastAsia="Calibri" w:cs="Times New Roman"/>
          <w:sz w:val="28"/>
          <w:szCs w:val="28"/>
        </w:rPr>
        <w:tab/>
        <w:t>Серед клітинних елементів фібробластичного ряду виявляються як малоспеціалізовані (юні) фібробласти так і зрілі, диференційовані форми та клітинні елементи великих розмірів, переважно овальної форми, в ц</w:t>
      </w:r>
      <w:r w:rsidR="00122C61">
        <w:rPr>
          <w:rFonts w:eastAsia="Calibri" w:cs="Times New Roman"/>
          <w:sz w:val="28"/>
          <w:szCs w:val="28"/>
        </w:rPr>
        <w:t xml:space="preserve">итоплазмі </w:t>
      </w:r>
      <w:r w:rsidR="00122C61">
        <w:rPr>
          <w:rFonts w:eastAsia="Calibri" w:cs="Times New Roman"/>
          <w:sz w:val="28"/>
          <w:szCs w:val="28"/>
        </w:rPr>
        <w:lastRenderedPageBreak/>
        <w:t>яких також розташовують</w:t>
      </w:r>
      <w:r w:rsidRPr="00CA099F">
        <w:rPr>
          <w:rFonts w:eastAsia="Calibri" w:cs="Times New Roman"/>
          <w:sz w:val="28"/>
          <w:szCs w:val="28"/>
        </w:rPr>
        <w:t>ся округлі ядра, що займають набагато менший об'єм внутрішньоклітинного простору. При проведенні імунногістохімічного дослідження з антитілами до універсального маркера проліферативної активності Кі - 67, у базальному шарі багатошарового плоского епітелію, приблизно в 30% клітинних елементів спостерігається інтрануклеарна експресія цього маркера високої або середньої інтенсивності.</w:t>
      </w:r>
    </w:p>
    <w:p w:rsidR="0030517B" w:rsidRPr="00CA099F" w:rsidRDefault="0030517B" w:rsidP="0030517B">
      <w:pPr>
        <w:spacing w:after="160" w:line="360" w:lineRule="auto"/>
        <w:jc w:val="both"/>
        <w:rPr>
          <w:rFonts w:eastAsia="Calibri" w:cs="Times New Roman"/>
          <w:sz w:val="28"/>
          <w:szCs w:val="28"/>
        </w:rPr>
      </w:pPr>
      <w:r w:rsidRPr="00CA099F">
        <w:rPr>
          <w:rFonts w:eastAsia="Calibri" w:cs="Times New Roman"/>
          <w:sz w:val="28"/>
          <w:szCs w:val="28"/>
        </w:rPr>
        <w:tab/>
        <w:t xml:space="preserve">У пацієнтів 1 групи, яким був введений PRF-згусток, через 3 місяці макроскопічно </w:t>
      </w:r>
      <w:r w:rsidR="002C4C01" w:rsidRPr="002C4C01">
        <w:rPr>
          <w:rFonts w:eastAsia="Calibri" w:cs="Times New Roman"/>
          <w:sz w:val="28"/>
          <w:szCs w:val="28"/>
        </w:rPr>
        <w:t>в д</w:t>
      </w:r>
      <w:r w:rsidR="002C4C01">
        <w:rPr>
          <w:rFonts w:eastAsia="Calibri" w:cs="Times New Roman"/>
          <w:sz w:val="28"/>
          <w:szCs w:val="28"/>
        </w:rPr>
        <w:t>ілянці</w:t>
      </w:r>
      <w:r w:rsidRPr="00CA099F">
        <w:rPr>
          <w:rFonts w:eastAsia="Calibri" w:cs="Times New Roman"/>
          <w:sz w:val="28"/>
          <w:szCs w:val="28"/>
        </w:rPr>
        <w:t xml:space="preserve"> післяопераційного рубця не є видимих відмінностей від контрольної групи. Зафіксована наявність пласта багатошарового плоского епітелію над усією поверхнею сполучнотканинного рубця, що формується. Практично в усіх спостереженнях товщина епітеліальног</w:t>
      </w:r>
      <w:r w:rsidR="003F1F3D">
        <w:rPr>
          <w:rFonts w:eastAsia="Calibri" w:cs="Times New Roman"/>
          <w:sz w:val="28"/>
          <w:szCs w:val="28"/>
        </w:rPr>
        <w:t>о покриву практично не відрізняєть</w:t>
      </w:r>
      <w:r w:rsidRPr="00CA099F">
        <w:rPr>
          <w:rFonts w:eastAsia="Calibri" w:cs="Times New Roman"/>
          <w:sz w:val="28"/>
          <w:szCs w:val="28"/>
        </w:rPr>
        <w:t>ся від аналогічного показника в контрольній групі, що не суперечить даним літератури [65]. Формування епітеліальних кіст і вогнищ дискератозу в цій клінічній групі не вияв</w:t>
      </w:r>
      <w:r w:rsidR="003F1F3D">
        <w:rPr>
          <w:rFonts w:eastAsia="Calibri" w:cs="Times New Roman"/>
          <w:sz w:val="28"/>
          <w:szCs w:val="28"/>
        </w:rPr>
        <w:t>ляється</w:t>
      </w:r>
      <w:r w:rsidRPr="00CA099F">
        <w:rPr>
          <w:rFonts w:eastAsia="Calibri" w:cs="Times New Roman"/>
          <w:sz w:val="28"/>
          <w:szCs w:val="28"/>
        </w:rPr>
        <w:t>.</w:t>
      </w:r>
    </w:p>
    <w:p w:rsidR="0030517B" w:rsidRPr="00CA099F" w:rsidRDefault="0030517B" w:rsidP="0030517B">
      <w:pPr>
        <w:spacing w:after="160" w:line="360" w:lineRule="auto"/>
        <w:jc w:val="both"/>
        <w:rPr>
          <w:rFonts w:eastAsia="Calibri" w:cs="Times New Roman"/>
          <w:sz w:val="28"/>
          <w:szCs w:val="28"/>
        </w:rPr>
      </w:pPr>
      <w:r w:rsidRPr="00CA099F">
        <w:rPr>
          <w:rFonts w:eastAsia="Calibri" w:cs="Times New Roman"/>
          <w:sz w:val="28"/>
          <w:szCs w:val="28"/>
        </w:rPr>
        <w:tab/>
        <w:t>Найменша кількість клітин, практично тільки дифере</w:t>
      </w:r>
      <w:r w:rsidR="002C4C01">
        <w:rPr>
          <w:rFonts w:eastAsia="Calibri" w:cs="Times New Roman"/>
          <w:sz w:val="28"/>
          <w:szCs w:val="28"/>
        </w:rPr>
        <w:t>нційованих фібробластів виявля</w:t>
      </w:r>
      <w:r w:rsidR="003F1F3D">
        <w:rPr>
          <w:rFonts w:eastAsia="Calibri" w:cs="Times New Roman"/>
          <w:sz w:val="28"/>
          <w:szCs w:val="28"/>
        </w:rPr>
        <w:t>єть</w:t>
      </w:r>
      <w:r w:rsidRPr="00CA099F">
        <w:rPr>
          <w:rFonts w:eastAsia="Calibri" w:cs="Times New Roman"/>
          <w:sz w:val="28"/>
          <w:szCs w:val="28"/>
        </w:rPr>
        <w:t>ся у базальних відділах. Прицільне виявлення колагенових волокон за допомогою фарбування гістологічних зрізів пикрофуксином, дозволяє виявити найбільшу кількість останніх у базальних відділах рубця, що формується.</w:t>
      </w:r>
    </w:p>
    <w:p w:rsidR="0030517B" w:rsidRPr="00CA099F" w:rsidRDefault="0030517B" w:rsidP="0003712A">
      <w:pPr>
        <w:spacing w:after="160" w:line="360" w:lineRule="auto"/>
        <w:ind w:firstLine="708"/>
        <w:jc w:val="both"/>
        <w:rPr>
          <w:rFonts w:eastAsia="Calibri" w:cs="Times New Roman"/>
          <w:sz w:val="28"/>
          <w:szCs w:val="28"/>
        </w:rPr>
      </w:pPr>
      <w:r w:rsidRPr="00CA099F">
        <w:rPr>
          <w:rFonts w:eastAsia="Calibri" w:cs="Times New Roman"/>
          <w:sz w:val="28"/>
          <w:szCs w:val="28"/>
        </w:rPr>
        <w:t>Проведене нами імуногістохімічне дослідження з антитілами до універсального маркера проліферативної активності Кі - 67, також дозволило приблизно в 30% базальних епітеліоцитів виявити інтрануклеарну експресію. Позитивна реакція до цих антитіл, як і в попередній групі, зрідка зустріча</w:t>
      </w:r>
      <w:r w:rsidR="003F1F3D">
        <w:rPr>
          <w:rFonts w:eastAsia="Calibri" w:cs="Times New Roman"/>
          <w:sz w:val="28"/>
          <w:szCs w:val="28"/>
        </w:rPr>
        <w:t>єть</w:t>
      </w:r>
      <w:r w:rsidRPr="00CA099F">
        <w:rPr>
          <w:rFonts w:eastAsia="Calibri" w:cs="Times New Roman"/>
          <w:sz w:val="28"/>
          <w:szCs w:val="28"/>
        </w:rPr>
        <w:t>ся у фібробластах і клітинних структурах стінки дрібних кровоносних судин.</w:t>
      </w:r>
    </w:p>
    <w:p w:rsidR="0030517B" w:rsidRPr="00CA099F" w:rsidRDefault="0030517B" w:rsidP="0003712A">
      <w:pPr>
        <w:spacing w:after="160" w:line="360" w:lineRule="auto"/>
        <w:ind w:firstLine="708"/>
        <w:jc w:val="both"/>
        <w:rPr>
          <w:rFonts w:eastAsia="Calibri" w:cs="Times New Roman"/>
          <w:sz w:val="28"/>
          <w:szCs w:val="28"/>
        </w:rPr>
      </w:pPr>
      <w:r w:rsidRPr="00CA099F">
        <w:rPr>
          <w:rFonts w:eastAsia="Calibri" w:cs="Times New Roman"/>
          <w:sz w:val="28"/>
          <w:szCs w:val="28"/>
        </w:rPr>
        <w:t xml:space="preserve">У 2 групі </w:t>
      </w:r>
      <w:r w:rsidR="00D96DA9">
        <w:rPr>
          <w:rFonts w:eastAsia="Calibri" w:cs="Times New Roman"/>
          <w:sz w:val="28"/>
          <w:szCs w:val="28"/>
        </w:rPr>
        <w:t>пацієнтів</w:t>
      </w:r>
      <w:r w:rsidRPr="00CA099F">
        <w:rPr>
          <w:rFonts w:eastAsia="Calibri" w:cs="Times New Roman"/>
          <w:sz w:val="28"/>
          <w:szCs w:val="28"/>
        </w:rPr>
        <w:t xml:space="preserve">, які разом з введенням PRF-згустка отримували препарат «Біоцирулін» область післяопераційного втручання через 3 місяці, при візуальному огляді практично не відрізняється від такої у попередніх груп. Мікроскопічно на препаратах забарвлених гематоксиліном і еозином над </w:t>
      </w:r>
      <w:r w:rsidRPr="00CA099F">
        <w:rPr>
          <w:rFonts w:eastAsia="Calibri" w:cs="Times New Roman"/>
          <w:sz w:val="28"/>
          <w:szCs w:val="28"/>
        </w:rPr>
        <w:lastRenderedPageBreak/>
        <w:t>рубцем, що формується, всюди визначається багатошаровий плоский епітелій, товщина якого дещо більше, ніж в попередніх групах. Розташований під покривним епітелієм рубець, що формується, має деякі відмінності від такого в описаних раніше групах. Найбільш характерною відмінністю є помітне зменшення питомої ваги розташування клітинних елементів 290 ± 25 в 10000 мкм</w:t>
      </w:r>
      <w:r w:rsidRPr="00CA099F">
        <w:rPr>
          <w:rFonts w:eastAsia="Calibri" w:cs="Times New Roman"/>
          <w:sz w:val="28"/>
          <w:szCs w:val="28"/>
          <w:vertAlign w:val="superscript"/>
        </w:rPr>
        <w:t>2</w:t>
      </w:r>
      <w:r w:rsidRPr="00CA099F">
        <w:rPr>
          <w:rFonts w:eastAsia="Calibri" w:cs="Times New Roman"/>
          <w:sz w:val="28"/>
          <w:szCs w:val="28"/>
        </w:rPr>
        <w:t>.</w:t>
      </w:r>
    </w:p>
    <w:p w:rsidR="0030517B" w:rsidRPr="00CA099F" w:rsidRDefault="0030517B" w:rsidP="0003712A">
      <w:pPr>
        <w:spacing w:after="160" w:line="360" w:lineRule="auto"/>
        <w:ind w:firstLine="708"/>
        <w:jc w:val="both"/>
        <w:rPr>
          <w:rFonts w:eastAsia="Calibri" w:cs="Times New Roman"/>
          <w:sz w:val="28"/>
          <w:szCs w:val="28"/>
        </w:rPr>
      </w:pPr>
      <w:r w:rsidRPr="00CA099F">
        <w:rPr>
          <w:rFonts w:eastAsia="Calibri" w:cs="Times New Roman"/>
          <w:sz w:val="28"/>
          <w:szCs w:val="28"/>
        </w:rPr>
        <w:t xml:space="preserve">Визначення проліферативної активності клітинних елементів в області рубця, що формується, за допомогою універсального маркера проліферативної </w:t>
      </w:r>
      <w:r w:rsidR="005A5079">
        <w:rPr>
          <w:rFonts w:eastAsia="Calibri" w:cs="Times New Roman"/>
          <w:sz w:val="28"/>
          <w:szCs w:val="28"/>
        </w:rPr>
        <w:t>активності Кі - 67, не дозволяє</w:t>
      </w:r>
      <w:r w:rsidRPr="00CA099F">
        <w:rPr>
          <w:rFonts w:eastAsia="Calibri" w:cs="Times New Roman"/>
          <w:sz w:val="28"/>
          <w:szCs w:val="28"/>
        </w:rPr>
        <w:t xml:space="preserve"> виявити помітних відмінностей в мітотичній активності клітин базального шару покривного епітелію, інтрануклеарна експресія цього маркера має місце приблизно в 30% клітин.</w:t>
      </w:r>
    </w:p>
    <w:p w:rsidR="0030517B" w:rsidRPr="00CA099F" w:rsidRDefault="0030517B" w:rsidP="0003712A">
      <w:pPr>
        <w:spacing w:after="160" w:line="360" w:lineRule="auto"/>
        <w:ind w:firstLine="708"/>
        <w:jc w:val="both"/>
        <w:rPr>
          <w:rFonts w:eastAsia="Calibri" w:cs="Times New Roman"/>
          <w:sz w:val="28"/>
          <w:szCs w:val="28"/>
        </w:rPr>
      </w:pPr>
      <w:r w:rsidRPr="00CA099F">
        <w:rPr>
          <w:rFonts w:eastAsia="Calibri" w:cs="Times New Roman"/>
          <w:sz w:val="28"/>
          <w:szCs w:val="28"/>
        </w:rPr>
        <w:t>Мікроскопічне дослідження рубцевої тканини пацієнтів контрольної групи на 6 місяць пі</w:t>
      </w:r>
      <w:r w:rsidR="00F0178A">
        <w:rPr>
          <w:rFonts w:eastAsia="Calibri" w:cs="Times New Roman"/>
          <w:sz w:val="28"/>
          <w:szCs w:val="28"/>
        </w:rPr>
        <w:t>сляопераційного періоду дозволяє</w:t>
      </w:r>
      <w:r w:rsidRPr="00CA099F">
        <w:rPr>
          <w:rFonts w:eastAsia="Calibri" w:cs="Times New Roman"/>
          <w:sz w:val="28"/>
          <w:szCs w:val="28"/>
        </w:rPr>
        <w:t xml:space="preserve"> виявити в усіх випадках над рубцем наявність суцільного епітеліального покриву, який при малих збільшеннях світлового мікроскопа практично не ма</w:t>
      </w:r>
      <w:r w:rsidR="00F0178A">
        <w:rPr>
          <w:rFonts w:eastAsia="Calibri" w:cs="Times New Roman"/>
          <w:sz w:val="28"/>
          <w:szCs w:val="28"/>
        </w:rPr>
        <w:t>є</w:t>
      </w:r>
      <w:r w:rsidRPr="00CA099F">
        <w:rPr>
          <w:rFonts w:eastAsia="Calibri" w:cs="Times New Roman"/>
          <w:sz w:val="28"/>
          <w:szCs w:val="28"/>
        </w:rPr>
        <w:t xml:space="preserve"> помітних відмінностей від інтактного епідермісу, що свідчи</w:t>
      </w:r>
      <w:r w:rsidR="00F0178A">
        <w:rPr>
          <w:rFonts w:eastAsia="Calibri" w:cs="Times New Roman"/>
          <w:sz w:val="28"/>
          <w:szCs w:val="28"/>
        </w:rPr>
        <w:t>ть</w:t>
      </w:r>
      <w:r w:rsidRPr="00CA099F">
        <w:rPr>
          <w:rFonts w:eastAsia="Calibri" w:cs="Times New Roman"/>
          <w:sz w:val="28"/>
          <w:szCs w:val="28"/>
        </w:rPr>
        <w:t xml:space="preserve"> про завершений процес епітелізації.</w:t>
      </w:r>
    </w:p>
    <w:p w:rsidR="0030517B" w:rsidRPr="00CA099F" w:rsidRDefault="00F0178A" w:rsidP="0003712A">
      <w:pPr>
        <w:spacing w:after="160" w:line="360" w:lineRule="auto"/>
        <w:ind w:firstLine="708"/>
        <w:jc w:val="both"/>
        <w:rPr>
          <w:rFonts w:eastAsia="Calibri" w:cs="Times New Roman"/>
          <w:sz w:val="28"/>
          <w:szCs w:val="28"/>
        </w:rPr>
      </w:pPr>
      <w:r w:rsidRPr="002F147B">
        <w:rPr>
          <w:rFonts w:eastAsia="Calibri" w:cs="Times New Roman"/>
          <w:sz w:val="28"/>
          <w:szCs w:val="28"/>
        </w:rPr>
        <w:t xml:space="preserve">У </w:t>
      </w:r>
      <w:r w:rsidR="002F147B" w:rsidRPr="002F147B">
        <w:rPr>
          <w:rFonts w:eastAsia="Calibri" w:cs="Times New Roman"/>
          <w:sz w:val="28"/>
          <w:szCs w:val="28"/>
        </w:rPr>
        <w:t>2</w:t>
      </w:r>
      <w:r w:rsidRPr="002F147B">
        <w:rPr>
          <w:rFonts w:eastAsia="Calibri" w:cs="Times New Roman"/>
          <w:sz w:val="28"/>
          <w:szCs w:val="28"/>
        </w:rPr>
        <w:t>5</w:t>
      </w:r>
      <w:r w:rsidR="002F147B" w:rsidRPr="002F147B">
        <w:rPr>
          <w:rFonts w:eastAsia="Calibri" w:cs="Times New Roman"/>
          <w:sz w:val="28"/>
          <w:szCs w:val="28"/>
        </w:rPr>
        <w:t>% спостережень</w:t>
      </w:r>
      <w:r w:rsidR="0030517B" w:rsidRPr="00CA099F">
        <w:rPr>
          <w:rFonts w:eastAsia="Calibri" w:cs="Times New Roman"/>
          <w:sz w:val="28"/>
          <w:szCs w:val="28"/>
        </w:rPr>
        <w:t xml:space="preserve"> відзнача</w:t>
      </w:r>
      <w:r>
        <w:rPr>
          <w:rFonts w:eastAsia="Calibri" w:cs="Times New Roman"/>
          <w:sz w:val="28"/>
          <w:szCs w:val="28"/>
        </w:rPr>
        <w:t>єть</w:t>
      </w:r>
      <w:r w:rsidR="0030517B" w:rsidRPr="00CA099F">
        <w:rPr>
          <w:rFonts w:eastAsia="Calibri" w:cs="Times New Roman"/>
          <w:sz w:val="28"/>
          <w:szCs w:val="28"/>
        </w:rPr>
        <w:t xml:space="preserve">ся порушення типового </w:t>
      </w:r>
      <w:r w:rsidR="002F147B">
        <w:rPr>
          <w:rFonts w:eastAsia="Calibri" w:cs="Times New Roman"/>
          <w:sz w:val="28"/>
          <w:szCs w:val="28"/>
        </w:rPr>
        <w:t>процесу епітелізації, пов'язані</w:t>
      </w:r>
      <w:r w:rsidR="0030517B" w:rsidRPr="00CA099F">
        <w:rPr>
          <w:rFonts w:eastAsia="Calibri" w:cs="Times New Roman"/>
          <w:sz w:val="28"/>
          <w:szCs w:val="28"/>
        </w:rPr>
        <w:t xml:space="preserve"> з деяким порушенням проліферативної активності епітеліоцитів і процесом їх диференціювання. Епітеліоцити базального і шипуватого шарів диференціюються насилу і істотно відрізняються від типових. Слід зазначити деякий поліморфізм епітеліоцитів у різних зонах епітеліального покриву сполучнотканинного рубця. Описані морфологічні зміни свідчать про внутрішньоклітинну дистрофію, що </w:t>
      </w:r>
      <w:r w:rsidR="0042173A">
        <w:rPr>
          <w:rFonts w:eastAsia="Calibri" w:cs="Times New Roman"/>
          <w:sz w:val="28"/>
          <w:szCs w:val="28"/>
        </w:rPr>
        <w:t>спостерігається</w:t>
      </w:r>
      <w:r w:rsidR="0030517B" w:rsidRPr="00CA099F">
        <w:rPr>
          <w:rFonts w:eastAsia="Calibri" w:cs="Times New Roman"/>
          <w:sz w:val="28"/>
          <w:szCs w:val="28"/>
        </w:rPr>
        <w:t xml:space="preserve"> в епітеліальному пласті внаслідок розладу трофічних процесів.</w:t>
      </w:r>
    </w:p>
    <w:p w:rsidR="0030517B" w:rsidRPr="00CA099F" w:rsidRDefault="0030517B" w:rsidP="0003712A">
      <w:pPr>
        <w:spacing w:after="160" w:line="360" w:lineRule="auto"/>
        <w:ind w:firstLine="708"/>
        <w:jc w:val="both"/>
        <w:rPr>
          <w:rFonts w:eastAsia="Calibri" w:cs="Times New Roman"/>
          <w:sz w:val="28"/>
          <w:szCs w:val="28"/>
        </w:rPr>
      </w:pPr>
      <w:r w:rsidRPr="00CA099F">
        <w:rPr>
          <w:rFonts w:eastAsia="Calibri" w:cs="Times New Roman"/>
          <w:sz w:val="28"/>
          <w:szCs w:val="28"/>
        </w:rPr>
        <w:t xml:space="preserve">Окрім фібробластів у рубцевій тканині в незначній кількості визначаються лімфоцити, плазматичні клітини, лаброцити. Характер розподілу клітинних структур практично однорідний в усіх відділах рубця, що не дозволяє виділити в нім як раніше, окремі зони. Помітно в рубці зростає </w:t>
      </w:r>
      <w:r w:rsidRPr="00CA099F">
        <w:rPr>
          <w:rFonts w:eastAsia="Calibri" w:cs="Times New Roman"/>
          <w:sz w:val="28"/>
          <w:szCs w:val="28"/>
        </w:rPr>
        <w:lastRenderedPageBreak/>
        <w:t>відносна кількість колагенових волокон, пучки яких на препаратах забарвлених гематоксиліном і еозином мають вигляд еозинофільних, гомогенних тяжів, а пикро</w:t>
      </w:r>
      <w:r w:rsidR="00C006AF">
        <w:rPr>
          <w:rFonts w:eastAsia="Calibri" w:cs="Times New Roman"/>
          <w:sz w:val="28"/>
          <w:szCs w:val="28"/>
        </w:rPr>
        <w:t>фуксином інтенсивно забарвлювають</w:t>
      </w:r>
      <w:r w:rsidRPr="00CA099F">
        <w:rPr>
          <w:rFonts w:eastAsia="Calibri" w:cs="Times New Roman"/>
          <w:sz w:val="28"/>
          <w:szCs w:val="28"/>
        </w:rPr>
        <w:t>ся в яскраво-червоний колір.</w:t>
      </w:r>
    </w:p>
    <w:p w:rsidR="0030517B" w:rsidRPr="00CA099F" w:rsidRDefault="0030517B" w:rsidP="0003712A">
      <w:pPr>
        <w:spacing w:after="160" w:line="360" w:lineRule="auto"/>
        <w:ind w:firstLine="708"/>
        <w:jc w:val="both"/>
        <w:rPr>
          <w:rFonts w:eastAsia="Calibri" w:cs="Times New Roman"/>
          <w:sz w:val="28"/>
          <w:szCs w:val="28"/>
        </w:rPr>
      </w:pPr>
      <w:r w:rsidRPr="00CA099F">
        <w:rPr>
          <w:rFonts w:eastAsia="Calibri" w:cs="Times New Roman"/>
          <w:sz w:val="28"/>
          <w:szCs w:val="28"/>
        </w:rPr>
        <w:t>Проведене імуногістохімічне дослі</w:t>
      </w:r>
      <w:r w:rsidR="000F3F1C">
        <w:rPr>
          <w:rFonts w:eastAsia="Calibri" w:cs="Times New Roman"/>
          <w:sz w:val="28"/>
          <w:szCs w:val="28"/>
        </w:rPr>
        <w:t>дження з антитілами до білку Кі</w:t>
      </w:r>
      <w:r w:rsidR="00C006AF">
        <w:rPr>
          <w:rFonts w:eastAsia="Calibri" w:cs="Times New Roman"/>
          <w:sz w:val="28"/>
          <w:szCs w:val="28"/>
        </w:rPr>
        <w:t>-67, виявляє</w:t>
      </w:r>
      <w:r w:rsidRPr="00CA099F">
        <w:rPr>
          <w:rFonts w:eastAsia="Calibri" w:cs="Times New Roman"/>
          <w:sz w:val="28"/>
          <w:szCs w:val="28"/>
        </w:rPr>
        <w:t xml:space="preserve"> приблизно</w:t>
      </w:r>
      <w:r w:rsidR="00C006AF">
        <w:rPr>
          <w:rFonts w:eastAsia="Calibri" w:cs="Times New Roman"/>
          <w:sz w:val="28"/>
          <w:szCs w:val="28"/>
        </w:rPr>
        <w:t xml:space="preserve"> в 20% базальних епітеліоцитів </w:t>
      </w:r>
      <w:r w:rsidRPr="00CA099F">
        <w:rPr>
          <w:rFonts w:eastAsia="Calibri" w:cs="Times New Roman"/>
          <w:sz w:val="28"/>
          <w:szCs w:val="28"/>
        </w:rPr>
        <w:t>позитивну інтрануклеарну експресію. Клітини сполучнотканинного рубця лише в одиничних спостереженнях позитивні до вказаного маркера.</w:t>
      </w:r>
    </w:p>
    <w:p w:rsidR="0030517B" w:rsidRPr="00CA099F" w:rsidRDefault="0030517B" w:rsidP="0003712A">
      <w:pPr>
        <w:spacing w:after="160" w:line="360" w:lineRule="auto"/>
        <w:ind w:firstLine="708"/>
        <w:jc w:val="both"/>
        <w:rPr>
          <w:rFonts w:eastAsia="Calibri" w:cs="Times New Roman"/>
          <w:sz w:val="28"/>
          <w:szCs w:val="28"/>
        </w:rPr>
      </w:pPr>
      <w:r w:rsidRPr="00CA099F">
        <w:rPr>
          <w:rFonts w:eastAsia="Calibri" w:cs="Times New Roman"/>
          <w:sz w:val="28"/>
          <w:szCs w:val="28"/>
        </w:rPr>
        <w:t xml:space="preserve">У </w:t>
      </w:r>
      <w:r w:rsidR="00D96DA9">
        <w:rPr>
          <w:rFonts w:eastAsia="Calibri" w:cs="Times New Roman"/>
          <w:sz w:val="28"/>
          <w:szCs w:val="28"/>
        </w:rPr>
        <w:t>пацієнтів</w:t>
      </w:r>
      <w:r w:rsidRPr="00CA099F">
        <w:rPr>
          <w:rFonts w:eastAsia="Calibri" w:cs="Times New Roman"/>
          <w:sz w:val="28"/>
          <w:szCs w:val="28"/>
        </w:rPr>
        <w:t xml:space="preserve"> 1 групи у епітеліальному пласті визначаються базальний, шипуватий, зернистий і роговий шари, клітинний склад яких не має помітних відмінностей від інтактного епідермісу. Сполучнотканинні сосочки, що розділяються акантотичними епітеліальними пластами, мають типову будову, відносно мономорфні розміри і практично не відрізня</w:t>
      </w:r>
      <w:r w:rsidR="00AD2774">
        <w:rPr>
          <w:rFonts w:eastAsia="Calibri" w:cs="Times New Roman"/>
          <w:sz w:val="28"/>
          <w:szCs w:val="28"/>
        </w:rPr>
        <w:t>ють</w:t>
      </w:r>
      <w:r w:rsidRPr="00CA099F">
        <w:rPr>
          <w:rFonts w:eastAsia="Calibri" w:cs="Times New Roman"/>
          <w:sz w:val="28"/>
          <w:szCs w:val="28"/>
        </w:rPr>
        <w:t>ся від таких в інтактній шкірі.</w:t>
      </w:r>
    </w:p>
    <w:p w:rsidR="0030517B" w:rsidRPr="00CA099F" w:rsidRDefault="0030517B" w:rsidP="0003712A">
      <w:pPr>
        <w:spacing w:after="160" w:line="360" w:lineRule="auto"/>
        <w:ind w:firstLine="708"/>
        <w:jc w:val="both"/>
        <w:rPr>
          <w:rFonts w:eastAsia="Calibri" w:cs="Times New Roman"/>
          <w:sz w:val="28"/>
          <w:szCs w:val="28"/>
        </w:rPr>
      </w:pPr>
      <w:r w:rsidRPr="00CA099F">
        <w:rPr>
          <w:rFonts w:eastAsia="Calibri" w:cs="Times New Roman"/>
          <w:sz w:val="28"/>
          <w:szCs w:val="28"/>
        </w:rPr>
        <w:t>Розташування пучків колагенових волокон зберігає виявлену раніше тенденцію – в апікальних відділах рубця вони розташову</w:t>
      </w:r>
      <w:r w:rsidR="00AD2774">
        <w:rPr>
          <w:rFonts w:eastAsia="Calibri" w:cs="Times New Roman"/>
          <w:sz w:val="28"/>
          <w:szCs w:val="28"/>
        </w:rPr>
        <w:t>ють</w:t>
      </w:r>
      <w:r w:rsidRPr="00CA099F">
        <w:rPr>
          <w:rFonts w:eastAsia="Calibri" w:cs="Times New Roman"/>
          <w:sz w:val="28"/>
          <w:szCs w:val="28"/>
        </w:rPr>
        <w:t>ся переважно перпендикулярно до покривного епітелію, в середніх і базальних відділах – паралельно. Товщина фібрилярних пучків приблизно відповідає такій в контрольній групі.</w:t>
      </w:r>
    </w:p>
    <w:p w:rsidR="0030517B" w:rsidRPr="00CA099F" w:rsidRDefault="0030517B" w:rsidP="0003712A">
      <w:pPr>
        <w:spacing w:after="160" w:line="360" w:lineRule="auto"/>
        <w:ind w:firstLine="708"/>
        <w:jc w:val="both"/>
        <w:rPr>
          <w:rFonts w:eastAsia="Calibri" w:cs="Times New Roman"/>
          <w:sz w:val="28"/>
          <w:szCs w:val="28"/>
        </w:rPr>
      </w:pPr>
      <w:r w:rsidRPr="00CA099F">
        <w:rPr>
          <w:rFonts w:eastAsia="Calibri" w:cs="Times New Roman"/>
          <w:sz w:val="28"/>
          <w:szCs w:val="28"/>
        </w:rPr>
        <w:t xml:space="preserve">Помітних змін у конструкції кровоносного мікроциркуляторного русла рубця </w:t>
      </w:r>
      <w:r w:rsidR="00AD2774">
        <w:rPr>
          <w:rFonts w:eastAsia="Calibri" w:cs="Times New Roman"/>
          <w:sz w:val="28"/>
          <w:szCs w:val="28"/>
        </w:rPr>
        <w:t xml:space="preserve">не </w:t>
      </w:r>
      <w:r w:rsidRPr="00CA099F">
        <w:rPr>
          <w:rFonts w:eastAsia="Calibri" w:cs="Times New Roman"/>
          <w:sz w:val="28"/>
          <w:szCs w:val="28"/>
        </w:rPr>
        <w:t>виявл</w:t>
      </w:r>
      <w:r w:rsidR="00AD2774">
        <w:rPr>
          <w:rFonts w:eastAsia="Calibri" w:cs="Times New Roman"/>
          <w:sz w:val="28"/>
          <w:szCs w:val="28"/>
        </w:rPr>
        <w:t>яється</w:t>
      </w:r>
      <w:r w:rsidRPr="00CA099F">
        <w:rPr>
          <w:rFonts w:eastAsia="Calibri" w:cs="Times New Roman"/>
          <w:sz w:val="28"/>
          <w:szCs w:val="28"/>
        </w:rPr>
        <w:t>, реакція з антитілами до білку Кі - 67, також вияв</w:t>
      </w:r>
      <w:r w:rsidR="00AD2774">
        <w:rPr>
          <w:rFonts w:eastAsia="Calibri" w:cs="Times New Roman"/>
          <w:sz w:val="28"/>
          <w:szCs w:val="28"/>
        </w:rPr>
        <w:t>ляє</w:t>
      </w:r>
      <w:r w:rsidRPr="00CA099F">
        <w:rPr>
          <w:rFonts w:eastAsia="Calibri" w:cs="Times New Roman"/>
          <w:sz w:val="28"/>
          <w:szCs w:val="28"/>
        </w:rPr>
        <w:t xml:space="preserve"> приблизно в 20% базальних епітеліоцитів позитивну інтрануклеарну експресію, що можливо є досить стабільним показником. Клітини сполучнотканинного рубця украй рідко </w:t>
      </w:r>
      <w:r w:rsidR="008D527F">
        <w:rPr>
          <w:rFonts w:eastAsia="Calibri" w:cs="Times New Roman"/>
          <w:sz w:val="28"/>
          <w:szCs w:val="28"/>
        </w:rPr>
        <w:t>є</w:t>
      </w:r>
      <w:r w:rsidRPr="00CA099F">
        <w:rPr>
          <w:rFonts w:eastAsia="Calibri" w:cs="Times New Roman"/>
          <w:sz w:val="28"/>
          <w:szCs w:val="28"/>
        </w:rPr>
        <w:t xml:space="preserve"> позитивн</w:t>
      </w:r>
      <w:r w:rsidR="008D527F">
        <w:rPr>
          <w:rFonts w:eastAsia="Calibri" w:cs="Times New Roman"/>
          <w:sz w:val="28"/>
          <w:szCs w:val="28"/>
        </w:rPr>
        <w:t>ими</w:t>
      </w:r>
      <w:r w:rsidRPr="00CA099F">
        <w:rPr>
          <w:rFonts w:eastAsia="Calibri" w:cs="Times New Roman"/>
          <w:sz w:val="28"/>
          <w:szCs w:val="28"/>
        </w:rPr>
        <w:t xml:space="preserve"> до вказаного маркера.</w:t>
      </w:r>
    </w:p>
    <w:p w:rsidR="0030517B" w:rsidRPr="00CA099F" w:rsidRDefault="0030517B" w:rsidP="0003712A">
      <w:pPr>
        <w:spacing w:after="160" w:line="360" w:lineRule="auto"/>
        <w:ind w:firstLine="708"/>
        <w:jc w:val="both"/>
        <w:rPr>
          <w:rFonts w:eastAsia="Calibri" w:cs="Times New Roman"/>
          <w:sz w:val="28"/>
          <w:szCs w:val="28"/>
        </w:rPr>
      </w:pPr>
      <w:r w:rsidRPr="00CA099F">
        <w:rPr>
          <w:rFonts w:eastAsia="Calibri" w:cs="Times New Roman"/>
          <w:sz w:val="28"/>
          <w:szCs w:val="28"/>
        </w:rPr>
        <w:t xml:space="preserve">У 2 групі </w:t>
      </w:r>
      <w:r w:rsidR="00D96DA9">
        <w:rPr>
          <w:rFonts w:eastAsia="Calibri" w:cs="Times New Roman"/>
          <w:sz w:val="28"/>
          <w:szCs w:val="28"/>
        </w:rPr>
        <w:t>пацієнтів</w:t>
      </w:r>
      <w:r w:rsidRPr="00CA099F">
        <w:rPr>
          <w:rFonts w:eastAsia="Calibri" w:cs="Times New Roman"/>
          <w:sz w:val="28"/>
          <w:szCs w:val="28"/>
        </w:rPr>
        <w:t xml:space="preserve"> помітних порушень в процесі епітелізації, в цій клінічній групі </w:t>
      </w:r>
      <w:r w:rsidR="008C0E8F">
        <w:rPr>
          <w:rFonts w:eastAsia="Calibri" w:cs="Times New Roman"/>
          <w:sz w:val="28"/>
          <w:szCs w:val="28"/>
        </w:rPr>
        <w:t>не</w:t>
      </w:r>
      <w:r w:rsidRPr="00CA099F">
        <w:rPr>
          <w:rFonts w:eastAsia="Calibri" w:cs="Times New Roman"/>
          <w:sz w:val="28"/>
          <w:szCs w:val="28"/>
        </w:rPr>
        <w:t xml:space="preserve"> виявл</w:t>
      </w:r>
      <w:r w:rsidR="008C0E8F">
        <w:rPr>
          <w:rFonts w:eastAsia="Calibri" w:cs="Times New Roman"/>
          <w:sz w:val="28"/>
          <w:szCs w:val="28"/>
        </w:rPr>
        <w:t>яється. Зрідка, в шипуватому шарі має</w:t>
      </w:r>
      <w:r w:rsidRPr="00CA099F">
        <w:rPr>
          <w:rFonts w:eastAsia="Calibri" w:cs="Times New Roman"/>
          <w:sz w:val="28"/>
          <w:szCs w:val="28"/>
        </w:rPr>
        <w:t xml:space="preserve"> місце надмірна кількість епітеліоцитів з явищами гідропічної дистрофії. Сполучнотканинні сосочки візуально не відрізняються від таких в інтактній дермі, розташовані </w:t>
      </w:r>
      <w:r w:rsidRPr="00CA099F">
        <w:rPr>
          <w:rFonts w:eastAsia="Calibri" w:cs="Times New Roman"/>
          <w:sz w:val="28"/>
          <w:szCs w:val="28"/>
        </w:rPr>
        <w:lastRenderedPageBreak/>
        <w:t>між ними епітеліальні пласти характеризуються мономорфною картиною і відносно однак</w:t>
      </w:r>
      <w:r w:rsidR="008C0E8F">
        <w:rPr>
          <w:rFonts w:eastAsia="Calibri" w:cs="Times New Roman"/>
          <w:sz w:val="28"/>
          <w:szCs w:val="28"/>
        </w:rPr>
        <w:t>овими розмірами. Украй рідко має</w:t>
      </w:r>
      <w:r w:rsidRPr="00CA099F">
        <w:rPr>
          <w:rFonts w:eastAsia="Calibri" w:cs="Times New Roman"/>
          <w:sz w:val="28"/>
          <w:szCs w:val="28"/>
        </w:rPr>
        <w:t xml:space="preserve"> місце формування акантотичних тяжів, які глибоко занурю</w:t>
      </w:r>
      <w:r w:rsidR="008C0E8F">
        <w:rPr>
          <w:rFonts w:eastAsia="Calibri" w:cs="Times New Roman"/>
          <w:sz w:val="28"/>
          <w:szCs w:val="28"/>
        </w:rPr>
        <w:t>ють</w:t>
      </w:r>
      <w:r w:rsidRPr="00CA099F">
        <w:rPr>
          <w:rFonts w:eastAsia="Calibri" w:cs="Times New Roman"/>
          <w:sz w:val="28"/>
          <w:szCs w:val="28"/>
        </w:rPr>
        <w:t>ся до підлеглого сполучнотканинного рубця. Проведене морфометричне вивчення клітинного складу сполучнотканинного рубця дозвол</w:t>
      </w:r>
      <w:r w:rsidR="00E73DB2">
        <w:rPr>
          <w:rFonts w:eastAsia="Calibri" w:cs="Times New Roman"/>
          <w:sz w:val="28"/>
          <w:szCs w:val="28"/>
        </w:rPr>
        <w:t>яє</w:t>
      </w:r>
      <w:r w:rsidRPr="00CA099F">
        <w:rPr>
          <w:rFonts w:eastAsia="Calibri" w:cs="Times New Roman"/>
          <w:sz w:val="28"/>
          <w:szCs w:val="28"/>
        </w:rPr>
        <w:t xml:space="preserve"> виявити, в порівнянні з попередніми групами, незначне зменшення кількості клітинних елементів.</w:t>
      </w:r>
    </w:p>
    <w:p w:rsidR="0030517B" w:rsidRPr="00CA099F" w:rsidRDefault="0030517B" w:rsidP="0003712A">
      <w:pPr>
        <w:spacing w:after="160" w:line="360" w:lineRule="auto"/>
        <w:ind w:firstLine="709"/>
        <w:jc w:val="both"/>
        <w:rPr>
          <w:rFonts w:eastAsia="Calibri" w:cs="Times New Roman"/>
          <w:sz w:val="28"/>
          <w:szCs w:val="28"/>
        </w:rPr>
      </w:pPr>
      <w:r w:rsidRPr="00CA099F">
        <w:rPr>
          <w:rFonts w:eastAsia="Calibri" w:cs="Times New Roman"/>
          <w:sz w:val="28"/>
          <w:szCs w:val="28"/>
        </w:rPr>
        <w:t>Помітні зміни спостерігаються з боку фібрилярного компонента сполучнотканинного рубця. Пучки колагенових волокон, як і в описаних вище експериментальних групах</w:t>
      </w:r>
      <w:r w:rsidR="00E73DB2">
        <w:rPr>
          <w:rFonts w:eastAsia="Calibri" w:cs="Times New Roman"/>
          <w:sz w:val="28"/>
          <w:szCs w:val="28"/>
        </w:rPr>
        <w:t>,</w:t>
      </w:r>
      <w:r w:rsidRPr="00CA099F">
        <w:rPr>
          <w:rFonts w:eastAsia="Calibri" w:cs="Times New Roman"/>
          <w:sz w:val="28"/>
          <w:szCs w:val="28"/>
        </w:rPr>
        <w:t xml:space="preserve"> в апікальних відділах рубця розташовуються переважно перпендикулярно до покривного епітелію, в середніх і базальних відділах – паралельно. Проведена реакція з антитілами до білку Кі</w:t>
      </w:r>
      <w:r w:rsidR="00E73DB2">
        <w:rPr>
          <w:rFonts w:eastAsia="Calibri" w:cs="Times New Roman"/>
          <w:sz w:val="28"/>
          <w:szCs w:val="28"/>
        </w:rPr>
        <w:t xml:space="preserve"> - 67, виявляє</w:t>
      </w:r>
      <w:r w:rsidRPr="00CA099F">
        <w:rPr>
          <w:rFonts w:eastAsia="Calibri" w:cs="Times New Roman"/>
          <w:sz w:val="28"/>
          <w:szCs w:val="28"/>
        </w:rPr>
        <w:t xml:space="preserve"> проліферативну активність в 20% епітеліальних клітин базального шару епідермісу і </w:t>
      </w:r>
      <w:r w:rsidR="00CB6C08">
        <w:rPr>
          <w:rFonts w:eastAsia="Calibri" w:cs="Times New Roman"/>
          <w:sz w:val="28"/>
          <w:szCs w:val="28"/>
        </w:rPr>
        <w:t>практично повну відсутність такої</w:t>
      </w:r>
      <w:r w:rsidRPr="00CA099F">
        <w:rPr>
          <w:rFonts w:eastAsia="Calibri" w:cs="Times New Roman"/>
          <w:sz w:val="28"/>
          <w:szCs w:val="28"/>
        </w:rPr>
        <w:t xml:space="preserve"> в клітинах сполучнотканинного рубця.  </w:t>
      </w:r>
    </w:p>
    <w:p w:rsidR="0030517B" w:rsidRPr="00CA099F" w:rsidRDefault="0030517B" w:rsidP="0003712A">
      <w:pPr>
        <w:spacing w:after="160" w:line="360" w:lineRule="auto"/>
        <w:ind w:firstLine="709"/>
        <w:jc w:val="both"/>
        <w:rPr>
          <w:rFonts w:eastAsia="Calibri" w:cs="Times New Roman"/>
          <w:sz w:val="28"/>
          <w:szCs w:val="28"/>
        </w:rPr>
      </w:pPr>
      <w:r w:rsidRPr="00CA099F">
        <w:rPr>
          <w:rFonts w:eastAsia="Calibri" w:cs="Times New Roman"/>
          <w:sz w:val="28"/>
          <w:szCs w:val="28"/>
        </w:rPr>
        <w:t xml:space="preserve">На 9 місяць після оперативного втручання у </w:t>
      </w:r>
      <w:r w:rsidR="00D96DA9">
        <w:rPr>
          <w:rFonts w:eastAsia="Calibri" w:cs="Times New Roman"/>
          <w:sz w:val="28"/>
          <w:szCs w:val="28"/>
        </w:rPr>
        <w:t>пацієнтів</w:t>
      </w:r>
      <w:r w:rsidRPr="00CA099F">
        <w:rPr>
          <w:rFonts w:eastAsia="Calibri" w:cs="Times New Roman"/>
          <w:sz w:val="28"/>
          <w:szCs w:val="28"/>
        </w:rPr>
        <w:t xml:space="preserve"> контрольної групи мікроскопічно над усією областю післяопераційного рубця візуалізу</w:t>
      </w:r>
      <w:r w:rsidR="00CB6C08">
        <w:rPr>
          <w:rFonts w:eastAsia="Calibri" w:cs="Times New Roman"/>
          <w:sz w:val="28"/>
          <w:szCs w:val="28"/>
        </w:rPr>
        <w:t>єть</w:t>
      </w:r>
      <w:r w:rsidRPr="00CA099F">
        <w:rPr>
          <w:rFonts w:eastAsia="Calibri" w:cs="Times New Roman"/>
          <w:sz w:val="28"/>
          <w:szCs w:val="28"/>
        </w:rPr>
        <w:t>ся суцільний епітеліальний покрив, який за морфологічними показниками не відрізня</w:t>
      </w:r>
      <w:r w:rsidR="00CB6C08">
        <w:rPr>
          <w:rFonts w:eastAsia="Calibri" w:cs="Times New Roman"/>
          <w:sz w:val="28"/>
          <w:szCs w:val="28"/>
        </w:rPr>
        <w:t>єть</w:t>
      </w:r>
      <w:r w:rsidRPr="00CA099F">
        <w:rPr>
          <w:rFonts w:eastAsia="Calibri" w:cs="Times New Roman"/>
          <w:sz w:val="28"/>
          <w:szCs w:val="28"/>
        </w:rPr>
        <w:t>ся від інтактного епідермісу. У базальних відділах пучки колагенових волокон, товщина яких практично відповіда</w:t>
      </w:r>
      <w:r w:rsidR="00CB6C08">
        <w:rPr>
          <w:rFonts w:eastAsia="Calibri" w:cs="Times New Roman"/>
          <w:sz w:val="28"/>
          <w:szCs w:val="28"/>
        </w:rPr>
        <w:t>є</w:t>
      </w:r>
      <w:r w:rsidRPr="00CA099F">
        <w:rPr>
          <w:rFonts w:eastAsia="Calibri" w:cs="Times New Roman"/>
          <w:sz w:val="28"/>
          <w:szCs w:val="28"/>
        </w:rPr>
        <w:t xml:space="preserve"> такій в тримісячному терміні спостереження, переплітаючись між собою формують структури, що нагадують такі в сітчастому шарі дерми. Така гістотопографія спостерігається через 3 місяці у </w:t>
      </w:r>
      <w:r w:rsidR="00D96DA9">
        <w:rPr>
          <w:rFonts w:eastAsia="Calibri" w:cs="Times New Roman"/>
          <w:sz w:val="28"/>
          <w:szCs w:val="28"/>
        </w:rPr>
        <w:t>пацієнтів</w:t>
      </w:r>
      <w:r w:rsidRPr="00CA099F">
        <w:rPr>
          <w:rFonts w:eastAsia="Calibri" w:cs="Times New Roman"/>
          <w:sz w:val="28"/>
          <w:szCs w:val="28"/>
        </w:rPr>
        <w:t>, яким разом з введенням PRF-згустка вводили препарат «Біоцирулін». Ця обставина ускладнювала виразне виявлення межі між тканиною рубця і незміненою дермою.</w:t>
      </w:r>
    </w:p>
    <w:p w:rsidR="0030517B" w:rsidRPr="00CA099F" w:rsidRDefault="0030517B" w:rsidP="0003712A">
      <w:pPr>
        <w:spacing w:after="160" w:line="360" w:lineRule="auto"/>
        <w:ind w:firstLine="709"/>
        <w:jc w:val="both"/>
        <w:rPr>
          <w:rFonts w:eastAsia="Calibri" w:cs="Times New Roman"/>
          <w:sz w:val="28"/>
          <w:szCs w:val="28"/>
        </w:rPr>
      </w:pPr>
      <w:r w:rsidRPr="00CA099F">
        <w:rPr>
          <w:rFonts w:eastAsia="Calibri" w:cs="Times New Roman"/>
          <w:sz w:val="28"/>
          <w:szCs w:val="28"/>
        </w:rPr>
        <w:t xml:space="preserve">Проведені морфометричні дослідження дозволили виявити незначне зменшення клітинних елементів в рубцевій тканині. Помітних змін проліферативної активності клітинних елементів покривного епітелію і сполучнотканинного рубця що виявляється за допомогою білку Кі - 67, </w:t>
      </w:r>
      <w:r w:rsidR="00CB6C08">
        <w:rPr>
          <w:rFonts w:eastAsia="Calibri" w:cs="Times New Roman"/>
          <w:sz w:val="28"/>
          <w:szCs w:val="28"/>
        </w:rPr>
        <w:t xml:space="preserve">не </w:t>
      </w:r>
      <w:r w:rsidRPr="00CA099F">
        <w:rPr>
          <w:rFonts w:eastAsia="Calibri" w:cs="Times New Roman"/>
          <w:sz w:val="28"/>
          <w:szCs w:val="28"/>
        </w:rPr>
        <w:t>відміч</w:t>
      </w:r>
      <w:r w:rsidR="00CB6C08">
        <w:rPr>
          <w:rFonts w:eastAsia="Calibri" w:cs="Times New Roman"/>
          <w:sz w:val="28"/>
          <w:szCs w:val="28"/>
        </w:rPr>
        <w:t>ається</w:t>
      </w:r>
      <w:r w:rsidRPr="00CA099F">
        <w:rPr>
          <w:rFonts w:eastAsia="Calibri" w:cs="Times New Roman"/>
          <w:sz w:val="28"/>
          <w:szCs w:val="28"/>
        </w:rPr>
        <w:t>.</w:t>
      </w:r>
    </w:p>
    <w:p w:rsidR="0030517B" w:rsidRPr="00CA099F" w:rsidRDefault="0030517B" w:rsidP="0003712A">
      <w:pPr>
        <w:spacing w:after="160" w:line="360" w:lineRule="auto"/>
        <w:ind w:firstLine="709"/>
        <w:jc w:val="both"/>
        <w:rPr>
          <w:rFonts w:eastAsia="Calibri" w:cs="Times New Roman"/>
          <w:sz w:val="28"/>
          <w:szCs w:val="28"/>
        </w:rPr>
      </w:pPr>
      <w:r w:rsidRPr="00CA099F">
        <w:rPr>
          <w:rFonts w:eastAsia="Calibri" w:cs="Times New Roman"/>
          <w:sz w:val="28"/>
          <w:szCs w:val="28"/>
        </w:rPr>
        <w:lastRenderedPageBreak/>
        <w:t xml:space="preserve">У </w:t>
      </w:r>
      <w:r w:rsidR="00D96DA9">
        <w:rPr>
          <w:rFonts w:eastAsia="Calibri" w:cs="Times New Roman"/>
          <w:sz w:val="28"/>
          <w:szCs w:val="28"/>
        </w:rPr>
        <w:t>пацієнтів</w:t>
      </w:r>
      <w:r w:rsidR="00005F8F">
        <w:rPr>
          <w:rFonts w:eastAsia="Calibri" w:cs="Times New Roman"/>
          <w:sz w:val="28"/>
          <w:szCs w:val="28"/>
        </w:rPr>
        <w:t xml:space="preserve"> 1 групи в усіх випадках має</w:t>
      </w:r>
      <w:r w:rsidRPr="00CA099F">
        <w:rPr>
          <w:rFonts w:eastAsia="Calibri" w:cs="Times New Roman"/>
          <w:sz w:val="28"/>
          <w:szCs w:val="28"/>
        </w:rPr>
        <w:t xml:space="preserve"> місце повна епітелізація післяопераційного рубця, при цьому багатошаровий плоский епітелій, розташований над рубцем не має помітних метричних і морфологічних відмінностей від інтактного епідермісу. Межа між епітелієм і рубцем, що залягає глибше, має звивистий характер, сполучнотканинні сосочки, про своїй будов</w:t>
      </w:r>
      <w:r w:rsidR="00005F8F">
        <w:rPr>
          <w:rFonts w:eastAsia="Calibri" w:cs="Times New Roman"/>
          <w:sz w:val="28"/>
          <w:szCs w:val="28"/>
        </w:rPr>
        <w:t>і практично повністю відповідає</w:t>
      </w:r>
      <w:r w:rsidRPr="00CA099F">
        <w:rPr>
          <w:rFonts w:eastAsia="Calibri" w:cs="Times New Roman"/>
          <w:sz w:val="28"/>
          <w:szCs w:val="28"/>
        </w:rPr>
        <w:t xml:space="preserve"> таким в інтактній шкірі. </w:t>
      </w:r>
    </w:p>
    <w:p w:rsidR="0030517B" w:rsidRPr="00CA099F" w:rsidRDefault="0030517B" w:rsidP="0003712A">
      <w:pPr>
        <w:spacing w:after="160" w:line="360" w:lineRule="auto"/>
        <w:ind w:firstLine="709"/>
        <w:jc w:val="both"/>
        <w:rPr>
          <w:rFonts w:eastAsia="Calibri" w:cs="Times New Roman"/>
          <w:sz w:val="28"/>
          <w:szCs w:val="28"/>
        </w:rPr>
      </w:pPr>
      <w:r w:rsidRPr="00CA099F">
        <w:rPr>
          <w:rFonts w:eastAsia="Calibri" w:cs="Times New Roman"/>
          <w:sz w:val="28"/>
          <w:szCs w:val="28"/>
        </w:rPr>
        <w:t>Проведені морфометричні дослідження дозволили виявити незначні зміни у кількості клітинних елементів у сторону їх зменшення. Помітніші зміни виявлені з боку фібрилярного компонента сполучнотканинного рубця: характер компонування пучків колагенових волокон, не має помітних відмінностей від такого в інтактній дермі не лише у базальних, але і в середніх відділах рубця, внаслідок чого межа між останнім і незміненій шкірі стає ще менш помітною. Слід зазначити практично рівномірний розподіл клітин по усій товщі сполучнотканинного рубця, при цьому щільність їх розташування, кількісний і якісний склад, показники проліферативної активності наближаються до відповідних показників сітчастого шару інтактної дерми.</w:t>
      </w:r>
    </w:p>
    <w:p w:rsidR="0030517B" w:rsidRPr="00CA099F" w:rsidRDefault="00AD6672" w:rsidP="0003712A">
      <w:pPr>
        <w:spacing w:after="160" w:line="360" w:lineRule="auto"/>
        <w:ind w:firstLine="709"/>
        <w:jc w:val="both"/>
        <w:rPr>
          <w:rFonts w:eastAsia="Calibri" w:cs="Times New Roman"/>
          <w:sz w:val="28"/>
          <w:szCs w:val="28"/>
        </w:rPr>
      </w:pPr>
      <w:r>
        <w:rPr>
          <w:rFonts w:eastAsia="Calibri" w:cs="Times New Roman"/>
          <w:sz w:val="28"/>
          <w:szCs w:val="28"/>
        </w:rPr>
        <w:t>У</w:t>
      </w:r>
      <w:r w:rsidR="0030517B" w:rsidRPr="00CA099F">
        <w:rPr>
          <w:rFonts w:eastAsia="Calibri" w:cs="Times New Roman"/>
          <w:sz w:val="28"/>
          <w:szCs w:val="28"/>
        </w:rPr>
        <w:t xml:space="preserve"> контрольній групі в 12-ти місячний термін в усіх випадках ма</w:t>
      </w:r>
      <w:r w:rsidR="00005F8F">
        <w:rPr>
          <w:rFonts w:eastAsia="Calibri" w:cs="Times New Roman"/>
          <w:sz w:val="28"/>
          <w:szCs w:val="28"/>
        </w:rPr>
        <w:t>є</w:t>
      </w:r>
      <w:r w:rsidR="0030517B" w:rsidRPr="00CA099F">
        <w:rPr>
          <w:rFonts w:eastAsia="Calibri" w:cs="Times New Roman"/>
          <w:sz w:val="28"/>
          <w:szCs w:val="28"/>
        </w:rPr>
        <w:t xml:space="preserve"> місце повна епітелізація сполучнотканинного рубця, при цьому покривний епітелій повністю відповіда</w:t>
      </w:r>
      <w:r w:rsidR="00005F8F">
        <w:rPr>
          <w:rFonts w:eastAsia="Calibri" w:cs="Times New Roman"/>
          <w:sz w:val="28"/>
          <w:szCs w:val="28"/>
        </w:rPr>
        <w:t>є</w:t>
      </w:r>
      <w:r w:rsidR="0030517B" w:rsidRPr="00CA099F">
        <w:rPr>
          <w:rFonts w:eastAsia="Calibri" w:cs="Times New Roman"/>
          <w:sz w:val="28"/>
          <w:szCs w:val="28"/>
        </w:rPr>
        <w:t xml:space="preserve"> інтактному епідермісу, помітних порушень процесів епітелізації </w:t>
      </w:r>
      <w:r w:rsidR="0055519F">
        <w:rPr>
          <w:rFonts w:eastAsia="Calibri" w:cs="Times New Roman"/>
          <w:sz w:val="28"/>
          <w:szCs w:val="28"/>
        </w:rPr>
        <w:t xml:space="preserve">не </w:t>
      </w:r>
      <w:r w:rsidR="0030517B" w:rsidRPr="00CA099F">
        <w:rPr>
          <w:rFonts w:eastAsia="Calibri" w:cs="Times New Roman"/>
          <w:sz w:val="28"/>
          <w:szCs w:val="28"/>
        </w:rPr>
        <w:t>виявл</w:t>
      </w:r>
      <w:r w:rsidR="0055519F">
        <w:rPr>
          <w:rFonts w:eastAsia="Calibri" w:cs="Times New Roman"/>
          <w:sz w:val="28"/>
          <w:szCs w:val="28"/>
        </w:rPr>
        <w:t>яється</w:t>
      </w:r>
      <w:r w:rsidR="0030517B" w:rsidRPr="00CA099F">
        <w:rPr>
          <w:rFonts w:eastAsia="Calibri" w:cs="Times New Roman"/>
          <w:sz w:val="28"/>
          <w:szCs w:val="28"/>
        </w:rPr>
        <w:t xml:space="preserve">. Слід відмітити появу в середніх і базальних відділах рубця окремих, хаотично розташованих пучків колагенових волокон. Нами підтверджена думка багатьох авторів, що незважаючи на значну товщину, для них досить часто характерна слабковиражена фуксинофілія, що є непрямою ознакою початкових стадій розвитку дистрофічних процесів </w:t>
      </w:r>
      <w:r w:rsidR="0030517B" w:rsidRPr="00CA099F">
        <w:rPr>
          <w:rFonts w:eastAsia="Calibri" w:cs="Times New Roman"/>
          <w:sz w:val="28"/>
          <w:szCs w:val="28"/>
          <w:lang w:val="ru-RU"/>
        </w:rPr>
        <w:t>[62, 63, 68]</w:t>
      </w:r>
      <w:r w:rsidR="0030517B" w:rsidRPr="00CA099F">
        <w:rPr>
          <w:rFonts w:eastAsia="Calibri" w:cs="Times New Roman"/>
          <w:sz w:val="28"/>
          <w:szCs w:val="28"/>
        </w:rPr>
        <w:t>.</w:t>
      </w:r>
    </w:p>
    <w:p w:rsidR="0030517B" w:rsidRPr="00CA099F" w:rsidRDefault="0030517B" w:rsidP="0003712A">
      <w:pPr>
        <w:spacing w:after="160" w:line="360" w:lineRule="auto"/>
        <w:ind w:firstLine="709"/>
        <w:jc w:val="both"/>
        <w:rPr>
          <w:rFonts w:eastAsia="Calibri" w:cs="Times New Roman"/>
          <w:sz w:val="28"/>
          <w:szCs w:val="28"/>
        </w:rPr>
      </w:pPr>
      <w:r w:rsidRPr="00CA099F">
        <w:rPr>
          <w:rFonts w:eastAsia="Calibri" w:cs="Times New Roman"/>
          <w:sz w:val="28"/>
          <w:szCs w:val="28"/>
        </w:rPr>
        <w:t>В 1 групі післяопераційний сполучнотканинний рубець в усіх відділах ма</w:t>
      </w:r>
      <w:r w:rsidR="00741F7C">
        <w:rPr>
          <w:rFonts w:eastAsia="Calibri" w:cs="Times New Roman"/>
          <w:sz w:val="28"/>
          <w:szCs w:val="28"/>
        </w:rPr>
        <w:t>є</w:t>
      </w:r>
      <w:r w:rsidRPr="00CA099F">
        <w:rPr>
          <w:rFonts w:eastAsia="Calibri" w:cs="Times New Roman"/>
          <w:sz w:val="28"/>
          <w:szCs w:val="28"/>
        </w:rPr>
        <w:t xml:space="preserve"> відносно мономорфну будову, при цьому, питома вага розташування клітинних елементів помітно не відрізняється від контрольної групи. Колагенові волокна у базальних і середніх відділах рубця, переплітаючись між </w:t>
      </w:r>
      <w:r w:rsidRPr="00CA099F">
        <w:rPr>
          <w:rFonts w:eastAsia="Calibri" w:cs="Times New Roman"/>
          <w:sz w:val="28"/>
          <w:szCs w:val="28"/>
        </w:rPr>
        <w:lastRenderedPageBreak/>
        <w:t>собою практично повністю повторюють напрям волокон сітчастого шару дерми, помітно не відрізняючись від останніх по товщині. У апікальних відділах пучки колагенових волокон зберігають перпендикулярний, по відношенню до епідермісу напрям, незрілих форм серед них не виявлено.</w:t>
      </w:r>
    </w:p>
    <w:p w:rsidR="0030517B" w:rsidRPr="00CA099F" w:rsidRDefault="0030517B" w:rsidP="0003712A">
      <w:pPr>
        <w:spacing w:after="160" w:line="360" w:lineRule="auto"/>
        <w:ind w:firstLine="709"/>
        <w:jc w:val="both"/>
        <w:rPr>
          <w:rFonts w:eastAsia="Calibri" w:cs="Times New Roman"/>
          <w:sz w:val="28"/>
          <w:szCs w:val="28"/>
        </w:rPr>
      </w:pPr>
      <w:r w:rsidRPr="00CA099F">
        <w:rPr>
          <w:rFonts w:eastAsia="Calibri" w:cs="Times New Roman"/>
          <w:sz w:val="28"/>
          <w:szCs w:val="28"/>
        </w:rPr>
        <w:t>Додаткове введення разом з PRF-згустком п</w:t>
      </w:r>
      <w:r w:rsidR="0055519F">
        <w:rPr>
          <w:rFonts w:eastAsia="Calibri" w:cs="Times New Roman"/>
          <w:sz w:val="28"/>
          <w:szCs w:val="28"/>
        </w:rPr>
        <w:t>репарату «Біоцирулін» не призводить</w:t>
      </w:r>
      <w:r w:rsidRPr="00CA099F">
        <w:rPr>
          <w:rFonts w:eastAsia="Calibri" w:cs="Times New Roman"/>
          <w:sz w:val="28"/>
          <w:szCs w:val="28"/>
        </w:rPr>
        <w:t xml:space="preserve"> до помітних змін в епітелізації рубця через 12 місяців після оперативного втручання в порівнянні з по</w:t>
      </w:r>
      <w:r w:rsidR="0055519F">
        <w:rPr>
          <w:rFonts w:eastAsia="Calibri" w:cs="Times New Roman"/>
          <w:sz w:val="28"/>
          <w:szCs w:val="28"/>
        </w:rPr>
        <w:t>передньою групою. Не спостерігаєть</w:t>
      </w:r>
      <w:r w:rsidRPr="00CA099F">
        <w:rPr>
          <w:rFonts w:eastAsia="Calibri" w:cs="Times New Roman"/>
          <w:sz w:val="28"/>
          <w:szCs w:val="28"/>
        </w:rPr>
        <w:t>ся також помітних змін в ангіоархітектоніці та клітинному складі післяопераційного рубця.</w:t>
      </w:r>
    </w:p>
    <w:p w:rsidR="0030517B" w:rsidRPr="00CA099F" w:rsidRDefault="0030517B" w:rsidP="0003712A">
      <w:pPr>
        <w:spacing w:after="160" w:line="360" w:lineRule="auto"/>
        <w:ind w:firstLine="709"/>
        <w:jc w:val="both"/>
        <w:rPr>
          <w:rFonts w:eastAsia="Calibri" w:cs="Times New Roman"/>
          <w:sz w:val="28"/>
          <w:szCs w:val="28"/>
        </w:rPr>
      </w:pPr>
      <w:r w:rsidRPr="00CA099F">
        <w:rPr>
          <w:rFonts w:eastAsia="Calibri" w:cs="Times New Roman"/>
          <w:sz w:val="28"/>
          <w:szCs w:val="28"/>
        </w:rPr>
        <w:t>Відмінності ма</w:t>
      </w:r>
      <w:r w:rsidR="0055519F">
        <w:rPr>
          <w:rFonts w:eastAsia="Calibri" w:cs="Times New Roman"/>
          <w:sz w:val="28"/>
          <w:szCs w:val="28"/>
        </w:rPr>
        <w:t>ють</w:t>
      </w:r>
      <w:r w:rsidRPr="00CA099F">
        <w:rPr>
          <w:rFonts w:eastAsia="Calibri" w:cs="Times New Roman"/>
          <w:sz w:val="28"/>
          <w:szCs w:val="28"/>
        </w:rPr>
        <w:t xml:space="preserve"> місце в характері розташування пучків колагенових волокон, характер напряму яких практично по усій глибині рубця, </w:t>
      </w:r>
      <w:r w:rsidR="00F3718A">
        <w:rPr>
          <w:rFonts w:eastAsia="Calibri" w:cs="Times New Roman"/>
          <w:sz w:val="28"/>
          <w:szCs w:val="28"/>
        </w:rPr>
        <w:t>аж до найбільш</w:t>
      </w:r>
      <w:r w:rsidRPr="00CA099F">
        <w:rPr>
          <w:rFonts w:eastAsia="Calibri" w:cs="Times New Roman"/>
          <w:sz w:val="28"/>
          <w:szCs w:val="28"/>
        </w:rPr>
        <w:t xml:space="preserve"> апікальних відділів співпадає з таким же в інтактній дермі. При цьому пучки колагенових волокон післяопераційного рубця за тинкторіальними характеристиками і метричними показниками практично не відрізняються від таких в незміненій дермі, через що </w:t>
      </w:r>
      <w:r w:rsidR="00F3718A">
        <w:rPr>
          <w:rFonts w:eastAsia="Calibri" w:cs="Times New Roman"/>
          <w:sz w:val="28"/>
          <w:szCs w:val="28"/>
        </w:rPr>
        <w:t>є неможливим</w:t>
      </w:r>
      <w:r w:rsidRPr="00CA099F">
        <w:rPr>
          <w:rFonts w:eastAsia="Calibri" w:cs="Times New Roman"/>
          <w:sz w:val="28"/>
          <w:szCs w:val="28"/>
        </w:rPr>
        <w:t>, у ряді випадків, навіть приблизно визначити межі зони післяопераційного рубця.</w:t>
      </w:r>
    </w:p>
    <w:p w:rsidR="0030517B" w:rsidRPr="00CA099F" w:rsidRDefault="0030517B" w:rsidP="0003712A">
      <w:pPr>
        <w:spacing w:after="160" w:line="360" w:lineRule="auto"/>
        <w:ind w:firstLine="709"/>
        <w:jc w:val="both"/>
        <w:rPr>
          <w:rFonts w:eastAsia="Calibri" w:cs="Times New Roman"/>
          <w:sz w:val="28"/>
          <w:szCs w:val="28"/>
        </w:rPr>
      </w:pPr>
      <w:r w:rsidRPr="00CA099F">
        <w:rPr>
          <w:rFonts w:eastAsia="Calibri" w:cs="Times New Roman"/>
          <w:sz w:val="28"/>
          <w:szCs w:val="28"/>
        </w:rPr>
        <w:t>Таким чином, отримані дані свідчать про істотну оптимізацію регенераторних процесів при комбінованому введенні PRF-згустка і препарату «Біоцирулін». На ранніх етапах експериментального дослідження це прояв</w:t>
      </w:r>
      <w:r w:rsidR="00F3718A">
        <w:rPr>
          <w:rFonts w:eastAsia="Calibri" w:cs="Times New Roman"/>
          <w:sz w:val="28"/>
          <w:szCs w:val="28"/>
        </w:rPr>
        <w:t>ляєть</w:t>
      </w:r>
      <w:r w:rsidRPr="00CA099F">
        <w:rPr>
          <w:rFonts w:eastAsia="Calibri" w:cs="Times New Roman"/>
          <w:sz w:val="28"/>
          <w:szCs w:val="28"/>
        </w:rPr>
        <w:t xml:space="preserve">ся в першу чергу прискоренням динаміки зменшення відносної кількості клітин гематогенного походження і, навпаки, збільшення числа клітинних елементів механоцитарного дифферона сполучної тканини. </w:t>
      </w:r>
    </w:p>
    <w:p w:rsidR="0030517B" w:rsidRPr="00CA099F" w:rsidRDefault="000905E0" w:rsidP="0003712A">
      <w:pPr>
        <w:spacing w:after="160" w:line="360" w:lineRule="auto"/>
        <w:ind w:firstLine="709"/>
        <w:jc w:val="both"/>
        <w:rPr>
          <w:rFonts w:eastAsia="Calibri" w:cs="Times New Roman"/>
          <w:sz w:val="28"/>
          <w:szCs w:val="28"/>
        </w:rPr>
      </w:pPr>
      <w:r>
        <w:rPr>
          <w:rFonts w:eastAsia="Calibri" w:cs="Times New Roman"/>
          <w:sz w:val="28"/>
          <w:szCs w:val="28"/>
        </w:rPr>
        <w:t>У</w:t>
      </w:r>
      <w:r w:rsidR="0030517B" w:rsidRPr="00CA099F">
        <w:rPr>
          <w:rFonts w:eastAsia="Calibri" w:cs="Times New Roman"/>
          <w:sz w:val="28"/>
          <w:szCs w:val="28"/>
        </w:rPr>
        <w:t xml:space="preserve"> період 6-12 місяців після оперативного втручання вплив застосованих лікарських засобів проявляється прискоренням ремоделювання фібрилярного компонента дерми в області післяопераційного рубця, більш тісної, конформної інтеграції останнього з навколишніми тканинами, помітним зменшенням кількості дистрофічних ушкоджень колагенових волокон, що часто призводить до утворення келоїдних рубців.</w:t>
      </w:r>
    </w:p>
    <w:p w:rsidR="0030517B" w:rsidRPr="00CA099F" w:rsidRDefault="0030517B" w:rsidP="0003712A">
      <w:pPr>
        <w:spacing w:after="160" w:line="360" w:lineRule="auto"/>
        <w:ind w:firstLine="709"/>
        <w:jc w:val="both"/>
        <w:rPr>
          <w:rFonts w:eastAsia="Calibri" w:cs="Times New Roman"/>
          <w:sz w:val="28"/>
          <w:szCs w:val="28"/>
        </w:rPr>
      </w:pPr>
      <w:r w:rsidRPr="00CA099F">
        <w:rPr>
          <w:rFonts w:eastAsia="Calibri" w:cs="Times New Roman"/>
          <w:sz w:val="28"/>
          <w:szCs w:val="28"/>
        </w:rPr>
        <w:lastRenderedPageBreak/>
        <w:t>Для створення доказової бази ефективності запропонованої методики профілактики утворення патологічних рубцевозмінених тканин на наступному етапі було проведено біохімічне дослідження.</w:t>
      </w:r>
    </w:p>
    <w:p w:rsidR="0030517B" w:rsidRPr="00CA099F" w:rsidRDefault="0030517B" w:rsidP="0003712A">
      <w:pPr>
        <w:spacing w:after="160" w:line="360" w:lineRule="auto"/>
        <w:ind w:firstLine="709"/>
        <w:jc w:val="both"/>
        <w:rPr>
          <w:rFonts w:eastAsia="Calibri" w:cs="Times New Roman"/>
          <w:sz w:val="28"/>
          <w:szCs w:val="28"/>
        </w:rPr>
      </w:pPr>
      <w:r w:rsidRPr="00CA099F">
        <w:rPr>
          <w:rFonts w:eastAsia="Calibri" w:cs="Times New Roman"/>
          <w:sz w:val="28"/>
          <w:szCs w:val="28"/>
        </w:rPr>
        <w:t>Аналіз динаміки змін показників продукції активних форм оксигену показав, що його відсоток в 1 групі через 3 місяці спостереження достовірно менший на 26,6 % , через 6 місяців – на 10,9 % і через 9 – на 12,2 %, стосовно даних пацієнтів контрольної групи. Через 6 місяців відсоток АФО спостерігається достовірно нижчим на 18,5 %, стосовно даних попереднього терміну спостереження, відповідно, через 9 місяців – на 16,2 %.</w:t>
      </w:r>
    </w:p>
    <w:p w:rsidR="0030517B" w:rsidRPr="00CA099F" w:rsidRDefault="0030517B" w:rsidP="0003712A">
      <w:pPr>
        <w:spacing w:after="160" w:line="360" w:lineRule="auto"/>
        <w:ind w:firstLine="709"/>
        <w:jc w:val="both"/>
        <w:rPr>
          <w:rFonts w:eastAsia="Calibri" w:cs="Times New Roman"/>
          <w:sz w:val="28"/>
          <w:szCs w:val="28"/>
        </w:rPr>
      </w:pPr>
      <w:r w:rsidRPr="00CA099F">
        <w:rPr>
          <w:rFonts w:eastAsia="Calibri" w:cs="Times New Roman"/>
          <w:sz w:val="28"/>
          <w:szCs w:val="28"/>
        </w:rPr>
        <w:t>Нами підтверджені літературні дані, щ</w:t>
      </w:r>
      <w:r w:rsidR="000905E0">
        <w:rPr>
          <w:rFonts w:eastAsia="Calibri" w:cs="Times New Roman"/>
          <w:sz w:val="28"/>
          <w:szCs w:val="28"/>
        </w:rPr>
        <w:t xml:space="preserve">о у пацієнтів другої і третьої </w:t>
      </w:r>
      <w:r w:rsidRPr="00CA099F">
        <w:rPr>
          <w:rFonts w:eastAsia="Calibri" w:cs="Times New Roman"/>
          <w:sz w:val="28"/>
          <w:szCs w:val="28"/>
        </w:rPr>
        <w:t>груп через 12 місяців відсоток АФО практично не відрізняється від даних інтактної групи [70].</w:t>
      </w:r>
    </w:p>
    <w:p w:rsidR="0030517B" w:rsidRPr="00CA099F" w:rsidRDefault="0030517B" w:rsidP="0003712A">
      <w:pPr>
        <w:spacing w:after="160" w:line="360" w:lineRule="auto"/>
        <w:ind w:firstLine="709"/>
        <w:jc w:val="both"/>
        <w:rPr>
          <w:rFonts w:eastAsia="Calibri" w:cs="Times New Roman"/>
          <w:sz w:val="28"/>
          <w:szCs w:val="28"/>
        </w:rPr>
      </w:pPr>
      <w:r w:rsidRPr="00CA099F">
        <w:rPr>
          <w:rFonts w:eastAsia="Calibri" w:cs="Times New Roman"/>
          <w:sz w:val="28"/>
          <w:szCs w:val="28"/>
        </w:rPr>
        <w:t xml:space="preserve">Аналіз наукових джерел свідчить про те, що активація </w:t>
      </w:r>
      <w:r w:rsidR="000905E0">
        <w:rPr>
          <w:rFonts w:eastAsia="Calibri" w:cs="Times New Roman"/>
          <w:sz w:val="28"/>
          <w:szCs w:val="28"/>
        </w:rPr>
        <w:t>перекисного</w:t>
      </w:r>
      <w:r w:rsidRPr="00CA099F">
        <w:rPr>
          <w:rFonts w:eastAsia="Calibri" w:cs="Times New Roman"/>
          <w:sz w:val="28"/>
          <w:szCs w:val="28"/>
        </w:rPr>
        <w:t xml:space="preserve"> окиснення ліпідів (ПОЛ) є одним із пускових механізмів стресорних ушкоджень із порушенням метаболізму клітин, які, у першу чергу, пов'язані з пошкодженням клітинних і субклітинних мембран [73]. Нами підтверджені ці дані та доведено, що у пацієнтів 1 групи концентрація ГПЛ через 3 місяці спостереження достовірно менша на 26,7 % , через 6</w:t>
      </w:r>
      <w:r w:rsidR="00CD32C1">
        <w:rPr>
          <w:rFonts w:eastAsia="Calibri" w:cs="Times New Roman"/>
          <w:sz w:val="28"/>
          <w:szCs w:val="28"/>
        </w:rPr>
        <w:t xml:space="preserve"> місяців – на 15,6 % і через 9 </w:t>
      </w:r>
      <w:r w:rsidRPr="00CA099F">
        <w:rPr>
          <w:rFonts w:eastAsia="Calibri" w:cs="Times New Roman"/>
          <w:sz w:val="28"/>
          <w:szCs w:val="28"/>
        </w:rPr>
        <w:t>– на 7,0 %, стосовно даних третьої групи. У пацієнтів першої і третьої  груп через 12 місяців спостереження концентрація ГПЛ практично не відрізняються.</w:t>
      </w:r>
    </w:p>
    <w:p w:rsidR="0030517B" w:rsidRPr="00CA099F" w:rsidRDefault="0030517B" w:rsidP="0003712A">
      <w:pPr>
        <w:spacing w:after="160" w:line="360" w:lineRule="auto"/>
        <w:ind w:firstLine="709"/>
        <w:jc w:val="both"/>
        <w:rPr>
          <w:rFonts w:eastAsia="Calibri" w:cs="Times New Roman"/>
          <w:sz w:val="28"/>
          <w:szCs w:val="28"/>
        </w:rPr>
      </w:pPr>
      <w:r w:rsidRPr="00CA099F">
        <w:rPr>
          <w:rFonts w:eastAsia="Calibri" w:cs="Times New Roman"/>
          <w:sz w:val="28"/>
          <w:szCs w:val="28"/>
        </w:rPr>
        <w:t>Концентрація ДК через 3 місяці спостереж</w:t>
      </w:r>
      <w:r w:rsidR="006A5EAB">
        <w:rPr>
          <w:rFonts w:eastAsia="Calibri" w:cs="Times New Roman"/>
          <w:sz w:val="28"/>
          <w:szCs w:val="28"/>
        </w:rPr>
        <w:t>ення достовірно зменшується на</w:t>
      </w:r>
      <w:r w:rsidRPr="00CA099F">
        <w:rPr>
          <w:rFonts w:eastAsia="Calibri" w:cs="Times New Roman"/>
          <w:sz w:val="28"/>
          <w:szCs w:val="28"/>
        </w:rPr>
        <w:t xml:space="preserve"> 24,1 %, через 6 місяців – на 19,7 %, через 9 – на 13,8 % і через 12 – на 6,1 %, стосовно даних третьої групи (р&lt;0,05). Концентраційний градієнт ТБК-АП через 3 місяці спостереження є достовірно меншим на 17,8</w:t>
      </w:r>
      <w:r w:rsidR="006A5EAB">
        <w:rPr>
          <w:rFonts w:eastAsia="Calibri" w:cs="Times New Roman"/>
          <w:sz w:val="28"/>
          <w:szCs w:val="28"/>
        </w:rPr>
        <w:t> </w:t>
      </w:r>
      <w:r w:rsidRPr="00CA099F">
        <w:rPr>
          <w:rFonts w:eastAsia="Calibri" w:cs="Times New Roman"/>
          <w:sz w:val="28"/>
          <w:szCs w:val="28"/>
        </w:rPr>
        <w:t>% , через 6 місяців – на 22,8 % і через 9 – на 5,0 %, стосовно даних третьої групи (р&lt;0,05).</w:t>
      </w:r>
    </w:p>
    <w:p w:rsidR="0030517B" w:rsidRPr="00CA099F" w:rsidRDefault="0030517B" w:rsidP="0003712A">
      <w:pPr>
        <w:spacing w:after="0" w:line="360" w:lineRule="auto"/>
        <w:ind w:firstLine="709"/>
        <w:jc w:val="both"/>
        <w:rPr>
          <w:rFonts w:eastAsia="Calibri" w:cs="Times New Roman"/>
          <w:sz w:val="28"/>
          <w:szCs w:val="28"/>
        </w:rPr>
      </w:pPr>
      <w:r w:rsidRPr="00CA099F">
        <w:rPr>
          <w:rFonts w:eastAsia="Calibri" w:cs="Times New Roman"/>
          <w:sz w:val="28"/>
          <w:szCs w:val="28"/>
        </w:rPr>
        <w:t>Встановлено, що у пацієнтів 2 групи концентрація ГПЛ через 3 місяці</w:t>
      </w:r>
      <w:r w:rsidR="00973529">
        <w:rPr>
          <w:rFonts w:eastAsia="Calibri" w:cs="Times New Roman"/>
          <w:sz w:val="28"/>
          <w:szCs w:val="28"/>
        </w:rPr>
        <w:t xml:space="preserve"> спостереження достовірно зменшується на 39,0 %</w:t>
      </w:r>
      <w:r w:rsidRPr="00CA099F">
        <w:rPr>
          <w:rFonts w:eastAsia="Calibri" w:cs="Times New Roman"/>
          <w:sz w:val="28"/>
          <w:szCs w:val="28"/>
        </w:rPr>
        <w:t xml:space="preserve">, через 6 місяців – на 19,7 % </w:t>
      </w:r>
      <w:r w:rsidRPr="00CA099F">
        <w:rPr>
          <w:rFonts w:eastAsia="Calibri" w:cs="Times New Roman"/>
          <w:sz w:val="28"/>
          <w:szCs w:val="28"/>
        </w:rPr>
        <w:lastRenderedPageBreak/>
        <w:t xml:space="preserve">і через 9 – на 9,2 %, стосовно даних 3-ої групи. У пацієнтів 2-ої і 3-ої груп через 12 місяців спостереження концентрація ГПЛ практично не відрізняється. </w:t>
      </w:r>
    </w:p>
    <w:p w:rsidR="0030517B" w:rsidRPr="00CA099F" w:rsidRDefault="0030517B" w:rsidP="0003712A">
      <w:pPr>
        <w:spacing w:after="0" w:line="360" w:lineRule="auto"/>
        <w:ind w:firstLine="709"/>
        <w:jc w:val="both"/>
        <w:rPr>
          <w:rFonts w:eastAsia="Calibri" w:cs="Times New Roman"/>
          <w:sz w:val="28"/>
          <w:szCs w:val="28"/>
        </w:rPr>
      </w:pPr>
      <w:r w:rsidRPr="00CA099F">
        <w:rPr>
          <w:rFonts w:eastAsia="Calibri" w:cs="Times New Roman"/>
          <w:sz w:val="28"/>
          <w:szCs w:val="28"/>
        </w:rPr>
        <w:t xml:space="preserve">Також у </w:t>
      </w:r>
      <w:r w:rsidR="00D96DA9">
        <w:rPr>
          <w:rFonts w:eastAsia="Calibri" w:cs="Times New Roman"/>
          <w:sz w:val="28"/>
          <w:szCs w:val="28"/>
        </w:rPr>
        <w:t>пацієнтів</w:t>
      </w:r>
      <w:r w:rsidRPr="00CA099F">
        <w:rPr>
          <w:rFonts w:eastAsia="Calibri" w:cs="Times New Roman"/>
          <w:sz w:val="28"/>
          <w:szCs w:val="28"/>
        </w:rPr>
        <w:t xml:space="preserve"> 2 групи чере</w:t>
      </w:r>
      <w:r w:rsidR="00A85273">
        <w:rPr>
          <w:rFonts w:eastAsia="Calibri" w:cs="Times New Roman"/>
          <w:sz w:val="28"/>
          <w:szCs w:val="28"/>
        </w:rPr>
        <w:t>з 6 місяців концентрація ДК зниж</w:t>
      </w:r>
      <w:r w:rsidRPr="00CA099F">
        <w:rPr>
          <w:rFonts w:eastAsia="Calibri" w:cs="Times New Roman"/>
          <w:sz w:val="28"/>
          <w:szCs w:val="28"/>
        </w:rPr>
        <w:t>ується на 12,4 %, стосовно даних попереднього терміну спостереження, відповідно, через 9 місяців рівень досліджуваної величини зменшується на 6,6 % (р&lt;0,01). Така ж тенденція відміч</w:t>
      </w:r>
      <w:r w:rsidR="00A85273">
        <w:rPr>
          <w:rFonts w:eastAsia="Calibri" w:cs="Times New Roman"/>
          <w:sz w:val="28"/>
          <w:szCs w:val="28"/>
        </w:rPr>
        <w:t>ається</w:t>
      </w:r>
      <w:r w:rsidRPr="00CA099F">
        <w:rPr>
          <w:rFonts w:eastAsia="Calibri" w:cs="Times New Roman"/>
          <w:sz w:val="28"/>
          <w:szCs w:val="28"/>
        </w:rPr>
        <w:t xml:space="preserve"> щодо змін концентрації ТК у гомогенаті шкіри пацієнтів другої і третьої груп у різні терміни спостереження. Також у </w:t>
      </w:r>
      <w:r w:rsidR="00D96DA9">
        <w:rPr>
          <w:rFonts w:eastAsia="Calibri" w:cs="Times New Roman"/>
          <w:sz w:val="28"/>
          <w:szCs w:val="28"/>
        </w:rPr>
        <w:t>пацієнтів</w:t>
      </w:r>
      <w:r w:rsidRPr="00CA099F">
        <w:rPr>
          <w:rFonts w:eastAsia="Calibri" w:cs="Times New Roman"/>
          <w:sz w:val="28"/>
          <w:szCs w:val="28"/>
        </w:rPr>
        <w:t xml:space="preserve"> цієї групи концентрація ТБК-АП через 3 місяці спостереження достовірно зменшується на 35,1 %, через 6 місяців – на 27,7 % і через 9 –на </w:t>
      </w:r>
      <w:r w:rsidR="00A85273" w:rsidRPr="00CA099F">
        <w:rPr>
          <w:rFonts w:eastAsia="Calibri" w:cs="Times New Roman"/>
          <w:sz w:val="28"/>
          <w:szCs w:val="28"/>
        </w:rPr>
        <w:t xml:space="preserve">8,7 </w:t>
      </w:r>
      <w:r w:rsidRPr="00CA099F">
        <w:rPr>
          <w:rFonts w:eastAsia="Calibri" w:cs="Times New Roman"/>
          <w:sz w:val="28"/>
          <w:szCs w:val="28"/>
        </w:rPr>
        <w:t>%, стосовно даних третьої групи, що не суперечить літературним даним [</w:t>
      </w:r>
      <w:r w:rsidRPr="00CA099F">
        <w:rPr>
          <w:rFonts w:eastAsia="Calibri" w:cs="Times New Roman"/>
          <w:sz w:val="28"/>
          <w:szCs w:val="28"/>
          <w:lang w:val="ru-RU"/>
        </w:rPr>
        <w:t>127</w:t>
      </w:r>
      <w:r w:rsidRPr="00CA099F">
        <w:rPr>
          <w:rFonts w:eastAsia="Calibri" w:cs="Times New Roman"/>
          <w:sz w:val="28"/>
          <w:szCs w:val="28"/>
        </w:rPr>
        <w:t>].</w:t>
      </w:r>
    </w:p>
    <w:p w:rsidR="0030517B" w:rsidRPr="00CA099F" w:rsidRDefault="0030517B" w:rsidP="0003712A">
      <w:pPr>
        <w:spacing w:after="0" w:line="360" w:lineRule="auto"/>
        <w:ind w:firstLine="709"/>
        <w:jc w:val="both"/>
        <w:rPr>
          <w:rFonts w:eastAsia="Calibri" w:cs="Times New Roman"/>
          <w:sz w:val="28"/>
          <w:szCs w:val="28"/>
        </w:rPr>
      </w:pPr>
      <w:r w:rsidRPr="00CA099F">
        <w:rPr>
          <w:rFonts w:eastAsia="Calibri" w:cs="Times New Roman"/>
          <w:sz w:val="28"/>
          <w:szCs w:val="28"/>
        </w:rPr>
        <w:t>Таким чином, аналіз динаміки змін показників вільнорадикального окиснення стосовно рівня інтактної групи, вочевидь, свідчить про спільні тенденції з поступовою нормалізацією досліджуваних величин через 12 місяців спостереження.</w:t>
      </w:r>
    </w:p>
    <w:p w:rsidR="0030517B" w:rsidRPr="00CA099F" w:rsidRDefault="0030517B" w:rsidP="0003712A">
      <w:pPr>
        <w:spacing w:after="0" w:line="360" w:lineRule="auto"/>
        <w:ind w:firstLine="709"/>
        <w:jc w:val="both"/>
        <w:rPr>
          <w:rFonts w:eastAsia="Calibri" w:cs="Times New Roman"/>
          <w:sz w:val="28"/>
          <w:szCs w:val="28"/>
        </w:rPr>
      </w:pPr>
      <w:r w:rsidRPr="00CA099F">
        <w:rPr>
          <w:rFonts w:eastAsia="Calibri" w:cs="Times New Roman"/>
          <w:sz w:val="28"/>
          <w:szCs w:val="28"/>
        </w:rPr>
        <w:t>Доведено, що у пацієнтів 1 групи вміст 2,4-динітрофенілгідразонів, що визначаються при 370 нм (відображає концентрацію альдегідо- і кетонопохідних нейтрального характеру) через 3 місяці спостереження достовірно зменшується на 45,5 %, через 6 місяців – на 38,7 % і через 9 – на 14,5 %, стосовно даних контрольної групи. У пацієнтів першої і третьої груп через 12 місяців спостереження вміст 2,4-динітрофенілгідразонів, що визначаються при 370 нм практично не відрізняються, що підтверджує літературні дані [115, 127].</w:t>
      </w:r>
      <w:r w:rsidR="00472CB8">
        <w:rPr>
          <w:rFonts w:eastAsia="Calibri" w:cs="Times New Roman"/>
          <w:sz w:val="28"/>
          <w:szCs w:val="28"/>
        </w:rPr>
        <w:t xml:space="preserve"> </w:t>
      </w:r>
      <w:r w:rsidRPr="00CA099F">
        <w:rPr>
          <w:rFonts w:eastAsia="Calibri" w:cs="Times New Roman"/>
          <w:sz w:val="28"/>
          <w:szCs w:val="28"/>
        </w:rPr>
        <w:t xml:space="preserve">Найнижчі показники ОМБ спостерігаються у пацієнтів 2 групи. Так, через 3 місяці даний показник перевищує показник інтактної групи на 60,0 %, через 6 </w:t>
      </w:r>
      <w:r w:rsidR="0061787E">
        <w:rPr>
          <w:rFonts w:eastAsia="Calibri" w:cs="Times New Roman"/>
          <w:sz w:val="28"/>
          <w:szCs w:val="28"/>
        </w:rPr>
        <w:t>– на 20,0 % і через 9 місяці</w:t>
      </w:r>
      <w:r w:rsidRPr="00CA099F">
        <w:rPr>
          <w:rFonts w:eastAsia="Calibri" w:cs="Times New Roman"/>
          <w:sz w:val="28"/>
          <w:szCs w:val="28"/>
        </w:rPr>
        <w:t xml:space="preserve"> – на 6,5 %.</w:t>
      </w:r>
    </w:p>
    <w:p w:rsidR="0030517B" w:rsidRPr="00CA099F" w:rsidRDefault="0030517B" w:rsidP="0003712A">
      <w:pPr>
        <w:spacing w:after="0" w:line="360" w:lineRule="auto"/>
        <w:ind w:firstLine="709"/>
        <w:jc w:val="both"/>
        <w:rPr>
          <w:rFonts w:eastAsia="Calibri" w:cs="Times New Roman"/>
          <w:sz w:val="28"/>
          <w:szCs w:val="28"/>
        </w:rPr>
      </w:pPr>
      <w:r w:rsidRPr="00CA099F">
        <w:rPr>
          <w:rFonts w:eastAsia="Calibri" w:cs="Times New Roman"/>
          <w:sz w:val="28"/>
          <w:szCs w:val="28"/>
        </w:rPr>
        <w:t>Літературні дані свідчать, що будь-яке запалення разом з місцевим характером ушкодження є системною реакцією, яка зумовлює накопичення продуктів пер</w:t>
      </w:r>
      <w:r w:rsidR="0061787E">
        <w:rPr>
          <w:rFonts w:eastAsia="Calibri" w:cs="Times New Roman"/>
          <w:sz w:val="28"/>
          <w:szCs w:val="28"/>
        </w:rPr>
        <w:t>екис</w:t>
      </w:r>
      <w:r w:rsidRPr="00CA099F">
        <w:rPr>
          <w:rFonts w:eastAsia="Calibri" w:cs="Times New Roman"/>
          <w:sz w:val="28"/>
          <w:szCs w:val="28"/>
        </w:rPr>
        <w:t>ного окиснення ліпідів, які підсилюють запальний процес та порушують процеси репарації [99]. Підтверджено, що вміст РНК у першій і другій дослідних групах достовірно вищий, відповідно, чере</w:t>
      </w:r>
      <w:r w:rsidR="0061787E">
        <w:rPr>
          <w:rFonts w:eastAsia="Calibri" w:cs="Times New Roman"/>
          <w:sz w:val="28"/>
          <w:szCs w:val="28"/>
        </w:rPr>
        <w:t xml:space="preserve">з 3 (на </w:t>
      </w:r>
      <w:r w:rsidRPr="00CA099F">
        <w:rPr>
          <w:rFonts w:eastAsia="Calibri" w:cs="Times New Roman"/>
          <w:sz w:val="28"/>
          <w:szCs w:val="28"/>
        </w:rPr>
        <w:t xml:space="preserve">37,3% і 73,0 %) і 6 місяців (на 11,4 % і 20,8 %), порівняно з даними контрольної групи </w:t>
      </w:r>
      <w:r w:rsidRPr="00CA099F">
        <w:rPr>
          <w:rFonts w:eastAsia="Calibri" w:cs="Times New Roman"/>
          <w:sz w:val="28"/>
          <w:szCs w:val="28"/>
        </w:rPr>
        <w:lastRenderedPageBreak/>
        <w:t>пацієнтів (р</w:t>
      </w:r>
      <w:r w:rsidRPr="00CA099F">
        <w:rPr>
          <w:rFonts w:eastAsia="Calibri" w:cs="Times New Roman"/>
          <w:sz w:val="28"/>
          <w:szCs w:val="28"/>
          <w:vertAlign w:val="subscript"/>
        </w:rPr>
        <w:t>1</w:t>
      </w:r>
      <w:r w:rsidRPr="00CA099F">
        <w:rPr>
          <w:rFonts w:eastAsia="Calibri" w:cs="Times New Roman"/>
          <w:sz w:val="28"/>
          <w:szCs w:val="28"/>
        </w:rPr>
        <w:t>&lt;0,01). Введення PRF-згустка під час хірургічного лікування кіст шиї ембріонального походження характеризується найвищими значеннями вмісту ДНК через 3 місяці, тоді як вже через 6 місяців рівень досліджуваного показника зменшується на 17,20 %.</w:t>
      </w:r>
    </w:p>
    <w:p w:rsidR="0030517B" w:rsidRPr="00CA099F" w:rsidRDefault="0030517B" w:rsidP="0003712A">
      <w:pPr>
        <w:spacing w:after="0" w:line="360" w:lineRule="auto"/>
        <w:ind w:firstLine="709"/>
        <w:jc w:val="both"/>
        <w:rPr>
          <w:rFonts w:eastAsia="Calibri" w:cs="Times New Roman"/>
          <w:sz w:val="28"/>
          <w:szCs w:val="28"/>
        </w:rPr>
      </w:pPr>
      <w:r w:rsidRPr="00CA099F">
        <w:rPr>
          <w:rFonts w:eastAsia="Calibri" w:cs="Times New Roman"/>
          <w:sz w:val="28"/>
          <w:szCs w:val="28"/>
        </w:rPr>
        <w:t xml:space="preserve">Аналізуючи зміни активності СОД при хірургічному лікуванні кіст шиї ембріонального походження відносно показників інтактної групи пацієнтів найвищі показники </w:t>
      </w:r>
      <w:r w:rsidR="00AF4A69">
        <w:rPr>
          <w:rFonts w:eastAsia="Calibri" w:cs="Times New Roman"/>
          <w:sz w:val="28"/>
          <w:szCs w:val="28"/>
        </w:rPr>
        <w:t>мають місце</w:t>
      </w:r>
      <w:r w:rsidRPr="00CA099F">
        <w:rPr>
          <w:rFonts w:eastAsia="Calibri" w:cs="Times New Roman"/>
          <w:sz w:val="28"/>
          <w:szCs w:val="28"/>
        </w:rPr>
        <w:t xml:space="preserve"> у пацієнтів контрольної групи (через 3 місяці спостереження достовірне переважання на 85,9 %, через 6 місяців – на 35,4 % і через 9– на 10,2 %). Найнижчі показники спостерігаються у пацієнтів 2 групи: через 3 місяці він збільшується на 40,2 %, через 6 місяців – на 12,8 % і через 9 – достовірно не відрізняється. Досліджуючи динаміку зміни активності каталази через 3 місяці спостереження встановлено переважання даного показника на 39,4 % (р&lt;0,001), через 6 місяців – на 12,3 % (р&lt;0,05).</w:t>
      </w:r>
    </w:p>
    <w:p w:rsidR="0030517B" w:rsidRPr="00CA099F" w:rsidRDefault="0030517B" w:rsidP="0003712A">
      <w:pPr>
        <w:spacing w:after="0" w:line="360" w:lineRule="auto"/>
        <w:ind w:firstLine="709"/>
        <w:jc w:val="both"/>
        <w:rPr>
          <w:rFonts w:eastAsia="Calibri" w:cs="Times New Roman"/>
          <w:sz w:val="28"/>
          <w:szCs w:val="28"/>
        </w:rPr>
      </w:pPr>
      <w:r w:rsidRPr="00CA099F">
        <w:rPr>
          <w:rFonts w:eastAsia="Calibri" w:cs="Times New Roman"/>
          <w:sz w:val="28"/>
          <w:szCs w:val="28"/>
        </w:rPr>
        <w:t xml:space="preserve">Динаміка змін вмісту SH-груп </w:t>
      </w:r>
      <w:r w:rsidR="00AF4A69">
        <w:rPr>
          <w:rFonts w:eastAsia="Calibri" w:cs="Times New Roman"/>
          <w:sz w:val="28"/>
          <w:szCs w:val="28"/>
        </w:rPr>
        <w:t>є</w:t>
      </w:r>
      <w:r w:rsidRPr="00CA099F">
        <w:rPr>
          <w:rFonts w:eastAsia="Calibri" w:cs="Times New Roman"/>
          <w:sz w:val="28"/>
          <w:szCs w:val="28"/>
        </w:rPr>
        <w:t xml:space="preserve"> менш вираженою відносно динаміки змін ферментативної ланки системи антиоксидного захисту. У контрольній групі встановлено переважання даного показника на 25,0 % (</w:t>
      </w:r>
      <w:r w:rsidRPr="00CA099F">
        <w:rPr>
          <w:rFonts w:eastAsia="Calibri" w:cs="Times New Roman"/>
          <w:color w:val="000000"/>
          <w:sz w:val="28"/>
          <w:szCs w:val="28"/>
        </w:rPr>
        <w:t>р&lt;0,01</w:t>
      </w:r>
      <w:r w:rsidRPr="00CA099F">
        <w:rPr>
          <w:rFonts w:eastAsia="Calibri" w:cs="Times New Roman"/>
          <w:sz w:val="28"/>
          <w:szCs w:val="28"/>
        </w:rPr>
        <w:t>) через 3 місяці спостереження, у пацієнтів першої та другої групи даний показник достовірно не відрізняється. Активність еластази через 3 місяці спостереження фіксується достовірно меншою на 30,9 %, через 6 місяців – на 28,6 % і через 9 – на 12,1 %, стосовно даних третьої групи. У пацієнтів другої і третьої груп через 12 місяців спостереження активність еластази практично не відрізняється.</w:t>
      </w:r>
      <w:r w:rsidR="00472CB8">
        <w:rPr>
          <w:rFonts w:eastAsia="Calibri" w:cs="Times New Roman"/>
          <w:sz w:val="28"/>
          <w:szCs w:val="28"/>
        </w:rPr>
        <w:t xml:space="preserve"> </w:t>
      </w:r>
      <w:r w:rsidRPr="00CA099F">
        <w:rPr>
          <w:rFonts w:eastAsia="Calibri" w:cs="Times New Roman"/>
          <w:sz w:val="28"/>
          <w:szCs w:val="28"/>
        </w:rPr>
        <w:t>При дослідженні динаміки змін показників запалення, мікробного обсіменіння та неспецифічного імунітету слід відзначити той факт, що вміст лізоциму змінюється впродовж терміну спостереження. Так, у пацієнтів 1 групи через 6 місяців даний показник спостерігається на 21,9 % (р&lt;0,001) вищим, стосовно даних попереднього терміну спостереження, через 9 місяців – на 14,2 % (р&lt;0,01), через 12– на 4,5  %.</w:t>
      </w:r>
    </w:p>
    <w:p w:rsidR="0030517B" w:rsidRPr="00CA099F" w:rsidRDefault="0030517B" w:rsidP="0003712A">
      <w:pPr>
        <w:spacing w:after="0" w:line="360" w:lineRule="auto"/>
        <w:ind w:firstLine="709"/>
        <w:jc w:val="both"/>
        <w:rPr>
          <w:rFonts w:eastAsia="Calibri" w:cs="Times New Roman"/>
          <w:sz w:val="28"/>
          <w:szCs w:val="28"/>
        </w:rPr>
      </w:pPr>
      <w:r w:rsidRPr="00CA099F">
        <w:rPr>
          <w:rFonts w:eastAsia="Calibri" w:cs="Times New Roman"/>
          <w:sz w:val="28"/>
          <w:szCs w:val="28"/>
        </w:rPr>
        <w:t xml:space="preserve">При визначенні активності ферменту уреази нами встановлено, що </w:t>
      </w:r>
      <w:r w:rsidR="00FE03AF">
        <w:rPr>
          <w:rFonts w:eastAsia="Calibri" w:cs="Times New Roman"/>
          <w:sz w:val="28"/>
          <w:szCs w:val="28"/>
        </w:rPr>
        <w:t>у</w:t>
      </w:r>
      <w:r w:rsidRPr="00CA099F">
        <w:rPr>
          <w:rFonts w:eastAsia="Calibri" w:cs="Times New Roman"/>
          <w:sz w:val="28"/>
          <w:szCs w:val="28"/>
        </w:rPr>
        <w:t xml:space="preserve"> </w:t>
      </w:r>
      <w:r w:rsidR="00D96DA9">
        <w:rPr>
          <w:rFonts w:eastAsia="Calibri" w:cs="Times New Roman"/>
          <w:sz w:val="28"/>
          <w:szCs w:val="28"/>
        </w:rPr>
        <w:t>пацієнтів</w:t>
      </w:r>
      <w:r w:rsidRPr="00CA099F">
        <w:rPr>
          <w:rFonts w:eastAsia="Calibri" w:cs="Times New Roman"/>
          <w:sz w:val="28"/>
          <w:szCs w:val="28"/>
        </w:rPr>
        <w:t xml:space="preserve"> 1 групи через 3 місяці спостереження достовірно </w:t>
      </w:r>
      <w:r w:rsidR="006B6396">
        <w:rPr>
          <w:rFonts w:eastAsia="Calibri" w:cs="Times New Roman"/>
          <w:sz w:val="28"/>
          <w:szCs w:val="28"/>
        </w:rPr>
        <w:t xml:space="preserve">даний показник </w:t>
      </w:r>
      <w:r w:rsidRPr="00CA099F">
        <w:rPr>
          <w:rFonts w:eastAsia="Calibri" w:cs="Times New Roman"/>
          <w:sz w:val="28"/>
          <w:szCs w:val="28"/>
        </w:rPr>
        <w:t>зменшується на 31,2 % відносно контрольної г</w:t>
      </w:r>
      <w:r w:rsidR="006B6396">
        <w:rPr>
          <w:rFonts w:eastAsia="Calibri" w:cs="Times New Roman"/>
          <w:sz w:val="28"/>
          <w:szCs w:val="28"/>
        </w:rPr>
        <w:t xml:space="preserve">рупи, а в 2-й – достовірно </w:t>
      </w:r>
      <w:r w:rsidR="006B6396">
        <w:rPr>
          <w:rFonts w:eastAsia="Calibri" w:cs="Times New Roman"/>
          <w:sz w:val="28"/>
          <w:szCs w:val="28"/>
        </w:rPr>
        <w:lastRenderedPageBreak/>
        <w:t>менший</w:t>
      </w:r>
      <w:r w:rsidRPr="00CA099F">
        <w:rPr>
          <w:rFonts w:eastAsia="Calibri" w:cs="Times New Roman"/>
          <w:sz w:val="28"/>
          <w:szCs w:val="28"/>
        </w:rPr>
        <w:t xml:space="preserve"> на 56,2 %, через 6 місяців – на 52,9 % і через 9 – на 50,0 %, стосовно даних третьої групи, що свідчить про ефективність запропонованої методики.</w:t>
      </w:r>
    </w:p>
    <w:p w:rsidR="00472CB8" w:rsidRDefault="0030517B" w:rsidP="0003712A">
      <w:pPr>
        <w:spacing w:after="0" w:line="360" w:lineRule="auto"/>
        <w:ind w:firstLine="709"/>
        <w:jc w:val="both"/>
        <w:rPr>
          <w:rFonts w:eastAsia="Calibri" w:cs="Times New Roman"/>
          <w:sz w:val="28"/>
          <w:szCs w:val="28"/>
        </w:rPr>
      </w:pPr>
      <w:r w:rsidRPr="00CA099F">
        <w:rPr>
          <w:rFonts w:eastAsia="Calibri" w:cs="Times New Roman"/>
          <w:sz w:val="28"/>
          <w:szCs w:val="28"/>
        </w:rPr>
        <w:t xml:space="preserve">Таким чином, клінічні, морфологічні та біохімічні зміни в рубцевозмінених тканинах залежать від виду інтра- та післяопераційної профілактики патологічних рубців шкіри при хірургічному лікуванні кіст шиї ембріонального походження. Поєднане застосування під час оперативного втручання PRF-згустка, а на післяопераційному етапі </w:t>
      </w:r>
      <w:r w:rsidR="009A789C">
        <w:rPr>
          <w:rFonts w:eastAsia="Times New Roman" w:cs="Times New Roman"/>
          <w:sz w:val="28"/>
          <w:szCs w:val="28"/>
        </w:rPr>
        <w:t>церулоплазмін</w:t>
      </w:r>
      <w:r w:rsidR="009A789C" w:rsidRPr="00CA099F">
        <w:rPr>
          <w:rFonts w:eastAsia="Calibri" w:cs="Times New Roman"/>
          <w:sz w:val="28"/>
          <w:szCs w:val="28"/>
        </w:rPr>
        <w:t xml:space="preserve"> </w:t>
      </w:r>
      <w:r w:rsidRPr="00CA099F">
        <w:rPr>
          <w:rFonts w:eastAsia="Calibri" w:cs="Times New Roman"/>
          <w:sz w:val="28"/>
          <w:szCs w:val="28"/>
        </w:rPr>
        <w:t xml:space="preserve">найбільш виражено знижує інтенсивність перебігу вільнорадикального окиснення у рубцевозмінених тканинах післяопераційної рани та зменшує вірогідність утворення патологічних рубців шкіри порівняно з ізольованим введенням PRF-згустка, а також оперативним втручанням за класичною методикою. </w:t>
      </w:r>
    </w:p>
    <w:p w:rsidR="0030517B" w:rsidRPr="00CA099F" w:rsidRDefault="0030517B" w:rsidP="00472CB8">
      <w:pPr>
        <w:spacing w:after="0" w:line="360" w:lineRule="auto"/>
        <w:ind w:firstLine="709"/>
        <w:jc w:val="both"/>
        <w:rPr>
          <w:rFonts w:eastAsia="Calibri" w:cs="Calibri"/>
          <w:sz w:val="28"/>
          <w:szCs w:val="28"/>
        </w:rPr>
      </w:pPr>
      <w:r w:rsidRPr="00CA099F">
        <w:rPr>
          <w:rFonts w:eastAsia="Calibri" w:cs="Times New Roman"/>
          <w:sz w:val="28"/>
          <w:szCs w:val="28"/>
        </w:rPr>
        <w:t>Слід зазначити, що у пацієнтів, яким під час оперативного втручання введено PRF-згусток, більшість досліджуваних показників нормалізу</w:t>
      </w:r>
      <w:r w:rsidR="006B6396">
        <w:rPr>
          <w:rFonts w:eastAsia="Calibri" w:cs="Times New Roman"/>
          <w:sz w:val="28"/>
          <w:szCs w:val="28"/>
        </w:rPr>
        <w:t>ють</w:t>
      </w:r>
      <w:r w:rsidRPr="00CA099F">
        <w:rPr>
          <w:rFonts w:eastAsia="Calibri" w:cs="Times New Roman"/>
          <w:sz w:val="28"/>
          <w:szCs w:val="28"/>
        </w:rPr>
        <w:t xml:space="preserve">ся через 9 місяців спостереження, при поєднаному застосуванні PRF-згустка і </w:t>
      </w:r>
      <w:r w:rsidR="009A789C">
        <w:rPr>
          <w:rFonts w:eastAsia="Times New Roman" w:cs="Times New Roman"/>
          <w:sz w:val="28"/>
          <w:szCs w:val="28"/>
        </w:rPr>
        <w:t>церулоплазмін</w:t>
      </w:r>
      <w:r w:rsidR="009A789C" w:rsidRPr="00CA099F">
        <w:rPr>
          <w:rFonts w:eastAsia="Calibri" w:cs="Times New Roman"/>
          <w:sz w:val="28"/>
          <w:szCs w:val="28"/>
        </w:rPr>
        <w:t xml:space="preserve"> </w:t>
      </w:r>
      <w:r w:rsidRPr="00CA099F">
        <w:rPr>
          <w:rFonts w:eastAsia="Calibri" w:cs="Times New Roman"/>
          <w:sz w:val="28"/>
          <w:szCs w:val="28"/>
        </w:rPr>
        <w:t xml:space="preserve">– через 6 місяців, тоді як за умови класичного оперативного втручання – через 9-12 місяців спостереження. </w:t>
      </w:r>
      <w:r w:rsidRPr="00CA099F">
        <w:rPr>
          <w:rFonts w:eastAsia="Calibri" w:cs="Calibri"/>
          <w:sz w:val="28"/>
          <w:szCs w:val="28"/>
        </w:rPr>
        <w:br w:type="page"/>
      </w:r>
    </w:p>
    <w:p w:rsidR="006C5235" w:rsidRPr="006C5235" w:rsidRDefault="006C5235" w:rsidP="006C5235">
      <w:pPr>
        <w:spacing w:after="160" w:line="259" w:lineRule="auto"/>
        <w:jc w:val="center"/>
        <w:rPr>
          <w:rFonts w:eastAsia="Calibri" w:cs="Times New Roman"/>
          <w:b/>
          <w:bCs/>
          <w:sz w:val="28"/>
          <w:szCs w:val="28"/>
        </w:rPr>
      </w:pPr>
      <w:r w:rsidRPr="006C5235">
        <w:rPr>
          <w:rFonts w:eastAsia="Calibri" w:cs="Times New Roman"/>
          <w:b/>
          <w:bCs/>
          <w:sz w:val="28"/>
          <w:szCs w:val="28"/>
        </w:rPr>
        <w:lastRenderedPageBreak/>
        <w:t>ВИСНОВКИ</w:t>
      </w:r>
    </w:p>
    <w:p w:rsidR="006C5235" w:rsidRPr="006C5235" w:rsidRDefault="006C5235" w:rsidP="006C5235">
      <w:pPr>
        <w:spacing w:after="160" w:line="259" w:lineRule="auto"/>
        <w:rPr>
          <w:rFonts w:eastAsia="Calibri" w:cs="Times New Roman"/>
          <w:b/>
          <w:bCs/>
          <w:sz w:val="28"/>
          <w:szCs w:val="28"/>
        </w:rPr>
      </w:pPr>
    </w:p>
    <w:p w:rsidR="006C5235" w:rsidRPr="006C5235" w:rsidRDefault="006C5235" w:rsidP="004021F0">
      <w:pPr>
        <w:spacing w:after="160" w:line="360" w:lineRule="auto"/>
        <w:ind w:firstLine="709"/>
        <w:rPr>
          <w:rFonts w:eastAsia="Calibri" w:cs="Times New Roman"/>
          <w:b/>
          <w:bCs/>
          <w:sz w:val="28"/>
          <w:szCs w:val="28"/>
        </w:rPr>
      </w:pPr>
    </w:p>
    <w:p w:rsidR="004021F0" w:rsidRPr="00DD6730" w:rsidRDefault="004021F0" w:rsidP="004021F0">
      <w:pPr>
        <w:pStyle w:val="ac"/>
        <w:spacing w:line="360" w:lineRule="auto"/>
        <w:ind w:firstLine="709"/>
        <w:jc w:val="both"/>
      </w:pPr>
      <w:r w:rsidRPr="00243173">
        <w:t>1. Не зважаючи на велику кількість наукових розробок та досягнень сучасної медицини проблеми встановлення причини виникнення післяопераційних патологічних рубців шкіри залиша</w:t>
      </w:r>
      <w:r>
        <w:t>ю</w:t>
      </w:r>
      <w:r w:rsidRPr="00243173">
        <w:t>ться актуальною</w:t>
      </w:r>
      <w:r>
        <w:t xml:space="preserve"> темою</w:t>
      </w:r>
      <w:r w:rsidRPr="00243173">
        <w:t xml:space="preserve"> для щелепно-лицевої хірургії. Особливу увагу заслуговують оперативні втручання з приводу кіст шиї ембріонального походження, так як, за даними багатьох авторів, вірогідність утворення атрофічних, гіпертрофічних та келоїдних рубів у ближньому та дальньому післяопераційному періодах варіює від 14% до 37%. У дисертаційній роботі наведено наукове обґрунтування і практичне вирішення однієї із актуальних задач хірургічної стоматології – </w:t>
      </w:r>
      <w:r w:rsidRPr="00935A16">
        <w:t>вдосконалення комплексу лікувально-профілактичних заходів спрямованих на запобігання утворення патологічних рубців шкіри у пацієнтів з кістами шиї ембріонального походження шляхом інтраопераційного застосування PRF-згустку та антиоксиданту в післяопераційному періоді.</w:t>
      </w:r>
    </w:p>
    <w:p w:rsidR="004021F0" w:rsidRPr="00243173" w:rsidRDefault="004021F0" w:rsidP="004021F0">
      <w:pPr>
        <w:pStyle w:val="ac"/>
        <w:spacing w:line="360" w:lineRule="auto"/>
        <w:ind w:firstLine="709"/>
        <w:jc w:val="both"/>
      </w:pPr>
      <w:r w:rsidRPr="00243173">
        <w:t xml:space="preserve">2. </w:t>
      </w:r>
      <w:r w:rsidRPr="00014285">
        <w:t>Розроб</w:t>
      </w:r>
      <w:r>
        <w:t>лено</w:t>
      </w:r>
      <w:r w:rsidRPr="00014285">
        <w:t xml:space="preserve"> авторську методику профілактики утворення післяопераційних рубців</w:t>
      </w:r>
      <w:r>
        <w:t>.</w:t>
      </w:r>
      <w:r w:rsidRPr="00014285">
        <w:t xml:space="preserve"> </w:t>
      </w:r>
      <w:r>
        <w:t xml:space="preserve">Використання розробленої авторської методики </w:t>
      </w:r>
      <w:r w:rsidRPr="00243173">
        <w:t xml:space="preserve">в групі пацієнтів, де проводилася комбінована профілактика патологічного рубцеутворення ран PRF-згустком та церулоплазміном, отримані найкращі функціональні та естетичні результати. Зміни показника П1 в 2 групі на 3 місяць спостереження вказували на ознаки утворення нормотрофічного рубця у 70% пацієнтів, а через 9 – їх кількість збільшувалася до 85%. Ефективність запропонованої методики підтверджена також і позитивною динамікою показників П2 та П3 протягом всього періоду спостереження, а за показником П4 напруженість рубця на 9 місяць післяопераційного періоду прослідковано лише у 15% пацієнтів. Покращення показника П5 відмічалося у 85% пацієнтів з малою площею раневої поверхні. Температура у всіх ділянках </w:t>
      </w:r>
      <w:r w:rsidRPr="00243173">
        <w:lastRenderedPageBreak/>
        <w:t>рубцевозмінених тканин близька до фізіологічної, що вказувало на суттєве покращення в них мікроциркуляції.</w:t>
      </w:r>
    </w:p>
    <w:p w:rsidR="004021F0" w:rsidRPr="00243173" w:rsidRDefault="004021F0" w:rsidP="004021F0">
      <w:pPr>
        <w:pStyle w:val="ac"/>
        <w:spacing w:line="360" w:lineRule="auto"/>
        <w:ind w:firstLine="709"/>
        <w:jc w:val="both"/>
      </w:pPr>
      <w:r w:rsidRPr="00243173">
        <w:t>3. При поєднаному застосуванні PRF-згустка та церулоплазміна морфологічна картина візуалізує переваги проведених заходів вже на 6 місяць післяопераційного періоду: структура сосочків не відрізнялася від інтактної дерми, а епітеліальні пласти характеризувалися мономорфною картиною і однаковими розмірами. Пучки колагенових волокон розташовувалися переважно перпендикулярно до покривного епітелію, а в середніх і базальних відділах паралельно. Реакція з антитілами до білку Кі-67 виявила проліферативну активність в 20% епітеліальних клітин базального шару епідермісу і відсутність її в клітинах сполучнотканинного рубця.</w:t>
      </w:r>
    </w:p>
    <w:p w:rsidR="004021F0" w:rsidRPr="00243173" w:rsidRDefault="004021F0" w:rsidP="004021F0">
      <w:pPr>
        <w:pStyle w:val="ac"/>
        <w:spacing w:line="360" w:lineRule="auto"/>
        <w:ind w:firstLine="709"/>
        <w:jc w:val="both"/>
      </w:pPr>
      <w:r w:rsidRPr="00243173">
        <w:t>4. У пацієнтів, яким під час оперативного втручання в рану введено PRF-згусток, а в післяопераційному періоді було застосовано церулоплазмін</w:t>
      </w:r>
      <w:r>
        <w:t>,</w:t>
      </w:r>
      <w:r w:rsidRPr="00243173">
        <w:t xml:space="preserve"> концентрація ДК в рубцях через 3 місяці зменшувалася на 38,6 % , через 6– на 25,3 % і через 9– на 13,0 %, відносно групи контролю</w:t>
      </w:r>
      <w:r>
        <w:t xml:space="preserve"> </w:t>
      </w:r>
      <w:r w:rsidRPr="00CA099F">
        <w:rPr>
          <w:rFonts w:eastAsia="Calibri"/>
        </w:rPr>
        <w:t>(р&lt;0,05</w:t>
      </w:r>
      <w:r>
        <w:rPr>
          <w:rFonts w:eastAsia="Calibri"/>
        </w:rPr>
        <w:t>)</w:t>
      </w:r>
      <w:r w:rsidRPr="00243173">
        <w:t>. Концентрація ТБК-АП в них через 3 місяці знижувалася на 35,1 %, через 6 – на 27,7 % і через 9– 8,7 на %. Вміст 2,4-динітрофенілгідразонів через 3 місяці був меншим на 43,3 %, через 6– на 38,6 % і через 9 – на 21,8 %</w:t>
      </w:r>
      <w:r>
        <w:t xml:space="preserve"> </w:t>
      </w:r>
      <w:r w:rsidRPr="00CA099F">
        <w:rPr>
          <w:rFonts w:eastAsia="Calibri"/>
        </w:rPr>
        <w:t>(р&lt;0,05</w:t>
      </w:r>
      <w:r>
        <w:rPr>
          <w:rFonts w:eastAsia="Calibri"/>
        </w:rPr>
        <w:t>)</w:t>
      </w:r>
      <w:r w:rsidRPr="00243173">
        <w:t>. У цій групі встановлені також найнижчі показники ОМБ: в 3 місяці він перевищував показник інтактної групи на 60,0 %, через 6 – на 20,0 % і через 9 – на 6,5 %</w:t>
      </w:r>
      <w:r>
        <w:t xml:space="preserve"> </w:t>
      </w:r>
      <w:r w:rsidRPr="00CA099F">
        <w:rPr>
          <w:rFonts w:eastAsia="Calibri"/>
        </w:rPr>
        <w:t>(р&lt;0,05</w:t>
      </w:r>
      <w:r>
        <w:rPr>
          <w:rFonts w:eastAsia="Calibri"/>
        </w:rPr>
        <w:t>)</w:t>
      </w:r>
      <w:r w:rsidRPr="00243173">
        <w:t xml:space="preserve">. </w:t>
      </w:r>
    </w:p>
    <w:p w:rsidR="004021F0" w:rsidRPr="00243173" w:rsidRDefault="004021F0" w:rsidP="004021F0">
      <w:pPr>
        <w:pStyle w:val="ac"/>
        <w:spacing w:line="360" w:lineRule="auto"/>
        <w:ind w:firstLine="709"/>
        <w:jc w:val="both"/>
      </w:pPr>
      <w:r w:rsidRPr="00243173">
        <w:t xml:space="preserve">5. Встановлено, що за умов використання </w:t>
      </w:r>
      <w:r w:rsidRPr="00243173">
        <w:rPr>
          <w:lang w:val="en-US"/>
        </w:rPr>
        <w:t>PRF</w:t>
      </w:r>
      <w:r w:rsidRPr="00243173">
        <w:t xml:space="preserve">-згустка та церулоплазміна спостерігалося зростання ДНК </w:t>
      </w:r>
      <w:r w:rsidRPr="00243173">
        <w:rPr>
          <w:lang w:val="ru-RU"/>
        </w:rPr>
        <w:t xml:space="preserve">у гомогенатах рубцевозмінених тканин </w:t>
      </w:r>
      <w:r w:rsidRPr="00243173">
        <w:t>через 3 місяці на 75,1 %, через 6 – на 31,9%, а через 9 – на 9,2%. Активність СОД через 3 місяці після оперативного втручання зменшувалася на 24,6 %, через 6 – на 16,7%, а через 9 – на 14,7%. Активність каталази через 3 місяці спостереження зростала на 39,4 %, через 6 – на 12,3% а через 9 – на 9,2 %. Активність еластази на тіж періоди спостереження зменшувалася на 30,9 %, 28,6% та 12,1 % відповідно.</w:t>
      </w:r>
    </w:p>
    <w:p w:rsidR="004021F0" w:rsidRPr="00243173" w:rsidRDefault="004021F0" w:rsidP="004021F0">
      <w:pPr>
        <w:pStyle w:val="ac"/>
        <w:spacing w:line="360" w:lineRule="auto"/>
        <w:ind w:firstLine="709"/>
        <w:jc w:val="both"/>
      </w:pPr>
      <w:r w:rsidRPr="00243173">
        <w:t xml:space="preserve">6. Узагальнюючий аналіз отриманих клінічних, морфологічних та біохімічних даних доводить, що комбіноване застосування PRF-згустку на </w:t>
      </w:r>
      <w:r w:rsidRPr="00243173">
        <w:lastRenderedPageBreak/>
        <w:t>інтраопераційному етапі профілактики та церулоплазміну в післяопераційному періоді, на відміну від монотерапії фібриновими мембранами, призводить до формування рубця з оптимальними функціональними і естетичними результатами, за рахунок прискорення швидкості зменшення площі рубцевозмінених тканин у цій групі пацієнтів у 1,2 рази.</w:t>
      </w:r>
    </w:p>
    <w:p w:rsidR="004021F0" w:rsidRDefault="004021F0" w:rsidP="0030517B">
      <w:pPr>
        <w:sectPr w:rsidR="004021F0" w:rsidSect="00751472">
          <w:headerReference w:type="default" r:id="rId47"/>
          <w:pgSz w:w="11906" w:h="16838"/>
          <w:pgMar w:top="1134" w:right="850" w:bottom="1134" w:left="1701" w:header="708" w:footer="708" w:gutter="0"/>
          <w:cols w:space="708"/>
          <w:docGrid w:linePitch="360"/>
        </w:sectPr>
      </w:pPr>
    </w:p>
    <w:p w:rsidR="0030517B" w:rsidRPr="00CA099F" w:rsidRDefault="0030517B" w:rsidP="0030517B">
      <w:pPr>
        <w:spacing w:after="160" w:line="259" w:lineRule="auto"/>
        <w:jc w:val="center"/>
        <w:rPr>
          <w:rFonts w:eastAsia="Calibri" w:cs="Times New Roman"/>
          <w:sz w:val="28"/>
          <w:szCs w:val="28"/>
        </w:rPr>
      </w:pPr>
      <w:r w:rsidRPr="00CA099F">
        <w:rPr>
          <w:rFonts w:eastAsia="Calibri" w:cs="Times New Roman"/>
          <w:sz w:val="28"/>
          <w:szCs w:val="28"/>
        </w:rPr>
        <w:lastRenderedPageBreak/>
        <w:t>ПРАКТИЧНІ РЕКОМЕНДАЦІЇ</w:t>
      </w:r>
    </w:p>
    <w:p w:rsidR="0030517B" w:rsidRPr="00CA099F" w:rsidRDefault="0030517B" w:rsidP="0030517B">
      <w:pPr>
        <w:spacing w:after="160" w:line="259" w:lineRule="auto"/>
        <w:rPr>
          <w:rFonts w:eastAsia="Calibri" w:cs="Times New Roman"/>
          <w:sz w:val="28"/>
          <w:szCs w:val="28"/>
        </w:rPr>
      </w:pPr>
    </w:p>
    <w:p w:rsidR="0030517B" w:rsidRPr="00CA099F" w:rsidRDefault="0030517B" w:rsidP="0030517B">
      <w:pPr>
        <w:spacing w:after="160" w:line="259" w:lineRule="auto"/>
        <w:rPr>
          <w:rFonts w:eastAsia="Calibri" w:cs="Times New Roman"/>
          <w:sz w:val="28"/>
          <w:szCs w:val="28"/>
        </w:rPr>
      </w:pPr>
    </w:p>
    <w:p w:rsidR="009D4B01" w:rsidRPr="009D4B01" w:rsidRDefault="009D4B01" w:rsidP="009D4B01">
      <w:pPr>
        <w:numPr>
          <w:ilvl w:val="0"/>
          <w:numId w:val="15"/>
        </w:numPr>
        <w:spacing w:after="0" w:line="360" w:lineRule="auto"/>
        <w:jc w:val="both"/>
        <w:rPr>
          <w:rFonts w:eastAsia="Calibri" w:cs="Times New Roman"/>
          <w:sz w:val="28"/>
          <w:szCs w:val="28"/>
        </w:rPr>
      </w:pPr>
      <w:r w:rsidRPr="009D4B01">
        <w:rPr>
          <w:rFonts w:eastAsia="Calibri" w:cs="Times New Roman"/>
          <w:sz w:val="28"/>
          <w:szCs w:val="28"/>
        </w:rPr>
        <w:t>Для інтра- та постопераційної профілактики утворення патологічних рубцевозмінених тканин у пацієнтів з кістами шиї ембріонального походження рекомендується застосовувати фібринові мембрани (</w:t>
      </w:r>
      <w:r w:rsidRPr="009D4B01">
        <w:rPr>
          <w:rFonts w:eastAsia="Calibri" w:cs="Times New Roman"/>
          <w:sz w:val="28"/>
          <w:szCs w:val="28"/>
          <w:lang w:val="en-US"/>
        </w:rPr>
        <w:t>PRF</w:t>
      </w:r>
      <w:r w:rsidRPr="009D4B01">
        <w:rPr>
          <w:rFonts w:eastAsia="Calibri" w:cs="Times New Roman"/>
          <w:sz w:val="28"/>
          <w:szCs w:val="28"/>
        </w:rPr>
        <w:t>-згустки), отримані із збагаченої тромбоцитами плазми крові в комбінації з церулоплазміном.</w:t>
      </w:r>
    </w:p>
    <w:p w:rsidR="009D4B01" w:rsidRPr="009D4B01" w:rsidRDefault="009D4B01" w:rsidP="009D4B01">
      <w:pPr>
        <w:numPr>
          <w:ilvl w:val="0"/>
          <w:numId w:val="15"/>
        </w:numPr>
        <w:spacing w:after="0" w:line="360" w:lineRule="auto"/>
        <w:jc w:val="both"/>
        <w:rPr>
          <w:rFonts w:eastAsia="Calibri" w:cs="Times New Roman"/>
          <w:sz w:val="28"/>
          <w:szCs w:val="28"/>
        </w:rPr>
      </w:pPr>
      <w:r w:rsidRPr="009D4B01">
        <w:rPr>
          <w:rFonts w:eastAsia="Calibri" w:cs="Times New Roman"/>
          <w:sz w:val="28"/>
          <w:szCs w:val="28"/>
        </w:rPr>
        <w:t>На етапі інтраопераційної профілактики під час проведення оперативного втручання рекомендується введення в рану PRF-мембран в глибокі шари ділянки резецованого тіла під’язикової кістки при видаленні серединних кіст шиї та судинно-нервового пучка – при видаленні бічних, та під поверхневі шари гіподерми рани.</w:t>
      </w:r>
    </w:p>
    <w:p w:rsidR="009D4B01" w:rsidRPr="009D4B01" w:rsidRDefault="009D4B01" w:rsidP="009D4B01">
      <w:pPr>
        <w:numPr>
          <w:ilvl w:val="0"/>
          <w:numId w:val="15"/>
        </w:numPr>
        <w:spacing w:after="0" w:line="360" w:lineRule="auto"/>
        <w:jc w:val="both"/>
        <w:rPr>
          <w:rFonts w:eastAsia="Calibri" w:cs="Times New Roman"/>
          <w:sz w:val="28"/>
          <w:szCs w:val="28"/>
        </w:rPr>
      </w:pPr>
      <w:r w:rsidRPr="009D4B01">
        <w:rPr>
          <w:rFonts w:eastAsia="Calibri" w:cs="Times New Roman"/>
          <w:sz w:val="28"/>
          <w:szCs w:val="28"/>
        </w:rPr>
        <w:t>На етапі постопераційної профілактики слід застосовувати церулоплазмін у вигляді стандартного розчину (рН 6,5-7,5), що готують із ліофілізованого порошку і який вводиться внутрішньорубцево із розрахунку 0,2 мл на кожний подовжний см рубцевозміненої тканини на 3 та 6 місяці після оперативного втручання. Починаючи з 9 місяця його слід уводити в рубцевозмінені тканини шляхом електрофорезу в тій же концентрації.</w:t>
      </w:r>
    </w:p>
    <w:p w:rsidR="009D4B01" w:rsidRPr="009D4B01" w:rsidRDefault="009D4B01" w:rsidP="009D4B01">
      <w:pPr>
        <w:numPr>
          <w:ilvl w:val="0"/>
          <w:numId w:val="15"/>
        </w:numPr>
        <w:spacing w:after="0" w:line="360" w:lineRule="auto"/>
        <w:jc w:val="both"/>
        <w:rPr>
          <w:rFonts w:eastAsia="Calibri" w:cs="Times New Roman"/>
          <w:sz w:val="28"/>
          <w:szCs w:val="28"/>
        </w:rPr>
      </w:pPr>
      <w:r w:rsidRPr="009D4B01">
        <w:rPr>
          <w:rFonts w:eastAsia="Calibri" w:cs="Times New Roman"/>
          <w:sz w:val="28"/>
          <w:szCs w:val="28"/>
        </w:rPr>
        <w:t>Для контролю за динамікою якості рубцювання операційних ран рекомендуємо на 3, 6, 9 та 12 місяцях післяопераційного періоду проводити клінічну оцінку стану рубцевозмінених тканин з врахуванням наступних параметрів: суб’єктивні відчуття, тип рубця, його консистенція, колір та площа раневої поверхні.</w:t>
      </w:r>
    </w:p>
    <w:p w:rsidR="0030517B" w:rsidRPr="00CA099F" w:rsidRDefault="0030517B" w:rsidP="0030517B">
      <w:r w:rsidRPr="00CA099F">
        <w:br w:type="page"/>
      </w:r>
    </w:p>
    <w:p w:rsidR="0030517B" w:rsidRPr="00CA099F" w:rsidRDefault="0030517B" w:rsidP="0030517B">
      <w:pPr>
        <w:shd w:val="clear" w:color="auto" w:fill="FFFFFF"/>
        <w:tabs>
          <w:tab w:val="left" w:pos="709"/>
        </w:tabs>
        <w:spacing w:after="0" w:line="360" w:lineRule="auto"/>
        <w:jc w:val="center"/>
        <w:rPr>
          <w:rFonts w:eastAsia="Calibri" w:cs="Times New Roman"/>
          <w:b/>
          <w:sz w:val="28"/>
          <w:szCs w:val="28"/>
        </w:rPr>
      </w:pPr>
      <w:r w:rsidRPr="00CA099F">
        <w:rPr>
          <w:rFonts w:eastAsia="Calibri" w:cs="Times New Roman"/>
          <w:b/>
          <w:sz w:val="28"/>
          <w:szCs w:val="28"/>
        </w:rPr>
        <w:lastRenderedPageBreak/>
        <w:t>СПИСОК ВИКОРИСТАНИХ ДЖЕРЕЛ</w:t>
      </w:r>
    </w:p>
    <w:p w:rsidR="0030517B" w:rsidRPr="00CA099F" w:rsidRDefault="0030517B" w:rsidP="0030517B">
      <w:pPr>
        <w:shd w:val="clear" w:color="auto" w:fill="FFFFFF"/>
        <w:tabs>
          <w:tab w:val="left" w:pos="709"/>
        </w:tabs>
        <w:spacing w:after="0" w:line="360" w:lineRule="auto"/>
        <w:jc w:val="center"/>
        <w:rPr>
          <w:rFonts w:eastAsia="Calibri" w:cs="Times New Roman"/>
          <w:b/>
          <w:sz w:val="28"/>
          <w:szCs w:val="28"/>
        </w:rPr>
      </w:pPr>
    </w:p>
    <w:p w:rsidR="0030517B" w:rsidRPr="00CA099F" w:rsidRDefault="0030517B" w:rsidP="0030517B">
      <w:pPr>
        <w:shd w:val="clear" w:color="auto" w:fill="FFFFFF"/>
        <w:tabs>
          <w:tab w:val="left" w:pos="709"/>
        </w:tabs>
        <w:spacing w:after="0" w:line="360" w:lineRule="auto"/>
        <w:jc w:val="center"/>
        <w:rPr>
          <w:rFonts w:eastAsia="Calibri" w:cs="Times New Roman"/>
          <w:b/>
          <w:sz w:val="28"/>
          <w:szCs w:val="28"/>
        </w:rPr>
      </w:pPr>
    </w:p>
    <w:p w:rsidR="0030517B" w:rsidRPr="00CA099F" w:rsidRDefault="0030517B" w:rsidP="0030517B">
      <w:pPr>
        <w:numPr>
          <w:ilvl w:val="0"/>
          <w:numId w:val="17"/>
        </w:numPr>
        <w:pBdr>
          <w:top w:val="nil"/>
          <w:left w:val="nil"/>
          <w:bottom w:val="nil"/>
          <w:right w:val="nil"/>
          <w:between w:val="nil"/>
        </w:pBdr>
        <w:shd w:val="clear" w:color="auto" w:fill="FFFFFF"/>
        <w:tabs>
          <w:tab w:val="left" w:pos="709"/>
        </w:tabs>
        <w:spacing w:after="0" w:line="360" w:lineRule="auto"/>
        <w:contextualSpacing/>
        <w:jc w:val="both"/>
        <w:rPr>
          <w:rFonts w:eastAsia="Times New Roman" w:cs="Times New Roman"/>
          <w:color w:val="000000"/>
          <w:sz w:val="28"/>
          <w:szCs w:val="28"/>
          <w:lang w:val="ru-RU" w:eastAsia="ru-RU"/>
        </w:rPr>
      </w:pPr>
      <w:r w:rsidRPr="00CA099F">
        <w:rPr>
          <w:rFonts w:eastAsia="Calibri" w:cs="Times New Roman"/>
          <w:sz w:val="28"/>
          <w:szCs w:val="28"/>
          <w:lang w:val="ru-RU"/>
        </w:rPr>
        <w:t>Руководство</w:t>
      </w:r>
      <w:r w:rsidRPr="00CA099F">
        <w:rPr>
          <w:rFonts w:eastAsia="Calibri" w:cs="Times New Roman"/>
          <w:sz w:val="28"/>
          <w:szCs w:val="28"/>
        </w:rPr>
        <w:t xml:space="preserve"> по </w:t>
      </w:r>
      <w:r w:rsidRPr="00CA099F">
        <w:rPr>
          <w:rFonts w:eastAsia="Calibri" w:cs="Times New Roman"/>
          <w:sz w:val="28"/>
          <w:szCs w:val="28"/>
          <w:lang w:val="ru-RU"/>
        </w:rPr>
        <w:t>хирургическойстоматологии</w:t>
      </w:r>
      <w:r w:rsidRPr="00CA099F">
        <w:rPr>
          <w:rFonts w:eastAsia="Calibri" w:cs="Times New Roman"/>
          <w:sz w:val="28"/>
          <w:szCs w:val="28"/>
        </w:rPr>
        <w:t xml:space="preserve"> и </w:t>
      </w:r>
      <w:r w:rsidRPr="00CA099F">
        <w:rPr>
          <w:rFonts w:eastAsia="Calibri" w:cs="Times New Roman"/>
          <w:sz w:val="28"/>
          <w:szCs w:val="28"/>
          <w:lang w:val="ru-RU"/>
        </w:rPr>
        <w:t>челюстно</w:t>
      </w:r>
      <w:r w:rsidRPr="00CA099F">
        <w:rPr>
          <w:rFonts w:eastAsia="Calibri" w:cs="Times New Roman"/>
          <w:sz w:val="28"/>
          <w:szCs w:val="28"/>
        </w:rPr>
        <w:t>-</w:t>
      </w:r>
      <w:r w:rsidRPr="00CA099F">
        <w:rPr>
          <w:rFonts w:eastAsia="Calibri" w:cs="Times New Roman"/>
          <w:sz w:val="28"/>
          <w:szCs w:val="28"/>
          <w:lang w:val="ru-RU"/>
        </w:rPr>
        <w:t xml:space="preserve">лицевой хирургии / Под ред. В.М. Безрукова, Т.Г. Робустовой. – М. </w:t>
      </w:r>
      <w:r w:rsidRPr="00CA099F">
        <w:rPr>
          <w:rFonts w:eastAsia="Calibri" w:cs="Times New Roman"/>
          <w:sz w:val="28"/>
          <w:szCs w:val="28"/>
        </w:rPr>
        <w:t>: Медицина, 2000. – Т. 1. – 772 с.</w:t>
      </w:r>
    </w:p>
    <w:p w:rsidR="0030517B" w:rsidRPr="00CA099F" w:rsidRDefault="00417675" w:rsidP="0030517B">
      <w:pPr>
        <w:numPr>
          <w:ilvl w:val="0"/>
          <w:numId w:val="17"/>
        </w:numPr>
        <w:pBdr>
          <w:top w:val="nil"/>
          <w:left w:val="nil"/>
          <w:bottom w:val="nil"/>
          <w:right w:val="nil"/>
          <w:between w:val="nil"/>
        </w:pBdr>
        <w:shd w:val="clear" w:color="auto" w:fill="FFFFFF"/>
        <w:tabs>
          <w:tab w:val="left" w:pos="709"/>
        </w:tabs>
        <w:spacing w:after="0" w:line="360" w:lineRule="auto"/>
        <w:contextualSpacing/>
        <w:jc w:val="both"/>
        <w:rPr>
          <w:rFonts w:eastAsia="Times New Roman" w:cs="Times New Roman"/>
          <w:color w:val="000000"/>
          <w:sz w:val="28"/>
          <w:szCs w:val="28"/>
          <w:lang w:val="en-GB" w:eastAsia="ru-RU"/>
        </w:rPr>
      </w:pPr>
      <w:hyperlink r:id="rId48">
        <w:r w:rsidR="0030517B" w:rsidRPr="00CA099F">
          <w:rPr>
            <w:rFonts w:eastAsia="Times New Roman" w:cs="Times New Roman"/>
            <w:color w:val="000000"/>
            <w:sz w:val="28"/>
            <w:szCs w:val="28"/>
            <w:lang w:val="en-GB" w:eastAsia="ru-RU"/>
          </w:rPr>
          <w:t>Nasreldin</w:t>
        </w:r>
      </w:hyperlink>
      <w:r w:rsidR="0030517B" w:rsidRPr="00CA099F">
        <w:rPr>
          <w:rFonts w:eastAsia="Times New Roman" w:cs="Times New Roman"/>
          <w:color w:val="000000"/>
          <w:sz w:val="28"/>
          <w:szCs w:val="28"/>
          <w:lang w:val="en-GB" w:eastAsia="ru-RU"/>
        </w:rPr>
        <w:t xml:space="preserve"> M.H.A. A Case Report: A Third/Fourth Branchial Pouch Anomaly Presented by Solid Thyroid and Lateral Cervical Neck Masses / M.H.A. </w:t>
      </w:r>
      <w:hyperlink r:id="rId49">
        <w:r w:rsidR="0030517B" w:rsidRPr="00CA099F">
          <w:rPr>
            <w:rFonts w:eastAsia="Times New Roman" w:cs="Times New Roman"/>
            <w:color w:val="000000"/>
            <w:sz w:val="28"/>
            <w:szCs w:val="28"/>
            <w:lang w:val="en-GB" w:eastAsia="ru-RU"/>
          </w:rPr>
          <w:t>Nasreldin</w:t>
        </w:r>
      </w:hyperlink>
      <w:r w:rsidR="0030517B" w:rsidRPr="00CA099F">
        <w:rPr>
          <w:rFonts w:eastAsia="Times New Roman" w:cs="Times New Roman"/>
          <w:color w:val="000000"/>
          <w:sz w:val="28"/>
          <w:szCs w:val="28"/>
          <w:lang w:val="en-GB" w:eastAsia="ru-RU"/>
        </w:rPr>
        <w:t>,</w:t>
      </w:r>
      <w:hyperlink r:id="rId50">
        <w:r w:rsidR="0030517B" w:rsidRPr="00CA099F">
          <w:rPr>
            <w:rFonts w:eastAsia="Times New Roman" w:cs="Times New Roman"/>
            <w:color w:val="000000"/>
            <w:sz w:val="28"/>
            <w:szCs w:val="28"/>
            <w:lang w:val="en-GB" w:eastAsia="ru-RU"/>
          </w:rPr>
          <w:t xml:space="preserve"> E. A. Ibrahim</w:t>
        </w:r>
      </w:hyperlink>
      <w:r w:rsidR="0030517B" w:rsidRPr="00CA099F">
        <w:rPr>
          <w:rFonts w:eastAsia="Times New Roman" w:cs="Times New Roman"/>
          <w:color w:val="000000"/>
          <w:sz w:val="28"/>
          <w:szCs w:val="28"/>
          <w:lang w:val="en-GB" w:eastAsia="ru-RU"/>
        </w:rPr>
        <w:t xml:space="preserve">, </w:t>
      </w:r>
      <w:hyperlink r:id="rId51">
        <w:r w:rsidR="0030517B" w:rsidRPr="00CA099F">
          <w:rPr>
            <w:rFonts w:eastAsia="Times New Roman" w:cs="Times New Roman"/>
            <w:color w:val="000000"/>
            <w:sz w:val="28"/>
            <w:szCs w:val="28"/>
            <w:lang w:val="en-GB" w:eastAsia="ru-RU"/>
          </w:rPr>
          <w:t>S. A. Saad El-Din</w:t>
        </w:r>
      </w:hyperlink>
      <w:r w:rsidR="0030517B" w:rsidRPr="00CA099F">
        <w:rPr>
          <w:rFonts w:eastAsia="Times New Roman" w:cs="Times New Roman"/>
          <w:color w:val="000000"/>
          <w:sz w:val="28"/>
          <w:szCs w:val="28"/>
          <w:lang w:val="en-GB" w:eastAsia="ru-RU"/>
        </w:rPr>
        <w:t xml:space="preserve"> // </w:t>
      </w:r>
      <w:hyperlink r:id="rId52">
        <w:r w:rsidR="0030517B" w:rsidRPr="00CA099F">
          <w:rPr>
            <w:rFonts w:eastAsia="Times New Roman" w:cs="Times New Roman"/>
            <w:color w:val="000000"/>
            <w:sz w:val="28"/>
            <w:szCs w:val="28"/>
            <w:lang w:val="en-GB" w:eastAsia="ru-RU"/>
          </w:rPr>
          <w:t>Clin Med Insights Pathol</w:t>
        </w:r>
      </w:hyperlink>
      <w:r w:rsidR="0030517B" w:rsidRPr="00CA099F">
        <w:rPr>
          <w:rFonts w:eastAsia="Times New Roman" w:cs="Times New Roman"/>
          <w:color w:val="000000"/>
          <w:sz w:val="28"/>
          <w:szCs w:val="28"/>
          <w:lang w:val="en-GB" w:eastAsia="ru-RU"/>
        </w:rPr>
        <w:t>. – 2016. – Vol. 9. – P. 1–3.</w:t>
      </w:r>
    </w:p>
    <w:p w:rsidR="0030517B" w:rsidRPr="00CA099F" w:rsidRDefault="0030517B" w:rsidP="0030517B">
      <w:pPr>
        <w:numPr>
          <w:ilvl w:val="0"/>
          <w:numId w:val="17"/>
        </w:numPr>
        <w:pBdr>
          <w:top w:val="nil"/>
          <w:left w:val="nil"/>
          <w:bottom w:val="nil"/>
          <w:right w:val="nil"/>
          <w:between w:val="nil"/>
        </w:pBdr>
        <w:tabs>
          <w:tab w:val="left" w:pos="709"/>
        </w:tabs>
        <w:spacing w:after="0" w:line="360" w:lineRule="auto"/>
        <w:contextualSpacing/>
        <w:jc w:val="both"/>
        <w:rPr>
          <w:rFonts w:eastAsia="Times New Roman" w:cs="Times New Roman"/>
          <w:color w:val="000000"/>
          <w:sz w:val="28"/>
          <w:szCs w:val="28"/>
          <w:lang w:val="en-GB" w:eastAsia="ru-RU"/>
        </w:rPr>
      </w:pPr>
      <w:r w:rsidRPr="00CA099F">
        <w:rPr>
          <w:rFonts w:eastAsia="Times New Roman" w:cs="Times New Roman"/>
          <w:color w:val="000000"/>
          <w:sz w:val="28"/>
          <w:szCs w:val="28"/>
          <w:lang w:val="en-GB" w:eastAsia="ru-RU"/>
        </w:rPr>
        <w:t>Al-Mufarrej F.M. Branchial arch anomalies: rates of recurrence and malignant degeneration / F.M. Al-Mufarrej, D.G. Stoddard, U. Bite // Plast Reconstr Surg. – 2012. – Vol. 130(5). – P. 1–7.</w:t>
      </w:r>
    </w:p>
    <w:p w:rsidR="0030517B" w:rsidRPr="00CA099F" w:rsidRDefault="0030517B" w:rsidP="0030517B">
      <w:pPr>
        <w:numPr>
          <w:ilvl w:val="0"/>
          <w:numId w:val="17"/>
        </w:numPr>
        <w:pBdr>
          <w:top w:val="nil"/>
          <w:left w:val="nil"/>
          <w:bottom w:val="nil"/>
          <w:right w:val="nil"/>
          <w:between w:val="nil"/>
        </w:pBdr>
        <w:tabs>
          <w:tab w:val="left" w:pos="709"/>
        </w:tabs>
        <w:spacing w:after="0" w:line="360" w:lineRule="auto"/>
        <w:contextualSpacing/>
        <w:jc w:val="both"/>
        <w:rPr>
          <w:rFonts w:eastAsia="Times New Roman" w:cs="Times New Roman"/>
          <w:color w:val="000000"/>
          <w:sz w:val="28"/>
          <w:szCs w:val="28"/>
          <w:lang w:val="en-GB" w:eastAsia="ru-RU"/>
        </w:rPr>
      </w:pPr>
      <w:r w:rsidRPr="00CA099F">
        <w:rPr>
          <w:rFonts w:eastAsia="Times New Roman" w:cs="Times New Roman"/>
          <w:color w:val="000000"/>
          <w:sz w:val="28"/>
          <w:szCs w:val="28"/>
          <w:lang w:val="en-GB" w:eastAsia="ru-RU"/>
        </w:rPr>
        <w:t xml:space="preserve">Second Branchial Cleft Cyst / </w:t>
      </w:r>
      <w:hyperlink r:id="rId53">
        <w:r w:rsidRPr="00CA099F">
          <w:rPr>
            <w:rFonts w:eastAsia="Times New Roman" w:cs="Times New Roman"/>
            <w:color w:val="000000"/>
            <w:sz w:val="28"/>
            <w:szCs w:val="28"/>
            <w:lang w:val="en-GB" w:eastAsia="ru-RU"/>
          </w:rPr>
          <w:t>S. Muller</w:t>
        </w:r>
      </w:hyperlink>
      <w:r w:rsidRPr="00CA099F">
        <w:rPr>
          <w:rFonts w:eastAsia="Times New Roman" w:cs="Times New Roman"/>
          <w:color w:val="000000"/>
          <w:sz w:val="28"/>
          <w:szCs w:val="28"/>
          <w:lang w:val="en-GB" w:eastAsia="ru-RU"/>
        </w:rPr>
        <w:t xml:space="preserve">, </w:t>
      </w:r>
      <w:hyperlink r:id="rId54">
        <w:r w:rsidRPr="00CA099F">
          <w:rPr>
            <w:rFonts w:eastAsia="Times New Roman" w:cs="Times New Roman"/>
            <w:color w:val="000000"/>
            <w:sz w:val="28"/>
            <w:szCs w:val="28"/>
            <w:lang w:val="en-GB" w:eastAsia="ru-RU"/>
          </w:rPr>
          <w:t>A. Aiken</w:t>
        </w:r>
      </w:hyperlink>
      <w:r w:rsidRPr="00CA099F">
        <w:rPr>
          <w:rFonts w:eastAsia="Times New Roman" w:cs="Times New Roman"/>
          <w:color w:val="000000"/>
          <w:sz w:val="28"/>
          <w:szCs w:val="28"/>
          <w:lang w:val="en-GB" w:eastAsia="ru-RU"/>
        </w:rPr>
        <w:t xml:space="preserve">, </w:t>
      </w:r>
      <w:hyperlink r:id="rId55">
        <w:r w:rsidRPr="00CA099F">
          <w:rPr>
            <w:rFonts w:eastAsia="Times New Roman" w:cs="Times New Roman"/>
            <w:color w:val="000000"/>
            <w:sz w:val="28"/>
            <w:szCs w:val="28"/>
            <w:lang w:val="en-GB" w:eastAsia="ru-RU"/>
          </w:rPr>
          <w:t>K. Magliocca</w:t>
        </w:r>
      </w:hyperlink>
      <w:r w:rsidRPr="00CA099F">
        <w:rPr>
          <w:rFonts w:eastAsia="Times New Roman" w:cs="Times New Roman"/>
          <w:color w:val="000000"/>
          <w:sz w:val="28"/>
          <w:szCs w:val="28"/>
          <w:lang w:val="en-GB" w:eastAsia="ru-RU"/>
        </w:rPr>
        <w:t xml:space="preserve">, </w:t>
      </w:r>
      <w:hyperlink r:id="rId56">
        <w:r w:rsidRPr="00CA099F">
          <w:rPr>
            <w:rFonts w:eastAsia="Times New Roman" w:cs="Times New Roman"/>
            <w:color w:val="000000"/>
            <w:sz w:val="28"/>
            <w:szCs w:val="28"/>
            <w:lang w:val="en-GB" w:eastAsia="ru-RU"/>
          </w:rPr>
          <w:t>A. Y. Chen</w:t>
        </w:r>
      </w:hyperlink>
      <w:r w:rsidRPr="00CA099F">
        <w:rPr>
          <w:rFonts w:eastAsia="Times New Roman" w:cs="Times New Roman"/>
          <w:color w:val="000000"/>
          <w:sz w:val="28"/>
          <w:szCs w:val="28"/>
          <w:lang w:val="en-GB" w:eastAsia="ru-RU"/>
        </w:rPr>
        <w:t xml:space="preserve"> // </w:t>
      </w:r>
      <w:hyperlink r:id="rId57">
        <w:r w:rsidRPr="00CA099F">
          <w:rPr>
            <w:rFonts w:eastAsia="Times New Roman" w:cs="Times New Roman"/>
            <w:color w:val="000000"/>
            <w:sz w:val="28"/>
            <w:szCs w:val="28"/>
            <w:lang w:val="en-GB" w:eastAsia="ru-RU"/>
          </w:rPr>
          <w:t>Head Neck Pathol</w:t>
        </w:r>
      </w:hyperlink>
      <w:r w:rsidRPr="00CA099F">
        <w:rPr>
          <w:rFonts w:eastAsia="Times New Roman" w:cs="Times New Roman"/>
          <w:color w:val="000000"/>
          <w:sz w:val="28"/>
          <w:szCs w:val="28"/>
          <w:lang w:val="en-GB" w:eastAsia="ru-RU"/>
        </w:rPr>
        <w:t>. – 2015. – Vol. 9 (3). – P. 379–383.</w:t>
      </w:r>
    </w:p>
    <w:p w:rsidR="0030517B" w:rsidRPr="00CA099F" w:rsidRDefault="0030517B" w:rsidP="0030517B">
      <w:pPr>
        <w:numPr>
          <w:ilvl w:val="0"/>
          <w:numId w:val="17"/>
        </w:numPr>
        <w:pBdr>
          <w:top w:val="nil"/>
          <w:left w:val="nil"/>
          <w:bottom w:val="nil"/>
          <w:right w:val="nil"/>
          <w:between w:val="nil"/>
        </w:pBdr>
        <w:tabs>
          <w:tab w:val="left" w:pos="709"/>
        </w:tabs>
        <w:spacing w:after="0" w:line="360" w:lineRule="auto"/>
        <w:contextualSpacing/>
        <w:jc w:val="both"/>
        <w:rPr>
          <w:rFonts w:eastAsia="Times New Roman" w:cs="Times New Roman"/>
          <w:color w:val="000000"/>
          <w:sz w:val="28"/>
          <w:szCs w:val="28"/>
          <w:lang w:val="en-GB" w:eastAsia="ru-RU"/>
        </w:rPr>
      </w:pPr>
      <w:r w:rsidRPr="00CA099F">
        <w:rPr>
          <w:rFonts w:eastAsia="Times New Roman" w:cs="Times New Roman"/>
          <w:color w:val="000000"/>
          <w:sz w:val="28"/>
          <w:szCs w:val="28"/>
          <w:lang w:val="en-GB" w:eastAsia="ru-RU"/>
        </w:rPr>
        <w:t>Acierno S.P. Congenital cervical cysts, sinuses and fistulae / S.P. Acierno, J.H. Waldhausen // Otolaryngol Clin N Am. – 2007. – Vol. 40(1). – P. 161–176.</w:t>
      </w:r>
    </w:p>
    <w:p w:rsidR="0030517B" w:rsidRPr="00CA099F" w:rsidRDefault="0030517B" w:rsidP="0030517B">
      <w:pPr>
        <w:numPr>
          <w:ilvl w:val="0"/>
          <w:numId w:val="17"/>
        </w:numPr>
        <w:pBdr>
          <w:top w:val="nil"/>
          <w:left w:val="nil"/>
          <w:bottom w:val="nil"/>
          <w:right w:val="nil"/>
          <w:between w:val="nil"/>
        </w:pBdr>
        <w:tabs>
          <w:tab w:val="left" w:pos="709"/>
        </w:tabs>
        <w:spacing w:after="0" w:line="360" w:lineRule="auto"/>
        <w:contextualSpacing/>
        <w:jc w:val="both"/>
        <w:rPr>
          <w:rFonts w:eastAsia="Times New Roman" w:cs="Times New Roman"/>
          <w:color w:val="000000"/>
          <w:sz w:val="28"/>
          <w:szCs w:val="28"/>
          <w:lang w:val="en-GB" w:eastAsia="ru-RU"/>
        </w:rPr>
      </w:pPr>
      <w:r w:rsidRPr="00CA099F">
        <w:rPr>
          <w:rFonts w:eastAsia="Times New Roman" w:cs="Times New Roman"/>
          <w:color w:val="000000"/>
          <w:sz w:val="28"/>
          <w:szCs w:val="28"/>
          <w:lang w:val="en-GB" w:eastAsia="ru-RU"/>
        </w:rPr>
        <w:t>Guldfred L.A. Branchial cleft anomalies: accuracy of pre-operative diagnosis, clinical presentation and management / L.A. Guldfred, B.B. Philipsen, C.J. Siim // Laryngol Otol. – 2012. – Vol. 126(6). – P. 598–604.</w:t>
      </w:r>
    </w:p>
    <w:p w:rsidR="0030517B" w:rsidRPr="00CA099F" w:rsidRDefault="0030517B" w:rsidP="0030517B">
      <w:pPr>
        <w:numPr>
          <w:ilvl w:val="0"/>
          <w:numId w:val="17"/>
        </w:numPr>
        <w:pBdr>
          <w:top w:val="nil"/>
          <w:left w:val="nil"/>
          <w:bottom w:val="nil"/>
          <w:right w:val="nil"/>
          <w:between w:val="nil"/>
        </w:pBdr>
        <w:tabs>
          <w:tab w:val="left" w:pos="709"/>
        </w:tabs>
        <w:spacing w:after="0" w:line="360" w:lineRule="auto"/>
        <w:contextualSpacing/>
        <w:jc w:val="both"/>
        <w:rPr>
          <w:rFonts w:eastAsia="Times New Roman" w:cs="Times New Roman"/>
          <w:color w:val="000000"/>
          <w:sz w:val="28"/>
          <w:szCs w:val="28"/>
          <w:lang w:val="en-GB" w:eastAsia="ru-RU"/>
        </w:rPr>
      </w:pPr>
      <w:r w:rsidRPr="00CA099F">
        <w:rPr>
          <w:rFonts w:eastAsia="Times New Roman" w:cs="Times New Roman"/>
          <w:color w:val="000000"/>
          <w:sz w:val="28"/>
          <w:szCs w:val="28"/>
          <w:lang w:val="en-GB" w:eastAsia="ru-RU"/>
        </w:rPr>
        <w:t>Glosser J.W. Branchial cleft or cervical lymphoepithelial cysts: etiology and management / J.W. Glosser, C.A. Pires, S.E. Feinberg // J Am Dent Assoc. – 2003. – Vol. 134. – P. 81–86.</w:t>
      </w:r>
    </w:p>
    <w:p w:rsidR="0030517B" w:rsidRPr="00CA099F" w:rsidRDefault="00417675" w:rsidP="0030517B">
      <w:pPr>
        <w:numPr>
          <w:ilvl w:val="0"/>
          <w:numId w:val="17"/>
        </w:numPr>
        <w:pBdr>
          <w:top w:val="nil"/>
          <w:left w:val="nil"/>
          <w:bottom w:val="nil"/>
          <w:right w:val="nil"/>
          <w:between w:val="nil"/>
        </w:pBdr>
        <w:shd w:val="clear" w:color="auto" w:fill="FFFFFF"/>
        <w:tabs>
          <w:tab w:val="left" w:pos="709"/>
        </w:tabs>
        <w:spacing w:after="0" w:line="360" w:lineRule="auto"/>
        <w:contextualSpacing/>
        <w:jc w:val="both"/>
        <w:rPr>
          <w:rFonts w:eastAsia="Times New Roman" w:cs="Times New Roman"/>
          <w:color w:val="000000"/>
          <w:sz w:val="28"/>
          <w:szCs w:val="28"/>
          <w:lang w:val="en-GB" w:eastAsia="ru-RU"/>
        </w:rPr>
      </w:pPr>
      <w:hyperlink r:id="rId58">
        <w:r w:rsidR="0030517B" w:rsidRPr="00CA099F">
          <w:rPr>
            <w:rFonts w:eastAsia="Times New Roman" w:cs="Times New Roman"/>
            <w:color w:val="000000"/>
            <w:sz w:val="28"/>
            <w:szCs w:val="28"/>
            <w:lang w:val="en-GB" w:eastAsia="ru-RU"/>
          </w:rPr>
          <w:t>Panchbhai</w:t>
        </w:r>
      </w:hyperlink>
      <w:r w:rsidR="0030517B" w:rsidRPr="00CA099F">
        <w:rPr>
          <w:rFonts w:eastAsia="Times New Roman" w:cs="Times New Roman"/>
          <w:color w:val="000000"/>
          <w:sz w:val="28"/>
          <w:szCs w:val="28"/>
          <w:lang w:val="en-GB" w:eastAsia="ru-RU"/>
        </w:rPr>
        <w:t xml:space="preserve"> A.S. Branchial cleft cyst at an unusual location: a rare case with a brief review / </w:t>
      </w:r>
      <w:hyperlink r:id="rId59">
        <w:r w:rsidR="0030517B" w:rsidRPr="00CA099F">
          <w:rPr>
            <w:rFonts w:eastAsia="Times New Roman" w:cs="Times New Roman"/>
            <w:color w:val="000000"/>
            <w:sz w:val="28"/>
            <w:szCs w:val="28"/>
            <w:lang w:val="en-GB" w:eastAsia="ru-RU"/>
          </w:rPr>
          <w:t>A.S. Panchbhai</w:t>
        </w:r>
      </w:hyperlink>
      <w:r w:rsidR="0030517B" w:rsidRPr="00CA099F">
        <w:rPr>
          <w:rFonts w:eastAsia="Times New Roman" w:cs="Times New Roman"/>
          <w:color w:val="000000"/>
          <w:sz w:val="28"/>
          <w:szCs w:val="28"/>
          <w:lang w:val="en-GB" w:eastAsia="ru-RU"/>
        </w:rPr>
        <w:t xml:space="preserve">, </w:t>
      </w:r>
      <w:hyperlink r:id="rId60">
        <w:r w:rsidR="0030517B" w:rsidRPr="00CA099F">
          <w:rPr>
            <w:rFonts w:eastAsia="Times New Roman" w:cs="Times New Roman"/>
            <w:color w:val="000000"/>
            <w:sz w:val="28"/>
            <w:szCs w:val="28"/>
            <w:lang w:val="en-GB" w:eastAsia="ru-RU"/>
          </w:rPr>
          <w:t>M.S. Choudhary</w:t>
        </w:r>
      </w:hyperlink>
      <w:r w:rsidR="0030517B" w:rsidRPr="00CA099F">
        <w:rPr>
          <w:rFonts w:eastAsia="Times New Roman" w:cs="Times New Roman"/>
          <w:color w:val="000000"/>
          <w:sz w:val="28"/>
          <w:szCs w:val="28"/>
          <w:lang w:val="en-GB" w:eastAsia="ru-RU"/>
        </w:rPr>
        <w:t xml:space="preserve"> // </w:t>
      </w:r>
      <w:hyperlink r:id="rId61">
        <w:r w:rsidR="0030517B" w:rsidRPr="00CA099F">
          <w:rPr>
            <w:rFonts w:eastAsia="Times New Roman" w:cs="Times New Roman"/>
            <w:color w:val="000000"/>
            <w:sz w:val="28"/>
            <w:szCs w:val="28"/>
            <w:lang w:val="en-GB" w:eastAsia="ru-RU"/>
          </w:rPr>
          <w:t>Dentomaxillofac Radiol</w:t>
        </w:r>
      </w:hyperlink>
      <w:r w:rsidR="0030517B" w:rsidRPr="00CA099F">
        <w:rPr>
          <w:rFonts w:eastAsia="Times New Roman" w:cs="Times New Roman"/>
          <w:color w:val="000000"/>
          <w:sz w:val="28"/>
          <w:szCs w:val="28"/>
          <w:lang w:val="en-GB" w:eastAsia="ru-RU"/>
        </w:rPr>
        <w:t>. – 2012. – Vol. 41(8). – P. 696–702.</w:t>
      </w:r>
    </w:p>
    <w:p w:rsidR="0030517B" w:rsidRPr="00CA099F" w:rsidRDefault="0030517B" w:rsidP="0030517B">
      <w:pPr>
        <w:numPr>
          <w:ilvl w:val="0"/>
          <w:numId w:val="17"/>
        </w:numPr>
        <w:pBdr>
          <w:top w:val="nil"/>
          <w:left w:val="nil"/>
          <w:bottom w:val="nil"/>
          <w:right w:val="nil"/>
          <w:between w:val="nil"/>
        </w:pBdr>
        <w:tabs>
          <w:tab w:val="left" w:pos="709"/>
        </w:tabs>
        <w:spacing w:after="0" w:line="360" w:lineRule="auto"/>
        <w:contextualSpacing/>
        <w:jc w:val="both"/>
        <w:rPr>
          <w:rFonts w:eastAsia="Times New Roman" w:cs="Times New Roman"/>
          <w:color w:val="000000"/>
          <w:sz w:val="28"/>
          <w:szCs w:val="28"/>
          <w:lang w:val="en-GB" w:eastAsia="ru-RU"/>
        </w:rPr>
      </w:pPr>
      <w:r w:rsidRPr="00CA099F">
        <w:rPr>
          <w:rFonts w:eastAsia="Times New Roman" w:cs="Times New Roman"/>
          <w:color w:val="000000"/>
          <w:sz w:val="28"/>
          <w:szCs w:val="28"/>
          <w:lang w:val="en-GB" w:eastAsia="ru-RU"/>
        </w:rPr>
        <w:t>Cervical bronchogenic cyst: asymptomatic neck mass in an adult male / C. Bocciolini, D. Dall’Olio, E. Cunsolo [et al.] // Acta Otolaryngol. – 2006. – Vol. 126. – P. 553–556.</w:t>
      </w:r>
    </w:p>
    <w:p w:rsidR="0030517B" w:rsidRPr="00CA099F" w:rsidRDefault="0030517B" w:rsidP="0030517B">
      <w:pPr>
        <w:numPr>
          <w:ilvl w:val="0"/>
          <w:numId w:val="17"/>
        </w:numPr>
        <w:pBdr>
          <w:top w:val="nil"/>
          <w:left w:val="nil"/>
          <w:bottom w:val="nil"/>
          <w:right w:val="nil"/>
          <w:between w:val="nil"/>
        </w:pBdr>
        <w:tabs>
          <w:tab w:val="left" w:pos="709"/>
        </w:tabs>
        <w:spacing w:after="0" w:line="360" w:lineRule="auto"/>
        <w:contextualSpacing/>
        <w:jc w:val="both"/>
        <w:rPr>
          <w:rFonts w:eastAsia="Times New Roman" w:cs="Times New Roman"/>
          <w:color w:val="000000"/>
          <w:sz w:val="28"/>
          <w:szCs w:val="28"/>
          <w:lang w:val="en-GB" w:eastAsia="ru-RU"/>
        </w:rPr>
      </w:pPr>
      <w:r w:rsidRPr="00CA099F">
        <w:rPr>
          <w:rFonts w:eastAsia="Times New Roman" w:cs="Times New Roman"/>
          <w:color w:val="000000"/>
          <w:sz w:val="28"/>
          <w:szCs w:val="28"/>
          <w:lang w:val="en-GB" w:eastAsia="ru-RU"/>
        </w:rPr>
        <w:lastRenderedPageBreak/>
        <w:t xml:space="preserve">Surgical Approaches to First Branchial Cleft Anomaly Excision: A Case Series / </w:t>
      </w:r>
      <w:hyperlink r:id="rId62">
        <w:r w:rsidRPr="00CA099F">
          <w:rPr>
            <w:rFonts w:eastAsia="Times New Roman" w:cs="Times New Roman"/>
            <w:color w:val="000000"/>
            <w:sz w:val="28"/>
            <w:szCs w:val="28"/>
            <w:lang w:val="en-GB" w:eastAsia="ru-RU"/>
          </w:rPr>
          <w:t>L. Quintanilla-Dieck</w:t>
        </w:r>
      </w:hyperlink>
      <w:r w:rsidRPr="00CA099F">
        <w:rPr>
          <w:rFonts w:eastAsia="Times New Roman" w:cs="Times New Roman"/>
          <w:color w:val="000000"/>
          <w:sz w:val="28"/>
          <w:szCs w:val="28"/>
          <w:lang w:val="en-GB" w:eastAsia="ru-RU"/>
        </w:rPr>
        <w:t>,</w:t>
      </w:r>
      <w:hyperlink r:id="rId63">
        <w:r w:rsidRPr="00CA099F">
          <w:rPr>
            <w:rFonts w:eastAsia="Times New Roman" w:cs="Times New Roman"/>
            <w:color w:val="000000"/>
            <w:sz w:val="28"/>
            <w:szCs w:val="28"/>
            <w:lang w:val="en-GB" w:eastAsia="ru-RU"/>
          </w:rPr>
          <w:t>F. Virgin</w:t>
        </w:r>
      </w:hyperlink>
      <w:r w:rsidRPr="00CA099F">
        <w:rPr>
          <w:rFonts w:eastAsia="Times New Roman" w:cs="Times New Roman"/>
          <w:color w:val="000000"/>
          <w:sz w:val="28"/>
          <w:szCs w:val="28"/>
          <w:lang w:val="en-GB" w:eastAsia="ru-RU"/>
        </w:rPr>
        <w:t>,</w:t>
      </w:r>
      <w:hyperlink r:id="rId64">
        <w:r w:rsidRPr="00CA099F">
          <w:rPr>
            <w:rFonts w:eastAsia="Times New Roman" w:cs="Times New Roman"/>
            <w:color w:val="000000"/>
            <w:sz w:val="28"/>
            <w:szCs w:val="28"/>
            <w:lang w:val="en-GB" w:eastAsia="ru-RU"/>
          </w:rPr>
          <w:t>C. Wootten</w:t>
        </w:r>
      </w:hyperlink>
      <w:r w:rsidRPr="00CA099F">
        <w:rPr>
          <w:rFonts w:eastAsia="Times New Roman" w:cs="Times New Roman"/>
          <w:color w:val="000000"/>
          <w:sz w:val="28"/>
          <w:szCs w:val="28"/>
          <w:lang w:val="en-GB" w:eastAsia="ru-RU"/>
        </w:rPr>
        <w:t xml:space="preserve"> [et al.] // </w:t>
      </w:r>
      <w:hyperlink r:id="rId65">
        <w:r w:rsidRPr="00CA099F">
          <w:rPr>
            <w:rFonts w:eastAsia="Times New Roman" w:cs="Times New Roman"/>
            <w:color w:val="000000"/>
            <w:sz w:val="28"/>
            <w:szCs w:val="28"/>
            <w:lang w:val="en-GB" w:eastAsia="ru-RU"/>
          </w:rPr>
          <w:t>Case Rep Otolaryngol</w:t>
        </w:r>
      </w:hyperlink>
      <w:r w:rsidRPr="00CA099F">
        <w:rPr>
          <w:rFonts w:eastAsia="Times New Roman" w:cs="Times New Roman"/>
          <w:color w:val="000000"/>
          <w:sz w:val="28"/>
          <w:szCs w:val="28"/>
          <w:lang w:val="en-GB" w:eastAsia="ru-RU"/>
        </w:rPr>
        <w:t>. – 2016. – Vol. 2016. – P. 390-394.</w:t>
      </w:r>
    </w:p>
    <w:p w:rsidR="0030517B" w:rsidRPr="00CA099F" w:rsidRDefault="0030517B" w:rsidP="0030517B">
      <w:pPr>
        <w:numPr>
          <w:ilvl w:val="0"/>
          <w:numId w:val="17"/>
        </w:numPr>
        <w:pBdr>
          <w:top w:val="nil"/>
          <w:left w:val="nil"/>
          <w:bottom w:val="nil"/>
          <w:right w:val="nil"/>
          <w:between w:val="nil"/>
        </w:pBdr>
        <w:tabs>
          <w:tab w:val="left" w:pos="709"/>
        </w:tabs>
        <w:spacing w:after="0" w:line="360" w:lineRule="auto"/>
        <w:contextualSpacing/>
        <w:jc w:val="both"/>
        <w:rPr>
          <w:rFonts w:eastAsia="Times New Roman" w:cs="Times New Roman"/>
          <w:color w:val="000000"/>
          <w:sz w:val="28"/>
          <w:szCs w:val="28"/>
          <w:lang w:val="en-GB" w:eastAsia="ru-RU"/>
        </w:rPr>
      </w:pPr>
      <w:r w:rsidRPr="00CA099F">
        <w:rPr>
          <w:rFonts w:eastAsia="Times New Roman" w:cs="Times New Roman"/>
          <w:color w:val="000000"/>
          <w:sz w:val="28"/>
          <w:szCs w:val="28"/>
          <w:lang w:val="en-GB" w:eastAsia="ru-RU"/>
        </w:rPr>
        <w:t>Golledge J. The aetiology of lateral cervical (branchial) cysts: past and present theories / J. Golledge, H. Ellis // J Laryngol Otol. – 1994. – Vol. 108. – P. 653–659.</w:t>
      </w:r>
    </w:p>
    <w:p w:rsidR="0030517B" w:rsidRPr="00CA099F" w:rsidRDefault="0030517B" w:rsidP="0030517B">
      <w:pPr>
        <w:numPr>
          <w:ilvl w:val="0"/>
          <w:numId w:val="17"/>
        </w:numPr>
        <w:pBdr>
          <w:top w:val="nil"/>
          <w:left w:val="nil"/>
          <w:bottom w:val="nil"/>
          <w:right w:val="nil"/>
          <w:between w:val="nil"/>
        </w:pBdr>
        <w:tabs>
          <w:tab w:val="left" w:pos="709"/>
        </w:tabs>
        <w:spacing w:after="0" w:line="360" w:lineRule="auto"/>
        <w:contextualSpacing/>
        <w:jc w:val="both"/>
        <w:rPr>
          <w:rFonts w:eastAsia="Times New Roman" w:cs="Times New Roman"/>
          <w:color w:val="000000"/>
          <w:sz w:val="28"/>
          <w:szCs w:val="28"/>
          <w:lang w:val="en-GB" w:eastAsia="ru-RU"/>
        </w:rPr>
      </w:pPr>
      <w:r w:rsidRPr="00CA099F">
        <w:rPr>
          <w:rFonts w:eastAsia="Times New Roman" w:cs="Times New Roman"/>
          <w:color w:val="000000"/>
          <w:sz w:val="28"/>
          <w:szCs w:val="28"/>
          <w:lang w:val="en-GB" w:eastAsia="ru-RU"/>
        </w:rPr>
        <w:t xml:space="preserve">Case report of a p16INK4A-positive branchial cleft cyst / T. </w:t>
      </w:r>
      <w:hyperlink r:id="rId66">
        <w:r w:rsidRPr="00CA099F">
          <w:rPr>
            <w:rFonts w:eastAsia="Times New Roman" w:cs="Times New Roman"/>
            <w:color w:val="000000"/>
            <w:sz w:val="28"/>
            <w:szCs w:val="28"/>
            <w:lang w:val="en-GB" w:eastAsia="ru-RU"/>
          </w:rPr>
          <w:t>McLean</w:t>
        </w:r>
      </w:hyperlink>
      <w:r w:rsidRPr="00CA099F">
        <w:rPr>
          <w:rFonts w:eastAsia="Times New Roman" w:cs="Times New Roman"/>
          <w:color w:val="000000"/>
          <w:sz w:val="28"/>
          <w:szCs w:val="28"/>
          <w:lang w:val="en-GB" w:eastAsia="ru-RU"/>
        </w:rPr>
        <w:t xml:space="preserve">, C. </w:t>
      </w:r>
      <w:hyperlink r:id="rId67">
        <w:r w:rsidRPr="00CA099F">
          <w:rPr>
            <w:rFonts w:eastAsia="Times New Roman" w:cs="Times New Roman"/>
            <w:color w:val="000000"/>
            <w:sz w:val="28"/>
            <w:szCs w:val="28"/>
            <w:lang w:val="en-GB" w:eastAsia="ru-RU"/>
          </w:rPr>
          <w:t>Iseli</w:t>
        </w:r>
      </w:hyperlink>
      <w:r w:rsidRPr="00CA099F">
        <w:rPr>
          <w:rFonts w:eastAsia="Times New Roman" w:cs="Times New Roman"/>
          <w:color w:val="000000"/>
          <w:sz w:val="28"/>
          <w:szCs w:val="28"/>
          <w:lang w:val="en-GB" w:eastAsia="ru-RU"/>
        </w:rPr>
        <w:t xml:space="preserve">, D. </w:t>
      </w:r>
      <w:hyperlink r:id="rId68">
        <w:r w:rsidRPr="00CA099F">
          <w:rPr>
            <w:rFonts w:eastAsia="Times New Roman" w:cs="Times New Roman"/>
            <w:color w:val="000000"/>
            <w:sz w:val="28"/>
            <w:szCs w:val="28"/>
            <w:lang w:val="en-GB" w:eastAsia="ru-RU"/>
          </w:rPr>
          <w:t>Amott</w:t>
        </w:r>
      </w:hyperlink>
      <w:r w:rsidRPr="00CA099F">
        <w:rPr>
          <w:rFonts w:eastAsia="Times New Roman" w:cs="Times New Roman"/>
          <w:color w:val="000000"/>
          <w:sz w:val="28"/>
          <w:szCs w:val="28"/>
          <w:lang w:val="en-GB" w:eastAsia="ru-RU"/>
        </w:rPr>
        <w:t xml:space="preserve">, M. </w:t>
      </w:r>
      <w:hyperlink r:id="rId69">
        <w:r w:rsidRPr="00CA099F">
          <w:rPr>
            <w:rFonts w:eastAsia="Times New Roman" w:cs="Times New Roman"/>
            <w:color w:val="000000"/>
            <w:sz w:val="28"/>
            <w:szCs w:val="28"/>
            <w:lang w:val="en-GB" w:eastAsia="ru-RU"/>
          </w:rPr>
          <w:t>Taylor</w:t>
        </w:r>
      </w:hyperlink>
      <w:r w:rsidRPr="00CA099F">
        <w:rPr>
          <w:rFonts w:eastAsia="Times New Roman" w:cs="Times New Roman"/>
          <w:color w:val="000000"/>
          <w:sz w:val="28"/>
          <w:szCs w:val="28"/>
          <w:lang w:val="en-GB" w:eastAsia="ru-RU"/>
        </w:rPr>
        <w:t xml:space="preserve"> // </w:t>
      </w:r>
      <w:hyperlink r:id="rId70">
        <w:r w:rsidRPr="00CA099F">
          <w:rPr>
            <w:rFonts w:eastAsia="Times New Roman" w:cs="Times New Roman"/>
            <w:color w:val="000000"/>
            <w:sz w:val="28"/>
            <w:szCs w:val="28"/>
            <w:lang w:val="en-GB" w:eastAsia="ru-RU"/>
          </w:rPr>
          <w:t>J Laryngol Otol.</w:t>
        </w:r>
      </w:hyperlink>
      <w:r w:rsidRPr="00CA099F">
        <w:rPr>
          <w:rFonts w:eastAsia="Times New Roman" w:cs="Times New Roman"/>
          <w:color w:val="000000"/>
          <w:sz w:val="28"/>
          <w:szCs w:val="28"/>
          <w:lang w:val="en-GB" w:eastAsia="ru-RU"/>
        </w:rPr>
        <w:t xml:space="preserve"> – 2015. – Vol. 129(6). – P. 611-613.</w:t>
      </w:r>
    </w:p>
    <w:p w:rsidR="0030517B" w:rsidRPr="00CA099F" w:rsidRDefault="0030517B" w:rsidP="0030517B">
      <w:pPr>
        <w:numPr>
          <w:ilvl w:val="0"/>
          <w:numId w:val="17"/>
        </w:numPr>
        <w:pBdr>
          <w:top w:val="nil"/>
          <w:left w:val="nil"/>
          <w:bottom w:val="nil"/>
          <w:right w:val="nil"/>
          <w:between w:val="nil"/>
        </w:pBdr>
        <w:shd w:val="clear" w:color="auto" w:fill="FFFFFF"/>
        <w:spacing w:after="0" w:line="360" w:lineRule="auto"/>
        <w:contextualSpacing/>
        <w:rPr>
          <w:rFonts w:eastAsia="Times New Roman" w:cs="Times New Roman"/>
          <w:color w:val="000000"/>
          <w:sz w:val="28"/>
          <w:szCs w:val="28"/>
          <w:lang w:val="en-GB" w:eastAsia="ru-RU"/>
        </w:rPr>
      </w:pPr>
      <w:r w:rsidRPr="00CA099F">
        <w:rPr>
          <w:rFonts w:eastAsia="Times New Roman" w:cs="Times New Roman"/>
          <w:color w:val="000000"/>
          <w:sz w:val="28"/>
          <w:szCs w:val="28"/>
          <w:lang w:val="en-GB" w:eastAsia="ru-RU"/>
        </w:rPr>
        <w:t xml:space="preserve">Ectopic congenital bronchogenic cyst accompanied by infection appearing in the cervical region of an elderly female patient: A case report / </w:t>
      </w:r>
      <w:hyperlink r:id="rId71">
        <w:r w:rsidRPr="00CA099F">
          <w:rPr>
            <w:rFonts w:eastAsia="Times New Roman" w:cs="Times New Roman"/>
            <w:color w:val="000000"/>
            <w:sz w:val="28"/>
            <w:szCs w:val="28"/>
            <w:lang w:val="en-GB" w:eastAsia="ru-RU"/>
          </w:rPr>
          <w:t>Z. Liu</w:t>
        </w:r>
      </w:hyperlink>
      <w:r w:rsidRPr="00CA099F">
        <w:rPr>
          <w:rFonts w:eastAsia="Times New Roman" w:cs="Times New Roman"/>
          <w:color w:val="000000"/>
          <w:sz w:val="28"/>
          <w:szCs w:val="28"/>
          <w:lang w:val="en-GB" w:eastAsia="ru-RU"/>
        </w:rPr>
        <w:t xml:space="preserve">, </w:t>
      </w:r>
      <w:hyperlink r:id="rId72">
        <w:r w:rsidRPr="00CA099F">
          <w:rPr>
            <w:rFonts w:eastAsia="Times New Roman" w:cs="Times New Roman"/>
            <w:color w:val="000000"/>
            <w:sz w:val="28"/>
            <w:szCs w:val="28"/>
            <w:lang w:val="en-GB" w:eastAsia="ru-RU"/>
          </w:rPr>
          <w:t>Z. Tian</w:t>
        </w:r>
      </w:hyperlink>
      <w:r w:rsidRPr="00CA099F">
        <w:rPr>
          <w:rFonts w:eastAsia="Times New Roman" w:cs="Times New Roman"/>
          <w:color w:val="000000"/>
          <w:sz w:val="28"/>
          <w:szCs w:val="28"/>
          <w:lang w:val="en-GB" w:eastAsia="ru-RU"/>
        </w:rPr>
        <w:t xml:space="preserve">, </w:t>
      </w:r>
      <w:hyperlink r:id="rId73">
        <w:r w:rsidRPr="00CA099F">
          <w:rPr>
            <w:rFonts w:eastAsia="Times New Roman" w:cs="Times New Roman"/>
            <w:color w:val="000000"/>
            <w:sz w:val="28"/>
            <w:szCs w:val="28"/>
            <w:lang w:val="en-GB" w:eastAsia="ru-RU"/>
          </w:rPr>
          <w:t>C. Zhang</w:t>
        </w:r>
      </w:hyperlink>
      <w:r w:rsidRPr="00CA099F">
        <w:rPr>
          <w:rFonts w:eastAsia="Times New Roman" w:cs="Times New Roman"/>
          <w:color w:val="000000"/>
          <w:sz w:val="28"/>
          <w:szCs w:val="28"/>
          <w:lang w:val="en-GB" w:eastAsia="ru-RU"/>
        </w:rPr>
        <w:t xml:space="preserve">, </w:t>
      </w:r>
      <w:hyperlink r:id="rId74">
        <w:r w:rsidRPr="00CA099F">
          <w:rPr>
            <w:rFonts w:eastAsia="Times New Roman" w:cs="Times New Roman"/>
            <w:color w:val="000000"/>
            <w:sz w:val="28"/>
            <w:szCs w:val="28"/>
            <w:lang w:val="en-GB" w:eastAsia="ru-RU"/>
          </w:rPr>
          <w:t>Y. He</w:t>
        </w:r>
      </w:hyperlink>
      <w:r w:rsidRPr="00CA099F">
        <w:rPr>
          <w:rFonts w:eastAsia="Times New Roman" w:cs="Times New Roman"/>
          <w:color w:val="000000"/>
          <w:sz w:val="28"/>
          <w:szCs w:val="28"/>
          <w:lang w:val="en-GB" w:eastAsia="ru-RU"/>
        </w:rPr>
        <w:t xml:space="preserve"> // </w:t>
      </w:r>
      <w:hyperlink r:id="rId75">
        <w:r w:rsidRPr="00CA099F">
          <w:rPr>
            <w:rFonts w:eastAsia="Times New Roman" w:cs="Times New Roman"/>
            <w:color w:val="000000"/>
            <w:sz w:val="28"/>
            <w:szCs w:val="28"/>
            <w:lang w:val="en-GB" w:eastAsia="ru-RU"/>
          </w:rPr>
          <w:t>Oncol Lett</w:t>
        </w:r>
      </w:hyperlink>
      <w:r w:rsidRPr="00CA099F">
        <w:rPr>
          <w:rFonts w:eastAsia="Times New Roman" w:cs="Times New Roman"/>
          <w:color w:val="000000"/>
          <w:sz w:val="28"/>
          <w:szCs w:val="28"/>
          <w:lang w:val="en-GB" w:eastAsia="ru-RU"/>
        </w:rPr>
        <w:t>. – 2016. – Vol. 11(2). – P. 1065–1068.</w:t>
      </w:r>
    </w:p>
    <w:p w:rsidR="0030517B" w:rsidRPr="00CA099F" w:rsidRDefault="0030517B" w:rsidP="0030517B">
      <w:pPr>
        <w:numPr>
          <w:ilvl w:val="0"/>
          <w:numId w:val="17"/>
        </w:numPr>
        <w:pBdr>
          <w:top w:val="nil"/>
          <w:left w:val="nil"/>
          <w:bottom w:val="nil"/>
          <w:right w:val="nil"/>
          <w:between w:val="nil"/>
        </w:pBdr>
        <w:tabs>
          <w:tab w:val="left" w:pos="709"/>
        </w:tabs>
        <w:spacing w:after="0" w:line="360" w:lineRule="auto"/>
        <w:contextualSpacing/>
        <w:jc w:val="both"/>
        <w:rPr>
          <w:rFonts w:eastAsia="Times New Roman" w:cs="Times New Roman"/>
          <w:color w:val="000000"/>
          <w:sz w:val="28"/>
          <w:szCs w:val="28"/>
          <w:lang w:val="en-GB" w:eastAsia="ru-RU"/>
        </w:rPr>
      </w:pPr>
      <w:r w:rsidRPr="00CA099F">
        <w:rPr>
          <w:rFonts w:eastAsia="Times New Roman" w:cs="Times New Roman"/>
          <w:color w:val="000000"/>
          <w:sz w:val="28"/>
          <w:szCs w:val="28"/>
          <w:lang w:val="en-GB" w:eastAsia="ru-RU"/>
        </w:rPr>
        <w:t xml:space="preserve">Lateral and median cysts of the neck / G. </w:t>
      </w:r>
      <w:hyperlink r:id="rId76">
        <w:r w:rsidRPr="00CA099F">
          <w:rPr>
            <w:rFonts w:eastAsia="Times New Roman" w:cs="Times New Roman"/>
            <w:color w:val="000000"/>
            <w:sz w:val="28"/>
            <w:szCs w:val="28"/>
            <w:lang w:val="en-GB" w:eastAsia="ru-RU"/>
          </w:rPr>
          <w:t xml:space="preserve">Buła </w:t>
        </w:r>
      </w:hyperlink>
      <w:r w:rsidRPr="00CA099F">
        <w:rPr>
          <w:rFonts w:eastAsia="Times New Roman" w:cs="Times New Roman"/>
          <w:color w:val="000000"/>
          <w:sz w:val="28"/>
          <w:szCs w:val="28"/>
          <w:lang w:val="en-GB" w:eastAsia="ru-RU"/>
        </w:rPr>
        <w:t xml:space="preserve">, J. </w:t>
      </w:r>
      <w:hyperlink r:id="rId77">
        <w:r w:rsidRPr="00CA099F">
          <w:rPr>
            <w:rFonts w:eastAsia="Times New Roman" w:cs="Times New Roman"/>
            <w:color w:val="000000"/>
            <w:sz w:val="28"/>
            <w:szCs w:val="28"/>
            <w:lang w:val="en-GB" w:eastAsia="ru-RU"/>
          </w:rPr>
          <w:t xml:space="preserve">Waler </w:t>
        </w:r>
      </w:hyperlink>
      <w:r w:rsidRPr="00CA099F">
        <w:rPr>
          <w:rFonts w:eastAsia="Times New Roman" w:cs="Times New Roman"/>
          <w:color w:val="000000"/>
          <w:sz w:val="28"/>
          <w:szCs w:val="28"/>
          <w:lang w:val="en-GB" w:eastAsia="ru-RU"/>
        </w:rPr>
        <w:t xml:space="preserve">, A. </w:t>
      </w:r>
      <w:hyperlink r:id="rId78">
        <w:r w:rsidRPr="00CA099F">
          <w:rPr>
            <w:rFonts w:eastAsia="Times New Roman" w:cs="Times New Roman"/>
            <w:color w:val="000000"/>
            <w:sz w:val="28"/>
            <w:szCs w:val="28"/>
            <w:lang w:val="en-GB" w:eastAsia="ru-RU"/>
          </w:rPr>
          <w:t xml:space="preserve">Niemiec </w:t>
        </w:r>
      </w:hyperlink>
      <w:r w:rsidRPr="00CA099F">
        <w:rPr>
          <w:rFonts w:eastAsia="Times New Roman" w:cs="Times New Roman"/>
          <w:color w:val="000000"/>
          <w:sz w:val="28"/>
          <w:szCs w:val="28"/>
          <w:lang w:val="en-GB" w:eastAsia="ru-RU"/>
        </w:rPr>
        <w:t xml:space="preserve">[et al.] // </w:t>
      </w:r>
      <w:hyperlink r:id="rId79">
        <w:r w:rsidRPr="00CA099F">
          <w:rPr>
            <w:rFonts w:eastAsia="Times New Roman" w:cs="Times New Roman"/>
            <w:color w:val="000000"/>
            <w:sz w:val="28"/>
            <w:szCs w:val="28"/>
            <w:lang w:val="en-GB" w:eastAsia="ru-RU"/>
          </w:rPr>
          <w:t>Pol Przegl Chir.</w:t>
        </w:r>
      </w:hyperlink>
      <w:r w:rsidRPr="00CA099F">
        <w:rPr>
          <w:rFonts w:eastAsia="Times New Roman" w:cs="Times New Roman"/>
          <w:color w:val="000000"/>
          <w:sz w:val="28"/>
          <w:szCs w:val="28"/>
          <w:lang w:val="en-GB" w:eastAsia="ru-RU"/>
        </w:rPr>
        <w:t xml:space="preserve"> – 2012. – Vol. 84(9). – P. 445-448.</w:t>
      </w:r>
    </w:p>
    <w:p w:rsidR="0030517B" w:rsidRPr="00CA099F" w:rsidRDefault="00417675" w:rsidP="0030517B">
      <w:pPr>
        <w:numPr>
          <w:ilvl w:val="0"/>
          <w:numId w:val="17"/>
        </w:numPr>
        <w:pBdr>
          <w:top w:val="nil"/>
          <w:left w:val="nil"/>
          <w:bottom w:val="nil"/>
          <w:right w:val="nil"/>
          <w:between w:val="nil"/>
        </w:pBdr>
        <w:shd w:val="clear" w:color="auto" w:fill="FFFFFF"/>
        <w:tabs>
          <w:tab w:val="left" w:pos="709"/>
        </w:tabs>
        <w:spacing w:after="0" w:line="360" w:lineRule="auto"/>
        <w:contextualSpacing/>
        <w:jc w:val="both"/>
        <w:rPr>
          <w:rFonts w:eastAsia="Times New Roman" w:cs="Times New Roman"/>
          <w:color w:val="000000"/>
          <w:sz w:val="28"/>
          <w:szCs w:val="28"/>
          <w:lang w:val="en-GB" w:eastAsia="ru-RU"/>
        </w:rPr>
      </w:pPr>
      <w:hyperlink r:id="rId80">
        <w:r w:rsidR="0030517B" w:rsidRPr="00CA099F">
          <w:rPr>
            <w:rFonts w:eastAsia="Times New Roman" w:cs="Times New Roman"/>
            <w:color w:val="000000"/>
            <w:sz w:val="28"/>
            <w:szCs w:val="28"/>
            <w:lang w:val="en-GB" w:eastAsia="ru-RU"/>
          </w:rPr>
          <w:t>Kotecha</w:t>
        </w:r>
      </w:hyperlink>
      <w:r w:rsidR="0030517B" w:rsidRPr="00CA099F">
        <w:rPr>
          <w:rFonts w:eastAsia="Times New Roman" w:cs="Times New Roman"/>
          <w:color w:val="000000"/>
          <w:sz w:val="28"/>
          <w:szCs w:val="28"/>
          <w:lang w:val="en-GB" w:eastAsia="ru-RU"/>
        </w:rPr>
        <w:t xml:space="preserve"> V. Branchial cysts: an unusual cause of a mediastinal mass: a case report / </w:t>
      </w:r>
      <w:hyperlink r:id="rId81">
        <w:r w:rsidR="0030517B" w:rsidRPr="00CA099F">
          <w:rPr>
            <w:rFonts w:eastAsia="Times New Roman" w:cs="Times New Roman"/>
            <w:color w:val="000000"/>
            <w:sz w:val="28"/>
            <w:szCs w:val="28"/>
            <w:lang w:val="en-GB" w:eastAsia="ru-RU"/>
          </w:rPr>
          <w:t>V. Kotecha</w:t>
        </w:r>
      </w:hyperlink>
      <w:r w:rsidR="0030517B" w:rsidRPr="00CA099F">
        <w:rPr>
          <w:rFonts w:eastAsia="Times New Roman" w:cs="Times New Roman"/>
          <w:color w:val="000000"/>
          <w:sz w:val="28"/>
          <w:szCs w:val="28"/>
          <w:lang w:val="en-GB" w:eastAsia="ru-RU"/>
        </w:rPr>
        <w:t xml:space="preserve">, </w:t>
      </w:r>
      <w:hyperlink r:id="rId82">
        <w:r w:rsidR="0030517B" w:rsidRPr="00CA099F">
          <w:rPr>
            <w:rFonts w:eastAsia="Times New Roman" w:cs="Times New Roman"/>
            <w:color w:val="000000"/>
            <w:sz w:val="28"/>
            <w:szCs w:val="28"/>
            <w:lang w:val="en-GB" w:eastAsia="ru-RU"/>
          </w:rPr>
          <w:t>A. Muturi</w:t>
        </w:r>
      </w:hyperlink>
      <w:hyperlink r:id="rId83">
        <w:r w:rsidR="0030517B" w:rsidRPr="00CA099F">
          <w:rPr>
            <w:rFonts w:eastAsia="Times New Roman" w:cs="Times New Roman"/>
            <w:color w:val="000000"/>
            <w:sz w:val="28"/>
            <w:szCs w:val="28"/>
            <w:lang w:val="en-GB" w:eastAsia="ru-RU"/>
          </w:rPr>
          <w:t>J. Ruturi</w:t>
        </w:r>
      </w:hyperlink>
      <w:r w:rsidR="0030517B" w:rsidRPr="00CA099F">
        <w:rPr>
          <w:rFonts w:eastAsia="Times New Roman" w:cs="Times New Roman"/>
          <w:color w:val="000000"/>
          <w:sz w:val="28"/>
          <w:szCs w:val="28"/>
          <w:lang w:val="en-GB" w:eastAsia="ru-RU"/>
        </w:rPr>
        <w:t xml:space="preserve"> // </w:t>
      </w:r>
      <w:hyperlink r:id="rId84">
        <w:r w:rsidR="0030517B" w:rsidRPr="00CA099F">
          <w:rPr>
            <w:rFonts w:eastAsia="Times New Roman" w:cs="Times New Roman"/>
            <w:color w:val="000000"/>
            <w:sz w:val="28"/>
            <w:szCs w:val="28"/>
            <w:lang w:val="en-GB" w:eastAsia="ru-RU"/>
          </w:rPr>
          <w:t>J Med Case Rep</w:t>
        </w:r>
      </w:hyperlink>
      <w:r w:rsidR="0030517B" w:rsidRPr="00CA099F">
        <w:rPr>
          <w:rFonts w:eastAsia="Times New Roman" w:cs="Times New Roman"/>
          <w:color w:val="000000"/>
          <w:sz w:val="28"/>
          <w:szCs w:val="28"/>
          <w:lang w:val="en-GB" w:eastAsia="ru-RU"/>
        </w:rPr>
        <w:t>. – 2015. – Vol. 9. – P. 208.</w:t>
      </w:r>
    </w:p>
    <w:p w:rsidR="0030517B" w:rsidRPr="00CA099F" w:rsidRDefault="00417675" w:rsidP="0030517B">
      <w:pPr>
        <w:numPr>
          <w:ilvl w:val="0"/>
          <w:numId w:val="17"/>
        </w:numPr>
        <w:pBdr>
          <w:top w:val="nil"/>
          <w:left w:val="nil"/>
          <w:bottom w:val="nil"/>
          <w:right w:val="nil"/>
          <w:between w:val="nil"/>
        </w:pBdr>
        <w:tabs>
          <w:tab w:val="left" w:pos="709"/>
        </w:tabs>
        <w:spacing w:after="0" w:line="360" w:lineRule="auto"/>
        <w:contextualSpacing/>
        <w:jc w:val="both"/>
        <w:rPr>
          <w:rFonts w:eastAsia="Times New Roman" w:cs="Times New Roman"/>
          <w:color w:val="000000"/>
          <w:sz w:val="28"/>
          <w:szCs w:val="28"/>
          <w:lang w:val="en-GB" w:eastAsia="ru-RU"/>
        </w:rPr>
      </w:pPr>
      <w:hyperlink r:id="rId85">
        <w:r w:rsidR="0030517B" w:rsidRPr="00CA099F">
          <w:rPr>
            <w:rFonts w:eastAsia="Times New Roman" w:cs="Times New Roman"/>
            <w:color w:val="000000"/>
            <w:sz w:val="28"/>
            <w:szCs w:val="28"/>
            <w:lang w:val="en-GB" w:eastAsia="ru-RU"/>
          </w:rPr>
          <w:t>Horvath D</w:t>
        </w:r>
      </w:hyperlink>
      <w:r w:rsidR="0030517B" w:rsidRPr="00CA099F">
        <w:rPr>
          <w:rFonts w:eastAsia="Times New Roman" w:cs="Times New Roman"/>
          <w:color w:val="000000"/>
          <w:sz w:val="28"/>
          <w:szCs w:val="28"/>
          <w:lang w:val="en-GB" w:eastAsia="ru-RU"/>
        </w:rPr>
        <w:t xml:space="preserve">. Branchiogen cyst at unusual age and in rare localization. A case report / D. </w:t>
      </w:r>
      <w:hyperlink r:id="rId86">
        <w:r w:rsidR="0030517B" w:rsidRPr="00CA099F">
          <w:rPr>
            <w:rFonts w:eastAsia="Times New Roman" w:cs="Times New Roman"/>
            <w:color w:val="000000"/>
            <w:sz w:val="28"/>
            <w:szCs w:val="28"/>
            <w:lang w:val="en-GB" w:eastAsia="ru-RU"/>
          </w:rPr>
          <w:t>Horvath</w:t>
        </w:r>
      </w:hyperlink>
      <w:r w:rsidR="0030517B" w:rsidRPr="00CA099F">
        <w:rPr>
          <w:rFonts w:eastAsia="Times New Roman" w:cs="Times New Roman"/>
          <w:color w:val="000000"/>
          <w:sz w:val="28"/>
          <w:szCs w:val="28"/>
          <w:lang w:val="en-GB" w:eastAsia="ru-RU"/>
        </w:rPr>
        <w:t xml:space="preserve">, P. </w:t>
      </w:r>
      <w:hyperlink r:id="rId87">
        <w:r w:rsidR="0030517B" w:rsidRPr="00CA099F">
          <w:rPr>
            <w:rFonts w:eastAsia="Times New Roman" w:cs="Times New Roman"/>
            <w:color w:val="000000"/>
            <w:sz w:val="28"/>
            <w:szCs w:val="28"/>
            <w:lang w:val="en-GB" w:eastAsia="ru-RU"/>
          </w:rPr>
          <w:t>Redl</w:t>
        </w:r>
      </w:hyperlink>
      <w:r w:rsidR="0030517B" w:rsidRPr="00CA099F">
        <w:rPr>
          <w:rFonts w:eastAsia="Times New Roman" w:cs="Times New Roman"/>
          <w:color w:val="000000"/>
          <w:sz w:val="28"/>
          <w:szCs w:val="28"/>
          <w:lang w:val="en-GB" w:eastAsia="ru-RU"/>
        </w:rPr>
        <w:t xml:space="preserve">, C. </w:t>
      </w:r>
      <w:hyperlink r:id="rId88">
        <w:r w:rsidR="0030517B" w:rsidRPr="00CA099F">
          <w:rPr>
            <w:rFonts w:eastAsia="Times New Roman" w:cs="Times New Roman"/>
            <w:color w:val="000000"/>
            <w:sz w:val="28"/>
            <w:szCs w:val="28"/>
            <w:lang w:val="en-GB" w:eastAsia="ru-RU"/>
          </w:rPr>
          <w:t>Hegedűs</w:t>
        </w:r>
      </w:hyperlink>
      <w:r w:rsidR="0030517B" w:rsidRPr="00CA099F">
        <w:rPr>
          <w:rFonts w:eastAsia="Times New Roman" w:cs="Times New Roman"/>
          <w:color w:val="000000"/>
          <w:sz w:val="28"/>
          <w:szCs w:val="28"/>
          <w:lang w:val="en-GB" w:eastAsia="ru-RU"/>
        </w:rPr>
        <w:t xml:space="preserve"> // </w:t>
      </w:r>
      <w:hyperlink r:id="rId89">
        <w:r w:rsidR="0030517B" w:rsidRPr="00CA099F">
          <w:rPr>
            <w:rFonts w:eastAsia="Times New Roman" w:cs="Times New Roman"/>
            <w:color w:val="000000"/>
            <w:sz w:val="28"/>
            <w:szCs w:val="28"/>
            <w:lang w:val="en-GB" w:eastAsia="ru-RU"/>
          </w:rPr>
          <w:t>Fogorv Sz.</w:t>
        </w:r>
      </w:hyperlink>
      <w:r w:rsidR="0030517B" w:rsidRPr="00CA099F">
        <w:rPr>
          <w:rFonts w:eastAsia="Times New Roman" w:cs="Times New Roman"/>
          <w:color w:val="000000"/>
          <w:sz w:val="28"/>
          <w:szCs w:val="28"/>
          <w:lang w:val="en-GB" w:eastAsia="ru-RU"/>
        </w:rPr>
        <w:t xml:space="preserve"> – 2015. – Vol. 108(4). – P. 127-130.</w:t>
      </w:r>
    </w:p>
    <w:p w:rsidR="0030517B" w:rsidRPr="00CA099F" w:rsidRDefault="0030517B" w:rsidP="0030517B">
      <w:pPr>
        <w:numPr>
          <w:ilvl w:val="0"/>
          <w:numId w:val="17"/>
        </w:numPr>
        <w:pBdr>
          <w:top w:val="nil"/>
          <w:left w:val="nil"/>
          <w:bottom w:val="nil"/>
          <w:right w:val="nil"/>
          <w:between w:val="nil"/>
        </w:pBdr>
        <w:tabs>
          <w:tab w:val="left" w:pos="709"/>
        </w:tabs>
        <w:spacing w:after="0" w:line="360" w:lineRule="auto"/>
        <w:contextualSpacing/>
        <w:jc w:val="both"/>
        <w:rPr>
          <w:rFonts w:eastAsia="Times New Roman" w:cs="Times New Roman"/>
          <w:color w:val="000000"/>
          <w:sz w:val="28"/>
          <w:szCs w:val="28"/>
          <w:lang w:val="en-GB" w:eastAsia="ru-RU"/>
        </w:rPr>
      </w:pPr>
      <w:r w:rsidRPr="00CA099F">
        <w:rPr>
          <w:rFonts w:eastAsia="Times New Roman" w:cs="Times New Roman"/>
          <w:color w:val="000000"/>
          <w:sz w:val="28"/>
          <w:szCs w:val="28"/>
          <w:lang w:val="en-GB" w:eastAsia="ru-RU"/>
        </w:rPr>
        <w:t xml:space="preserve">Branchial cleft anomalies: a pictorial review of embryological development and spectrum of imaging findings / </w:t>
      </w:r>
      <w:hyperlink r:id="rId90">
        <w:r w:rsidRPr="00CA099F">
          <w:rPr>
            <w:rFonts w:eastAsia="Times New Roman" w:cs="Times New Roman"/>
            <w:color w:val="000000"/>
            <w:sz w:val="28"/>
            <w:szCs w:val="28"/>
            <w:lang w:val="en-GB" w:eastAsia="ru-RU"/>
          </w:rPr>
          <w:t>A. Adams</w:t>
        </w:r>
      </w:hyperlink>
      <w:r w:rsidRPr="00CA099F">
        <w:rPr>
          <w:rFonts w:eastAsia="Times New Roman" w:cs="Times New Roman"/>
          <w:color w:val="000000"/>
          <w:sz w:val="28"/>
          <w:szCs w:val="28"/>
          <w:lang w:val="en-GB" w:eastAsia="ru-RU"/>
        </w:rPr>
        <w:t xml:space="preserve">, </w:t>
      </w:r>
      <w:hyperlink r:id="rId91">
        <w:r w:rsidRPr="00CA099F">
          <w:rPr>
            <w:rFonts w:eastAsia="Times New Roman" w:cs="Times New Roman"/>
            <w:color w:val="000000"/>
            <w:sz w:val="28"/>
            <w:szCs w:val="28"/>
            <w:lang w:val="en-GB" w:eastAsia="ru-RU"/>
          </w:rPr>
          <w:t>K. Mankad</w:t>
        </w:r>
      </w:hyperlink>
      <w:r w:rsidRPr="00CA099F">
        <w:rPr>
          <w:rFonts w:eastAsia="Times New Roman" w:cs="Times New Roman"/>
          <w:color w:val="000000"/>
          <w:sz w:val="28"/>
          <w:szCs w:val="28"/>
          <w:lang w:val="en-GB" w:eastAsia="ru-RU"/>
        </w:rPr>
        <w:t xml:space="preserve">, </w:t>
      </w:r>
      <w:hyperlink r:id="rId92">
        <w:r w:rsidRPr="00CA099F">
          <w:rPr>
            <w:rFonts w:eastAsia="Times New Roman" w:cs="Times New Roman"/>
            <w:color w:val="000000"/>
            <w:sz w:val="28"/>
            <w:szCs w:val="28"/>
            <w:lang w:val="en-GB" w:eastAsia="ru-RU"/>
          </w:rPr>
          <w:t>C. Offiah</w:t>
        </w:r>
      </w:hyperlink>
      <w:r w:rsidRPr="00CA099F">
        <w:rPr>
          <w:rFonts w:eastAsia="Times New Roman" w:cs="Times New Roman"/>
          <w:color w:val="000000"/>
          <w:sz w:val="28"/>
          <w:szCs w:val="28"/>
          <w:lang w:val="en-GB" w:eastAsia="ru-RU"/>
        </w:rPr>
        <w:t xml:space="preserve">, </w:t>
      </w:r>
      <w:hyperlink r:id="rId93">
        <w:r w:rsidRPr="00CA099F">
          <w:rPr>
            <w:rFonts w:eastAsia="Times New Roman" w:cs="Times New Roman"/>
            <w:color w:val="000000"/>
            <w:sz w:val="28"/>
            <w:szCs w:val="28"/>
            <w:lang w:val="en-GB" w:eastAsia="ru-RU"/>
          </w:rPr>
          <w:t>L. Childs</w:t>
        </w:r>
      </w:hyperlink>
      <w:r w:rsidRPr="00CA099F">
        <w:rPr>
          <w:rFonts w:eastAsia="Times New Roman" w:cs="Times New Roman"/>
          <w:color w:val="000000"/>
          <w:sz w:val="28"/>
          <w:szCs w:val="28"/>
          <w:lang w:val="en-GB" w:eastAsia="ru-RU"/>
        </w:rPr>
        <w:t xml:space="preserve"> // </w:t>
      </w:r>
      <w:hyperlink r:id="rId94">
        <w:r w:rsidRPr="00CA099F">
          <w:rPr>
            <w:rFonts w:eastAsia="Times New Roman" w:cs="Times New Roman"/>
            <w:color w:val="000000"/>
            <w:sz w:val="28"/>
            <w:szCs w:val="28"/>
            <w:lang w:val="en-GB" w:eastAsia="ru-RU"/>
          </w:rPr>
          <w:t>Insights Imaging</w:t>
        </w:r>
      </w:hyperlink>
      <w:r w:rsidRPr="00CA099F">
        <w:rPr>
          <w:rFonts w:eastAsia="Times New Roman" w:cs="Times New Roman"/>
          <w:color w:val="000000"/>
          <w:sz w:val="28"/>
          <w:szCs w:val="28"/>
          <w:lang w:val="en-GB" w:eastAsia="ru-RU"/>
        </w:rPr>
        <w:t>. – 2016. – Vol. 7(1). – P. 69–76.</w:t>
      </w:r>
    </w:p>
    <w:p w:rsidR="0030517B" w:rsidRPr="00CA099F" w:rsidRDefault="0030517B" w:rsidP="0030517B">
      <w:pPr>
        <w:numPr>
          <w:ilvl w:val="0"/>
          <w:numId w:val="17"/>
        </w:numPr>
        <w:pBdr>
          <w:top w:val="nil"/>
          <w:left w:val="nil"/>
          <w:bottom w:val="nil"/>
          <w:right w:val="nil"/>
          <w:between w:val="nil"/>
        </w:pBdr>
        <w:tabs>
          <w:tab w:val="left" w:pos="709"/>
        </w:tabs>
        <w:spacing w:after="0" w:line="360" w:lineRule="auto"/>
        <w:contextualSpacing/>
        <w:jc w:val="both"/>
        <w:rPr>
          <w:rFonts w:eastAsia="Times New Roman" w:cs="Times New Roman"/>
          <w:color w:val="000000"/>
          <w:sz w:val="28"/>
          <w:szCs w:val="28"/>
          <w:lang w:val="en-GB" w:eastAsia="ru-RU"/>
        </w:rPr>
      </w:pPr>
      <w:r w:rsidRPr="00CA099F">
        <w:rPr>
          <w:rFonts w:eastAsia="Times New Roman" w:cs="Times New Roman"/>
          <w:color w:val="000000"/>
          <w:sz w:val="28"/>
          <w:szCs w:val="28"/>
          <w:lang w:val="en-GB" w:eastAsia="ru-RU"/>
        </w:rPr>
        <w:t>First branchial cleft anomalies: otologic manifestations and treatment outcomes / J.R. Shinn, P.L. Purcell, D.L. Horn [et al.] // Otolaryngology—Head and Neck Surgery. – 2015. – Vol. 152(3). – P. 506–512.</w:t>
      </w:r>
    </w:p>
    <w:p w:rsidR="0030517B" w:rsidRPr="00CA099F" w:rsidRDefault="0030517B" w:rsidP="0030517B">
      <w:pPr>
        <w:numPr>
          <w:ilvl w:val="0"/>
          <w:numId w:val="17"/>
        </w:numPr>
        <w:pBdr>
          <w:top w:val="nil"/>
          <w:left w:val="nil"/>
          <w:bottom w:val="nil"/>
          <w:right w:val="nil"/>
          <w:between w:val="nil"/>
        </w:pBdr>
        <w:tabs>
          <w:tab w:val="left" w:pos="709"/>
        </w:tabs>
        <w:spacing w:after="0" w:line="360" w:lineRule="auto"/>
        <w:contextualSpacing/>
        <w:jc w:val="both"/>
        <w:rPr>
          <w:rFonts w:eastAsia="Times New Roman" w:cs="Times New Roman"/>
          <w:color w:val="000000"/>
          <w:sz w:val="28"/>
          <w:szCs w:val="28"/>
          <w:lang w:val="en-GB" w:eastAsia="ru-RU"/>
        </w:rPr>
      </w:pPr>
      <w:r w:rsidRPr="00CA099F">
        <w:rPr>
          <w:rFonts w:eastAsia="Times New Roman" w:cs="Times New Roman"/>
          <w:color w:val="000000"/>
          <w:sz w:val="28"/>
          <w:szCs w:val="28"/>
          <w:lang w:val="en-GB" w:eastAsia="ru-RU"/>
        </w:rPr>
        <w:t xml:space="preserve">Branchial cleft cyst: A case report and review of literature / </w:t>
      </w:r>
      <w:hyperlink r:id="rId95">
        <w:r w:rsidRPr="00CA099F">
          <w:rPr>
            <w:rFonts w:eastAsia="Times New Roman" w:cs="Times New Roman"/>
            <w:color w:val="000000"/>
            <w:sz w:val="28"/>
            <w:szCs w:val="28"/>
            <w:lang w:val="en-GB" w:eastAsia="ru-RU"/>
          </w:rPr>
          <w:t>S. Chavan</w:t>
        </w:r>
      </w:hyperlink>
      <w:r w:rsidRPr="00CA099F">
        <w:rPr>
          <w:rFonts w:eastAsia="Times New Roman" w:cs="Times New Roman"/>
          <w:color w:val="000000"/>
          <w:sz w:val="28"/>
          <w:szCs w:val="28"/>
          <w:lang w:val="en-GB" w:eastAsia="ru-RU"/>
        </w:rPr>
        <w:t xml:space="preserve">, </w:t>
      </w:r>
      <w:hyperlink r:id="rId96">
        <w:r w:rsidRPr="00CA099F">
          <w:rPr>
            <w:rFonts w:eastAsia="Times New Roman" w:cs="Times New Roman"/>
            <w:color w:val="000000"/>
            <w:sz w:val="28"/>
            <w:szCs w:val="28"/>
            <w:lang w:val="en-GB" w:eastAsia="ru-RU"/>
          </w:rPr>
          <w:t>R. Deshmukh</w:t>
        </w:r>
      </w:hyperlink>
      <w:r w:rsidRPr="00CA099F">
        <w:rPr>
          <w:rFonts w:eastAsia="Times New Roman" w:cs="Times New Roman"/>
          <w:color w:val="000000"/>
          <w:sz w:val="28"/>
          <w:szCs w:val="28"/>
          <w:lang w:val="en-GB" w:eastAsia="ru-RU"/>
        </w:rPr>
        <w:t xml:space="preserve">, </w:t>
      </w:r>
      <w:hyperlink r:id="rId97">
        <w:r w:rsidRPr="00CA099F">
          <w:rPr>
            <w:rFonts w:eastAsia="Times New Roman" w:cs="Times New Roman"/>
            <w:color w:val="000000"/>
            <w:sz w:val="28"/>
            <w:szCs w:val="28"/>
            <w:lang w:val="en-GB" w:eastAsia="ru-RU"/>
          </w:rPr>
          <w:t>P. Karande</w:t>
        </w:r>
      </w:hyperlink>
      <w:r w:rsidRPr="00CA099F">
        <w:rPr>
          <w:rFonts w:eastAsia="Times New Roman" w:cs="Times New Roman"/>
          <w:color w:val="000000"/>
          <w:sz w:val="28"/>
          <w:szCs w:val="28"/>
          <w:lang w:val="en-GB" w:eastAsia="ru-RU"/>
        </w:rPr>
        <w:t xml:space="preserve">, </w:t>
      </w:r>
      <w:hyperlink r:id="rId98">
        <w:r w:rsidRPr="00CA099F">
          <w:rPr>
            <w:rFonts w:eastAsia="Times New Roman" w:cs="Times New Roman"/>
            <w:color w:val="000000"/>
            <w:sz w:val="28"/>
            <w:szCs w:val="28"/>
            <w:lang w:val="en-GB" w:eastAsia="ru-RU"/>
          </w:rPr>
          <w:t>Y. Ingale</w:t>
        </w:r>
      </w:hyperlink>
      <w:r w:rsidRPr="00CA099F">
        <w:rPr>
          <w:rFonts w:eastAsia="Times New Roman" w:cs="Times New Roman"/>
          <w:color w:val="000000"/>
          <w:sz w:val="28"/>
          <w:szCs w:val="28"/>
          <w:lang w:val="en-GB" w:eastAsia="ru-RU"/>
        </w:rPr>
        <w:t xml:space="preserve"> // </w:t>
      </w:r>
      <w:hyperlink r:id="rId99">
        <w:r w:rsidRPr="00CA099F">
          <w:rPr>
            <w:rFonts w:eastAsia="Times New Roman" w:cs="Times New Roman"/>
            <w:color w:val="000000"/>
            <w:sz w:val="28"/>
            <w:szCs w:val="28"/>
            <w:lang w:val="en-GB" w:eastAsia="ru-RU"/>
          </w:rPr>
          <w:t>J Oral Maxillofac Pathol</w:t>
        </w:r>
      </w:hyperlink>
      <w:r w:rsidRPr="00CA099F">
        <w:rPr>
          <w:rFonts w:eastAsia="Times New Roman" w:cs="Times New Roman"/>
          <w:color w:val="000000"/>
          <w:sz w:val="28"/>
          <w:szCs w:val="28"/>
          <w:lang w:val="en-GB" w:eastAsia="ru-RU"/>
        </w:rPr>
        <w:t>. – 2014. – Vol. 18(1). – P. 150.</w:t>
      </w:r>
    </w:p>
    <w:p w:rsidR="0030517B" w:rsidRPr="00CA099F" w:rsidRDefault="0030517B" w:rsidP="0030517B">
      <w:pPr>
        <w:numPr>
          <w:ilvl w:val="0"/>
          <w:numId w:val="17"/>
        </w:numPr>
        <w:pBdr>
          <w:top w:val="nil"/>
          <w:left w:val="nil"/>
          <w:bottom w:val="nil"/>
          <w:right w:val="nil"/>
          <w:between w:val="nil"/>
        </w:pBdr>
        <w:shd w:val="clear" w:color="auto" w:fill="FFFFFF"/>
        <w:tabs>
          <w:tab w:val="left" w:pos="709"/>
        </w:tabs>
        <w:spacing w:after="0" w:line="360" w:lineRule="auto"/>
        <w:contextualSpacing/>
        <w:jc w:val="both"/>
        <w:rPr>
          <w:rFonts w:eastAsia="Times New Roman" w:cs="Times New Roman"/>
          <w:color w:val="000000"/>
          <w:sz w:val="28"/>
          <w:szCs w:val="28"/>
          <w:lang w:val="en-GB" w:eastAsia="ru-RU"/>
        </w:rPr>
      </w:pPr>
      <w:r w:rsidRPr="00CA099F">
        <w:rPr>
          <w:rFonts w:eastAsia="Times New Roman" w:cs="Times New Roman"/>
          <w:color w:val="000000"/>
          <w:sz w:val="28"/>
          <w:szCs w:val="28"/>
          <w:lang w:val="en-GB" w:eastAsia="ru-RU"/>
        </w:rPr>
        <w:lastRenderedPageBreak/>
        <w:t xml:space="preserve">Branchial Cleft-Like Cysts Involving 3 Different Organs / T. </w:t>
      </w:r>
      <w:hyperlink r:id="rId100">
        <w:r w:rsidRPr="00CA099F">
          <w:rPr>
            <w:rFonts w:eastAsia="Times New Roman" w:cs="Times New Roman"/>
            <w:color w:val="000000"/>
            <w:sz w:val="28"/>
            <w:szCs w:val="28"/>
            <w:lang w:val="en-GB" w:eastAsia="ru-RU"/>
          </w:rPr>
          <w:t>Nakazawa</w:t>
        </w:r>
      </w:hyperlink>
      <w:r w:rsidRPr="00CA099F">
        <w:rPr>
          <w:rFonts w:eastAsia="Times New Roman" w:cs="Times New Roman"/>
          <w:color w:val="000000"/>
          <w:sz w:val="28"/>
          <w:szCs w:val="28"/>
          <w:lang w:val="en-GB" w:eastAsia="ru-RU"/>
        </w:rPr>
        <w:t xml:space="preserve">, </w:t>
      </w:r>
      <w:hyperlink r:id="rId101">
        <w:r w:rsidRPr="00CA099F">
          <w:rPr>
            <w:rFonts w:eastAsia="Times New Roman" w:cs="Times New Roman"/>
            <w:color w:val="000000"/>
            <w:sz w:val="28"/>
            <w:szCs w:val="28"/>
            <w:lang w:val="en-GB" w:eastAsia="ru-RU"/>
          </w:rPr>
          <w:t>T. Kondo</w:t>
        </w:r>
      </w:hyperlink>
      <w:r w:rsidRPr="00CA099F">
        <w:rPr>
          <w:rFonts w:eastAsia="Times New Roman" w:cs="Times New Roman"/>
          <w:color w:val="000000"/>
          <w:sz w:val="28"/>
          <w:szCs w:val="28"/>
          <w:lang w:val="en-GB" w:eastAsia="ru-RU"/>
        </w:rPr>
        <w:t xml:space="preserve">, </w:t>
      </w:r>
      <w:hyperlink r:id="rId102">
        <w:r w:rsidRPr="00CA099F">
          <w:rPr>
            <w:rFonts w:eastAsia="Times New Roman" w:cs="Times New Roman"/>
            <w:color w:val="000000"/>
            <w:sz w:val="28"/>
            <w:szCs w:val="28"/>
            <w:lang w:val="en-GB" w:eastAsia="ru-RU"/>
          </w:rPr>
          <w:t>N. Oishi</w:t>
        </w:r>
      </w:hyperlink>
      <w:r w:rsidRPr="00CA099F">
        <w:rPr>
          <w:rFonts w:eastAsia="Times New Roman" w:cs="Times New Roman"/>
          <w:color w:val="000000"/>
          <w:sz w:val="28"/>
          <w:szCs w:val="28"/>
          <w:lang w:val="en-GB" w:eastAsia="ru-RU"/>
        </w:rPr>
        <w:t xml:space="preserve"> [et al.] // </w:t>
      </w:r>
      <w:hyperlink r:id="rId103">
        <w:r w:rsidRPr="00CA099F">
          <w:rPr>
            <w:rFonts w:eastAsia="Times New Roman" w:cs="Times New Roman"/>
            <w:color w:val="000000"/>
            <w:sz w:val="28"/>
            <w:szCs w:val="28"/>
            <w:lang w:val="en-GB" w:eastAsia="ru-RU"/>
          </w:rPr>
          <w:t>Medicine (Baltimore)</w:t>
        </w:r>
      </w:hyperlink>
      <w:r w:rsidRPr="00CA099F">
        <w:rPr>
          <w:rFonts w:eastAsia="Times New Roman" w:cs="Times New Roman"/>
          <w:color w:val="000000"/>
          <w:sz w:val="28"/>
          <w:szCs w:val="28"/>
          <w:lang w:val="en-GB" w:eastAsia="ru-RU"/>
        </w:rPr>
        <w:t>. – 2015. – Vol. 94(42). – P. 1758.</w:t>
      </w:r>
    </w:p>
    <w:p w:rsidR="0030517B" w:rsidRPr="00CA099F" w:rsidRDefault="0030517B" w:rsidP="0030517B">
      <w:pPr>
        <w:numPr>
          <w:ilvl w:val="0"/>
          <w:numId w:val="17"/>
        </w:numPr>
        <w:pBdr>
          <w:top w:val="nil"/>
          <w:left w:val="nil"/>
          <w:bottom w:val="nil"/>
          <w:right w:val="nil"/>
          <w:between w:val="nil"/>
        </w:pBdr>
        <w:tabs>
          <w:tab w:val="left" w:pos="709"/>
        </w:tabs>
        <w:spacing w:after="0" w:line="360" w:lineRule="auto"/>
        <w:contextualSpacing/>
        <w:jc w:val="both"/>
        <w:rPr>
          <w:rFonts w:eastAsia="Times New Roman" w:cs="Times New Roman"/>
          <w:color w:val="000000"/>
          <w:sz w:val="28"/>
          <w:szCs w:val="28"/>
          <w:lang w:val="en-GB" w:eastAsia="ru-RU"/>
        </w:rPr>
      </w:pPr>
      <w:r w:rsidRPr="00CA099F">
        <w:rPr>
          <w:rFonts w:eastAsia="Times New Roman" w:cs="Times New Roman"/>
          <w:color w:val="000000"/>
          <w:sz w:val="28"/>
          <w:szCs w:val="28"/>
          <w:lang w:val="en-GB" w:eastAsia="ru-RU"/>
        </w:rPr>
        <w:t>Bilateral branchial cleft anomaly type two and type three seen together / C. Kucur, V. Kinis, Y. Eren, A.O. Gursel // J Clin Exp Invest. – 2012. – Vol. 3(1). – P. 99–101.</w:t>
      </w:r>
    </w:p>
    <w:p w:rsidR="0030517B" w:rsidRPr="00CA099F" w:rsidRDefault="0030517B" w:rsidP="0030517B">
      <w:pPr>
        <w:numPr>
          <w:ilvl w:val="0"/>
          <w:numId w:val="17"/>
        </w:numPr>
        <w:pBdr>
          <w:top w:val="nil"/>
          <w:left w:val="nil"/>
          <w:bottom w:val="nil"/>
          <w:right w:val="nil"/>
          <w:between w:val="nil"/>
        </w:pBdr>
        <w:tabs>
          <w:tab w:val="left" w:pos="709"/>
        </w:tabs>
        <w:spacing w:after="0" w:line="360" w:lineRule="auto"/>
        <w:contextualSpacing/>
        <w:jc w:val="both"/>
        <w:rPr>
          <w:rFonts w:eastAsia="Times New Roman" w:cs="Times New Roman"/>
          <w:color w:val="000000"/>
          <w:sz w:val="28"/>
          <w:szCs w:val="28"/>
          <w:lang w:val="ru-RU" w:eastAsia="ru-RU"/>
        </w:rPr>
      </w:pPr>
      <w:r w:rsidRPr="00CA099F">
        <w:rPr>
          <w:rFonts w:eastAsia="Times New Roman" w:cs="Times New Roman"/>
          <w:color w:val="000000"/>
          <w:sz w:val="28"/>
          <w:szCs w:val="28"/>
          <w:lang w:val="ru-RU" w:eastAsia="ru-RU"/>
        </w:rPr>
        <w:t xml:space="preserve">Маланчук В.О. Хірургічна стоматологія та щелепно-лицева хірургія : </w:t>
      </w:r>
      <w:r w:rsidRPr="00CA099F">
        <w:rPr>
          <w:rFonts w:eastAsia="Times New Roman" w:cs="Times New Roman"/>
          <w:color w:val="000000"/>
          <w:sz w:val="28"/>
          <w:szCs w:val="28"/>
          <w:lang w:val="en-GB" w:eastAsia="ru-RU"/>
        </w:rPr>
        <w:t>T</w:t>
      </w:r>
      <w:r w:rsidRPr="00CA099F">
        <w:rPr>
          <w:rFonts w:eastAsia="Times New Roman" w:cs="Times New Roman"/>
          <w:color w:val="000000"/>
          <w:sz w:val="28"/>
          <w:szCs w:val="28"/>
          <w:lang w:val="ru-RU" w:eastAsia="ru-RU"/>
        </w:rPr>
        <w:t>. 1 / В.О. Маланчук. – К., 2011. – 672 с.</w:t>
      </w:r>
    </w:p>
    <w:p w:rsidR="0030517B" w:rsidRPr="00CA099F" w:rsidRDefault="0030517B" w:rsidP="0030517B">
      <w:pPr>
        <w:numPr>
          <w:ilvl w:val="0"/>
          <w:numId w:val="17"/>
        </w:numPr>
        <w:pBdr>
          <w:top w:val="nil"/>
          <w:left w:val="nil"/>
          <w:bottom w:val="nil"/>
          <w:right w:val="nil"/>
          <w:between w:val="nil"/>
        </w:pBdr>
        <w:tabs>
          <w:tab w:val="left" w:pos="709"/>
        </w:tabs>
        <w:spacing w:after="0" w:line="360" w:lineRule="auto"/>
        <w:contextualSpacing/>
        <w:jc w:val="both"/>
        <w:rPr>
          <w:rFonts w:eastAsia="Times New Roman" w:cs="Times New Roman"/>
          <w:color w:val="000000"/>
          <w:sz w:val="28"/>
          <w:szCs w:val="28"/>
          <w:lang w:val="ru-RU" w:eastAsia="ru-RU"/>
        </w:rPr>
      </w:pPr>
      <w:r w:rsidRPr="00CA099F">
        <w:rPr>
          <w:rFonts w:eastAsia="Times New Roman" w:cs="Times New Roman"/>
          <w:color w:val="000000"/>
          <w:sz w:val="28"/>
          <w:szCs w:val="28"/>
          <w:lang w:val="ru-RU" w:eastAsia="ru-RU"/>
        </w:rPr>
        <w:t>Маланчук В.О. Доброякісні пухлини та пухлиноподібні ураження щелепно-лицевої ділянки та шиї / В.О. Маланчук, А.В. Копчак. – К. : Видавничий дім «Асканія», 2008. – 320 с.</w:t>
      </w:r>
    </w:p>
    <w:p w:rsidR="0030517B" w:rsidRPr="00CA099F" w:rsidRDefault="0030517B" w:rsidP="0030517B">
      <w:pPr>
        <w:numPr>
          <w:ilvl w:val="0"/>
          <w:numId w:val="17"/>
        </w:numPr>
        <w:pBdr>
          <w:top w:val="nil"/>
          <w:left w:val="nil"/>
          <w:bottom w:val="nil"/>
          <w:right w:val="nil"/>
          <w:between w:val="nil"/>
        </w:pBdr>
        <w:tabs>
          <w:tab w:val="left" w:pos="709"/>
        </w:tabs>
        <w:spacing w:after="0" w:line="360" w:lineRule="auto"/>
        <w:contextualSpacing/>
        <w:jc w:val="both"/>
        <w:rPr>
          <w:rFonts w:eastAsia="Times New Roman" w:cs="Times New Roman"/>
          <w:color w:val="000000"/>
          <w:sz w:val="28"/>
          <w:szCs w:val="28"/>
          <w:lang w:val="en-GB" w:eastAsia="ru-RU"/>
        </w:rPr>
      </w:pPr>
      <w:r w:rsidRPr="00CA099F">
        <w:rPr>
          <w:rFonts w:eastAsia="Times New Roman" w:cs="Times New Roman"/>
          <w:color w:val="000000"/>
          <w:sz w:val="28"/>
          <w:szCs w:val="28"/>
          <w:lang w:val="en-GB" w:eastAsia="ru-RU"/>
        </w:rPr>
        <w:t>Recurrent neck abscess due to a bronchogenic cyst in an adult / A.J. Hazenberg, L.M. Pullmann, R.P. Henke, F. Hoppe // J Laryngol Otol – 2010. – Vol. 124. – P. 1325–1328.</w:t>
      </w:r>
    </w:p>
    <w:p w:rsidR="0030517B" w:rsidRPr="00CA099F" w:rsidRDefault="00417675" w:rsidP="0030517B">
      <w:pPr>
        <w:numPr>
          <w:ilvl w:val="0"/>
          <w:numId w:val="17"/>
        </w:numPr>
        <w:pBdr>
          <w:top w:val="nil"/>
          <w:left w:val="nil"/>
          <w:bottom w:val="nil"/>
          <w:right w:val="nil"/>
          <w:between w:val="nil"/>
        </w:pBdr>
        <w:shd w:val="clear" w:color="auto" w:fill="FFFFFF"/>
        <w:tabs>
          <w:tab w:val="left" w:pos="709"/>
        </w:tabs>
        <w:spacing w:after="0" w:line="360" w:lineRule="auto"/>
        <w:contextualSpacing/>
        <w:jc w:val="both"/>
        <w:rPr>
          <w:rFonts w:eastAsia="Times New Roman" w:cs="Times New Roman"/>
          <w:color w:val="000000"/>
          <w:sz w:val="28"/>
          <w:szCs w:val="28"/>
          <w:lang w:val="en-GB" w:eastAsia="ru-RU"/>
        </w:rPr>
      </w:pPr>
      <w:hyperlink r:id="rId104">
        <w:r w:rsidR="0030517B" w:rsidRPr="00CA099F">
          <w:rPr>
            <w:rFonts w:eastAsia="Times New Roman" w:cs="Times New Roman"/>
            <w:color w:val="000000"/>
            <w:sz w:val="28"/>
            <w:szCs w:val="28"/>
            <w:lang w:val="en-GB" w:eastAsia="ru-RU"/>
          </w:rPr>
          <w:t>Valentino</w:t>
        </w:r>
      </w:hyperlink>
      <w:r w:rsidR="0030517B" w:rsidRPr="00CA099F">
        <w:rPr>
          <w:rFonts w:eastAsia="Times New Roman" w:cs="Times New Roman"/>
          <w:color w:val="000000"/>
          <w:sz w:val="28"/>
          <w:szCs w:val="28"/>
          <w:lang w:val="en-GB" w:eastAsia="ru-RU"/>
        </w:rPr>
        <w:t xml:space="preserve"> M. Branchial cleft cyst / </w:t>
      </w:r>
      <w:hyperlink r:id="rId105">
        <w:r w:rsidR="0030517B" w:rsidRPr="00CA099F">
          <w:rPr>
            <w:rFonts w:eastAsia="Times New Roman" w:cs="Times New Roman"/>
            <w:color w:val="000000"/>
            <w:sz w:val="28"/>
            <w:szCs w:val="28"/>
            <w:lang w:val="en-GB" w:eastAsia="ru-RU"/>
          </w:rPr>
          <w:t>M. Valentino</w:t>
        </w:r>
      </w:hyperlink>
      <w:r w:rsidR="0030517B" w:rsidRPr="00CA099F">
        <w:rPr>
          <w:rFonts w:eastAsia="Times New Roman" w:cs="Times New Roman"/>
          <w:color w:val="000000"/>
          <w:sz w:val="28"/>
          <w:szCs w:val="28"/>
          <w:lang w:val="en-GB" w:eastAsia="ru-RU"/>
        </w:rPr>
        <w:t xml:space="preserve">, </w:t>
      </w:r>
      <w:hyperlink r:id="rId106">
        <w:r w:rsidR="0030517B" w:rsidRPr="00CA099F">
          <w:rPr>
            <w:rFonts w:eastAsia="Times New Roman" w:cs="Times New Roman"/>
            <w:color w:val="000000"/>
            <w:sz w:val="28"/>
            <w:szCs w:val="28"/>
            <w:lang w:val="en-GB" w:eastAsia="ru-RU"/>
          </w:rPr>
          <w:t>C. Quiligotti</w:t>
        </w:r>
      </w:hyperlink>
      <w:r w:rsidR="0030517B" w:rsidRPr="00CA099F">
        <w:rPr>
          <w:rFonts w:eastAsia="Times New Roman" w:cs="Times New Roman"/>
          <w:color w:val="000000"/>
          <w:sz w:val="28"/>
          <w:szCs w:val="28"/>
          <w:lang w:val="en-GB" w:eastAsia="ru-RU"/>
        </w:rPr>
        <w:t xml:space="preserve">, </w:t>
      </w:r>
      <w:hyperlink r:id="rId107">
        <w:r w:rsidR="0030517B" w:rsidRPr="00CA099F">
          <w:rPr>
            <w:rFonts w:eastAsia="Times New Roman" w:cs="Times New Roman"/>
            <w:color w:val="000000"/>
            <w:sz w:val="28"/>
            <w:szCs w:val="28"/>
            <w:lang w:val="en-GB" w:eastAsia="ru-RU"/>
          </w:rPr>
          <w:t>L. Carone</w:t>
        </w:r>
      </w:hyperlink>
      <w:r w:rsidR="0030517B" w:rsidRPr="00CA099F">
        <w:rPr>
          <w:rFonts w:eastAsia="Times New Roman" w:cs="Times New Roman"/>
          <w:color w:val="000000"/>
          <w:sz w:val="28"/>
          <w:szCs w:val="28"/>
          <w:lang w:val="en-GB" w:eastAsia="ru-RU"/>
        </w:rPr>
        <w:t xml:space="preserve"> // </w:t>
      </w:r>
      <w:hyperlink r:id="rId108">
        <w:r w:rsidR="0030517B" w:rsidRPr="00CA099F">
          <w:rPr>
            <w:rFonts w:eastAsia="Times New Roman" w:cs="Times New Roman"/>
            <w:color w:val="000000"/>
            <w:sz w:val="28"/>
            <w:szCs w:val="28"/>
            <w:lang w:val="en-GB" w:eastAsia="ru-RU"/>
          </w:rPr>
          <w:t>J Ultrasound</w:t>
        </w:r>
      </w:hyperlink>
      <w:r w:rsidR="0030517B" w:rsidRPr="00CA099F">
        <w:rPr>
          <w:rFonts w:eastAsia="Times New Roman" w:cs="Times New Roman"/>
          <w:color w:val="000000"/>
          <w:sz w:val="28"/>
          <w:szCs w:val="28"/>
          <w:lang w:val="en-GB" w:eastAsia="ru-RU"/>
        </w:rPr>
        <w:t>. – 2013. – Vol. 16(1). – P. 17–20.</w:t>
      </w:r>
    </w:p>
    <w:p w:rsidR="0030517B" w:rsidRPr="00CA099F" w:rsidRDefault="00417675" w:rsidP="0030517B">
      <w:pPr>
        <w:numPr>
          <w:ilvl w:val="0"/>
          <w:numId w:val="17"/>
        </w:numPr>
        <w:pBdr>
          <w:top w:val="nil"/>
          <w:left w:val="nil"/>
          <w:bottom w:val="nil"/>
          <w:right w:val="nil"/>
          <w:between w:val="nil"/>
        </w:pBdr>
        <w:tabs>
          <w:tab w:val="left" w:pos="709"/>
        </w:tabs>
        <w:spacing w:after="0" w:line="360" w:lineRule="auto"/>
        <w:contextualSpacing/>
        <w:jc w:val="both"/>
        <w:rPr>
          <w:rFonts w:eastAsia="Times New Roman" w:cs="Times New Roman"/>
          <w:color w:val="000000"/>
          <w:sz w:val="28"/>
          <w:szCs w:val="28"/>
          <w:lang w:val="en-GB" w:eastAsia="ru-RU"/>
        </w:rPr>
      </w:pPr>
      <w:hyperlink r:id="rId109">
        <w:r w:rsidR="0030517B" w:rsidRPr="00CA099F">
          <w:rPr>
            <w:rFonts w:eastAsia="Times New Roman" w:cs="Times New Roman"/>
            <w:color w:val="000000"/>
            <w:sz w:val="28"/>
            <w:szCs w:val="28"/>
            <w:lang w:val="en-GB" w:eastAsia="ru-RU"/>
          </w:rPr>
          <w:t>Nahata</w:t>
        </w:r>
      </w:hyperlink>
      <w:r w:rsidR="0030517B" w:rsidRPr="00CA099F">
        <w:rPr>
          <w:rFonts w:eastAsia="Times New Roman" w:cs="Times New Roman"/>
          <w:color w:val="000000"/>
          <w:sz w:val="28"/>
          <w:szCs w:val="28"/>
          <w:lang w:val="en-GB" w:eastAsia="ru-RU"/>
        </w:rPr>
        <w:t xml:space="preserve"> V. Branchial Cleft Cyst / </w:t>
      </w:r>
      <w:hyperlink r:id="rId110">
        <w:r w:rsidR="0030517B" w:rsidRPr="00CA099F">
          <w:rPr>
            <w:rFonts w:eastAsia="Times New Roman" w:cs="Times New Roman"/>
            <w:color w:val="000000"/>
            <w:sz w:val="28"/>
            <w:szCs w:val="28"/>
            <w:lang w:val="en-GB" w:eastAsia="ru-RU"/>
          </w:rPr>
          <w:t>V. Nahata</w:t>
        </w:r>
      </w:hyperlink>
      <w:r w:rsidR="0030517B" w:rsidRPr="00CA099F">
        <w:rPr>
          <w:rFonts w:eastAsia="Times New Roman" w:cs="Times New Roman"/>
          <w:color w:val="000000"/>
          <w:sz w:val="28"/>
          <w:szCs w:val="28"/>
          <w:lang w:val="en-GB" w:eastAsia="ru-RU"/>
        </w:rPr>
        <w:t xml:space="preserve"> // </w:t>
      </w:r>
      <w:hyperlink r:id="rId111">
        <w:r w:rsidR="0030517B" w:rsidRPr="00CA099F">
          <w:rPr>
            <w:rFonts w:eastAsia="Times New Roman" w:cs="Times New Roman"/>
            <w:color w:val="000000"/>
            <w:sz w:val="28"/>
            <w:szCs w:val="28"/>
            <w:lang w:val="en-GB" w:eastAsia="ru-RU"/>
          </w:rPr>
          <w:t>Indian J Dermatol</w:t>
        </w:r>
      </w:hyperlink>
      <w:r w:rsidR="0030517B" w:rsidRPr="00CA099F">
        <w:rPr>
          <w:rFonts w:eastAsia="Times New Roman" w:cs="Times New Roman"/>
          <w:color w:val="000000"/>
          <w:sz w:val="28"/>
          <w:szCs w:val="28"/>
          <w:lang w:val="en-GB" w:eastAsia="ru-RU"/>
        </w:rPr>
        <w:t>. – 2016. – Vol. 61(6). – P. 701.</w:t>
      </w:r>
    </w:p>
    <w:p w:rsidR="0030517B" w:rsidRPr="00CA099F" w:rsidRDefault="0030517B" w:rsidP="0030517B">
      <w:pPr>
        <w:numPr>
          <w:ilvl w:val="0"/>
          <w:numId w:val="17"/>
        </w:numPr>
        <w:pBdr>
          <w:top w:val="nil"/>
          <w:left w:val="nil"/>
          <w:bottom w:val="nil"/>
          <w:right w:val="nil"/>
          <w:between w:val="nil"/>
        </w:pBdr>
        <w:tabs>
          <w:tab w:val="left" w:pos="709"/>
        </w:tabs>
        <w:spacing w:after="0" w:line="360" w:lineRule="auto"/>
        <w:contextualSpacing/>
        <w:jc w:val="both"/>
        <w:rPr>
          <w:rFonts w:eastAsia="Times New Roman" w:cs="Times New Roman"/>
          <w:color w:val="000000"/>
          <w:sz w:val="28"/>
          <w:szCs w:val="28"/>
          <w:lang w:val="en-GB" w:eastAsia="ru-RU"/>
        </w:rPr>
      </w:pPr>
      <w:r w:rsidRPr="00CA099F">
        <w:rPr>
          <w:rFonts w:eastAsia="Times New Roman" w:cs="Times New Roman"/>
          <w:color w:val="000000"/>
          <w:sz w:val="28"/>
          <w:szCs w:val="28"/>
          <w:lang w:val="en-GB" w:eastAsia="ru-RU"/>
        </w:rPr>
        <w:t>The presence of apoptotic neutrophils in contents of neck lateral cysts / W. Dobros, K. Burda, B. Pacura [et al.] // Przeglad Lek – 2010. – Vol. 67. – P. 357–359.</w:t>
      </w:r>
    </w:p>
    <w:p w:rsidR="0030517B" w:rsidRPr="00CA099F" w:rsidRDefault="0030517B" w:rsidP="0030517B">
      <w:pPr>
        <w:numPr>
          <w:ilvl w:val="0"/>
          <w:numId w:val="17"/>
        </w:numPr>
        <w:pBdr>
          <w:top w:val="nil"/>
          <w:left w:val="nil"/>
          <w:bottom w:val="nil"/>
          <w:right w:val="nil"/>
          <w:between w:val="nil"/>
        </w:pBdr>
        <w:shd w:val="clear" w:color="auto" w:fill="FFFFFF"/>
        <w:tabs>
          <w:tab w:val="left" w:pos="709"/>
        </w:tabs>
        <w:spacing w:after="0" w:line="360" w:lineRule="auto"/>
        <w:contextualSpacing/>
        <w:jc w:val="both"/>
        <w:rPr>
          <w:rFonts w:eastAsia="Times New Roman" w:cs="Times New Roman"/>
          <w:color w:val="000000"/>
          <w:sz w:val="28"/>
          <w:szCs w:val="28"/>
          <w:lang w:val="en-GB" w:eastAsia="ru-RU"/>
        </w:rPr>
      </w:pPr>
      <w:r w:rsidRPr="00CA099F">
        <w:rPr>
          <w:rFonts w:eastAsia="Times New Roman" w:cs="Times New Roman"/>
          <w:color w:val="000000"/>
          <w:sz w:val="28"/>
          <w:szCs w:val="28"/>
          <w:lang w:val="en-GB" w:eastAsia="ru-RU"/>
        </w:rPr>
        <w:t xml:space="preserve">Apoptotic cell clearance in chronic inflammation of lateral neck cysts / W. Dobros, K. Burda, </w:t>
      </w:r>
      <w:hyperlink r:id="rId112">
        <w:r w:rsidRPr="00CA099F">
          <w:rPr>
            <w:rFonts w:eastAsia="Times New Roman" w:cs="Times New Roman"/>
            <w:color w:val="000000"/>
            <w:sz w:val="28"/>
            <w:szCs w:val="28"/>
            <w:lang w:val="en-GB" w:eastAsia="ru-RU"/>
          </w:rPr>
          <w:t>K. Guzik</w:t>
        </w:r>
      </w:hyperlink>
      <w:r w:rsidRPr="00CA099F">
        <w:rPr>
          <w:rFonts w:eastAsia="Times New Roman" w:cs="Times New Roman"/>
          <w:color w:val="000000"/>
          <w:sz w:val="28"/>
          <w:szCs w:val="28"/>
          <w:lang w:val="en-GB" w:eastAsia="ru-RU"/>
        </w:rPr>
        <w:t xml:space="preserve"> [et al.] // </w:t>
      </w:r>
      <w:hyperlink r:id="rId113">
        <w:r w:rsidRPr="00CA099F">
          <w:rPr>
            <w:rFonts w:eastAsia="Times New Roman" w:cs="Times New Roman"/>
            <w:color w:val="000000"/>
            <w:sz w:val="28"/>
            <w:szCs w:val="28"/>
            <w:lang w:val="en-GB" w:eastAsia="ru-RU"/>
          </w:rPr>
          <w:t>Eur Arch Otorhinolaryngol</w:t>
        </w:r>
      </w:hyperlink>
      <w:r w:rsidRPr="00CA099F">
        <w:rPr>
          <w:rFonts w:eastAsia="Times New Roman" w:cs="Times New Roman"/>
          <w:color w:val="000000"/>
          <w:sz w:val="28"/>
          <w:szCs w:val="28"/>
          <w:lang w:val="en-GB" w:eastAsia="ru-RU"/>
        </w:rPr>
        <w:t>. – 2012. – Vol. 269(3). – P. 965–970.</w:t>
      </w:r>
    </w:p>
    <w:p w:rsidR="0030517B" w:rsidRPr="00CA099F" w:rsidRDefault="0030517B" w:rsidP="0030517B">
      <w:pPr>
        <w:numPr>
          <w:ilvl w:val="0"/>
          <w:numId w:val="17"/>
        </w:numPr>
        <w:pBdr>
          <w:top w:val="nil"/>
          <w:left w:val="nil"/>
          <w:bottom w:val="nil"/>
          <w:right w:val="nil"/>
          <w:between w:val="nil"/>
        </w:pBdr>
        <w:tabs>
          <w:tab w:val="left" w:pos="709"/>
        </w:tabs>
        <w:spacing w:after="0" w:line="360" w:lineRule="auto"/>
        <w:contextualSpacing/>
        <w:jc w:val="both"/>
        <w:rPr>
          <w:rFonts w:eastAsia="Times New Roman" w:cs="Times New Roman"/>
          <w:color w:val="000000"/>
          <w:sz w:val="28"/>
          <w:szCs w:val="28"/>
          <w:lang w:val="en-GB" w:eastAsia="ru-RU"/>
        </w:rPr>
      </w:pPr>
      <w:r w:rsidRPr="00CA099F">
        <w:rPr>
          <w:rFonts w:eastAsia="Times New Roman" w:cs="Times New Roman"/>
          <w:color w:val="000000"/>
          <w:sz w:val="28"/>
          <w:szCs w:val="28"/>
          <w:lang w:val="en-GB" w:eastAsia="ru-RU"/>
        </w:rPr>
        <w:t>Bradley P.T. Branchial cleft cyst carcinoma: fact or fiction? / P.T. Bradley, P.J. Bradley // Curr Opin Otolaryngol Head Neck Surg. – 2013. – Vol. 21(2). – P. 118–123.</w:t>
      </w:r>
    </w:p>
    <w:p w:rsidR="0030517B" w:rsidRPr="00CA099F" w:rsidRDefault="0030517B" w:rsidP="0030517B">
      <w:pPr>
        <w:numPr>
          <w:ilvl w:val="0"/>
          <w:numId w:val="17"/>
        </w:numPr>
        <w:pBdr>
          <w:top w:val="nil"/>
          <w:left w:val="nil"/>
          <w:bottom w:val="nil"/>
          <w:right w:val="nil"/>
          <w:between w:val="nil"/>
        </w:pBdr>
        <w:shd w:val="clear" w:color="auto" w:fill="FFFFFF"/>
        <w:tabs>
          <w:tab w:val="left" w:pos="709"/>
        </w:tabs>
        <w:spacing w:after="0" w:line="360" w:lineRule="auto"/>
        <w:contextualSpacing/>
        <w:jc w:val="both"/>
        <w:rPr>
          <w:rFonts w:eastAsia="Times New Roman" w:cs="Times New Roman"/>
          <w:color w:val="000000"/>
          <w:sz w:val="28"/>
          <w:szCs w:val="28"/>
          <w:lang w:val="en-GB" w:eastAsia="ru-RU"/>
        </w:rPr>
      </w:pPr>
      <w:r w:rsidRPr="00CA099F">
        <w:rPr>
          <w:rFonts w:eastAsia="Times New Roman" w:cs="Times New Roman"/>
          <w:color w:val="000000"/>
          <w:sz w:val="28"/>
          <w:szCs w:val="28"/>
          <w:lang w:val="en-GB" w:eastAsia="ru-RU"/>
        </w:rPr>
        <w:t xml:space="preserve">Primary papillary carcinoma originated from a branchial cleft cyst / </w:t>
      </w:r>
      <w:hyperlink r:id="rId114">
        <w:r w:rsidRPr="00CA099F">
          <w:rPr>
            <w:rFonts w:eastAsia="Times New Roman" w:cs="Times New Roman"/>
            <w:color w:val="000000"/>
            <w:sz w:val="28"/>
            <w:szCs w:val="28"/>
            <w:lang w:val="en-GB" w:eastAsia="ru-RU"/>
          </w:rPr>
          <w:t>J.S. Cho</w:t>
        </w:r>
      </w:hyperlink>
      <w:r w:rsidRPr="00CA099F">
        <w:rPr>
          <w:rFonts w:eastAsia="Times New Roman" w:cs="Times New Roman"/>
          <w:color w:val="000000"/>
          <w:sz w:val="28"/>
          <w:szCs w:val="28"/>
          <w:lang w:val="en-GB" w:eastAsia="ru-RU"/>
        </w:rPr>
        <w:t xml:space="preserve">, </w:t>
      </w:r>
      <w:hyperlink r:id="rId115">
        <w:r w:rsidRPr="00CA099F">
          <w:rPr>
            <w:rFonts w:eastAsia="Times New Roman" w:cs="Times New Roman"/>
            <w:color w:val="000000"/>
            <w:sz w:val="28"/>
            <w:szCs w:val="28"/>
            <w:lang w:val="en-GB" w:eastAsia="ru-RU"/>
          </w:rPr>
          <w:t>S.H. Shin</w:t>
        </w:r>
      </w:hyperlink>
      <w:r w:rsidRPr="00CA099F">
        <w:rPr>
          <w:rFonts w:eastAsia="Times New Roman" w:cs="Times New Roman"/>
          <w:color w:val="000000"/>
          <w:sz w:val="28"/>
          <w:szCs w:val="28"/>
          <w:lang w:val="en-GB" w:eastAsia="ru-RU"/>
        </w:rPr>
        <w:t xml:space="preserve">, </w:t>
      </w:r>
      <w:hyperlink r:id="rId116">
        <w:r w:rsidRPr="00CA099F">
          <w:rPr>
            <w:rFonts w:eastAsia="Times New Roman" w:cs="Times New Roman"/>
            <w:color w:val="000000"/>
            <w:sz w:val="28"/>
            <w:szCs w:val="28"/>
            <w:lang w:val="en-GB" w:eastAsia="ru-RU"/>
          </w:rPr>
          <w:t>H. Kim</w:t>
        </w:r>
      </w:hyperlink>
      <w:r w:rsidRPr="00CA099F">
        <w:rPr>
          <w:rFonts w:eastAsia="Times New Roman" w:cs="Times New Roman"/>
          <w:color w:val="000000"/>
          <w:sz w:val="28"/>
          <w:szCs w:val="28"/>
          <w:lang w:val="en-GB" w:eastAsia="ru-RU"/>
        </w:rPr>
        <w:t xml:space="preserve"> [et al.] // </w:t>
      </w:r>
      <w:hyperlink r:id="rId117">
        <w:r w:rsidRPr="00CA099F">
          <w:rPr>
            <w:rFonts w:eastAsia="Times New Roman" w:cs="Times New Roman"/>
            <w:color w:val="000000"/>
            <w:sz w:val="28"/>
            <w:szCs w:val="28"/>
            <w:lang w:val="en-GB" w:eastAsia="ru-RU"/>
          </w:rPr>
          <w:t>J Korean Surg Soc</w:t>
        </w:r>
      </w:hyperlink>
      <w:r w:rsidRPr="00CA099F">
        <w:rPr>
          <w:rFonts w:eastAsia="Times New Roman" w:cs="Times New Roman"/>
          <w:color w:val="000000"/>
          <w:sz w:val="28"/>
          <w:szCs w:val="28"/>
          <w:lang w:val="en-GB" w:eastAsia="ru-RU"/>
        </w:rPr>
        <w:t>. – 2011. – Vol. 81. – P. 12–16.</w:t>
      </w:r>
    </w:p>
    <w:p w:rsidR="0030517B" w:rsidRPr="00CA099F" w:rsidRDefault="0030517B" w:rsidP="0030517B">
      <w:pPr>
        <w:numPr>
          <w:ilvl w:val="0"/>
          <w:numId w:val="17"/>
        </w:numPr>
        <w:pBdr>
          <w:top w:val="nil"/>
          <w:left w:val="nil"/>
          <w:bottom w:val="nil"/>
          <w:right w:val="nil"/>
          <w:between w:val="nil"/>
        </w:pBdr>
        <w:shd w:val="clear" w:color="auto" w:fill="FFFFFF"/>
        <w:spacing w:after="0" w:line="360" w:lineRule="auto"/>
        <w:contextualSpacing/>
        <w:jc w:val="both"/>
        <w:rPr>
          <w:rFonts w:eastAsia="Times New Roman" w:cs="Times New Roman"/>
          <w:color w:val="000000"/>
          <w:sz w:val="28"/>
          <w:szCs w:val="28"/>
          <w:lang w:val="en-GB" w:eastAsia="ru-RU"/>
        </w:rPr>
      </w:pPr>
      <w:r w:rsidRPr="00CA099F">
        <w:rPr>
          <w:rFonts w:eastAsia="Times New Roman" w:cs="Times New Roman"/>
          <w:color w:val="000000"/>
          <w:sz w:val="28"/>
          <w:szCs w:val="28"/>
          <w:lang w:val="en-GB" w:eastAsia="ru-RU"/>
        </w:rPr>
        <w:lastRenderedPageBreak/>
        <w:t xml:space="preserve">Papillary thyroid carcinoma presenting as a lateral neck cyst / </w:t>
      </w:r>
      <w:hyperlink r:id="rId118">
        <w:r w:rsidRPr="00CA099F">
          <w:rPr>
            <w:rFonts w:eastAsia="Times New Roman" w:cs="Times New Roman"/>
            <w:color w:val="000000"/>
            <w:sz w:val="28"/>
            <w:szCs w:val="28"/>
            <w:lang w:val="en-GB" w:eastAsia="ru-RU"/>
          </w:rPr>
          <w:t>Y. Al-Ashaa</w:t>
        </w:r>
      </w:hyperlink>
      <w:r w:rsidRPr="00CA099F">
        <w:rPr>
          <w:rFonts w:eastAsia="Times New Roman" w:cs="Times New Roman"/>
          <w:color w:val="000000"/>
          <w:sz w:val="28"/>
          <w:szCs w:val="28"/>
          <w:lang w:val="en-GB" w:eastAsia="ru-RU"/>
        </w:rPr>
        <w:t xml:space="preserve">, </w:t>
      </w:r>
      <w:hyperlink r:id="rId119">
        <w:r w:rsidRPr="00CA099F">
          <w:rPr>
            <w:rFonts w:eastAsia="Times New Roman" w:cs="Times New Roman"/>
            <w:color w:val="000000"/>
            <w:sz w:val="28"/>
            <w:szCs w:val="28"/>
            <w:lang w:val="en-GB" w:eastAsia="ru-RU"/>
          </w:rPr>
          <w:t>A.F. Hefny</w:t>
        </w:r>
      </w:hyperlink>
      <w:r w:rsidRPr="00CA099F">
        <w:rPr>
          <w:rFonts w:eastAsia="Times New Roman" w:cs="Times New Roman"/>
          <w:color w:val="000000"/>
          <w:sz w:val="28"/>
          <w:szCs w:val="28"/>
          <w:lang w:val="en-GB" w:eastAsia="ru-RU"/>
        </w:rPr>
        <w:t xml:space="preserve">, </w:t>
      </w:r>
      <w:hyperlink r:id="rId120">
        <w:r w:rsidRPr="00CA099F">
          <w:rPr>
            <w:rFonts w:eastAsia="Times New Roman" w:cs="Times New Roman"/>
            <w:color w:val="000000"/>
            <w:sz w:val="28"/>
            <w:szCs w:val="28"/>
            <w:lang w:val="en-GB" w:eastAsia="ru-RU"/>
          </w:rPr>
          <w:t>S. Joshi</w:t>
        </w:r>
      </w:hyperlink>
      <w:r w:rsidRPr="00CA099F">
        <w:rPr>
          <w:rFonts w:eastAsia="Times New Roman" w:cs="Times New Roman"/>
          <w:color w:val="000000"/>
          <w:sz w:val="28"/>
          <w:szCs w:val="28"/>
          <w:lang w:val="en-GB" w:eastAsia="ru-RU"/>
        </w:rPr>
        <w:t xml:space="preserve">, F.M. Abu-Zidan // </w:t>
      </w:r>
      <w:hyperlink r:id="rId121">
        <w:r w:rsidRPr="00CA099F">
          <w:rPr>
            <w:rFonts w:eastAsia="Times New Roman" w:cs="Times New Roman"/>
            <w:color w:val="000000"/>
            <w:sz w:val="28"/>
            <w:szCs w:val="28"/>
            <w:lang w:val="en-GB" w:eastAsia="ru-RU"/>
          </w:rPr>
          <w:t>Afr Health Sci</w:t>
        </w:r>
      </w:hyperlink>
      <w:r w:rsidRPr="00CA099F">
        <w:rPr>
          <w:rFonts w:eastAsia="Times New Roman" w:cs="Times New Roman"/>
          <w:color w:val="000000"/>
          <w:sz w:val="28"/>
          <w:szCs w:val="28"/>
          <w:lang w:val="en-GB" w:eastAsia="ru-RU"/>
        </w:rPr>
        <w:t>. – 2011. – Vol. 11(2). – P. 296–300.</w:t>
      </w:r>
    </w:p>
    <w:p w:rsidR="0030517B" w:rsidRPr="00CA099F" w:rsidRDefault="0030517B" w:rsidP="0030517B">
      <w:pPr>
        <w:numPr>
          <w:ilvl w:val="0"/>
          <w:numId w:val="17"/>
        </w:numPr>
        <w:pBdr>
          <w:top w:val="nil"/>
          <w:left w:val="nil"/>
          <w:bottom w:val="nil"/>
          <w:right w:val="nil"/>
          <w:between w:val="nil"/>
        </w:pBdr>
        <w:tabs>
          <w:tab w:val="left" w:pos="709"/>
        </w:tabs>
        <w:spacing w:after="0" w:line="360" w:lineRule="auto"/>
        <w:contextualSpacing/>
        <w:jc w:val="both"/>
        <w:rPr>
          <w:rFonts w:eastAsia="Times New Roman" w:cs="Times New Roman"/>
          <w:color w:val="000000"/>
          <w:sz w:val="28"/>
          <w:szCs w:val="28"/>
          <w:lang w:val="en-GB" w:eastAsia="ru-RU"/>
        </w:rPr>
      </w:pPr>
      <w:r w:rsidRPr="00CA099F">
        <w:rPr>
          <w:rFonts w:eastAsia="Times New Roman" w:cs="Times New Roman"/>
          <w:color w:val="000000"/>
          <w:sz w:val="28"/>
          <w:szCs w:val="28"/>
          <w:lang w:val="en-GB" w:eastAsia="ru-RU"/>
        </w:rPr>
        <w:t xml:space="preserve">The true malignancy rate in 135 patients with preoperative diagnosis of a lateral neck cyst / S. </w:t>
      </w:r>
      <w:hyperlink r:id="rId122">
        <w:r w:rsidRPr="00CA099F">
          <w:rPr>
            <w:rFonts w:eastAsia="Times New Roman" w:cs="Times New Roman"/>
            <w:color w:val="000000"/>
            <w:sz w:val="28"/>
            <w:szCs w:val="28"/>
            <w:lang w:val="en-GB" w:eastAsia="ru-RU"/>
          </w:rPr>
          <w:t>Grønlund</w:t>
        </w:r>
      </w:hyperlink>
      <w:r w:rsidRPr="00CA099F">
        <w:rPr>
          <w:rFonts w:eastAsia="Times New Roman" w:cs="Times New Roman"/>
          <w:color w:val="000000"/>
          <w:sz w:val="28"/>
          <w:szCs w:val="28"/>
          <w:lang w:val="en-GB" w:eastAsia="ru-RU"/>
        </w:rPr>
        <w:t xml:space="preserve">, K. </w:t>
      </w:r>
      <w:hyperlink r:id="rId123">
        <w:r w:rsidRPr="00CA099F">
          <w:rPr>
            <w:rFonts w:eastAsia="Times New Roman" w:cs="Times New Roman"/>
            <w:color w:val="000000"/>
            <w:sz w:val="28"/>
            <w:szCs w:val="28"/>
            <w:lang w:val="en-GB" w:eastAsia="ru-RU"/>
          </w:rPr>
          <w:t>Mey</w:t>
        </w:r>
      </w:hyperlink>
      <w:r w:rsidRPr="00CA099F">
        <w:rPr>
          <w:rFonts w:eastAsia="Times New Roman" w:cs="Times New Roman"/>
          <w:color w:val="000000"/>
          <w:sz w:val="28"/>
          <w:szCs w:val="28"/>
          <w:lang w:val="en-GB" w:eastAsia="ru-RU"/>
        </w:rPr>
        <w:t xml:space="preserve">, E. </w:t>
      </w:r>
      <w:hyperlink r:id="rId124">
        <w:r w:rsidRPr="00CA099F">
          <w:rPr>
            <w:rFonts w:eastAsia="Times New Roman" w:cs="Times New Roman"/>
            <w:color w:val="000000"/>
            <w:sz w:val="28"/>
            <w:szCs w:val="28"/>
            <w:lang w:val="en-GB" w:eastAsia="ru-RU"/>
          </w:rPr>
          <w:t>Andersen</w:t>
        </w:r>
      </w:hyperlink>
      <w:r w:rsidRPr="00CA099F">
        <w:rPr>
          <w:rFonts w:eastAsia="Times New Roman" w:cs="Times New Roman"/>
          <w:color w:val="000000"/>
          <w:sz w:val="28"/>
          <w:szCs w:val="28"/>
          <w:lang w:val="en-GB" w:eastAsia="ru-RU"/>
        </w:rPr>
        <w:t xml:space="preserve">, E.R. </w:t>
      </w:r>
      <w:hyperlink r:id="rId125">
        <w:r w:rsidRPr="00CA099F">
          <w:rPr>
            <w:rFonts w:eastAsia="Times New Roman" w:cs="Times New Roman"/>
            <w:color w:val="000000"/>
            <w:sz w:val="28"/>
            <w:szCs w:val="28"/>
            <w:lang w:val="en-GB" w:eastAsia="ru-RU"/>
          </w:rPr>
          <w:t xml:space="preserve">Rasmussen </w:t>
        </w:r>
      </w:hyperlink>
      <w:r w:rsidRPr="00CA099F">
        <w:rPr>
          <w:rFonts w:eastAsia="Times New Roman" w:cs="Times New Roman"/>
          <w:color w:val="000000"/>
          <w:sz w:val="28"/>
          <w:szCs w:val="28"/>
          <w:lang w:val="en-GB" w:eastAsia="ru-RU"/>
        </w:rPr>
        <w:t xml:space="preserve">// </w:t>
      </w:r>
      <w:hyperlink r:id="rId126">
        <w:r w:rsidRPr="00CA099F">
          <w:rPr>
            <w:rFonts w:eastAsia="Times New Roman" w:cs="Times New Roman"/>
            <w:color w:val="000000"/>
            <w:sz w:val="28"/>
            <w:szCs w:val="28"/>
            <w:lang w:val="en-GB" w:eastAsia="ru-RU"/>
          </w:rPr>
          <w:t>Laryngoscope Investig Otolaryngol.</w:t>
        </w:r>
      </w:hyperlink>
      <w:r w:rsidRPr="00CA099F">
        <w:rPr>
          <w:rFonts w:eastAsia="Times New Roman" w:cs="Times New Roman"/>
          <w:color w:val="000000"/>
          <w:sz w:val="28"/>
          <w:szCs w:val="28"/>
          <w:lang w:val="en-GB" w:eastAsia="ru-RU"/>
        </w:rPr>
        <w:t xml:space="preserve"> – 2016. – Vol. 1(4). – P. 78-82. </w:t>
      </w:r>
    </w:p>
    <w:p w:rsidR="0030517B" w:rsidRPr="00CA099F" w:rsidRDefault="00417675" w:rsidP="0030517B">
      <w:pPr>
        <w:numPr>
          <w:ilvl w:val="0"/>
          <w:numId w:val="17"/>
        </w:numPr>
        <w:pBdr>
          <w:top w:val="nil"/>
          <w:left w:val="nil"/>
          <w:bottom w:val="nil"/>
          <w:right w:val="nil"/>
          <w:between w:val="nil"/>
        </w:pBdr>
        <w:shd w:val="clear" w:color="auto" w:fill="FFFFFF"/>
        <w:tabs>
          <w:tab w:val="left" w:pos="709"/>
        </w:tabs>
        <w:spacing w:after="0" w:line="360" w:lineRule="auto"/>
        <w:jc w:val="both"/>
        <w:outlineLvl w:val="0"/>
        <w:rPr>
          <w:rFonts w:eastAsia="Times New Roman" w:cs="Times New Roman"/>
          <w:color w:val="000000"/>
          <w:sz w:val="28"/>
          <w:szCs w:val="28"/>
          <w:lang w:val="en-GB" w:eastAsia="ru-RU"/>
        </w:rPr>
      </w:pPr>
      <w:hyperlink r:id="rId127">
        <w:r w:rsidR="0030517B" w:rsidRPr="00CA099F">
          <w:rPr>
            <w:rFonts w:eastAsia="Times New Roman" w:cs="Times New Roman"/>
            <w:color w:val="000000"/>
            <w:sz w:val="28"/>
            <w:szCs w:val="28"/>
            <w:lang w:val="en-GB" w:eastAsia="ru-RU"/>
          </w:rPr>
          <w:t>Goff C.J</w:t>
        </w:r>
      </w:hyperlink>
      <w:r w:rsidR="0030517B" w:rsidRPr="00CA099F">
        <w:rPr>
          <w:rFonts w:eastAsia="Times New Roman" w:cs="Times New Roman"/>
          <w:color w:val="000000"/>
          <w:sz w:val="28"/>
          <w:szCs w:val="28"/>
          <w:lang w:val="en-GB" w:eastAsia="ru-RU"/>
        </w:rPr>
        <w:t xml:space="preserve">. Current management of congenital branchial cleft cysts, sinuses, and fistulae / C.J. </w:t>
      </w:r>
      <w:hyperlink r:id="rId128">
        <w:r w:rsidR="0030517B" w:rsidRPr="00CA099F">
          <w:rPr>
            <w:rFonts w:eastAsia="Times New Roman" w:cs="Times New Roman"/>
            <w:color w:val="000000"/>
            <w:sz w:val="28"/>
            <w:szCs w:val="28"/>
            <w:lang w:val="en-GB" w:eastAsia="ru-RU"/>
          </w:rPr>
          <w:t>Goff</w:t>
        </w:r>
      </w:hyperlink>
      <w:r w:rsidR="0030517B" w:rsidRPr="00CA099F">
        <w:rPr>
          <w:rFonts w:eastAsia="Times New Roman" w:cs="Times New Roman"/>
          <w:color w:val="000000"/>
          <w:sz w:val="28"/>
          <w:szCs w:val="28"/>
          <w:lang w:val="en-GB" w:eastAsia="ru-RU"/>
        </w:rPr>
        <w:t xml:space="preserve">, C. </w:t>
      </w:r>
      <w:hyperlink r:id="rId129">
        <w:r w:rsidR="0030517B" w:rsidRPr="00CA099F">
          <w:rPr>
            <w:rFonts w:eastAsia="Times New Roman" w:cs="Times New Roman"/>
            <w:color w:val="000000"/>
            <w:sz w:val="28"/>
            <w:szCs w:val="28"/>
            <w:lang w:val="en-GB" w:eastAsia="ru-RU"/>
          </w:rPr>
          <w:t>Allred</w:t>
        </w:r>
      </w:hyperlink>
      <w:r w:rsidR="0030517B" w:rsidRPr="00CA099F">
        <w:rPr>
          <w:rFonts w:eastAsia="Times New Roman" w:cs="Times New Roman"/>
          <w:color w:val="000000"/>
          <w:sz w:val="28"/>
          <w:szCs w:val="28"/>
          <w:lang w:val="en-GB" w:eastAsia="ru-RU"/>
        </w:rPr>
        <w:t>, R.S. </w:t>
      </w:r>
      <w:hyperlink r:id="rId130">
        <w:r w:rsidR="0030517B" w:rsidRPr="00CA099F">
          <w:rPr>
            <w:rFonts w:eastAsia="Times New Roman" w:cs="Times New Roman"/>
            <w:color w:val="000000"/>
            <w:sz w:val="28"/>
            <w:szCs w:val="28"/>
            <w:lang w:val="en-GB" w:eastAsia="ru-RU"/>
          </w:rPr>
          <w:t>Glade</w:t>
        </w:r>
      </w:hyperlink>
      <w:r w:rsidR="0030517B" w:rsidRPr="00CA099F">
        <w:rPr>
          <w:rFonts w:eastAsia="Times New Roman" w:cs="Times New Roman"/>
          <w:color w:val="000000"/>
          <w:sz w:val="28"/>
          <w:szCs w:val="28"/>
          <w:lang w:val="en-GB" w:eastAsia="ru-RU"/>
        </w:rPr>
        <w:t xml:space="preserve"> // </w:t>
      </w:r>
      <w:hyperlink r:id="rId131">
        <w:r w:rsidR="0030517B" w:rsidRPr="00CA099F">
          <w:rPr>
            <w:rFonts w:eastAsia="Times New Roman" w:cs="Times New Roman"/>
            <w:color w:val="000000"/>
            <w:sz w:val="28"/>
            <w:szCs w:val="28"/>
            <w:lang w:val="en-GB" w:eastAsia="ru-RU"/>
          </w:rPr>
          <w:t xml:space="preserve">Curr Opin Otolaryngol Head </w:t>
        </w:r>
      </w:hyperlink>
      <w:hyperlink r:id="rId132">
        <w:r w:rsidR="0030517B" w:rsidRPr="00CA099F">
          <w:rPr>
            <w:rFonts w:eastAsia="Times New Roman" w:cs="Times New Roman"/>
            <w:color w:val="000000"/>
            <w:sz w:val="28"/>
            <w:szCs w:val="28"/>
            <w:lang w:val="en-GB" w:eastAsia="ru-RU"/>
          </w:rPr>
          <w:t>Neck</w:t>
        </w:r>
      </w:hyperlink>
      <w:hyperlink r:id="rId133">
        <w:r w:rsidR="0030517B" w:rsidRPr="00CA099F">
          <w:rPr>
            <w:rFonts w:eastAsia="Times New Roman" w:cs="Times New Roman"/>
            <w:color w:val="000000"/>
            <w:sz w:val="28"/>
            <w:szCs w:val="28"/>
            <w:lang w:val="en-GB" w:eastAsia="ru-RU"/>
          </w:rPr>
          <w:t xml:space="preserve"> Surg.</w:t>
        </w:r>
      </w:hyperlink>
      <w:r w:rsidR="0030517B" w:rsidRPr="00CA099F">
        <w:rPr>
          <w:rFonts w:eastAsia="Times New Roman" w:cs="Times New Roman"/>
          <w:color w:val="000000"/>
          <w:sz w:val="28"/>
          <w:szCs w:val="28"/>
          <w:lang w:val="en-GB" w:eastAsia="ru-RU"/>
        </w:rPr>
        <w:t xml:space="preserve"> – 2012. – Vol. 20(6). – P. 533-539.</w:t>
      </w:r>
    </w:p>
    <w:p w:rsidR="0030517B" w:rsidRPr="00CA099F" w:rsidRDefault="0030517B" w:rsidP="0030517B">
      <w:pPr>
        <w:numPr>
          <w:ilvl w:val="0"/>
          <w:numId w:val="17"/>
        </w:numPr>
        <w:pBdr>
          <w:top w:val="nil"/>
          <w:left w:val="nil"/>
          <w:bottom w:val="nil"/>
          <w:right w:val="nil"/>
          <w:between w:val="nil"/>
        </w:pBdr>
        <w:shd w:val="clear" w:color="auto" w:fill="FFFFFF"/>
        <w:tabs>
          <w:tab w:val="left" w:pos="709"/>
        </w:tabs>
        <w:spacing w:after="0" w:line="360" w:lineRule="auto"/>
        <w:contextualSpacing/>
        <w:jc w:val="both"/>
        <w:rPr>
          <w:rFonts w:eastAsia="Times New Roman" w:cs="Times New Roman"/>
          <w:color w:val="000000"/>
          <w:sz w:val="28"/>
          <w:szCs w:val="28"/>
          <w:lang w:val="en-GB" w:eastAsia="ru-RU"/>
        </w:rPr>
      </w:pPr>
      <w:r w:rsidRPr="00CA099F">
        <w:rPr>
          <w:rFonts w:eastAsia="Times New Roman" w:cs="Times New Roman"/>
          <w:color w:val="000000"/>
          <w:sz w:val="28"/>
          <w:szCs w:val="28"/>
          <w:lang w:val="en-GB" w:eastAsia="ru-RU"/>
        </w:rPr>
        <w:t xml:space="preserve">Endoscope-assisted second branchial cleft cyst resection via an incision along skin line on lateral neck / J. </w:t>
      </w:r>
      <w:hyperlink r:id="rId134">
        <w:r w:rsidRPr="00CA099F">
          <w:rPr>
            <w:rFonts w:eastAsia="Times New Roman" w:cs="Times New Roman"/>
            <w:color w:val="000000"/>
            <w:sz w:val="28"/>
            <w:szCs w:val="28"/>
            <w:lang w:val="en-GB" w:eastAsia="ru-RU"/>
          </w:rPr>
          <w:t>Chen</w:t>
        </w:r>
      </w:hyperlink>
      <w:r w:rsidRPr="00CA099F">
        <w:rPr>
          <w:rFonts w:eastAsia="Times New Roman" w:cs="Times New Roman"/>
          <w:color w:val="000000"/>
          <w:sz w:val="28"/>
          <w:szCs w:val="28"/>
          <w:lang w:val="en-GB" w:eastAsia="ru-RU"/>
        </w:rPr>
        <w:t xml:space="preserve">, W. </w:t>
      </w:r>
      <w:hyperlink r:id="rId135">
        <w:r w:rsidRPr="00CA099F">
          <w:rPr>
            <w:rFonts w:eastAsia="Times New Roman" w:cs="Times New Roman"/>
            <w:color w:val="000000"/>
            <w:sz w:val="28"/>
            <w:szCs w:val="28"/>
            <w:lang w:val="en-GB" w:eastAsia="ru-RU"/>
          </w:rPr>
          <w:t>Chen</w:t>
        </w:r>
      </w:hyperlink>
      <w:r w:rsidRPr="00CA099F">
        <w:rPr>
          <w:rFonts w:eastAsia="Times New Roman" w:cs="Times New Roman"/>
          <w:color w:val="000000"/>
          <w:sz w:val="28"/>
          <w:szCs w:val="28"/>
          <w:lang w:val="en-GB" w:eastAsia="ru-RU"/>
        </w:rPr>
        <w:t xml:space="preserve">, J. </w:t>
      </w:r>
      <w:hyperlink r:id="rId136">
        <w:r w:rsidRPr="00CA099F">
          <w:rPr>
            <w:rFonts w:eastAsia="Times New Roman" w:cs="Times New Roman"/>
            <w:color w:val="000000"/>
            <w:sz w:val="28"/>
            <w:szCs w:val="28"/>
            <w:lang w:val="en-GB" w:eastAsia="ru-RU"/>
          </w:rPr>
          <w:t xml:space="preserve">Zhang </w:t>
        </w:r>
      </w:hyperlink>
      <w:r w:rsidRPr="00CA099F">
        <w:rPr>
          <w:rFonts w:eastAsia="Times New Roman" w:cs="Times New Roman"/>
          <w:color w:val="000000"/>
          <w:sz w:val="28"/>
          <w:szCs w:val="28"/>
          <w:lang w:val="en-GB" w:eastAsia="ru-RU"/>
        </w:rPr>
        <w:t xml:space="preserve">[et al.] // </w:t>
      </w:r>
      <w:hyperlink r:id="rId137">
        <w:r w:rsidRPr="00CA099F">
          <w:rPr>
            <w:rFonts w:eastAsia="Times New Roman" w:cs="Times New Roman"/>
            <w:color w:val="000000"/>
            <w:sz w:val="28"/>
            <w:szCs w:val="28"/>
            <w:lang w:val="en-GB" w:eastAsia="ru-RU"/>
          </w:rPr>
          <w:t>Eur Arch Otorhinolaryngol.</w:t>
        </w:r>
      </w:hyperlink>
      <w:r w:rsidRPr="00CA099F">
        <w:rPr>
          <w:rFonts w:eastAsia="Times New Roman" w:cs="Times New Roman"/>
          <w:color w:val="000000"/>
          <w:sz w:val="28"/>
          <w:szCs w:val="28"/>
          <w:lang w:val="en-GB" w:eastAsia="ru-RU"/>
        </w:rPr>
        <w:t xml:space="preserve"> – 2014. – Vol. 271(10). – P. 2789-2793.</w:t>
      </w:r>
    </w:p>
    <w:p w:rsidR="0030517B" w:rsidRPr="00CA099F" w:rsidRDefault="0030517B" w:rsidP="0030517B">
      <w:pPr>
        <w:numPr>
          <w:ilvl w:val="0"/>
          <w:numId w:val="17"/>
        </w:numPr>
        <w:pBdr>
          <w:top w:val="nil"/>
          <w:left w:val="nil"/>
          <w:bottom w:val="nil"/>
          <w:right w:val="nil"/>
          <w:between w:val="nil"/>
        </w:pBdr>
        <w:tabs>
          <w:tab w:val="left" w:pos="709"/>
        </w:tabs>
        <w:spacing w:after="0" w:line="360" w:lineRule="auto"/>
        <w:contextualSpacing/>
        <w:jc w:val="both"/>
        <w:rPr>
          <w:rFonts w:eastAsia="Times New Roman" w:cs="Times New Roman"/>
          <w:color w:val="000000"/>
          <w:sz w:val="28"/>
          <w:szCs w:val="28"/>
          <w:lang w:val="en-GB" w:eastAsia="ru-RU"/>
        </w:rPr>
      </w:pPr>
      <w:r w:rsidRPr="00CA099F">
        <w:rPr>
          <w:rFonts w:eastAsia="Times New Roman" w:cs="Times New Roman"/>
          <w:color w:val="000000"/>
          <w:sz w:val="28"/>
          <w:szCs w:val="28"/>
          <w:lang w:val="en-GB" w:eastAsia="ru-RU"/>
        </w:rPr>
        <w:t xml:space="preserve">Intraoperative use of fibrin glue dyed with methylene blue in surgery for branchial cleft anomalies / M. </w:t>
      </w:r>
      <w:hyperlink r:id="rId138">
        <w:r w:rsidRPr="00CA099F">
          <w:rPr>
            <w:rFonts w:eastAsia="Times New Roman" w:cs="Times New Roman"/>
            <w:color w:val="000000"/>
            <w:sz w:val="28"/>
            <w:szCs w:val="28"/>
            <w:lang w:val="en-GB" w:eastAsia="ru-RU"/>
          </w:rPr>
          <w:t>Piccioni</w:t>
        </w:r>
      </w:hyperlink>
      <w:r w:rsidRPr="00CA099F">
        <w:rPr>
          <w:rFonts w:eastAsia="Times New Roman" w:cs="Times New Roman"/>
          <w:color w:val="000000"/>
          <w:sz w:val="28"/>
          <w:szCs w:val="28"/>
          <w:lang w:val="en-GB" w:eastAsia="ru-RU"/>
        </w:rPr>
        <w:t xml:space="preserve">, M. </w:t>
      </w:r>
      <w:hyperlink r:id="rId139">
        <w:r w:rsidRPr="00CA099F">
          <w:rPr>
            <w:rFonts w:eastAsia="Times New Roman" w:cs="Times New Roman"/>
            <w:color w:val="000000"/>
            <w:sz w:val="28"/>
            <w:szCs w:val="28"/>
            <w:lang w:val="en-GB" w:eastAsia="ru-RU"/>
          </w:rPr>
          <w:t>Bottazzoli</w:t>
        </w:r>
      </w:hyperlink>
      <w:r w:rsidRPr="00CA099F">
        <w:rPr>
          <w:rFonts w:eastAsia="Times New Roman" w:cs="Times New Roman"/>
          <w:color w:val="000000"/>
          <w:sz w:val="28"/>
          <w:szCs w:val="28"/>
          <w:lang w:val="en-GB" w:eastAsia="ru-RU"/>
        </w:rPr>
        <w:t xml:space="preserve">, N. </w:t>
      </w:r>
      <w:hyperlink r:id="rId140">
        <w:r w:rsidRPr="00CA099F">
          <w:rPr>
            <w:rFonts w:eastAsia="Times New Roman" w:cs="Times New Roman"/>
            <w:color w:val="000000"/>
            <w:sz w:val="28"/>
            <w:szCs w:val="28"/>
            <w:lang w:val="en-GB" w:eastAsia="ru-RU"/>
          </w:rPr>
          <w:t xml:space="preserve">Nassif </w:t>
        </w:r>
      </w:hyperlink>
      <w:r w:rsidRPr="00CA099F">
        <w:rPr>
          <w:rFonts w:eastAsia="Times New Roman" w:cs="Times New Roman"/>
          <w:color w:val="000000"/>
          <w:sz w:val="28"/>
          <w:szCs w:val="28"/>
          <w:lang w:val="en-GB" w:eastAsia="ru-RU"/>
        </w:rPr>
        <w:t>[et al.] // Laryngoscope – 2016. – Vol. 126(9). – P. 2147-2150.</w:t>
      </w:r>
    </w:p>
    <w:p w:rsidR="0030517B" w:rsidRPr="00CA099F" w:rsidRDefault="0030517B" w:rsidP="0030517B">
      <w:pPr>
        <w:numPr>
          <w:ilvl w:val="0"/>
          <w:numId w:val="17"/>
        </w:numPr>
        <w:pBdr>
          <w:top w:val="nil"/>
          <w:left w:val="nil"/>
          <w:bottom w:val="nil"/>
          <w:right w:val="nil"/>
          <w:between w:val="nil"/>
        </w:pBdr>
        <w:tabs>
          <w:tab w:val="left" w:pos="709"/>
        </w:tabs>
        <w:spacing w:after="0" w:line="360" w:lineRule="auto"/>
        <w:contextualSpacing/>
        <w:jc w:val="both"/>
        <w:rPr>
          <w:rFonts w:eastAsia="Times New Roman" w:cs="Times New Roman"/>
          <w:color w:val="000000"/>
          <w:sz w:val="28"/>
          <w:szCs w:val="28"/>
          <w:lang w:val="en-GB" w:eastAsia="ru-RU"/>
        </w:rPr>
      </w:pPr>
      <w:r w:rsidRPr="00CA099F">
        <w:rPr>
          <w:rFonts w:eastAsia="Times New Roman" w:cs="Times New Roman"/>
          <w:color w:val="000000"/>
          <w:sz w:val="28"/>
          <w:szCs w:val="28"/>
          <w:lang w:val="en-GB" w:eastAsia="ru-RU"/>
        </w:rPr>
        <w:t>Guldfred L. Branchial cleft anomalies: accuracy of pre-operative diagnosis, clinical presentation and management / L. Guldfred, B.B. Philipsen, C. Siim // J Laryngol Otol – 2012. – Vol. 126. – P. 598–604.</w:t>
      </w:r>
    </w:p>
    <w:p w:rsidR="0030517B" w:rsidRPr="00CA099F" w:rsidRDefault="0030517B" w:rsidP="0030517B">
      <w:pPr>
        <w:numPr>
          <w:ilvl w:val="0"/>
          <w:numId w:val="17"/>
        </w:numPr>
        <w:pBdr>
          <w:top w:val="nil"/>
          <w:left w:val="nil"/>
          <w:bottom w:val="nil"/>
          <w:right w:val="nil"/>
          <w:between w:val="nil"/>
        </w:pBdr>
        <w:shd w:val="clear" w:color="auto" w:fill="FFFFFF"/>
        <w:spacing w:after="0" w:line="360" w:lineRule="auto"/>
        <w:contextualSpacing/>
        <w:jc w:val="both"/>
        <w:textAlignment w:val="top"/>
        <w:rPr>
          <w:rFonts w:eastAsia="Times New Roman" w:cs="Times New Roman"/>
          <w:color w:val="000000"/>
          <w:sz w:val="28"/>
          <w:szCs w:val="28"/>
          <w:lang w:val="en-US" w:eastAsia="ru-RU"/>
        </w:rPr>
      </w:pPr>
      <w:r w:rsidRPr="00CA099F">
        <w:rPr>
          <w:rFonts w:eastAsia="Times New Roman" w:cs="Times New Roman"/>
          <w:color w:val="000000"/>
          <w:kern w:val="36"/>
          <w:sz w:val="28"/>
          <w:szCs w:val="28"/>
          <w:lang w:val="en-US" w:eastAsia="ru-RU"/>
        </w:rPr>
        <w:t>Intra-thyroid thyroglossal duct cyst: a case report and review of literature</w:t>
      </w:r>
      <w:r w:rsidRPr="00CA099F">
        <w:rPr>
          <w:rFonts w:eastAsia="Times New Roman" w:cs="Times New Roman"/>
          <w:color w:val="000000"/>
          <w:kern w:val="36"/>
          <w:sz w:val="28"/>
          <w:szCs w:val="28"/>
          <w:lang w:eastAsia="ru-RU"/>
        </w:rPr>
        <w:t xml:space="preserve"> / </w:t>
      </w:r>
      <w:hyperlink r:id="rId141" w:history="1">
        <w:r w:rsidRPr="00CA099F">
          <w:rPr>
            <w:rFonts w:eastAsia="Times New Roman" w:cs="Times New Roman"/>
            <w:color w:val="000000"/>
            <w:sz w:val="28"/>
            <w:szCs w:val="28"/>
            <w:lang w:val="en-US" w:eastAsia="ru-RU"/>
          </w:rPr>
          <w:t>L</w:t>
        </w:r>
        <w:r w:rsidRPr="00CA099F">
          <w:rPr>
            <w:rFonts w:eastAsia="Times New Roman" w:cs="Times New Roman"/>
            <w:color w:val="000000"/>
            <w:sz w:val="28"/>
            <w:szCs w:val="28"/>
            <w:lang w:eastAsia="ru-RU"/>
          </w:rPr>
          <w:t>.</w:t>
        </w:r>
        <w:r w:rsidRPr="00CA099F">
          <w:rPr>
            <w:rFonts w:eastAsia="Times New Roman" w:cs="Times New Roman"/>
            <w:color w:val="000000"/>
            <w:sz w:val="28"/>
            <w:szCs w:val="28"/>
            <w:lang w:val="en-US" w:eastAsia="ru-RU"/>
          </w:rPr>
          <w:t>D</w:t>
        </w:r>
        <w:r w:rsidRPr="00CA099F">
          <w:rPr>
            <w:rFonts w:eastAsia="Times New Roman" w:cs="Times New Roman"/>
            <w:color w:val="000000"/>
            <w:sz w:val="28"/>
            <w:szCs w:val="28"/>
            <w:lang w:eastAsia="ru-RU"/>
          </w:rPr>
          <w:t>. </w:t>
        </w:r>
        <w:r w:rsidRPr="00CA099F">
          <w:rPr>
            <w:rFonts w:eastAsia="Times New Roman" w:cs="Times New Roman"/>
            <w:color w:val="000000"/>
            <w:sz w:val="28"/>
            <w:szCs w:val="28"/>
            <w:lang w:val="en-US" w:eastAsia="ru-RU"/>
          </w:rPr>
          <w:t>Huang</w:t>
        </w:r>
      </w:hyperlink>
      <w:r w:rsidRPr="00CA099F">
        <w:rPr>
          <w:rFonts w:eastAsia="Times New Roman" w:cs="Times New Roman"/>
          <w:color w:val="000000"/>
          <w:sz w:val="28"/>
          <w:szCs w:val="28"/>
          <w:lang w:val="en-US" w:eastAsia="ru-RU"/>
        </w:rPr>
        <w:t>,</w:t>
      </w:r>
      <w:hyperlink r:id="rId142" w:history="1">
        <w:r w:rsidRPr="00CA099F">
          <w:rPr>
            <w:rFonts w:eastAsia="Times New Roman" w:cs="Times New Roman"/>
            <w:color w:val="000000"/>
            <w:sz w:val="28"/>
            <w:szCs w:val="28"/>
            <w:lang w:val="en-US" w:eastAsia="ru-RU"/>
          </w:rPr>
          <w:t>S</w:t>
        </w:r>
        <w:r w:rsidRPr="00CA099F">
          <w:rPr>
            <w:rFonts w:eastAsia="Times New Roman" w:cs="Times New Roman"/>
            <w:color w:val="000000"/>
            <w:sz w:val="28"/>
            <w:szCs w:val="28"/>
            <w:lang w:eastAsia="ru-RU"/>
          </w:rPr>
          <w:t>.</w:t>
        </w:r>
        <w:r w:rsidRPr="00CA099F">
          <w:rPr>
            <w:rFonts w:eastAsia="Times New Roman" w:cs="Times New Roman"/>
            <w:color w:val="000000"/>
            <w:sz w:val="28"/>
            <w:szCs w:val="28"/>
            <w:lang w:val="en-US" w:eastAsia="ru-RU"/>
          </w:rPr>
          <w:t>Q</w:t>
        </w:r>
        <w:r w:rsidRPr="00CA099F">
          <w:rPr>
            <w:rFonts w:eastAsia="Times New Roman" w:cs="Times New Roman"/>
            <w:color w:val="000000"/>
            <w:sz w:val="28"/>
            <w:szCs w:val="28"/>
            <w:lang w:eastAsia="ru-RU"/>
          </w:rPr>
          <w:t>.</w:t>
        </w:r>
        <w:r w:rsidRPr="00CA099F">
          <w:rPr>
            <w:rFonts w:eastAsia="Times New Roman" w:cs="Times New Roman"/>
            <w:color w:val="000000"/>
            <w:sz w:val="28"/>
            <w:szCs w:val="28"/>
            <w:lang w:val="en-US" w:eastAsia="ru-RU"/>
          </w:rPr>
          <w:t> Gao</w:t>
        </w:r>
      </w:hyperlink>
      <w:r w:rsidRPr="00CA099F">
        <w:rPr>
          <w:rFonts w:eastAsia="Times New Roman" w:cs="Times New Roman"/>
          <w:color w:val="000000"/>
          <w:sz w:val="28"/>
          <w:szCs w:val="28"/>
          <w:lang w:val="en-US" w:eastAsia="ru-RU"/>
        </w:rPr>
        <w:t xml:space="preserve">, </w:t>
      </w:r>
      <w:hyperlink r:id="rId143" w:history="1">
        <w:r w:rsidRPr="00CA099F">
          <w:rPr>
            <w:rFonts w:eastAsia="Times New Roman" w:cs="Times New Roman"/>
            <w:color w:val="000000"/>
            <w:sz w:val="28"/>
            <w:szCs w:val="28"/>
            <w:lang w:val="en-US" w:eastAsia="ru-RU"/>
          </w:rPr>
          <w:t>R.J. Dai</w:t>
        </w:r>
      </w:hyperlink>
      <w:r w:rsidRPr="00CA099F">
        <w:rPr>
          <w:rFonts w:eastAsia="Times New Roman" w:cs="Times New Roman"/>
          <w:color w:val="000000"/>
          <w:sz w:val="28"/>
          <w:szCs w:val="28"/>
          <w:lang w:val="en-US" w:eastAsia="ru-RU"/>
        </w:rPr>
        <w:t xml:space="preserve"> [et al.] // </w:t>
      </w:r>
      <w:hyperlink r:id="rId144" w:history="1">
        <w:r w:rsidRPr="00CA099F">
          <w:rPr>
            <w:rFonts w:eastAsia="Times New Roman" w:cs="Times New Roman"/>
            <w:color w:val="000000"/>
            <w:sz w:val="28"/>
            <w:szCs w:val="28"/>
            <w:lang w:val="en-US" w:eastAsia="ru-RU"/>
          </w:rPr>
          <w:t>Int J Clin Exp Pathol</w:t>
        </w:r>
      </w:hyperlink>
      <w:r w:rsidRPr="00CA099F">
        <w:rPr>
          <w:rFonts w:eastAsia="Times New Roman" w:cs="Times New Roman"/>
          <w:color w:val="000000"/>
          <w:sz w:val="28"/>
          <w:szCs w:val="28"/>
          <w:lang w:val="en-US" w:eastAsia="ru-RU"/>
        </w:rPr>
        <w:t>. – 2015. – Vol. 8(6). – P. 7229–7233.</w:t>
      </w:r>
    </w:p>
    <w:p w:rsidR="0030517B" w:rsidRPr="00CA099F" w:rsidRDefault="00417675" w:rsidP="0030517B">
      <w:pPr>
        <w:numPr>
          <w:ilvl w:val="0"/>
          <w:numId w:val="17"/>
        </w:numPr>
        <w:pBdr>
          <w:top w:val="nil"/>
          <w:left w:val="nil"/>
          <w:bottom w:val="nil"/>
          <w:right w:val="nil"/>
          <w:between w:val="nil"/>
        </w:pBdr>
        <w:shd w:val="clear" w:color="auto" w:fill="FFFFFF"/>
        <w:spacing w:before="120" w:after="120" w:line="360" w:lineRule="auto"/>
        <w:contextualSpacing/>
        <w:outlineLvl w:val="0"/>
        <w:rPr>
          <w:rFonts w:eastAsia="Times New Roman" w:cs="Times New Roman"/>
          <w:color w:val="000000"/>
          <w:sz w:val="28"/>
          <w:szCs w:val="28"/>
          <w:lang w:val="en-US" w:eastAsia="ru-RU"/>
        </w:rPr>
      </w:pPr>
      <w:hyperlink r:id="rId145" w:history="1">
        <w:r w:rsidR="0030517B" w:rsidRPr="00CA099F">
          <w:rPr>
            <w:rFonts w:eastAsia="Times New Roman" w:cs="Times New Roman"/>
            <w:color w:val="000000"/>
            <w:sz w:val="28"/>
            <w:szCs w:val="28"/>
            <w:lang w:val="en-US" w:eastAsia="ru-RU"/>
          </w:rPr>
          <w:t>Povey H.G</w:t>
        </w:r>
      </w:hyperlink>
      <w:r w:rsidR="0030517B" w:rsidRPr="00CA099F">
        <w:rPr>
          <w:rFonts w:eastAsia="Times New Roman" w:cs="Times New Roman"/>
          <w:color w:val="000000"/>
          <w:sz w:val="28"/>
          <w:szCs w:val="28"/>
          <w:lang w:val="en-US" w:eastAsia="ru-RU"/>
        </w:rPr>
        <w:t xml:space="preserve">. </w:t>
      </w:r>
      <w:r w:rsidR="0030517B" w:rsidRPr="00CA099F">
        <w:rPr>
          <w:rFonts w:eastAsia="Times New Roman" w:cs="Times New Roman"/>
          <w:bCs/>
          <w:color w:val="000000"/>
          <w:kern w:val="36"/>
          <w:sz w:val="28"/>
          <w:szCs w:val="28"/>
          <w:lang w:val="en-US" w:eastAsia="ru-RU"/>
        </w:rPr>
        <w:t>Management of suspected thyroglossal duct cysts / H.G. </w:t>
      </w:r>
      <w:hyperlink r:id="rId146" w:history="1">
        <w:r w:rsidR="0030517B" w:rsidRPr="00CA099F">
          <w:rPr>
            <w:rFonts w:eastAsia="Times New Roman" w:cs="Times New Roman"/>
            <w:color w:val="000000"/>
            <w:sz w:val="28"/>
            <w:szCs w:val="28"/>
            <w:lang w:val="en-US" w:eastAsia="ru-RU"/>
          </w:rPr>
          <w:t>Povey</w:t>
        </w:r>
      </w:hyperlink>
      <w:r w:rsidR="0030517B" w:rsidRPr="00CA099F">
        <w:rPr>
          <w:rFonts w:eastAsia="Times New Roman" w:cs="Times New Roman"/>
          <w:color w:val="000000"/>
          <w:sz w:val="28"/>
          <w:szCs w:val="28"/>
          <w:lang w:val="en-US" w:eastAsia="ru-RU"/>
        </w:rPr>
        <w:t>, H. </w:t>
      </w:r>
      <w:hyperlink r:id="rId147" w:history="1">
        <w:r w:rsidR="0030517B" w:rsidRPr="00CA099F">
          <w:rPr>
            <w:rFonts w:eastAsia="Times New Roman" w:cs="Times New Roman"/>
            <w:color w:val="000000"/>
            <w:sz w:val="28"/>
            <w:szCs w:val="28"/>
            <w:lang w:val="en-US" w:eastAsia="ru-RU"/>
          </w:rPr>
          <w:t>Selvachandran</w:t>
        </w:r>
      </w:hyperlink>
      <w:r w:rsidR="0030517B" w:rsidRPr="00CA099F">
        <w:rPr>
          <w:rFonts w:eastAsia="Times New Roman" w:cs="Times New Roman"/>
          <w:color w:val="000000"/>
          <w:sz w:val="28"/>
          <w:szCs w:val="28"/>
          <w:lang w:val="en-US" w:eastAsia="ru-RU"/>
        </w:rPr>
        <w:t>, R.T. Peters, M.O. </w:t>
      </w:r>
      <w:hyperlink r:id="rId148" w:history="1">
        <w:r w:rsidR="0030517B" w:rsidRPr="00CA099F">
          <w:rPr>
            <w:rFonts w:eastAsia="Times New Roman" w:cs="Times New Roman"/>
            <w:color w:val="000000"/>
            <w:sz w:val="28"/>
            <w:szCs w:val="28"/>
            <w:lang w:val="en-US" w:eastAsia="ru-RU"/>
          </w:rPr>
          <w:t xml:space="preserve">Jones </w:t>
        </w:r>
      </w:hyperlink>
      <w:r w:rsidR="0030517B" w:rsidRPr="00CA099F">
        <w:rPr>
          <w:rFonts w:eastAsia="Times New Roman" w:cs="Times New Roman"/>
          <w:color w:val="000000"/>
          <w:sz w:val="28"/>
          <w:szCs w:val="28"/>
          <w:lang w:val="en-US" w:eastAsia="ru-RU"/>
        </w:rPr>
        <w:t>//</w:t>
      </w:r>
      <w:hyperlink r:id="rId149" w:tooltip="Journal of pediatric surgery." w:history="1">
        <w:r w:rsidR="0030517B" w:rsidRPr="00CA099F">
          <w:rPr>
            <w:rFonts w:eastAsia="Times New Roman" w:cs="Times New Roman"/>
            <w:color w:val="000000"/>
            <w:sz w:val="28"/>
            <w:szCs w:val="28"/>
            <w:lang w:val="en-US" w:eastAsia="ru-RU"/>
          </w:rPr>
          <w:t>J Pediatr Surg.</w:t>
        </w:r>
      </w:hyperlink>
      <w:r w:rsidR="0030517B" w:rsidRPr="00CA099F">
        <w:rPr>
          <w:rFonts w:eastAsia="Times New Roman" w:cs="Times New Roman"/>
          <w:color w:val="000000"/>
          <w:sz w:val="28"/>
          <w:szCs w:val="28"/>
          <w:lang w:val="en-US" w:eastAsia="ru-RU"/>
        </w:rPr>
        <w:t xml:space="preserve"> – 2018. – Vol. 53(2). – P. 281-282.</w:t>
      </w:r>
    </w:p>
    <w:p w:rsidR="0030517B" w:rsidRPr="00CA099F" w:rsidRDefault="0030517B" w:rsidP="0030517B">
      <w:pPr>
        <w:numPr>
          <w:ilvl w:val="0"/>
          <w:numId w:val="17"/>
        </w:numPr>
        <w:pBdr>
          <w:top w:val="nil"/>
          <w:left w:val="nil"/>
          <w:bottom w:val="nil"/>
          <w:right w:val="nil"/>
          <w:between w:val="nil"/>
        </w:pBdr>
        <w:shd w:val="clear" w:color="auto" w:fill="FFFFFF"/>
        <w:spacing w:before="240" w:after="120" w:line="360" w:lineRule="auto"/>
        <w:contextualSpacing/>
        <w:jc w:val="both"/>
        <w:outlineLvl w:val="0"/>
        <w:rPr>
          <w:rFonts w:eastAsia="Times New Roman" w:cs="Times New Roman"/>
          <w:color w:val="000000"/>
          <w:sz w:val="28"/>
          <w:szCs w:val="28"/>
          <w:lang w:val="en-US" w:eastAsia="ru-RU"/>
        </w:rPr>
      </w:pPr>
      <w:r w:rsidRPr="00CA099F">
        <w:rPr>
          <w:rFonts w:eastAsia="Times New Roman" w:cs="Times New Roman"/>
          <w:color w:val="000000"/>
          <w:sz w:val="28"/>
          <w:szCs w:val="28"/>
          <w:lang w:val="en-US" w:eastAsia="ru-RU"/>
        </w:rPr>
        <w:t>Noyek A.M. Thyroglossal duct and ectopic thyroid disorders / A.M. Noyek, J. Friedberg – Otolaryngol Clin North Am. – 1981. – Vol. 14. – P. 187–201.</w:t>
      </w:r>
    </w:p>
    <w:p w:rsidR="0030517B" w:rsidRPr="00CA099F" w:rsidRDefault="00417675" w:rsidP="0030517B">
      <w:pPr>
        <w:numPr>
          <w:ilvl w:val="0"/>
          <w:numId w:val="17"/>
        </w:numPr>
        <w:pBdr>
          <w:top w:val="nil"/>
          <w:left w:val="nil"/>
          <w:bottom w:val="nil"/>
          <w:right w:val="nil"/>
          <w:between w:val="nil"/>
        </w:pBdr>
        <w:shd w:val="clear" w:color="auto" w:fill="FFFFFF"/>
        <w:spacing w:after="0" w:line="360" w:lineRule="auto"/>
        <w:contextualSpacing/>
        <w:jc w:val="both"/>
        <w:textAlignment w:val="top"/>
        <w:rPr>
          <w:rFonts w:eastAsia="Times New Roman" w:cs="Times New Roman"/>
          <w:color w:val="000000"/>
          <w:sz w:val="28"/>
          <w:szCs w:val="28"/>
          <w:lang w:val="en-US" w:eastAsia="ru-RU"/>
        </w:rPr>
      </w:pPr>
      <w:hyperlink r:id="rId150" w:history="1">
        <w:r w:rsidR="0030517B" w:rsidRPr="00CA099F">
          <w:rPr>
            <w:rFonts w:eastAsia="Times New Roman" w:cs="Times New Roman"/>
            <w:color w:val="000000"/>
            <w:sz w:val="28"/>
            <w:szCs w:val="28"/>
            <w:lang w:val="en-US" w:eastAsia="ru-RU"/>
          </w:rPr>
          <w:t>Moorthy</w:t>
        </w:r>
      </w:hyperlink>
      <w:r w:rsidR="0030517B" w:rsidRPr="00CA099F">
        <w:rPr>
          <w:rFonts w:eastAsia="Times New Roman" w:cs="Times New Roman"/>
          <w:color w:val="000000"/>
          <w:sz w:val="28"/>
          <w:szCs w:val="28"/>
          <w:lang w:val="en-US" w:eastAsia="ru-RU"/>
        </w:rPr>
        <w:t xml:space="preserve"> S.N. </w:t>
      </w:r>
      <w:r w:rsidR="0030517B" w:rsidRPr="00CA099F">
        <w:rPr>
          <w:rFonts w:eastAsia="Times New Roman" w:cs="Times New Roman"/>
          <w:color w:val="000000"/>
          <w:kern w:val="36"/>
          <w:sz w:val="28"/>
          <w:szCs w:val="28"/>
          <w:lang w:val="en-US" w:eastAsia="ru-RU"/>
        </w:rPr>
        <w:t xml:space="preserve">Thyroglossal Duct Cyst—More Than Just an Embryological Remnant / </w:t>
      </w:r>
      <w:hyperlink r:id="rId151" w:history="1">
        <w:r w:rsidR="0030517B" w:rsidRPr="00CA099F">
          <w:rPr>
            <w:rFonts w:eastAsia="Times New Roman" w:cs="Times New Roman"/>
            <w:color w:val="000000"/>
            <w:sz w:val="28"/>
            <w:szCs w:val="28"/>
            <w:lang w:val="en-US" w:eastAsia="ru-RU"/>
          </w:rPr>
          <w:t>S.N. Moorthy</w:t>
        </w:r>
      </w:hyperlink>
      <w:r w:rsidR="0030517B" w:rsidRPr="00CA099F">
        <w:rPr>
          <w:rFonts w:eastAsia="Times New Roman" w:cs="Times New Roman"/>
          <w:color w:val="000000"/>
          <w:sz w:val="28"/>
          <w:szCs w:val="28"/>
          <w:lang w:val="en-US" w:eastAsia="ru-RU"/>
        </w:rPr>
        <w:t xml:space="preserve">, </w:t>
      </w:r>
      <w:hyperlink r:id="rId152" w:history="1">
        <w:r w:rsidR="0030517B" w:rsidRPr="00CA099F">
          <w:rPr>
            <w:rFonts w:eastAsia="Times New Roman" w:cs="Times New Roman"/>
            <w:color w:val="000000"/>
            <w:sz w:val="28"/>
            <w:szCs w:val="28"/>
            <w:lang w:val="en-US" w:eastAsia="ru-RU"/>
          </w:rPr>
          <w:t>R. Arcot</w:t>
        </w:r>
      </w:hyperlink>
      <w:r w:rsidR="0030517B" w:rsidRPr="00CA099F">
        <w:rPr>
          <w:rFonts w:eastAsia="Times New Roman" w:cs="Times New Roman"/>
          <w:color w:val="000000"/>
          <w:sz w:val="28"/>
          <w:szCs w:val="28"/>
          <w:lang w:val="en-US" w:eastAsia="ru-RU"/>
        </w:rPr>
        <w:t xml:space="preserve"> // </w:t>
      </w:r>
      <w:hyperlink r:id="rId153" w:history="1">
        <w:r w:rsidR="0030517B" w:rsidRPr="00CA099F">
          <w:rPr>
            <w:rFonts w:eastAsia="Times New Roman" w:cs="Times New Roman"/>
            <w:color w:val="000000"/>
            <w:sz w:val="28"/>
            <w:szCs w:val="28"/>
            <w:lang w:val="en-US" w:eastAsia="ru-RU"/>
          </w:rPr>
          <w:t>Indian J Surg</w:t>
        </w:r>
      </w:hyperlink>
      <w:r w:rsidR="0030517B" w:rsidRPr="00CA099F">
        <w:rPr>
          <w:rFonts w:eastAsia="Times New Roman" w:cs="Times New Roman"/>
          <w:color w:val="000000"/>
          <w:sz w:val="28"/>
          <w:szCs w:val="28"/>
          <w:lang w:val="en-US" w:eastAsia="ru-RU"/>
        </w:rPr>
        <w:t>. – 2011. – Vol. 73(1). – P. 28–31.</w:t>
      </w:r>
    </w:p>
    <w:p w:rsidR="0030517B" w:rsidRPr="00CA099F" w:rsidRDefault="0030517B" w:rsidP="0030517B">
      <w:pPr>
        <w:numPr>
          <w:ilvl w:val="0"/>
          <w:numId w:val="17"/>
        </w:numPr>
        <w:pBdr>
          <w:top w:val="nil"/>
          <w:left w:val="nil"/>
          <w:bottom w:val="nil"/>
          <w:right w:val="nil"/>
          <w:between w:val="nil"/>
        </w:pBdr>
        <w:shd w:val="clear" w:color="auto" w:fill="FFFFFF"/>
        <w:spacing w:before="240" w:after="120" w:line="360" w:lineRule="auto"/>
        <w:contextualSpacing/>
        <w:jc w:val="both"/>
        <w:outlineLvl w:val="0"/>
        <w:rPr>
          <w:rFonts w:eastAsia="Times New Roman" w:cs="Times New Roman"/>
          <w:color w:val="000000"/>
          <w:sz w:val="28"/>
          <w:szCs w:val="28"/>
          <w:lang w:val="en-US" w:eastAsia="ru-RU"/>
        </w:rPr>
      </w:pPr>
      <w:r w:rsidRPr="00CA099F">
        <w:rPr>
          <w:rFonts w:eastAsia="Times New Roman" w:cs="Times New Roman"/>
          <w:color w:val="000000"/>
          <w:sz w:val="28"/>
          <w:szCs w:val="28"/>
          <w:lang w:val="en-US" w:eastAsia="ru-RU"/>
        </w:rPr>
        <w:lastRenderedPageBreak/>
        <w:t>Thyroglossal duct cyst in hyoid bone: unusual location / A. Tas, A.R. Karasalihoglu, R. Yagiz [et al.] – J Laryngol Otol. –  2003. – Vol. 117(8). – P. 656–657.</w:t>
      </w:r>
    </w:p>
    <w:p w:rsidR="0030517B" w:rsidRPr="00CA099F" w:rsidRDefault="00417675" w:rsidP="0030517B">
      <w:pPr>
        <w:numPr>
          <w:ilvl w:val="0"/>
          <w:numId w:val="17"/>
        </w:numPr>
        <w:pBdr>
          <w:top w:val="nil"/>
          <w:left w:val="nil"/>
          <w:bottom w:val="nil"/>
          <w:right w:val="nil"/>
          <w:between w:val="nil"/>
        </w:pBdr>
        <w:shd w:val="clear" w:color="auto" w:fill="FFFFFF"/>
        <w:spacing w:before="120" w:after="120" w:line="360" w:lineRule="auto"/>
        <w:contextualSpacing/>
        <w:outlineLvl w:val="0"/>
        <w:rPr>
          <w:rFonts w:eastAsia="Times New Roman" w:cs="Times New Roman"/>
          <w:color w:val="000000"/>
          <w:sz w:val="28"/>
          <w:szCs w:val="28"/>
          <w:lang w:val="en-US" w:eastAsia="ru-RU"/>
        </w:rPr>
      </w:pPr>
      <w:hyperlink r:id="rId154" w:history="1">
        <w:r w:rsidR="0030517B" w:rsidRPr="00CA099F">
          <w:rPr>
            <w:rFonts w:eastAsia="Times New Roman" w:cs="Times New Roman"/>
            <w:color w:val="000000"/>
            <w:sz w:val="28"/>
            <w:szCs w:val="28"/>
            <w:lang w:val="en-US" w:eastAsia="ru-RU"/>
          </w:rPr>
          <w:t>Ramchandani R</w:t>
        </w:r>
      </w:hyperlink>
      <w:r w:rsidR="0030517B" w:rsidRPr="00CA099F">
        <w:rPr>
          <w:rFonts w:eastAsia="Times New Roman" w:cs="Times New Roman"/>
          <w:color w:val="000000"/>
          <w:sz w:val="28"/>
          <w:szCs w:val="28"/>
          <w:lang w:val="en-US" w:eastAsia="ru-RU"/>
        </w:rPr>
        <w:t xml:space="preserve">. </w:t>
      </w:r>
      <w:r w:rsidR="0030517B" w:rsidRPr="00CA099F">
        <w:rPr>
          <w:rFonts w:eastAsia="Times New Roman" w:cs="Times New Roman"/>
          <w:bCs/>
          <w:color w:val="000000"/>
          <w:kern w:val="36"/>
          <w:sz w:val="28"/>
          <w:szCs w:val="28"/>
          <w:lang w:val="en-US" w:eastAsia="ru-RU"/>
        </w:rPr>
        <w:t>Familial Occurrence of Thyroglossal Duct Cyst / R. </w:t>
      </w:r>
      <w:r w:rsidR="0030517B" w:rsidRPr="00CA099F">
        <w:rPr>
          <w:rFonts w:eastAsia="Times New Roman" w:cs="Times New Roman"/>
          <w:color w:val="000000"/>
          <w:sz w:val="28"/>
          <w:szCs w:val="28"/>
          <w:lang w:val="en-US" w:eastAsia="ru-RU"/>
        </w:rPr>
        <w:t>Ramchandani, S. </w:t>
      </w:r>
      <w:hyperlink r:id="rId155" w:history="1">
        <w:r w:rsidR="0030517B" w:rsidRPr="00CA099F">
          <w:rPr>
            <w:rFonts w:eastAsia="Times New Roman" w:cs="Times New Roman"/>
            <w:color w:val="000000"/>
            <w:sz w:val="28"/>
            <w:szCs w:val="28"/>
            <w:lang w:val="en-US" w:eastAsia="ru-RU"/>
          </w:rPr>
          <w:t>Chumber</w:t>
        </w:r>
      </w:hyperlink>
      <w:r w:rsidR="0030517B" w:rsidRPr="00CA099F">
        <w:rPr>
          <w:rFonts w:eastAsia="Times New Roman" w:cs="Times New Roman"/>
          <w:color w:val="000000"/>
          <w:sz w:val="28"/>
          <w:szCs w:val="28"/>
          <w:lang w:val="en-US" w:eastAsia="ru-RU"/>
        </w:rPr>
        <w:t xml:space="preserve">. – </w:t>
      </w:r>
      <w:hyperlink r:id="rId156" w:tooltip="The Indian journal of surgery." w:history="1">
        <w:r w:rsidR="0030517B" w:rsidRPr="00CA099F">
          <w:rPr>
            <w:rFonts w:eastAsia="Times New Roman" w:cs="Times New Roman"/>
            <w:color w:val="000000"/>
            <w:sz w:val="28"/>
            <w:szCs w:val="28"/>
            <w:lang w:val="en-US" w:eastAsia="ru-RU"/>
          </w:rPr>
          <w:t>Indian J Surg.</w:t>
        </w:r>
      </w:hyperlink>
      <w:r w:rsidR="0030517B" w:rsidRPr="00CA099F">
        <w:rPr>
          <w:rFonts w:eastAsia="Times New Roman" w:cs="Times New Roman"/>
          <w:color w:val="000000"/>
          <w:sz w:val="28"/>
          <w:szCs w:val="28"/>
          <w:lang w:val="en-US" w:eastAsia="ru-RU"/>
        </w:rPr>
        <w:t> – 2017. – Vol. 79(6). – P. 566-568.</w:t>
      </w:r>
    </w:p>
    <w:p w:rsidR="0030517B" w:rsidRPr="00CA099F" w:rsidRDefault="0030517B" w:rsidP="0030517B">
      <w:pPr>
        <w:numPr>
          <w:ilvl w:val="0"/>
          <w:numId w:val="17"/>
        </w:numPr>
        <w:pBdr>
          <w:top w:val="nil"/>
          <w:left w:val="nil"/>
          <w:bottom w:val="nil"/>
          <w:right w:val="nil"/>
          <w:between w:val="nil"/>
        </w:pBdr>
        <w:shd w:val="clear" w:color="auto" w:fill="FFFFFF"/>
        <w:spacing w:before="240" w:after="120" w:line="360" w:lineRule="auto"/>
        <w:contextualSpacing/>
        <w:jc w:val="both"/>
        <w:outlineLvl w:val="0"/>
        <w:rPr>
          <w:rFonts w:eastAsia="Times New Roman" w:cs="Times New Roman"/>
          <w:color w:val="000000"/>
          <w:sz w:val="28"/>
          <w:szCs w:val="28"/>
          <w:lang w:val="en-US" w:eastAsia="ru-RU"/>
        </w:rPr>
      </w:pPr>
      <w:r w:rsidRPr="00CA099F">
        <w:rPr>
          <w:rFonts w:eastAsia="Times New Roman" w:cs="Times New Roman"/>
          <w:color w:val="000000"/>
          <w:sz w:val="28"/>
          <w:szCs w:val="28"/>
          <w:lang w:val="en-US" w:eastAsia="ru-RU"/>
        </w:rPr>
        <w:t>Thyroglossal duct cyst within the mediastinum: an extremely unusual location / Chon Soon-Ho, Shinn Sung Ho, Lee CB [et al.] – J Thorac Cardiovasc Surg. – 2007. – Vol. 133. – P. 1671–1672.</w:t>
      </w:r>
    </w:p>
    <w:p w:rsidR="0030517B" w:rsidRPr="00CA099F" w:rsidRDefault="0030517B" w:rsidP="0030517B">
      <w:pPr>
        <w:numPr>
          <w:ilvl w:val="0"/>
          <w:numId w:val="17"/>
        </w:numPr>
        <w:pBdr>
          <w:top w:val="nil"/>
          <w:left w:val="nil"/>
          <w:bottom w:val="nil"/>
          <w:right w:val="nil"/>
          <w:between w:val="nil"/>
        </w:pBdr>
        <w:shd w:val="clear" w:color="auto" w:fill="FFFFFF"/>
        <w:spacing w:before="240" w:after="120" w:line="360" w:lineRule="auto"/>
        <w:contextualSpacing/>
        <w:jc w:val="both"/>
        <w:outlineLvl w:val="0"/>
        <w:rPr>
          <w:rFonts w:eastAsia="Times New Roman" w:cs="Times New Roman"/>
          <w:color w:val="000000"/>
          <w:sz w:val="28"/>
          <w:szCs w:val="28"/>
          <w:lang w:val="en-US" w:eastAsia="ru-RU"/>
        </w:rPr>
      </w:pPr>
      <w:r w:rsidRPr="00CA099F">
        <w:rPr>
          <w:rFonts w:eastAsia="Times New Roman" w:cs="Times New Roman"/>
          <w:color w:val="000000"/>
          <w:sz w:val="28"/>
          <w:szCs w:val="28"/>
          <w:lang w:val="en-US" w:eastAsia="ru-RU"/>
        </w:rPr>
        <w:t>Thyroglossal duct cyst: personal experience and literature review / V. Mondin, A. Ferlito, E. Muzzi [et al.] // Auris Nasus Larynx. – 2008. – Vol. 35. – P. 11–25.</w:t>
      </w:r>
    </w:p>
    <w:p w:rsidR="0030517B" w:rsidRPr="00CA099F" w:rsidRDefault="0030517B" w:rsidP="0030517B">
      <w:pPr>
        <w:numPr>
          <w:ilvl w:val="0"/>
          <w:numId w:val="17"/>
        </w:numPr>
        <w:pBdr>
          <w:top w:val="nil"/>
          <w:left w:val="nil"/>
          <w:bottom w:val="nil"/>
          <w:right w:val="nil"/>
          <w:between w:val="nil"/>
        </w:pBdr>
        <w:shd w:val="clear" w:color="auto" w:fill="FFFFFF"/>
        <w:spacing w:after="0" w:line="360" w:lineRule="auto"/>
        <w:contextualSpacing/>
        <w:jc w:val="both"/>
        <w:textAlignment w:val="top"/>
        <w:rPr>
          <w:rFonts w:eastAsia="Times New Roman" w:cs="Times New Roman"/>
          <w:color w:val="000000"/>
          <w:sz w:val="28"/>
          <w:szCs w:val="28"/>
          <w:lang w:val="en-US" w:eastAsia="ru-RU"/>
        </w:rPr>
      </w:pPr>
      <w:r w:rsidRPr="00CA099F">
        <w:rPr>
          <w:rFonts w:eastAsia="Times New Roman" w:cs="Times New Roman"/>
          <w:color w:val="000000"/>
          <w:kern w:val="36"/>
          <w:sz w:val="28"/>
          <w:szCs w:val="28"/>
          <w:lang w:val="en-US" w:eastAsia="ru-RU"/>
        </w:rPr>
        <w:t xml:space="preserve">Squamous cell carcinoma arising from a thyroglossal duct cyst: A case report and review of the literature / </w:t>
      </w:r>
      <w:hyperlink r:id="rId157" w:history="1">
        <w:r w:rsidRPr="00CA099F">
          <w:rPr>
            <w:rFonts w:eastAsia="Times New Roman" w:cs="Times New Roman"/>
            <w:color w:val="000000"/>
            <w:sz w:val="28"/>
            <w:szCs w:val="28"/>
            <w:lang w:val="en-US" w:eastAsia="ru-RU"/>
          </w:rPr>
          <w:t>Q. Huang</w:t>
        </w:r>
      </w:hyperlink>
      <w:r w:rsidRPr="00CA099F">
        <w:rPr>
          <w:rFonts w:eastAsia="Times New Roman" w:cs="Times New Roman"/>
          <w:color w:val="000000"/>
          <w:sz w:val="28"/>
          <w:szCs w:val="28"/>
          <w:lang w:val="en-US" w:eastAsia="ru-RU"/>
        </w:rPr>
        <w:t>,</w:t>
      </w:r>
      <w:hyperlink r:id="rId158" w:history="1">
        <w:r w:rsidRPr="00CA099F">
          <w:rPr>
            <w:rFonts w:eastAsia="Times New Roman" w:cs="Times New Roman"/>
            <w:color w:val="000000"/>
            <w:sz w:val="28"/>
            <w:szCs w:val="28"/>
            <w:lang w:val="en-US" w:eastAsia="ru-RU"/>
          </w:rPr>
          <w:t>Y. Shen</w:t>
        </w:r>
      </w:hyperlink>
      <w:r w:rsidRPr="00CA099F">
        <w:rPr>
          <w:rFonts w:eastAsia="Times New Roman" w:cs="Times New Roman"/>
          <w:color w:val="000000"/>
          <w:sz w:val="28"/>
          <w:szCs w:val="28"/>
          <w:lang w:val="en-US" w:eastAsia="ru-RU"/>
        </w:rPr>
        <w:t xml:space="preserve">, </w:t>
      </w:r>
      <w:hyperlink r:id="rId159" w:history="1">
        <w:r w:rsidRPr="00CA099F">
          <w:rPr>
            <w:rFonts w:eastAsia="Times New Roman" w:cs="Times New Roman"/>
            <w:color w:val="000000"/>
            <w:sz w:val="28"/>
            <w:szCs w:val="28"/>
            <w:lang w:val="en-US" w:eastAsia="ru-RU"/>
          </w:rPr>
          <w:t>A.Y. Wang</w:t>
        </w:r>
      </w:hyperlink>
      <w:r w:rsidRPr="00CA099F">
        <w:rPr>
          <w:rFonts w:eastAsia="Times New Roman" w:cs="Times New Roman"/>
          <w:color w:val="000000"/>
          <w:sz w:val="28"/>
          <w:szCs w:val="28"/>
          <w:lang w:val="en-US" w:eastAsia="ru-RU"/>
        </w:rPr>
        <w:t xml:space="preserve"> [et al.] // </w:t>
      </w:r>
      <w:hyperlink r:id="rId160" w:history="1">
        <w:r w:rsidRPr="00CA099F">
          <w:rPr>
            <w:rFonts w:eastAsia="Times New Roman" w:cs="Times New Roman"/>
            <w:color w:val="000000"/>
            <w:sz w:val="28"/>
            <w:szCs w:val="28"/>
            <w:lang w:val="en-US" w:eastAsia="ru-RU"/>
          </w:rPr>
          <w:t>SAGE Open Med Case Rep</w:t>
        </w:r>
      </w:hyperlink>
      <w:r w:rsidRPr="00CA099F">
        <w:rPr>
          <w:rFonts w:eastAsia="Times New Roman" w:cs="Times New Roman"/>
          <w:color w:val="000000"/>
          <w:sz w:val="28"/>
          <w:szCs w:val="28"/>
          <w:lang w:val="en-US" w:eastAsia="ru-RU"/>
        </w:rPr>
        <w:t>. – 2018. – Vol. 6. – P. 313-318.</w:t>
      </w:r>
    </w:p>
    <w:p w:rsidR="0030517B" w:rsidRPr="00CA099F" w:rsidRDefault="0030517B" w:rsidP="0030517B">
      <w:pPr>
        <w:numPr>
          <w:ilvl w:val="0"/>
          <w:numId w:val="17"/>
        </w:numPr>
        <w:pBdr>
          <w:top w:val="nil"/>
          <w:left w:val="nil"/>
          <w:bottom w:val="nil"/>
          <w:right w:val="nil"/>
          <w:between w:val="nil"/>
        </w:pBdr>
        <w:shd w:val="clear" w:color="auto" w:fill="FFFFFF"/>
        <w:spacing w:before="240" w:after="120" w:line="360" w:lineRule="auto"/>
        <w:contextualSpacing/>
        <w:jc w:val="both"/>
        <w:outlineLvl w:val="0"/>
        <w:rPr>
          <w:rFonts w:eastAsia="Times New Roman" w:cs="Times New Roman"/>
          <w:color w:val="000000"/>
          <w:sz w:val="28"/>
          <w:szCs w:val="28"/>
          <w:lang w:val="en-US" w:eastAsia="ru-RU"/>
        </w:rPr>
      </w:pPr>
      <w:r w:rsidRPr="00CA099F">
        <w:rPr>
          <w:rFonts w:eastAsia="Times New Roman" w:cs="Times New Roman"/>
          <w:color w:val="000000"/>
          <w:sz w:val="28"/>
          <w:szCs w:val="28"/>
          <w:lang w:val="en-US" w:eastAsia="ru-RU"/>
        </w:rPr>
        <w:t>Ali A.A. The relationship between the location of thyroglossal duct cysts and the epithelial lining / A.A. Ali, B. Al-Jandan, C.S. Suresh, A. Subae // Head Neck Pathol. – 2013. – Vol. 7(1). – P. 50–53.</w:t>
      </w:r>
    </w:p>
    <w:p w:rsidR="0030517B" w:rsidRPr="00CA099F" w:rsidRDefault="00417675" w:rsidP="0030517B">
      <w:pPr>
        <w:numPr>
          <w:ilvl w:val="0"/>
          <w:numId w:val="17"/>
        </w:numPr>
        <w:pBdr>
          <w:top w:val="nil"/>
          <w:left w:val="nil"/>
          <w:bottom w:val="nil"/>
          <w:right w:val="nil"/>
          <w:between w:val="nil"/>
        </w:pBdr>
        <w:shd w:val="clear" w:color="auto" w:fill="FFFFFF"/>
        <w:spacing w:before="240" w:after="120" w:line="360" w:lineRule="auto"/>
        <w:contextualSpacing/>
        <w:jc w:val="both"/>
        <w:outlineLvl w:val="0"/>
        <w:rPr>
          <w:rFonts w:eastAsia="Times New Roman" w:cs="Times New Roman"/>
          <w:color w:val="000000"/>
          <w:sz w:val="28"/>
          <w:szCs w:val="28"/>
          <w:lang w:val="en-US" w:eastAsia="ru-RU"/>
        </w:rPr>
      </w:pPr>
      <w:hyperlink r:id="rId161" w:history="1">
        <w:r w:rsidR="0030517B" w:rsidRPr="00CA099F">
          <w:rPr>
            <w:rFonts w:eastAsia="Times New Roman" w:cs="Times New Roman"/>
            <w:color w:val="000000"/>
            <w:sz w:val="28"/>
            <w:szCs w:val="28"/>
            <w:lang w:val="en-US" w:eastAsia="ru-RU"/>
          </w:rPr>
          <w:t>Patigaroo</w:t>
        </w:r>
      </w:hyperlink>
      <w:r w:rsidR="0030517B" w:rsidRPr="00CA099F">
        <w:rPr>
          <w:rFonts w:eastAsia="Times New Roman" w:cs="Times New Roman"/>
          <w:color w:val="000000"/>
          <w:sz w:val="28"/>
          <w:szCs w:val="28"/>
          <w:lang w:val="en-US" w:eastAsia="ru-RU"/>
        </w:rPr>
        <w:t xml:space="preserve"> S.A. </w:t>
      </w:r>
      <w:r w:rsidR="0030517B" w:rsidRPr="00CA099F">
        <w:rPr>
          <w:rFonts w:eastAsia="Times New Roman" w:cs="Times New Roman"/>
          <w:color w:val="000000"/>
          <w:kern w:val="36"/>
          <w:sz w:val="28"/>
          <w:szCs w:val="28"/>
          <w:lang w:val="en-US" w:eastAsia="ru-RU"/>
        </w:rPr>
        <w:t xml:space="preserve">Thyroglossal Duct Cysts: A Clinicosurgical Experience / </w:t>
      </w:r>
      <w:hyperlink r:id="rId162" w:history="1">
        <w:r w:rsidR="0030517B" w:rsidRPr="00CA099F">
          <w:rPr>
            <w:rFonts w:eastAsia="Times New Roman" w:cs="Times New Roman"/>
            <w:color w:val="000000"/>
            <w:sz w:val="28"/>
            <w:szCs w:val="28"/>
            <w:lang w:val="en-US" w:eastAsia="ru-RU"/>
          </w:rPr>
          <w:t>S.A. Patigaroo</w:t>
        </w:r>
      </w:hyperlink>
      <w:r w:rsidR="0030517B" w:rsidRPr="00CA099F">
        <w:rPr>
          <w:rFonts w:eastAsia="Times New Roman" w:cs="Times New Roman"/>
          <w:color w:val="000000"/>
          <w:sz w:val="28"/>
          <w:szCs w:val="28"/>
          <w:lang w:val="en-US" w:eastAsia="ru-RU"/>
        </w:rPr>
        <w:t xml:space="preserve">, </w:t>
      </w:r>
      <w:hyperlink r:id="rId163" w:history="1">
        <w:r w:rsidR="0030517B" w:rsidRPr="00CA099F">
          <w:rPr>
            <w:rFonts w:eastAsia="Times New Roman" w:cs="Times New Roman"/>
            <w:color w:val="000000"/>
            <w:sz w:val="28"/>
            <w:szCs w:val="28"/>
            <w:lang w:val="en-US" w:eastAsia="ru-RU"/>
          </w:rPr>
          <w:t>N.H. Dar</w:t>
        </w:r>
      </w:hyperlink>
      <w:r w:rsidR="0030517B" w:rsidRPr="00CA099F">
        <w:rPr>
          <w:rFonts w:eastAsia="Times New Roman" w:cs="Times New Roman"/>
          <w:color w:val="000000"/>
          <w:sz w:val="28"/>
          <w:szCs w:val="28"/>
          <w:lang w:val="en-US" w:eastAsia="ru-RU"/>
        </w:rPr>
        <w:t xml:space="preserve">, </w:t>
      </w:r>
      <w:hyperlink r:id="rId164" w:history="1">
        <w:r w:rsidR="0030517B" w:rsidRPr="00CA099F">
          <w:rPr>
            <w:rFonts w:eastAsia="Times New Roman" w:cs="Times New Roman"/>
            <w:color w:val="000000"/>
            <w:sz w:val="28"/>
            <w:szCs w:val="28"/>
            <w:lang w:val="en-US" w:eastAsia="ru-RU"/>
          </w:rPr>
          <w:t>A.S. Jallu</w:t>
        </w:r>
      </w:hyperlink>
      <w:r w:rsidR="0030517B" w:rsidRPr="00CA099F">
        <w:rPr>
          <w:rFonts w:eastAsia="Times New Roman" w:cs="Times New Roman"/>
          <w:color w:val="000000"/>
          <w:sz w:val="28"/>
          <w:szCs w:val="28"/>
          <w:lang w:val="en-US" w:eastAsia="ru-RU"/>
        </w:rPr>
        <w:t xml:space="preserve">, </w:t>
      </w:r>
      <w:hyperlink r:id="rId165" w:history="1">
        <w:r w:rsidR="0030517B" w:rsidRPr="00CA099F">
          <w:rPr>
            <w:rFonts w:eastAsia="Times New Roman" w:cs="Times New Roman"/>
            <w:color w:val="000000"/>
            <w:sz w:val="28"/>
            <w:szCs w:val="28"/>
            <w:lang w:val="en-US" w:eastAsia="ru-RU"/>
          </w:rPr>
          <w:t>R. Ahmad</w:t>
        </w:r>
      </w:hyperlink>
      <w:r w:rsidR="0030517B" w:rsidRPr="00CA099F">
        <w:rPr>
          <w:rFonts w:eastAsia="Times New Roman" w:cs="Times New Roman"/>
          <w:color w:val="000000"/>
          <w:sz w:val="28"/>
          <w:szCs w:val="28"/>
          <w:lang w:val="en-US" w:eastAsia="ru-RU"/>
        </w:rPr>
        <w:t xml:space="preserve"> // </w:t>
      </w:r>
      <w:hyperlink r:id="rId166" w:history="1">
        <w:r w:rsidR="0030517B" w:rsidRPr="00CA099F">
          <w:rPr>
            <w:rFonts w:eastAsia="Times New Roman" w:cs="Times New Roman"/>
            <w:color w:val="000000"/>
            <w:sz w:val="28"/>
            <w:szCs w:val="28"/>
            <w:lang w:val="en-US" w:eastAsia="ru-RU"/>
          </w:rPr>
          <w:t>Indian J Otolaryngol Head Neck Surg</w:t>
        </w:r>
      </w:hyperlink>
      <w:r w:rsidR="0030517B" w:rsidRPr="00CA099F">
        <w:rPr>
          <w:rFonts w:eastAsia="Times New Roman" w:cs="Times New Roman"/>
          <w:color w:val="000000"/>
          <w:sz w:val="28"/>
          <w:szCs w:val="28"/>
          <w:lang w:val="en-US" w:eastAsia="ru-RU"/>
        </w:rPr>
        <w:t>. – 2017. – Vol. 69 (1). – P. 102–107.</w:t>
      </w:r>
    </w:p>
    <w:p w:rsidR="0030517B" w:rsidRPr="00CA099F" w:rsidRDefault="0030517B" w:rsidP="0030517B">
      <w:pPr>
        <w:numPr>
          <w:ilvl w:val="0"/>
          <w:numId w:val="17"/>
        </w:numPr>
        <w:pBdr>
          <w:top w:val="nil"/>
          <w:left w:val="nil"/>
          <w:bottom w:val="nil"/>
          <w:right w:val="nil"/>
          <w:between w:val="nil"/>
        </w:pBdr>
        <w:tabs>
          <w:tab w:val="left" w:pos="709"/>
          <w:tab w:val="left" w:pos="1486"/>
        </w:tabs>
        <w:spacing w:after="0" w:line="360" w:lineRule="auto"/>
        <w:contextualSpacing/>
        <w:jc w:val="both"/>
        <w:rPr>
          <w:rFonts w:eastAsia="Times New Roman" w:cs="Times New Roman"/>
          <w:color w:val="000000"/>
          <w:sz w:val="28"/>
          <w:szCs w:val="28"/>
          <w:lang w:val="ru-RU" w:eastAsia="ru-RU"/>
        </w:rPr>
      </w:pPr>
      <w:r w:rsidRPr="00CA099F">
        <w:rPr>
          <w:rFonts w:eastAsia="Times New Roman" w:cs="Times New Roman"/>
          <w:color w:val="000000"/>
          <w:sz w:val="28"/>
          <w:szCs w:val="28"/>
          <w:lang w:val="ru-RU" w:eastAsia="ru-RU"/>
        </w:rPr>
        <w:t>Белоусов А.Е. Рубцы и их коррекция. Очерки пластической хирургии / А.Е. Белоусов. – Т. 1. – СПб., 2005. – 564 с.</w:t>
      </w:r>
    </w:p>
    <w:p w:rsidR="0030517B" w:rsidRPr="00CA099F" w:rsidRDefault="0030517B" w:rsidP="0030517B">
      <w:pPr>
        <w:numPr>
          <w:ilvl w:val="0"/>
          <w:numId w:val="17"/>
        </w:numPr>
        <w:pBdr>
          <w:top w:val="nil"/>
          <w:left w:val="nil"/>
          <w:bottom w:val="nil"/>
          <w:right w:val="nil"/>
          <w:between w:val="nil"/>
        </w:pBdr>
        <w:tabs>
          <w:tab w:val="left" w:pos="709"/>
          <w:tab w:val="left" w:pos="1674"/>
        </w:tabs>
        <w:spacing w:after="0" w:line="360" w:lineRule="auto"/>
        <w:ind w:right="20"/>
        <w:contextualSpacing/>
        <w:jc w:val="both"/>
        <w:rPr>
          <w:rFonts w:eastAsia="Times New Roman" w:cs="Times New Roman"/>
          <w:color w:val="000000"/>
          <w:sz w:val="28"/>
          <w:szCs w:val="28"/>
          <w:lang w:val="ru-RU" w:eastAsia="ru-RU"/>
        </w:rPr>
      </w:pPr>
      <w:r w:rsidRPr="00CA099F">
        <w:rPr>
          <w:rFonts w:eastAsia="Times New Roman" w:cs="Times New Roman"/>
          <w:color w:val="000000"/>
          <w:sz w:val="28"/>
          <w:szCs w:val="28"/>
          <w:lang w:val="ru-RU" w:eastAsia="ru-RU"/>
        </w:rPr>
        <w:t>Белоусов А.Е. Рубцы как глобальная проблема пластической хирургии / А.Е. Белоусов // Анналы пластич., реконстр. и эстетич. хирургии. - 2004. - № 4. – С. 41-42.</w:t>
      </w:r>
    </w:p>
    <w:p w:rsidR="0030517B" w:rsidRPr="00CA099F" w:rsidRDefault="0030517B" w:rsidP="0030517B">
      <w:pPr>
        <w:numPr>
          <w:ilvl w:val="0"/>
          <w:numId w:val="17"/>
        </w:numPr>
        <w:pBdr>
          <w:top w:val="nil"/>
          <w:left w:val="nil"/>
          <w:bottom w:val="nil"/>
          <w:right w:val="nil"/>
          <w:between w:val="nil"/>
        </w:pBdr>
        <w:tabs>
          <w:tab w:val="left" w:pos="709"/>
          <w:tab w:val="left" w:pos="930"/>
        </w:tabs>
        <w:spacing w:after="0" w:line="360" w:lineRule="auto"/>
        <w:ind w:right="20"/>
        <w:contextualSpacing/>
        <w:jc w:val="both"/>
        <w:rPr>
          <w:rFonts w:eastAsia="Times New Roman" w:cs="Times New Roman"/>
          <w:color w:val="000000"/>
          <w:sz w:val="28"/>
          <w:szCs w:val="28"/>
          <w:lang w:val="ru-RU" w:eastAsia="ru-RU"/>
        </w:rPr>
      </w:pPr>
      <w:r w:rsidRPr="00CA099F">
        <w:rPr>
          <w:rFonts w:eastAsia="Times New Roman" w:cs="Times New Roman"/>
          <w:color w:val="000000"/>
          <w:sz w:val="28"/>
          <w:szCs w:val="28"/>
          <w:lang w:val="ru-RU" w:eastAsia="ru-RU"/>
        </w:rPr>
        <w:t>Гуллер А.Е. Клинический тип и гистологическая структура кожных рубцов как прогностические факторы исхода лечения / А.Е. Гуллер, А.Б. Шехтер // Анналы пластической, реконструктивной и эстетической хирургии - 2007. - №4. - С.19-31.</w:t>
      </w:r>
    </w:p>
    <w:p w:rsidR="0030517B" w:rsidRPr="00CA099F" w:rsidRDefault="0030517B" w:rsidP="0030517B">
      <w:pPr>
        <w:numPr>
          <w:ilvl w:val="0"/>
          <w:numId w:val="17"/>
        </w:numPr>
        <w:pBdr>
          <w:top w:val="nil"/>
          <w:left w:val="nil"/>
          <w:bottom w:val="nil"/>
          <w:right w:val="nil"/>
          <w:between w:val="nil"/>
        </w:pBdr>
        <w:tabs>
          <w:tab w:val="left" w:pos="709"/>
        </w:tabs>
        <w:spacing w:after="0" w:line="360" w:lineRule="auto"/>
        <w:contextualSpacing/>
        <w:jc w:val="both"/>
        <w:rPr>
          <w:rFonts w:eastAsia="Times New Roman" w:cs="Times New Roman"/>
          <w:color w:val="000000"/>
          <w:sz w:val="28"/>
          <w:szCs w:val="28"/>
          <w:lang w:val="ru-RU" w:eastAsia="ru-RU"/>
        </w:rPr>
      </w:pPr>
      <w:r w:rsidRPr="00CA099F">
        <w:rPr>
          <w:rFonts w:eastAsia="Times New Roman" w:cs="Times New Roman"/>
          <w:color w:val="000000"/>
          <w:sz w:val="28"/>
          <w:szCs w:val="28"/>
          <w:lang w:val="ru-RU" w:eastAsia="ru-RU"/>
        </w:rPr>
        <w:lastRenderedPageBreak/>
        <w:t>Озерская О.С. Рубцы кожи и их дерматологическая коррекция / О.С. Озерская. // СПб. : Искусство России, 2007. – 224 с.</w:t>
      </w:r>
    </w:p>
    <w:p w:rsidR="0030517B" w:rsidRPr="00CA099F" w:rsidRDefault="0030517B" w:rsidP="0030517B">
      <w:pPr>
        <w:numPr>
          <w:ilvl w:val="0"/>
          <w:numId w:val="17"/>
        </w:numPr>
        <w:pBdr>
          <w:top w:val="nil"/>
          <w:left w:val="nil"/>
          <w:bottom w:val="nil"/>
          <w:right w:val="nil"/>
          <w:between w:val="nil"/>
        </w:pBdr>
        <w:tabs>
          <w:tab w:val="left" w:pos="709"/>
          <w:tab w:val="left" w:pos="934"/>
        </w:tabs>
        <w:spacing w:after="0" w:line="360" w:lineRule="auto"/>
        <w:ind w:right="20"/>
        <w:contextualSpacing/>
        <w:jc w:val="both"/>
        <w:rPr>
          <w:rFonts w:eastAsia="Times New Roman" w:cs="Times New Roman"/>
          <w:color w:val="000000"/>
          <w:sz w:val="28"/>
          <w:szCs w:val="28"/>
          <w:lang w:val="ru-RU" w:eastAsia="ru-RU"/>
        </w:rPr>
      </w:pPr>
      <w:r w:rsidRPr="00CA099F">
        <w:rPr>
          <w:rFonts w:eastAsia="Times New Roman" w:cs="Times New Roman"/>
          <w:color w:val="000000"/>
          <w:sz w:val="28"/>
          <w:szCs w:val="28"/>
          <w:lang w:val="ru-RU" w:eastAsia="ru-RU"/>
        </w:rPr>
        <w:t>Гуллер А.Е. Влияние возраста пациента и способа местного лечения раны на структуру рубцов при пограничных дермальных ожогах / А.Е. Гуллер, А.Б. Шехтер // Экспериментальная и клиническая дерматокосметология. - 2006. - № 3. - С. 6-14.</w:t>
      </w:r>
    </w:p>
    <w:p w:rsidR="0030517B" w:rsidRPr="00CA099F" w:rsidRDefault="0030517B" w:rsidP="0030517B">
      <w:pPr>
        <w:numPr>
          <w:ilvl w:val="0"/>
          <w:numId w:val="17"/>
        </w:numPr>
        <w:pBdr>
          <w:top w:val="nil"/>
          <w:left w:val="nil"/>
          <w:bottom w:val="nil"/>
          <w:right w:val="nil"/>
          <w:between w:val="nil"/>
        </w:pBdr>
        <w:tabs>
          <w:tab w:val="left" w:pos="709"/>
        </w:tabs>
        <w:spacing w:after="0" w:line="360" w:lineRule="auto"/>
        <w:contextualSpacing/>
        <w:jc w:val="both"/>
        <w:rPr>
          <w:rFonts w:eastAsia="Times New Roman" w:cs="Times New Roman"/>
          <w:color w:val="000000"/>
          <w:sz w:val="28"/>
          <w:szCs w:val="28"/>
          <w:lang w:val="ru-RU" w:eastAsia="ru-RU"/>
        </w:rPr>
      </w:pPr>
      <w:r w:rsidRPr="00CA099F">
        <w:rPr>
          <w:rFonts w:eastAsia="Gungsuh" w:cs="Times New Roman"/>
          <w:color w:val="000000"/>
          <w:sz w:val="28"/>
          <w:szCs w:val="28"/>
          <w:lang w:val="ru-RU" w:eastAsia="ru-RU"/>
        </w:rPr>
        <w:t>Фисталь Рубцовые деформации и контрактуры / Н.Н. Фисталь, Г.Е. Самойленко // Пластическая хирургия. – Донецк : «Вебер», 2008. − С.</w:t>
      </w:r>
      <w:r w:rsidRPr="00CA099F">
        <w:rPr>
          <w:rFonts w:eastAsia="Gungsuh" w:cs="Times New Roman"/>
          <w:color w:val="000000"/>
          <w:sz w:val="28"/>
          <w:szCs w:val="28"/>
          <w:lang w:val="en-GB" w:eastAsia="ru-RU"/>
        </w:rPr>
        <w:t> </w:t>
      </w:r>
      <w:r w:rsidRPr="00CA099F">
        <w:rPr>
          <w:rFonts w:eastAsia="Gungsuh" w:cs="Times New Roman"/>
          <w:color w:val="000000"/>
          <w:sz w:val="28"/>
          <w:szCs w:val="28"/>
          <w:lang w:val="ru-RU" w:eastAsia="ru-RU"/>
        </w:rPr>
        <w:t>136−162.</w:t>
      </w:r>
    </w:p>
    <w:p w:rsidR="0030517B" w:rsidRPr="00CA099F" w:rsidRDefault="0030517B" w:rsidP="0030517B">
      <w:pPr>
        <w:numPr>
          <w:ilvl w:val="0"/>
          <w:numId w:val="17"/>
        </w:numPr>
        <w:pBdr>
          <w:top w:val="nil"/>
          <w:left w:val="nil"/>
          <w:bottom w:val="nil"/>
          <w:right w:val="nil"/>
          <w:between w:val="nil"/>
        </w:pBdr>
        <w:tabs>
          <w:tab w:val="left" w:pos="709"/>
        </w:tabs>
        <w:spacing w:after="0" w:line="360" w:lineRule="auto"/>
        <w:contextualSpacing/>
        <w:jc w:val="both"/>
        <w:rPr>
          <w:rFonts w:eastAsia="Times New Roman" w:cs="Times New Roman"/>
          <w:color w:val="000000"/>
          <w:sz w:val="28"/>
          <w:szCs w:val="28"/>
          <w:lang w:val="en-US" w:eastAsia="ru-RU"/>
        </w:rPr>
      </w:pPr>
      <w:r w:rsidRPr="00CA099F">
        <w:rPr>
          <w:rFonts w:eastAsia="Gungsuh" w:cs="Times New Roman"/>
          <w:color w:val="000000"/>
          <w:sz w:val="28"/>
          <w:szCs w:val="28"/>
          <w:lang w:val="ru-RU" w:eastAsia="ru-RU"/>
        </w:rPr>
        <w:t xml:space="preserve">Мишалов В.Г. Проблемы диагностики и лечения патологических рубцов / В.Г. Мишалов, В.В. Храпач, И.А. Назаренко [и др.] //Хирургия Украины. –2008. − №. </w:t>
      </w:r>
      <w:r w:rsidRPr="00CA099F">
        <w:rPr>
          <w:rFonts w:eastAsia="Gungsuh" w:cs="Times New Roman"/>
          <w:color w:val="000000"/>
          <w:sz w:val="28"/>
          <w:szCs w:val="28"/>
          <w:lang w:val="en-US" w:eastAsia="ru-RU"/>
        </w:rPr>
        <w:t xml:space="preserve">4 (28). – </w:t>
      </w:r>
      <w:r w:rsidRPr="00CA099F">
        <w:rPr>
          <w:rFonts w:eastAsia="Gungsuh" w:cs="Times New Roman"/>
          <w:color w:val="000000"/>
          <w:sz w:val="28"/>
          <w:szCs w:val="28"/>
          <w:lang w:val="ru-RU" w:eastAsia="ru-RU"/>
        </w:rPr>
        <w:t>С</w:t>
      </w:r>
      <w:r w:rsidRPr="00CA099F">
        <w:rPr>
          <w:rFonts w:eastAsia="Gungsuh" w:cs="Times New Roman"/>
          <w:color w:val="000000"/>
          <w:sz w:val="28"/>
          <w:szCs w:val="28"/>
          <w:lang w:val="en-US" w:eastAsia="ru-RU"/>
        </w:rPr>
        <w:t>.109−114.</w:t>
      </w:r>
    </w:p>
    <w:p w:rsidR="0030517B" w:rsidRPr="00CA099F" w:rsidRDefault="0030517B" w:rsidP="0030517B">
      <w:pPr>
        <w:numPr>
          <w:ilvl w:val="0"/>
          <w:numId w:val="17"/>
        </w:numPr>
        <w:pBdr>
          <w:top w:val="nil"/>
          <w:left w:val="nil"/>
          <w:bottom w:val="nil"/>
          <w:right w:val="nil"/>
          <w:between w:val="nil"/>
        </w:pBdr>
        <w:tabs>
          <w:tab w:val="left" w:pos="709"/>
        </w:tabs>
        <w:spacing w:after="0" w:line="360" w:lineRule="auto"/>
        <w:contextualSpacing/>
        <w:jc w:val="both"/>
        <w:rPr>
          <w:rFonts w:eastAsia="Times New Roman" w:cs="Times New Roman"/>
          <w:color w:val="000000"/>
          <w:sz w:val="28"/>
          <w:szCs w:val="28"/>
          <w:lang w:val="en-US" w:eastAsia="ru-RU"/>
        </w:rPr>
      </w:pPr>
      <w:r w:rsidRPr="00CA099F">
        <w:rPr>
          <w:rFonts w:eastAsia="Times New Roman" w:cs="Times New Roman"/>
          <w:color w:val="000000"/>
          <w:sz w:val="28"/>
          <w:szCs w:val="28"/>
          <w:lang w:val="en-GB" w:eastAsia="ru-RU"/>
        </w:rPr>
        <w:t>Arima J. Hypertension: a systemic key to understanding local keloid severity / J. Arima, C. Huang, B. Rosner [et al.] // Wound Repair Regen – 2015. – Vol. 23. – P. 213–221.</w:t>
      </w:r>
    </w:p>
    <w:p w:rsidR="0030517B" w:rsidRPr="00CA099F" w:rsidRDefault="0030517B" w:rsidP="0030517B">
      <w:pPr>
        <w:numPr>
          <w:ilvl w:val="0"/>
          <w:numId w:val="17"/>
        </w:numPr>
        <w:pBdr>
          <w:top w:val="nil"/>
          <w:left w:val="nil"/>
          <w:bottom w:val="nil"/>
          <w:right w:val="nil"/>
          <w:between w:val="nil"/>
        </w:pBdr>
        <w:tabs>
          <w:tab w:val="left" w:pos="709"/>
        </w:tabs>
        <w:spacing w:after="0" w:line="360" w:lineRule="auto"/>
        <w:contextualSpacing/>
        <w:jc w:val="both"/>
        <w:rPr>
          <w:rFonts w:eastAsia="Times New Roman" w:cs="Times New Roman"/>
          <w:color w:val="000000"/>
          <w:sz w:val="28"/>
          <w:szCs w:val="28"/>
          <w:lang w:val="ru-RU" w:eastAsia="ru-RU"/>
        </w:rPr>
      </w:pPr>
      <w:r w:rsidRPr="00CA099F">
        <w:rPr>
          <w:rFonts w:eastAsia="Times New Roman" w:cs="Times New Roman"/>
          <w:color w:val="000000"/>
          <w:sz w:val="28"/>
          <w:szCs w:val="28"/>
          <w:lang w:val="ru-RU" w:eastAsia="ru-RU"/>
        </w:rPr>
        <w:t>Михельсон Н.М. Восстановительные операции челюстно-лицевой области / Н.М. Михельсон. – М., 1982. – с. 59-76.</w:t>
      </w:r>
    </w:p>
    <w:p w:rsidR="0030517B" w:rsidRPr="00CA099F" w:rsidRDefault="0030517B" w:rsidP="0030517B">
      <w:pPr>
        <w:numPr>
          <w:ilvl w:val="0"/>
          <w:numId w:val="17"/>
        </w:numPr>
        <w:pBdr>
          <w:top w:val="nil"/>
          <w:left w:val="nil"/>
          <w:bottom w:val="nil"/>
          <w:right w:val="nil"/>
          <w:between w:val="nil"/>
        </w:pBdr>
        <w:shd w:val="clear" w:color="auto" w:fill="FFFFFF"/>
        <w:tabs>
          <w:tab w:val="left" w:pos="709"/>
        </w:tabs>
        <w:spacing w:after="0" w:line="360" w:lineRule="auto"/>
        <w:contextualSpacing/>
        <w:jc w:val="both"/>
        <w:rPr>
          <w:rFonts w:eastAsia="Times New Roman" w:cs="Times New Roman"/>
          <w:color w:val="000000"/>
          <w:sz w:val="28"/>
          <w:szCs w:val="28"/>
          <w:lang w:val="en-GB" w:eastAsia="ru-RU"/>
        </w:rPr>
      </w:pPr>
      <w:r w:rsidRPr="00CA099F">
        <w:rPr>
          <w:rFonts w:eastAsia="Gungsuh" w:cs="Times New Roman"/>
          <w:color w:val="000000"/>
          <w:sz w:val="28"/>
          <w:szCs w:val="28"/>
          <w:lang w:val="en-GB" w:eastAsia="ru-RU"/>
        </w:rPr>
        <w:t>Alster T.S. Gypertrophic scars and Keloids: etiology and management / T.S. Alster, E.L. Tanzi // Am. J. Clin. Dermat. – 2003. – Vol. 4. – P. 235−243.</w:t>
      </w:r>
    </w:p>
    <w:p w:rsidR="0030517B" w:rsidRPr="00CA099F" w:rsidRDefault="0030517B" w:rsidP="0030517B">
      <w:pPr>
        <w:numPr>
          <w:ilvl w:val="0"/>
          <w:numId w:val="17"/>
        </w:numPr>
        <w:pBdr>
          <w:top w:val="nil"/>
          <w:left w:val="nil"/>
          <w:bottom w:val="nil"/>
          <w:right w:val="nil"/>
          <w:between w:val="nil"/>
        </w:pBdr>
        <w:tabs>
          <w:tab w:val="left" w:pos="709"/>
        </w:tabs>
        <w:spacing w:after="0" w:line="360" w:lineRule="auto"/>
        <w:contextualSpacing/>
        <w:jc w:val="both"/>
        <w:rPr>
          <w:rFonts w:eastAsia="Times New Roman" w:cs="Times New Roman"/>
          <w:color w:val="000000"/>
          <w:sz w:val="28"/>
          <w:szCs w:val="28"/>
          <w:lang w:val="ru-RU" w:eastAsia="ru-RU"/>
        </w:rPr>
      </w:pPr>
      <w:r w:rsidRPr="00CA099F">
        <w:rPr>
          <w:rFonts w:eastAsia="Times New Roman" w:cs="Times New Roman"/>
          <w:color w:val="000000"/>
          <w:sz w:val="28"/>
          <w:szCs w:val="28"/>
          <w:lang w:val="ru-RU" w:eastAsia="ru-RU"/>
        </w:rPr>
        <w:t>Резникова А.Е. Клинико-морфологические особенности лечения, профилактики рубцов лица и шеи у детей : автореф. дис. на соиск. уч. степ. канд. мед. наук : спец. 14.00.27 “Хірургія” / А. Е. Резникова. – М., 1999. – 26 с.</w:t>
      </w:r>
    </w:p>
    <w:p w:rsidR="0030517B" w:rsidRPr="00CA099F" w:rsidRDefault="0030517B" w:rsidP="0030517B">
      <w:pPr>
        <w:numPr>
          <w:ilvl w:val="0"/>
          <w:numId w:val="17"/>
        </w:numPr>
        <w:pBdr>
          <w:top w:val="nil"/>
          <w:left w:val="nil"/>
          <w:bottom w:val="nil"/>
          <w:right w:val="nil"/>
          <w:between w:val="nil"/>
        </w:pBdr>
        <w:tabs>
          <w:tab w:val="left" w:pos="709"/>
        </w:tabs>
        <w:spacing w:after="0" w:line="360" w:lineRule="auto"/>
        <w:contextualSpacing/>
        <w:jc w:val="both"/>
        <w:rPr>
          <w:rFonts w:eastAsia="Times New Roman" w:cs="Times New Roman"/>
          <w:color w:val="000000"/>
          <w:sz w:val="28"/>
          <w:szCs w:val="28"/>
          <w:lang w:val="ru-RU" w:eastAsia="ru-RU"/>
        </w:rPr>
      </w:pPr>
      <w:r w:rsidRPr="00CA099F">
        <w:rPr>
          <w:rFonts w:eastAsia="Times New Roman" w:cs="Times New Roman"/>
          <w:color w:val="000000"/>
          <w:sz w:val="28"/>
          <w:szCs w:val="28"/>
          <w:lang w:val="ru-RU" w:eastAsia="ru-RU"/>
        </w:rPr>
        <w:t>Аветіков Д.С. Клініко-морфологічне обґрунтування комплексного лікування патологічних рубців, що локалізовані в ділянках голови та шиї : монографія / Д.С. Аветіков, С.О. Ставицький. – Полтава, 2013. – 94 с.</w:t>
      </w:r>
    </w:p>
    <w:p w:rsidR="0030517B" w:rsidRPr="00CA099F" w:rsidRDefault="0030517B" w:rsidP="0030517B">
      <w:pPr>
        <w:numPr>
          <w:ilvl w:val="0"/>
          <w:numId w:val="17"/>
        </w:numPr>
        <w:pBdr>
          <w:top w:val="nil"/>
          <w:left w:val="nil"/>
          <w:bottom w:val="nil"/>
          <w:right w:val="nil"/>
          <w:between w:val="nil"/>
        </w:pBdr>
        <w:tabs>
          <w:tab w:val="left" w:pos="709"/>
        </w:tabs>
        <w:spacing w:after="0" w:line="360" w:lineRule="auto"/>
        <w:contextualSpacing/>
        <w:jc w:val="both"/>
        <w:rPr>
          <w:rFonts w:eastAsia="Times New Roman" w:cs="Times New Roman"/>
          <w:color w:val="000000"/>
          <w:sz w:val="28"/>
          <w:szCs w:val="28"/>
          <w:lang w:val="en-GB" w:eastAsia="ru-RU"/>
        </w:rPr>
      </w:pPr>
      <w:r w:rsidRPr="00CA099F">
        <w:rPr>
          <w:rFonts w:eastAsia="Times New Roman" w:cs="Times New Roman"/>
          <w:color w:val="000000"/>
          <w:sz w:val="28"/>
          <w:szCs w:val="28"/>
          <w:lang w:val="en-GB" w:eastAsia="ru-RU"/>
        </w:rPr>
        <w:t>Differences in collagen architecture between keloid, hypertrophic scar, normotrophic scar, and normal skin: an objective histopathological analysis / P.D. Verhaegen, P.P. van Zuijlen, N.M. Pennings [et al.] // Wound Repair Regen. – 2009. – Vol. 17. – P. 649–656.</w:t>
      </w:r>
    </w:p>
    <w:p w:rsidR="0030517B" w:rsidRPr="00CA099F" w:rsidRDefault="00417675" w:rsidP="0030517B">
      <w:pPr>
        <w:numPr>
          <w:ilvl w:val="0"/>
          <w:numId w:val="17"/>
        </w:numPr>
        <w:pBdr>
          <w:top w:val="nil"/>
          <w:left w:val="nil"/>
          <w:bottom w:val="nil"/>
          <w:right w:val="nil"/>
          <w:between w:val="nil"/>
        </w:pBdr>
        <w:tabs>
          <w:tab w:val="left" w:pos="709"/>
        </w:tabs>
        <w:spacing w:after="0" w:line="360" w:lineRule="auto"/>
        <w:contextualSpacing/>
        <w:jc w:val="both"/>
        <w:rPr>
          <w:rFonts w:eastAsia="Times New Roman" w:cs="Times New Roman"/>
          <w:color w:val="000000"/>
          <w:sz w:val="28"/>
          <w:szCs w:val="28"/>
          <w:lang w:val="en-GB" w:eastAsia="ru-RU"/>
        </w:rPr>
      </w:pPr>
      <w:hyperlink r:id="rId167">
        <w:r w:rsidR="0030517B" w:rsidRPr="00CA099F">
          <w:rPr>
            <w:rFonts w:eastAsia="Times New Roman" w:cs="Times New Roman"/>
            <w:color w:val="000000"/>
            <w:sz w:val="28"/>
            <w:szCs w:val="28"/>
            <w:lang w:val="en-GB" w:eastAsia="ru-RU"/>
          </w:rPr>
          <w:t>Ogawa R</w:t>
        </w:r>
      </w:hyperlink>
      <w:r w:rsidR="0030517B" w:rsidRPr="00CA099F">
        <w:rPr>
          <w:rFonts w:eastAsia="Times New Roman" w:cs="Times New Roman"/>
          <w:color w:val="000000"/>
          <w:sz w:val="28"/>
          <w:szCs w:val="28"/>
          <w:lang w:val="en-GB" w:eastAsia="ru-RU"/>
        </w:rPr>
        <w:t xml:space="preserve">. Endothelial dysfunction may play a key role in keloid and hypertrophic scar pathogenesis - Keloids and hypertrophic scars may be vascular disorders / R. </w:t>
      </w:r>
      <w:hyperlink r:id="rId168">
        <w:r w:rsidR="0030517B" w:rsidRPr="00CA099F">
          <w:rPr>
            <w:rFonts w:eastAsia="Times New Roman" w:cs="Times New Roman"/>
            <w:color w:val="000000"/>
            <w:sz w:val="28"/>
            <w:szCs w:val="28"/>
            <w:lang w:val="en-GB" w:eastAsia="ru-RU"/>
          </w:rPr>
          <w:t>Ogawa</w:t>
        </w:r>
      </w:hyperlink>
      <w:r w:rsidR="0030517B" w:rsidRPr="00CA099F">
        <w:rPr>
          <w:rFonts w:eastAsia="Times New Roman" w:cs="Times New Roman"/>
          <w:color w:val="000000"/>
          <w:sz w:val="28"/>
          <w:szCs w:val="28"/>
          <w:lang w:val="en-GB" w:eastAsia="ru-RU"/>
        </w:rPr>
        <w:t xml:space="preserve">, S. </w:t>
      </w:r>
      <w:hyperlink r:id="rId169">
        <w:r w:rsidR="0030517B" w:rsidRPr="00CA099F">
          <w:rPr>
            <w:rFonts w:eastAsia="Times New Roman" w:cs="Times New Roman"/>
            <w:color w:val="000000"/>
            <w:sz w:val="28"/>
            <w:szCs w:val="28"/>
            <w:lang w:val="en-GB" w:eastAsia="ru-RU"/>
          </w:rPr>
          <w:t>Akaishi</w:t>
        </w:r>
      </w:hyperlink>
      <w:r w:rsidR="0030517B" w:rsidRPr="00CA099F">
        <w:rPr>
          <w:rFonts w:eastAsia="Times New Roman" w:cs="Times New Roman"/>
          <w:color w:val="000000"/>
          <w:sz w:val="28"/>
          <w:szCs w:val="28"/>
          <w:lang w:val="en-GB" w:eastAsia="ru-RU"/>
        </w:rPr>
        <w:t xml:space="preserve"> // </w:t>
      </w:r>
      <w:hyperlink r:id="rId170">
        <w:r w:rsidR="0030517B" w:rsidRPr="00CA099F">
          <w:rPr>
            <w:rFonts w:eastAsia="Times New Roman" w:cs="Times New Roman"/>
            <w:color w:val="000000"/>
            <w:sz w:val="28"/>
            <w:szCs w:val="28"/>
            <w:lang w:val="en-GB" w:eastAsia="ru-RU"/>
          </w:rPr>
          <w:t>Med Hypotheses.</w:t>
        </w:r>
      </w:hyperlink>
      <w:r w:rsidR="0030517B" w:rsidRPr="00CA099F">
        <w:rPr>
          <w:rFonts w:eastAsia="Times New Roman" w:cs="Times New Roman"/>
          <w:color w:val="000000"/>
          <w:sz w:val="28"/>
          <w:szCs w:val="28"/>
          <w:lang w:val="en-GB" w:eastAsia="ru-RU"/>
        </w:rPr>
        <w:t xml:space="preserve"> – 2016. – Vol. 96. – P. 51-60.</w:t>
      </w:r>
    </w:p>
    <w:p w:rsidR="0030517B" w:rsidRPr="00CA099F" w:rsidRDefault="0030517B" w:rsidP="0030517B">
      <w:pPr>
        <w:numPr>
          <w:ilvl w:val="0"/>
          <w:numId w:val="17"/>
        </w:numPr>
        <w:pBdr>
          <w:top w:val="nil"/>
          <w:left w:val="nil"/>
          <w:bottom w:val="nil"/>
          <w:right w:val="nil"/>
          <w:between w:val="nil"/>
        </w:pBdr>
        <w:tabs>
          <w:tab w:val="left" w:pos="709"/>
        </w:tabs>
        <w:spacing w:after="0" w:line="360" w:lineRule="auto"/>
        <w:contextualSpacing/>
        <w:jc w:val="both"/>
        <w:rPr>
          <w:rFonts w:eastAsia="Times New Roman" w:cs="Times New Roman"/>
          <w:color w:val="000000"/>
          <w:sz w:val="28"/>
          <w:szCs w:val="28"/>
          <w:lang w:val="ru-RU" w:eastAsia="ru-RU"/>
        </w:rPr>
      </w:pPr>
      <w:r w:rsidRPr="00CA099F">
        <w:rPr>
          <w:rFonts w:eastAsia="Times New Roman" w:cs="Times New Roman"/>
          <w:color w:val="000000"/>
          <w:sz w:val="28"/>
          <w:szCs w:val="28"/>
          <w:lang w:val="ru-RU" w:eastAsia="ru-RU"/>
        </w:rPr>
        <w:t>Галлямова Ю.А. Рубцовые изменения кожи / Ю.А. Галлямова, З.З. Кардашова // Эксп. и клин, дерматокосм. - 2008. - №6. – С. 56-63.</w:t>
      </w:r>
    </w:p>
    <w:p w:rsidR="0030517B" w:rsidRPr="00CA099F" w:rsidRDefault="0030517B" w:rsidP="0030517B">
      <w:pPr>
        <w:numPr>
          <w:ilvl w:val="0"/>
          <w:numId w:val="17"/>
        </w:numPr>
        <w:pBdr>
          <w:top w:val="nil"/>
          <w:left w:val="nil"/>
          <w:bottom w:val="nil"/>
          <w:right w:val="nil"/>
          <w:between w:val="nil"/>
        </w:pBdr>
        <w:tabs>
          <w:tab w:val="left" w:pos="709"/>
        </w:tabs>
        <w:spacing w:after="0" w:line="360" w:lineRule="auto"/>
        <w:contextualSpacing/>
        <w:jc w:val="both"/>
        <w:rPr>
          <w:rFonts w:eastAsia="Times New Roman" w:cs="Times New Roman"/>
          <w:color w:val="000000"/>
          <w:sz w:val="28"/>
          <w:szCs w:val="28"/>
          <w:lang w:val="ru-RU" w:eastAsia="ru-RU"/>
        </w:rPr>
      </w:pPr>
      <w:r w:rsidRPr="00CA099F">
        <w:rPr>
          <w:rFonts w:eastAsia="Times New Roman" w:cs="Times New Roman"/>
          <w:color w:val="000000"/>
          <w:sz w:val="28"/>
          <w:szCs w:val="28"/>
          <w:lang w:val="ru-RU" w:eastAsia="ru-RU"/>
        </w:rPr>
        <w:t>Гуллер А.Е. Клинический тип и гистологическая структура кожных рубцов как прогностические факторы исхода лечения / А.Е. Гуллер, А.Б. Шехтер // Анналы пластической, реконструктивной и эстетической хирургии - 2007. - №4. - С. 19-31.</w:t>
      </w:r>
    </w:p>
    <w:p w:rsidR="0030517B" w:rsidRPr="00CA099F" w:rsidRDefault="0030517B" w:rsidP="0030517B">
      <w:pPr>
        <w:numPr>
          <w:ilvl w:val="0"/>
          <w:numId w:val="17"/>
        </w:numPr>
        <w:pBdr>
          <w:top w:val="nil"/>
          <w:left w:val="nil"/>
          <w:bottom w:val="nil"/>
          <w:right w:val="nil"/>
          <w:between w:val="nil"/>
        </w:pBdr>
        <w:tabs>
          <w:tab w:val="left" w:pos="709"/>
        </w:tabs>
        <w:spacing w:after="0" w:line="360" w:lineRule="auto"/>
        <w:contextualSpacing/>
        <w:jc w:val="both"/>
        <w:rPr>
          <w:rFonts w:eastAsia="Times New Roman" w:cs="Times New Roman"/>
          <w:color w:val="000000"/>
          <w:sz w:val="28"/>
          <w:szCs w:val="28"/>
          <w:lang w:val="en-GB" w:eastAsia="ru-RU"/>
        </w:rPr>
      </w:pPr>
      <w:r w:rsidRPr="00CA099F">
        <w:rPr>
          <w:rFonts w:eastAsia="Times New Roman" w:cs="Times New Roman"/>
          <w:color w:val="000000"/>
          <w:sz w:val="28"/>
          <w:szCs w:val="28"/>
          <w:lang w:val="en-GB" w:eastAsia="ru-RU"/>
        </w:rPr>
        <w:t>Ogawa R. Histologic analysis of keloids and hypertrophic scars / R. Ogawa, S. Akaishi, M. Izumi // Ann Plast Surg. – 2009. – Vol. 62. – P. 104–105.</w:t>
      </w:r>
    </w:p>
    <w:p w:rsidR="0030517B" w:rsidRPr="00CA099F" w:rsidRDefault="0030517B" w:rsidP="0030517B">
      <w:pPr>
        <w:numPr>
          <w:ilvl w:val="0"/>
          <w:numId w:val="17"/>
        </w:numPr>
        <w:pBdr>
          <w:top w:val="nil"/>
          <w:left w:val="nil"/>
          <w:bottom w:val="nil"/>
          <w:right w:val="nil"/>
          <w:between w:val="nil"/>
        </w:pBdr>
        <w:tabs>
          <w:tab w:val="left" w:pos="709"/>
        </w:tabs>
        <w:spacing w:after="0" w:line="360" w:lineRule="auto"/>
        <w:contextualSpacing/>
        <w:jc w:val="both"/>
        <w:rPr>
          <w:rFonts w:eastAsia="Times New Roman" w:cs="Times New Roman"/>
          <w:color w:val="000000"/>
          <w:sz w:val="28"/>
          <w:szCs w:val="28"/>
          <w:lang w:val="ru-RU" w:eastAsia="ru-RU"/>
        </w:rPr>
      </w:pPr>
      <w:r w:rsidRPr="00CA099F">
        <w:rPr>
          <w:rFonts w:eastAsia="Times New Roman" w:cs="Times New Roman"/>
          <w:color w:val="000000"/>
          <w:sz w:val="28"/>
          <w:szCs w:val="28"/>
          <w:lang w:val="ru-RU" w:eastAsia="ru-RU"/>
        </w:rPr>
        <w:t>Сарыгин П. В. Хирургическое лечение последствий ожогов шеи и лица : автореф. дис. на соиск. учен. степени д. мед. н. : спец. 14.00.27 “Хирургия” / П. В. Сарыгин. – М., 2005. – 38 с.</w:t>
      </w:r>
    </w:p>
    <w:p w:rsidR="0030517B" w:rsidRPr="00CA099F" w:rsidRDefault="00417675" w:rsidP="0030517B">
      <w:pPr>
        <w:numPr>
          <w:ilvl w:val="0"/>
          <w:numId w:val="17"/>
        </w:numPr>
        <w:pBdr>
          <w:top w:val="nil"/>
          <w:left w:val="nil"/>
          <w:bottom w:val="nil"/>
          <w:right w:val="nil"/>
          <w:between w:val="nil"/>
        </w:pBdr>
        <w:shd w:val="clear" w:color="auto" w:fill="FFFFFF"/>
        <w:spacing w:after="0" w:line="360" w:lineRule="auto"/>
        <w:contextualSpacing/>
        <w:jc w:val="both"/>
        <w:rPr>
          <w:rFonts w:eastAsia="Times New Roman" w:cs="Times New Roman"/>
          <w:color w:val="000000"/>
          <w:sz w:val="28"/>
          <w:szCs w:val="28"/>
          <w:lang w:val="en-GB" w:eastAsia="ru-RU"/>
        </w:rPr>
      </w:pPr>
      <w:hyperlink r:id="rId171">
        <w:r w:rsidR="0030517B" w:rsidRPr="00CA099F">
          <w:rPr>
            <w:rFonts w:eastAsia="Times New Roman" w:cs="Times New Roman"/>
            <w:color w:val="000000"/>
            <w:sz w:val="28"/>
            <w:szCs w:val="28"/>
            <w:lang w:val="en-GB" w:eastAsia="ru-RU"/>
          </w:rPr>
          <w:t>Ogawa</w:t>
        </w:r>
      </w:hyperlink>
      <w:r w:rsidR="0030517B" w:rsidRPr="00CA099F">
        <w:rPr>
          <w:rFonts w:eastAsia="Times New Roman" w:cs="Times New Roman"/>
          <w:color w:val="000000"/>
          <w:sz w:val="28"/>
          <w:szCs w:val="28"/>
          <w:lang w:val="en-GB" w:eastAsia="ru-RU"/>
        </w:rPr>
        <w:t xml:space="preserve"> R. Keloid and Hypertrophic Scars Are the Result of Chronic Inflammation in the Reticular Dermis / </w:t>
      </w:r>
      <w:hyperlink r:id="rId172">
        <w:r w:rsidR="0030517B" w:rsidRPr="00CA099F">
          <w:rPr>
            <w:rFonts w:eastAsia="Times New Roman" w:cs="Times New Roman"/>
            <w:color w:val="000000"/>
            <w:sz w:val="28"/>
            <w:szCs w:val="28"/>
            <w:lang w:val="en-GB" w:eastAsia="ru-RU"/>
          </w:rPr>
          <w:t>R. Ogawa</w:t>
        </w:r>
      </w:hyperlink>
      <w:r w:rsidR="0030517B" w:rsidRPr="00CA099F">
        <w:rPr>
          <w:rFonts w:eastAsia="Times New Roman" w:cs="Times New Roman"/>
          <w:color w:val="000000"/>
          <w:sz w:val="28"/>
          <w:szCs w:val="28"/>
          <w:lang w:val="en-GB" w:eastAsia="ru-RU"/>
        </w:rPr>
        <w:t xml:space="preserve"> // </w:t>
      </w:r>
      <w:hyperlink r:id="rId173">
        <w:r w:rsidR="0030517B" w:rsidRPr="00CA099F">
          <w:rPr>
            <w:rFonts w:eastAsia="Times New Roman" w:cs="Times New Roman"/>
            <w:color w:val="000000"/>
            <w:sz w:val="28"/>
            <w:szCs w:val="28"/>
            <w:lang w:val="en-GB" w:eastAsia="ru-RU"/>
          </w:rPr>
          <w:t>Int J Mol Sci</w:t>
        </w:r>
      </w:hyperlink>
      <w:r w:rsidR="0030517B" w:rsidRPr="00CA099F">
        <w:rPr>
          <w:rFonts w:eastAsia="Times New Roman" w:cs="Times New Roman"/>
          <w:color w:val="000000"/>
          <w:sz w:val="28"/>
          <w:szCs w:val="28"/>
          <w:lang w:val="en-GB" w:eastAsia="ru-RU"/>
        </w:rPr>
        <w:t>. – 2017. – Vol. 18(3). – P. 606.</w:t>
      </w:r>
    </w:p>
    <w:p w:rsidR="0030517B" w:rsidRPr="00CA099F" w:rsidRDefault="0030517B" w:rsidP="0030517B">
      <w:pPr>
        <w:numPr>
          <w:ilvl w:val="0"/>
          <w:numId w:val="17"/>
        </w:numPr>
        <w:pBdr>
          <w:top w:val="nil"/>
          <w:left w:val="nil"/>
          <w:bottom w:val="nil"/>
          <w:right w:val="nil"/>
          <w:between w:val="nil"/>
        </w:pBdr>
        <w:tabs>
          <w:tab w:val="left" w:pos="709"/>
        </w:tabs>
        <w:spacing w:after="0" w:line="360" w:lineRule="auto"/>
        <w:contextualSpacing/>
        <w:jc w:val="both"/>
        <w:rPr>
          <w:rFonts w:eastAsia="Times New Roman" w:cs="Times New Roman"/>
          <w:color w:val="000000"/>
          <w:sz w:val="28"/>
          <w:szCs w:val="28"/>
          <w:lang w:val="en-GB" w:eastAsia="ru-RU"/>
        </w:rPr>
      </w:pPr>
      <w:r w:rsidRPr="00CA099F">
        <w:rPr>
          <w:rFonts w:eastAsia="Times New Roman" w:cs="Times New Roman"/>
          <w:color w:val="000000"/>
          <w:sz w:val="28"/>
          <w:szCs w:val="28"/>
          <w:lang w:val="en-GB" w:eastAsia="ru-RU"/>
        </w:rPr>
        <w:t>Park T.H. Keloid recurrence in pregnancy / T.H. Park, C.H. Chang // Aesthetic Plast Surg. – 2012. – Vol. 36. – P. 1271–1272.</w:t>
      </w:r>
    </w:p>
    <w:p w:rsidR="0030517B" w:rsidRPr="00CA099F" w:rsidRDefault="0030517B" w:rsidP="0030517B">
      <w:pPr>
        <w:numPr>
          <w:ilvl w:val="0"/>
          <w:numId w:val="17"/>
        </w:numPr>
        <w:pBdr>
          <w:top w:val="nil"/>
          <w:left w:val="nil"/>
          <w:bottom w:val="nil"/>
          <w:right w:val="nil"/>
          <w:between w:val="nil"/>
        </w:pBdr>
        <w:tabs>
          <w:tab w:val="left" w:pos="709"/>
        </w:tabs>
        <w:spacing w:after="0" w:line="360" w:lineRule="auto"/>
        <w:contextualSpacing/>
        <w:jc w:val="both"/>
        <w:rPr>
          <w:rFonts w:eastAsia="Times New Roman" w:cs="Times New Roman"/>
          <w:color w:val="000000"/>
          <w:sz w:val="28"/>
          <w:szCs w:val="28"/>
          <w:lang w:val="en-GB" w:eastAsia="ru-RU"/>
        </w:rPr>
      </w:pPr>
      <w:r w:rsidRPr="00CA099F">
        <w:rPr>
          <w:rFonts w:eastAsia="Times New Roman" w:cs="Times New Roman"/>
          <w:color w:val="000000"/>
          <w:sz w:val="28"/>
          <w:szCs w:val="28"/>
          <w:lang w:val="en-GB" w:eastAsia="ru-RU"/>
        </w:rPr>
        <w:t>Huang C. The link between hypertension and pathological scarring: does hypertension cause or promote keloid and hypertrophic scar pathogenesis? / C. Huang, R. Ogawa // Wound Repair Regen. – 2014. – Vol. 22. – P. 462–466.</w:t>
      </w:r>
    </w:p>
    <w:p w:rsidR="0030517B" w:rsidRPr="00CA099F" w:rsidRDefault="0030517B" w:rsidP="0030517B">
      <w:pPr>
        <w:numPr>
          <w:ilvl w:val="0"/>
          <w:numId w:val="17"/>
        </w:numPr>
        <w:pBdr>
          <w:top w:val="nil"/>
          <w:left w:val="nil"/>
          <w:bottom w:val="nil"/>
          <w:right w:val="nil"/>
          <w:between w:val="nil"/>
        </w:pBdr>
        <w:tabs>
          <w:tab w:val="left" w:pos="709"/>
          <w:tab w:val="left" w:pos="1568"/>
        </w:tabs>
        <w:spacing w:after="0" w:line="360" w:lineRule="auto"/>
        <w:ind w:right="20"/>
        <w:contextualSpacing/>
        <w:jc w:val="both"/>
        <w:rPr>
          <w:rFonts w:eastAsia="Times New Roman" w:cs="Times New Roman"/>
          <w:color w:val="000000"/>
          <w:sz w:val="28"/>
          <w:szCs w:val="28"/>
          <w:lang w:val="ru-RU" w:eastAsia="ru-RU"/>
        </w:rPr>
      </w:pPr>
      <w:r w:rsidRPr="00CA099F">
        <w:rPr>
          <w:rFonts w:eastAsia="Times New Roman" w:cs="Times New Roman"/>
          <w:color w:val="000000"/>
          <w:sz w:val="28"/>
          <w:szCs w:val="28"/>
          <w:lang w:val="ru-RU" w:eastAsia="ru-RU"/>
        </w:rPr>
        <w:t xml:space="preserve">Аганина </w:t>
      </w:r>
      <w:r w:rsidRPr="00CA099F">
        <w:rPr>
          <w:rFonts w:eastAsia="Times New Roman" w:cs="Times New Roman"/>
          <w:color w:val="000000"/>
          <w:sz w:val="28"/>
          <w:szCs w:val="28"/>
          <w:lang w:val="en-GB" w:eastAsia="ru-RU"/>
        </w:rPr>
        <w:t>E</w:t>
      </w:r>
      <w:r w:rsidRPr="00CA099F">
        <w:rPr>
          <w:rFonts w:eastAsia="Times New Roman" w:cs="Times New Roman"/>
          <w:color w:val="000000"/>
          <w:sz w:val="28"/>
          <w:szCs w:val="28"/>
          <w:lang w:val="ru-RU" w:eastAsia="ru-RU"/>
        </w:rPr>
        <w:t>.</w:t>
      </w:r>
      <w:r w:rsidRPr="00CA099F">
        <w:rPr>
          <w:rFonts w:eastAsia="Times New Roman" w:cs="Times New Roman"/>
          <w:color w:val="000000"/>
          <w:sz w:val="28"/>
          <w:szCs w:val="28"/>
          <w:lang w:val="en-GB" w:eastAsia="ru-RU"/>
        </w:rPr>
        <w:t>H</w:t>
      </w:r>
      <w:r w:rsidRPr="00CA099F">
        <w:rPr>
          <w:rFonts w:eastAsia="Times New Roman" w:cs="Times New Roman"/>
          <w:color w:val="000000"/>
          <w:sz w:val="28"/>
          <w:szCs w:val="28"/>
          <w:lang w:val="ru-RU" w:eastAsia="ru-RU"/>
        </w:rPr>
        <w:t xml:space="preserve">. Превентивная реабилитация обожженных / </w:t>
      </w:r>
      <w:r w:rsidRPr="00CA099F">
        <w:rPr>
          <w:rFonts w:eastAsia="Times New Roman" w:cs="Times New Roman"/>
          <w:color w:val="000000"/>
          <w:sz w:val="28"/>
          <w:szCs w:val="28"/>
          <w:lang w:val="en-GB" w:eastAsia="ru-RU"/>
        </w:rPr>
        <w:t>E</w:t>
      </w:r>
      <w:r w:rsidRPr="00CA099F">
        <w:rPr>
          <w:rFonts w:eastAsia="Times New Roman" w:cs="Times New Roman"/>
          <w:color w:val="000000"/>
          <w:sz w:val="28"/>
          <w:szCs w:val="28"/>
          <w:lang w:val="ru-RU" w:eastAsia="ru-RU"/>
        </w:rPr>
        <w:t>.</w:t>
      </w:r>
      <w:r w:rsidRPr="00CA099F">
        <w:rPr>
          <w:rFonts w:eastAsia="Times New Roman" w:cs="Times New Roman"/>
          <w:color w:val="000000"/>
          <w:sz w:val="28"/>
          <w:szCs w:val="28"/>
          <w:lang w:val="en-GB" w:eastAsia="ru-RU"/>
        </w:rPr>
        <w:t>H</w:t>
      </w:r>
      <w:r w:rsidRPr="00CA099F">
        <w:rPr>
          <w:rFonts w:eastAsia="Times New Roman" w:cs="Times New Roman"/>
          <w:color w:val="000000"/>
          <w:sz w:val="28"/>
          <w:szCs w:val="28"/>
          <w:lang w:val="ru-RU" w:eastAsia="ru-RU"/>
        </w:rPr>
        <w:t>. Аганина, О.Л. Ведерникова // Практическая медицина. - 2008. - №29. - С. 41-43.</w:t>
      </w:r>
    </w:p>
    <w:p w:rsidR="0030517B" w:rsidRPr="00CA099F" w:rsidRDefault="0030517B" w:rsidP="0030517B">
      <w:pPr>
        <w:numPr>
          <w:ilvl w:val="0"/>
          <w:numId w:val="17"/>
        </w:numPr>
        <w:pBdr>
          <w:top w:val="nil"/>
          <w:left w:val="nil"/>
          <w:bottom w:val="nil"/>
          <w:right w:val="nil"/>
          <w:between w:val="nil"/>
        </w:pBdr>
        <w:tabs>
          <w:tab w:val="left" w:pos="709"/>
        </w:tabs>
        <w:spacing w:after="0" w:line="360" w:lineRule="auto"/>
        <w:contextualSpacing/>
        <w:jc w:val="both"/>
        <w:rPr>
          <w:rFonts w:eastAsia="Times New Roman" w:cs="Times New Roman"/>
          <w:color w:val="000000"/>
          <w:sz w:val="28"/>
          <w:szCs w:val="28"/>
          <w:lang w:val="en-GB" w:eastAsia="ru-RU"/>
        </w:rPr>
      </w:pPr>
      <w:r w:rsidRPr="00CA099F">
        <w:rPr>
          <w:rFonts w:eastAsia="Times New Roman" w:cs="Times New Roman"/>
          <w:color w:val="000000"/>
          <w:sz w:val="28"/>
          <w:szCs w:val="28"/>
          <w:lang w:val="en-GB" w:eastAsia="ru-RU"/>
        </w:rPr>
        <w:t>Sen C.K. Oxygenation state as a driver of myofibroblast differentiation and wound contraction: hypoxia impairs wound closure / C.K. Sen, S. Roy // J Invest Dermatol. – 2010. – Vol. 130. – P. 2701–2703.</w:t>
      </w:r>
    </w:p>
    <w:p w:rsidR="0030517B" w:rsidRPr="00CA099F" w:rsidRDefault="0030517B" w:rsidP="0030517B">
      <w:pPr>
        <w:numPr>
          <w:ilvl w:val="0"/>
          <w:numId w:val="17"/>
        </w:numPr>
        <w:pBdr>
          <w:top w:val="nil"/>
          <w:left w:val="nil"/>
          <w:bottom w:val="nil"/>
          <w:right w:val="nil"/>
          <w:between w:val="nil"/>
        </w:pBdr>
        <w:tabs>
          <w:tab w:val="left" w:pos="709"/>
        </w:tabs>
        <w:spacing w:after="0" w:line="360" w:lineRule="auto"/>
        <w:contextualSpacing/>
        <w:jc w:val="both"/>
        <w:rPr>
          <w:rFonts w:eastAsia="Times New Roman" w:cs="Times New Roman"/>
          <w:color w:val="000000"/>
          <w:sz w:val="28"/>
          <w:szCs w:val="28"/>
          <w:lang w:val="en-GB" w:eastAsia="ru-RU"/>
        </w:rPr>
      </w:pPr>
      <w:r w:rsidRPr="00CA099F">
        <w:rPr>
          <w:rFonts w:eastAsia="Times New Roman" w:cs="Times New Roman"/>
          <w:color w:val="000000"/>
          <w:sz w:val="28"/>
          <w:szCs w:val="28"/>
          <w:lang w:val="en-GB" w:eastAsia="ru-RU"/>
        </w:rPr>
        <w:lastRenderedPageBreak/>
        <w:t>Nauta T.D. Hypoxic signaling during tissue repair and regenerative medicine / T.D. Nauta, V.W. van Hinsbergh, P. Koolwijk // Int J Mol Sci. – 2014. – Vol. 15. – P. 19791–19815.</w:t>
      </w:r>
    </w:p>
    <w:p w:rsidR="0030517B" w:rsidRPr="00CA099F" w:rsidRDefault="0030517B" w:rsidP="0030517B">
      <w:pPr>
        <w:numPr>
          <w:ilvl w:val="0"/>
          <w:numId w:val="17"/>
        </w:numPr>
        <w:pBdr>
          <w:top w:val="nil"/>
          <w:left w:val="nil"/>
          <w:bottom w:val="nil"/>
          <w:right w:val="nil"/>
          <w:between w:val="nil"/>
        </w:pBdr>
        <w:tabs>
          <w:tab w:val="left" w:pos="709"/>
        </w:tabs>
        <w:spacing w:after="0" w:line="360" w:lineRule="auto"/>
        <w:contextualSpacing/>
        <w:jc w:val="both"/>
        <w:rPr>
          <w:rFonts w:eastAsia="Times New Roman" w:cs="Times New Roman"/>
          <w:color w:val="000000"/>
          <w:sz w:val="28"/>
          <w:szCs w:val="28"/>
          <w:lang w:val="en-GB" w:eastAsia="ru-RU"/>
        </w:rPr>
      </w:pPr>
      <w:r w:rsidRPr="00CA099F">
        <w:rPr>
          <w:rFonts w:eastAsia="Times New Roman" w:cs="Times New Roman"/>
          <w:color w:val="000000"/>
          <w:sz w:val="28"/>
          <w:szCs w:val="28"/>
          <w:lang w:val="en-GB" w:eastAsia="ru-RU"/>
        </w:rPr>
        <w:t>Mechanisms of hypoxic regulation of plasminogen activator inhibitor-1 gene expression in keloid fibroblasts / Q. Zhang, Y. Wu, D.K. Ann [et al.] // J Invest Dermatol. – 2003. – Vol. 121. – P. 1005–1012.</w:t>
      </w:r>
    </w:p>
    <w:p w:rsidR="0030517B" w:rsidRPr="00CA099F" w:rsidRDefault="00417675" w:rsidP="0030517B">
      <w:pPr>
        <w:numPr>
          <w:ilvl w:val="0"/>
          <w:numId w:val="17"/>
        </w:numPr>
        <w:pBdr>
          <w:top w:val="nil"/>
          <w:left w:val="nil"/>
          <w:bottom w:val="nil"/>
          <w:right w:val="nil"/>
          <w:between w:val="nil"/>
        </w:pBdr>
        <w:spacing w:after="0" w:line="360" w:lineRule="auto"/>
        <w:contextualSpacing/>
        <w:rPr>
          <w:rFonts w:eastAsia="Times New Roman" w:cs="Times New Roman"/>
          <w:color w:val="000000"/>
          <w:sz w:val="28"/>
          <w:szCs w:val="28"/>
          <w:lang w:val="en-GB" w:eastAsia="ru-RU"/>
        </w:rPr>
      </w:pPr>
      <w:hyperlink r:id="rId174">
        <w:r w:rsidR="0030517B" w:rsidRPr="00CA099F">
          <w:rPr>
            <w:rFonts w:eastAsia="Times New Roman" w:cs="Times New Roman"/>
            <w:color w:val="000000"/>
            <w:sz w:val="28"/>
            <w:szCs w:val="28"/>
            <w:lang w:val="en-GB" w:eastAsia="ru-RU"/>
          </w:rPr>
          <w:t>A.L. Mescher</w:t>
        </w:r>
      </w:hyperlink>
      <w:r w:rsidR="0030517B" w:rsidRPr="00CA099F">
        <w:rPr>
          <w:rFonts w:eastAsia="Times New Roman" w:cs="Times New Roman"/>
          <w:color w:val="000000"/>
          <w:sz w:val="28"/>
          <w:szCs w:val="28"/>
          <w:lang w:val="en-GB" w:eastAsia="ru-RU"/>
        </w:rPr>
        <w:t xml:space="preserve"> Macrophages and fibroblasts during inflammation and tissue repair in models of organ regeneration / </w:t>
      </w:r>
      <w:hyperlink r:id="rId175">
        <w:r w:rsidR="0030517B" w:rsidRPr="00CA099F">
          <w:rPr>
            <w:rFonts w:eastAsia="Times New Roman" w:cs="Times New Roman"/>
            <w:color w:val="000000"/>
            <w:sz w:val="28"/>
            <w:szCs w:val="28"/>
            <w:lang w:val="en-GB" w:eastAsia="ru-RU"/>
          </w:rPr>
          <w:t>A.L. Mescher</w:t>
        </w:r>
      </w:hyperlink>
      <w:r w:rsidR="0030517B" w:rsidRPr="00CA099F">
        <w:rPr>
          <w:rFonts w:eastAsia="Times New Roman" w:cs="Times New Roman"/>
          <w:color w:val="000000"/>
          <w:sz w:val="28"/>
          <w:szCs w:val="28"/>
          <w:lang w:val="en-GB" w:eastAsia="ru-RU"/>
        </w:rPr>
        <w:t xml:space="preserve"> // </w:t>
      </w:r>
      <w:hyperlink r:id="rId176">
        <w:r w:rsidR="0030517B" w:rsidRPr="00CA099F">
          <w:rPr>
            <w:rFonts w:eastAsia="Times New Roman" w:cs="Times New Roman"/>
            <w:color w:val="000000"/>
            <w:sz w:val="28"/>
            <w:szCs w:val="28"/>
            <w:lang w:val="en-GB" w:eastAsia="ru-RU"/>
          </w:rPr>
          <w:t>Regeneration (Oxf)</w:t>
        </w:r>
      </w:hyperlink>
      <w:r w:rsidR="0030517B" w:rsidRPr="00CA099F">
        <w:rPr>
          <w:rFonts w:eastAsia="Times New Roman" w:cs="Times New Roman"/>
          <w:color w:val="000000"/>
          <w:sz w:val="28"/>
          <w:szCs w:val="28"/>
          <w:lang w:val="en-GB" w:eastAsia="ru-RU"/>
        </w:rPr>
        <w:t>. – 2017. – Vol. 4(2). – P. 39–53.</w:t>
      </w:r>
    </w:p>
    <w:p w:rsidR="0030517B" w:rsidRPr="00CA099F" w:rsidRDefault="0030517B" w:rsidP="0030517B">
      <w:pPr>
        <w:numPr>
          <w:ilvl w:val="0"/>
          <w:numId w:val="17"/>
        </w:numPr>
        <w:pBdr>
          <w:top w:val="nil"/>
          <w:left w:val="nil"/>
          <w:bottom w:val="nil"/>
          <w:right w:val="nil"/>
          <w:between w:val="nil"/>
        </w:pBdr>
        <w:tabs>
          <w:tab w:val="left" w:pos="709"/>
        </w:tabs>
        <w:spacing w:after="0" w:line="360" w:lineRule="auto"/>
        <w:contextualSpacing/>
        <w:jc w:val="both"/>
        <w:rPr>
          <w:rFonts w:eastAsia="Times New Roman" w:cs="Times New Roman"/>
          <w:color w:val="000000"/>
          <w:sz w:val="28"/>
          <w:szCs w:val="28"/>
          <w:lang w:val="en-GB" w:eastAsia="ru-RU"/>
        </w:rPr>
      </w:pPr>
      <w:r w:rsidRPr="00CA099F">
        <w:rPr>
          <w:rFonts w:eastAsia="Times New Roman" w:cs="Times New Roman"/>
          <w:color w:val="000000"/>
          <w:sz w:val="28"/>
          <w:szCs w:val="28"/>
          <w:lang w:val="ru-RU" w:eastAsia="ru-RU"/>
        </w:rPr>
        <w:t xml:space="preserve">Белоусова И.П. Фармакологическая регуляция окислительного гомеостаза при гипоксическом синдроме / И.П. Белоусова, Е.Ю. Бибик // Проблеми військової охорони здоров’я : Зб. наук. праць Укр. військ.-мед. академії. </w:t>
      </w:r>
      <w:r w:rsidRPr="00CA099F">
        <w:rPr>
          <w:rFonts w:eastAsia="Times New Roman" w:cs="Times New Roman"/>
          <w:color w:val="000000"/>
          <w:sz w:val="28"/>
          <w:szCs w:val="28"/>
          <w:lang w:val="en-GB" w:eastAsia="ru-RU"/>
        </w:rPr>
        <w:t>Вип. 7 : за ред. проф. В.Я. Білого. – К., 2000. – С. 473–477.</w:t>
      </w:r>
    </w:p>
    <w:p w:rsidR="0030517B" w:rsidRPr="00CA099F" w:rsidRDefault="0030517B" w:rsidP="0030517B">
      <w:pPr>
        <w:numPr>
          <w:ilvl w:val="0"/>
          <w:numId w:val="17"/>
        </w:numPr>
        <w:pBdr>
          <w:top w:val="nil"/>
          <w:left w:val="nil"/>
          <w:bottom w:val="nil"/>
          <w:right w:val="nil"/>
          <w:between w:val="nil"/>
        </w:pBdr>
        <w:tabs>
          <w:tab w:val="left" w:pos="709"/>
        </w:tabs>
        <w:spacing w:after="0" w:line="360" w:lineRule="auto"/>
        <w:contextualSpacing/>
        <w:jc w:val="both"/>
        <w:rPr>
          <w:rFonts w:eastAsia="Times New Roman" w:cs="Times New Roman"/>
          <w:color w:val="000000"/>
          <w:sz w:val="28"/>
          <w:szCs w:val="28"/>
          <w:lang w:val="en-GB" w:eastAsia="ru-RU"/>
        </w:rPr>
      </w:pPr>
      <w:r w:rsidRPr="00CA099F">
        <w:rPr>
          <w:rFonts w:eastAsia="Times New Roman" w:cs="Times New Roman"/>
          <w:color w:val="000000"/>
          <w:sz w:val="28"/>
          <w:szCs w:val="28"/>
          <w:lang w:val="en-GB" w:eastAsia="ru-RU"/>
        </w:rPr>
        <w:t>Коробов В.М. Впливгіпоксичної гіпоксії на кисневозв’зувальні властивості гемоглобінівщурів і напівводяних амніот / В.М. Коробов // Експер. та клін. фізіологія і біохімія. – 2001. – №1 (13). – С.38–41.</w:t>
      </w:r>
    </w:p>
    <w:p w:rsidR="0030517B" w:rsidRPr="00CA099F" w:rsidRDefault="0030517B" w:rsidP="0030517B">
      <w:pPr>
        <w:numPr>
          <w:ilvl w:val="0"/>
          <w:numId w:val="17"/>
        </w:numPr>
        <w:pBdr>
          <w:top w:val="nil"/>
          <w:left w:val="nil"/>
          <w:bottom w:val="nil"/>
          <w:right w:val="nil"/>
          <w:between w:val="nil"/>
        </w:pBdr>
        <w:tabs>
          <w:tab w:val="left" w:pos="709"/>
        </w:tabs>
        <w:spacing w:after="0" w:line="360" w:lineRule="auto"/>
        <w:contextualSpacing/>
        <w:jc w:val="both"/>
        <w:rPr>
          <w:rFonts w:eastAsia="Times New Roman" w:cs="Times New Roman"/>
          <w:color w:val="000000"/>
          <w:sz w:val="28"/>
          <w:szCs w:val="28"/>
          <w:lang w:val="en-GB" w:eastAsia="ru-RU"/>
        </w:rPr>
      </w:pPr>
      <w:r w:rsidRPr="00CA099F">
        <w:rPr>
          <w:rFonts w:eastAsia="Times New Roman" w:cs="Times New Roman"/>
          <w:color w:val="000000"/>
          <w:sz w:val="28"/>
          <w:szCs w:val="28"/>
          <w:lang w:val="en-GB" w:eastAsia="ru-RU"/>
        </w:rPr>
        <w:t>Hypoxia upregulates VEGF production in keloid fibroblasts / D.S. Steinbrech, B.J. Mehrara, D. Chau [et al.] // Ann Plast Surg. – 1999. – Vol. 42. – P. 514–519.</w:t>
      </w:r>
    </w:p>
    <w:p w:rsidR="0030517B" w:rsidRPr="00CA099F" w:rsidRDefault="0030517B" w:rsidP="0030517B">
      <w:pPr>
        <w:numPr>
          <w:ilvl w:val="0"/>
          <w:numId w:val="17"/>
        </w:numPr>
        <w:pBdr>
          <w:top w:val="nil"/>
          <w:left w:val="nil"/>
          <w:bottom w:val="nil"/>
          <w:right w:val="nil"/>
          <w:between w:val="nil"/>
        </w:pBdr>
        <w:tabs>
          <w:tab w:val="left" w:pos="709"/>
        </w:tabs>
        <w:spacing w:after="0" w:line="360" w:lineRule="auto"/>
        <w:contextualSpacing/>
        <w:jc w:val="both"/>
        <w:rPr>
          <w:rFonts w:eastAsia="Times New Roman" w:cs="Times New Roman"/>
          <w:color w:val="000000"/>
          <w:sz w:val="28"/>
          <w:szCs w:val="28"/>
          <w:lang w:val="en-GB" w:eastAsia="ru-RU"/>
        </w:rPr>
      </w:pPr>
      <w:r w:rsidRPr="00CA099F">
        <w:rPr>
          <w:rFonts w:eastAsia="Times New Roman" w:cs="Times New Roman"/>
          <w:color w:val="000000"/>
          <w:sz w:val="28"/>
          <w:szCs w:val="28"/>
          <w:lang w:val="en-GB" w:eastAsia="ru-RU"/>
        </w:rPr>
        <w:t>Increased periostin expression affects the proliferation, collagen synthesis, migration and invasion of keloid fibroblasts under hypoxic conditions / Z. Zhang, F. Nie, C. Kang [et al.] // Int J Mol Med. – 2014. – Vol. 34. – P. 253–261.</w:t>
      </w:r>
    </w:p>
    <w:p w:rsidR="0030517B" w:rsidRPr="00CA099F" w:rsidRDefault="0030517B" w:rsidP="0030517B">
      <w:pPr>
        <w:numPr>
          <w:ilvl w:val="0"/>
          <w:numId w:val="17"/>
        </w:numPr>
        <w:pBdr>
          <w:top w:val="nil"/>
          <w:left w:val="nil"/>
          <w:bottom w:val="nil"/>
          <w:right w:val="nil"/>
          <w:between w:val="nil"/>
        </w:pBdr>
        <w:tabs>
          <w:tab w:val="left" w:pos="709"/>
        </w:tabs>
        <w:spacing w:after="0" w:line="360" w:lineRule="auto"/>
        <w:contextualSpacing/>
        <w:jc w:val="both"/>
        <w:rPr>
          <w:rFonts w:eastAsia="Times New Roman" w:cs="Times New Roman"/>
          <w:color w:val="000000"/>
          <w:sz w:val="28"/>
          <w:szCs w:val="28"/>
          <w:lang w:val="en-GB" w:eastAsia="ru-RU"/>
        </w:rPr>
      </w:pPr>
      <w:r w:rsidRPr="00CA099F">
        <w:rPr>
          <w:rFonts w:eastAsia="Times New Roman" w:cs="Times New Roman"/>
          <w:color w:val="000000"/>
          <w:sz w:val="28"/>
          <w:szCs w:val="28"/>
          <w:lang w:val="en-GB" w:eastAsia="ru-RU"/>
        </w:rPr>
        <w:t xml:space="preserve">Hypoxia drives the transition of human dermal fibroblasts to a myofibroblast-like phenotype via the TGF-β1/Smad3 pathway / </w:t>
      </w:r>
      <w:hyperlink r:id="rId177">
        <w:r w:rsidRPr="00CA099F">
          <w:rPr>
            <w:rFonts w:eastAsia="Times New Roman" w:cs="Times New Roman"/>
            <w:color w:val="000000"/>
            <w:sz w:val="28"/>
            <w:szCs w:val="28"/>
            <w:lang w:val="en-GB" w:eastAsia="ru-RU"/>
          </w:rPr>
          <w:t>B. Zhao</w:t>
        </w:r>
      </w:hyperlink>
      <w:r w:rsidRPr="00CA099F">
        <w:rPr>
          <w:rFonts w:eastAsia="Times New Roman" w:cs="Times New Roman"/>
          <w:color w:val="000000"/>
          <w:sz w:val="28"/>
          <w:szCs w:val="28"/>
          <w:lang w:val="en-GB" w:eastAsia="ru-RU"/>
        </w:rPr>
        <w:t xml:space="preserve">, </w:t>
      </w:r>
      <w:hyperlink r:id="rId178">
        <w:r w:rsidRPr="00CA099F">
          <w:rPr>
            <w:rFonts w:eastAsia="Times New Roman" w:cs="Times New Roman"/>
            <w:color w:val="000000"/>
            <w:sz w:val="28"/>
            <w:szCs w:val="28"/>
            <w:lang w:val="en-GB" w:eastAsia="ru-RU"/>
          </w:rPr>
          <w:t>H. Guan</w:t>
        </w:r>
      </w:hyperlink>
      <w:r w:rsidRPr="00CA099F">
        <w:rPr>
          <w:rFonts w:eastAsia="Times New Roman" w:cs="Times New Roman"/>
          <w:color w:val="000000"/>
          <w:sz w:val="28"/>
          <w:szCs w:val="28"/>
          <w:lang w:val="en-GB" w:eastAsia="ru-RU"/>
        </w:rPr>
        <w:t>,</w:t>
      </w:r>
      <w:hyperlink r:id="rId179">
        <w:r w:rsidRPr="00CA099F">
          <w:rPr>
            <w:rFonts w:eastAsia="Times New Roman" w:cs="Times New Roman"/>
            <w:color w:val="000000"/>
            <w:sz w:val="28"/>
            <w:szCs w:val="28"/>
            <w:lang w:val="en-GB" w:eastAsia="ru-RU"/>
          </w:rPr>
          <w:t>J.Q. Liu</w:t>
        </w:r>
      </w:hyperlink>
      <w:r w:rsidRPr="00CA099F">
        <w:rPr>
          <w:rFonts w:eastAsia="Times New Roman" w:cs="Times New Roman"/>
          <w:color w:val="000000"/>
          <w:sz w:val="28"/>
          <w:szCs w:val="28"/>
          <w:lang w:val="en-GB" w:eastAsia="ru-RU"/>
        </w:rPr>
        <w:t xml:space="preserve"> [et al.] // </w:t>
      </w:r>
      <w:hyperlink r:id="rId180">
        <w:r w:rsidRPr="00CA099F">
          <w:rPr>
            <w:rFonts w:eastAsia="Times New Roman" w:cs="Times New Roman"/>
            <w:color w:val="000000"/>
            <w:sz w:val="28"/>
            <w:szCs w:val="28"/>
            <w:lang w:val="en-GB" w:eastAsia="ru-RU"/>
          </w:rPr>
          <w:t>Int J Mol Med</w:t>
        </w:r>
      </w:hyperlink>
      <w:r w:rsidRPr="00CA099F">
        <w:rPr>
          <w:rFonts w:eastAsia="Times New Roman" w:cs="Times New Roman"/>
          <w:color w:val="000000"/>
          <w:sz w:val="28"/>
          <w:szCs w:val="28"/>
          <w:lang w:val="en-GB" w:eastAsia="ru-RU"/>
        </w:rPr>
        <w:t>. – 2017. – Vol. 39(1). – P. 153–159.</w:t>
      </w:r>
    </w:p>
    <w:p w:rsidR="0030517B" w:rsidRPr="00CA099F" w:rsidRDefault="0030517B" w:rsidP="0030517B">
      <w:pPr>
        <w:numPr>
          <w:ilvl w:val="0"/>
          <w:numId w:val="17"/>
        </w:numPr>
        <w:pBdr>
          <w:top w:val="nil"/>
          <w:left w:val="nil"/>
          <w:bottom w:val="nil"/>
          <w:right w:val="nil"/>
          <w:between w:val="nil"/>
        </w:pBdr>
        <w:tabs>
          <w:tab w:val="left" w:pos="709"/>
        </w:tabs>
        <w:spacing w:after="0" w:line="360" w:lineRule="auto"/>
        <w:contextualSpacing/>
        <w:jc w:val="both"/>
        <w:rPr>
          <w:rFonts w:eastAsia="Times New Roman" w:cs="Times New Roman"/>
          <w:color w:val="000000"/>
          <w:sz w:val="28"/>
          <w:szCs w:val="28"/>
          <w:lang w:val="en-GB" w:eastAsia="ru-RU"/>
        </w:rPr>
      </w:pPr>
      <w:r w:rsidRPr="00CA099F">
        <w:rPr>
          <w:rFonts w:eastAsia="Times New Roman" w:cs="Times New Roman"/>
          <w:color w:val="000000"/>
          <w:sz w:val="28"/>
          <w:szCs w:val="28"/>
          <w:lang w:val="en-GB" w:eastAsia="ru-RU"/>
        </w:rPr>
        <w:t>Kelly B.D. Cell type-specific regulation of angiogenic growth factor gene expression and induction of angiogenesis in nonischemic tissue by a constitutively active form of hypoxia-inducible factor 1 / B.D. Kelly, S.F. Hackett, K. Hirota // Circ Res. – 2003. – Vol. 93. – P. 1074–1081.</w:t>
      </w:r>
    </w:p>
    <w:p w:rsidR="0030517B" w:rsidRPr="00CA099F" w:rsidRDefault="0030517B" w:rsidP="0030517B">
      <w:pPr>
        <w:numPr>
          <w:ilvl w:val="0"/>
          <w:numId w:val="17"/>
        </w:numPr>
        <w:pBdr>
          <w:top w:val="nil"/>
          <w:left w:val="nil"/>
          <w:bottom w:val="nil"/>
          <w:right w:val="nil"/>
          <w:between w:val="nil"/>
        </w:pBdr>
        <w:tabs>
          <w:tab w:val="left" w:pos="709"/>
        </w:tabs>
        <w:spacing w:after="0" w:line="360" w:lineRule="auto"/>
        <w:contextualSpacing/>
        <w:jc w:val="both"/>
        <w:rPr>
          <w:rFonts w:eastAsia="Times New Roman" w:cs="Times New Roman"/>
          <w:color w:val="000000"/>
          <w:sz w:val="28"/>
          <w:szCs w:val="28"/>
          <w:lang w:val="en-GB" w:eastAsia="ru-RU"/>
        </w:rPr>
      </w:pPr>
      <w:r w:rsidRPr="00CA099F">
        <w:rPr>
          <w:rFonts w:eastAsia="Times New Roman" w:cs="Times New Roman"/>
          <w:color w:val="000000"/>
          <w:sz w:val="28"/>
          <w:szCs w:val="28"/>
          <w:lang w:val="en-GB" w:eastAsia="ru-RU"/>
        </w:rPr>
        <w:lastRenderedPageBreak/>
        <w:t>Ruthenborg R.J. Regulation of wound healing and fibrosis by hypoxia and hypoxia-inducible factor-1 / R.J. Ruthenborg, J.J. Ban, A. Wazir // Mol Cells. – 2014. – Vol. 37. – P. 637–643.</w:t>
      </w:r>
    </w:p>
    <w:p w:rsidR="0030517B" w:rsidRPr="00CA099F" w:rsidRDefault="0030517B" w:rsidP="0030517B">
      <w:pPr>
        <w:numPr>
          <w:ilvl w:val="0"/>
          <w:numId w:val="17"/>
        </w:numPr>
        <w:pBdr>
          <w:top w:val="nil"/>
          <w:left w:val="nil"/>
          <w:bottom w:val="nil"/>
          <w:right w:val="nil"/>
          <w:between w:val="nil"/>
        </w:pBdr>
        <w:tabs>
          <w:tab w:val="left" w:pos="709"/>
        </w:tabs>
        <w:spacing w:after="0" w:line="360" w:lineRule="auto"/>
        <w:contextualSpacing/>
        <w:jc w:val="both"/>
        <w:rPr>
          <w:rFonts w:eastAsia="Times New Roman" w:cs="Times New Roman"/>
          <w:color w:val="000000"/>
          <w:sz w:val="28"/>
          <w:szCs w:val="28"/>
          <w:lang w:val="en-GB" w:eastAsia="ru-RU"/>
        </w:rPr>
      </w:pPr>
      <w:r w:rsidRPr="00CA099F">
        <w:rPr>
          <w:rFonts w:eastAsia="Times New Roman" w:cs="Times New Roman"/>
          <w:color w:val="000000"/>
          <w:sz w:val="28"/>
          <w:szCs w:val="28"/>
          <w:lang w:val="en-GB" w:eastAsia="ru-RU"/>
        </w:rPr>
        <w:t>Haase V.H. Oxygen regulates epithelial-to-mesenchymal transition: insights into molecular mechanisms and relevance to disease / V.H. Haase // Kidney Int. – 2009. – Vol. 76. – P. 492–499.</w:t>
      </w:r>
    </w:p>
    <w:p w:rsidR="0030517B" w:rsidRPr="00CA099F" w:rsidRDefault="0030517B" w:rsidP="0030517B">
      <w:pPr>
        <w:numPr>
          <w:ilvl w:val="0"/>
          <w:numId w:val="17"/>
        </w:numPr>
        <w:pBdr>
          <w:top w:val="nil"/>
          <w:left w:val="nil"/>
          <w:bottom w:val="nil"/>
          <w:right w:val="nil"/>
          <w:between w:val="nil"/>
        </w:pBdr>
        <w:tabs>
          <w:tab w:val="left" w:pos="709"/>
        </w:tabs>
        <w:spacing w:after="0" w:line="360" w:lineRule="auto"/>
        <w:contextualSpacing/>
        <w:jc w:val="both"/>
        <w:rPr>
          <w:rFonts w:eastAsia="Times New Roman" w:cs="Times New Roman"/>
          <w:color w:val="000000"/>
          <w:sz w:val="28"/>
          <w:szCs w:val="28"/>
          <w:lang w:val="en-GB" w:eastAsia="ru-RU"/>
        </w:rPr>
      </w:pPr>
      <w:r w:rsidRPr="00CA099F">
        <w:rPr>
          <w:rFonts w:eastAsia="Times New Roman" w:cs="Times New Roman"/>
          <w:color w:val="000000"/>
          <w:sz w:val="28"/>
          <w:szCs w:val="28"/>
          <w:lang w:val="en-GB" w:eastAsia="ru-RU"/>
        </w:rPr>
        <w:t>Tissue gases in human hypertrophic burn scars / D.F. Sloan, R.D. Brown, C.H. Wells, J.G. Hilton // Plast Reconstr Surg. – 1978. – Vol. 61. – P. 431–436.</w:t>
      </w:r>
    </w:p>
    <w:p w:rsidR="0030517B" w:rsidRPr="00CA099F" w:rsidRDefault="0030517B" w:rsidP="0030517B">
      <w:pPr>
        <w:numPr>
          <w:ilvl w:val="0"/>
          <w:numId w:val="17"/>
        </w:numPr>
        <w:pBdr>
          <w:top w:val="nil"/>
          <w:left w:val="nil"/>
          <w:bottom w:val="nil"/>
          <w:right w:val="nil"/>
          <w:between w:val="nil"/>
        </w:pBdr>
        <w:tabs>
          <w:tab w:val="left" w:pos="709"/>
        </w:tabs>
        <w:spacing w:after="0" w:line="360" w:lineRule="auto"/>
        <w:contextualSpacing/>
        <w:jc w:val="both"/>
        <w:rPr>
          <w:rFonts w:eastAsia="Times New Roman" w:cs="Times New Roman"/>
          <w:color w:val="000000"/>
          <w:sz w:val="28"/>
          <w:szCs w:val="28"/>
          <w:lang w:val="en-GB" w:eastAsia="ru-RU"/>
        </w:rPr>
      </w:pPr>
      <w:r w:rsidRPr="00CA099F">
        <w:rPr>
          <w:rFonts w:eastAsia="Times New Roman" w:cs="Times New Roman"/>
          <w:color w:val="000000"/>
          <w:sz w:val="28"/>
          <w:szCs w:val="28"/>
          <w:lang w:val="en-GB" w:eastAsia="ru-RU"/>
        </w:rPr>
        <w:t>Chazaud B. Macrophages: supportive cells for tissue repair and regeneration / B. Chazaud // Immunobiology. – 2014. – Vol. 219. – P. 172–178.</w:t>
      </w:r>
    </w:p>
    <w:p w:rsidR="0030517B" w:rsidRPr="00CA099F" w:rsidRDefault="0030517B" w:rsidP="0030517B">
      <w:pPr>
        <w:numPr>
          <w:ilvl w:val="0"/>
          <w:numId w:val="17"/>
        </w:numPr>
        <w:pBdr>
          <w:top w:val="nil"/>
          <w:left w:val="nil"/>
          <w:bottom w:val="nil"/>
          <w:right w:val="nil"/>
          <w:between w:val="nil"/>
        </w:pBdr>
        <w:shd w:val="clear" w:color="auto" w:fill="FFFFFF"/>
        <w:spacing w:after="0" w:line="360" w:lineRule="auto"/>
        <w:contextualSpacing/>
        <w:jc w:val="both"/>
        <w:rPr>
          <w:rFonts w:eastAsia="Times New Roman" w:cs="Times New Roman"/>
          <w:color w:val="000000"/>
          <w:sz w:val="28"/>
          <w:szCs w:val="28"/>
          <w:lang w:val="en-GB" w:eastAsia="ru-RU"/>
        </w:rPr>
      </w:pPr>
      <w:r w:rsidRPr="00CA099F">
        <w:rPr>
          <w:rFonts w:eastAsia="Times New Roman" w:cs="Times New Roman"/>
          <w:color w:val="000000"/>
          <w:sz w:val="28"/>
          <w:szCs w:val="28"/>
          <w:lang w:val="en-GB" w:eastAsia="ru-RU"/>
        </w:rPr>
        <w:t xml:space="preserve">Reconstitution of Human Keloids in Mouse Skin / </w:t>
      </w:r>
      <w:hyperlink r:id="rId181">
        <w:r w:rsidRPr="00CA099F">
          <w:rPr>
            <w:rFonts w:eastAsia="Times New Roman" w:cs="Times New Roman"/>
            <w:color w:val="000000"/>
            <w:sz w:val="28"/>
            <w:szCs w:val="28"/>
            <w:lang w:val="en-GB" w:eastAsia="ru-RU"/>
          </w:rPr>
          <w:t>A. Sunaga</w:t>
        </w:r>
      </w:hyperlink>
      <w:r w:rsidRPr="00CA099F">
        <w:rPr>
          <w:rFonts w:eastAsia="Times New Roman" w:cs="Times New Roman"/>
          <w:color w:val="000000"/>
          <w:sz w:val="28"/>
          <w:szCs w:val="28"/>
          <w:lang w:val="en-GB" w:eastAsia="ru-RU"/>
        </w:rPr>
        <w:t xml:space="preserve">, </w:t>
      </w:r>
      <w:hyperlink r:id="rId182">
        <w:r w:rsidRPr="00CA099F">
          <w:rPr>
            <w:rFonts w:eastAsia="Times New Roman" w:cs="Times New Roman"/>
            <w:color w:val="000000"/>
            <w:sz w:val="28"/>
            <w:szCs w:val="28"/>
            <w:lang w:val="en-GB" w:eastAsia="ru-RU"/>
          </w:rPr>
          <w:t>H. Kamochi</w:t>
        </w:r>
      </w:hyperlink>
      <w:r w:rsidRPr="00CA099F">
        <w:rPr>
          <w:rFonts w:eastAsia="Times New Roman" w:cs="Times New Roman"/>
          <w:color w:val="000000"/>
          <w:sz w:val="28"/>
          <w:szCs w:val="28"/>
          <w:lang w:val="en-GB" w:eastAsia="ru-RU"/>
        </w:rPr>
        <w:t xml:space="preserve">, </w:t>
      </w:r>
      <w:hyperlink r:id="rId183">
        <w:r w:rsidRPr="00CA099F">
          <w:rPr>
            <w:rFonts w:eastAsia="Times New Roman" w:cs="Times New Roman"/>
            <w:color w:val="000000"/>
            <w:sz w:val="28"/>
            <w:szCs w:val="28"/>
            <w:lang w:val="en-GB" w:eastAsia="ru-RU"/>
          </w:rPr>
          <w:t>S. Sarukawa</w:t>
        </w:r>
      </w:hyperlink>
      <w:r w:rsidRPr="00CA099F">
        <w:rPr>
          <w:rFonts w:eastAsia="Times New Roman" w:cs="Times New Roman"/>
          <w:color w:val="000000"/>
          <w:sz w:val="28"/>
          <w:szCs w:val="28"/>
          <w:lang w:val="en-GB" w:eastAsia="ru-RU"/>
        </w:rPr>
        <w:t xml:space="preserve"> [et al.] // </w:t>
      </w:r>
      <w:hyperlink r:id="rId184">
        <w:r w:rsidRPr="00CA099F">
          <w:rPr>
            <w:rFonts w:eastAsia="Times New Roman" w:cs="Times New Roman"/>
            <w:color w:val="000000"/>
            <w:sz w:val="28"/>
            <w:szCs w:val="28"/>
            <w:lang w:val="en-GB" w:eastAsia="ru-RU"/>
          </w:rPr>
          <w:t>Plast Reconstr Surg Glob Open</w:t>
        </w:r>
      </w:hyperlink>
      <w:r w:rsidRPr="00CA099F">
        <w:rPr>
          <w:rFonts w:eastAsia="Times New Roman" w:cs="Times New Roman"/>
          <w:color w:val="000000"/>
          <w:sz w:val="28"/>
          <w:szCs w:val="28"/>
          <w:lang w:val="en-GB" w:eastAsia="ru-RU"/>
        </w:rPr>
        <w:t>. – 2017. – Vol. 5(4). – P. 1304.</w:t>
      </w:r>
    </w:p>
    <w:p w:rsidR="0030517B" w:rsidRPr="00CA099F" w:rsidRDefault="0030517B" w:rsidP="0030517B">
      <w:pPr>
        <w:numPr>
          <w:ilvl w:val="0"/>
          <w:numId w:val="17"/>
        </w:numPr>
        <w:pBdr>
          <w:top w:val="nil"/>
          <w:left w:val="nil"/>
          <w:bottom w:val="nil"/>
          <w:right w:val="nil"/>
          <w:between w:val="nil"/>
        </w:pBdr>
        <w:shd w:val="clear" w:color="auto" w:fill="FFFFFF"/>
        <w:tabs>
          <w:tab w:val="left" w:pos="709"/>
        </w:tabs>
        <w:spacing w:after="0" w:line="360" w:lineRule="auto"/>
        <w:contextualSpacing/>
        <w:jc w:val="both"/>
        <w:rPr>
          <w:rFonts w:eastAsia="Times New Roman" w:cs="Times New Roman"/>
          <w:color w:val="000000"/>
          <w:sz w:val="28"/>
          <w:szCs w:val="28"/>
          <w:lang w:val="ru-RU" w:eastAsia="ru-RU"/>
        </w:rPr>
      </w:pPr>
      <w:r w:rsidRPr="00CA099F">
        <w:rPr>
          <w:rFonts w:eastAsia="Times New Roman" w:cs="Times New Roman"/>
          <w:color w:val="000000"/>
          <w:sz w:val="28"/>
          <w:szCs w:val="28"/>
          <w:lang w:val="ru-RU" w:eastAsia="ru-RU"/>
        </w:rPr>
        <w:t>Малыхина Т.В. Лечение и профилактика келоидных рубцов на коже молочной железы после оперативных вмешательств : автореф. дисс. к.мед.н : спец. 14.00.11 – кожные и венерические болезни / Т.В. Малыхина. – Самара, 2000. – 24 с.</w:t>
      </w:r>
    </w:p>
    <w:p w:rsidR="0030517B" w:rsidRPr="00CA099F" w:rsidRDefault="0030517B" w:rsidP="0030517B">
      <w:pPr>
        <w:numPr>
          <w:ilvl w:val="0"/>
          <w:numId w:val="17"/>
        </w:numPr>
        <w:pBdr>
          <w:top w:val="nil"/>
          <w:left w:val="nil"/>
          <w:bottom w:val="nil"/>
          <w:right w:val="nil"/>
          <w:between w:val="nil"/>
        </w:pBdr>
        <w:shd w:val="clear" w:color="auto" w:fill="FFFFFF"/>
        <w:tabs>
          <w:tab w:val="left" w:pos="709"/>
        </w:tabs>
        <w:spacing w:after="0" w:line="360" w:lineRule="auto"/>
        <w:contextualSpacing/>
        <w:jc w:val="both"/>
        <w:rPr>
          <w:rFonts w:eastAsia="Times New Roman" w:cs="Times New Roman"/>
          <w:color w:val="000000"/>
          <w:sz w:val="28"/>
          <w:szCs w:val="28"/>
          <w:lang w:val="ru-RU" w:eastAsia="ru-RU"/>
        </w:rPr>
      </w:pPr>
      <w:r w:rsidRPr="00CA099F">
        <w:rPr>
          <w:rFonts w:eastAsia="Gungsuh" w:cs="Times New Roman"/>
          <w:color w:val="000000"/>
          <w:sz w:val="28"/>
          <w:szCs w:val="28"/>
          <w:lang w:val="ru-RU" w:eastAsia="ru-RU"/>
        </w:rPr>
        <w:t xml:space="preserve">Бархударова Н.Р. Оценка эндотелиальной дисфункции периферических артерий и структурных изменений сосудистой стенки у детей с послеожоговыми рубцовыми деформациями и контрактурами суставов / Н.Р. Бархударова, И.В. Бурков, А.В. Трусов // Сб. науч. тр. </w:t>
      </w:r>
      <w:r w:rsidRPr="00CA099F">
        <w:rPr>
          <w:rFonts w:eastAsia="Gungsuh" w:cs="Times New Roman"/>
          <w:color w:val="000000"/>
          <w:sz w:val="28"/>
          <w:szCs w:val="28"/>
          <w:lang w:val="en-GB" w:eastAsia="ru-RU"/>
        </w:rPr>
        <w:t>II</w:t>
      </w:r>
      <w:r w:rsidRPr="00CA099F">
        <w:rPr>
          <w:rFonts w:eastAsia="Gungsuh" w:cs="Times New Roman"/>
          <w:color w:val="000000"/>
          <w:sz w:val="28"/>
          <w:szCs w:val="28"/>
          <w:lang w:val="ru-RU" w:eastAsia="ru-RU"/>
        </w:rPr>
        <w:t xml:space="preserve"> Съезда комбустиологов России − М., 2008. – С. 183−184.</w:t>
      </w:r>
    </w:p>
    <w:p w:rsidR="0030517B" w:rsidRPr="00CA099F" w:rsidRDefault="0030517B" w:rsidP="0030517B">
      <w:pPr>
        <w:numPr>
          <w:ilvl w:val="0"/>
          <w:numId w:val="17"/>
        </w:numPr>
        <w:pBdr>
          <w:top w:val="nil"/>
          <w:left w:val="nil"/>
          <w:bottom w:val="nil"/>
          <w:right w:val="nil"/>
          <w:between w:val="nil"/>
        </w:pBdr>
        <w:tabs>
          <w:tab w:val="left" w:pos="709"/>
        </w:tabs>
        <w:spacing w:after="0" w:line="360" w:lineRule="auto"/>
        <w:contextualSpacing/>
        <w:jc w:val="both"/>
        <w:rPr>
          <w:rFonts w:eastAsia="Times New Roman" w:cs="Times New Roman"/>
          <w:color w:val="000000"/>
          <w:sz w:val="28"/>
          <w:szCs w:val="28"/>
          <w:lang w:val="ru-RU" w:eastAsia="ru-RU"/>
        </w:rPr>
      </w:pPr>
      <w:r w:rsidRPr="00CA099F">
        <w:rPr>
          <w:rFonts w:eastAsia="Times New Roman" w:cs="Times New Roman"/>
          <w:color w:val="000000"/>
          <w:sz w:val="28"/>
          <w:szCs w:val="28"/>
          <w:lang w:val="ru-RU" w:eastAsia="ru-RU"/>
        </w:rPr>
        <w:t>Серов В. В. Соединительная ткань / В. В. Серов, А. Б. Шехтер //. – М. : Медицина, 2002. – 194 с.</w:t>
      </w:r>
    </w:p>
    <w:p w:rsidR="0030517B" w:rsidRPr="00CA099F" w:rsidRDefault="00417675" w:rsidP="0030517B">
      <w:pPr>
        <w:numPr>
          <w:ilvl w:val="0"/>
          <w:numId w:val="17"/>
        </w:numPr>
        <w:pBdr>
          <w:top w:val="nil"/>
          <w:left w:val="nil"/>
          <w:bottom w:val="nil"/>
          <w:right w:val="nil"/>
          <w:between w:val="nil"/>
        </w:pBdr>
        <w:tabs>
          <w:tab w:val="left" w:pos="709"/>
        </w:tabs>
        <w:spacing w:after="0" w:line="360" w:lineRule="auto"/>
        <w:contextualSpacing/>
        <w:jc w:val="both"/>
        <w:rPr>
          <w:rFonts w:eastAsia="Times New Roman" w:cs="Times New Roman"/>
          <w:color w:val="000000"/>
          <w:sz w:val="28"/>
          <w:szCs w:val="28"/>
          <w:lang w:val="en-GB" w:eastAsia="ru-RU"/>
        </w:rPr>
      </w:pPr>
      <w:hyperlink r:id="rId185">
        <w:r w:rsidR="0030517B" w:rsidRPr="00CA099F">
          <w:rPr>
            <w:rFonts w:eastAsia="Times New Roman" w:cs="Times New Roman"/>
            <w:color w:val="000000"/>
            <w:sz w:val="28"/>
            <w:szCs w:val="28"/>
            <w:lang w:val="en-GB" w:eastAsia="ru-RU"/>
          </w:rPr>
          <w:t>Lebo P.B</w:t>
        </w:r>
      </w:hyperlink>
      <w:r w:rsidR="0030517B" w:rsidRPr="00CA099F">
        <w:rPr>
          <w:rFonts w:eastAsia="Times New Roman" w:cs="Times New Roman"/>
          <w:color w:val="000000"/>
          <w:sz w:val="28"/>
          <w:szCs w:val="28"/>
          <w:lang w:val="en-GB" w:eastAsia="ru-RU"/>
        </w:rPr>
        <w:t xml:space="preserve">. Delayed Post-burn Scar Reconstruction of the Dorsum of the Hand with a Collagen-Elastin-based Dermal Substitute and Split-skin Graft / P.B. </w:t>
      </w:r>
      <w:hyperlink r:id="rId186">
        <w:r w:rsidR="0030517B" w:rsidRPr="00CA099F">
          <w:rPr>
            <w:rFonts w:eastAsia="Times New Roman" w:cs="Times New Roman"/>
            <w:color w:val="000000"/>
            <w:sz w:val="28"/>
            <w:szCs w:val="28"/>
            <w:lang w:val="en-GB" w:eastAsia="ru-RU"/>
          </w:rPr>
          <w:t>Lebo</w:t>
        </w:r>
      </w:hyperlink>
      <w:r w:rsidR="0030517B" w:rsidRPr="00CA099F">
        <w:rPr>
          <w:rFonts w:eastAsia="Times New Roman" w:cs="Times New Roman"/>
          <w:color w:val="000000"/>
          <w:sz w:val="28"/>
          <w:szCs w:val="28"/>
          <w:lang w:val="en-GB" w:eastAsia="ru-RU"/>
        </w:rPr>
        <w:t xml:space="preserve">, M. </w:t>
      </w:r>
      <w:hyperlink r:id="rId187">
        <w:r w:rsidR="0030517B" w:rsidRPr="00CA099F">
          <w:rPr>
            <w:rFonts w:eastAsia="Times New Roman" w:cs="Times New Roman"/>
            <w:color w:val="000000"/>
            <w:sz w:val="28"/>
            <w:szCs w:val="28"/>
            <w:lang w:val="en-GB" w:eastAsia="ru-RU"/>
          </w:rPr>
          <w:t>Grohmann</w:t>
        </w:r>
      </w:hyperlink>
      <w:r w:rsidR="0030517B" w:rsidRPr="00CA099F">
        <w:rPr>
          <w:rFonts w:eastAsia="Times New Roman" w:cs="Times New Roman"/>
          <w:color w:val="000000"/>
          <w:sz w:val="28"/>
          <w:szCs w:val="28"/>
          <w:lang w:val="en-GB" w:eastAsia="ru-RU"/>
        </w:rPr>
        <w:t xml:space="preserve">, L. </w:t>
      </w:r>
      <w:hyperlink r:id="rId188">
        <w:r w:rsidR="0030517B" w:rsidRPr="00CA099F">
          <w:rPr>
            <w:rFonts w:eastAsia="Times New Roman" w:cs="Times New Roman"/>
            <w:color w:val="000000"/>
            <w:sz w:val="28"/>
            <w:szCs w:val="28"/>
            <w:lang w:val="en-GB" w:eastAsia="ru-RU"/>
          </w:rPr>
          <w:t xml:space="preserve">Kamolz </w:t>
        </w:r>
      </w:hyperlink>
      <w:r w:rsidR="0030517B" w:rsidRPr="00CA099F">
        <w:rPr>
          <w:rFonts w:eastAsia="Times New Roman" w:cs="Times New Roman"/>
          <w:color w:val="000000"/>
          <w:sz w:val="28"/>
          <w:szCs w:val="28"/>
          <w:lang w:val="en-GB" w:eastAsia="ru-RU"/>
        </w:rPr>
        <w:t xml:space="preserve">// </w:t>
      </w:r>
      <w:hyperlink r:id="rId189">
        <w:r w:rsidR="0030517B" w:rsidRPr="00CA099F">
          <w:rPr>
            <w:rFonts w:eastAsia="Times New Roman" w:cs="Times New Roman"/>
            <w:color w:val="000000"/>
            <w:sz w:val="28"/>
            <w:szCs w:val="28"/>
            <w:lang w:val="en-GB" w:eastAsia="ru-RU"/>
          </w:rPr>
          <w:t>Handchir Mikrochir Plast Chir.</w:t>
        </w:r>
      </w:hyperlink>
      <w:r w:rsidR="0030517B" w:rsidRPr="00CA099F">
        <w:rPr>
          <w:rFonts w:eastAsia="Times New Roman" w:cs="Times New Roman"/>
          <w:color w:val="000000"/>
          <w:sz w:val="28"/>
          <w:szCs w:val="28"/>
          <w:lang w:val="en-GB" w:eastAsia="ru-RU"/>
        </w:rPr>
        <w:t xml:space="preserve"> – 2017. – Vol. 49(2). – P. 127-131.</w:t>
      </w:r>
    </w:p>
    <w:p w:rsidR="0030517B" w:rsidRPr="00CA099F" w:rsidRDefault="0030517B" w:rsidP="0030517B">
      <w:pPr>
        <w:numPr>
          <w:ilvl w:val="0"/>
          <w:numId w:val="17"/>
        </w:numPr>
        <w:pBdr>
          <w:top w:val="nil"/>
          <w:left w:val="nil"/>
          <w:bottom w:val="nil"/>
          <w:right w:val="nil"/>
          <w:between w:val="nil"/>
        </w:pBdr>
        <w:tabs>
          <w:tab w:val="left" w:pos="709"/>
        </w:tabs>
        <w:spacing w:after="0" w:line="360" w:lineRule="auto"/>
        <w:contextualSpacing/>
        <w:jc w:val="both"/>
        <w:rPr>
          <w:rFonts w:eastAsia="Times New Roman" w:cs="Times New Roman"/>
          <w:color w:val="000000"/>
          <w:sz w:val="28"/>
          <w:szCs w:val="28"/>
          <w:lang w:val="en-GB" w:eastAsia="ru-RU"/>
        </w:rPr>
      </w:pPr>
      <w:r w:rsidRPr="00CA099F">
        <w:rPr>
          <w:rFonts w:eastAsia="Times New Roman" w:cs="Times New Roman"/>
          <w:color w:val="000000"/>
          <w:sz w:val="28"/>
          <w:szCs w:val="28"/>
          <w:lang w:val="en-GB" w:eastAsia="ru-RU"/>
        </w:rPr>
        <w:lastRenderedPageBreak/>
        <w:t>Regulatory mechanism of miR-29 over TGF-β1 and COL1 in scar cells / S. Bi, C. Cao, L.-L. Chai [et al.] // Eur Rev Med Pharmacol Sci. – 2017. – Vol. 21 (10). – P. 2512-2516.</w:t>
      </w:r>
    </w:p>
    <w:p w:rsidR="0030517B" w:rsidRPr="00CA099F" w:rsidRDefault="0030517B" w:rsidP="0030517B">
      <w:pPr>
        <w:numPr>
          <w:ilvl w:val="0"/>
          <w:numId w:val="17"/>
        </w:numPr>
        <w:pBdr>
          <w:top w:val="nil"/>
          <w:left w:val="nil"/>
          <w:bottom w:val="nil"/>
          <w:right w:val="nil"/>
          <w:between w:val="nil"/>
        </w:pBdr>
        <w:tabs>
          <w:tab w:val="left" w:pos="709"/>
        </w:tabs>
        <w:spacing w:after="0" w:line="360" w:lineRule="auto"/>
        <w:contextualSpacing/>
        <w:jc w:val="both"/>
        <w:rPr>
          <w:rFonts w:eastAsia="Times New Roman" w:cs="Times New Roman"/>
          <w:color w:val="000000"/>
          <w:sz w:val="28"/>
          <w:szCs w:val="28"/>
          <w:lang w:val="en-GB" w:eastAsia="ru-RU"/>
        </w:rPr>
      </w:pPr>
      <w:r w:rsidRPr="00CA099F">
        <w:rPr>
          <w:rFonts w:eastAsia="Times New Roman" w:cs="Times New Roman"/>
          <w:color w:val="000000"/>
          <w:sz w:val="28"/>
          <w:szCs w:val="28"/>
          <w:lang w:val="en-GB" w:eastAsia="ru-RU"/>
        </w:rPr>
        <w:t xml:space="preserve">Sulfated glycosaminoglycans and non-classically secreted proteins, basic FGF and epimorphin, coordinately regulate TGF-β-induced cell behaviors of human scar dermal fibroblasts / T. </w:t>
      </w:r>
      <w:hyperlink r:id="rId190">
        <w:r w:rsidRPr="00CA099F">
          <w:rPr>
            <w:rFonts w:eastAsia="Times New Roman" w:cs="Times New Roman"/>
            <w:color w:val="000000"/>
            <w:sz w:val="28"/>
            <w:szCs w:val="28"/>
            <w:lang w:val="en-GB" w:eastAsia="ru-RU"/>
          </w:rPr>
          <w:t>Horigome</w:t>
        </w:r>
      </w:hyperlink>
      <w:r w:rsidRPr="00CA099F">
        <w:rPr>
          <w:rFonts w:eastAsia="Times New Roman" w:cs="Times New Roman"/>
          <w:color w:val="000000"/>
          <w:sz w:val="28"/>
          <w:szCs w:val="28"/>
          <w:lang w:val="en-GB" w:eastAsia="ru-RU"/>
        </w:rPr>
        <w:t xml:space="preserve">, S. </w:t>
      </w:r>
      <w:hyperlink r:id="rId191">
        <w:r w:rsidRPr="00CA099F">
          <w:rPr>
            <w:rFonts w:eastAsia="Times New Roman" w:cs="Times New Roman"/>
            <w:color w:val="000000"/>
            <w:sz w:val="28"/>
            <w:szCs w:val="28"/>
            <w:lang w:val="en-GB" w:eastAsia="ru-RU"/>
          </w:rPr>
          <w:t>Takumi</w:t>
        </w:r>
      </w:hyperlink>
      <w:r w:rsidRPr="00CA099F">
        <w:rPr>
          <w:rFonts w:eastAsia="Times New Roman" w:cs="Times New Roman"/>
          <w:color w:val="000000"/>
          <w:sz w:val="28"/>
          <w:szCs w:val="28"/>
          <w:lang w:val="en-GB" w:eastAsia="ru-RU"/>
        </w:rPr>
        <w:t xml:space="preserve">, K. </w:t>
      </w:r>
      <w:hyperlink r:id="rId192">
        <w:r w:rsidRPr="00CA099F">
          <w:rPr>
            <w:rFonts w:eastAsia="Times New Roman" w:cs="Times New Roman"/>
            <w:color w:val="000000"/>
            <w:sz w:val="28"/>
            <w:szCs w:val="28"/>
            <w:lang w:val="en-GB" w:eastAsia="ru-RU"/>
          </w:rPr>
          <w:t xml:space="preserve">Shirai </w:t>
        </w:r>
      </w:hyperlink>
      <w:r w:rsidRPr="00CA099F">
        <w:rPr>
          <w:rFonts w:eastAsia="Times New Roman" w:cs="Times New Roman"/>
          <w:color w:val="000000"/>
          <w:sz w:val="28"/>
          <w:szCs w:val="28"/>
          <w:lang w:val="en-GB" w:eastAsia="ru-RU"/>
        </w:rPr>
        <w:t xml:space="preserve">[et al.] // </w:t>
      </w:r>
      <w:hyperlink r:id="rId193">
        <w:r w:rsidRPr="00CA099F">
          <w:rPr>
            <w:rFonts w:eastAsia="Times New Roman" w:cs="Times New Roman"/>
            <w:color w:val="000000"/>
            <w:sz w:val="28"/>
            <w:szCs w:val="28"/>
            <w:lang w:val="en-GB" w:eastAsia="ru-RU"/>
          </w:rPr>
          <w:t>J Dermatol Sci.</w:t>
        </w:r>
      </w:hyperlink>
      <w:r w:rsidRPr="00CA099F">
        <w:rPr>
          <w:rFonts w:eastAsia="Times New Roman" w:cs="Times New Roman"/>
          <w:color w:val="000000"/>
          <w:sz w:val="28"/>
          <w:szCs w:val="28"/>
          <w:lang w:val="en-GB" w:eastAsia="ru-RU"/>
        </w:rPr>
        <w:t xml:space="preserve"> – 2017. – Vol. 86(2). – P.132-141.</w:t>
      </w:r>
    </w:p>
    <w:p w:rsidR="0030517B" w:rsidRPr="00CA099F" w:rsidRDefault="0030517B" w:rsidP="0030517B">
      <w:pPr>
        <w:numPr>
          <w:ilvl w:val="0"/>
          <w:numId w:val="17"/>
        </w:numPr>
        <w:pBdr>
          <w:top w:val="nil"/>
          <w:left w:val="nil"/>
          <w:bottom w:val="nil"/>
          <w:right w:val="nil"/>
          <w:between w:val="nil"/>
        </w:pBdr>
        <w:tabs>
          <w:tab w:val="left" w:pos="709"/>
        </w:tabs>
        <w:spacing w:after="0" w:line="360" w:lineRule="auto"/>
        <w:contextualSpacing/>
        <w:jc w:val="both"/>
        <w:rPr>
          <w:rFonts w:eastAsia="Times New Roman" w:cs="Times New Roman"/>
          <w:color w:val="000000"/>
          <w:sz w:val="28"/>
          <w:szCs w:val="28"/>
          <w:lang w:val="en-GB" w:eastAsia="ru-RU"/>
        </w:rPr>
      </w:pPr>
      <w:r w:rsidRPr="00CA099F">
        <w:rPr>
          <w:rFonts w:eastAsia="Times New Roman" w:cs="Times New Roman"/>
          <w:color w:val="000000"/>
          <w:sz w:val="28"/>
          <w:szCs w:val="28"/>
          <w:lang w:val="en-GB" w:eastAsia="ru-RU"/>
        </w:rPr>
        <w:t>Tomasek J.J. Myofibroblasts and mechano-regulation of connective tissue remodelling / J.J. Tomasek, G. Gabbiani, B. Hinz // Nat Rev Mol Cell Biol – 2002. – Vol. 3. – P. 349–363.</w:t>
      </w:r>
    </w:p>
    <w:p w:rsidR="0030517B" w:rsidRPr="00CA099F" w:rsidRDefault="0030517B" w:rsidP="0030517B">
      <w:pPr>
        <w:numPr>
          <w:ilvl w:val="0"/>
          <w:numId w:val="17"/>
        </w:numPr>
        <w:pBdr>
          <w:top w:val="nil"/>
          <w:left w:val="nil"/>
          <w:bottom w:val="nil"/>
          <w:right w:val="nil"/>
          <w:between w:val="nil"/>
        </w:pBdr>
        <w:tabs>
          <w:tab w:val="left" w:pos="709"/>
        </w:tabs>
        <w:spacing w:after="0" w:line="360" w:lineRule="auto"/>
        <w:contextualSpacing/>
        <w:jc w:val="both"/>
        <w:rPr>
          <w:rFonts w:eastAsia="Times New Roman" w:cs="Times New Roman"/>
          <w:color w:val="000000"/>
          <w:sz w:val="28"/>
          <w:szCs w:val="28"/>
          <w:lang w:val="en-GB" w:eastAsia="ru-RU"/>
        </w:rPr>
      </w:pPr>
      <w:r w:rsidRPr="00CA099F">
        <w:rPr>
          <w:rFonts w:eastAsia="Times New Roman" w:cs="Times New Roman"/>
          <w:color w:val="000000"/>
          <w:sz w:val="28"/>
          <w:szCs w:val="28"/>
          <w:lang w:val="en-GB" w:eastAsia="ru-RU"/>
        </w:rPr>
        <w:t>Estradiol attenuates the TGF-β1-induced conversion of primary TAFs into myofibroblasts and inhibits collagen production and myofibroblast contraction by modulating the Smad and Rho/Rock signaling pathways / H.S. Jiang, L.L. Zhu, Z. Zhang [et al.] // Int J Mol Med – 2015. – Vol. 36. – P. 801–807.</w:t>
      </w:r>
    </w:p>
    <w:p w:rsidR="0030517B" w:rsidRPr="00CA099F" w:rsidRDefault="0030517B" w:rsidP="0030517B">
      <w:pPr>
        <w:numPr>
          <w:ilvl w:val="0"/>
          <w:numId w:val="17"/>
        </w:numPr>
        <w:pBdr>
          <w:top w:val="nil"/>
          <w:left w:val="nil"/>
          <w:bottom w:val="nil"/>
          <w:right w:val="nil"/>
          <w:between w:val="nil"/>
        </w:pBdr>
        <w:spacing w:after="0" w:line="360" w:lineRule="auto"/>
        <w:contextualSpacing/>
        <w:rPr>
          <w:rFonts w:eastAsia="Times New Roman" w:cs="Times New Roman"/>
          <w:color w:val="000000"/>
          <w:sz w:val="28"/>
          <w:szCs w:val="28"/>
          <w:lang w:val="en-GB" w:eastAsia="ru-RU"/>
        </w:rPr>
      </w:pPr>
      <w:r w:rsidRPr="00CA099F">
        <w:rPr>
          <w:rFonts w:eastAsia="Times New Roman" w:cs="Times New Roman"/>
          <w:color w:val="000000"/>
          <w:sz w:val="28"/>
          <w:szCs w:val="28"/>
          <w:lang w:val="en-GB" w:eastAsia="ru-RU"/>
        </w:rPr>
        <w:t xml:space="preserve">Expression of TGF-β1/mTOR signaling pathway in pathological scar fibroblasts / </w:t>
      </w:r>
      <w:hyperlink r:id="rId194">
        <w:r w:rsidRPr="00CA099F">
          <w:rPr>
            <w:rFonts w:eastAsia="Times New Roman" w:cs="Times New Roman"/>
            <w:color w:val="000000"/>
            <w:sz w:val="28"/>
            <w:szCs w:val="28"/>
            <w:lang w:val="en-GB" w:eastAsia="ru-RU"/>
          </w:rPr>
          <w:t>X.X. Zhai</w:t>
        </w:r>
      </w:hyperlink>
      <w:r w:rsidRPr="00CA099F">
        <w:rPr>
          <w:rFonts w:eastAsia="Times New Roman" w:cs="Times New Roman"/>
          <w:color w:val="000000"/>
          <w:sz w:val="28"/>
          <w:szCs w:val="28"/>
          <w:lang w:val="en-GB" w:eastAsia="ru-RU"/>
        </w:rPr>
        <w:t xml:space="preserve">, </w:t>
      </w:r>
      <w:hyperlink r:id="rId195">
        <w:r w:rsidRPr="00CA099F">
          <w:rPr>
            <w:rFonts w:eastAsia="Times New Roman" w:cs="Times New Roman"/>
            <w:color w:val="000000"/>
            <w:sz w:val="28"/>
            <w:szCs w:val="28"/>
            <w:lang w:val="en-GB" w:eastAsia="ru-RU"/>
          </w:rPr>
          <w:t>Z.M. Tang</w:t>
        </w:r>
      </w:hyperlink>
      <w:r w:rsidRPr="00CA099F">
        <w:rPr>
          <w:rFonts w:eastAsia="Times New Roman" w:cs="Times New Roman"/>
          <w:color w:val="000000"/>
          <w:sz w:val="28"/>
          <w:szCs w:val="28"/>
          <w:lang w:val="en-GB" w:eastAsia="ru-RU"/>
        </w:rPr>
        <w:t xml:space="preserve">, </w:t>
      </w:r>
      <w:hyperlink r:id="rId196">
        <w:r w:rsidRPr="00CA099F">
          <w:rPr>
            <w:rFonts w:eastAsia="Times New Roman" w:cs="Times New Roman"/>
            <w:color w:val="000000"/>
            <w:sz w:val="28"/>
            <w:szCs w:val="28"/>
            <w:lang w:val="en-GB" w:eastAsia="ru-RU"/>
          </w:rPr>
          <w:t>J.C. Ding</w:t>
        </w:r>
      </w:hyperlink>
      <w:r w:rsidRPr="00CA099F">
        <w:rPr>
          <w:rFonts w:eastAsia="Times New Roman" w:cs="Times New Roman"/>
          <w:color w:val="000000"/>
          <w:sz w:val="28"/>
          <w:szCs w:val="28"/>
          <w:lang w:val="en-GB" w:eastAsia="ru-RU"/>
        </w:rPr>
        <w:t xml:space="preserve">, </w:t>
      </w:r>
      <w:hyperlink r:id="rId197">
        <w:r w:rsidRPr="00CA099F">
          <w:rPr>
            <w:rFonts w:eastAsia="Times New Roman" w:cs="Times New Roman"/>
            <w:color w:val="000000"/>
            <w:sz w:val="28"/>
            <w:szCs w:val="28"/>
            <w:lang w:val="en-GB" w:eastAsia="ru-RU"/>
          </w:rPr>
          <w:t>X.L. Lu</w:t>
        </w:r>
      </w:hyperlink>
      <w:r w:rsidRPr="00CA099F">
        <w:rPr>
          <w:rFonts w:eastAsia="Times New Roman" w:cs="Times New Roman"/>
          <w:color w:val="000000"/>
          <w:sz w:val="28"/>
          <w:szCs w:val="28"/>
          <w:lang w:val="en-GB" w:eastAsia="ru-RU"/>
        </w:rPr>
        <w:t xml:space="preserve"> // </w:t>
      </w:r>
      <w:hyperlink r:id="rId198">
        <w:r w:rsidRPr="00CA099F">
          <w:rPr>
            <w:rFonts w:eastAsia="Times New Roman" w:cs="Times New Roman"/>
            <w:color w:val="000000"/>
            <w:sz w:val="28"/>
            <w:szCs w:val="28"/>
            <w:lang w:val="en-GB" w:eastAsia="ru-RU"/>
          </w:rPr>
          <w:t>Mol Med Rep</w:t>
        </w:r>
      </w:hyperlink>
      <w:r w:rsidRPr="00CA099F">
        <w:rPr>
          <w:rFonts w:eastAsia="Times New Roman" w:cs="Times New Roman"/>
          <w:color w:val="000000"/>
          <w:sz w:val="28"/>
          <w:szCs w:val="28"/>
          <w:lang w:val="en-GB" w:eastAsia="ru-RU"/>
        </w:rPr>
        <w:t>. – 2017. – Vol. 15(6). – P. 3467–3472.</w:t>
      </w:r>
    </w:p>
    <w:p w:rsidR="0030517B" w:rsidRPr="00CA099F" w:rsidRDefault="0030517B" w:rsidP="0030517B">
      <w:pPr>
        <w:numPr>
          <w:ilvl w:val="0"/>
          <w:numId w:val="17"/>
        </w:numPr>
        <w:pBdr>
          <w:top w:val="nil"/>
          <w:left w:val="nil"/>
          <w:bottom w:val="nil"/>
          <w:right w:val="nil"/>
          <w:between w:val="nil"/>
        </w:pBdr>
        <w:tabs>
          <w:tab w:val="left" w:pos="709"/>
        </w:tabs>
        <w:spacing w:after="0" w:line="360" w:lineRule="auto"/>
        <w:contextualSpacing/>
        <w:jc w:val="both"/>
        <w:rPr>
          <w:rFonts w:eastAsia="Times New Roman" w:cs="Times New Roman"/>
          <w:color w:val="000000"/>
          <w:sz w:val="28"/>
          <w:szCs w:val="28"/>
          <w:lang w:val="en-GB" w:eastAsia="ru-RU"/>
        </w:rPr>
      </w:pPr>
      <w:r w:rsidRPr="00CA099F">
        <w:rPr>
          <w:rFonts w:eastAsia="Times New Roman" w:cs="Times New Roman"/>
          <w:color w:val="000000"/>
          <w:sz w:val="28"/>
          <w:szCs w:val="28"/>
          <w:lang w:val="en-GB" w:eastAsia="ru-RU"/>
        </w:rPr>
        <w:t>Hwang H.W. Micrornas in cell proliferation, cell death, and tumorigenesis / H.W. Hwang, J.T. Mendell // Br J Cancer – 2006. – Vol. 94. – P. 776-780.</w:t>
      </w:r>
    </w:p>
    <w:p w:rsidR="0030517B" w:rsidRPr="00CA099F" w:rsidRDefault="0030517B" w:rsidP="0030517B">
      <w:pPr>
        <w:numPr>
          <w:ilvl w:val="0"/>
          <w:numId w:val="17"/>
        </w:numPr>
        <w:pBdr>
          <w:top w:val="nil"/>
          <w:left w:val="nil"/>
          <w:bottom w:val="nil"/>
          <w:right w:val="nil"/>
          <w:between w:val="nil"/>
        </w:pBdr>
        <w:tabs>
          <w:tab w:val="left" w:pos="709"/>
        </w:tabs>
        <w:spacing w:after="0" w:line="360" w:lineRule="auto"/>
        <w:contextualSpacing/>
        <w:jc w:val="both"/>
        <w:rPr>
          <w:rFonts w:eastAsia="Times New Roman" w:cs="Times New Roman"/>
          <w:color w:val="000000"/>
          <w:sz w:val="28"/>
          <w:szCs w:val="28"/>
          <w:lang w:val="en-GB" w:eastAsia="ru-RU"/>
        </w:rPr>
      </w:pPr>
      <w:r w:rsidRPr="00CA099F">
        <w:rPr>
          <w:rFonts w:eastAsia="Times New Roman" w:cs="Times New Roman"/>
          <w:color w:val="000000"/>
          <w:sz w:val="28"/>
          <w:szCs w:val="28"/>
          <w:lang w:val="en-GB" w:eastAsia="ru-RU"/>
        </w:rPr>
        <w:t>A novel regulatory function for mir-29a in keloid fibrogenesis / G.Y. Zhang, L.C. Wu, T. Liao [et al.] // Clin Exp Dermatol – 2016. – Vol. 41. – P. 341-345.</w:t>
      </w:r>
    </w:p>
    <w:p w:rsidR="0030517B" w:rsidRPr="00CA099F" w:rsidRDefault="0030517B" w:rsidP="0030517B">
      <w:pPr>
        <w:numPr>
          <w:ilvl w:val="0"/>
          <w:numId w:val="17"/>
        </w:numPr>
        <w:pBdr>
          <w:top w:val="nil"/>
          <w:left w:val="nil"/>
          <w:bottom w:val="nil"/>
          <w:right w:val="nil"/>
          <w:between w:val="nil"/>
        </w:pBdr>
        <w:tabs>
          <w:tab w:val="left" w:pos="709"/>
        </w:tabs>
        <w:spacing w:after="0" w:line="360" w:lineRule="auto"/>
        <w:contextualSpacing/>
        <w:jc w:val="both"/>
        <w:rPr>
          <w:rFonts w:eastAsia="Times New Roman" w:cs="Times New Roman"/>
          <w:color w:val="000000"/>
          <w:sz w:val="28"/>
          <w:szCs w:val="28"/>
          <w:lang w:val="en-GB" w:eastAsia="ru-RU"/>
        </w:rPr>
      </w:pPr>
      <w:r w:rsidRPr="00CA099F">
        <w:rPr>
          <w:rFonts w:eastAsia="Times New Roman" w:cs="Times New Roman"/>
          <w:color w:val="000000"/>
          <w:sz w:val="28"/>
          <w:szCs w:val="28"/>
          <w:lang w:val="en-GB" w:eastAsia="ru-RU"/>
        </w:rPr>
        <w:t>Mirna expression profiles in keloid tissue and corresponding normal skin tissue / Y. Liu, D. Yang, Z. Xiao, M. Zhang // Aesthetic Plast Surg – 2012. – Vol. 36. – P. 193-201.</w:t>
      </w:r>
    </w:p>
    <w:p w:rsidR="0030517B" w:rsidRPr="00CA099F" w:rsidRDefault="0030517B" w:rsidP="0030517B">
      <w:pPr>
        <w:numPr>
          <w:ilvl w:val="0"/>
          <w:numId w:val="17"/>
        </w:numPr>
        <w:pBdr>
          <w:top w:val="nil"/>
          <w:left w:val="nil"/>
          <w:bottom w:val="nil"/>
          <w:right w:val="nil"/>
          <w:between w:val="nil"/>
        </w:pBdr>
        <w:tabs>
          <w:tab w:val="left" w:pos="709"/>
        </w:tabs>
        <w:spacing w:after="0" w:line="360" w:lineRule="auto"/>
        <w:contextualSpacing/>
        <w:jc w:val="both"/>
        <w:rPr>
          <w:rFonts w:eastAsia="Times New Roman" w:cs="Times New Roman"/>
          <w:color w:val="000000"/>
          <w:sz w:val="28"/>
          <w:szCs w:val="28"/>
          <w:lang w:val="en-GB" w:eastAsia="ru-RU"/>
        </w:rPr>
      </w:pPr>
      <w:r w:rsidRPr="00CA099F">
        <w:rPr>
          <w:rFonts w:eastAsia="Times New Roman" w:cs="Times New Roman"/>
          <w:color w:val="000000"/>
          <w:sz w:val="28"/>
          <w:szCs w:val="28"/>
          <w:lang w:val="en-GB" w:eastAsia="ru-RU"/>
        </w:rPr>
        <w:t>Overexpression of mir-200b inhibits the cell proliferation and promotes apoptosis of human hypertrophic scar fibroblasts in vitro / P. Li, Q.Y. He, C.Q. Luo [et al.] // J Dermatol – 2014. – Vol. 41. – P. 903-911.</w:t>
      </w:r>
    </w:p>
    <w:p w:rsidR="0030517B" w:rsidRPr="00CA099F" w:rsidRDefault="0030517B" w:rsidP="0030517B">
      <w:pPr>
        <w:numPr>
          <w:ilvl w:val="0"/>
          <w:numId w:val="17"/>
        </w:numPr>
        <w:pBdr>
          <w:top w:val="nil"/>
          <w:left w:val="nil"/>
          <w:bottom w:val="nil"/>
          <w:right w:val="nil"/>
          <w:between w:val="nil"/>
        </w:pBdr>
        <w:tabs>
          <w:tab w:val="left" w:pos="709"/>
        </w:tabs>
        <w:spacing w:after="0" w:line="360" w:lineRule="auto"/>
        <w:contextualSpacing/>
        <w:jc w:val="both"/>
        <w:rPr>
          <w:rFonts w:eastAsia="Times New Roman" w:cs="Times New Roman"/>
          <w:color w:val="000000"/>
          <w:sz w:val="28"/>
          <w:szCs w:val="28"/>
          <w:lang w:val="en-GB" w:eastAsia="ru-RU"/>
        </w:rPr>
      </w:pPr>
      <w:r w:rsidRPr="00CA099F">
        <w:rPr>
          <w:rFonts w:eastAsia="Times New Roman" w:cs="Times New Roman"/>
          <w:color w:val="000000"/>
          <w:sz w:val="28"/>
          <w:szCs w:val="28"/>
          <w:lang w:val="en-GB" w:eastAsia="ru-RU"/>
        </w:rPr>
        <w:lastRenderedPageBreak/>
        <w:t>MiR-181a Targets PHLPP2 to Augment AKT Signaling and Regulate Proliferation and Apoptosis in Human Keloid Fibroblasts / Z. Rang, Z. Wang, Q. Pang [et al.] // Cell Physiol Biochem. – 2016. – Vol. 40. – P. 796-806.</w:t>
      </w:r>
    </w:p>
    <w:p w:rsidR="0030517B" w:rsidRPr="00CA099F" w:rsidRDefault="0030517B" w:rsidP="0030517B">
      <w:pPr>
        <w:numPr>
          <w:ilvl w:val="0"/>
          <w:numId w:val="17"/>
        </w:numPr>
        <w:pBdr>
          <w:top w:val="nil"/>
          <w:left w:val="nil"/>
          <w:bottom w:val="nil"/>
          <w:right w:val="nil"/>
          <w:between w:val="nil"/>
        </w:pBdr>
        <w:tabs>
          <w:tab w:val="left" w:pos="709"/>
        </w:tabs>
        <w:spacing w:after="0" w:line="360" w:lineRule="auto"/>
        <w:contextualSpacing/>
        <w:jc w:val="both"/>
        <w:rPr>
          <w:rFonts w:eastAsia="Times New Roman" w:cs="Times New Roman"/>
          <w:color w:val="000000"/>
          <w:sz w:val="28"/>
          <w:szCs w:val="28"/>
          <w:lang w:val="en-GB" w:eastAsia="ru-RU"/>
        </w:rPr>
      </w:pPr>
      <w:r w:rsidRPr="00CA099F">
        <w:rPr>
          <w:rFonts w:eastAsia="Times New Roman" w:cs="Times New Roman"/>
          <w:color w:val="000000"/>
          <w:sz w:val="28"/>
          <w:szCs w:val="28"/>
          <w:lang w:val="en-GB" w:eastAsia="ru-RU"/>
        </w:rPr>
        <w:t>Animal models of skin regeneration / B. Gawronska-Kozak, A. Grabowska, M. Kopcewicz, A. Kur // Reproductive Biology. – 2014. – Vol. 14. – P. 61–67.</w:t>
      </w:r>
    </w:p>
    <w:p w:rsidR="0030517B" w:rsidRPr="00CA099F" w:rsidRDefault="0030517B" w:rsidP="0030517B">
      <w:pPr>
        <w:numPr>
          <w:ilvl w:val="0"/>
          <w:numId w:val="17"/>
        </w:numPr>
        <w:pBdr>
          <w:top w:val="nil"/>
          <w:left w:val="nil"/>
          <w:bottom w:val="nil"/>
          <w:right w:val="nil"/>
          <w:between w:val="nil"/>
        </w:pBdr>
        <w:tabs>
          <w:tab w:val="left" w:pos="709"/>
          <w:tab w:val="left" w:pos="993"/>
        </w:tabs>
        <w:spacing w:after="0" w:line="360" w:lineRule="auto"/>
        <w:ind w:right="20"/>
        <w:contextualSpacing/>
        <w:jc w:val="both"/>
        <w:rPr>
          <w:rFonts w:eastAsia="Times New Roman" w:cs="Times New Roman"/>
          <w:color w:val="000000"/>
          <w:sz w:val="28"/>
          <w:szCs w:val="28"/>
          <w:lang w:val="ru-RU" w:eastAsia="ru-RU"/>
        </w:rPr>
      </w:pPr>
      <w:r w:rsidRPr="00CA099F">
        <w:rPr>
          <w:rFonts w:eastAsia="Times New Roman" w:cs="Times New Roman"/>
          <w:color w:val="000000"/>
          <w:sz w:val="28"/>
          <w:szCs w:val="28"/>
          <w:lang w:val="ru-RU" w:eastAsia="ru-RU"/>
        </w:rPr>
        <w:t>Авдошенко К. Восстановительное лечение пациентов после пластических операций на лице методами аппаратной косметологии и физиотерапии / К. Авдошенко, Т.Коновалова // Эстетич. мед. – 2007. – № 1. – С. 54-63.</w:t>
      </w:r>
    </w:p>
    <w:p w:rsidR="0030517B" w:rsidRPr="00CA099F" w:rsidRDefault="0030517B" w:rsidP="0030517B">
      <w:pPr>
        <w:numPr>
          <w:ilvl w:val="0"/>
          <w:numId w:val="17"/>
        </w:numPr>
        <w:pBdr>
          <w:top w:val="nil"/>
          <w:left w:val="nil"/>
          <w:bottom w:val="nil"/>
          <w:right w:val="nil"/>
          <w:between w:val="nil"/>
        </w:pBdr>
        <w:tabs>
          <w:tab w:val="left" w:pos="709"/>
        </w:tabs>
        <w:spacing w:after="0" w:line="360" w:lineRule="auto"/>
        <w:contextualSpacing/>
        <w:jc w:val="both"/>
        <w:rPr>
          <w:rFonts w:eastAsia="Times New Roman" w:cs="Times New Roman"/>
          <w:color w:val="000000"/>
          <w:sz w:val="28"/>
          <w:szCs w:val="28"/>
          <w:lang w:val="en-GB" w:eastAsia="ru-RU"/>
        </w:rPr>
      </w:pPr>
      <w:r w:rsidRPr="00CA099F">
        <w:rPr>
          <w:rFonts w:eastAsia="Times New Roman" w:cs="Times New Roman"/>
          <w:color w:val="000000"/>
          <w:sz w:val="28"/>
          <w:szCs w:val="28"/>
          <w:lang w:val="en-GB" w:eastAsia="ru-RU"/>
        </w:rPr>
        <w:t xml:space="preserve">Homeobox B9 facilitates hypertrophic scar formation via activating the mitogen-activated protein kinase signaling pathway / Q. </w:t>
      </w:r>
      <w:hyperlink r:id="rId199">
        <w:r w:rsidRPr="00CA099F">
          <w:rPr>
            <w:rFonts w:eastAsia="Times New Roman" w:cs="Times New Roman"/>
            <w:color w:val="000000"/>
            <w:sz w:val="28"/>
            <w:szCs w:val="28"/>
            <w:lang w:val="en-GB" w:eastAsia="ru-RU"/>
          </w:rPr>
          <w:t>Xie</w:t>
        </w:r>
      </w:hyperlink>
      <w:r w:rsidRPr="00CA099F">
        <w:rPr>
          <w:rFonts w:eastAsia="Times New Roman" w:cs="Times New Roman"/>
          <w:color w:val="000000"/>
          <w:sz w:val="28"/>
          <w:szCs w:val="28"/>
          <w:lang w:val="en-GB" w:eastAsia="ru-RU"/>
        </w:rPr>
        <w:t xml:space="preserve">, D. </w:t>
      </w:r>
      <w:hyperlink r:id="rId200">
        <w:r w:rsidRPr="00CA099F">
          <w:rPr>
            <w:rFonts w:eastAsia="Times New Roman" w:cs="Times New Roman"/>
            <w:color w:val="000000"/>
            <w:sz w:val="28"/>
            <w:szCs w:val="28"/>
            <w:lang w:val="en-GB" w:eastAsia="ru-RU"/>
          </w:rPr>
          <w:t>Liu</w:t>
        </w:r>
      </w:hyperlink>
      <w:r w:rsidRPr="00CA099F">
        <w:rPr>
          <w:rFonts w:eastAsia="Times New Roman" w:cs="Times New Roman"/>
          <w:color w:val="000000"/>
          <w:sz w:val="28"/>
          <w:szCs w:val="28"/>
          <w:lang w:val="en-GB" w:eastAsia="ru-RU"/>
        </w:rPr>
        <w:t xml:space="preserve">, M. </w:t>
      </w:r>
      <w:hyperlink r:id="rId201">
        <w:r w:rsidRPr="00CA099F">
          <w:rPr>
            <w:rFonts w:eastAsia="Times New Roman" w:cs="Times New Roman"/>
            <w:color w:val="000000"/>
            <w:sz w:val="28"/>
            <w:szCs w:val="28"/>
            <w:lang w:val="en-GB" w:eastAsia="ru-RU"/>
          </w:rPr>
          <w:t xml:space="preserve">Yu </w:t>
        </w:r>
      </w:hyperlink>
      <w:r w:rsidRPr="00CA099F">
        <w:rPr>
          <w:rFonts w:eastAsia="Times New Roman" w:cs="Times New Roman"/>
          <w:color w:val="000000"/>
          <w:sz w:val="28"/>
          <w:szCs w:val="28"/>
          <w:lang w:val="en-GB" w:eastAsia="ru-RU"/>
        </w:rPr>
        <w:t xml:space="preserve">[et al.] // </w:t>
      </w:r>
      <w:hyperlink r:id="rId202">
        <w:r w:rsidRPr="00CA099F">
          <w:rPr>
            <w:rFonts w:eastAsia="Times New Roman" w:cs="Times New Roman"/>
            <w:color w:val="000000"/>
            <w:sz w:val="28"/>
            <w:szCs w:val="28"/>
            <w:lang w:val="en-GB" w:eastAsia="ru-RU"/>
          </w:rPr>
          <w:t>Mol Med Rep.</w:t>
        </w:r>
      </w:hyperlink>
      <w:r w:rsidRPr="00CA099F">
        <w:rPr>
          <w:rFonts w:eastAsia="Times New Roman" w:cs="Times New Roman"/>
          <w:color w:val="000000"/>
          <w:sz w:val="28"/>
          <w:szCs w:val="28"/>
          <w:lang w:val="en-GB" w:eastAsia="ru-RU"/>
        </w:rPr>
        <w:t xml:space="preserve"> – 2017. – Vol. 16(2). – P. 1669-1676.</w:t>
      </w:r>
    </w:p>
    <w:p w:rsidR="0030517B" w:rsidRPr="00CA099F" w:rsidRDefault="00417675" w:rsidP="0030517B">
      <w:pPr>
        <w:numPr>
          <w:ilvl w:val="0"/>
          <w:numId w:val="17"/>
        </w:numPr>
        <w:pBdr>
          <w:top w:val="nil"/>
          <w:left w:val="nil"/>
          <w:bottom w:val="nil"/>
          <w:right w:val="nil"/>
          <w:between w:val="nil"/>
        </w:pBdr>
        <w:tabs>
          <w:tab w:val="left" w:pos="709"/>
        </w:tabs>
        <w:spacing w:after="0" w:line="360" w:lineRule="auto"/>
        <w:contextualSpacing/>
        <w:jc w:val="both"/>
        <w:rPr>
          <w:rFonts w:eastAsia="Times New Roman" w:cs="Times New Roman"/>
          <w:color w:val="000000"/>
          <w:sz w:val="28"/>
          <w:szCs w:val="28"/>
          <w:lang w:val="en-GB" w:eastAsia="ru-RU"/>
        </w:rPr>
      </w:pPr>
      <w:hyperlink r:id="rId203">
        <w:r w:rsidR="0030517B" w:rsidRPr="00CA099F">
          <w:rPr>
            <w:rFonts w:eastAsia="Times New Roman" w:cs="Times New Roman"/>
            <w:color w:val="000000"/>
            <w:sz w:val="28"/>
            <w:szCs w:val="28"/>
            <w:lang w:val="en-GB" w:eastAsia="ru-RU"/>
          </w:rPr>
          <w:t>Jin J</w:t>
        </w:r>
      </w:hyperlink>
      <w:r w:rsidR="0030517B" w:rsidRPr="00CA099F">
        <w:rPr>
          <w:rFonts w:eastAsia="Times New Roman" w:cs="Times New Roman"/>
          <w:color w:val="000000"/>
          <w:sz w:val="28"/>
          <w:szCs w:val="28"/>
          <w:lang w:val="en-GB" w:eastAsia="ru-RU"/>
        </w:rPr>
        <w:t xml:space="preserve">. Advances in the research of signaling pathway in pathologic scar formation / J. </w:t>
      </w:r>
      <w:hyperlink r:id="rId204">
        <w:r w:rsidR="0030517B" w:rsidRPr="00CA099F">
          <w:rPr>
            <w:rFonts w:eastAsia="Times New Roman" w:cs="Times New Roman"/>
            <w:color w:val="000000"/>
            <w:sz w:val="28"/>
            <w:szCs w:val="28"/>
            <w:lang w:val="en-GB" w:eastAsia="ru-RU"/>
          </w:rPr>
          <w:t>Jin</w:t>
        </w:r>
      </w:hyperlink>
      <w:r w:rsidR="0030517B" w:rsidRPr="00CA099F">
        <w:rPr>
          <w:rFonts w:eastAsia="Times New Roman" w:cs="Times New Roman"/>
          <w:color w:val="000000"/>
          <w:sz w:val="28"/>
          <w:szCs w:val="28"/>
          <w:lang w:val="en-GB" w:eastAsia="ru-RU"/>
        </w:rPr>
        <w:t xml:space="preserve">, B. </w:t>
      </w:r>
      <w:hyperlink r:id="rId205">
        <w:r w:rsidR="0030517B" w:rsidRPr="00CA099F">
          <w:rPr>
            <w:rFonts w:eastAsia="Times New Roman" w:cs="Times New Roman"/>
            <w:color w:val="000000"/>
            <w:sz w:val="28"/>
            <w:szCs w:val="28"/>
            <w:lang w:val="en-GB" w:eastAsia="ru-RU"/>
          </w:rPr>
          <w:t>Ma</w:t>
        </w:r>
      </w:hyperlink>
      <w:r w:rsidR="0030517B" w:rsidRPr="00CA099F">
        <w:rPr>
          <w:rFonts w:eastAsia="Times New Roman" w:cs="Times New Roman"/>
          <w:color w:val="000000"/>
          <w:sz w:val="28"/>
          <w:szCs w:val="28"/>
          <w:lang w:val="en-GB" w:eastAsia="ru-RU"/>
        </w:rPr>
        <w:t xml:space="preserve">, Z.F. </w:t>
      </w:r>
      <w:hyperlink r:id="rId206">
        <w:r w:rsidR="0030517B" w:rsidRPr="00CA099F">
          <w:rPr>
            <w:rFonts w:eastAsia="Times New Roman" w:cs="Times New Roman"/>
            <w:color w:val="000000"/>
            <w:sz w:val="28"/>
            <w:szCs w:val="28"/>
            <w:lang w:val="en-GB" w:eastAsia="ru-RU"/>
          </w:rPr>
          <w:t>Xia</w:t>
        </w:r>
      </w:hyperlink>
      <w:r w:rsidR="0030517B" w:rsidRPr="00CA099F">
        <w:rPr>
          <w:rFonts w:eastAsia="Times New Roman" w:cs="Times New Roman"/>
          <w:color w:val="000000"/>
          <w:sz w:val="28"/>
          <w:szCs w:val="28"/>
          <w:lang w:val="en-GB" w:eastAsia="ru-RU"/>
        </w:rPr>
        <w:t xml:space="preserve"> // </w:t>
      </w:r>
      <w:hyperlink r:id="rId207">
        <w:r w:rsidR="0030517B" w:rsidRPr="00CA099F">
          <w:rPr>
            <w:rFonts w:eastAsia="Times New Roman" w:cs="Times New Roman"/>
            <w:color w:val="000000"/>
            <w:sz w:val="28"/>
            <w:szCs w:val="28"/>
            <w:lang w:val="en-GB" w:eastAsia="ru-RU"/>
          </w:rPr>
          <w:t>Zhonghua Shao Shang Za Zhi.</w:t>
        </w:r>
      </w:hyperlink>
      <w:r w:rsidR="0030517B" w:rsidRPr="00CA099F">
        <w:rPr>
          <w:rFonts w:eastAsia="Times New Roman" w:cs="Times New Roman"/>
          <w:color w:val="000000"/>
          <w:sz w:val="28"/>
          <w:szCs w:val="28"/>
          <w:lang w:val="en-GB" w:eastAsia="ru-RU"/>
        </w:rPr>
        <w:t xml:space="preserve"> – 2017. –Vol. 33(3). – P. 152-155.</w:t>
      </w:r>
    </w:p>
    <w:p w:rsidR="0030517B" w:rsidRPr="00CA099F" w:rsidRDefault="0030517B" w:rsidP="0030517B">
      <w:pPr>
        <w:numPr>
          <w:ilvl w:val="0"/>
          <w:numId w:val="17"/>
        </w:numPr>
        <w:pBdr>
          <w:top w:val="nil"/>
          <w:left w:val="nil"/>
          <w:bottom w:val="nil"/>
          <w:right w:val="nil"/>
          <w:between w:val="nil"/>
        </w:pBdr>
        <w:tabs>
          <w:tab w:val="left" w:pos="709"/>
        </w:tabs>
        <w:spacing w:after="0" w:line="360" w:lineRule="auto"/>
        <w:contextualSpacing/>
        <w:jc w:val="both"/>
        <w:rPr>
          <w:rFonts w:eastAsia="Times New Roman" w:cs="Times New Roman"/>
          <w:color w:val="000000"/>
          <w:sz w:val="28"/>
          <w:szCs w:val="28"/>
          <w:lang w:val="en-GB" w:eastAsia="ru-RU"/>
        </w:rPr>
      </w:pPr>
      <w:r w:rsidRPr="00CA099F">
        <w:rPr>
          <w:rFonts w:eastAsia="Times New Roman" w:cs="Times New Roman"/>
          <w:color w:val="000000"/>
          <w:sz w:val="28"/>
          <w:szCs w:val="28"/>
          <w:lang w:val="en-GB" w:eastAsia="ru-RU"/>
        </w:rPr>
        <w:t>Are keloid and hypertrophic scar different forms of the same disorder? A fibroproliferative skin disorder hypothesis based on keloid findings / C. Huang, S. Akaishi, H. Hyakusoku, R. Ogawa // Int Wound J – 2014. – Vol. 11. – P. 517–522.</w:t>
      </w:r>
    </w:p>
    <w:p w:rsidR="0030517B" w:rsidRPr="00CA099F" w:rsidRDefault="0030517B" w:rsidP="0030517B">
      <w:pPr>
        <w:numPr>
          <w:ilvl w:val="0"/>
          <w:numId w:val="17"/>
        </w:numPr>
        <w:pBdr>
          <w:top w:val="nil"/>
          <w:left w:val="nil"/>
          <w:bottom w:val="nil"/>
          <w:right w:val="nil"/>
          <w:between w:val="nil"/>
        </w:pBdr>
        <w:tabs>
          <w:tab w:val="left" w:pos="709"/>
        </w:tabs>
        <w:spacing w:after="0" w:line="360" w:lineRule="auto"/>
        <w:contextualSpacing/>
        <w:jc w:val="both"/>
        <w:rPr>
          <w:rFonts w:eastAsia="Times New Roman" w:cs="Times New Roman"/>
          <w:color w:val="000000"/>
          <w:sz w:val="28"/>
          <w:szCs w:val="28"/>
          <w:lang w:val="ru-RU" w:eastAsia="ru-RU"/>
        </w:rPr>
      </w:pPr>
      <w:r w:rsidRPr="00CA099F">
        <w:rPr>
          <w:rFonts w:eastAsia="Times New Roman" w:cs="Times New Roman"/>
          <w:color w:val="000000"/>
          <w:sz w:val="28"/>
          <w:szCs w:val="28"/>
          <w:lang w:val="ru-RU" w:eastAsia="ru-RU"/>
        </w:rPr>
        <w:t>Аветіков Д.С. Особливості будови та біомеханічних властивостей сполучнотканиних структур голови / Д. С. Аветіков // Вісник морфології. – 2010. - № 16(3). – С. 721–726.</w:t>
      </w:r>
    </w:p>
    <w:p w:rsidR="0030517B" w:rsidRPr="00CA099F" w:rsidRDefault="0030517B" w:rsidP="0030517B">
      <w:pPr>
        <w:numPr>
          <w:ilvl w:val="0"/>
          <w:numId w:val="17"/>
        </w:numPr>
        <w:pBdr>
          <w:top w:val="nil"/>
          <w:left w:val="nil"/>
          <w:bottom w:val="nil"/>
          <w:right w:val="nil"/>
          <w:between w:val="nil"/>
        </w:pBdr>
        <w:tabs>
          <w:tab w:val="left" w:pos="709"/>
        </w:tabs>
        <w:spacing w:after="0" w:line="360" w:lineRule="auto"/>
        <w:contextualSpacing/>
        <w:jc w:val="both"/>
        <w:rPr>
          <w:rFonts w:eastAsia="Times New Roman" w:cs="Times New Roman"/>
          <w:color w:val="000000"/>
          <w:sz w:val="28"/>
          <w:szCs w:val="28"/>
          <w:lang w:val="ru-RU" w:eastAsia="ru-RU"/>
        </w:rPr>
      </w:pPr>
      <w:r w:rsidRPr="00CA099F">
        <w:rPr>
          <w:rFonts w:eastAsia="Times New Roman" w:cs="Times New Roman"/>
          <w:color w:val="000000"/>
          <w:sz w:val="28"/>
          <w:szCs w:val="28"/>
          <w:lang w:val="ru-RU" w:eastAsia="ru-RU"/>
        </w:rPr>
        <w:t>Аветіков Д. С. Морфофункціональні особливості будови м’яких тканин різних ділянок голови людини : автореф. дис. на отрим. вчен. ступення докт. мед. наук : спец. 14.03.01 “нормальна анатомія” / Д.С. Аветіков. – Х., 2011. – 37 с.</w:t>
      </w:r>
    </w:p>
    <w:p w:rsidR="0030517B" w:rsidRPr="00CA099F" w:rsidRDefault="0030517B" w:rsidP="0030517B">
      <w:pPr>
        <w:numPr>
          <w:ilvl w:val="0"/>
          <w:numId w:val="17"/>
        </w:numPr>
        <w:pBdr>
          <w:top w:val="nil"/>
          <w:left w:val="nil"/>
          <w:bottom w:val="nil"/>
          <w:right w:val="nil"/>
          <w:between w:val="nil"/>
        </w:pBdr>
        <w:tabs>
          <w:tab w:val="left" w:pos="709"/>
          <w:tab w:val="left" w:pos="934"/>
        </w:tabs>
        <w:spacing w:after="0" w:line="360" w:lineRule="auto"/>
        <w:ind w:right="20"/>
        <w:contextualSpacing/>
        <w:jc w:val="both"/>
        <w:rPr>
          <w:rFonts w:eastAsia="Times New Roman" w:cs="Times New Roman"/>
          <w:color w:val="000000"/>
          <w:sz w:val="28"/>
          <w:szCs w:val="28"/>
          <w:lang w:val="ru-RU" w:eastAsia="ru-RU"/>
        </w:rPr>
      </w:pPr>
      <w:r w:rsidRPr="00CA099F">
        <w:rPr>
          <w:rFonts w:eastAsia="Times New Roman" w:cs="Times New Roman"/>
          <w:color w:val="000000"/>
          <w:sz w:val="28"/>
          <w:szCs w:val="28"/>
          <w:lang w:val="ru-RU" w:eastAsia="ru-RU"/>
        </w:rPr>
        <w:t>Перловская В.В. Рубцовые поражения кожи у детей / В.В. Перловская, В.Н. Стальмахович // Сибирский мед. журнал. - 2009. - №7. – С.240-244.</w:t>
      </w:r>
    </w:p>
    <w:p w:rsidR="0030517B" w:rsidRPr="00CA099F" w:rsidRDefault="00417675" w:rsidP="0030517B">
      <w:pPr>
        <w:numPr>
          <w:ilvl w:val="0"/>
          <w:numId w:val="17"/>
        </w:numPr>
        <w:pBdr>
          <w:top w:val="nil"/>
          <w:left w:val="nil"/>
          <w:bottom w:val="nil"/>
          <w:right w:val="nil"/>
          <w:between w:val="nil"/>
        </w:pBdr>
        <w:tabs>
          <w:tab w:val="left" w:pos="709"/>
        </w:tabs>
        <w:spacing w:after="0" w:line="360" w:lineRule="auto"/>
        <w:contextualSpacing/>
        <w:jc w:val="both"/>
        <w:rPr>
          <w:rFonts w:eastAsia="Times New Roman" w:cs="Times New Roman"/>
          <w:color w:val="000000"/>
          <w:sz w:val="28"/>
          <w:szCs w:val="28"/>
          <w:lang w:val="en-GB" w:eastAsia="ru-RU"/>
        </w:rPr>
      </w:pPr>
      <w:hyperlink r:id="rId208">
        <w:r w:rsidR="0030517B" w:rsidRPr="00CA099F">
          <w:rPr>
            <w:rFonts w:eastAsia="Times New Roman" w:cs="Times New Roman"/>
            <w:color w:val="000000"/>
            <w:sz w:val="28"/>
            <w:szCs w:val="28"/>
            <w:lang w:val="en-GB" w:eastAsia="ru-RU"/>
          </w:rPr>
          <w:t>Goldberg</w:t>
        </w:r>
      </w:hyperlink>
      <w:r w:rsidR="0030517B" w:rsidRPr="00CA099F">
        <w:rPr>
          <w:rFonts w:eastAsia="Times New Roman" w:cs="Times New Roman"/>
          <w:color w:val="000000"/>
          <w:sz w:val="28"/>
          <w:szCs w:val="28"/>
          <w:lang w:val="en-GB" w:eastAsia="ru-RU"/>
        </w:rPr>
        <w:t xml:space="preserve"> D.J. Efficacy and Safety of a Novel 100% Silicone Scar Gel Treatment for Early Intervention in Scar Management / </w:t>
      </w:r>
      <w:hyperlink r:id="rId209">
        <w:r w:rsidR="0030517B" w:rsidRPr="00CA099F">
          <w:rPr>
            <w:rFonts w:eastAsia="Times New Roman" w:cs="Times New Roman"/>
            <w:color w:val="000000"/>
            <w:sz w:val="28"/>
            <w:szCs w:val="28"/>
            <w:lang w:val="en-GB" w:eastAsia="ru-RU"/>
          </w:rPr>
          <w:t>Goldberg</w:t>
        </w:r>
      </w:hyperlink>
      <w:r w:rsidR="0030517B" w:rsidRPr="00CA099F">
        <w:rPr>
          <w:rFonts w:eastAsia="Times New Roman" w:cs="Times New Roman"/>
          <w:color w:val="000000"/>
          <w:sz w:val="28"/>
          <w:szCs w:val="28"/>
          <w:lang w:val="en-GB" w:eastAsia="ru-RU"/>
        </w:rPr>
        <w:t xml:space="preserve"> D. J. // </w:t>
      </w:r>
      <w:hyperlink r:id="rId210">
        <w:r w:rsidR="0030517B" w:rsidRPr="00CA099F">
          <w:rPr>
            <w:rFonts w:eastAsia="Times New Roman" w:cs="Times New Roman"/>
            <w:color w:val="000000"/>
            <w:sz w:val="28"/>
            <w:szCs w:val="28"/>
            <w:lang w:val="en-GB" w:eastAsia="ru-RU"/>
          </w:rPr>
          <w:t>J Clin Aesthet Dermatol</w:t>
        </w:r>
      </w:hyperlink>
      <w:r w:rsidR="0030517B" w:rsidRPr="00CA099F">
        <w:rPr>
          <w:rFonts w:eastAsia="Times New Roman" w:cs="Times New Roman"/>
          <w:color w:val="000000"/>
          <w:sz w:val="28"/>
          <w:szCs w:val="28"/>
          <w:lang w:val="en-GB" w:eastAsia="ru-RU"/>
        </w:rPr>
        <w:t>. – 2016. – Vol. 9(12). – P. 13–20.</w:t>
      </w:r>
    </w:p>
    <w:p w:rsidR="0030517B" w:rsidRPr="00CA099F" w:rsidRDefault="0030517B" w:rsidP="0030517B">
      <w:pPr>
        <w:numPr>
          <w:ilvl w:val="0"/>
          <w:numId w:val="17"/>
        </w:numPr>
        <w:pBdr>
          <w:top w:val="nil"/>
          <w:left w:val="nil"/>
          <w:bottom w:val="nil"/>
          <w:right w:val="nil"/>
          <w:between w:val="nil"/>
        </w:pBdr>
        <w:tabs>
          <w:tab w:val="left" w:pos="709"/>
        </w:tabs>
        <w:spacing w:after="0" w:line="360" w:lineRule="auto"/>
        <w:contextualSpacing/>
        <w:jc w:val="both"/>
        <w:rPr>
          <w:rFonts w:eastAsia="Times New Roman" w:cs="Times New Roman"/>
          <w:color w:val="000000"/>
          <w:sz w:val="28"/>
          <w:szCs w:val="28"/>
          <w:lang w:val="en-GB" w:eastAsia="ru-RU"/>
        </w:rPr>
      </w:pPr>
      <w:r w:rsidRPr="00CA099F">
        <w:rPr>
          <w:rFonts w:eastAsia="Times New Roman" w:cs="Times New Roman"/>
          <w:color w:val="000000"/>
          <w:sz w:val="28"/>
          <w:szCs w:val="28"/>
          <w:lang w:val="en-GB" w:eastAsia="ru-RU"/>
        </w:rPr>
        <w:t>Management of scars: updated practical guidelines and use of silicones / S. Meaume, A. Le Pillouer-Prost, B. Richert [et al.] // Eur J Dermatol. – 2014. – Vol. 24. – P. 435–443.</w:t>
      </w:r>
    </w:p>
    <w:p w:rsidR="0030517B" w:rsidRPr="00CA099F" w:rsidRDefault="00417675" w:rsidP="0030517B">
      <w:pPr>
        <w:numPr>
          <w:ilvl w:val="0"/>
          <w:numId w:val="17"/>
        </w:numPr>
        <w:pBdr>
          <w:top w:val="nil"/>
          <w:left w:val="nil"/>
          <w:bottom w:val="nil"/>
          <w:right w:val="nil"/>
          <w:between w:val="nil"/>
        </w:pBdr>
        <w:shd w:val="clear" w:color="auto" w:fill="FFFFFF"/>
        <w:tabs>
          <w:tab w:val="left" w:pos="709"/>
        </w:tabs>
        <w:spacing w:after="0" w:line="360" w:lineRule="auto"/>
        <w:contextualSpacing/>
        <w:jc w:val="both"/>
        <w:rPr>
          <w:rFonts w:eastAsia="Times New Roman" w:cs="Times New Roman"/>
          <w:color w:val="000000"/>
          <w:sz w:val="28"/>
          <w:szCs w:val="28"/>
          <w:lang w:val="en-GB" w:eastAsia="ru-RU"/>
        </w:rPr>
      </w:pPr>
      <w:hyperlink r:id="rId211">
        <w:r w:rsidR="0030517B" w:rsidRPr="00CA099F">
          <w:rPr>
            <w:rFonts w:eastAsia="Times New Roman" w:cs="Times New Roman"/>
            <w:color w:val="000000"/>
            <w:sz w:val="28"/>
            <w:szCs w:val="28"/>
            <w:lang w:val="en-GB" w:eastAsia="ru-RU"/>
          </w:rPr>
          <w:t>Moore</w:t>
        </w:r>
      </w:hyperlink>
      <w:r w:rsidR="0030517B" w:rsidRPr="00CA099F">
        <w:rPr>
          <w:rFonts w:eastAsia="Times New Roman" w:cs="Times New Roman"/>
          <w:color w:val="000000"/>
          <w:sz w:val="28"/>
          <w:szCs w:val="28"/>
          <w:lang w:val="en-GB" w:eastAsia="ru-RU"/>
        </w:rPr>
        <w:t xml:space="preserve"> A. L. Minimizing Skin Scarring through Biomaterial Design / </w:t>
      </w:r>
      <w:hyperlink r:id="rId212">
        <w:r w:rsidR="0030517B" w:rsidRPr="00CA099F">
          <w:rPr>
            <w:rFonts w:eastAsia="Times New Roman" w:cs="Times New Roman"/>
            <w:color w:val="000000"/>
            <w:sz w:val="28"/>
            <w:szCs w:val="28"/>
            <w:lang w:val="en-GB" w:eastAsia="ru-RU"/>
          </w:rPr>
          <w:t>A. L. Moore</w:t>
        </w:r>
      </w:hyperlink>
      <w:r w:rsidR="0030517B" w:rsidRPr="00CA099F">
        <w:rPr>
          <w:rFonts w:eastAsia="Times New Roman" w:cs="Times New Roman"/>
          <w:color w:val="000000"/>
          <w:sz w:val="28"/>
          <w:szCs w:val="28"/>
          <w:lang w:val="en-GB" w:eastAsia="ru-RU"/>
        </w:rPr>
        <w:t>,</w:t>
      </w:r>
      <w:hyperlink r:id="rId213">
        <w:r w:rsidR="0030517B" w:rsidRPr="00CA099F">
          <w:rPr>
            <w:rFonts w:eastAsia="Times New Roman" w:cs="Times New Roman"/>
            <w:color w:val="000000"/>
            <w:sz w:val="28"/>
            <w:szCs w:val="28"/>
            <w:lang w:val="en-GB" w:eastAsia="ru-RU"/>
          </w:rPr>
          <w:t>C. D. Marshall</w:t>
        </w:r>
      </w:hyperlink>
      <w:r w:rsidR="0030517B" w:rsidRPr="00CA099F">
        <w:rPr>
          <w:rFonts w:eastAsia="Times New Roman" w:cs="Times New Roman"/>
          <w:color w:val="000000"/>
          <w:sz w:val="28"/>
          <w:szCs w:val="28"/>
          <w:lang w:val="en-GB" w:eastAsia="ru-RU"/>
        </w:rPr>
        <w:t>,</w:t>
      </w:r>
      <w:hyperlink r:id="rId214">
        <w:r w:rsidR="0030517B" w:rsidRPr="00CA099F">
          <w:rPr>
            <w:rFonts w:eastAsia="Times New Roman" w:cs="Times New Roman"/>
            <w:color w:val="000000"/>
            <w:sz w:val="28"/>
            <w:szCs w:val="28"/>
            <w:lang w:val="en-GB" w:eastAsia="ru-RU"/>
          </w:rPr>
          <w:t>M. T. Longaker</w:t>
        </w:r>
      </w:hyperlink>
      <w:r w:rsidR="0030517B" w:rsidRPr="00CA099F">
        <w:rPr>
          <w:rFonts w:eastAsia="Times New Roman" w:cs="Times New Roman"/>
          <w:color w:val="000000"/>
          <w:sz w:val="28"/>
          <w:szCs w:val="28"/>
          <w:lang w:val="en-GB" w:eastAsia="ru-RU"/>
        </w:rPr>
        <w:t xml:space="preserve"> // </w:t>
      </w:r>
      <w:hyperlink r:id="rId215">
        <w:r w:rsidR="0030517B" w:rsidRPr="00CA099F">
          <w:rPr>
            <w:rFonts w:eastAsia="Times New Roman" w:cs="Times New Roman"/>
            <w:color w:val="000000"/>
            <w:sz w:val="28"/>
            <w:szCs w:val="28"/>
            <w:lang w:val="en-GB" w:eastAsia="ru-RU"/>
          </w:rPr>
          <w:t>J Funct Biomater</w:t>
        </w:r>
      </w:hyperlink>
      <w:r w:rsidR="0030517B" w:rsidRPr="00CA099F">
        <w:rPr>
          <w:rFonts w:eastAsia="Times New Roman" w:cs="Times New Roman"/>
          <w:color w:val="000000"/>
          <w:sz w:val="28"/>
          <w:szCs w:val="28"/>
          <w:lang w:val="en-GB" w:eastAsia="ru-RU"/>
        </w:rPr>
        <w:t>. – 2017. – Vol. 8(1). – P. 3.</w:t>
      </w:r>
    </w:p>
    <w:p w:rsidR="0030517B" w:rsidRPr="00CA099F" w:rsidRDefault="0030517B" w:rsidP="0030517B">
      <w:pPr>
        <w:numPr>
          <w:ilvl w:val="0"/>
          <w:numId w:val="17"/>
        </w:numPr>
        <w:pBdr>
          <w:top w:val="nil"/>
          <w:left w:val="nil"/>
          <w:bottom w:val="nil"/>
          <w:right w:val="nil"/>
          <w:between w:val="nil"/>
        </w:pBdr>
        <w:tabs>
          <w:tab w:val="left" w:pos="709"/>
          <w:tab w:val="left" w:pos="930"/>
        </w:tabs>
        <w:spacing w:after="0" w:line="360" w:lineRule="auto"/>
        <w:ind w:right="300"/>
        <w:contextualSpacing/>
        <w:jc w:val="both"/>
        <w:rPr>
          <w:rFonts w:eastAsia="Times New Roman" w:cs="Times New Roman"/>
          <w:color w:val="000000"/>
          <w:sz w:val="28"/>
          <w:szCs w:val="28"/>
          <w:lang w:val="en-GB" w:eastAsia="ru-RU"/>
        </w:rPr>
      </w:pPr>
      <w:r w:rsidRPr="00CA099F">
        <w:rPr>
          <w:rFonts w:eastAsia="Times New Roman" w:cs="Times New Roman"/>
          <w:color w:val="000000"/>
          <w:sz w:val="28"/>
          <w:szCs w:val="28"/>
          <w:lang w:val="en-GB" w:eastAsia="ru-RU"/>
        </w:rPr>
        <w:t>Scarless wound healing: finding the right cells and signals / T. Leavitt, M.S. Hu, C.D. Marshall [et al.] // Cell and Tissue Research. – 2016. – Vol. 365. – P. 483–493.</w:t>
      </w:r>
    </w:p>
    <w:p w:rsidR="0030517B" w:rsidRPr="00CA099F" w:rsidRDefault="0030517B" w:rsidP="0030517B">
      <w:pPr>
        <w:numPr>
          <w:ilvl w:val="0"/>
          <w:numId w:val="17"/>
        </w:numPr>
        <w:pBdr>
          <w:top w:val="nil"/>
          <w:left w:val="nil"/>
          <w:bottom w:val="nil"/>
          <w:right w:val="nil"/>
          <w:between w:val="nil"/>
        </w:pBdr>
        <w:tabs>
          <w:tab w:val="left" w:pos="709"/>
          <w:tab w:val="left" w:pos="934"/>
        </w:tabs>
        <w:spacing w:after="0" w:line="360" w:lineRule="auto"/>
        <w:ind w:right="20"/>
        <w:contextualSpacing/>
        <w:jc w:val="both"/>
        <w:rPr>
          <w:rFonts w:eastAsia="Times New Roman" w:cs="Times New Roman"/>
          <w:color w:val="000000"/>
          <w:sz w:val="28"/>
          <w:szCs w:val="28"/>
          <w:lang w:val="ru-RU" w:eastAsia="ru-RU"/>
        </w:rPr>
      </w:pPr>
      <w:r w:rsidRPr="00CA099F">
        <w:rPr>
          <w:rFonts w:eastAsia="Times New Roman" w:cs="Times New Roman"/>
          <w:color w:val="000000"/>
          <w:sz w:val="28"/>
          <w:szCs w:val="28"/>
          <w:lang w:val="ru-RU" w:eastAsia="ru-RU"/>
        </w:rPr>
        <w:t xml:space="preserve">Экспериментальное обоснование целесообразности ранней коррекции послеоперационных рубцов излучением С02-лазера в суперимпульсном режиме / В.Ф. Куликовский, Н.В. Олейник, </w:t>
      </w:r>
      <w:r w:rsidRPr="00CA099F">
        <w:rPr>
          <w:rFonts w:eastAsia="Times New Roman" w:cs="Times New Roman"/>
          <w:color w:val="000000"/>
          <w:sz w:val="28"/>
          <w:szCs w:val="28"/>
          <w:lang w:val="en-GB" w:eastAsia="ru-RU"/>
        </w:rPr>
        <w:t>A</w:t>
      </w:r>
      <w:r w:rsidRPr="00CA099F">
        <w:rPr>
          <w:rFonts w:eastAsia="Times New Roman" w:cs="Times New Roman"/>
          <w:color w:val="000000"/>
          <w:sz w:val="28"/>
          <w:szCs w:val="28"/>
          <w:lang w:val="ru-RU" w:eastAsia="ru-RU"/>
        </w:rPr>
        <w:t>.</w:t>
      </w:r>
      <w:r w:rsidRPr="00CA099F">
        <w:rPr>
          <w:rFonts w:eastAsia="Times New Roman" w:cs="Times New Roman"/>
          <w:color w:val="000000"/>
          <w:sz w:val="28"/>
          <w:szCs w:val="28"/>
          <w:lang w:val="en-GB" w:eastAsia="ru-RU"/>
        </w:rPr>
        <w:t>A</w:t>
      </w:r>
      <w:r w:rsidRPr="00CA099F">
        <w:rPr>
          <w:rFonts w:eastAsia="Times New Roman" w:cs="Times New Roman"/>
          <w:color w:val="000000"/>
          <w:sz w:val="28"/>
          <w:szCs w:val="28"/>
          <w:lang w:val="ru-RU" w:eastAsia="ru-RU"/>
        </w:rPr>
        <w:t>. Должиков, Ю.Е. Щербатова // Альманах клинической медицины. - 2007. - №6. – С. 93-96.</w:t>
      </w:r>
    </w:p>
    <w:p w:rsidR="0030517B" w:rsidRPr="00CA099F" w:rsidRDefault="0030517B" w:rsidP="0030517B">
      <w:pPr>
        <w:numPr>
          <w:ilvl w:val="0"/>
          <w:numId w:val="17"/>
        </w:numPr>
        <w:pBdr>
          <w:top w:val="nil"/>
          <w:left w:val="nil"/>
          <w:bottom w:val="nil"/>
          <w:right w:val="nil"/>
          <w:between w:val="nil"/>
        </w:pBdr>
        <w:tabs>
          <w:tab w:val="left" w:pos="709"/>
          <w:tab w:val="left" w:pos="949"/>
        </w:tabs>
        <w:spacing w:after="0" w:line="360" w:lineRule="auto"/>
        <w:ind w:right="20"/>
        <w:contextualSpacing/>
        <w:jc w:val="both"/>
        <w:rPr>
          <w:rFonts w:eastAsia="Times New Roman" w:cs="Times New Roman"/>
          <w:color w:val="000000"/>
          <w:sz w:val="28"/>
          <w:szCs w:val="28"/>
          <w:lang w:val="en-GB" w:eastAsia="ru-RU"/>
        </w:rPr>
      </w:pPr>
      <w:r w:rsidRPr="00CA099F">
        <w:rPr>
          <w:rFonts w:eastAsia="Times New Roman" w:cs="Times New Roman"/>
          <w:color w:val="000000"/>
          <w:sz w:val="28"/>
          <w:szCs w:val="28"/>
          <w:lang w:val="en-GB" w:eastAsia="ru-RU"/>
        </w:rPr>
        <w:t>Gauglitz G.G. Hypertrophic Scarring and Keloids: Pathomechanisms and Current and Emerging Treatment Strategies / G.G. Gauglitz, H.C. Korting, T. Pavicic // Mol.Med. – 2011. – Vol. 17(1-2). – P. 113-125.</w:t>
      </w:r>
    </w:p>
    <w:p w:rsidR="0030517B" w:rsidRPr="00CA099F" w:rsidRDefault="0030517B" w:rsidP="0030517B">
      <w:pPr>
        <w:numPr>
          <w:ilvl w:val="0"/>
          <w:numId w:val="17"/>
        </w:numPr>
        <w:pBdr>
          <w:top w:val="nil"/>
          <w:left w:val="nil"/>
          <w:bottom w:val="nil"/>
          <w:right w:val="nil"/>
          <w:between w:val="nil"/>
        </w:pBdr>
        <w:tabs>
          <w:tab w:val="left" w:pos="709"/>
        </w:tabs>
        <w:spacing w:after="0" w:line="360" w:lineRule="auto"/>
        <w:contextualSpacing/>
        <w:jc w:val="both"/>
        <w:rPr>
          <w:rFonts w:eastAsia="Times New Roman" w:cs="Times New Roman"/>
          <w:color w:val="000000"/>
          <w:sz w:val="28"/>
          <w:szCs w:val="28"/>
          <w:lang w:val="en-GB" w:eastAsia="ru-RU"/>
        </w:rPr>
      </w:pPr>
      <w:r w:rsidRPr="00CA099F">
        <w:rPr>
          <w:rFonts w:eastAsia="Gungsuh" w:cs="Times New Roman"/>
          <w:color w:val="000000"/>
          <w:sz w:val="28"/>
          <w:szCs w:val="28"/>
          <w:lang w:val="en-GB" w:eastAsia="ru-RU"/>
        </w:rPr>
        <w:t>Kelemen O. A comparative clinical study of the treatment of hypertrophic scars with either intralaesional steroids or silicone gel sheeting / O. Kelemen, L. Kollar, G. Menuhei // Magy Seb. – 2007. – Vol. 60(6). − P. 297−300.</w:t>
      </w:r>
    </w:p>
    <w:p w:rsidR="0030517B" w:rsidRPr="00CA099F" w:rsidRDefault="0030517B" w:rsidP="0030517B">
      <w:pPr>
        <w:numPr>
          <w:ilvl w:val="0"/>
          <w:numId w:val="17"/>
        </w:numPr>
        <w:pBdr>
          <w:top w:val="nil"/>
          <w:left w:val="nil"/>
          <w:bottom w:val="nil"/>
          <w:right w:val="nil"/>
          <w:between w:val="nil"/>
        </w:pBdr>
        <w:tabs>
          <w:tab w:val="left" w:pos="709"/>
        </w:tabs>
        <w:spacing w:after="0" w:line="360" w:lineRule="auto"/>
        <w:contextualSpacing/>
        <w:jc w:val="both"/>
        <w:rPr>
          <w:rFonts w:eastAsia="Times New Roman" w:cs="Times New Roman"/>
          <w:color w:val="000000"/>
          <w:sz w:val="28"/>
          <w:szCs w:val="28"/>
          <w:lang w:val="en-GB" w:eastAsia="ru-RU"/>
        </w:rPr>
      </w:pPr>
      <w:r w:rsidRPr="00CA099F">
        <w:rPr>
          <w:rFonts w:eastAsia="Times New Roman" w:cs="Times New Roman"/>
          <w:color w:val="000000"/>
          <w:sz w:val="28"/>
          <w:szCs w:val="28"/>
          <w:lang w:val="en-GB" w:eastAsia="ru-RU"/>
        </w:rPr>
        <w:t>Денисенко О.Г. Диференційна діагностика і лікування келоїдних та гіпертрофічних рубців / О.Г. Денисенко, Р.О. Чернышов // Галицький лікарський вісник. – 2006. – Т. 13, № 1. – С. 112– 115.</w:t>
      </w:r>
    </w:p>
    <w:p w:rsidR="0030517B" w:rsidRPr="00CA099F" w:rsidRDefault="0030517B" w:rsidP="0030517B">
      <w:pPr>
        <w:numPr>
          <w:ilvl w:val="0"/>
          <w:numId w:val="17"/>
        </w:numPr>
        <w:pBdr>
          <w:top w:val="nil"/>
          <w:left w:val="nil"/>
          <w:bottom w:val="nil"/>
          <w:right w:val="nil"/>
          <w:between w:val="nil"/>
        </w:pBdr>
        <w:tabs>
          <w:tab w:val="left" w:pos="709"/>
        </w:tabs>
        <w:spacing w:after="0" w:line="360" w:lineRule="auto"/>
        <w:contextualSpacing/>
        <w:jc w:val="both"/>
        <w:rPr>
          <w:rFonts w:eastAsia="Times New Roman" w:cs="Times New Roman"/>
          <w:color w:val="000000"/>
          <w:sz w:val="28"/>
          <w:szCs w:val="28"/>
          <w:lang w:val="ru-RU" w:eastAsia="ru-RU"/>
        </w:rPr>
      </w:pPr>
      <w:r w:rsidRPr="00CA099F">
        <w:rPr>
          <w:rFonts w:eastAsia="Times New Roman" w:cs="Times New Roman"/>
          <w:color w:val="000000"/>
          <w:sz w:val="28"/>
          <w:szCs w:val="28"/>
          <w:lang w:val="ru-RU" w:eastAsia="ru-RU"/>
        </w:rPr>
        <w:t>Озерская О. С. Патогенетическое обоснование новых методов терапии рубцов : автореф. дисс. на соиск учен. степ. д. мед. н. : спец. 14.00.11 “кожные и венерические болезни” / О. С.Озерская. – СПб., 2002. – 38 с.</w:t>
      </w:r>
    </w:p>
    <w:p w:rsidR="0030517B" w:rsidRPr="00CA099F" w:rsidRDefault="0030517B" w:rsidP="0030517B">
      <w:pPr>
        <w:numPr>
          <w:ilvl w:val="0"/>
          <w:numId w:val="17"/>
        </w:numPr>
        <w:pBdr>
          <w:top w:val="nil"/>
          <w:left w:val="nil"/>
          <w:bottom w:val="nil"/>
          <w:right w:val="nil"/>
          <w:between w:val="nil"/>
        </w:pBdr>
        <w:tabs>
          <w:tab w:val="left" w:pos="709"/>
        </w:tabs>
        <w:spacing w:after="0" w:line="360" w:lineRule="auto"/>
        <w:contextualSpacing/>
        <w:jc w:val="both"/>
        <w:rPr>
          <w:rFonts w:eastAsia="Times New Roman" w:cs="Times New Roman"/>
          <w:color w:val="000000"/>
          <w:sz w:val="28"/>
          <w:szCs w:val="28"/>
          <w:lang w:val="ru-RU" w:eastAsia="ru-RU"/>
        </w:rPr>
      </w:pPr>
      <w:r w:rsidRPr="00CA099F">
        <w:rPr>
          <w:rFonts w:eastAsia="Times New Roman" w:cs="Times New Roman"/>
          <w:color w:val="000000"/>
          <w:sz w:val="28"/>
          <w:szCs w:val="28"/>
          <w:lang w:val="en-GB" w:eastAsia="ru-RU"/>
        </w:rPr>
        <w:lastRenderedPageBreak/>
        <w:t xml:space="preserve">Postoperative radiation protocol for keloids and hypertrophic scars: statistical analysis of 370 sites followed for over 18 months / R. Ogawa, T. Miyashita, H. Hyakusoku [et al.] // Ann Plast Surg. – 2007. – Vol.  </w:t>
      </w:r>
      <w:r w:rsidRPr="00CA099F">
        <w:rPr>
          <w:rFonts w:eastAsia="Times New Roman" w:cs="Times New Roman"/>
          <w:color w:val="000000"/>
          <w:sz w:val="28"/>
          <w:szCs w:val="28"/>
          <w:lang w:val="ru-RU" w:eastAsia="ru-RU"/>
        </w:rPr>
        <w:t xml:space="preserve">59. – </w:t>
      </w:r>
      <w:r w:rsidRPr="00CA099F">
        <w:rPr>
          <w:rFonts w:eastAsia="Times New Roman" w:cs="Times New Roman"/>
          <w:color w:val="000000"/>
          <w:sz w:val="28"/>
          <w:szCs w:val="28"/>
          <w:lang w:val="en-GB" w:eastAsia="ru-RU"/>
        </w:rPr>
        <w:t>P</w:t>
      </w:r>
      <w:r w:rsidRPr="00CA099F">
        <w:rPr>
          <w:rFonts w:eastAsia="Times New Roman" w:cs="Times New Roman"/>
          <w:color w:val="000000"/>
          <w:sz w:val="28"/>
          <w:szCs w:val="28"/>
          <w:lang w:val="ru-RU" w:eastAsia="ru-RU"/>
        </w:rPr>
        <w:t>. 688–691.</w:t>
      </w:r>
    </w:p>
    <w:p w:rsidR="0030517B" w:rsidRPr="00CA099F" w:rsidRDefault="0030517B" w:rsidP="0030517B">
      <w:pPr>
        <w:numPr>
          <w:ilvl w:val="0"/>
          <w:numId w:val="17"/>
        </w:numPr>
        <w:pBdr>
          <w:top w:val="nil"/>
          <w:left w:val="nil"/>
          <w:bottom w:val="nil"/>
          <w:right w:val="nil"/>
          <w:between w:val="nil"/>
        </w:pBdr>
        <w:tabs>
          <w:tab w:val="left" w:pos="709"/>
        </w:tabs>
        <w:spacing w:after="0" w:line="360" w:lineRule="auto"/>
        <w:contextualSpacing/>
        <w:jc w:val="both"/>
        <w:rPr>
          <w:rFonts w:eastAsia="Times New Roman" w:cs="Times New Roman"/>
          <w:color w:val="000000"/>
          <w:sz w:val="28"/>
          <w:szCs w:val="28"/>
          <w:lang w:val="ru-RU" w:eastAsia="ru-RU"/>
        </w:rPr>
      </w:pPr>
      <w:r w:rsidRPr="00CA099F">
        <w:rPr>
          <w:rFonts w:eastAsia="Times New Roman" w:cs="Times New Roman"/>
          <w:color w:val="000000"/>
          <w:sz w:val="28"/>
          <w:szCs w:val="28"/>
          <w:lang w:val="ru-RU" w:eastAsia="ru-RU"/>
        </w:rPr>
        <w:t>Проценко Т.В. Комплексное лечение больных с гипертрофическими рубцами с применением лучей Букки : автореф. дис на соиск учен. степ. к.мед.н. : спец. 14.00.11 – «кожные и венерические болезни» / Т.В. Проценко. – М., 1983. – 24 с.</w:t>
      </w:r>
    </w:p>
    <w:p w:rsidR="0030517B" w:rsidRPr="00CA099F" w:rsidRDefault="0030517B" w:rsidP="0030517B">
      <w:pPr>
        <w:numPr>
          <w:ilvl w:val="0"/>
          <w:numId w:val="17"/>
        </w:numPr>
        <w:pBdr>
          <w:top w:val="nil"/>
          <w:left w:val="nil"/>
          <w:bottom w:val="nil"/>
          <w:right w:val="nil"/>
          <w:between w:val="nil"/>
        </w:pBdr>
        <w:tabs>
          <w:tab w:val="left" w:pos="709"/>
        </w:tabs>
        <w:spacing w:after="0" w:line="360" w:lineRule="auto"/>
        <w:contextualSpacing/>
        <w:jc w:val="both"/>
        <w:rPr>
          <w:rFonts w:eastAsia="Times New Roman" w:cs="Times New Roman"/>
          <w:color w:val="000000"/>
          <w:sz w:val="28"/>
          <w:szCs w:val="28"/>
          <w:lang w:val="ru-RU" w:eastAsia="ru-RU"/>
        </w:rPr>
      </w:pPr>
      <w:r w:rsidRPr="00CA099F">
        <w:rPr>
          <w:rFonts w:eastAsia="Gungsuh" w:cs="Times New Roman"/>
          <w:color w:val="000000"/>
          <w:sz w:val="28"/>
          <w:szCs w:val="28"/>
          <w:lang w:val="ru-RU" w:eastAsia="ru-RU"/>
        </w:rPr>
        <w:t>Слесаренко С.В. Оценка эффективности компрессионной терапии у пациентов с послеожоговыми рубцами / С.В. Слесаренко, П.А. Бадюл // Хірургія України. − 2006. −№2 (18). −С. 47−53.</w:t>
      </w:r>
    </w:p>
    <w:p w:rsidR="0030517B" w:rsidRPr="00CA099F" w:rsidRDefault="0030517B" w:rsidP="0030517B">
      <w:pPr>
        <w:numPr>
          <w:ilvl w:val="0"/>
          <w:numId w:val="17"/>
        </w:numPr>
        <w:pBdr>
          <w:top w:val="nil"/>
          <w:left w:val="nil"/>
          <w:bottom w:val="nil"/>
          <w:right w:val="nil"/>
          <w:between w:val="nil"/>
        </w:pBdr>
        <w:tabs>
          <w:tab w:val="left" w:pos="709"/>
        </w:tabs>
        <w:spacing w:after="0" w:line="360" w:lineRule="auto"/>
        <w:contextualSpacing/>
        <w:jc w:val="both"/>
        <w:rPr>
          <w:rFonts w:eastAsia="Times New Roman" w:cs="Times New Roman"/>
          <w:color w:val="000000"/>
          <w:sz w:val="28"/>
          <w:szCs w:val="28"/>
          <w:lang w:val="en-GB" w:eastAsia="ru-RU"/>
        </w:rPr>
      </w:pPr>
      <w:r w:rsidRPr="00CA099F">
        <w:rPr>
          <w:rFonts w:eastAsia="Times New Roman" w:cs="Times New Roman"/>
          <w:color w:val="000000"/>
          <w:sz w:val="28"/>
          <w:szCs w:val="28"/>
          <w:lang w:val="en-GB" w:eastAsia="ru-RU"/>
        </w:rPr>
        <w:t>Compression therapy affects collagen type balance in hypertrophic scar / S. Tejiram, J. Zhang, T.E. Travis [et al.] // J Surg Res. – 2016. – Vol. 201. – P 299–305.</w:t>
      </w:r>
    </w:p>
    <w:p w:rsidR="0030517B" w:rsidRPr="00CA099F" w:rsidRDefault="0030517B" w:rsidP="0030517B">
      <w:pPr>
        <w:numPr>
          <w:ilvl w:val="0"/>
          <w:numId w:val="17"/>
        </w:numPr>
        <w:pBdr>
          <w:top w:val="nil"/>
          <w:left w:val="nil"/>
          <w:bottom w:val="nil"/>
          <w:right w:val="nil"/>
          <w:between w:val="nil"/>
        </w:pBdr>
        <w:tabs>
          <w:tab w:val="left" w:pos="709"/>
        </w:tabs>
        <w:spacing w:after="0" w:line="360" w:lineRule="auto"/>
        <w:contextualSpacing/>
        <w:jc w:val="both"/>
        <w:rPr>
          <w:rFonts w:eastAsia="Times New Roman" w:cs="Times New Roman"/>
          <w:color w:val="000000"/>
          <w:sz w:val="28"/>
          <w:szCs w:val="28"/>
          <w:lang w:val="en-GB" w:eastAsia="ru-RU"/>
        </w:rPr>
      </w:pPr>
      <w:r w:rsidRPr="00CA099F">
        <w:rPr>
          <w:rFonts w:eastAsia="Times New Roman" w:cs="Times New Roman"/>
          <w:color w:val="000000"/>
          <w:sz w:val="28"/>
          <w:szCs w:val="28"/>
          <w:lang w:val="en-GB" w:eastAsia="ru-RU"/>
        </w:rPr>
        <w:t>Development of a best evidence statement for the use of pressure therapy for management of hypertrophic scarring / P.A. Sharp, B. Pan, K.P. Yakuboff, D. Rothchild // J Burn Care Res. – 2016. – Vol. 37. – P. 255–264.</w:t>
      </w:r>
    </w:p>
    <w:p w:rsidR="0030517B" w:rsidRPr="00CA099F" w:rsidRDefault="0030517B" w:rsidP="0030517B">
      <w:pPr>
        <w:numPr>
          <w:ilvl w:val="0"/>
          <w:numId w:val="17"/>
        </w:numPr>
        <w:pBdr>
          <w:top w:val="nil"/>
          <w:left w:val="nil"/>
          <w:bottom w:val="nil"/>
          <w:right w:val="nil"/>
          <w:between w:val="nil"/>
        </w:pBdr>
        <w:shd w:val="clear" w:color="auto" w:fill="FFFFFF"/>
        <w:tabs>
          <w:tab w:val="left" w:pos="709"/>
        </w:tabs>
        <w:spacing w:after="0" w:line="360" w:lineRule="auto"/>
        <w:contextualSpacing/>
        <w:jc w:val="both"/>
        <w:rPr>
          <w:rFonts w:eastAsia="Times New Roman" w:cs="Times New Roman"/>
          <w:color w:val="000000"/>
          <w:sz w:val="28"/>
          <w:szCs w:val="28"/>
          <w:lang w:val="en-US" w:eastAsia="ru-RU"/>
        </w:rPr>
      </w:pPr>
      <w:r w:rsidRPr="00CA099F">
        <w:rPr>
          <w:rFonts w:eastAsia="Times New Roman" w:cs="Times New Roman"/>
          <w:color w:val="000000"/>
          <w:sz w:val="28"/>
          <w:szCs w:val="28"/>
          <w:lang w:val="ru-RU" w:eastAsia="ru-RU"/>
        </w:rPr>
        <w:t xml:space="preserve">Чугуй Е.В. Криолечение рубцов покровных тканей : автореф. дисс.на соиск учен. степ. к.мед.н. : спец. </w:t>
      </w:r>
      <w:r w:rsidRPr="00CA099F">
        <w:rPr>
          <w:rFonts w:eastAsia="Times New Roman" w:cs="Times New Roman"/>
          <w:color w:val="000000"/>
          <w:sz w:val="28"/>
          <w:szCs w:val="28"/>
          <w:lang w:val="en-US" w:eastAsia="ru-RU"/>
        </w:rPr>
        <w:t>14.00.27 – «</w:t>
      </w:r>
      <w:r w:rsidRPr="00CA099F">
        <w:rPr>
          <w:rFonts w:eastAsia="Times New Roman" w:cs="Times New Roman"/>
          <w:color w:val="000000"/>
          <w:sz w:val="28"/>
          <w:szCs w:val="28"/>
          <w:lang w:val="ru-RU" w:eastAsia="ru-RU"/>
        </w:rPr>
        <w:t>хірургія</w:t>
      </w:r>
      <w:r w:rsidRPr="00CA099F">
        <w:rPr>
          <w:rFonts w:eastAsia="Times New Roman" w:cs="Times New Roman"/>
          <w:color w:val="000000"/>
          <w:sz w:val="28"/>
          <w:szCs w:val="28"/>
          <w:lang w:val="en-US" w:eastAsia="ru-RU"/>
        </w:rPr>
        <w:t xml:space="preserve">» / </w:t>
      </w:r>
      <w:r w:rsidRPr="00CA099F">
        <w:rPr>
          <w:rFonts w:eastAsia="Times New Roman" w:cs="Times New Roman"/>
          <w:color w:val="000000"/>
          <w:sz w:val="28"/>
          <w:szCs w:val="28"/>
          <w:lang w:val="ru-RU" w:eastAsia="ru-RU"/>
        </w:rPr>
        <w:t>Е</w:t>
      </w:r>
      <w:r w:rsidRPr="00CA099F">
        <w:rPr>
          <w:rFonts w:eastAsia="Times New Roman" w:cs="Times New Roman"/>
          <w:color w:val="000000"/>
          <w:sz w:val="28"/>
          <w:szCs w:val="28"/>
          <w:lang w:val="en-US" w:eastAsia="ru-RU"/>
        </w:rPr>
        <w:t>.</w:t>
      </w:r>
      <w:r w:rsidRPr="00CA099F">
        <w:rPr>
          <w:rFonts w:eastAsia="Times New Roman" w:cs="Times New Roman"/>
          <w:color w:val="000000"/>
          <w:sz w:val="28"/>
          <w:szCs w:val="28"/>
          <w:lang w:val="ru-RU" w:eastAsia="ru-RU"/>
        </w:rPr>
        <w:t>В</w:t>
      </w:r>
      <w:r w:rsidRPr="00CA099F">
        <w:rPr>
          <w:rFonts w:eastAsia="Times New Roman" w:cs="Times New Roman"/>
          <w:color w:val="000000"/>
          <w:sz w:val="28"/>
          <w:szCs w:val="28"/>
          <w:lang w:val="en-US" w:eastAsia="ru-RU"/>
        </w:rPr>
        <w:t>.</w:t>
      </w:r>
      <w:r w:rsidRPr="00CA099F">
        <w:rPr>
          <w:rFonts w:eastAsia="Times New Roman" w:cs="Times New Roman"/>
          <w:color w:val="000000"/>
          <w:sz w:val="28"/>
          <w:szCs w:val="28"/>
          <w:lang w:val="ru-RU" w:eastAsia="ru-RU"/>
        </w:rPr>
        <w:t>Чугуй</w:t>
      </w:r>
      <w:r w:rsidRPr="00CA099F">
        <w:rPr>
          <w:rFonts w:eastAsia="Times New Roman" w:cs="Times New Roman"/>
          <w:color w:val="000000"/>
          <w:sz w:val="28"/>
          <w:szCs w:val="28"/>
          <w:lang w:val="en-US" w:eastAsia="ru-RU"/>
        </w:rPr>
        <w:t xml:space="preserve">. – </w:t>
      </w:r>
      <w:r w:rsidRPr="00CA099F">
        <w:rPr>
          <w:rFonts w:eastAsia="Times New Roman" w:cs="Times New Roman"/>
          <w:color w:val="000000"/>
          <w:sz w:val="28"/>
          <w:szCs w:val="28"/>
          <w:lang w:val="ru-RU" w:eastAsia="ru-RU"/>
        </w:rPr>
        <w:t>Томск</w:t>
      </w:r>
      <w:r w:rsidRPr="00CA099F">
        <w:rPr>
          <w:rFonts w:eastAsia="Times New Roman" w:cs="Times New Roman"/>
          <w:color w:val="000000"/>
          <w:sz w:val="28"/>
          <w:szCs w:val="28"/>
          <w:lang w:val="en-US" w:eastAsia="ru-RU"/>
        </w:rPr>
        <w:t>, 2003. – 28</w:t>
      </w:r>
      <w:r w:rsidRPr="00CA099F">
        <w:rPr>
          <w:rFonts w:eastAsia="Times New Roman" w:cs="Times New Roman"/>
          <w:color w:val="000000"/>
          <w:sz w:val="28"/>
          <w:szCs w:val="28"/>
          <w:lang w:val="ru-RU" w:eastAsia="ru-RU"/>
        </w:rPr>
        <w:t>с</w:t>
      </w:r>
      <w:r w:rsidRPr="00CA099F">
        <w:rPr>
          <w:rFonts w:eastAsia="Times New Roman" w:cs="Times New Roman"/>
          <w:color w:val="000000"/>
          <w:sz w:val="28"/>
          <w:szCs w:val="28"/>
          <w:lang w:val="en-US" w:eastAsia="ru-RU"/>
        </w:rPr>
        <w:t>.</w:t>
      </w:r>
    </w:p>
    <w:p w:rsidR="0030517B" w:rsidRPr="00CA099F" w:rsidRDefault="0030517B" w:rsidP="0030517B">
      <w:pPr>
        <w:numPr>
          <w:ilvl w:val="0"/>
          <w:numId w:val="17"/>
        </w:numPr>
        <w:pBdr>
          <w:top w:val="nil"/>
          <w:left w:val="nil"/>
          <w:bottom w:val="nil"/>
          <w:right w:val="nil"/>
          <w:between w:val="nil"/>
        </w:pBdr>
        <w:tabs>
          <w:tab w:val="left" w:pos="709"/>
        </w:tabs>
        <w:spacing w:after="0" w:line="360" w:lineRule="auto"/>
        <w:contextualSpacing/>
        <w:jc w:val="both"/>
        <w:rPr>
          <w:rFonts w:eastAsia="Times New Roman" w:cs="Times New Roman"/>
          <w:color w:val="000000"/>
          <w:sz w:val="28"/>
          <w:szCs w:val="28"/>
          <w:lang w:val="en-GB" w:eastAsia="ru-RU"/>
        </w:rPr>
      </w:pPr>
      <w:r w:rsidRPr="00CA099F">
        <w:rPr>
          <w:rFonts w:eastAsia="Gungsuh" w:cs="Times New Roman"/>
          <w:color w:val="000000"/>
          <w:sz w:val="28"/>
          <w:szCs w:val="28"/>
          <w:lang w:val="en-GB" w:eastAsia="ru-RU"/>
        </w:rPr>
        <w:t>Rusciani L. Cryotherapy in the treatment of keloids / L. Rusciani // J Drug Dermatol. – 2006. – Vol. 5(7). – P. 591−595.</w:t>
      </w:r>
    </w:p>
    <w:p w:rsidR="0030517B" w:rsidRPr="00CA099F" w:rsidRDefault="00417675" w:rsidP="0030517B">
      <w:pPr>
        <w:numPr>
          <w:ilvl w:val="0"/>
          <w:numId w:val="17"/>
        </w:numPr>
        <w:pBdr>
          <w:top w:val="nil"/>
          <w:left w:val="nil"/>
          <w:bottom w:val="nil"/>
          <w:right w:val="nil"/>
          <w:between w:val="nil"/>
        </w:pBdr>
        <w:tabs>
          <w:tab w:val="left" w:pos="709"/>
        </w:tabs>
        <w:spacing w:after="0" w:line="360" w:lineRule="auto"/>
        <w:contextualSpacing/>
        <w:jc w:val="both"/>
        <w:rPr>
          <w:rFonts w:eastAsia="Times New Roman" w:cs="Times New Roman"/>
          <w:color w:val="000000"/>
          <w:sz w:val="28"/>
          <w:szCs w:val="28"/>
          <w:lang w:val="en-GB" w:eastAsia="ru-RU"/>
        </w:rPr>
      </w:pPr>
      <w:hyperlink r:id="rId216">
        <w:r w:rsidR="0030517B" w:rsidRPr="00CA099F">
          <w:rPr>
            <w:rFonts w:eastAsia="Times New Roman" w:cs="Times New Roman"/>
            <w:color w:val="000000"/>
            <w:sz w:val="28"/>
            <w:szCs w:val="28"/>
            <w:lang w:val="en-GB" w:eastAsia="ru-RU"/>
          </w:rPr>
          <w:t>Liu D.Q</w:t>
        </w:r>
      </w:hyperlink>
      <w:r w:rsidR="0030517B" w:rsidRPr="00CA099F">
        <w:rPr>
          <w:rFonts w:eastAsia="Times New Roman" w:cs="Times New Roman"/>
          <w:color w:val="000000"/>
          <w:sz w:val="28"/>
          <w:szCs w:val="28"/>
          <w:lang w:val="en-GB" w:eastAsia="ru-RU"/>
        </w:rPr>
        <w:t xml:space="preserve">. Effect of BTXA on Inhibiting Hypertrophic Scar Formation in a Rabbit Ear Model / D.Q. </w:t>
      </w:r>
      <w:hyperlink r:id="rId217">
        <w:r w:rsidR="0030517B" w:rsidRPr="00CA099F">
          <w:rPr>
            <w:rFonts w:eastAsia="Times New Roman" w:cs="Times New Roman"/>
            <w:color w:val="000000"/>
            <w:sz w:val="28"/>
            <w:szCs w:val="28"/>
            <w:lang w:val="en-GB" w:eastAsia="ru-RU"/>
          </w:rPr>
          <w:t>Liu</w:t>
        </w:r>
      </w:hyperlink>
      <w:r w:rsidR="0030517B" w:rsidRPr="00CA099F">
        <w:rPr>
          <w:rFonts w:eastAsia="Times New Roman" w:cs="Times New Roman"/>
          <w:color w:val="000000"/>
          <w:sz w:val="28"/>
          <w:szCs w:val="28"/>
          <w:lang w:val="en-GB" w:eastAsia="ru-RU"/>
        </w:rPr>
        <w:t xml:space="preserve">, X.J. </w:t>
      </w:r>
      <w:hyperlink r:id="rId218">
        <w:r w:rsidR="0030517B" w:rsidRPr="00CA099F">
          <w:rPr>
            <w:rFonts w:eastAsia="Times New Roman" w:cs="Times New Roman"/>
            <w:color w:val="000000"/>
            <w:sz w:val="28"/>
            <w:szCs w:val="28"/>
            <w:lang w:val="en-GB" w:eastAsia="ru-RU"/>
          </w:rPr>
          <w:t>Li</w:t>
        </w:r>
      </w:hyperlink>
      <w:r w:rsidR="0030517B" w:rsidRPr="00CA099F">
        <w:rPr>
          <w:rFonts w:eastAsia="Times New Roman" w:cs="Times New Roman"/>
          <w:color w:val="000000"/>
          <w:sz w:val="28"/>
          <w:szCs w:val="28"/>
          <w:lang w:val="en-GB" w:eastAsia="ru-RU"/>
        </w:rPr>
        <w:t xml:space="preserve">, X.J. </w:t>
      </w:r>
      <w:hyperlink r:id="rId219">
        <w:r w:rsidR="0030517B" w:rsidRPr="00CA099F">
          <w:rPr>
            <w:rFonts w:eastAsia="Times New Roman" w:cs="Times New Roman"/>
            <w:color w:val="000000"/>
            <w:sz w:val="28"/>
            <w:szCs w:val="28"/>
            <w:lang w:val="en-GB" w:eastAsia="ru-RU"/>
          </w:rPr>
          <w:t xml:space="preserve">Weng </w:t>
        </w:r>
      </w:hyperlink>
      <w:r w:rsidR="0030517B" w:rsidRPr="00CA099F">
        <w:rPr>
          <w:rFonts w:eastAsia="Times New Roman" w:cs="Times New Roman"/>
          <w:color w:val="000000"/>
          <w:sz w:val="28"/>
          <w:szCs w:val="28"/>
          <w:lang w:val="en-GB" w:eastAsia="ru-RU"/>
        </w:rPr>
        <w:t xml:space="preserve">// </w:t>
      </w:r>
      <w:hyperlink r:id="rId220">
        <w:r w:rsidR="0030517B" w:rsidRPr="00CA099F">
          <w:rPr>
            <w:rFonts w:eastAsia="Times New Roman" w:cs="Times New Roman"/>
            <w:color w:val="000000"/>
            <w:sz w:val="28"/>
            <w:szCs w:val="28"/>
            <w:lang w:val="en-GB" w:eastAsia="ru-RU"/>
          </w:rPr>
          <w:t>Aesthetic Plast Surg.</w:t>
        </w:r>
      </w:hyperlink>
      <w:r w:rsidR="0030517B" w:rsidRPr="00CA099F">
        <w:rPr>
          <w:rFonts w:eastAsia="Times New Roman" w:cs="Times New Roman"/>
          <w:color w:val="000000"/>
          <w:sz w:val="28"/>
          <w:szCs w:val="28"/>
          <w:lang w:val="en-GB" w:eastAsia="ru-RU"/>
        </w:rPr>
        <w:t xml:space="preserve"> – 2017. – Vol. 41(3). – P. 721-728.</w:t>
      </w:r>
    </w:p>
    <w:p w:rsidR="0030517B" w:rsidRPr="00CA099F" w:rsidRDefault="0030517B" w:rsidP="0030517B">
      <w:pPr>
        <w:numPr>
          <w:ilvl w:val="0"/>
          <w:numId w:val="17"/>
        </w:numPr>
        <w:pBdr>
          <w:top w:val="nil"/>
          <w:left w:val="nil"/>
          <w:bottom w:val="nil"/>
          <w:right w:val="nil"/>
          <w:between w:val="nil"/>
        </w:pBdr>
        <w:shd w:val="clear" w:color="auto" w:fill="FFFFFF"/>
        <w:tabs>
          <w:tab w:val="left" w:pos="709"/>
        </w:tabs>
        <w:spacing w:after="0" w:line="360" w:lineRule="auto"/>
        <w:contextualSpacing/>
        <w:jc w:val="both"/>
        <w:rPr>
          <w:rFonts w:eastAsia="Times New Roman" w:cs="Times New Roman"/>
          <w:color w:val="000000"/>
          <w:sz w:val="28"/>
          <w:szCs w:val="28"/>
          <w:lang w:val="en-GB" w:eastAsia="ru-RU"/>
        </w:rPr>
      </w:pPr>
      <w:r w:rsidRPr="00CA099F">
        <w:rPr>
          <w:rFonts w:eastAsia="Times New Roman" w:cs="Times New Roman"/>
          <w:color w:val="000000"/>
          <w:sz w:val="28"/>
          <w:szCs w:val="28"/>
          <w:lang w:val="en-GB" w:eastAsia="ru-RU"/>
        </w:rPr>
        <w:t xml:space="preserve">Advances in the research of mechanism in prevention and treatment of scar with botulinum toxin type A and its clinical application / Y.H. </w:t>
      </w:r>
      <w:hyperlink r:id="rId221">
        <w:r w:rsidRPr="00CA099F">
          <w:rPr>
            <w:rFonts w:eastAsia="Times New Roman" w:cs="Times New Roman"/>
            <w:color w:val="000000"/>
            <w:sz w:val="28"/>
            <w:szCs w:val="28"/>
            <w:lang w:val="en-GB" w:eastAsia="ru-RU"/>
          </w:rPr>
          <w:t>Li</w:t>
        </w:r>
      </w:hyperlink>
      <w:r w:rsidRPr="00CA099F">
        <w:rPr>
          <w:rFonts w:eastAsia="Times New Roman" w:cs="Times New Roman"/>
          <w:color w:val="000000"/>
          <w:sz w:val="28"/>
          <w:szCs w:val="28"/>
          <w:lang w:val="en-GB" w:eastAsia="ru-RU"/>
        </w:rPr>
        <w:t xml:space="preserve">, J.Q. </w:t>
      </w:r>
      <w:hyperlink r:id="rId222">
        <w:r w:rsidRPr="00CA099F">
          <w:rPr>
            <w:rFonts w:eastAsia="Times New Roman" w:cs="Times New Roman"/>
            <w:color w:val="000000"/>
            <w:sz w:val="28"/>
            <w:szCs w:val="28"/>
            <w:lang w:val="en-GB" w:eastAsia="ru-RU"/>
          </w:rPr>
          <w:t>Liu</w:t>
        </w:r>
      </w:hyperlink>
      <w:r w:rsidRPr="00CA099F">
        <w:rPr>
          <w:rFonts w:eastAsia="Times New Roman" w:cs="Times New Roman"/>
          <w:color w:val="000000"/>
          <w:sz w:val="28"/>
          <w:szCs w:val="28"/>
          <w:lang w:val="en-GB" w:eastAsia="ru-RU"/>
        </w:rPr>
        <w:t xml:space="preserve">, D. </w:t>
      </w:r>
      <w:hyperlink r:id="rId223">
        <w:r w:rsidRPr="00CA099F">
          <w:rPr>
            <w:rFonts w:eastAsia="Times New Roman" w:cs="Times New Roman"/>
            <w:color w:val="000000"/>
            <w:sz w:val="28"/>
            <w:szCs w:val="28"/>
            <w:lang w:val="en-GB" w:eastAsia="ru-RU"/>
          </w:rPr>
          <w:t xml:space="preserve">Xiao </w:t>
        </w:r>
      </w:hyperlink>
      <w:r w:rsidRPr="00CA099F">
        <w:rPr>
          <w:rFonts w:eastAsia="Times New Roman" w:cs="Times New Roman"/>
          <w:color w:val="000000"/>
          <w:sz w:val="28"/>
          <w:szCs w:val="28"/>
          <w:lang w:val="en-GB" w:eastAsia="ru-RU"/>
        </w:rPr>
        <w:t xml:space="preserve">[et al.] // </w:t>
      </w:r>
      <w:hyperlink r:id="rId224">
        <w:r w:rsidRPr="00CA099F">
          <w:rPr>
            <w:rFonts w:eastAsia="Times New Roman" w:cs="Times New Roman"/>
            <w:color w:val="000000"/>
            <w:sz w:val="28"/>
            <w:szCs w:val="28"/>
            <w:lang w:val="en-GB" w:eastAsia="ru-RU"/>
          </w:rPr>
          <w:t>Zhonghua Shao Shang Za Zhi.</w:t>
        </w:r>
      </w:hyperlink>
      <w:r w:rsidRPr="00CA099F">
        <w:rPr>
          <w:rFonts w:eastAsia="Times New Roman" w:cs="Times New Roman"/>
          <w:color w:val="000000"/>
          <w:sz w:val="28"/>
          <w:szCs w:val="28"/>
          <w:lang w:val="en-GB" w:eastAsia="ru-RU"/>
        </w:rPr>
        <w:t xml:space="preserve"> – 2017. – Vol. 33(4). – P. 254-256.</w:t>
      </w:r>
    </w:p>
    <w:p w:rsidR="0030517B" w:rsidRPr="00CA099F" w:rsidRDefault="00417675" w:rsidP="0030517B">
      <w:pPr>
        <w:numPr>
          <w:ilvl w:val="0"/>
          <w:numId w:val="17"/>
        </w:numPr>
        <w:pBdr>
          <w:top w:val="nil"/>
          <w:left w:val="nil"/>
          <w:bottom w:val="nil"/>
          <w:right w:val="nil"/>
          <w:between w:val="nil"/>
        </w:pBdr>
        <w:shd w:val="clear" w:color="auto" w:fill="FFFFFF"/>
        <w:tabs>
          <w:tab w:val="left" w:pos="709"/>
        </w:tabs>
        <w:spacing w:after="0" w:line="360" w:lineRule="auto"/>
        <w:contextualSpacing/>
        <w:jc w:val="both"/>
        <w:rPr>
          <w:rFonts w:eastAsia="Times New Roman" w:cs="Times New Roman"/>
          <w:color w:val="000000"/>
          <w:sz w:val="28"/>
          <w:szCs w:val="28"/>
          <w:lang w:val="en-US" w:eastAsia="ru-RU"/>
        </w:rPr>
      </w:pPr>
      <w:hyperlink r:id="rId225">
        <w:r w:rsidR="0030517B" w:rsidRPr="00CA099F">
          <w:rPr>
            <w:rFonts w:eastAsia="Times New Roman" w:cs="Times New Roman"/>
            <w:color w:val="000000"/>
            <w:sz w:val="28"/>
            <w:szCs w:val="28"/>
            <w:lang w:val="en-GB" w:eastAsia="ru-RU"/>
          </w:rPr>
          <w:t>Jablonka E.M</w:t>
        </w:r>
      </w:hyperlink>
      <w:r w:rsidR="0030517B" w:rsidRPr="00CA099F">
        <w:rPr>
          <w:rFonts w:eastAsia="Times New Roman" w:cs="Times New Roman"/>
          <w:color w:val="000000"/>
          <w:sz w:val="28"/>
          <w:szCs w:val="28"/>
          <w:lang w:val="en-GB" w:eastAsia="ru-RU"/>
        </w:rPr>
        <w:t xml:space="preserve">. Botulinum toxin to minimize facial scarring / E.M. </w:t>
      </w:r>
      <w:hyperlink r:id="rId226">
        <w:r w:rsidR="0030517B" w:rsidRPr="00CA099F">
          <w:rPr>
            <w:rFonts w:eastAsia="Times New Roman" w:cs="Times New Roman"/>
            <w:color w:val="000000"/>
            <w:sz w:val="28"/>
            <w:szCs w:val="28"/>
            <w:lang w:val="en-GB" w:eastAsia="ru-RU"/>
          </w:rPr>
          <w:t>Jablonka</w:t>
        </w:r>
      </w:hyperlink>
      <w:r w:rsidR="0030517B" w:rsidRPr="00CA099F">
        <w:rPr>
          <w:rFonts w:eastAsia="Times New Roman" w:cs="Times New Roman"/>
          <w:color w:val="000000"/>
          <w:sz w:val="28"/>
          <w:szCs w:val="28"/>
          <w:lang w:val="en-GB" w:eastAsia="ru-RU"/>
        </w:rPr>
        <w:t xml:space="preserve">, D.A. </w:t>
      </w:r>
      <w:hyperlink r:id="rId227">
        <w:r w:rsidR="0030517B" w:rsidRPr="00CA099F">
          <w:rPr>
            <w:rFonts w:eastAsia="Times New Roman" w:cs="Times New Roman"/>
            <w:color w:val="000000"/>
            <w:sz w:val="28"/>
            <w:szCs w:val="28"/>
            <w:lang w:val="en-GB" w:eastAsia="ru-RU"/>
          </w:rPr>
          <w:t>Sherris</w:t>
        </w:r>
      </w:hyperlink>
      <w:r w:rsidR="0030517B" w:rsidRPr="00CA099F">
        <w:rPr>
          <w:rFonts w:eastAsia="Times New Roman" w:cs="Times New Roman"/>
          <w:color w:val="000000"/>
          <w:sz w:val="28"/>
          <w:szCs w:val="28"/>
          <w:lang w:val="en-GB" w:eastAsia="ru-RU"/>
        </w:rPr>
        <w:t xml:space="preserve">, H.G. </w:t>
      </w:r>
      <w:hyperlink r:id="rId228">
        <w:r w:rsidR="0030517B" w:rsidRPr="00CA099F">
          <w:rPr>
            <w:rFonts w:eastAsia="Times New Roman" w:cs="Times New Roman"/>
            <w:color w:val="000000"/>
            <w:sz w:val="28"/>
            <w:szCs w:val="28"/>
            <w:lang w:val="en-GB" w:eastAsia="ru-RU"/>
          </w:rPr>
          <w:t>Gassner</w:t>
        </w:r>
      </w:hyperlink>
      <w:r w:rsidR="0030517B" w:rsidRPr="00CA099F">
        <w:rPr>
          <w:rFonts w:eastAsia="Times New Roman" w:cs="Times New Roman"/>
          <w:color w:val="000000"/>
          <w:sz w:val="28"/>
          <w:szCs w:val="28"/>
          <w:lang w:val="en-GB" w:eastAsia="ru-RU"/>
        </w:rPr>
        <w:t xml:space="preserve"> // </w:t>
      </w:r>
      <w:hyperlink r:id="rId229">
        <w:r w:rsidR="0030517B" w:rsidRPr="00CA099F">
          <w:rPr>
            <w:rFonts w:eastAsia="Times New Roman" w:cs="Times New Roman"/>
            <w:color w:val="000000"/>
            <w:sz w:val="28"/>
            <w:szCs w:val="28"/>
            <w:lang w:val="en-GB" w:eastAsia="ru-RU"/>
          </w:rPr>
          <w:t>Facial Plast Surg.</w:t>
        </w:r>
      </w:hyperlink>
      <w:r w:rsidR="0030517B" w:rsidRPr="00CA099F">
        <w:rPr>
          <w:rFonts w:eastAsia="Times New Roman" w:cs="Times New Roman"/>
          <w:color w:val="000000"/>
          <w:sz w:val="28"/>
          <w:szCs w:val="28"/>
          <w:lang w:val="en-US" w:eastAsia="ru-RU"/>
        </w:rPr>
        <w:t xml:space="preserve">– 2012. – </w:t>
      </w:r>
      <w:r w:rsidR="0030517B" w:rsidRPr="00CA099F">
        <w:rPr>
          <w:rFonts w:eastAsia="Times New Roman" w:cs="Times New Roman"/>
          <w:color w:val="000000"/>
          <w:sz w:val="28"/>
          <w:szCs w:val="28"/>
          <w:lang w:val="en-GB" w:eastAsia="ru-RU"/>
        </w:rPr>
        <w:t>Vol</w:t>
      </w:r>
      <w:r w:rsidR="0030517B" w:rsidRPr="00CA099F">
        <w:rPr>
          <w:rFonts w:eastAsia="Times New Roman" w:cs="Times New Roman"/>
          <w:color w:val="000000"/>
          <w:sz w:val="28"/>
          <w:szCs w:val="28"/>
          <w:lang w:val="en-US" w:eastAsia="ru-RU"/>
        </w:rPr>
        <w:t xml:space="preserve">. 28(5). – </w:t>
      </w:r>
      <w:r w:rsidR="0030517B" w:rsidRPr="00CA099F">
        <w:rPr>
          <w:rFonts w:eastAsia="Times New Roman" w:cs="Times New Roman"/>
          <w:color w:val="000000"/>
          <w:sz w:val="28"/>
          <w:szCs w:val="28"/>
          <w:lang w:val="en-GB" w:eastAsia="ru-RU"/>
        </w:rPr>
        <w:t>P</w:t>
      </w:r>
      <w:r w:rsidR="0030517B" w:rsidRPr="00CA099F">
        <w:rPr>
          <w:rFonts w:eastAsia="Times New Roman" w:cs="Times New Roman"/>
          <w:color w:val="000000"/>
          <w:sz w:val="28"/>
          <w:szCs w:val="28"/>
          <w:lang w:val="en-US" w:eastAsia="ru-RU"/>
        </w:rPr>
        <w:t>. 525-35.</w:t>
      </w:r>
    </w:p>
    <w:p w:rsidR="0030517B" w:rsidRPr="00CA099F" w:rsidRDefault="0030517B" w:rsidP="0030517B">
      <w:pPr>
        <w:numPr>
          <w:ilvl w:val="0"/>
          <w:numId w:val="17"/>
        </w:numPr>
        <w:pBdr>
          <w:top w:val="nil"/>
          <w:left w:val="nil"/>
          <w:bottom w:val="nil"/>
          <w:right w:val="nil"/>
          <w:between w:val="nil"/>
        </w:pBdr>
        <w:tabs>
          <w:tab w:val="left" w:pos="709"/>
          <w:tab w:val="left" w:pos="934"/>
        </w:tabs>
        <w:spacing w:after="0" w:line="360" w:lineRule="auto"/>
        <w:ind w:right="20"/>
        <w:contextualSpacing/>
        <w:jc w:val="both"/>
        <w:rPr>
          <w:rFonts w:eastAsia="Times New Roman" w:cs="Times New Roman"/>
          <w:color w:val="000000"/>
          <w:sz w:val="28"/>
          <w:szCs w:val="28"/>
          <w:lang w:val="ru-RU" w:eastAsia="ru-RU"/>
        </w:rPr>
      </w:pPr>
      <w:r w:rsidRPr="00CA099F">
        <w:rPr>
          <w:rFonts w:eastAsia="Times New Roman" w:cs="Times New Roman"/>
          <w:color w:val="000000"/>
          <w:sz w:val="28"/>
          <w:szCs w:val="28"/>
          <w:lang w:val="ru-RU" w:eastAsia="ru-RU"/>
        </w:rPr>
        <w:t xml:space="preserve">Забненкова О.В. Физиотерапевтические методы в программах постоперационной реабилитации пациентов / О.В. Забненкова, </w:t>
      </w:r>
      <w:r w:rsidRPr="00CA099F">
        <w:rPr>
          <w:rFonts w:eastAsia="Times New Roman" w:cs="Times New Roman"/>
          <w:color w:val="000000"/>
          <w:sz w:val="28"/>
          <w:szCs w:val="28"/>
          <w:lang w:val="en-GB" w:eastAsia="ru-RU"/>
        </w:rPr>
        <w:t>A</w:t>
      </w:r>
      <w:r w:rsidRPr="00CA099F">
        <w:rPr>
          <w:rFonts w:eastAsia="Times New Roman" w:cs="Times New Roman"/>
          <w:color w:val="000000"/>
          <w:sz w:val="28"/>
          <w:szCs w:val="28"/>
          <w:lang w:val="ru-RU" w:eastAsia="ru-RU"/>
        </w:rPr>
        <w:t>.</w:t>
      </w:r>
      <w:r w:rsidRPr="00CA099F">
        <w:rPr>
          <w:rFonts w:eastAsia="Times New Roman" w:cs="Times New Roman"/>
          <w:color w:val="000000"/>
          <w:sz w:val="28"/>
          <w:szCs w:val="28"/>
          <w:lang w:val="en-GB" w:eastAsia="ru-RU"/>
        </w:rPr>
        <w:t>C</w:t>
      </w:r>
      <w:r w:rsidRPr="00CA099F">
        <w:rPr>
          <w:rFonts w:eastAsia="Times New Roman" w:cs="Times New Roman"/>
          <w:color w:val="000000"/>
          <w:sz w:val="28"/>
          <w:szCs w:val="28"/>
          <w:lang w:val="ru-RU" w:eastAsia="ru-RU"/>
        </w:rPr>
        <w:t>. Пирогова //Эксп. и клин, дермато- космет. - 2009. - №2. - С.52-57.</w:t>
      </w:r>
    </w:p>
    <w:p w:rsidR="0030517B" w:rsidRPr="00CA099F" w:rsidRDefault="0030517B" w:rsidP="0030517B">
      <w:pPr>
        <w:numPr>
          <w:ilvl w:val="0"/>
          <w:numId w:val="17"/>
        </w:numPr>
        <w:pBdr>
          <w:top w:val="nil"/>
          <w:left w:val="nil"/>
          <w:bottom w:val="nil"/>
          <w:right w:val="nil"/>
          <w:between w:val="nil"/>
        </w:pBdr>
        <w:tabs>
          <w:tab w:val="left" w:pos="709"/>
          <w:tab w:val="left" w:pos="929"/>
        </w:tabs>
        <w:spacing w:after="0" w:line="360" w:lineRule="auto"/>
        <w:ind w:right="20"/>
        <w:contextualSpacing/>
        <w:jc w:val="both"/>
        <w:rPr>
          <w:rFonts w:eastAsia="Times New Roman" w:cs="Times New Roman"/>
          <w:color w:val="000000"/>
          <w:sz w:val="28"/>
          <w:szCs w:val="28"/>
          <w:lang w:val="ru-RU" w:eastAsia="ru-RU"/>
        </w:rPr>
      </w:pPr>
      <w:r w:rsidRPr="00CA099F">
        <w:rPr>
          <w:rFonts w:eastAsia="Times New Roman" w:cs="Times New Roman"/>
          <w:color w:val="000000"/>
          <w:sz w:val="28"/>
          <w:szCs w:val="28"/>
          <w:lang w:val="ru-RU" w:eastAsia="ru-RU"/>
        </w:rPr>
        <w:t>Кондратьева Ю.С. Рубцы кожи : методическое пособие / Ю.С. Кондратьева, Е.Ю. Неверова. – М. : ЗАО «МираксФарма», 2010. – 32 с.</w:t>
      </w:r>
    </w:p>
    <w:p w:rsidR="0030517B" w:rsidRPr="00CA099F" w:rsidRDefault="0030517B" w:rsidP="0030517B">
      <w:pPr>
        <w:numPr>
          <w:ilvl w:val="0"/>
          <w:numId w:val="17"/>
        </w:numPr>
        <w:pBdr>
          <w:top w:val="nil"/>
          <w:left w:val="nil"/>
          <w:bottom w:val="nil"/>
          <w:right w:val="nil"/>
          <w:between w:val="nil"/>
        </w:pBdr>
        <w:tabs>
          <w:tab w:val="left" w:pos="709"/>
          <w:tab w:val="left" w:pos="944"/>
        </w:tabs>
        <w:spacing w:after="0" w:line="360" w:lineRule="auto"/>
        <w:ind w:right="20"/>
        <w:contextualSpacing/>
        <w:jc w:val="both"/>
        <w:rPr>
          <w:rFonts w:eastAsia="Times New Roman" w:cs="Times New Roman"/>
          <w:color w:val="000000"/>
          <w:sz w:val="28"/>
          <w:szCs w:val="28"/>
          <w:lang w:val="ru-RU" w:eastAsia="ru-RU"/>
        </w:rPr>
      </w:pPr>
      <w:r w:rsidRPr="00CA099F">
        <w:rPr>
          <w:rFonts w:eastAsia="Times New Roman" w:cs="Times New Roman"/>
          <w:color w:val="000000"/>
          <w:sz w:val="28"/>
          <w:szCs w:val="28"/>
          <w:lang w:val="ru-RU" w:eastAsia="ru-RU"/>
        </w:rPr>
        <w:t>Проскурина В.Ю. Применение микротоковой терапии при восстановлении и адаптации кожи / В.Ю. Проскурина // Экп. и клин, дерматокосм. – 2006. - №.2. – С. 27-30.</w:t>
      </w:r>
    </w:p>
    <w:p w:rsidR="0030517B" w:rsidRPr="00CA099F" w:rsidRDefault="0030517B" w:rsidP="0030517B">
      <w:pPr>
        <w:numPr>
          <w:ilvl w:val="0"/>
          <w:numId w:val="17"/>
        </w:numPr>
        <w:pBdr>
          <w:top w:val="nil"/>
          <w:left w:val="nil"/>
          <w:bottom w:val="nil"/>
          <w:right w:val="nil"/>
          <w:between w:val="nil"/>
        </w:pBdr>
        <w:shd w:val="clear" w:color="auto" w:fill="FFFFFF"/>
        <w:tabs>
          <w:tab w:val="left" w:pos="709"/>
        </w:tabs>
        <w:spacing w:after="0" w:line="360" w:lineRule="auto"/>
        <w:contextualSpacing/>
        <w:jc w:val="both"/>
        <w:rPr>
          <w:rFonts w:eastAsia="Times New Roman" w:cs="Times New Roman"/>
          <w:color w:val="000000"/>
          <w:sz w:val="28"/>
          <w:szCs w:val="28"/>
          <w:lang w:val="ru-RU" w:eastAsia="ru-RU"/>
        </w:rPr>
      </w:pPr>
      <w:r w:rsidRPr="00CA099F">
        <w:rPr>
          <w:rFonts w:eastAsia="Times New Roman" w:cs="Times New Roman"/>
          <w:color w:val="000000"/>
          <w:sz w:val="28"/>
          <w:szCs w:val="28"/>
          <w:lang w:val="ru-RU" w:eastAsia="ru-RU"/>
        </w:rPr>
        <w:t>Соболева И.В. Обоснование тактики лечения детей с послеожоговыми рубцами кожи : автореф. дис. на соиск. учен. степени д.мед.н. : спец. 14.00.27 “Хірургія” / И. В. Соболева. – М., 2007. – 26 с.</w:t>
      </w:r>
    </w:p>
    <w:p w:rsidR="0030517B" w:rsidRPr="00CA099F" w:rsidRDefault="0030517B" w:rsidP="0030517B">
      <w:pPr>
        <w:numPr>
          <w:ilvl w:val="0"/>
          <w:numId w:val="17"/>
        </w:numPr>
        <w:pBdr>
          <w:top w:val="nil"/>
          <w:left w:val="nil"/>
          <w:bottom w:val="nil"/>
          <w:right w:val="nil"/>
          <w:between w:val="nil"/>
        </w:pBdr>
        <w:tabs>
          <w:tab w:val="left" w:pos="709"/>
        </w:tabs>
        <w:spacing w:after="0" w:line="360" w:lineRule="auto"/>
        <w:contextualSpacing/>
        <w:jc w:val="both"/>
        <w:rPr>
          <w:rFonts w:eastAsia="Times New Roman" w:cs="Times New Roman"/>
          <w:color w:val="000000"/>
          <w:sz w:val="28"/>
          <w:szCs w:val="28"/>
          <w:lang w:val="ru-RU" w:eastAsia="ru-RU"/>
        </w:rPr>
      </w:pPr>
      <w:r w:rsidRPr="00CA099F">
        <w:rPr>
          <w:rFonts w:eastAsia="Gungsuh" w:cs="Times New Roman"/>
          <w:color w:val="000000"/>
          <w:sz w:val="28"/>
          <w:szCs w:val="28"/>
          <w:lang w:val="ru-RU" w:eastAsia="ru-RU"/>
        </w:rPr>
        <w:t>Герасименко М.И. Различные подходы к использованию ультрафонофореза при рубцах / М.И. Герасименко, В.Г. Зенгер, Ж.И. Усова // Вопросы курортологии, физиотерапии, лечебной физкультуры. – 2002. – Т 2. – С. 36−38.</w:t>
      </w:r>
    </w:p>
    <w:p w:rsidR="0030517B" w:rsidRPr="00CA099F" w:rsidRDefault="0030517B" w:rsidP="0030517B">
      <w:pPr>
        <w:numPr>
          <w:ilvl w:val="0"/>
          <w:numId w:val="17"/>
        </w:numPr>
        <w:pBdr>
          <w:top w:val="nil"/>
          <w:left w:val="nil"/>
          <w:bottom w:val="nil"/>
          <w:right w:val="nil"/>
          <w:between w:val="nil"/>
        </w:pBdr>
        <w:tabs>
          <w:tab w:val="left" w:pos="709"/>
        </w:tabs>
        <w:spacing w:after="0" w:line="360" w:lineRule="auto"/>
        <w:contextualSpacing/>
        <w:jc w:val="both"/>
        <w:rPr>
          <w:rFonts w:eastAsia="Times New Roman" w:cs="Times New Roman"/>
          <w:color w:val="000000"/>
          <w:sz w:val="28"/>
          <w:szCs w:val="28"/>
          <w:lang w:val="en-GB" w:eastAsia="ru-RU"/>
        </w:rPr>
      </w:pPr>
      <w:r w:rsidRPr="00CA099F">
        <w:rPr>
          <w:rFonts w:eastAsia="Times New Roman" w:cs="Times New Roman"/>
          <w:color w:val="000000"/>
          <w:sz w:val="28"/>
          <w:szCs w:val="28"/>
          <w:lang w:val="en-GB" w:eastAsia="ru-RU"/>
        </w:rPr>
        <w:t xml:space="preserve">Ultrapulsed fractional ablative carbon dioxide laser treatment of hypertrophic burn scars: evaluation of an in-patient controlled, standardized treatment approach / </w:t>
      </w:r>
      <w:hyperlink r:id="rId230">
        <w:r w:rsidRPr="00CA099F">
          <w:rPr>
            <w:rFonts w:eastAsia="Times New Roman" w:cs="Times New Roman"/>
            <w:color w:val="000000"/>
            <w:sz w:val="28"/>
            <w:szCs w:val="28"/>
            <w:lang w:val="en-GB" w:eastAsia="ru-RU"/>
          </w:rPr>
          <w:t>J</w:t>
        </w:r>
      </w:hyperlink>
      <w:r w:rsidRPr="00CA099F">
        <w:rPr>
          <w:rFonts w:eastAsia="Times New Roman" w:cs="Times New Roman"/>
          <w:color w:val="000000"/>
          <w:sz w:val="28"/>
          <w:szCs w:val="28"/>
          <w:lang w:val="en-GB" w:eastAsia="ru-RU"/>
        </w:rPr>
        <w:t xml:space="preserve">. Poetschke, U. </w:t>
      </w:r>
      <w:hyperlink r:id="rId231">
        <w:r w:rsidRPr="00CA099F">
          <w:rPr>
            <w:rFonts w:eastAsia="Times New Roman" w:cs="Times New Roman"/>
            <w:color w:val="000000"/>
            <w:sz w:val="28"/>
            <w:szCs w:val="28"/>
            <w:lang w:val="en-GB" w:eastAsia="ru-RU"/>
          </w:rPr>
          <w:t>Dornseifer</w:t>
        </w:r>
      </w:hyperlink>
      <w:r w:rsidRPr="00CA099F">
        <w:rPr>
          <w:rFonts w:eastAsia="Times New Roman" w:cs="Times New Roman"/>
          <w:color w:val="000000"/>
          <w:sz w:val="28"/>
          <w:szCs w:val="28"/>
          <w:lang w:val="en-GB" w:eastAsia="ru-RU"/>
        </w:rPr>
        <w:t xml:space="preserve">, M.T. </w:t>
      </w:r>
      <w:hyperlink r:id="rId232">
        <w:r w:rsidRPr="00CA099F">
          <w:rPr>
            <w:rFonts w:eastAsia="Times New Roman" w:cs="Times New Roman"/>
            <w:color w:val="000000"/>
            <w:sz w:val="28"/>
            <w:szCs w:val="28"/>
            <w:lang w:val="en-GB" w:eastAsia="ru-RU"/>
          </w:rPr>
          <w:t xml:space="preserve">Clementoni </w:t>
        </w:r>
      </w:hyperlink>
      <w:r w:rsidRPr="00CA099F">
        <w:rPr>
          <w:rFonts w:eastAsia="Times New Roman" w:cs="Times New Roman"/>
          <w:color w:val="000000"/>
          <w:sz w:val="28"/>
          <w:szCs w:val="28"/>
          <w:lang w:val="en-GB" w:eastAsia="ru-RU"/>
        </w:rPr>
        <w:t xml:space="preserve">[et al.] // </w:t>
      </w:r>
      <w:hyperlink r:id="rId233">
        <w:r w:rsidRPr="00CA099F">
          <w:rPr>
            <w:rFonts w:eastAsia="Times New Roman" w:cs="Times New Roman"/>
            <w:color w:val="000000"/>
            <w:sz w:val="28"/>
            <w:szCs w:val="28"/>
            <w:lang w:val="en-GB" w:eastAsia="ru-RU"/>
          </w:rPr>
          <w:t>Lasers Med Sci.</w:t>
        </w:r>
      </w:hyperlink>
      <w:r w:rsidRPr="00CA099F">
        <w:rPr>
          <w:rFonts w:eastAsia="Times New Roman" w:cs="Times New Roman"/>
          <w:color w:val="000000"/>
          <w:sz w:val="28"/>
          <w:szCs w:val="28"/>
          <w:lang w:val="en-GB" w:eastAsia="ru-RU"/>
        </w:rPr>
        <w:t xml:space="preserve"> – 2017. – Vol. 32(5). – P.1031-1040.</w:t>
      </w:r>
    </w:p>
    <w:p w:rsidR="0030517B" w:rsidRPr="00CA099F" w:rsidRDefault="0030517B" w:rsidP="0030517B">
      <w:pPr>
        <w:numPr>
          <w:ilvl w:val="0"/>
          <w:numId w:val="17"/>
        </w:numPr>
        <w:pBdr>
          <w:top w:val="nil"/>
          <w:left w:val="nil"/>
          <w:bottom w:val="nil"/>
          <w:right w:val="nil"/>
          <w:between w:val="nil"/>
        </w:pBdr>
        <w:tabs>
          <w:tab w:val="left" w:pos="709"/>
        </w:tabs>
        <w:spacing w:after="0" w:line="360" w:lineRule="auto"/>
        <w:contextualSpacing/>
        <w:jc w:val="both"/>
        <w:rPr>
          <w:rFonts w:eastAsia="Times New Roman" w:cs="Times New Roman"/>
          <w:color w:val="000000"/>
          <w:sz w:val="28"/>
          <w:szCs w:val="28"/>
          <w:lang w:val="en-GB" w:eastAsia="ru-RU"/>
        </w:rPr>
      </w:pPr>
      <w:r w:rsidRPr="00CA099F">
        <w:rPr>
          <w:rFonts w:eastAsia="Times New Roman" w:cs="Times New Roman"/>
          <w:color w:val="000000"/>
          <w:sz w:val="28"/>
          <w:szCs w:val="28"/>
          <w:lang w:val="en-GB" w:eastAsia="ru-RU"/>
        </w:rPr>
        <w:t>Nd:YAG laser treatment for keloids and hypertrophic scars: an analysis of 102 cases / S. Koike, S. Akaishi, Y. Nagashima [et al.] // Plast Reconstr Surg Glob Open – 2015. – Vol. 2. – P. 272.</w:t>
      </w:r>
    </w:p>
    <w:p w:rsidR="0030517B" w:rsidRPr="00CA099F" w:rsidRDefault="0030517B" w:rsidP="0030517B">
      <w:pPr>
        <w:numPr>
          <w:ilvl w:val="0"/>
          <w:numId w:val="17"/>
        </w:numPr>
        <w:pBdr>
          <w:top w:val="nil"/>
          <w:left w:val="nil"/>
          <w:bottom w:val="nil"/>
          <w:right w:val="nil"/>
          <w:between w:val="nil"/>
        </w:pBdr>
        <w:tabs>
          <w:tab w:val="left" w:pos="709"/>
        </w:tabs>
        <w:spacing w:after="0" w:line="360" w:lineRule="auto"/>
        <w:contextualSpacing/>
        <w:jc w:val="both"/>
        <w:rPr>
          <w:rFonts w:eastAsia="Times New Roman" w:cs="Times New Roman"/>
          <w:color w:val="000000"/>
          <w:sz w:val="28"/>
          <w:szCs w:val="28"/>
          <w:lang w:val="ru-RU" w:eastAsia="ru-RU"/>
        </w:rPr>
      </w:pPr>
      <w:r w:rsidRPr="00CA099F">
        <w:rPr>
          <w:rFonts w:eastAsia="Times New Roman" w:cs="Times New Roman"/>
          <w:color w:val="000000"/>
          <w:sz w:val="28"/>
          <w:szCs w:val="28"/>
          <w:lang w:val="ru-RU" w:eastAsia="ru-RU"/>
        </w:rPr>
        <w:t>Пономаренко Г.Н. Физиотерапия в косметологии / Г.Н.</w:t>
      </w:r>
      <w:r w:rsidRPr="00CA099F">
        <w:rPr>
          <w:rFonts w:eastAsia="Times New Roman" w:cs="Times New Roman"/>
          <w:color w:val="000000"/>
          <w:sz w:val="28"/>
          <w:szCs w:val="28"/>
          <w:lang w:val="en-GB" w:eastAsia="ru-RU"/>
        </w:rPr>
        <w:t> </w:t>
      </w:r>
      <w:r w:rsidRPr="00CA099F">
        <w:rPr>
          <w:rFonts w:eastAsia="Times New Roman" w:cs="Times New Roman"/>
          <w:color w:val="000000"/>
          <w:sz w:val="28"/>
          <w:szCs w:val="28"/>
          <w:lang w:val="ru-RU" w:eastAsia="ru-RU"/>
        </w:rPr>
        <w:t>Пономаренко. –СПб. : ВМедА, 2002. – 356 с.</w:t>
      </w:r>
    </w:p>
    <w:p w:rsidR="0030517B" w:rsidRPr="00CA099F" w:rsidRDefault="0030517B" w:rsidP="0030517B">
      <w:pPr>
        <w:numPr>
          <w:ilvl w:val="0"/>
          <w:numId w:val="17"/>
        </w:numPr>
        <w:pBdr>
          <w:top w:val="nil"/>
          <w:left w:val="nil"/>
          <w:bottom w:val="nil"/>
          <w:right w:val="nil"/>
          <w:between w:val="nil"/>
        </w:pBdr>
        <w:tabs>
          <w:tab w:val="left" w:pos="709"/>
          <w:tab w:val="left" w:pos="930"/>
        </w:tabs>
        <w:spacing w:after="0" w:line="360" w:lineRule="auto"/>
        <w:ind w:right="20"/>
        <w:contextualSpacing/>
        <w:jc w:val="both"/>
        <w:rPr>
          <w:rFonts w:eastAsia="Times New Roman" w:cs="Times New Roman"/>
          <w:color w:val="000000"/>
          <w:sz w:val="28"/>
          <w:szCs w:val="28"/>
          <w:lang w:val="ru-RU" w:eastAsia="ru-RU"/>
        </w:rPr>
      </w:pPr>
      <w:r w:rsidRPr="00CA099F">
        <w:rPr>
          <w:rFonts w:eastAsia="Times New Roman" w:cs="Times New Roman"/>
          <w:color w:val="000000"/>
          <w:sz w:val="28"/>
          <w:szCs w:val="28"/>
          <w:lang w:val="ru-RU" w:eastAsia="ru-RU"/>
        </w:rPr>
        <w:t xml:space="preserve">Веселова </w:t>
      </w:r>
      <w:r w:rsidRPr="00CA099F">
        <w:rPr>
          <w:rFonts w:eastAsia="Times New Roman" w:cs="Times New Roman"/>
          <w:color w:val="000000"/>
          <w:sz w:val="28"/>
          <w:szCs w:val="28"/>
          <w:lang w:val="en-GB" w:eastAsia="ru-RU"/>
        </w:rPr>
        <w:t>JI</w:t>
      </w:r>
      <w:r w:rsidRPr="00CA099F">
        <w:rPr>
          <w:rFonts w:eastAsia="Times New Roman" w:cs="Times New Roman"/>
          <w:color w:val="000000"/>
          <w:sz w:val="28"/>
          <w:szCs w:val="28"/>
          <w:lang w:val="ru-RU" w:eastAsia="ru-RU"/>
        </w:rPr>
        <w:t>.</w:t>
      </w:r>
      <w:r w:rsidRPr="00CA099F">
        <w:rPr>
          <w:rFonts w:eastAsia="Times New Roman" w:cs="Times New Roman"/>
          <w:color w:val="000000"/>
          <w:sz w:val="28"/>
          <w:szCs w:val="28"/>
          <w:lang w:val="en-GB" w:eastAsia="ru-RU"/>
        </w:rPr>
        <w:t>B</w:t>
      </w:r>
      <w:r w:rsidRPr="00CA099F">
        <w:rPr>
          <w:rFonts w:eastAsia="Times New Roman" w:cs="Times New Roman"/>
          <w:color w:val="000000"/>
          <w:sz w:val="28"/>
          <w:szCs w:val="28"/>
          <w:lang w:val="ru-RU" w:eastAsia="ru-RU"/>
        </w:rPr>
        <w:t xml:space="preserve">. Шлифовка рубцовых осложнений кожи эрбиевым лазером / </w:t>
      </w:r>
      <w:r w:rsidRPr="00CA099F">
        <w:rPr>
          <w:rFonts w:eastAsia="Times New Roman" w:cs="Times New Roman"/>
          <w:color w:val="000000"/>
          <w:sz w:val="28"/>
          <w:szCs w:val="28"/>
          <w:lang w:val="en-GB" w:eastAsia="ru-RU"/>
        </w:rPr>
        <w:t>JI</w:t>
      </w:r>
      <w:r w:rsidRPr="00CA099F">
        <w:rPr>
          <w:rFonts w:eastAsia="Times New Roman" w:cs="Times New Roman"/>
          <w:color w:val="000000"/>
          <w:sz w:val="28"/>
          <w:szCs w:val="28"/>
          <w:lang w:val="ru-RU" w:eastAsia="ru-RU"/>
        </w:rPr>
        <w:t>.</w:t>
      </w:r>
      <w:r w:rsidRPr="00CA099F">
        <w:rPr>
          <w:rFonts w:eastAsia="Times New Roman" w:cs="Times New Roman"/>
          <w:color w:val="000000"/>
          <w:sz w:val="28"/>
          <w:szCs w:val="28"/>
          <w:lang w:val="en-GB" w:eastAsia="ru-RU"/>
        </w:rPr>
        <w:t>B</w:t>
      </w:r>
      <w:r w:rsidRPr="00CA099F">
        <w:rPr>
          <w:rFonts w:eastAsia="Times New Roman" w:cs="Times New Roman"/>
          <w:color w:val="000000"/>
          <w:sz w:val="28"/>
          <w:szCs w:val="28"/>
          <w:lang w:val="ru-RU" w:eastAsia="ru-RU"/>
        </w:rPr>
        <w:t>. Веселова, Т.В. Шуртакова, Н.В. Полукаров // Эксп. и клин, дерматокосм. - 2008. - №2 – С. 35-38.</w:t>
      </w:r>
    </w:p>
    <w:p w:rsidR="0030517B" w:rsidRPr="00CA099F" w:rsidRDefault="0030517B" w:rsidP="0030517B">
      <w:pPr>
        <w:numPr>
          <w:ilvl w:val="0"/>
          <w:numId w:val="17"/>
        </w:numPr>
        <w:pBdr>
          <w:top w:val="nil"/>
          <w:left w:val="nil"/>
          <w:bottom w:val="nil"/>
          <w:right w:val="nil"/>
          <w:between w:val="nil"/>
        </w:pBdr>
        <w:tabs>
          <w:tab w:val="left" w:pos="709"/>
          <w:tab w:val="left" w:pos="924"/>
        </w:tabs>
        <w:spacing w:after="0" w:line="360" w:lineRule="auto"/>
        <w:ind w:right="20"/>
        <w:contextualSpacing/>
        <w:jc w:val="both"/>
        <w:rPr>
          <w:rFonts w:eastAsia="Times New Roman" w:cs="Times New Roman"/>
          <w:color w:val="000000"/>
          <w:sz w:val="28"/>
          <w:szCs w:val="28"/>
          <w:lang w:val="en-GB" w:eastAsia="ru-RU"/>
        </w:rPr>
      </w:pPr>
      <w:r w:rsidRPr="00CA099F">
        <w:rPr>
          <w:rFonts w:eastAsia="Times New Roman" w:cs="Times New Roman"/>
          <w:color w:val="000000"/>
          <w:sz w:val="28"/>
          <w:szCs w:val="28"/>
          <w:lang w:val="en-GB" w:eastAsia="ru-RU"/>
        </w:rPr>
        <w:lastRenderedPageBreak/>
        <w:t>Khatri K.A. Laser scar revision: A review / K.A. Khatri, D.L. Mahoney, M.J. McCartney // J. Cosmet. Laser Ther. – 2011. – Vol. 13, N2. – P. 54-62.</w:t>
      </w:r>
    </w:p>
    <w:p w:rsidR="0030517B" w:rsidRPr="00CA099F" w:rsidRDefault="0030517B" w:rsidP="0030517B">
      <w:pPr>
        <w:numPr>
          <w:ilvl w:val="0"/>
          <w:numId w:val="17"/>
        </w:numPr>
        <w:pBdr>
          <w:top w:val="nil"/>
          <w:left w:val="nil"/>
          <w:bottom w:val="nil"/>
          <w:right w:val="nil"/>
          <w:between w:val="nil"/>
        </w:pBdr>
        <w:shd w:val="clear" w:color="auto" w:fill="FFFFFF"/>
        <w:spacing w:line="360" w:lineRule="auto"/>
        <w:contextualSpacing/>
        <w:jc w:val="both"/>
        <w:rPr>
          <w:rFonts w:eastAsia="Times New Roman" w:cs="Times New Roman"/>
          <w:color w:val="000000"/>
          <w:sz w:val="28"/>
          <w:szCs w:val="28"/>
          <w:lang w:val="en-GB" w:eastAsia="ru-RU"/>
        </w:rPr>
      </w:pPr>
      <w:r w:rsidRPr="00CA099F">
        <w:rPr>
          <w:rFonts w:eastAsia="Times New Roman" w:cs="Times New Roman"/>
          <w:color w:val="000000"/>
          <w:sz w:val="28"/>
          <w:szCs w:val="28"/>
          <w:lang w:val="en-GB" w:eastAsia="ru-RU"/>
        </w:rPr>
        <w:t xml:space="preserve">Fractional Carbon Dioxide Laser and its Combination with Subcision in Improving Atrophic Acne Scars / M.A. Nilforoushzadeh, </w:t>
      </w:r>
      <w:hyperlink r:id="rId234">
        <w:r w:rsidRPr="00CA099F">
          <w:rPr>
            <w:rFonts w:eastAsia="Times New Roman" w:cs="Times New Roman"/>
            <w:color w:val="000000"/>
            <w:sz w:val="28"/>
            <w:szCs w:val="28"/>
            <w:lang w:val="en-GB" w:eastAsia="ru-RU"/>
          </w:rPr>
          <w:t>G. Faghihi</w:t>
        </w:r>
      </w:hyperlink>
      <w:r w:rsidRPr="00CA099F">
        <w:rPr>
          <w:rFonts w:eastAsia="Times New Roman" w:cs="Times New Roman"/>
          <w:color w:val="000000"/>
          <w:sz w:val="28"/>
          <w:szCs w:val="28"/>
          <w:lang w:val="en-GB" w:eastAsia="ru-RU"/>
        </w:rPr>
        <w:t xml:space="preserve">, </w:t>
      </w:r>
      <w:hyperlink r:id="rId235">
        <w:r w:rsidRPr="00CA099F">
          <w:rPr>
            <w:rFonts w:eastAsia="Times New Roman" w:cs="Times New Roman"/>
            <w:color w:val="000000"/>
            <w:sz w:val="28"/>
            <w:szCs w:val="28"/>
            <w:lang w:val="en-GB" w:eastAsia="ru-RU"/>
          </w:rPr>
          <w:t>F. Jaffary</w:t>
        </w:r>
      </w:hyperlink>
      <w:r w:rsidRPr="00CA099F">
        <w:rPr>
          <w:rFonts w:eastAsia="Times New Roman" w:cs="Times New Roman"/>
          <w:color w:val="000000"/>
          <w:sz w:val="28"/>
          <w:szCs w:val="28"/>
          <w:lang w:val="en-GB" w:eastAsia="ru-RU"/>
        </w:rPr>
        <w:t xml:space="preserve"> [et al.] // </w:t>
      </w:r>
      <w:hyperlink r:id="rId236">
        <w:r w:rsidRPr="00CA099F">
          <w:rPr>
            <w:rFonts w:eastAsia="Times New Roman" w:cs="Times New Roman"/>
            <w:color w:val="000000"/>
            <w:sz w:val="28"/>
            <w:szCs w:val="28"/>
            <w:lang w:val="en-GB" w:eastAsia="ru-RU"/>
          </w:rPr>
          <w:t>Adv Biomed Res</w:t>
        </w:r>
      </w:hyperlink>
      <w:r w:rsidRPr="00CA099F">
        <w:rPr>
          <w:rFonts w:eastAsia="Times New Roman" w:cs="Times New Roman"/>
          <w:color w:val="000000"/>
          <w:sz w:val="28"/>
          <w:szCs w:val="28"/>
          <w:lang w:val="en-GB" w:eastAsia="ru-RU"/>
        </w:rPr>
        <w:t>. – 2017. – Vol. 6. – P. 20.</w:t>
      </w:r>
    </w:p>
    <w:p w:rsidR="0030517B" w:rsidRPr="00CA099F" w:rsidRDefault="0030517B" w:rsidP="0030517B">
      <w:pPr>
        <w:numPr>
          <w:ilvl w:val="0"/>
          <w:numId w:val="17"/>
        </w:numPr>
        <w:pBdr>
          <w:top w:val="nil"/>
          <w:left w:val="nil"/>
          <w:bottom w:val="nil"/>
          <w:right w:val="nil"/>
          <w:between w:val="nil"/>
        </w:pBdr>
        <w:tabs>
          <w:tab w:val="left" w:pos="709"/>
          <w:tab w:val="left" w:pos="914"/>
        </w:tabs>
        <w:spacing w:after="0" w:line="360" w:lineRule="auto"/>
        <w:ind w:right="20"/>
        <w:contextualSpacing/>
        <w:jc w:val="both"/>
        <w:rPr>
          <w:rFonts w:eastAsia="Times New Roman" w:cs="Times New Roman"/>
          <w:color w:val="000000"/>
          <w:sz w:val="28"/>
          <w:szCs w:val="28"/>
          <w:lang w:val="ru-RU" w:eastAsia="ru-RU"/>
        </w:rPr>
      </w:pPr>
      <w:r w:rsidRPr="00CA099F">
        <w:rPr>
          <w:rFonts w:eastAsia="Times New Roman" w:cs="Times New Roman"/>
          <w:color w:val="000000"/>
          <w:sz w:val="28"/>
          <w:szCs w:val="28"/>
          <w:lang w:val="ru-RU" w:eastAsia="ru-RU"/>
        </w:rPr>
        <w:t xml:space="preserve">Ключарева </w:t>
      </w:r>
      <w:r w:rsidRPr="00CA099F">
        <w:rPr>
          <w:rFonts w:eastAsia="Times New Roman" w:cs="Times New Roman"/>
          <w:color w:val="000000"/>
          <w:sz w:val="28"/>
          <w:szCs w:val="28"/>
          <w:lang w:val="en-GB" w:eastAsia="ru-RU"/>
        </w:rPr>
        <w:t>C</w:t>
      </w:r>
      <w:r w:rsidRPr="00CA099F">
        <w:rPr>
          <w:rFonts w:eastAsia="Times New Roman" w:cs="Times New Roman"/>
          <w:color w:val="000000"/>
          <w:sz w:val="28"/>
          <w:szCs w:val="28"/>
          <w:lang w:val="ru-RU" w:eastAsia="ru-RU"/>
        </w:rPr>
        <w:t>.</w:t>
      </w:r>
      <w:r w:rsidRPr="00CA099F">
        <w:rPr>
          <w:rFonts w:eastAsia="Times New Roman" w:cs="Times New Roman"/>
          <w:color w:val="000000"/>
          <w:sz w:val="28"/>
          <w:szCs w:val="28"/>
          <w:lang w:val="en-GB" w:eastAsia="ru-RU"/>
        </w:rPr>
        <w:t>B</w:t>
      </w:r>
      <w:r w:rsidRPr="00CA099F">
        <w:rPr>
          <w:rFonts w:eastAsia="Times New Roman" w:cs="Times New Roman"/>
          <w:color w:val="000000"/>
          <w:sz w:val="28"/>
          <w:szCs w:val="28"/>
          <w:lang w:val="ru-RU" w:eastAsia="ru-RU"/>
        </w:rPr>
        <w:t xml:space="preserve">. Терапия рубцов сосудистым лазером на парах меди / </w:t>
      </w:r>
      <w:r w:rsidRPr="00CA099F">
        <w:rPr>
          <w:rFonts w:eastAsia="Times New Roman" w:cs="Times New Roman"/>
          <w:color w:val="000000"/>
          <w:sz w:val="28"/>
          <w:szCs w:val="28"/>
          <w:lang w:val="en-GB" w:eastAsia="ru-RU"/>
        </w:rPr>
        <w:t>C</w:t>
      </w:r>
      <w:r w:rsidRPr="00CA099F">
        <w:rPr>
          <w:rFonts w:eastAsia="Times New Roman" w:cs="Times New Roman"/>
          <w:color w:val="000000"/>
          <w:sz w:val="28"/>
          <w:szCs w:val="28"/>
          <w:lang w:val="ru-RU" w:eastAsia="ru-RU"/>
        </w:rPr>
        <w:t>.</w:t>
      </w:r>
      <w:r w:rsidRPr="00CA099F">
        <w:rPr>
          <w:rFonts w:eastAsia="Times New Roman" w:cs="Times New Roman"/>
          <w:color w:val="000000"/>
          <w:sz w:val="28"/>
          <w:szCs w:val="28"/>
          <w:lang w:val="en-GB" w:eastAsia="ru-RU"/>
        </w:rPr>
        <w:t>B</w:t>
      </w:r>
      <w:r w:rsidRPr="00CA099F">
        <w:rPr>
          <w:rFonts w:eastAsia="Times New Roman" w:cs="Times New Roman"/>
          <w:color w:val="000000"/>
          <w:sz w:val="28"/>
          <w:szCs w:val="28"/>
          <w:lang w:val="ru-RU" w:eastAsia="ru-RU"/>
        </w:rPr>
        <w:t>. Ключарева, И.В. Пономарев, Л.А. Бендик // Экспериментальная и клиническая дерматокос- метология. - 2008. - №1. - С.39-43.</w:t>
      </w:r>
    </w:p>
    <w:p w:rsidR="0030517B" w:rsidRPr="00CA099F" w:rsidRDefault="0030517B" w:rsidP="0030517B">
      <w:pPr>
        <w:numPr>
          <w:ilvl w:val="0"/>
          <w:numId w:val="17"/>
        </w:numPr>
        <w:pBdr>
          <w:top w:val="nil"/>
          <w:left w:val="nil"/>
          <w:bottom w:val="nil"/>
          <w:right w:val="nil"/>
          <w:between w:val="nil"/>
        </w:pBdr>
        <w:shd w:val="clear" w:color="auto" w:fill="FFFFFF"/>
        <w:spacing w:after="0" w:line="360" w:lineRule="auto"/>
        <w:contextualSpacing/>
        <w:jc w:val="both"/>
        <w:rPr>
          <w:rFonts w:eastAsia="Times New Roman" w:cs="Times New Roman"/>
          <w:color w:val="000000"/>
          <w:sz w:val="28"/>
          <w:szCs w:val="28"/>
          <w:lang w:val="en-GB" w:eastAsia="ru-RU"/>
        </w:rPr>
      </w:pPr>
      <w:r w:rsidRPr="00CA099F">
        <w:rPr>
          <w:rFonts w:eastAsia="Times New Roman" w:cs="Times New Roman"/>
          <w:color w:val="000000"/>
          <w:sz w:val="28"/>
          <w:szCs w:val="28"/>
          <w:lang w:val="en-GB" w:eastAsia="ru-RU"/>
        </w:rPr>
        <w:t xml:space="preserve">Stewart S.A. The Use of Silgel STC-SE, a Topical Silicone Gel for the Treatment and Reduction of Hypertrophic and Keloid Scars / S.A. Stewart, </w:t>
      </w:r>
      <w:hyperlink r:id="rId237">
        <w:r w:rsidRPr="00CA099F">
          <w:rPr>
            <w:rFonts w:eastAsia="Times New Roman" w:cs="Times New Roman"/>
            <w:color w:val="000000"/>
            <w:sz w:val="28"/>
            <w:szCs w:val="28"/>
            <w:lang w:val="en-GB" w:eastAsia="ru-RU"/>
          </w:rPr>
          <w:t>G.M.G. Dougall</w:t>
        </w:r>
      </w:hyperlink>
      <w:r w:rsidRPr="00CA099F">
        <w:rPr>
          <w:rFonts w:eastAsia="Times New Roman" w:cs="Times New Roman"/>
          <w:color w:val="000000"/>
          <w:sz w:val="28"/>
          <w:szCs w:val="28"/>
          <w:lang w:val="en-GB" w:eastAsia="ru-RU"/>
        </w:rPr>
        <w:t xml:space="preserve">, </w:t>
      </w:r>
      <w:hyperlink r:id="rId238">
        <w:r w:rsidRPr="00CA099F">
          <w:rPr>
            <w:rFonts w:eastAsia="Times New Roman" w:cs="Times New Roman"/>
            <w:color w:val="000000"/>
            <w:sz w:val="28"/>
            <w:szCs w:val="28"/>
            <w:lang w:val="en-GB" w:eastAsia="ru-RU"/>
          </w:rPr>
          <w:t>E.M. Tafuro</w:t>
        </w:r>
      </w:hyperlink>
      <w:r w:rsidRPr="00CA099F">
        <w:rPr>
          <w:rFonts w:eastAsia="Times New Roman" w:cs="Times New Roman"/>
          <w:color w:val="000000"/>
          <w:sz w:val="28"/>
          <w:szCs w:val="28"/>
          <w:lang w:val="en-GB" w:eastAsia="ru-RU"/>
        </w:rPr>
        <w:t xml:space="preserve"> // </w:t>
      </w:r>
      <w:hyperlink r:id="rId239">
        <w:r w:rsidRPr="00CA099F">
          <w:rPr>
            <w:rFonts w:eastAsia="Times New Roman" w:cs="Times New Roman"/>
            <w:color w:val="000000"/>
            <w:sz w:val="28"/>
            <w:szCs w:val="28"/>
            <w:lang w:val="en-GB" w:eastAsia="ru-RU"/>
          </w:rPr>
          <w:t>Plast Reconstr Surg Glob Open</w:t>
        </w:r>
      </w:hyperlink>
      <w:r w:rsidRPr="00CA099F">
        <w:rPr>
          <w:rFonts w:eastAsia="Times New Roman" w:cs="Times New Roman"/>
          <w:color w:val="000000"/>
          <w:sz w:val="28"/>
          <w:szCs w:val="28"/>
          <w:lang w:val="en-GB" w:eastAsia="ru-RU"/>
        </w:rPr>
        <w:t>. – 2016. – Vol. 4(12). – P. 1183.</w:t>
      </w:r>
    </w:p>
    <w:p w:rsidR="0030517B" w:rsidRPr="00CA099F" w:rsidRDefault="0030517B" w:rsidP="0030517B">
      <w:pPr>
        <w:numPr>
          <w:ilvl w:val="0"/>
          <w:numId w:val="17"/>
        </w:numPr>
        <w:pBdr>
          <w:top w:val="nil"/>
          <w:left w:val="nil"/>
          <w:bottom w:val="nil"/>
          <w:right w:val="nil"/>
          <w:between w:val="nil"/>
        </w:pBdr>
        <w:tabs>
          <w:tab w:val="left" w:pos="709"/>
        </w:tabs>
        <w:spacing w:after="0" w:line="360" w:lineRule="auto"/>
        <w:contextualSpacing/>
        <w:jc w:val="both"/>
        <w:rPr>
          <w:rFonts w:eastAsia="Times New Roman" w:cs="Times New Roman"/>
          <w:color w:val="000000"/>
          <w:sz w:val="28"/>
          <w:szCs w:val="28"/>
          <w:lang w:val="ru-RU" w:eastAsia="ru-RU"/>
        </w:rPr>
      </w:pPr>
      <w:r w:rsidRPr="00CA099F">
        <w:rPr>
          <w:rFonts w:eastAsia="Times New Roman" w:cs="Times New Roman"/>
          <w:color w:val="000000"/>
          <w:sz w:val="28"/>
          <w:szCs w:val="28"/>
          <w:lang w:val="en-GB" w:eastAsia="ru-RU"/>
        </w:rPr>
        <w:t xml:space="preserve">Скрипник В.М. Клініко-генетичне та морфологічне обґрунтування профілактики утворення післяопераційних патологічних рубів голови та шиї : автореферат дис. на здобуття наук. ст. к.мед.н. : спец. </w:t>
      </w:r>
      <w:r w:rsidRPr="00CA099F">
        <w:rPr>
          <w:rFonts w:eastAsia="Times New Roman" w:cs="Times New Roman"/>
          <w:color w:val="000000"/>
          <w:sz w:val="28"/>
          <w:szCs w:val="28"/>
          <w:lang w:val="ru-RU" w:eastAsia="ru-RU"/>
        </w:rPr>
        <w:t>14.01.22 «Стоматологія» / В.М. Скрипник. – Полтава, 2013. – 21 с.</w:t>
      </w:r>
    </w:p>
    <w:p w:rsidR="0030517B" w:rsidRPr="00CA099F" w:rsidRDefault="0030517B" w:rsidP="0030517B">
      <w:pPr>
        <w:numPr>
          <w:ilvl w:val="0"/>
          <w:numId w:val="17"/>
        </w:numPr>
        <w:pBdr>
          <w:top w:val="nil"/>
          <w:left w:val="nil"/>
          <w:bottom w:val="nil"/>
          <w:right w:val="nil"/>
          <w:between w:val="nil"/>
        </w:pBdr>
        <w:tabs>
          <w:tab w:val="left" w:pos="709"/>
        </w:tabs>
        <w:spacing w:after="0" w:line="360" w:lineRule="auto"/>
        <w:contextualSpacing/>
        <w:jc w:val="both"/>
        <w:rPr>
          <w:rFonts w:eastAsia="Times New Roman" w:cs="Times New Roman"/>
          <w:color w:val="000000"/>
          <w:sz w:val="28"/>
          <w:szCs w:val="28"/>
          <w:lang w:val="ru-RU" w:eastAsia="ru-RU"/>
        </w:rPr>
      </w:pPr>
      <w:r w:rsidRPr="00CA099F">
        <w:rPr>
          <w:rFonts w:eastAsia="Times New Roman" w:cs="Times New Roman"/>
          <w:color w:val="000000"/>
          <w:sz w:val="28"/>
          <w:szCs w:val="28"/>
          <w:lang w:val="ru-RU" w:eastAsia="ru-RU"/>
        </w:rPr>
        <w:t xml:space="preserve">Патент на корисну модель 15448 Україна, МПК </w:t>
      </w:r>
      <w:r w:rsidRPr="00CA099F">
        <w:rPr>
          <w:rFonts w:eastAsia="Times New Roman" w:cs="Times New Roman"/>
          <w:color w:val="000000"/>
          <w:sz w:val="28"/>
          <w:szCs w:val="28"/>
          <w:lang w:val="en-GB" w:eastAsia="ru-RU"/>
        </w:rPr>
        <w:t>G</w:t>
      </w:r>
      <w:r w:rsidRPr="00CA099F">
        <w:rPr>
          <w:rFonts w:eastAsia="Times New Roman" w:cs="Times New Roman"/>
          <w:color w:val="000000"/>
          <w:sz w:val="28"/>
          <w:szCs w:val="28"/>
          <w:lang w:val="ru-RU" w:eastAsia="ru-RU"/>
        </w:rPr>
        <w:t>01</w:t>
      </w:r>
      <w:r w:rsidRPr="00CA099F">
        <w:rPr>
          <w:rFonts w:eastAsia="Times New Roman" w:cs="Times New Roman"/>
          <w:color w:val="000000"/>
          <w:sz w:val="28"/>
          <w:szCs w:val="28"/>
          <w:lang w:val="en-GB" w:eastAsia="ru-RU"/>
        </w:rPr>
        <w:t>N</w:t>
      </w:r>
      <w:r w:rsidRPr="00CA099F">
        <w:rPr>
          <w:rFonts w:eastAsia="Times New Roman" w:cs="Times New Roman"/>
          <w:color w:val="000000"/>
          <w:sz w:val="28"/>
          <w:szCs w:val="28"/>
          <w:lang w:val="ru-RU" w:eastAsia="ru-RU"/>
        </w:rPr>
        <w:t xml:space="preserve"> 33/00. Спосіб профілактики виникнення патологічних рубців, що локалізовані в ділянках голови та шиї після планових оперативних втручань / Аветіков Д.С., Ставицький С.О., Скрипник В.М. - № </w:t>
      </w:r>
      <w:r w:rsidRPr="00CA099F">
        <w:rPr>
          <w:rFonts w:eastAsia="Times New Roman" w:cs="Times New Roman"/>
          <w:color w:val="000000"/>
          <w:sz w:val="28"/>
          <w:szCs w:val="28"/>
          <w:lang w:val="en-GB" w:eastAsia="ru-RU"/>
        </w:rPr>
        <w:t>u</w:t>
      </w:r>
      <w:r w:rsidRPr="00CA099F">
        <w:rPr>
          <w:rFonts w:eastAsia="Times New Roman" w:cs="Times New Roman"/>
          <w:color w:val="000000"/>
          <w:sz w:val="28"/>
          <w:szCs w:val="28"/>
          <w:lang w:val="ru-RU" w:eastAsia="ru-RU"/>
        </w:rPr>
        <w:t xml:space="preserve"> 2012 102712; заявл 14.10.2012; опубл. 20.12.2012, Бюл. №11.</w:t>
      </w:r>
    </w:p>
    <w:p w:rsidR="0030517B" w:rsidRPr="00CA099F" w:rsidRDefault="0030517B" w:rsidP="0030517B">
      <w:pPr>
        <w:numPr>
          <w:ilvl w:val="0"/>
          <w:numId w:val="17"/>
        </w:numPr>
        <w:pBdr>
          <w:top w:val="nil"/>
          <w:left w:val="nil"/>
          <w:bottom w:val="nil"/>
          <w:right w:val="nil"/>
          <w:between w:val="nil"/>
        </w:pBdr>
        <w:tabs>
          <w:tab w:val="left" w:pos="709"/>
        </w:tabs>
        <w:spacing w:after="0" w:line="360" w:lineRule="auto"/>
        <w:contextualSpacing/>
        <w:jc w:val="both"/>
        <w:rPr>
          <w:rFonts w:eastAsia="Times New Roman" w:cs="Times New Roman"/>
          <w:color w:val="000000"/>
          <w:sz w:val="28"/>
          <w:szCs w:val="28"/>
          <w:lang w:val="ru-RU" w:eastAsia="ru-RU"/>
        </w:rPr>
      </w:pPr>
      <w:r w:rsidRPr="00CA099F">
        <w:rPr>
          <w:rFonts w:eastAsia="Times New Roman" w:cs="Times New Roman"/>
          <w:color w:val="000000"/>
          <w:sz w:val="28"/>
          <w:szCs w:val="28"/>
          <w:lang w:val="ru-RU" w:eastAsia="ru-RU"/>
        </w:rPr>
        <w:t>Ставицький С.О. Клініко-морфологічне обґрунтування комплексного лікування патологічних рубців, що локалізовані в ділянках голови та шиї : автореферат дис. на здобуття наук. ст. к.мед.н. : спец. 14.01.22 «Стоматологія» / С.О. Ставицький. – Полтава, 2012. – 19 с.</w:t>
      </w:r>
    </w:p>
    <w:p w:rsidR="0030517B" w:rsidRPr="00CA099F" w:rsidRDefault="0030517B" w:rsidP="0030517B">
      <w:pPr>
        <w:numPr>
          <w:ilvl w:val="0"/>
          <w:numId w:val="17"/>
        </w:numPr>
        <w:pBdr>
          <w:top w:val="nil"/>
          <w:left w:val="nil"/>
          <w:bottom w:val="nil"/>
          <w:right w:val="nil"/>
          <w:between w:val="nil"/>
        </w:pBdr>
        <w:tabs>
          <w:tab w:val="left" w:pos="709"/>
        </w:tabs>
        <w:spacing w:after="0" w:line="360" w:lineRule="auto"/>
        <w:contextualSpacing/>
        <w:jc w:val="both"/>
        <w:rPr>
          <w:rFonts w:eastAsia="Times New Roman" w:cs="Times New Roman"/>
          <w:color w:val="000000"/>
          <w:sz w:val="28"/>
          <w:szCs w:val="28"/>
          <w:lang w:val="ru-RU" w:eastAsia="ru-RU"/>
        </w:rPr>
      </w:pPr>
      <w:r w:rsidRPr="00CA099F">
        <w:rPr>
          <w:rFonts w:eastAsia="Gungsuh" w:cs="Times New Roman"/>
          <w:color w:val="000000"/>
          <w:sz w:val="28"/>
          <w:szCs w:val="28"/>
          <w:lang w:val="ru-RU" w:eastAsia="ru-RU"/>
        </w:rPr>
        <w:t xml:space="preserve">Герасименко М.Ю. Контрактубекс и физические факторы в комплексном лечении рубцовых деформаций / М.Ю. Герасименко, Е.В.Филатова, В.А. Стучилов // Сб. науч. тр. </w:t>
      </w:r>
      <w:r w:rsidRPr="00CA099F">
        <w:rPr>
          <w:rFonts w:eastAsia="Gungsuh" w:cs="Times New Roman"/>
          <w:color w:val="000000"/>
          <w:sz w:val="28"/>
          <w:szCs w:val="28"/>
          <w:lang w:val="en-GB" w:eastAsia="ru-RU"/>
        </w:rPr>
        <w:t>IIc</w:t>
      </w:r>
      <w:r w:rsidRPr="00CA099F">
        <w:rPr>
          <w:rFonts w:eastAsia="Gungsuh" w:cs="Times New Roman"/>
          <w:color w:val="000000"/>
          <w:sz w:val="28"/>
          <w:szCs w:val="28"/>
          <w:lang w:val="ru-RU" w:eastAsia="ru-RU"/>
        </w:rPr>
        <w:t>ъезда комбустиологов России. − М., 2008. – С. 187−188.</w:t>
      </w:r>
    </w:p>
    <w:p w:rsidR="0030517B" w:rsidRPr="00CA099F" w:rsidRDefault="0030517B" w:rsidP="0030517B">
      <w:pPr>
        <w:numPr>
          <w:ilvl w:val="0"/>
          <w:numId w:val="17"/>
        </w:numPr>
        <w:pBdr>
          <w:top w:val="nil"/>
          <w:left w:val="nil"/>
          <w:bottom w:val="nil"/>
          <w:right w:val="nil"/>
          <w:between w:val="nil"/>
        </w:pBdr>
        <w:tabs>
          <w:tab w:val="left" w:pos="709"/>
        </w:tabs>
        <w:spacing w:after="0" w:line="360" w:lineRule="auto"/>
        <w:contextualSpacing/>
        <w:jc w:val="both"/>
        <w:rPr>
          <w:rFonts w:eastAsia="Times New Roman" w:cs="Times New Roman"/>
          <w:color w:val="000000"/>
          <w:sz w:val="28"/>
          <w:szCs w:val="28"/>
          <w:lang w:val="ru-RU" w:eastAsia="ru-RU"/>
        </w:rPr>
      </w:pPr>
      <w:r w:rsidRPr="00CA099F">
        <w:rPr>
          <w:rFonts w:eastAsia="Gungsuh" w:cs="Times New Roman"/>
          <w:color w:val="000000"/>
          <w:sz w:val="28"/>
          <w:szCs w:val="28"/>
          <w:lang w:val="ru-RU" w:eastAsia="ru-RU"/>
        </w:rPr>
        <w:lastRenderedPageBreak/>
        <w:t>Алексеев А.А. Профилактика и лечение послеожоговых рубцов гелем «Контрактубекс» / А.А. Алексеев, В.А. Лавров, М.Г. Лагвилава // Мат. симпозиума по консервативному лечению рубцов. – М., 2000. – С. 6−10.</w:t>
      </w:r>
    </w:p>
    <w:p w:rsidR="0030517B" w:rsidRPr="00CA099F" w:rsidRDefault="0030517B" w:rsidP="0030517B">
      <w:pPr>
        <w:numPr>
          <w:ilvl w:val="0"/>
          <w:numId w:val="17"/>
        </w:numPr>
        <w:pBdr>
          <w:top w:val="nil"/>
          <w:left w:val="nil"/>
          <w:bottom w:val="nil"/>
          <w:right w:val="nil"/>
          <w:between w:val="nil"/>
        </w:pBdr>
        <w:tabs>
          <w:tab w:val="left" w:pos="709"/>
        </w:tabs>
        <w:spacing w:after="0" w:line="360" w:lineRule="auto"/>
        <w:contextualSpacing/>
        <w:jc w:val="both"/>
        <w:rPr>
          <w:rFonts w:eastAsia="Times New Roman" w:cs="Times New Roman"/>
          <w:color w:val="000000"/>
          <w:sz w:val="28"/>
          <w:szCs w:val="28"/>
          <w:lang w:val="ru-RU" w:eastAsia="ru-RU"/>
        </w:rPr>
      </w:pPr>
      <w:r w:rsidRPr="00CA099F">
        <w:rPr>
          <w:rFonts w:eastAsia="Times New Roman" w:cs="Times New Roman"/>
          <w:color w:val="000000"/>
          <w:sz w:val="28"/>
          <w:szCs w:val="28"/>
          <w:lang w:val="ru-RU" w:eastAsia="ru-RU"/>
        </w:rPr>
        <w:t xml:space="preserve">Патент на корисну модель 44539, Україна, МПК А61К 47/48. Спосіб консервативного лікування келоїдних рубців, що локалізовані в ділянці голови та шиї / Аветіков Д. С., Ставицький С. О., Скрипник В. М. - № </w:t>
      </w:r>
      <w:r w:rsidRPr="00CA099F">
        <w:rPr>
          <w:rFonts w:eastAsia="Times New Roman" w:cs="Times New Roman"/>
          <w:color w:val="000000"/>
          <w:sz w:val="28"/>
          <w:szCs w:val="28"/>
          <w:lang w:val="en-GB" w:eastAsia="ru-RU"/>
        </w:rPr>
        <w:t>u</w:t>
      </w:r>
      <w:r w:rsidRPr="00CA099F">
        <w:rPr>
          <w:rFonts w:eastAsia="Times New Roman" w:cs="Times New Roman"/>
          <w:color w:val="000000"/>
          <w:sz w:val="28"/>
          <w:szCs w:val="28"/>
          <w:lang w:val="ru-RU" w:eastAsia="ru-RU"/>
        </w:rPr>
        <w:t xml:space="preserve"> 2009 03435; заявл. 10.04.2009; опубл. 12.10.2009, Бюл. № 19.</w:t>
      </w:r>
    </w:p>
    <w:p w:rsidR="0030517B" w:rsidRPr="00CA099F" w:rsidRDefault="0030517B" w:rsidP="0030517B">
      <w:pPr>
        <w:numPr>
          <w:ilvl w:val="0"/>
          <w:numId w:val="17"/>
        </w:numPr>
        <w:pBdr>
          <w:top w:val="nil"/>
          <w:left w:val="nil"/>
          <w:bottom w:val="nil"/>
          <w:right w:val="nil"/>
          <w:between w:val="nil"/>
        </w:pBdr>
        <w:tabs>
          <w:tab w:val="left" w:pos="709"/>
        </w:tabs>
        <w:spacing w:after="0" w:line="360" w:lineRule="auto"/>
        <w:contextualSpacing/>
        <w:jc w:val="both"/>
        <w:rPr>
          <w:rFonts w:eastAsia="Times New Roman" w:cs="Times New Roman"/>
          <w:color w:val="000000"/>
          <w:sz w:val="28"/>
          <w:szCs w:val="28"/>
          <w:lang w:val="ru-RU" w:eastAsia="ru-RU"/>
        </w:rPr>
      </w:pPr>
      <w:r w:rsidRPr="00CA099F">
        <w:rPr>
          <w:rFonts w:eastAsia="Times New Roman" w:cs="Times New Roman"/>
          <w:color w:val="000000"/>
          <w:sz w:val="28"/>
          <w:szCs w:val="28"/>
          <w:lang w:val="ru-RU" w:eastAsia="ru-RU"/>
        </w:rPr>
        <w:t>Курганская И.Г. Комплексная коррекция патологических рубців кожи : автореф. дис. на соиск. учен. степени д. мед. н. : спец. 14.01.10 «Кожные и венерические болезни» / И.Г. Курганская. – СПб., 2011. – 20 с.</w:t>
      </w:r>
    </w:p>
    <w:p w:rsidR="0030517B" w:rsidRPr="00CA099F" w:rsidRDefault="0030517B" w:rsidP="0030517B">
      <w:pPr>
        <w:numPr>
          <w:ilvl w:val="0"/>
          <w:numId w:val="17"/>
        </w:numPr>
        <w:pBdr>
          <w:top w:val="nil"/>
          <w:left w:val="nil"/>
          <w:bottom w:val="nil"/>
          <w:right w:val="nil"/>
          <w:between w:val="nil"/>
        </w:pBdr>
        <w:tabs>
          <w:tab w:val="left" w:pos="709"/>
        </w:tabs>
        <w:spacing w:after="0" w:line="360" w:lineRule="auto"/>
        <w:contextualSpacing/>
        <w:jc w:val="both"/>
        <w:rPr>
          <w:rFonts w:eastAsia="Times New Roman" w:cs="Times New Roman"/>
          <w:color w:val="000000"/>
          <w:sz w:val="28"/>
          <w:szCs w:val="28"/>
          <w:lang w:val="en-US" w:eastAsia="ru-RU"/>
        </w:rPr>
      </w:pPr>
      <w:r w:rsidRPr="00CA099F">
        <w:rPr>
          <w:rFonts w:eastAsia="Times New Roman" w:cs="Times New Roman"/>
          <w:color w:val="000000"/>
          <w:sz w:val="28"/>
          <w:szCs w:val="28"/>
          <w:lang w:val="en-GB" w:eastAsia="ru-RU"/>
        </w:rPr>
        <w:t>GibbleJ</w:t>
      </w:r>
      <w:r w:rsidRPr="00CA099F">
        <w:rPr>
          <w:rFonts w:eastAsia="Times New Roman" w:cs="Times New Roman"/>
          <w:color w:val="000000"/>
          <w:sz w:val="28"/>
          <w:szCs w:val="28"/>
          <w:lang w:val="en-US" w:eastAsia="ru-RU"/>
        </w:rPr>
        <w:t>.</w:t>
      </w:r>
      <w:r w:rsidRPr="00CA099F">
        <w:rPr>
          <w:rFonts w:eastAsia="Times New Roman" w:cs="Times New Roman"/>
          <w:color w:val="000000"/>
          <w:sz w:val="28"/>
          <w:szCs w:val="28"/>
          <w:lang w:val="en-GB" w:eastAsia="ru-RU"/>
        </w:rPr>
        <w:t>W</w:t>
      </w:r>
      <w:r w:rsidRPr="00CA099F">
        <w:rPr>
          <w:rFonts w:eastAsia="Times New Roman" w:cs="Times New Roman"/>
          <w:color w:val="000000"/>
          <w:sz w:val="28"/>
          <w:szCs w:val="28"/>
          <w:lang w:val="en-US" w:eastAsia="ru-RU"/>
        </w:rPr>
        <w:t xml:space="preserve">. </w:t>
      </w:r>
      <w:r w:rsidRPr="00CA099F">
        <w:rPr>
          <w:rFonts w:eastAsia="Times New Roman" w:cs="Times New Roman"/>
          <w:color w:val="000000"/>
          <w:sz w:val="28"/>
          <w:szCs w:val="28"/>
          <w:lang w:val="en-GB" w:eastAsia="ru-RU"/>
        </w:rPr>
        <w:t>Fibringlue</w:t>
      </w:r>
      <w:r w:rsidRPr="00CA099F">
        <w:rPr>
          <w:rFonts w:eastAsia="Times New Roman" w:cs="Times New Roman"/>
          <w:color w:val="000000"/>
          <w:sz w:val="28"/>
          <w:szCs w:val="28"/>
          <w:lang w:val="en-US" w:eastAsia="ru-RU"/>
        </w:rPr>
        <w:t xml:space="preserve">: </w:t>
      </w:r>
      <w:r w:rsidRPr="00CA099F">
        <w:rPr>
          <w:rFonts w:eastAsia="Times New Roman" w:cs="Times New Roman"/>
          <w:color w:val="000000"/>
          <w:sz w:val="28"/>
          <w:szCs w:val="28"/>
          <w:lang w:val="en-GB" w:eastAsia="ru-RU"/>
        </w:rPr>
        <w:t>Theperfectoperativesealant</w:t>
      </w:r>
      <w:r w:rsidRPr="00CA099F">
        <w:rPr>
          <w:rFonts w:eastAsia="Times New Roman" w:cs="Times New Roman"/>
          <w:color w:val="000000"/>
          <w:sz w:val="28"/>
          <w:szCs w:val="28"/>
          <w:lang w:val="en-US" w:eastAsia="ru-RU"/>
        </w:rPr>
        <w:t xml:space="preserve">? / </w:t>
      </w:r>
      <w:r w:rsidRPr="00CA099F">
        <w:rPr>
          <w:rFonts w:eastAsia="Times New Roman" w:cs="Times New Roman"/>
          <w:color w:val="000000"/>
          <w:sz w:val="28"/>
          <w:szCs w:val="28"/>
          <w:lang w:val="en-GB" w:eastAsia="ru-RU"/>
        </w:rPr>
        <w:t>J</w:t>
      </w:r>
      <w:r w:rsidRPr="00CA099F">
        <w:rPr>
          <w:rFonts w:eastAsia="Times New Roman" w:cs="Times New Roman"/>
          <w:color w:val="000000"/>
          <w:sz w:val="28"/>
          <w:szCs w:val="28"/>
          <w:lang w:val="en-US" w:eastAsia="ru-RU"/>
        </w:rPr>
        <w:t>.</w:t>
      </w:r>
      <w:r w:rsidRPr="00CA099F">
        <w:rPr>
          <w:rFonts w:eastAsia="Times New Roman" w:cs="Times New Roman"/>
          <w:color w:val="000000"/>
          <w:sz w:val="28"/>
          <w:szCs w:val="28"/>
          <w:lang w:val="en-GB" w:eastAsia="ru-RU"/>
        </w:rPr>
        <w:t>W</w:t>
      </w:r>
      <w:r w:rsidRPr="00CA099F">
        <w:rPr>
          <w:rFonts w:eastAsia="Times New Roman" w:cs="Times New Roman"/>
          <w:color w:val="000000"/>
          <w:sz w:val="28"/>
          <w:szCs w:val="28"/>
          <w:lang w:val="en-US" w:eastAsia="ru-RU"/>
        </w:rPr>
        <w:t xml:space="preserve">. </w:t>
      </w:r>
      <w:r w:rsidRPr="00CA099F">
        <w:rPr>
          <w:rFonts w:eastAsia="Times New Roman" w:cs="Times New Roman"/>
          <w:color w:val="000000"/>
          <w:sz w:val="28"/>
          <w:szCs w:val="28"/>
          <w:lang w:val="en-GB" w:eastAsia="ru-RU"/>
        </w:rPr>
        <w:t>Gibble</w:t>
      </w:r>
      <w:r w:rsidRPr="00CA099F">
        <w:rPr>
          <w:rFonts w:eastAsia="Times New Roman" w:cs="Times New Roman"/>
          <w:color w:val="000000"/>
          <w:sz w:val="28"/>
          <w:szCs w:val="28"/>
          <w:lang w:val="en-US" w:eastAsia="ru-RU"/>
        </w:rPr>
        <w:t xml:space="preserve">, </w:t>
      </w:r>
      <w:r w:rsidRPr="00CA099F">
        <w:rPr>
          <w:rFonts w:eastAsia="Times New Roman" w:cs="Times New Roman"/>
          <w:color w:val="000000"/>
          <w:sz w:val="28"/>
          <w:szCs w:val="28"/>
          <w:lang w:val="en-GB" w:eastAsia="ru-RU"/>
        </w:rPr>
        <w:t>P</w:t>
      </w:r>
      <w:r w:rsidRPr="00CA099F">
        <w:rPr>
          <w:rFonts w:eastAsia="Times New Roman" w:cs="Times New Roman"/>
          <w:color w:val="000000"/>
          <w:sz w:val="28"/>
          <w:szCs w:val="28"/>
          <w:lang w:val="en-US" w:eastAsia="ru-RU"/>
        </w:rPr>
        <w:t>.</w:t>
      </w:r>
      <w:r w:rsidRPr="00CA099F">
        <w:rPr>
          <w:rFonts w:eastAsia="Times New Roman" w:cs="Times New Roman"/>
          <w:color w:val="000000"/>
          <w:sz w:val="28"/>
          <w:szCs w:val="28"/>
          <w:lang w:val="en-GB" w:eastAsia="ru-RU"/>
        </w:rPr>
        <w:t>M</w:t>
      </w:r>
      <w:r w:rsidRPr="00CA099F">
        <w:rPr>
          <w:rFonts w:eastAsia="Times New Roman" w:cs="Times New Roman"/>
          <w:color w:val="000000"/>
          <w:sz w:val="28"/>
          <w:szCs w:val="28"/>
          <w:lang w:val="en-US" w:eastAsia="ru-RU"/>
        </w:rPr>
        <w:t xml:space="preserve">. </w:t>
      </w:r>
      <w:r w:rsidRPr="00CA099F">
        <w:rPr>
          <w:rFonts w:eastAsia="Times New Roman" w:cs="Times New Roman"/>
          <w:color w:val="000000"/>
          <w:sz w:val="28"/>
          <w:szCs w:val="28"/>
          <w:lang w:val="en-GB" w:eastAsia="ru-RU"/>
        </w:rPr>
        <w:t>Ness</w:t>
      </w:r>
      <w:r w:rsidRPr="00CA099F">
        <w:rPr>
          <w:rFonts w:eastAsia="Times New Roman" w:cs="Times New Roman"/>
          <w:color w:val="000000"/>
          <w:sz w:val="28"/>
          <w:szCs w:val="28"/>
          <w:lang w:val="en-US" w:eastAsia="ru-RU"/>
        </w:rPr>
        <w:t xml:space="preserve"> // </w:t>
      </w:r>
      <w:r w:rsidRPr="00CA099F">
        <w:rPr>
          <w:rFonts w:eastAsia="Times New Roman" w:cs="Times New Roman"/>
          <w:color w:val="000000"/>
          <w:sz w:val="28"/>
          <w:szCs w:val="28"/>
          <w:lang w:val="en-GB" w:eastAsia="ru-RU"/>
        </w:rPr>
        <w:t>Transfusion</w:t>
      </w:r>
      <w:r w:rsidRPr="00CA099F">
        <w:rPr>
          <w:rFonts w:eastAsia="Times New Roman" w:cs="Times New Roman"/>
          <w:color w:val="000000"/>
          <w:sz w:val="28"/>
          <w:szCs w:val="28"/>
          <w:lang w:val="en-US" w:eastAsia="ru-RU"/>
        </w:rPr>
        <w:t xml:space="preserve">. – 1990. – </w:t>
      </w:r>
      <w:r w:rsidRPr="00CA099F">
        <w:rPr>
          <w:rFonts w:eastAsia="Times New Roman" w:cs="Times New Roman"/>
          <w:color w:val="000000"/>
          <w:sz w:val="28"/>
          <w:szCs w:val="28"/>
          <w:lang w:val="en-GB" w:eastAsia="ru-RU"/>
        </w:rPr>
        <w:t>Vol</w:t>
      </w:r>
      <w:r w:rsidRPr="00CA099F">
        <w:rPr>
          <w:rFonts w:eastAsia="Times New Roman" w:cs="Times New Roman"/>
          <w:color w:val="000000"/>
          <w:sz w:val="28"/>
          <w:szCs w:val="28"/>
          <w:lang w:val="en-US" w:eastAsia="ru-RU"/>
        </w:rPr>
        <w:t xml:space="preserve">. 30. – </w:t>
      </w:r>
      <w:r w:rsidRPr="00CA099F">
        <w:rPr>
          <w:rFonts w:eastAsia="Times New Roman" w:cs="Times New Roman"/>
          <w:color w:val="000000"/>
          <w:sz w:val="28"/>
          <w:szCs w:val="28"/>
          <w:lang w:val="en-GB" w:eastAsia="ru-RU"/>
        </w:rPr>
        <w:t>P</w:t>
      </w:r>
      <w:r w:rsidRPr="00CA099F">
        <w:rPr>
          <w:rFonts w:eastAsia="Times New Roman" w:cs="Times New Roman"/>
          <w:color w:val="000000"/>
          <w:sz w:val="28"/>
          <w:szCs w:val="28"/>
          <w:lang w:val="en-US" w:eastAsia="ru-RU"/>
        </w:rPr>
        <w:t>. 741–747.</w:t>
      </w:r>
    </w:p>
    <w:p w:rsidR="0030517B" w:rsidRPr="00CA099F" w:rsidRDefault="0030517B" w:rsidP="0030517B">
      <w:pPr>
        <w:numPr>
          <w:ilvl w:val="0"/>
          <w:numId w:val="17"/>
        </w:numPr>
        <w:pBdr>
          <w:top w:val="nil"/>
          <w:left w:val="nil"/>
          <w:bottom w:val="nil"/>
          <w:right w:val="nil"/>
          <w:between w:val="nil"/>
        </w:pBdr>
        <w:tabs>
          <w:tab w:val="left" w:pos="709"/>
        </w:tabs>
        <w:spacing w:after="0" w:line="360" w:lineRule="auto"/>
        <w:contextualSpacing/>
        <w:jc w:val="both"/>
        <w:rPr>
          <w:rFonts w:eastAsia="Times New Roman" w:cs="Times New Roman"/>
          <w:color w:val="000000"/>
          <w:sz w:val="28"/>
          <w:szCs w:val="28"/>
          <w:lang w:val="en-GB" w:eastAsia="ru-RU"/>
        </w:rPr>
      </w:pPr>
      <w:r w:rsidRPr="00CA099F">
        <w:rPr>
          <w:rFonts w:eastAsia="Times New Roman" w:cs="Times New Roman"/>
          <w:color w:val="000000"/>
          <w:sz w:val="28"/>
          <w:szCs w:val="28"/>
          <w:lang w:val="en-GB" w:eastAsia="ru-RU"/>
        </w:rPr>
        <w:t>Platelet-rich plasma and Platelet-rich fibrin in human cell culture / V.L. Gabling, Y. Acil, I.N. Springer [et al.] // Oral Surg Oral Med Oral Pathol Oral Radiol Endod – 2009. – Vol. 108. – P. 48–55.</w:t>
      </w:r>
    </w:p>
    <w:p w:rsidR="0030517B" w:rsidRPr="00CA099F" w:rsidRDefault="00417675" w:rsidP="0030517B">
      <w:pPr>
        <w:numPr>
          <w:ilvl w:val="0"/>
          <w:numId w:val="17"/>
        </w:numPr>
        <w:pBdr>
          <w:top w:val="nil"/>
          <w:left w:val="nil"/>
          <w:bottom w:val="nil"/>
          <w:right w:val="nil"/>
          <w:between w:val="nil"/>
        </w:pBdr>
        <w:tabs>
          <w:tab w:val="left" w:pos="709"/>
        </w:tabs>
        <w:spacing w:after="0" w:line="360" w:lineRule="auto"/>
        <w:contextualSpacing/>
        <w:jc w:val="both"/>
        <w:rPr>
          <w:rFonts w:eastAsia="Times New Roman" w:cs="Times New Roman"/>
          <w:color w:val="000000"/>
          <w:sz w:val="28"/>
          <w:szCs w:val="28"/>
          <w:lang w:val="en-GB" w:eastAsia="ru-RU"/>
        </w:rPr>
      </w:pPr>
      <w:hyperlink r:id="rId240">
        <w:r w:rsidR="0030517B" w:rsidRPr="00CA099F">
          <w:rPr>
            <w:rFonts w:eastAsia="Times New Roman" w:cs="Times New Roman"/>
            <w:color w:val="000000"/>
            <w:sz w:val="28"/>
            <w:szCs w:val="28"/>
            <w:lang w:val="en-GB" w:eastAsia="ru-RU"/>
          </w:rPr>
          <w:t>Saluja</w:t>
        </w:r>
      </w:hyperlink>
      <w:r w:rsidR="0030517B" w:rsidRPr="00CA099F">
        <w:rPr>
          <w:rFonts w:eastAsia="Times New Roman" w:cs="Times New Roman"/>
          <w:color w:val="000000"/>
          <w:sz w:val="28"/>
          <w:szCs w:val="28"/>
          <w:lang w:val="en-GB" w:eastAsia="ru-RU"/>
        </w:rPr>
        <w:t xml:space="preserve"> H. Platelet-Rich fibrin: A second generation platelet concentrate and a new friend of oral and maxillofacial surgeons / </w:t>
      </w:r>
      <w:hyperlink r:id="rId241">
        <w:r w:rsidR="0030517B" w:rsidRPr="00CA099F">
          <w:rPr>
            <w:rFonts w:eastAsia="Times New Roman" w:cs="Times New Roman"/>
            <w:color w:val="000000"/>
            <w:sz w:val="28"/>
            <w:szCs w:val="28"/>
            <w:lang w:val="en-GB" w:eastAsia="ru-RU"/>
          </w:rPr>
          <w:t>H. Saluja</w:t>
        </w:r>
      </w:hyperlink>
      <w:r w:rsidR="0030517B" w:rsidRPr="00CA099F">
        <w:rPr>
          <w:rFonts w:eastAsia="Times New Roman" w:cs="Times New Roman"/>
          <w:color w:val="000000"/>
          <w:sz w:val="28"/>
          <w:szCs w:val="28"/>
          <w:lang w:val="en-GB" w:eastAsia="ru-RU"/>
        </w:rPr>
        <w:t xml:space="preserve">, </w:t>
      </w:r>
      <w:hyperlink r:id="rId242">
        <w:r w:rsidR="0030517B" w:rsidRPr="00CA099F">
          <w:rPr>
            <w:rFonts w:eastAsia="Times New Roman" w:cs="Times New Roman"/>
            <w:color w:val="000000"/>
            <w:sz w:val="28"/>
            <w:szCs w:val="28"/>
            <w:lang w:val="en-GB" w:eastAsia="ru-RU"/>
          </w:rPr>
          <w:t>V. Dehane</w:t>
        </w:r>
      </w:hyperlink>
      <w:r w:rsidR="0030517B" w:rsidRPr="00CA099F">
        <w:rPr>
          <w:rFonts w:eastAsia="Times New Roman" w:cs="Times New Roman"/>
          <w:color w:val="000000"/>
          <w:sz w:val="28"/>
          <w:szCs w:val="28"/>
          <w:lang w:val="en-GB" w:eastAsia="ru-RU"/>
        </w:rPr>
        <w:t xml:space="preserve">, </w:t>
      </w:r>
      <w:hyperlink r:id="rId243">
        <w:r w:rsidR="0030517B" w:rsidRPr="00CA099F">
          <w:rPr>
            <w:rFonts w:eastAsia="Times New Roman" w:cs="Times New Roman"/>
            <w:color w:val="000000"/>
            <w:sz w:val="28"/>
            <w:szCs w:val="28"/>
            <w:lang w:val="en-GB" w:eastAsia="ru-RU"/>
          </w:rPr>
          <w:t>U. Mahindra</w:t>
        </w:r>
      </w:hyperlink>
      <w:r w:rsidR="0030517B" w:rsidRPr="00CA099F">
        <w:rPr>
          <w:rFonts w:eastAsia="Times New Roman" w:cs="Times New Roman"/>
          <w:color w:val="000000"/>
          <w:sz w:val="28"/>
          <w:szCs w:val="28"/>
          <w:lang w:val="en-GB" w:eastAsia="ru-RU"/>
        </w:rPr>
        <w:t xml:space="preserve"> // </w:t>
      </w:r>
      <w:hyperlink r:id="rId244">
        <w:r w:rsidR="0030517B" w:rsidRPr="00CA099F">
          <w:rPr>
            <w:rFonts w:eastAsia="Times New Roman" w:cs="Times New Roman"/>
            <w:color w:val="000000"/>
            <w:sz w:val="28"/>
            <w:szCs w:val="28"/>
            <w:lang w:val="en-GB" w:eastAsia="ru-RU"/>
          </w:rPr>
          <w:t>Ann Maxillofac Surg</w:t>
        </w:r>
      </w:hyperlink>
      <w:r w:rsidR="0030517B" w:rsidRPr="00CA099F">
        <w:rPr>
          <w:rFonts w:eastAsia="Times New Roman" w:cs="Times New Roman"/>
          <w:color w:val="000000"/>
          <w:sz w:val="28"/>
          <w:szCs w:val="28"/>
          <w:lang w:val="en-GB" w:eastAsia="ru-RU"/>
        </w:rPr>
        <w:t>. – 2011. – Vol. 1(1). – P. 53–57.</w:t>
      </w:r>
    </w:p>
    <w:p w:rsidR="0030517B" w:rsidRPr="00CA099F" w:rsidRDefault="0030517B" w:rsidP="0030517B">
      <w:pPr>
        <w:numPr>
          <w:ilvl w:val="0"/>
          <w:numId w:val="17"/>
        </w:numPr>
        <w:pBdr>
          <w:top w:val="nil"/>
          <w:left w:val="nil"/>
          <w:bottom w:val="nil"/>
          <w:right w:val="nil"/>
          <w:between w:val="nil"/>
        </w:pBdr>
        <w:tabs>
          <w:tab w:val="left" w:pos="709"/>
        </w:tabs>
        <w:spacing w:after="0" w:line="360" w:lineRule="auto"/>
        <w:contextualSpacing/>
        <w:jc w:val="both"/>
        <w:rPr>
          <w:rFonts w:eastAsia="Times New Roman" w:cs="Times New Roman"/>
          <w:color w:val="000000"/>
          <w:sz w:val="28"/>
          <w:szCs w:val="28"/>
          <w:lang w:val="en-GB" w:eastAsia="ru-RU"/>
        </w:rPr>
      </w:pPr>
      <w:r w:rsidRPr="00CA099F">
        <w:rPr>
          <w:rFonts w:eastAsia="Times New Roman" w:cs="Times New Roman"/>
          <w:color w:val="000000"/>
          <w:sz w:val="28"/>
          <w:szCs w:val="28"/>
          <w:lang w:val="en-GB" w:eastAsia="ru-RU"/>
        </w:rPr>
        <w:t xml:space="preserve">Application of PRF in surgical management of periapical lesions / </w:t>
      </w:r>
      <w:hyperlink r:id="rId245">
        <w:r w:rsidRPr="00CA099F">
          <w:rPr>
            <w:rFonts w:eastAsia="Times New Roman" w:cs="Times New Roman"/>
            <w:color w:val="000000"/>
            <w:sz w:val="28"/>
            <w:szCs w:val="28"/>
            <w:lang w:val="en-GB" w:eastAsia="ru-RU"/>
          </w:rPr>
          <w:t>S. Singh</w:t>
        </w:r>
      </w:hyperlink>
      <w:r w:rsidRPr="00CA099F">
        <w:rPr>
          <w:rFonts w:eastAsia="Times New Roman" w:cs="Times New Roman"/>
          <w:color w:val="000000"/>
          <w:sz w:val="28"/>
          <w:szCs w:val="28"/>
          <w:lang w:val="en-GB" w:eastAsia="ru-RU"/>
        </w:rPr>
        <w:t xml:space="preserve">, </w:t>
      </w:r>
      <w:hyperlink r:id="rId246">
        <w:r w:rsidRPr="00CA099F">
          <w:rPr>
            <w:rFonts w:eastAsia="Times New Roman" w:cs="Times New Roman"/>
            <w:color w:val="000000"/>
            <w:sz w:val="28"/>
            <w:szCs w:val="28"/>
            <w:lang w:val="en-GB" w:eastAsia="ru-RU"/>
          </w:rPr>
          <w:t>A. Singh</w:t>
        </w:r>
      </w:hyperlink>
      <w:r w:rsidRPr="00CA099F">
        <w:rPr>
          <w:rFonts w:eastAsia="Times New Roman" w:cs="Times New Roman"/>
          <w:color w:val="000000"/>
          <w:sz w:val="28"/>
          <w:szCs w:val="28"/>
          <w:lang w:val="en-GB" w:eastAsia="ru-RU"/>
        </w:rPr>
        <w:t xml:space="preserve">, </w:t>
      </w:r>
      <w:hyperlink r:id="rId247">
        <w:r w:rsidRPr="00CA099F">
          <w:rPr>
            <w:rFonts w:eastAsia="Times New Roman" w:cs="Times New Roman"/>
            <w:color w:val="000000"/>
            <w:sz w:val="28"/>
            <w:szCs w:val="28"/>
            <w:lang w:val="en-GB" w:eastAsia="ru-RU"/>
          </w:rPr>
          <w:t>S. Singh</w:t>
        </w:r>
      </w:hyperlink>
      <w:r w:rsidRPr="00CA099F">
        <w:rPr>
          <w:rFonts w:eastAsia="Times New Roman" w:cs="Times New Roman"/>
          <w:color w:val="000000"/>
          <w:sz w:val="28"/>
          <w:szCs w:val="28"/>
          <w:lang w:val="en-GB" w:eastAsia="ru-RU"/>
        </w:rPr>
        <w:t xml:space="preserve">, </w:t>
      </w:r>
      <w:hyperlink r:id="rId248">
        <w:r w:rsidRPr="00CA099F">
          <w:rPr>
            <w:rFonts w:eastAsia="Times New Roman" w:cs="Times New Roman"/>
            <w:color w:val="000000"/>
            <w:sz w:val="28"/>
            <w:szCs w:val="28"/>
            <w:lang w:val="en-GB" w:eastAsia="ru-RU"/>
          </w:rPr>
          <w:t>R. Singh</w:t>
        </w:r>
      </w:hyperlink>
      <w:r w:rsidRPr="00CA099F">
        <w:rPr>
          <w:rFonts w:eastAsia="Times New Roman" w:cs="Times New Roman"/>
          <w:color w:val="000000"/>
          <w:sz w:val="28"/>
          <w:szCs w:val="28"/>
          <w:lang w:val="en-GB" w:eastAsia="ru-RU"/>
        </w:rPr>
        <w:t xml:space="preserve"> // </w:t>
      </w:r>
      <w:hyperlink r:id="rId249">
        <w:r w:rsidRPr="00CA099F">
          <w:rPr>
            <w:rFonts w:eastAsia="Times New Roman" w:cs="Times New Roman"/>
            <w:color w:val="000000"/>
            <w:sz w:val="28"/>
            <w:szCs w:val="28"/>
            <w:lang w:val="en-GB" w:eastAsia="ru-RU"/>
          </w:rPr>
          <w:t>Natl J Maxillofac Surg</w:t>
        </w:r>
      </w:hyperlink>
      <w:r w:rsidRPr="00CA099F">
        <w:rPr>
          <w:rFonts w:eastAsia="Times New Roman" w:cs="Times New Roman"/>
          <w:color w:val="000000"/>
          <w:sz w:val="28"/>
          <w:szCs w:val="28"/>
          <w:lang w:val="en-GB" w:eastAsia="ru-RU"/>
        </w:rPr>
        <w:t>. – 2013. – Vol. 4(1). – P. 94–99.</w:t>
      </w:r>
    </w:p>
    <w:p w:rsidR="0030517B" w:rsidRPr="00CA099F" w:rsidRDefault="0030517B" w:rsidP="0030517B">
      <w:pPr>
        <w:numPr>
          <w:ilvl w:val="0"/>
          <w:numId w:val="17"/>
        </w:numPr>
        <w:pBdr>
          <w:top w:val="nil"/>
          <w:left w:val="nil"/>
          <w:bottom w:val="nil"/>
          <w:right w:val="nil"/>
          <w:between w:val="nil"/>
        </w:pBdr>
        <w:tabs>
          <w:tab w:val="left" w:pos="709"/>
        </w:tabs>
        <w:spacing w:after="0" w:line="360" w:lineRule="auto"/>
        <w:contextualSpacing/>
        <w:jc w:val="both"/>
        <w:rPr>
          <w:rFonts w:eastAsia="Times New Roman" w:cs="Times New Roman"/>
          <w:color w:val="000000"/>
          <w:sz w:val="28"/>
          <w:szCs w:val="28"/>
          <w:lang w:val="en-GB" w:eastAsia="ru-RU"/>
        </w:rPr>
      </w:pPr>
      <w:r w:rsidRPr="00CA099F">
        <w:rPr>
          <w:rFonts w:eastAsia="Times New Roman" w:cs="Times New Roman"/>
          <w:color w:val="000000"/>
          <w:sz w:val="28"/>
          <w:szCs w:val="28"/>
          <w:lang w:val="en-GB" w:eastAsia="ru-RU"/>
        </w:rPr>
        <w:t>Platelet-rich fibrin (PRF): A second-generation platelet concentrate / D.M. Dohan, J. Choukroun, A. Diss [et al.] // Oral Surg Oral Med Oral Pathol Oral Radiol Endod. – 2006. – Vol. 101. – P. 45–50.</w:t>
      </w:r>
    </w:p>
    <w:p w:rsidR="0030517B" w:rsidRPr="00CA099F" w:rsidRDefault="0030517B" w:rsidP="0030517B">
      <w:pPr>
        <w:numPr>
          <w:ilvl w:val="0"/>
          <w:numId w:val="17"/>
        </w:numPr>
        <w:pBdr>
          <w:top w:val="nil"/>
          <w:left w:val="nil"/>
          <w:bottom w:val="nil"/>
          <w:right w:val="nil"/>
          <w:between w:val="nil"/>
        </w:pBdr>
        <w:tabs>
          <w:tab w:val="left" w:pos="709"/>
        </w:tabs>
        <w:spacing w:after="0" w:line="360" w:lineRule="auto"/>
        <w:contextualSpacing/>
        <w:jc w:val="both"/>
        <w:rPr>
          <w:rFonts w:eastAsia="Times New Roman" w:cs="Times New Roman"/>
          <w:color w:val="000000"/>
          <w:sz w:val="28"/>
          <w:szCs w:val="28"/>
          <w:lang w:val="en-GB" w:eastAsia="ru-RU"/>
        </w:rPr>
      </w:pPr>
      <w:r w:rsidRPr="00CA099F">
        <w:rPr>
          <w:rFonts w:eastAsia="Times New Roman" w:cs="Times New Roman"/>
          <w:color w:val="000000"/>
          <w:sz w:val="28"/>
          <w:szCs w:val="28"/>
          <w:lang w:val="en-GB" w:eastAsia="ru-RU"/>
        </w:rPr>
        <w:t>An opportunity in perio-implantology: The PRF / J. Choukroun, F. Adda, C. Schoeffler, A. Vervelle // Implantodontie. – 2001. – Vol. 42. – P. 55-62.</w:t>
      </w:r>
    </w:p>
    <w:p w:rsidR="0030517B" w:rsidRPr="00CA099F" w:rsidRDefault="0030517B" w:rsidP="0030517B">
      <w:pPr>
        <w:numPr>
          <w:ilvl w:val="0"/>
          <w:numId w:val="17"/>
        </w:numPr>
        <w:pBdr>
          <w:top w:val="nil"/>
          <w:left w:val="nil"/>
          <w:bottom w:val="nil"/>
          <w:right w:val="nil"/>
          <w:between w:val="nil"/>
        </w:pBdr>
        <w:shd w:val="clear" w:color="auto" w:fill="FFFFFF"/>
        <w:spacing w:after="0" w:line="360" w:lineRule="auto"/>
        <w:contextualSpacing/>
        <w:rPr>
          <w:rFonts w:eastAsia="Times New Roman" w:cs="Times New Roman"/>
          <w:color w:val="000000"/>
          <w:sz w:val="28"/>
          <w:szCs w:val="28"/>
          <w:lang w:val="en-GB" w:eastAsia="ru-RU"/>
        </w:rPr>
      </w:pPr>
      <w:r w:rsidRPr="00CA099F">
        <w:rPr>
          <w:rFonts w:eastAsia="Times New Roman" w:cs="Times New Roman"/>
          <w:color w:val="000000"/>
          <w:sz w:val="28"/>
          <w:szCs w:val="28"/>
          <w:lang w:val="en-GB" w:eastAsia="ru-RU"/>
        </w:rPr>
        <w:lastRenderedPageBreak/>
        <w:t xml:space="preserve">Role of plasma-rich fibrin in oral surgery / </w:t>
      </w:r>
      <w:hyperlink r:id="rId250">
        <w:r w:rsidRPr="00CA099F">
          <w:rPr>
            <w:rFonts w:eastAsia="Times New Roman" w:cs="Times New Roman"/>
            <w:color w:val="000000"/>
            <w:sz w:val="28"/>
            <w:szCs w:val="28"/>
            <w:lang w:val="en-GB" w:eastAsia="ru-RU"/>
          </w:rPr>
          <w:t>K.R. Kumar</w:t>
        </w:r>
      </w:hyperlink>
      <w:r w:rsidRPr="00CA099F">
        <w:rPr>
          <w:rFonts w:eastAsia="Times New Roman" w:cs="Times New Roman"/>
          <w:color w:val="000000"/>
          <w:sz w:val="28"/>
          <w:szCs w:val="28"/>
          <w:lang w:val="en-GB" w:eastAsia="ru-RU"/>
        </w:rPr>
        <w:t xml:space="preserve">, </w:t>
      </w:r>
      <w:hyperlink r:id="rId251">
        <w:r w:rsidRPr="00CA099F">
          <w:rPr>
            <w:rFonts w:eastAsia="Times New Roman" w:cs="Times New Roman"/>
            <w:color w:val="000000"/>
            <w:sz w:val="28"/>
            <w:szCs w:val="28"/>
            <w:lang w:val="en-GB" w:eastAsia="ru-RU"/>
          </w:rPr>
          <w:t>K. Genmorgan</w:t>
        </w:r>
      </w:hyperlink>
      <w:r w:rsidRPr="00CA099F">
        <w:rPr>
          <w:rFonts w:eastAsia="Times New Roman" w:cs="Times New Roman"/>
          <w:color w:val="000000"/>
          <w:sz w:val="28"/>
          <w:szCs w:val="28"/>
          <w:lang w:val="en-GB" w:eastAsia="ru-RU"/>
        </w:rPr>
        <w:t xml:space="preserve">, </w:t>
      </w:r>
      <w:hyperlink r:id="rId252">
        <w:r w:rsidRPr="00CA099F">
          <w:rPr>
            <w:rFonts w:eastAsia="Times New Roman" w:cs="Times New Roman"/>
            <w:color w:val="000000"/>
            <w:sz w:val="28"/>
            <w:szCs w:val="28"/>
            <w:lang w:val="en-GB" w:eastAsia="ru-RU"/>
          </w:rPr>
          <w:t>S.M.A. Rahman</w:t>
        </w:r>
      </w:hyperlink>
      <w:r w:rsidRPr="00CA099F">
        <w:rPr>
          <w:rFonts w:eastAsia="Times New Roman" w:cs="Times New Roman"/>
          <w:color w:val="000000"/>
          <w:sz w:val="28"/>
          <w:szCs w:val="28"/>
          <w:lang w:val="en-GB" w:eastAsia="ru-RU"/>
        </w:rPr>
        <w:t xml:space="preserve"> [et al.] // </w:t>
      </w:r>
      <w:hyperlink r:id="rId253">
        <w:r w:rsidRPr="00CA099F">
          <w:rPr>
            <w:rFonts w:eastAsia="Times New Roman" w:cs="Times New Roman"/>
            <w:color w:val="000000"/>
            <w:sz w:val="28"/>
            <w:szCs w:val="28"/>
            <w:lang w:val="en-GB" w:eastAsia="ru-RU"/>
          </w:rPr>
          <w:t>J Pharm Bioallied Sci</w:t>
        </w:r>
      </w:hyperlink>
      <w:r w:rsidRPr="00CA099F">
        <w:rPr>
          <w:rFonts w:eastAsia="Times New Roman" w:cs="Times New Roman"/>
          <w:color w:val="000000"/>
          <w:sz w:val="28"/>
          <w:szCs w:val="28"/>
          <w:lang w:val="en-GB" w:eastAsia="ru-RU"/>
        </w:rPr>
        <w:t>. – 2016. – Vol. 8(1). – P. 36–38.</w:t>
      </w:r>
    </w:p>
    <w:p w:rsidR="0030517B" w:rsidRPr="00CA099F" w:rsidRDefault="0030517B" w:rsidP="0030517B">
      <w:pPr>
        <w:numPr>
          <w:ilvl w:val="0"/>
          <w:numId w:val="17"/>
        </w:numPr>
        <w:pBdr>
          <w:top w:val="nil"/>
          <w:left w:val="nil"/>
          <w:bottom w:val="nil"/>
          <w:right w:val="nil"/>
          <w:between w:val="nil"/>
        </w:pBdr>
        <w:tabs>
          <w:tab w:val="left" w:pos="709"/>
        </w:tabs>
        <w:spacing w:after="0" w:line="360" w:lineRule="auto"/>
        <w:contextualSpacing/>
        <w:jc w:val="both"/>
        <w:rPr>
          <w:rFonts w:eastAsia="Times New Roman" w:cs="Times New Roman"/>
          <w:color w:val="000000"/>
          <w:sz w:val="28"/>
          <w:szCs w:val="28"/>
          <w:lang w:val="en-GB" w:eastAsia="ru-RU"/>
        </w:rPr>
      </w:pPr>
      <w:r w:rsidRPr="00CA099F">
        <w:rPr>
          <w:rFonts w:eastAsia="Times New Roman" w:cs="Times New Roman"/>
          <w:color w:val="000000"/>
          <w:sz w:val="28"/>
          <w:szCs w:val="28"/>
          <w:lang w:val="en-GB" w:eastAsia="ru-RU"/>
        </w:rPr>
        <w:t>The adjunctive effect of Platelet</w:t>
      </w:r>
      <w:r w:rsidRPr="00CA099F">
        <w:rPr>
          <w:rFonts w:ascii="Cambria Math" w:eastAsia="Cambria" w:hAnsi="Cambria Math" w:cs="Cambria Math"/>
          <w:color w:val="000000"/>
          <w:sz w:val="28"/>
          <w:szCs w:val="28"/>
          <w:lang w:val="en-GB" w:eastAsia="ru-RU"/>
        </w:rPr>
        <w:t>‐</w:t>
      </w:r>
      <w:r w:rsidRPr="00CA099F">
        <w:rPr>
          <w:rFonts w:eastAsia="Times New Roman" w:cs="Times New Roman"/>
          <w:color w:val="000000"/>
          <w:sz w:val="28"/>
          <w:szCs w:val="28"/>
          <w:lang w:val="en-GB" w:eastAsia="ru-RU"/>
        </w:rPr>
        <w:t>Rich Fibrin to Connective Tissue Graft in the treatment of buccal recession defects: results of a randomized, parallel</w:t>
      </w:r>
      <w:r w:rsidRPr="00CA099F">
        <w:rPr>
          <w:rFonts w:ascii="Cambria Math" w:eastAsia="Cambria" w:hAnsi="Cambria Math" w:cs="Cambria Math"/>
          <w:color w:val="000000"/>
          <w:sz w:val="28"/>
          <w:szCs w:val="28"/>
          <w:lang w:val="en-GB" w:eastAsia="ru-RU"/>
        </w:rPr>
        <w:t>‐</w:t>
      </w:r>
      <w:r w:rsidRPr="00CA099F">
        <w:rPr>
          <w:rFonts w:eastAsia="Times New Roman" w:cs="Times New Roman"/>
          <w:color w:val="000000"/>
          <w:sz w:val="28"/>
          <w:szCs w:val="28"/>
          <w:lang w:val="en-GB" w:eastAsia="ru-RU"/>
        </w:rPr>
        <w:t>group controlled trial / H.G. Keceli, G. Kamak, E. Erdemir [et al.] // Journal of Periodontology – 2015. – Vol. 86. – P. 1221</w:t>
      </w:r>
      <w:r w:rsidRPr="00CA099F">
        <w:rPr>
          <w:rFonts w:ascii="Cambria Math" w:eastAsia="Cambria" w:hAnsi="Cambria Math" w:cs="Cambria Math"/>
          <w:color w:val="000000"/>
          <w:sz w:val="28"/>
          <w:szCs w:val="28"/>
          <w:lang w:val="en-GB" w:eastAsia="ru-RU"/>
        </w:rPr>
        <w:t>‐</w:t>
      </w:r>
      <w:r w:rsidRPr="00CA099F">
        <w:rPr>
          <w:rFonts w:eastAsia="Times New Roman" w:cs="Times New Roman"/>
          <w:color w:val="000000"/>
          <w:sz w:val="28"/>
          <w:szCs w:val="28"/>
          <w:lang w:val="en-GB" w:eastAsia="ru-RU"/>
        </w:rPr>
        <w:t>1230.</w:t>
      </w:r>
    </w:p>
    <w:p w:rsidR="0030517B" w:rsidRPr="00CA099F" w:rsidRDefault="0030517B" w:rsidP="0030517B">
      <w:pPr>
        <w:numPr>
          <w:ilvl w:val="0"/>
          <w:numId w:val="17"/>
        </w:numPr>
        <w:pBdr>
          <w:top w:val="nil"/>
          <w:left w:val="nil"/>
          <w:bottom w:val="nil"/>
          <w:right w:val="nil"/>
          <w:between w:val="nil"/>
        </w:pBdr>
        <w:tabs>
          <w:tab w:val="left" w:pos="709"/>
        </w:tabs>
        <w:spacing w:after="0" w:line="360" w:lineRule="auto"/>
        <w:contextualSpacing/>
        <w:jc w:val="both"/>
        <w:rPr>
          <w:rFonts w:eastAsia="Times New Roman" w:cs="Times New Roman"/>
          <w:color w:val="000000"/>
          <w:sz w:val="28"/>
          <w:szCs w:val="28"/>
          <w:lang w:val="en-GB" w:eastAsia="ru-RU"/>
        </w:rPr>
      </w:pPr>
      <w:r w:rsidRPr="00CA099F">
        <w:rPr>
          <w:rFonts w:eastAsia="Times New Roman" w:cs="Times New Roman"/>
          <w:color w:val="000000"/>
          <w:sz w:val="28"/>
          <w:szCs w:val="28"/>
          <w:lang w:val="en-GB" w:eastAsia="ru-RU"/>
        </w:rPr>
        <w:t>Thrombocidins, microbicidal proteins from human blood platelets, are C-terminal deletion products of CXC chemokines / J. Krijgsveld, S.A. Zaat, J. Meeldijk [et al.] // J Biol Chem. – 2000. – Vol. 275. – P. 20374-20381.</w:t>
      </w:r>
    </w:p>
    <w:p w:rsidR="0030517B" w:rsidRPr="00CA099F" w:rsidRDefault="0030517B" w:rsidP="0030517B">
      <w:pPr>
        <w:numPr>
          <w:ilvl w:val="0"/>
          <w:numId w:val="17"/>
        </w:numPr>
        <w:pBdr>
          <w:top w:val="nil"/>
          <w:left w:val="nil"/>
          <w:bottom w:val="nil"/>
          <w:right w:val="nil"/>
          <w:between w:val="nil"/>
        </w:pBdr>
        <w:tabs>
          <w:tab w:val="left" w:pos="709"/>
        </w:tabs>
        <w:spacing w:after="0" w:line="360" w:lineRule="auto"/>
        <w:contextualSpacing/>
        <w:jc w:val="both"/>
        <w:rPr>
          <w:rFonts w:eastAsia="Times New Roman" w:cs="Times New Roman"/>
          <w:color w:val="000000"/>
          <w:sz w:val="28"/>
          <w:szCs w:val="28"/>
          <w:lang w:val="en-GB" w:eastAsia="ru-RU"/>
        </w:rPr>
      </w:pPr>
      <w:r w:rsidRPr="00CA099F">
        <w:rPr>
          <w:rFonts w:eastAsia="Times New Roman" w:cs="Times New Roman"/>
          <w:color w:val="000000"/>
          <w:sz w:val="28"/>
          <w:szCs w:val="28"/>
          <w:lang w:val="en-GB" w:eastAsia="ru-RU"/>
        </w:rPr>
        <w:t>Antimicrobial effect of platelet-rich plasma and platelet-rich fibrin / P.S. Badade, S.A. Mahale, A.A. Panjwani [et al.] // Indian J Dent Res. – 2016. – Vol. 27. – P. 300-304.</w:t>
      </w:r>
    </w:p>
    <w:p w:rsidR="0030517B" w:rsidRPr="00CA099F" w:rsidRDefault="0030517B" w:rsidP="0030517B">
      <w:pPr>
        <w:numPr>
          <w:ilvl w:val="0"/>
          <w:numId w:val="17"/>
        </w:numPr>
        <w:pBdr>
          <w:top w:val="nil"/>
          <w:left w:val="nil"/>
          <w:bottom w:val="nil"/>
          <w:right w:val="nil"/>
          <w:between w:val="nil"/>
        </w:pBdr>
        <w:shd w:val="clear" w:color="auto" w:fill="FFFFFF"/>
        <w:tabs>
          <w:tab w:val="left" w:pos="709"/>
        </w:tabs>
        <w:spacing w:after="0" w:line="360" w:lineRule="auto"/>
        <w:contextualSpacing/>
        <w:jc w:val="both"/>
        <w:rPr>
          <w:rFonts w:eastAsia="Times New Roman" w:cs="Times New Roman"/>
          <w:color w:val="000000"/>
          <w:sz w:val="28"/>
          <w:szCs w:val="28"/>
          <w:lang w:val="en-GB" w:eastAsia="ru-RU"/>
        </w:rPr>
      </w:pPr>
      <w:r w:rsidRPr="00CA099F">
        <w:rPr>
          <w:rFonts w:eastAsia="Times New Roman" w:cs="Times New Roman"/>
          <w:color w:val="000000"/>
          <w:sz w:val="28"/>
          <w:szCs w:val="28"/>
          <w:lang w:val="en-GB" w:eastAsia="ru-RU"/>
        </w:rPr>
        <w:t xml:space="preserve">The role of leukocytes from L-PRP/L-PRF in wound healing and immune defense: new perspectives / T. </w:t>
      </w:r>
      <w:hyperlink r:id="rId254">
        <w:r w:rsidRPr="00CA099F">
          <w:rPr>
            <w:rFonts w:eastAsia="Times New Roman" w:cs="Times New Roman"/>
            <w:color w:val="000000"/>
            <w:sz w:val="28"/>
            <w:szCs w:val="28"/>
            <w:lang w:val="en-GB" w:eastAsia="ru-RU"/>
          </w:rPr>
          <w:t>Bielecki</w:t>
        </w:r>
      </w:hyperlink>
      <w:r w:rsidRPr="00CA099F">
        <w:rPr>
          <w:rFonts w:eastAsia="Times New Roman" w:cs="Times New Roman"/>
          <w:color w:val="000000"/>
          <w:sz w:val="28"/>
          <w:szCs w:val="28"/>
          <w:lang w:val="en-GB" w:eastAsia="ru-RU"/>
        </w:rPr>
        <w:t xml:space="preserve">, D.M. </w:t>
      </w:r>
      <w:hyperlink r:id="rId255">
        <w:r w:rsidRPr="00CA099F">
          <w:rPr>
            <w:rFonts w:eastAsia="Times New Roman" w:cs="Times New Roman"/>
            <w:color w:val="000000"/>
            <w:sz w:val="28"/>
            <w:szCs w:val="28"/>
            <w:lang w:val="en-GB" w:eastAsia="ru-RU"/>
          </w:rPr>
          <w:t>Dohan Ehrenfest</w:t>
        </w:r>
      </w:hyperlink>
      <w:r w:rsidRPr="00CA099F">
        <w:rPr>
          <w:rFonts w:eastAsia="Times New Roman" w:cs="Times New Roman"/>
          <w:color w:val="000000"/>
          <w:sz w:val="28"/>
          <w:szCs w:val="28"/>
          <w:lang w:val="en-GB" w:eastAsia="ru-RU"/>
        </w:rPr>
        <w:t xml:space="preserve">, P.A. </w:t>
      </w:r>
      <w:hyperlink r:id="rId256">
        <w:r w:rsidRPr="00CA099F">
          <w:rPr>
            <w:rFonts w:eastAsia="Times New Roman" w:cs="Times New Roman"/>
            <w:color w:val="000000"/>
            <w:sz w:val="28"/>
            <w:szCs w:val="28"/>
            <w:lang w:val="en-GB" w:eastAsia="ru-RU"/>
          </w:rPr>
          <w:t>Everts</w:t>
        </w:r>
      </w:hyperlink>
      <w:r w:rsidRPr="00CA099F">
        <w:rPr>
          <w:rFonts w:eastAsia="Times New Roman" w:cs="Times New Roman"/>
          <w:color w:val="000000"/>
          <w:sz w:val="28"/>
          <w:szCs w:val="28"/>
          <w:lang w:val="en-GB" w:eastAsia="ru-RU"/>
        </w:rPr>
        <w:t xml:space="preserve">, A. </w:t>
      </w:r>
      <w:hyperlink r:id="rId257">
        <w:r w:rsidRPr="00CA099F">
          <w:rPr>
            <w:rFonts w:eastAsia="Times New Roman" w:cs="Times New Roman"/>
            <w:color w:val="000000"/>
            <w:sz w:val="28"/>
            <w:szCs w:val="28"/>
            <w:lang w:val="en-GB" w:eastAsia="ru-RU"/>
          </w:rPr>
          <w:t xml:space="preserve">Wiczkowski </w:t>
        </w:r>
      </w:hyperlink>
      <w:r w:rsidRPr="00CA099F">
        <w:rPr>
          <w:rFonts w:eastAsia="Times New Roman" w:cs="Times New Roman"/>
          <w:color w:val="000000"/>
          <w:sz w:val="28"/>
          <w:szCs w:val="28"/>
          <w:lang w:val="en-GB" w:eastAsia="ru-RU"/>
        </w:rPr>
        <w:t xml:space="preserve">// </w:t>
      </w:r>
      <w:hyperlink r:id="rId258">
        <w:r w:rsidRPr="00CA099F">
          <w:rPr>
            <w:rFonts w:eastAsia="Times New Roman" w:cs="Times New Roman"/>
            <w:color w:val="000000"/>
            <w:sz w:val="28"/>
            <w:szCs w:val="28"/>
            <w:lang w:val="en-GB" w:eastAsia="ru-RU"/>
          </w:rPr>
          <w:t>Curr Pharm Biotechnol.</w:t>
        </w:r>
      </w:hyperlink>
      <w:r w:rsidRPr="00CA099F">
        <w:rPr>
          <w:rFonts w:eastAsia="Times New Roman" w:cs="Times New Roman"/>
          <w:color w:val="000000"/>
          <w:sz w:val="28"/>
          <w:szCs w:val="28"/>
          <w:lang w:val="en-GB" w:eastAsia="ru-RU"/>
        </w:rPr>
        <w:t xml:space="preserve"> – 2012. – Vol. 13(7). – P. 1153-1162.</w:t>
      </w:r>
    </w:p>
    <w:p w:rsidR="0030517B" w:rsidRPr="00CA099F" w:rsidRDefault="0030517B" w:rsidP="0030517B">
      <w:pPr>
        <w:numPr>
          <w:ilvl w:val="0"/>
          <w:numId w:val="17"/>
        </w:numPr>
        <w:pBdr>
          <w:top w:val="nil"/>
          <w:left w:val="nil"/>
          <w:bottom w:val="nil"/>
          <w:right w:val="nil"/>
          <w:between w:val="nil"/>
        </w:pBdr>
        <w:tabs>
          <w:tab w:val="left" w:pos="709"/>
        </w:tabs>
        <w:spacing w:after="0" w:line="360" w:lineRule="auto"/>
        <w:contextualSpacing/>
        <w:jc w:val="both"/>
        <w:rPr>
          <w:rFonts w:eastAsia="Times New Roman" w:cs="Times New Roman"/>
          <w:color w:val="000000"/>
          <w:sz w:val="28"/>
          <w:szCs w:val="28"/>
          <w:lang w:val="en-GB" w:eastAsia="ru-RU"/>
        </w:rPr>
      </w:pPr>
      <w:r w:rsidRPr="00CA099F">
        <w:rPr>
          <w:rFonts w:eastAsia="Times New Roman" w:cs="Times New Roman"/>
          <w:color w:val="000000"/>
          <w:sz w:val="28"/>
          <w:szCs w:val="28"/>
          <w:lang w:val="en-GB" w:eastAsia="ru-RU"/>
        </w:rPr>
        <w:t>Sunitha Raja V. Platelet-rich fibrin: Evolution of a second-generation platelet concentrate / V. Sunitha Raja, E. Munirathnam Naidu // Indian J Dent Res – 2008. – Vol. 19. – P. 42-46.</w:t>
      </w:r>
    </w:p>
    <w:p w:rsidR="0030517B" w:rsidRPr="00CA099F" w:rsidRDefault="0030517B" w:rsidP="0030517B">
      <w:pPr>
        <w:numPr>
          <w:ilvl w:val="0"/>
          <w:numId w:val="17"/>
        </w:numPr>
        <w:pBdr>
          <w:top w:val="nil"/>
          <w:left w:val="nil"/>
          <w:bottom w:val="nil"/>
          <w:right w:val="nil"/>
          <w:between w:val="nil"/>
        </w:pBdr>
        <w:shd w:val="clear" w:color="auto" w:fill="FFFFFF"/>
        <w:tabs>
          <w:tab w:val="left" w:pos="709"/>
        </w:tabs>
        <w:spacing w:after="0" w:line="360" w:lineRule="auto"/>
        <w:contextualSpacing/>
        <w:jc w:val="both"/>
        <w:rPr>
          <w:rFonts w:eastAsia="Times New Roman" w:cs="Times New Roman"/>
          <w:color w:val="000000"/>
          <w:sz w:val="28"/>
          <w:szCs w:val="28"/>
          <w:lang w:val="en-GB" w:eastAsia="ru-RU"/>
        </w:rPr>
      </w:pPr>
      <w:r w:rsidRPr="00CA099F">
        <w:rPr>
          <w:rFonts w:eastAsia="Times New Roman" w:cs="Times New Roman"/>
          <w:color w:val="000000"/>
          <w:sz w:val="28"/>
          <w:szCs w:val="28"/>
          <w:lang w:val="en-GB" w:eastAsia="ru-RU"/>
        </w:rPr>
        <w:t xml:space="preserve">A comparative study of 2 methods for obtaining platelet-rich plasma / F.M. </w:t>
      </w:r>
      <w:hyperlink r:id="rId259">
        <w:r w:rsidRPr="00CA099F">
          <w:rPr>
            <w:rFonts w:eastAsia="Times New Roman" w:cs="Times New Roman"/>
            <w:color w:val="000000"/>
            <w:sz w:val="28"/>
            <w:szCs w:val="28"/>
            <w:lang w:val="en-GB" w:eastAsia="ru-RU"/>
          </w:rPr>
          <w:t>Tamimi</w:t>
        </w:r>
      </w:hyperlink>
      <w:r w:rsidRPr="00CA099F">
        <w:rPr>
          <w:rFonts w:eastAsia="Times New Roman" w:cs="Times New Roman"/>
          <w:color w:val="000000"/>
          <w:sz w:val="28"/>
          <w:szCs w:val="28"/>
          <w:lang w:val="en-GB" w:eastAsia="ru-RU"/>
        </w:rPr>
        <w:t xml:space="preserve">, S. </w:t>
      </w:r>
      <w:hyperlink r:id="rId260">
        <w:r w:rsidRPr="00CA099F">
          <w:rPr>
            <w:rFonts w:eastAsia="Times New Roman" w:cs="Times New Roman"/>
            <w:color w:val="000000"/>
            <w:sz w:val="28"/>
            <w:szCs w:val="28"/>
            <w:lang w:val="en-GB" w:eastAsia="ru-RU"/>
          </w:rPr>
          <w:t>Montalvo</w:t>
        </w:r>
      </w:hyperlink>
      <w:r w:rsidRPr="00CA099F">
        <w:rPr>
          <w:rFonts w:eastAsia="Times New Roman" w:cs="Times New Roman"/>
          <w:color w:val="000000"/>
          <w:sz w:val="28"/>
          <w:szCs w:val="28"/>
          <w:lang w:val="en-GB" w:eastAsia="ru-RU"/>
        </w:rPr>
        <w:t xml:space="preserve">, I. </w:t>
      </w:r>
      <w:hyperlink r:id="rId261">
        <w:r w:rsidRPr="00CA099F">
          <w:rPr>
            <w:rFonts w:eastAsia="Times New Roman" w:cs="Times New Roman"/>
            <w:color w:val="000000"/>
            <w:sz w:val="28"/>
            <w:szCs w:val="28"/>
            <w:lang w:val="en-GB" w:eastAsia="ru-RU"/>
          </w:rPr>
          <w:t>Tresguerres</w:t>
        </w:r>
      </w:hyperlink>
      <w:r w:rsidRPr="00CA099F">
        <w:rPr>
          <w:rFonts w:eastAsia="Times New Roman" w:cs="Times New Roman"/>
          <w:color w:val="000000"/>
          <w:sz w:val="28"/>
          <w:szCs w:val="28"/>
          <w:lang w:val="en-GB" w:eastAsia="ru-RU"/>
        </w:rPr>
        <w:t xml:space="preserve">, L. </w:t>
      </w:r>
      <w:hyperlink r:id="rId262">
        <w:r w:rsidRPr="00CA099F">
          <w:rPr>
            <w:rFonts w:eastAsia="Times New Roman" w:cs="Times New Roman"/>
            <w:color w:val="000000"/>
            <w:sz w:val="28"/>
            <w:szCs w:val="28"/>
            <w:lang w:val="en-GB" w:eastAsia="ru-RU"/>
          </w:rPr>
          <w:t xml:space="preserve">Blanco Jerez </w:t>
        </w:r>
      </w:hyperlink>
      <w:r w:rsidRPr="00CA099F">
        <w:rPr>
          <w:rFonts w:eastAsia="Times New Roman" w:cs="Times New Roman"/>
          <w:color w:val="000000"/>
          <w:sz w:val="28"/>
          <w:szCs w:val="28"/>
          <w:lang w:val="en-GB" w:eastAsia="ru-RU"/>
        </w:rPr>
        <w:t xml:space="preserve">// </w:t>
      </w:r>
      <w:hyperlink r:id="rId263">
        <w:r w:rsidRPr="00CA099F">
          <w:rPr>
            <w:rFonts w:eastAsia="Times New Roman" w:cs="Times New Roman"/>
            <w:color w:val="000000"/>
            <w:sz w:val="28"/>
            <w:szCs w:val="28"/>
            <w:lang w:val="en-GB" w:eastAsia="ru-RU"/>
          </w:rPr>
          <w:t>J Oral Maxillofac Surg.</w:t>
        </w:r>
      </w:hyperlink>
      <w:r w:rsidRPr="00CA099F">
        <w:rPr>
          <w:rFonts w:eastAsia="Times New Roman" w:cs="Times New Roman"/>
          <w:color w:val="000000"/>
          <w:sz w:val="28"/>
          <w:szCs w:val="28"/>
          <w:lang w:val="en-GB" w:eastAsia="ru-RU"/>
        </w:rPr>
        <w:t xml:space="preserve"> – 2007. – Vol. 65(6). – P. 1084-1093.</w:t>
      </w:r>
    </w:p>
    <w:p w:rsidR="0030517B" w:rsidRPr="00CA099F" w:rsidRDefault="0030517B" w:rsidP="0030517B">
      <w:pPr>
        <w:numPr>
          <w:ilvl w:val="0"/>
          <w:numId w:val="17"/>
        </w:numPr>
        <w:pBdr>
          <w:top w:val="nil"/>
          <w:left w:val="nil"/>
          <w:bottom w:val="nil"/>
          <w:right w:val="nil"/>
          <w:between w:val="nil"/>
        </w:pBdr>
        <w:tabs>
          <w:tab w:val="left" w:pos="709"/>
        </w:tabs>
        <w:spacing w:after="0" w:line="360" w:lineRule="auto"/>
        <w:contextualSpacing/>
        <w:jc w:val="both"/>
        <w:rPr>
          <w:rFonts w:eastAsia="Times New Roman" w:cs="Times New Roman"/>
          <w:color w:val="000000"/>
          <w:sz w:val="28"/>
          <w:szCs w:val="28"/>
          <w:lang w:val="en-GB" w:eastAsia="ru-RU"/>
        </w:rPr>
      </w:pPr>
      <w:r w:rsidRPr="00CA099F">
        <w:rPr>
          <w:rFonts w:eastAsia="Times New Roman" w:cs="Times New Roman"/>
          <w:color w:val="000000"/>
          <w:sz w:val="28"/>
          <w:szCs w:val="28"/>
          <w:lang w:val="en-GB" w:eastAsia="ru-RU"/>
        </w:rPr>
        <w:t>Do the fibrin architecture and leukocyte content influence the growth factor release of platelet concentrates? An evidence-based answer comparing a pure platelet-rich plasm (P-PRP) gel and a leukocyte- and platelet-rich fibrin (L-PRF) / D. M. Dohan Ehrenfest, T. Bielecki, R. Jimbo [et al.] // Current Pharmaceutical Biotechnology. – 2012. – Vol. 13(7). – P. 1145–1152.</w:t>
      </w:r>
    </w:p>
    <w:p w:rsidR="0030517B" w:rsidRPr="00CA099F" w:rsidRDefault="0030517B" w:rsidP="0030517B">
      <w:pPr>
        <w:numPr>
          <w:ilvl w:val="0"/>
          <w:numId w:val="17"/>
        </w:numPr>
        <w:pBdr>
          <w:top w:val="nil"/>
          <w:left w:val="nil"/>
          <w:bottom w:val="nil"/>
          <w:right w:val="nil"/>
          <w:between w:val="nil"/>
        </w:pBdr>
        <w:tabs>
          <w:tab w:val="left" w:pos="709"/>
        </w:tabs>
        <w:spacing w:after="0" w:line="360" w:lineRule="auto"/>
        <w:contextualSpacing/>
        <w:jc w:val="both"/>
        <w:rPr>
          <w:rFonts w:eastAsia="Times New Roman" w:cs="Times New Roman"/>
          <w:color w:val="000000"/>
          <w:sz w:val="28"/>
          <w:szCs w:val="28"/>
          <w:lang w:val="en-GB" w:eastAsia="ru-RU"/>
        </w:rPr>
      </w:pPr>
      <w:r w:rsidRPr="00CA099F">
        <w:rPr>
          <w:rFonts w:eastAsia="Times New Roman" w:cs="Times New Roman"/>
          <w:color w:val="000000"/>
          <w:sz w:val="28"/>
          <w:szCs w:val="28"/>
          <w:lang w:val="en-GB" w:eastAsia="ru-RU"/>
        </w:rPr>
        <w:t xml:space="preserve">Platelet-rich plasma: growth factor enhancement for bone grafts / R.E. Marx, E.R. Carlson, R.M. Eichstaedt [et al.] // Oral Surgery, Oral Medicine, </w:t>
      </w:r>
      <w:r w:rsidRPr="00CA099F">
        <w:rPr>
          <w:rFonts w:eastAsia="Times New Roman" w:cs="Times New Roman"/>
          <w:color w:val="000000"/>
          <w:sz w:val="28"/>
          <w:szCs w:val="28"/>
          <w:lang w:val="en-GB" w:eastAsia="ru-RU"/>
        </w:rPr>
        <w:lastRenderedPageBreak/>
        <w:t>Oral Pathology, Oral Radiology, and Endodontics. – 1998. – Vol. 85(6). – P. 638–646.</w:t>
      </w:r>
    </w:p>
    <w:p w:rsidR="0030517B" w:rsidRPr="00CA099F" w:rsidRDefault="0030517B" w:rsidP="0030517B">
      <w:pPr>
        <w:numPr>
          <w:ilvl w:val="0"/>
          <w:numId w:val="17"/>
        </w:numPr>
        <w:pBdr>
          <w:top w:val="nil"/>
          <w:left w:val="nil"/>
          <w:bottom w:val="nil"/>
          <w:right w:val="nil"/>
          <w:between w:val="nil"/>
        </w:pBdr>
        <w:shd w:val="clear" w:color="auto" w:fill="FFFFFF"/>
        <w:tabs>
          <w:tab w:val="left" w:pos="709"/>
        </w:tabs>
        <w:spacing w:after="0" w:line="360" w:lineRule="auto"/>
        <w:contextualSpacing/>
        <w:jc w:val="both"/>
        <w:rPr>
          <w:rFonts w:eastAsia="Times New Roman" w:cs="Times New Roman"/>
          <w:color w:val="000000"/>
          <w:sz w:val="28"/>
          <w:szCs w:val="28"/>
          <w:lang w:val="en-GB" w:eastAsia="ru-RU"/>
        </w:rPr>
      </w:pPr>
      <w:r w:rsidRPr="00CA099F">
        <w:rPr>
          <w:rFonts w:eastAsia="Times New Roman" w:cs="Times New Roman"/>
          <w:color w:val="000000"/>
          <w:sz w:val="28"/>
          <w:szCs w:val="28"/>
          <w:lang w:val="en-GB" w:eastAsia="ru-RU"/>
        </w:rPr>
        <w:t xml:space="preserve">Effects of PRF and released three growth factors on migration of rat adipose tissue-derived stem cells / J. </w:t>
      </w:r>
      <w:hyperlink r:id="rId264">
        <w:r w:rsidRPr="00CA099F">
          <w:rPr>
            <w:rFonts w:eastAsia="Times New Roman" w:cs="Times New Roman"/>
            <w:color w:val="000000"/>
            <w:sz w:val="28"/>
            <w:szCs w:val="28"/>
            <w:lang w:val="en-GB" w:eastAsia="ru-RU"/>
          </w:rPr>
          <w:t>Gao</w:t>
        </w:r>
      </w:hyperlink>
      <w:r w:rsidRPr="00CA099F">
        <w:rPr>
          <w:rFonts w:eastAsia="Times New Roman" w:cs="Times New Roman"/>
          <w:color w:val="000000"/>
          <w:sz w:val="28"/>
          <w:szCs w:val="28"/>
          <w:lang w:val="en-GB" w:eastAsia="ru-RU"/>
        </w:rPr>
        <w:t xml:space="preserve">, M.G. </w:t>
      </w:r>
      <w:hyperlink r:id="rId265">
        <w:r w:rsidRPr="00CA099F">
          <w:rPr>
            <w:rFonts w:eastAsia="Times New Roman" w:cs="Times New Roman"/>
            <w:color w:val="000000"/>
            <w:sz w:val="28"/>
            <w:szCs w:val="28"/>
            <w:lang w:val="en-GB" w:eastAsia="ru-RU"/>
          </w:rPr>
          <w:t>Wang</w:t>
        </w:r>
      </w:hyperlink>
      <w:r w:rsidRPr="00CA099F">
        <w:rPr>
          <w:rFonts w:eastAsia="Times New Roman" w:cs="Times New Roman"/>
          <w:color w:val="000000"/>
          <w:sz w:val="28"/>
          <w:szCs w:val="28"/>
          <w:lang w:val="en-GB" w:eastAsia="ru-RU"/>
        </w:rPr>
        <w:t xml:space="preserve">, S. </w:t>
      </w:r>
      <w:hyperlink r:id="rId266">
        <w:r w:rsidRPr="00CA099F">
          <w:rPr>
            <w:rFonts w:eastAsia="Times New Roman" w:cs="Times New Roman"/>
            <w:color w:val="000000"/>
            <w:sz w:val="28"/>
            <w:szCs w:val="28"/>
            <w:lang w:val="en-GB" w:eastAsia="ru-RU"/>
          </w:rPr>
          <w:t xml:space="preserve">Yang </w:t>
        </w:r>
      </w:hyperlink>
      <w:r w:rsidRPr="00CA099F">
        <w:rPr>
          <w:rFonts w:eastAsia="Times New Roman" w:cs="Times New Roman"/>
          <w:color w:val="000000"/>
          <w:sz w:val="28"/>
          <w:szCs w:val="28"/>
          <w:lang w:val="en-GB" w:eastAsia="ru-RU"/>
        </w:rPr>
        <w:t xml:space="preserve">[et al.] // </w:t>
      </w:r>
      <w:hyperlink r:id="rId267">
        <w:r w:rsidRPr="00CA099F">
          <w:rPr>
            <w:rFonts w:eastAsia="Times New Roman" w:cs="Times New Roman"/>
            <w:color w:val="000000"/>
            <w:sz w:val="28"/>
            <w:szCs w:val="28"/>
            <w:lang w:val="en-GB" w:eastAsia="ru-RU"/>
          </w:rPr>
          <w:t>Shanghai Kou Qiang Yi Xue.</w:t>
        </w:r>
      </w:hyperlink>
      <w:r w:rsidRPr="00CA099F">
        <w:rPr>
          <w:rFonts w:eastAsia="Times New Roman" w:cs="Times New Roman"/>
          <w:color w:val="000000"/>
          <w:sz w:val="28"/>
          <w:szCs w:val="28"/>
          <w:lang w:val="en-GB" w:eastAsia="ru-RU"/>
        </w:rPr>
        <w:t xml:space="preserve"> – 2015. – Vol. 24(6). – P. 667-673.</w:t>
      </w:r>
    </w:p>
    <w:p w:rsidR="0030517B" w:rsidRPr="00CA099F" w:rsidRDefault="0030517B" w:rsidP="0030517B">
      <w:pPr>
        <w:numPr>
          <w:ilvl w:val="0"/>
          <w:numId w:val="17"/>
        </w:numPr>
        <w:pBdr>
          <w:top w:val="nil"/>
          <w:left w:val="nil"/>
          <w:bottom w:val="nil"/>
          <w:right w:val="nil"/>
          <w:between w:val="nil"/>
        </w:pBdr>
        <w:shd w:val="clear" w:color="auto" w:fill="FFFFFF"/>
        <w:tabs>
          <w:tab w:val="left" w:pos="709"/>
          <w:tab w:val="left" w:pos="855"/>
        </w:tabs>
        <w:spacing w:after="0" w:line="360" w:lineRule="auto"/>
        <w:contextualSpacing/>
        <w:jc w:val="both"/>
        <w:rPr>
          <w:rFonts w:eastAsia="Times New Roman" w:cs="Times New Roman"/>
          <w:color w:val="000000"/>
          <w:sz w:val="28"/>
          <w:szCs w:val="28"/>
          <w:lang w:val="en-GB" w:eastAsia="ru-RU"/>
        </w:rPr>
      </w:pPr>
      <w:r w:rsidRPr="00CA099F">
        <w:rPr>
          <w:rFonts w:eastAsia="Times New Roman" w:cs="Times New Roman"/>
          <w:color w:val="000000"/>
          <w:sz w:val="28"/>
          <w:szCs w:val="28"/>
          <w:lang w:val="en-GB" w:eastAsia="ru-RU"/>
        </w:rPr>
        <w:t xml:space="preserve">Autologous platelets as a source of proteins for healing and tissue regeneration / E. </w:t>
      </w:r>
      <w:hyperlink r:id="rId268">
        <w:r w:rsidRPr="00CA099F">
          <w:rPr>
            <w:rFonts w:eastAsia="Times New Roman" w:cs="Times New Roman"/>
            <w:color w:val="000000"/>
            <w:sz w:val="28"/>
            <w:szCs w:val="28"/>
            <w:lang w:val="en-GB" w:eastAsia="ru-RU"/>
          </w:rPr>
          <w:t>Anitua</w:t>
        </w:r>
      </w:hyperlink>
      <w:r w:rsidRPr="00CA099F">
        <w:rPr>
          <w:rFonts w:eastAsia="Times New Roman" w:cs="Times New Roman"/>
          <w:color w:val="000000"/>
          <w:sz w:val="28"/>
          <w:szCs w:val="28"/>
          <w:lang w:val="en-GB" w:eastAsia="ru-RU"/>
        </w:rPr>
        <w:t xml:space="preserve">, I. </w:t>
      </w:r>
      <w:hyperlink r:id="rId269">
        <w:r w:rsidRPr="00CA099F">
          <w:rPr>
            <w:rFonts w:eastAsia="Times New Roman" w:cs="Times New Roman"/>
            <w:color w:val="000000"/>
            <w:sz w:val="28"/>
            <w:szCs w:val="28"/>
            <w:lang w:val="en-GB" w:eastAsia="ru-RU"/>
          </w:rPr>
          <w:t>Andia</w:t>
        </w:r>
      </w:hyperlink>
      <w:r w:rsidRPr="00CA099F">
        <w:rPr>
          <w:rFonts w:eastAsia="Times New Roman" w:cs="Times New Roman"/>
          <w:color w:val="000000"/>
          <w:sz w:val="28"/>
          <w:szCs w:val="28"/>
          <w:lang w:val="en-GB" w:eastAsia="ru-RU"/>
        </w:rPr>
        <w:t xml:space="preserve">, B. </w:t>
      </w:r>
      <w:hyperlink r:id="rId270">
        <w:r w:rsidRPr="00CA099F">
          <w:rPr>
            <w:rFonts w:eastAsia="Times New Roman" w:cs="Times New Roman"/>
            <w:color w:val="000000"/>
            <w:sz w:val="28"/>
            <w:szCs w:val="28"/>
            <w:lang w:val="en-GB" w:eastAsia="ru-RU"/>
          </w:rPr>
          <w:t>Ardanza</w:t>
        </w:r>
      </w:hyperlink>
      <w:r w:rsidRPr="00CA099F">
        <w:rPr>
          <w:rFonts w:eastAsia="Times New Roman" w:cs="Times New Roman"/>
          <w:color w:val="000000"/>
          <w:sz w:val="28"/>
          <w:szCs w:val="28"/>
          <w:lang w:val="en-GB" w:eastAsia="ru-RU"/>
        </w:rPr>
        <w:t xml:space="preserve"> [et al.] // </w:t>
      </w:r>
      <w:hyperlink r:id="rId271">
        <w:r w:rsidRPr="00CA099F">
          <w:rPr>
            <w:rFonts w:eastAsia="Times New Roman" w:cs="Times New Roman"/>
            <w:color w:val="000000"/>
            <w:sz w:val="28"/>
            <w:szCs w:val="28"/>
            <w:lang w:val="en-GB" w:eastAsia="ru-RU"/>
          </w:rPr>
          <w:t>Thromb Haemost.</w:t>
        </w:r>
      </w:hyperlink>
      <w:r w:rsidRPr="00CA099F">
        <w:rPr>
          <w:rFonts w:eastAsia="Times New Roman" w:cs="Times New Roman"/>
          <w:color w:val="000000"/>
          <w:sz w:val="28"/>
          <w:szCs w:val="28"/>
          <w:lang w:val="en-GB" w:eastAsia="ru-RU"/>
        </w:rPr>
        <w:t xml:space="preserve"> – 2004. – Vol. 91(1). – P. 4-15.</w:t>
      </w:r>
    </w:p>
    <w:p w:rsidR="0030517B" w:rsidRPr="00CA099F" w:rsidRDefault="0030517B" w:rsidP="0030517B">
      <w:pPr>
        <w:numPr>
          <w:ilvl w:val="0"/>
          <w:numId w:val="17"/>
        </w:numPr>
        <w:pBdr>
          <w:top w:val="nil"/>
          <w:left w:val="nil"/>
          <w:bottom w:val="nil"/>
          <w:right w:val="nil"/>
          <w:between w:val="nil"/>
        </w:pBdr>
        <w:tabs>
          <w:tab w:val="left" w:pos="709"/>
        </w:tabs>
        <w:spacing w:after="0" w:line="360" w:lineRule="auto"/>
        <w:contextualSpacing/>
        <w:jc w:val="both"/>
        <w:rPr>
          <w:rFonts w:eastAsia="Times New Roman" w:cs="Times New Roman"/>
          <w:color w:val="000000"/>
          <w:sz w:val="28"/>
          <w:szCs w:val="28"/>
          <w:lang w:val="en-GB" w:eastAsia="ru-RU"/>
        </w:rPr>
      </w:pPr>
      <w:r w:rsidRPr="00CA099F">
        <w:rPr>
          <w:rFonts w:eastAsia="Times New Roman" w:cs="Times New Roman"/>
          <w:color w:val="000000"/>
          <w:sz w:val="28"/>
          <w:szCs w:val="28"/>
          <w:lang w:val="en-GB" w:eastAsia="ru-RU"/>
        </w:rPr>
        <w:t>Slow release of growth factors and thrombospondin-1 in Choukroun's platelet-rich fibrin (PRF): a gold standard to achieve for all surgical platelet concentrates technologies / D.M. Dohan Ehrenfest, G.M. de Peppo, P. Doglioli, G. Sammartino // Growth Factors. – 2009. – Vol. 27(1). – P. 63–69.</w:t>
      </w:r>
    </w:p>
    <w:p w:rsidR="0030517B" w:rsidRPr="00CA099F" w:rsidRDefault="0030517B" w:rsidP="0030517B">
      <w:pPr>
        <w:numPr>
          <w:ilvl w:val="0"/>
          <w:numId w:val="17"/>
        </w:numPr>
        <w:pBdr>
          <w:top w:val="nil"/>
          <w:left w:val="nil"/>
          <w:bottom w:val="nil"/>
          <w:right w:val="nil"/>
          <w:between w:val="nil"/>
        </w:pBdr>
        <w:tabs>
          <w:tab w:val="left" w:pos="709"/>
        </w:tabs>
        <w:spacing w:after="0" w:line="360" w:lineRule="auto"/>
        <w:contextualSpacing/>
        <w:jc w:val="both"/>
        <w:rPr>
          <w:rFonts w:eastAsia="Times New Roman" w:cs="Times New Roman"/>
          <w:color w:val="000000"/>
          <w:sz w:val="28"/>
          <w:szCs w:val="28"/>
          <w:lang w:val="en-GB" w:eastAsia="ru-RU"/>
        </w:rPr>
      </w:pPr>
      <w:r w:rsidRPr="00CA099F">
        <w:rPr>
          <w:rFonts w:eastAsia="Times New Roman" w:cs="Times New Roman"/>
          <w:color w:val="000000"/>
          <w:sz w:val="28"/>
          <w:szCs w:val="28"/>
          <w:lang w:val="en-GB" w:eastAsia="ru-RU"/>
        </w:rPr>
        <w:t>Growth-promoting action and growth factor release by different platelet derivatives / F. Passaretti, M. Tia, V. D'esposito [et al.] // Platelets. – 2014. – Vol. 25(4). – P. 252–256.</w:t>
      </w:r>
    </w:p>
    <w:p w:rsidR="0030517B" w:rsidRPr="00CA099F" w:rsidRDefault="0030517B" w:rsidP="0030517B">
      <w:pPr>
        <w:numPr>
          <w:ilvl w:val="0"/>
          <w:numId w:val="17"/>
        </w:numPr>
        <w:pBdr>
          <w:top w:val="nil"/>
          <w:left w:val="nil"/>
          <w:bottom w:val="nil"/>
          <w:right w:val="nil"/>
          <w:between w:val="nil"/>
        </w:pBdr>
        <w:tabs>
          <w:tab w:val="left" w:pos="709"/>
        </w:tabs>
        <w:spacing w:after="0" w:line="360" w:lineRule="auto"/>
        <w:contextualSpacing/>
        <w:jc w:val="both"/>
        <w:rPr>
          <w:rFonts w:eastAsia="Times New Roman" w:cs="Times New Roman"/>
          <w:color w:val="000000"/>
          <w:sz w:val="28"/>
          <w:szCs w:val="28"/>
          <w:lang w:val="en-GB" w:eastAsia="ru-RU"/>
        </w:rPr>
      </w:pPr>
      <w:r w:rsidRPr="00CA099F">
        <w:rPr>
          <w:rFonts w:eastAsia="Times New Roman" w:cs="Times New Roman"/>
          <w:color w:val="000000"/>
          <w:sz w:val="28"/>
          <w:szCs w:val="28"/>
          <w:lang w:val="en-GB" w:eastAsia="ru-RU"/>
        </w:rPr>
        <w:t xml:space="preserve">Influence of Leukocyte- and Platelet-Rich Fibrin (L-PRF) in the Healing of Simple Postextraction Sockets: A Split-Mouth Study / </w:t>
      </w:r>
      <w:hyperlink r:id="rId272">
        <w:r w:rsidRPr="00CA099F">
          <w:rPr>
            <w:rFonts w:eastAsia="Times New Roman" w:cs="Times New Roman"/>
            <w:color w:val="000000"/>
            <w:sz w:val="28"/>
            <w:szCs w:val="28"/>
            <w:lang w:val="en-GB" w:eastAsia="ru-RU"/>
          </w:rPr>
          <w:t>G. Marenzi</w:t>
        </w:r>
      </w:hyperlink>
      <w:r w:rsidRPr="00CA099F">
        <w:rPr>
          <w:rFonts w:eastAsia="Times New Roman" w:cs="Times New Roman"/>
          <w:color w:val="000000"/>
          <w:sz w:val="28"/>
          <w:szCs w:val="28"/>
          <w:lang w:val="en-GB" w:eastAsia="ru-RU"/>
        </w:rPr>
        <w:t>,</w:t>
      </w:r>
      <w:hyperlink r:id="rId273">
        <w:r w:rsidRPr="00CA099F">
          <w:rPr>
            <w:rFonts w:eastAsia="Times New Roman" w:cs="Times New Roman"/>
            <w:color w:val="000000"/>
            <w:sz w:val="28"/>
            <w:szCs w:val="28"/>
            <w:lang w:val="en-GB" w:eastAsia="ru-RU"/>
          </w:rPr>
          <w:t>F. Riccitiello</w:t>
        </w:r>
      </w:hyperlink>
      <w:r w:rsidRPr="00CA099F">
        <w:rPr>
          <w:rFonts w:eastAsia="Times New Roman" w:cs="Times New Roman"/>
          <w:color w:val="000000"/>
          <w:sz w:val="28"/>
          <w:szCs w:val="28"/>
          <w:lang w:val="en-GB" w:eastAsia="ru-RU"/>
        </w:rPr>
        <w:t>,</w:t>
      </w:r>
      <w:hyperlink r:id="rId274">
        <w:r w:rsidRPr="00CA099F">
          <w:rPr>
            <w:rFonts w:eastAsia="Times New Roman" w:cs="Times New Roman"/>
            <w:color w:val="000000"/>
            <w:sz w:val="28"/>
            <w:szCs w:val="28"/>
            <w:lang w:val="en-GB" w:eastAsia="ru-RU"/>
          </w:rPr>
          <w:t>M. Tia</w:t>
        </w:r>
      </w:hyperlink>
      <w:r w:rsidRPr="00CA099F">
        <w:rPr>
          <w:rFonts w:eastAsia="Times New Roman" w:cs="Times New Roman"/>
          <w:color w:val="000000"/>
          <w:sz w:val="28"/>
          <w:szCs w:val="28"/>
          <w:lang w:val="en-GB" w:eastAsia="ru-RU"/>
        </w:rPr>
        <w:t xml:space="preserve"> [et al.] // </w:t>
      </w:r>
      <w:hyperlink r:id="rId275">
        <w:r w:rsidRPr="00CA099F">
          <w:rPr>
            <w:rFonts w:eastAsia="Times New Roman" w:cs="Times New Roman"/>
            <w:color w:val="000000"/>
            <w:sz w:val="28"/>
            <w:szCs w:val="28"/>
            <w:lang w:val="en-GB" w:eastAsia="ru-RU"/>
          </w:rPr>
          <w:t>Biomed Res Int</w:t>
        </w:r>
      </w:hyperlink>
      <w:r w:rsidRPr="00CA099F">
        <w:rPr>
          <w:rFonts w:eastAsia="Times New Roman" w:cs="Times New Roman"/>
          <w:color w:val="000000"/>
          <w:sz w:val="28"/>
          <w:szCs w:val="28"/>
          <w:lang w:val="en-GB" w:eastAsia="ru-RU"/>
        </w:rPr>
        <w:t>. – 2015. – Vol. 205. – P. 369-373.</w:t>
      </w:r>
    </w:p>
    <w:p w:rsidR="0030517B" w:rsidRPr="00CA099F" w:rsidRDefault="0030517B" w:rsidP="0030517B">
      <w:pPr>
        <w:numPr>
          <w:ilvl w:val="0"/>
          <w:numId w:val="17"/>
        </w:numPr>
        <w:pBdr>
          <w:top w:val="nil"/>
          <w:left w:val="nil"/>
          <w:bottom w:val="nil"/>
          <w:right w:val="nil"/>
          <w:between w:val="nil"/>
        </w:pBdr>
        <w:tabs>
          <w:tab w:val="left" w:pos="709"/>
        </w:tabs>
        <w:spacing w:after="0" w:line="360" w:lineRule="auto"/>
        <w:contextualSpacing/>
        <w:jc w:val="both"/>
        <w:rPr>
          <w:rFonts w:eastAsia="Times New Roman" w:cs="Times New Roman"/>
          <w:color w:val="000000"/>
          <w:sz w:val="28"/>
          <w:szCs w:val="28"/>
          <w:lang w:val="en-GB" w:eastAsia="ru-RU"/>
        </w:rPr>
      </w:pPr>
      <w:r w:rsidRPr="00CA099F">
        <w:rPr>
          <w:rFonts w:eastAsia="Times New Roman" w:cs="Times New Roman"/>
          <w:color w:val="000000"/>
          <w:sz w:val="28"/>
          <w:szCs w:val="28"/>
          <w:lang w:val="en-GB" w:eastAsia="ru-RU"/>
        </w:rPr>
        <w:t>Bone regeneration in extraction sockets with autologous platelet rich fibrin gel / S. Girish Rao, P. Bhat, K.S. Nagesh [et al.] // J Maxillofac Oral Surg. – 2013. – Vol. 12. – P. 11-16.</w:t>
      </w:r>
    </w:p>
    <w:p w:rsidR="0030517B" w:rsidRPr="00CA099F" w:rsidRDefault="0030517B" w:rsidP="0030517B">
      <w:pPr>
        <w:numPr>
          <w:ilvl w:val="0"/>
          <w:numId w:val="17"/>
        </w:numPr>
        <w:pBdr>
          <w:top w:val="nil"/>
          <w:left w:val="nil"/>
          <w:bottom w:val="nil"/>
          <w:right w:val="nil"/>
          <w:between w:val="nil"/>
        </w:pBdr>
        <w:tabs>
          <w:tab w:val="left" w:pos="709"/>
        </w:tabs>
        <w:spacing w:after="0" w:line="360" w:lineRule="auto"/>
        <w:contextualSpacing/>
        <w:jc w:val="both"/>
        <w:rPr>
          <w:rFonts w:eastAsia="Times New Roman" w:cs="Times New Roman"/>
          <w:color w:val="000000"/>
          <w:sz w:val="28"/>
          <w:szCs w:val="28"/>
          <w:lang w:val="en-GB" w:eastAsia="ru-RU"/>
        </w:rPr>
      </w:pPr>
      <w:r w:rsidRPr="00CA099F">
        <w:rPr>
          <w:rFonts w:eastAsia="Times New Roman" w:cs="Times New Roman"/>
          <w:color w:val="000000"/>
          <w:sz w:val="28"/>
          <w:szCs w:val="28"/>
          <w:lang w:val="en-GB" w:eastAsia="ru-RU"/>
        </w:rPr>
        <w:t xml:space="preserve">Role of platelet-derived growth factor in wound healing / G.F. </w:t>
      </w:r>
      <w:hyperlink r:id="rId276">
        <w:r w:rsidRPr="00CA099F">
          <w:rPr>
            <w:rFonts w:eastAsia="Times New Roman" w:cs="Times New Roman"/>
            <w:color w:val="000000"/>
            <w:sz w:val="28"/>
            <w:szCs w:val="28"/>
            <w:lang w:val="en-GB" w:eastAsia="ru-RU"/>
          </w:rPr>
          <w:t xml:space="preserve">Pierce </w:t>
        </w:r>
      </w:hyperlink>
      <w:r w:rsidRPr="00CA099F">
        <w:rPr>
          <w:rFonts w:eastAsia="Times New Roman" w:cs="Times New Roman"/>
          <w:color w:val="000000"/>
          <w:sz w:val="28"/>
          <w:szCs w:val="28"/>
          <w:lang w:val="en-GB" w:eastAsia="ru-RU"/>
        </w:rPr>
        <w:t xml:space="preserve">, T.A. </w:t>
      </w:r>
      <w:hyperlink r:id="rId277">
        <w:r w:rsidRPr="00CA099F">
          <w:rPr>
            <w:rFonts w:eastAsia="Times New Roman" w:cs="Times New Roman"/>
            <w:color w:val="000000"/>
            <w:sz w:val="28"/>
            <w:szCs w:val="28"/>
            <w:lang w:val="en-GB" w:eastAsia="ru-RU"/>
          </w:rPr>
          <w:t>Mustoe</w:t>
        </w:r>
      </w:hyperlink>
      <w:r w:rsidRPr="00CA099F">
        <w:rPr>
          <w:rFonts w:eastAsia="Times New Roman" w:cs="Times New Roman"/>
          <w:color w:val="000000"/>
          <w:sz w:val="28"/>
          <w:szCs w:val="28"/>
          <w:lang w:val="en-GB" w:eastAsia="ru-RU"/>
        </w:rPr>
        <w:t xml:space="preserve">, B.W. </w:t>
      </w:r>
      <w:hyperlink r:id="rId278">
        <w:r w:rsidRPr="00CA099F">
          <w:rPr>
            <w:rFonts w:eastAsia="Times New Roman" w:cs="Times New Roman"/>
            <w:color w:val="000000"/>
            <w:sz w:val="28"/>
            <w:szCs w:val="28"/>
            <w:lang w:val="en-GB" w:eastAsia="ru-RU"/>
          </w:rPr>
          <w:t xml:space="preserve">Altrock </w:t>
        </w:r>
      </w:hyperlink>
      <w:r w:rsidRPr="00CA099F">
        <w:rPr>
          <w:rFonts w:eastAsia="Times New Roman" w:cs="Times New Roman"/>
          <w:color w:val="000000"/>
          <w:sz w:val="28"/>
          <w:szCs w:val="28"/>
          <w:lang w:val="en-GB" w:eastAsia="ru-RU"/>
        </w:rPr>
        <w:t xml:space="preserve">[et al.] // </w:t>
      </w:r>
      <w:hyperlink r:id="rId279">
        <w:r w:rsidRPr="00CA099F">
          <w:rPr>
            <w:rFonts w:eastAsia="Times New Roman" w:cs="Times New Roman"/>
            <w:color w:val="000000"/>
            <w:sz w:val="28"/>
            <w:szCs w:val="28"/>
            <w:lang w:val="en-GB" w:eastAsia="ru-RU"/>
          </w:rPr>
          <w:t>J Cell Biochem.</w:t>
        </w:r>
      </w:hyperlink>
      <w:r w:rsidRPr="00CA099F">
        <w:rPr>
          <w:rFonts w:eastAsia="Times New Roman" w:cs="Times New Roman"/>
          <w:color w:val="000000"/>
          <w:sz w:val="28"/>
          <w:szCs w:val="28"/>
          <w:lang w:val="en-GB" w:eastAsia="ru-RU"/>
        </w:rPr>
        <w:t xml:space="preserve"> – 1991. – Vol. 45(4). – P. 319-326.</w:t>
      </w:r>
    </w:p>
    <w:p w:rsidR="0030517B" w:rsidRPr="00CA099F" w:rsidRDefault="0030517B" w:rsidP="0030517B">
      <w:pPr>
        <w:numPr>
          <w:ilvl w:val="0"/>
          <w:numId w:val="17"/>
        </w:numPr>
        <w:pBdr>
          <w:top w:val="nil"/>
          <w:left w:val="nil"/>
          <w:bottom w:val="nil"/>
          <w:right w:val="nil"/>
          <w:between w:val="nil"/>
        </w:pBdr>
        <w:shd w:val="clear" w:color="auto" w:fill="FFFFFF"/>
        <w:tabs>
          <w:tab w:val="left" w:pos="709"/>
        </w:tabs>
        <w:spacing w:after="0" w:line="360" w:lineRule="auto"/>
        <w:contextualSpacing/>
        <w:jc w:val="both"/>
        <w:rPr>
          <w:rFonts w:eastAsia="Times New Roman" w:cs="Times New Roman"/>
          <w:color w:val="000000"/>
          <w:sz w:val="28"/>
          <w:szCs w:val="28"/>
          <w:lang w:val="en-GB" w:eastAsia="ru-RU"/>
        </w:rPr>
      </w:pPr>
      <w:r w:rsidRPr="00CA099F">
        <w:rPr>
          <w:rFonts w:eastAsia="Times New Roman" w:cs="Times New Roman"/>
          <w:color w:val="000000"/>
          <w:sz w:val="28"/>
          <w:szCs w:val="28"/>
          <w:lang w:val="en-GB" w:eastAsia="ru-RU"/>
        </w:rPr>
        <w:t>Current knowledge and perspectives for the use of platelet-rich plasma (PRP) and platelet-rich fibrin (PRF) in oral and maxillofacial surgery part 1: periodontal and dentoalveolar surgery / M. del Corso, A. Vervelle, A. Simonpieri [et al.] // Current Pharmaceutical Biotechnology. – 2012. – Vol. 13(7). – P. 1207–1230.</w:t>
      </w:r>
    </w:p>
    <w:p w:rsidR="0030517B" w:rsidRPr="00CA099F" w:rsidRDefault="0030517B" w:rsidP="0030517B">
      <w:pPr>
        <w:numPr>
          <w:ilvl w:val="0"/>
          <w:numId w:val="17"/>
        </w:numPr>
        <w:pBdr>
          <w:top w:val="nil"/>
          <w:left w:val="nil"/>
          <w:bottom w:val="nil"/>
          <w:right w:val="nil"/>
          <w:between w:val="nil"/>
        </w:pBdr>
        <w:shd w:val="clear" w:color="auto" w:fill="FFFFFF"/>
        <w:tabs>
          <w:tab w:val="left" w:pos="709"/>
        </w:tabs>
        <w:spacing w:after="0" w:line="360" w:lineRule="auto"/>
        <w:contextualSpacing/>
        <w:jc w:val="both"/>
        <w:rPr>
          <w:rFonts w:eastAsia="Times New Roman" w:cs="Times New Roman"/>
          <w:color w:val="000000"/>
          <w:sz w:val="28"/>
          <w:szCs w:val="28"/>
          <w:lang w:val="en-GB" w:eastAsia="ru-RU"/>
        </w:rPr>
      </w:pPr>
      <w:r w:rsidRPr="00CA099F">
        <w:rPr>
          <w:rFonts w:eastAsia="Times New Roman" w:cs="Times New Roman"/>
          <w:color w:val="000000"/>
          <w:sz w:val="28"/>
          <w:szCs w:val="28"/>
          <w:lang w:val="en-GB" w:eastAsia="ru-RU"/>
        </w:rPr>
        <w:lastRenderedPageBreak/>
        <w:t>Current knowledge and perspectives for the use of platelet-rich plasma (PRP) and platelet-rich fibrin (PRF) in oral and maxillofacial surgery. Part 2. Bone graft, implant and reconstructive surgery / A. Simonpieri, M. del Corso, A. Vervelle [et al.] // Current Pharmaceutical Biotechnology – 2012. – Vol. 13(7). – P. 1231–1256.</w:t>
      </w:r>
    </w:p>
    <w:p w:rsidR="0030517B" w:rsidRPr="00CA099F" w:rsidRDefault="0030517B" w:rsidP="0030517B">
      <w:pPr>
        <w:numPr>
          <w:ilvl w:val="0"/>
          <w:numId w:val="17"/>
        </w:numPr>
        <w:pBdr>
          <w:top w:val="nil"/>
          <w:left w:val="nil"/>
          <w:bottom w:val="nil"/>
          <w:right w:val="nil"/>
          <w:between w:val="nil"/>
        </w:pBdr>
        <w:tabs>
          <w:tab w:val="left" w:pos="709"/>
        </w:tabs>
        <w:spacing w:after="0" w:line="360" w:lineRule="auto"/>
        <w:contextualSpacing/>
        <w:jc w:val="both"/>
        <w:rPr>
          <w:rFonts w:eastAsia="Times New Roman" w:cs="Times New Roman"/>
          <w:color w:val="000000"/>
          <w:sz w:val="28"/>
          <w:szCs w:val="28"/>
          <w:lang w:val="en-GB" w:eastAsia="ru-RU"/>
        </w:rPr>
      </w:pPr>
      <w:r w:rsidRPr="00CA099F">
        <w:rPr>
          <w:rFonts w:eastAsia="Times New Roman" w:cs="Times New Roman"/>
          <w:color w:val="000000"/>
          <w:sz w:val="28"/>
          <w:szCs w:val="28"/>
          <w:lang w:val="en-GB" w:eastAsia="ru-RU"/>
        </w:rPr>
        <w:t>Platelet-rich plasma and platelet-rich fibrin in human cell culture / V.L. Gassling, Y. Açil, I.N. Springer [et al.] // Oral Surg Oral Med Oral Pathol Oral Radiol Endod. – 2009. – Vol. 108. – P. 48–55.</w:t>
      </w:r>
    </w:p>
    <w:p w:rsidR="0030517B" w:rsidRPr="00CA099F" w:rsidRDefault="0030517B" w:rsidP="0030517B">
      <w:pPr>
        <w:numPr>
          <w:ilvl w:val="0"/>
          <w:numId w:val="17"/>
        </w:numPr>
        <w:pBdr>
          <w:top w:val="nil"/>
          <w:left w:val="nil"/>
          <w:bottom w:val="nil"/>
          <w:right w:val="nil"/>
          <w:between w:val="nil"/>
        </w:pBdr>
        <w:shd w:val="clear" w:color="auto" w:fill="FFFFFF"/>
        <w:tabs>
          <w:tab w:val="left" w:pos="709"/>
        </w:tabs>
        <w:spacing w:after="0" w:line="360" w:lineRule="auto"/>
        <w:contextualSpacing/>
        <w:jc w:val="both"/>
        <w:rPr>
          <w:rFonts w:eastAsia="Times New Roman" w:cs="Times New Roman"/>
          <w:color w:val="000000"/>
          <w:sz w:val="28"/>
          <w:szCs w:val="28"/>
          <w:lang w:val="en-GB" w:eastAsia="ru-RU"/>
        </w:rPr>
      </w:pPr>
      <w:r w:rsidRPr="00CA099F">
        <w:rPr>
          <w:rFonts w:eastAsia="Times New Roman" w:cs="Times New Roman"/>
          <w:color w:val="000000"/>
          <w:sz w:val="28"/>
          <w:szCs w:val="28"/>
          <w:lang w:val="en-GB" w:eastAsia="ru-RU"/>
        </w:rPr>
        <w:t xml:space="preserve">Clinical and Histologic Evaluation of Platelet-Rich Fibrin Accelerated Epithelization of Gingival Wound / </w:t>
      </w:r>
      <w:hyperlink r:id="rId280">
        <w:r w:rsidRPr="00CA099F">
          <w:rPr>
            <w:rFonts w:eastAsia="Times New Roman" w:cs="Times New Roman"/>
            <w:color w:val="000000"/>
            <w:sz w:val="28"/>
            <w:szCs w:val="28"/>
            <w:lang w:val="en-GB" w:eastAsia="ru-RU"/>
          </w:rPr>
          <w:t>M. Bansal</w:t>
        </w:r>
      </w:hyperlink>
      <w:r w:rsidRPr="00CA099F">
        <w:rPr>
          <w:rFonts w:eastAsia="Times New Roman" w:cs="Times New Roman"/>
          <w:color w:val="000000"/>
          <w:sz w:val="28"/>
          <w:szCs w:val="28"/>
          <w:lang w:val="en-GB" w:eastAsia="ru-RU"/>
        </w:rPr>
        <w:t xml:space="preserve">, </w:t>
      </w:r>
      <w:hyperlink r:id="rId281">
        <w:r w:rsidRPr="00CA099F">
          <w:rPr>
            <w:rFonts w:eastAsia="Times New Roman" w:cs="Times New Roman"/>
            <w:color w:val="000000"/>
            <w:sz w:val="28"/>
            <w:szCs w:val="28"/>
            <w:lang w:val="en-GB" w:eastAsia="ru-RU"/>
          </w:rPr>
          <w:t>A. Kumar</w:t>
        </w:r>
      </w:hyperlink>
      <w:r w:rsidRPr="00CA099F">
        <w:rPr>
          <w:rFonts w:eastAsia="Times New Roman" w:cs="Times New Roman"/>
          <w:color w:val="000000"/>
          <w:sz w:val="28"/>
          <w:szCs w:val="28"/>
          <w:lang w:val="en-GB" w:eastAsia="ru-RU"/>
        </w:rPr>
        <w:t xml:space="preserve">, </w:t>
      </w:r>
      <w:hyperlink r:id="rId282">
        <w:r w:rsidRPr="00CA099F">
          <w:rPr>
            <w:rFonts w:eastAsia="Times New Roman" w:cs="Times New Roman"/>
            <w:color w:val="000000"/>
            <w:sz w:val="28"/>
            <w:szCs w:val="28"/>
            <w:lang w:val="en-GB" w:eastAsia="ru-RU"/>
          </w:rPr>
          <w:t>K. Puri</w:t>
        </w:r>
      </w:hyperlink>
      <w:r w:rsidRPr="00CA099F">
        <w:rPr>
          <w:rFonts w:eastAsia="Times New Roman" w:cs="Times New Roman"/>
          <w:color w:val="000000"/>
          <w:sz w:val="28"/>
          <w:szCs w:val="28"/>
          <w:lang w:val="en-GB" w:eastAsia="ru-RU"/>
        </w:rPr>
        <w:t xml:space="preserve"> [et al.] // </w:t>
      </w:r>
      <w:hyperlink r:id="rId283">
        <w:r w:rsidRPr="00CA099F">
          <w:rPr>
            <w:rFonts w:eastAsia="Times New Roman" w:cs="Times New Roman"/>
            <w:color w:val="000000"/>
            <w:sz w:val="28"/>
            <w:szCs w:val="28"/>
            <w:lang w:val="en-GB" w:eastAsia="ru-RU"/>
          </w:rPr>
          <w:t>J Cutan Aesthet Surg</w:t>
        </w:r>
      </w:hyperlink>
      <w:r w:rsidRPr="00CA099F">
        <w:rPr>
          <w:rFonts w:eastAsia="Times New Roman" w:cs="Times New Roman"/>
          <w:color w:val="000000"/>
          <w:sz w:val="28"/>
          <w:szCs w:val="28"/>
          <w:lang w:val="en-GB" w:eastAsia="ru-RU"/>
        </w:rPr>
        <w:t>. – 2016. – Vol. 9(3). – P. 196–200.</w:t>
      </w:r>
    </w:p>
    <w:p w:rsidR="0030517B" w:rsidRPr="00CA099F" w:rsidRDefault="0030517B" w:rsidP="0030517B">
      <w:pPr>
        <w:numPr>
          <w:ilvl w:val="0"/>
          <w:numId w:val="17"/>
        </w:numPr>
        <w:pBdr>
          <w:top w:val="nil"/>
          <w:left w:val="nil"/>
          <w:bottom w:val="nil"/>
          <w:right w:val="nil"/>
          <w:between w:val="nil"/>
        </w:pBdr>
        <w:shd w:val="clear" w:color="auto" w:fill="FFFFFF"/>
        <w:tabs>
          <w:tab w:val="left" w:pos="709"/>
        </w:tabs>
        <w:spacing w:after="0" w:line="360" w:lineRule="auto"/>
        <w:contextualSpacing/>
        <w:jc w:val="both"/>
        <w:rPr>
          <w:rFonts w:eastAsia="Times New Roman" w:cs="Times New Roman"/>
          <w:color w:val="000000"/>
          <w:sz w:val="28"/>
          <w:szCs w:val="28"/>
          <w:lang w:val="en-GB" w:eastAsia="ru-RU"/>
        </w:rPr>
      </w:pPr>
      <w:r w:rsidRPr="00CA099F">
        <w:rPr>
          <w:rFonts w:eastAsia="Times New Roman" w:cs="Times New Roman"/>
          <w:color w:val="000000"/>
          <w:sz w:val="28"/>
          <w:szCs w:val="28"/>
          <w:lang w:val="en-GB" w:eastAsia="ru-RU"/>
        </w:rPr>
        <w:t xml:space="preserve">Platelet-Rich Fibrin and Soft Tissue Wound Healing: A Systematic Review / R.J. </w:t>
      </w:r>
      <w:hyperlink r:id="rId284">
        <w:r w:rsidRPr="00CA099F">
          <w:rPr>
            <w:rFonts w:eastAsia="Times New Roman" w:cs="Times New Roman"/>
            <w:color w:val="000000"/>
            <w:sz w:val="28"/>
            <w:szCs w:val="28"/>
            <w:lang w:val="en-GB" w:eastAsia="ru-RU"/>
          </w:rPr>
          <w:t>Miron</w:t>
        </w:r>
      </w:hyperlink>
      <w:r w:rsidRPr="00CA099F">
        <w:rPr>
          <w:rFonts w:eastAsia="Times New Roman" w:cs="Times New Roman"/>
          <w:color w:val="000000"/>
          <w:sz w:val="28"/>
          <w:szCs w:val="28"/>
          <w:lang w:val="en-GB" w:eastAsia="ru-RU"/>
        </w:rPr>
        <w:t xml:space="preserve">, M. </w:t>
      </w:r>
      <w:hyperlink r:id="rId285">
        <w:r w:rsidRPr="00CA099F">
          <w:rPr>
            <w:rFonts w:eastAsia="Times New Roman" w:cs="Times New Roman"/>
            <w:color w:val="000000"/>
            <w:sz w:val="28"/>
            <w:szCs w:val="28"/>
            <w:lang w:val="en-GB" w:eastAsia="ru-RU"/>
          </w:rPr>
          <w:t>Fujioka-Kobayashi</w:t>
        </w:r>
      </w:hyperlink>
      <w:r w:rsidRPr="00CA099F">
        <w:rPr>
          <w:rFonts w:eastAsia="Times New Roman" w:cs="Times New Roman"/>
          <w:color w:val="000000"/>
          <w:sz w:val="28"/>
          <w:szCs w:val="28"/>
          <w:lang w:val="en-GB" w:eastAsia="ru-RU"/>
        </w:rPr>
        <w:t xml:space="preserve">, M. </w:t>
      </w:r>
      <w:hyperlink r:id="rId286">
        <w:r w:rsidRPr="00CA099F">
          <w:rPr>
            <w:rFonts w:eastAsia="Times New Roman" w:cs="Times New Roman"/>
            <w:color w:val="000000"/>
            <w:sz w:val="28"/>
            <w:szCs w:val="28"/>
            <w:lang w:val="en-GB" w:eastAsia="ru-RU"/>
          </w:rPr>
          <w:t xml:space="preserve">Bishara </w:t>
        </w:r>
      </w:hyperlink>
      <w:r w:rsidRPr="00CA099F">
        <w:rPr>
          <w:rFonts w:eastAsia="Times New Roman" w:cs="Times New Roman"/>
          <w:color w:val="000000"/>
          <w:sz w:val="28"/>
          <w:szCs w:val="28"/>
          <w:lang w:val="en-GB" w:eastAsia="ru-RU"/>
        </w:rPr>
        <w:t xml:space="preserve">[et al.] // </w:t>
      </w:r>
      <w:hyperlink r:id="rId287">
        <w:r w:rsidRPr="00CA099F">
          <w:rPr>
            <w:rFonts w:eastAsia="Times New Roman" w:cs="Times New Roman"/>
            <w:color w:val="000000"/>
            <w:sz w:val="28"/>
            <w:szCs w:val="28"/>
            <w:lang w:val="en-GB" w:eastAsia="ru-RU"/>
          </w:rPr>
          <w:t>Tissue Eng Part B Rev.</w:t>
        </w:r>
      </w:hyperlink>
      <w:r w:rsidRPr="00CA099F">
        <w:rPr>
          <w:rFonts w:eastAsia="Times New Roman" w:cs="Times New Roman"/>
          <w:color w:val="000000"/>
          <w:sz w:val="28"/>
          <w:szCs w:val="28"/>
          <w:lang w:val="en-GB" w:eastAsia="ru-RU"/>
        </w:rPr>
        <w:t xml:space="preserve"> – 2017. – Vol. 23(1). – P. 83-99.</w:t>
      </w:r>
    </w:p>
    <w:p w:rsidR="0030517B" w:rsidRPr="00CA099F" w:rsidRDefault="0030517B" w:rsidP="0030517B">
      <w:pPr>
        <w:numPr>
          <w:ilvl w:val="0"/>
          <w:numId w:val="17"/>
        </w:numPr>
        <w:pBdr>
          <w:top w:val="nil"/>
          <w:left w:val="nil"/>
          <w:bottom w:val="nil"/>
          <w:right w:val="nil"/>
          <w:between w:val="nil"/>
        </w:pBdr>
        <w:shd w:val="clear" w:color="auto" w:fill="FFFFFF"/>
        <w:tabs>
          <w:tab w:val="left" w:pos="709"/>
        </w:tabs>
        <w:spacing w:after="0" w:line="360" w:lineRule="auto"/>
        <w:contextualSpacing/>
        <w:jc w:val="both"/>
        <w:rPr>
          <w:rFonts w:eastAsia="Times New Roman" w:cs="Times New Roman"/>
          <w:color w:val="000000"/>
          <w:sz w:val="28"/>
          <w:szCs w:val="28"/>
          <w:lang w:val="en-GB" w:eastAsia="ru-RU"/>
        </w:rPr>
      </w:pPr>
      <w:r w:rsidRPr="00CA099F">
        <w:rPr>
          <w:rFonts w:eastAsia="Times New Roman" w:cs="Times New Roman"/>
          <w:color w:val="000000"/>
          <w:sz w:val="28"/>
          <w:szCs w:val="28"/>
          <w:lang w:val="en-GB" w:eastAsia="ru-RU"/>
        </w:rPr>
        <w:t xml:space="preserve">Improvement in the repair of defects in maxillofacial soft tissue in irradiated minipigs by a mixture of adipose-derived stem cells and platelet-rich fibrin / Y. </w:t>
      </w:r>
      <w:hyperlink r:id="rId288">
        <w:r w:rsidRPr="00CA099F">
          <w:rPr>
            <w:rFonts w:eastAsia="Times New Roman" w:cs="Times New Roman"/>
            <w:color w:val="000000"/>
            <w:sz w:val="28"/>
            <w:szCs w:val="28"/>
            <w:lang w:val="en-GB" w:eastAsia="ru-RU"/>
          </w:rPr>
          <w:t>Chen</w:t>
        </w:r>
      </w:hyperlink>
      <w:r w:rsidRPr="00CA099F">
        <w:rPr>
          <w:rFonts w:eastAsia="Times New Roman" w:cs="Times New Roman"/>
          <w:color w:val="000000"/>
          <w:sz w:val="28"/>
          <w:szCs w:val="28"/>
          <w:lang w:val="en-GB" w:eastAsia="ru-RU"/>
        </w:rPr>
        <w:t xml:space="preserve">, Z. </w:t>
      </w:r>
      <w:hyperlink r:id="rId289">
        <w:r w:rsidRPr="00CA099F">
          <w:rPr>
            <w:rFonts w:eastAsia="Times New Roman" w:cs="Times New Roman"/>
            <w:color w:val="000000"/>
            <w:sz w:val="28"/>
            <w:szCs w:val="28"/>
            <w:lang w:val="en-GB" w:eastAsia="ru-RU"/>
          </w:rPr>
          <w:t>Niu</w:t>
        </w:r>
      </w:hyperlink>
      <w:r w:rsidRPr="00CA099F">
        <w:rPr>
          <w:rFonts w:eastAsia="Times New Roman" w:cs="Times New Roman"/>
          <w:color w:val="000000"/>
          <w:sz w:val="28"/>
          <w:szCs w:val="28"/>
          <w:lang w:val="en-GB" w:eastAsia="ru-RU"/>
        </w:rPr>
        <w:t xml:space="preserve">, Y. </w:t>
      </w:r>
      <w:hyperlink r:id="rId290">
        <w:r w:rsidRPr="00CA099F">
          <w:rPr>
            <w:rFonts w:eastAsia="Times New Roman" w:cs="Times New Roman"/>
            <w:color w:val="000000"/>
            <w:sz w:val="28"/>
            <w:szCs w:val="28"/>
            <w:lang w:val="en-GB" w:eastAsia="ru-RU"/>
          </w:rPr>
          <w:t xml:space="preserve">Xue </w:t>
        </w:r>
      </w:hyperlink>
      <w:r w:rsidRPr="00CA099F">
        <w:rPr>
          <w:rFonts w:eastAsia="Times New Roman" w:cs="Times New Roman"/>
          <w:color w:val="000000"/>
          <w:sz w:val="28"/>
          <w:szCs w:val="28"/>
          <w:lang w:val="en-GB" w:eastAsia="ru-RU"/>
        </w:rPr>
        <w:t xml:space="preserve">[et al.] // </w:t>
      </w:r>
      <w:hyperlink r:id="rId291">
        <w:r w:rsidRPr="00CA099F">
          <w:rPr>
            <w:rFonts w:eastAsia="Times New Roman" w:cs="Times New Roman"/>
            <w:color w:val="000000"/>
            <w:sz w:val="28"/>
            <w:szCs w:val="28"/>
            <w:lang w:val="en-GB" w:eastAsia="ru-RU"/>
          </w:rPr>
          <w:t>Br J Oral Maxillofac Surg.</w:t>
        </w:r>
      </w:hyperlink>
      <w:r w:rsidRPr="00CA099F">
        <w:rPr>
          <w:rFonts w:eastAsia="Times New Roman" w:cs="Times New Roman"/>
          <w:color w:val="000000"/>
          <w:sz w:val="28"/>
          <w:szCs w:val="28"/>
          <w:lang w:val="en-GB" w:eastAsia="ru-RU"/>
        </w:rPr>
        <w:t xml:space="preserve"> – 2014. – Vol. 52(8). – P. 740-745.</w:t>
      </w:r>
    </w:p>
    <w:p w:rsidR="0030517B" w:rsidRPr="00CA099F" w:rsidRDefault="0030517B" w:rsidP="0030517B">
      <w:pPr>
        <w:numPr>
          <w:ilvl w:val="0"/>
          <w:numId w:val="17"/>
        </w:numPr>
        <w:pBdr>
          <w:top w:val="nil"/>
          <w:left w:val="nil"/>
          <w:bottom w:val="nil"/>
          <w:right w:val="nil"/>
          <w:between w:val="nil"/>
        </w:pBdr>
        <w:shd w:val="clear" w:color="auto" w:fill="FFFFFF"/>
        <w:tabs>
          <w:tab w:val="left" w:pos="709"/>
        </w:tabs>
        <w:spacing w:after="0" w:line="360" w:lineRule="auto"/>
        <w:contextualSpacing/>
        <w:jc w:val="both"/>
        <w:rPr>
          <w:rFonts w:eastAsia="Times New Roman" w:cs="Times New Roman"/>
          <w:color w:val="000000"/>
          <w:sz w:val="28"/>
          <w:szCs w:val="28"/>
          <w:lang w:val="en-GB" w:eastAsia="ru-RU"/>
        </w:rPr>
      </w:pPr>
      <w:r w:rsidRPr="00CA099F">
        <w:rPr>
          <w:rFonts w:eastAsia="Times New Roman" w:cs="Times New Roman"/>
          <w:color w:val="000000"/>
          <w:sz w:val="28"/>
          <w:szCs w:val="28"/>
          <w:lang w:val="en-GB" w:eastAsia="ru-RU"/>
        </w:rPr>
        <w:t>Rowe S.L. Influence of thrombin concentration on the mechanical and morphological properties of cell</w:t>
      </w:r>
      <w:r w:rsidRPr="00CA099F">
        <w:rPr>
          <w:rFonts w:ascii="Cambria Math" w:eastAsia="Cambria" w:hAnsi="Cambria Math" w:cs="Cambria Math"/>
          <w:color w:val="000000"/>
          <w:sz w:val="28"/>
          <w:szCs w:val="28"/>
          <w:lang w:val="en-GB" w:eastAsia="ru-RU"/>
        </w:rPr>
        <w:t>‐</w:t>
      </w:r>
      <w:r w:rsidRPr="00CA099F">
        <w:rPr>
          <w:rFonts w:eastAsia="Times New Roman" w:cs="Times New Roman"/>
          <w:color w:val="000000"/>
          <w:sz w:val="28"/>
          <w:szCs w:val="28"/>
          <w:lang w:val="en-GB" w:eastAsia="ru-RU"/>
        </w:rPr>
        <w:t>seeded fibrin hydrogels / S.L. Rowe, S.Y. Lee, J.P. Stegemann // Acta Biomaterialia. – 2007. – Vol. 3. – P. 59–67.</w:t>
      </w:r>
    </w:p>
    <w:p w:rsidR="0030517B" w:rsidRPr="00CA099F" w:rsidRDefault="0030517B" w:rsidP="0030517B">
      <w:pPr>
        <w:numPr>
          <w:ilvl w:val="0"/>
          <w:numId w:val="17"/>
        </w:numPr>
        <w:pBdr>
          <w:top w:val="nil"/>
          <w:left w:val="nil"/>
          <w:bottom w:val="nil"/>
          <w:right w:val="nil"/>
          <w:between w:val="nil"/>
        </w:pBdr>
        <w:shd w:val="clear" w:color="auto" w:fill="FFFFFF"/>
        <w:tabs>
          <w:tab w:val="left" w:pos="709"/>
        </w:tabs>
        <w:spacing w:after="0" w:line="360" w:lineRule="auto"/>
        <w:contextualSpacing/>
        <w:jc w:val="both"/>
        <w:rPr>
          <w:rFonts w:eastAsia="Times New Roman" w:cs="Times New Roman"/>
          <w:color w:val="000000"/>
          <w:sz w:val="28"/>
          <w:szCs w:val="28"/>
          <w:lang w:val="en-GB" w:eastAsia="ru-RU"/>
        </w:rPr>
      </w:pPr>
      <w:r w:rsidRPr="00CA099F">
        <w:rPr>
          <w:rFonts w:eastAsia="Times New Roman" w:cs="Times New Roman"/>
          <w:color w:val="000000"/>
          <w:sz w:val="28"/>
          <w:szCs w:val="28"/>
          <w:lang w:val="en-GB" w:eastAsia="ru-RU"/>
        </w:rPr>
        <w:t>Regenerative potential of leucocyte</w:t>
      </w:r>
      <w:r w:rsidRPr="00CA099F">
        <w:rPr>
          <w:rFonts w:ascii="Cambria Math" w:eastAsia="Cambria" w:hAnsi="Cambria Math" w:cs="Cambria Math"/>
          <w:color w:val="000000"/>
          <w:sz w:val="28"/>
          <w:szCs w:val="28"/>
          <w:lang w:val="en-GB" w:eastAsia="ru-RU"/>
        </w:rPr>
        <w:t>‐</w:t>
      </w:r>
      <w:r w:rsidRPr="00CA099F">
        <w:rPr>
          <w:rFonts w:eastAsia="Times New Roman" w:cs="Times New Roman"/>
          <w:color w:val="000000"/>
          <w:sz w:val="28"/>
          <w:szCs w:val="28"/>
          <w:lang w:val="en-GB" w:eastAsia="ru-RU"/>
        </w:rPr>
        <w:t xml:space="preserve"> and platelet</w:t>
      </w:r>
      <w:r w:rsidRPr="00CA099F">
        <w:rPr>
          <w:rFonts w:ascii="Cambria Math" w:eastAsia="Cambria" w:hAnsi="Cambria Math" w:cs="Cambria Math"/>
          <w:color w:val="000000"/>
          <w:sz w:val="28"/>
          <w:szCs w:val="28"/>
          <w:lang w:val="en-GB" w:eastAsia="ru-RU"/>
        </w:rPr>
        <w:t>‐</w:t>
      </w:r>
      <w:r w:rsidRPr="00CA099F">
        <w:rPr>
          <w:rFonts w:eastAsia="Times New Roman" w:cs="Times New Roman"/>
          <w:color w:val="000000"/>
          <w:sz w:val="28"/>
          <w:szCs w:val="28"/>
          <w:lang w:val="en-GB" w:eastAsia="ru-RU"/>
        </w:rPr>
        <w:t>rich fibrin. Part A: intra</w:t>
      </w:r>
      <w:r w:rsidRPr="00CA099F">
        <w:rPr>
          <w:rFonts w:ascii="Cambria Math" w:eastAsia="Cambria" w:hAnsi="Cambria Math" w:cs="Cambria Math"/>
          <w:color w:val="000000"/>
          <w:sz w:val="28"/>
          <w:szCs w:val="28"/>
          <w:lang w:val="en-GB" w:eastAsia="ru-RU"/>
        </w:rPr>
        <w:t>‐</w:t>
      </w:r>
      <w:r w:rsidRPr="00CA099F">
        <w:rPr>
          <w:rFonts w:eastAsia="Times New Roman" w:cs="Times New Roman"/>
          <w:color w:val="000000"/>
          <w:sz w:val="28"/>
          <w:szCs w:val="28"/>
          <w:lang w:val="en-GB" w:eastAsia="ru-RU"/>
        </w:rPr>
        <w:t>bony defects, furcation defects and periodontal plastic surgery. A systematic review and meta</w:t>
      </w:r>
      <w:r w:rsidRPr="00CA099F">
        <w:rPr>
          <w:rFonts w:ascii="Cambria Math" w:eastAsia="Cambria" w:hAnsi="Cambria Math" w:cs="Cambria Math"/>
          <w:color w:val="000000"/>
          <w:sz w:val="28"/>
          <w:szCs w:val="28"/>
          <w:lang w:val="en-GB" w:eastAsia="ru-RU"/>
        </w:rPr>
        <w:t>‐</w:t>
      </w:r>
      <w:r w:rsidRPr="00CA099F">
        <w:rPr>
          <w:rFonts w:eastAsia="Times New Roman" w:cs="Times New Roman"/>
          <w:color w:val="000000"/>
          <w:sz w:val="28"/>
          <w:szCs w:val="28"/>
          <w:lang w:val="en-GB" w:eastAsia="ru-RU"/>
        </w:rPr>
        <w:t xml:space="preserve">analysis / </w:t>
      </w:r>
      <w:hyperlink r:id="rId292">
        <w:r w:rsidRPr="00CA099F">
          <w:rPr>
            <w:rFonts w:eastAsia="Times New Roman" w:cs="Times New Roman"/>
            <w:color w:val="000000"/>
            <w:sz w:val="28"/>
            <w:szCs w:val="28"/>
            <w:lang w:val="en-GB" w:eastAsia="ru-RU"/>
          </w:rPr>
          <w:t>A.B. Castro</w:t>
        </w:r>
      </w:hyperlink>
      <w:r w:rsidRPr="00CA099F">
        <w:rPr>
          <w:rFonts w:eastAsia="Times New Roman" w:cs="Times New Roman"/>
          <w:color w:val="000000"/>
          <w:sz w:val="28"/>
          <w:szCs w:val="28"/>
          <w:lang w:val="en-GB" w:eastAsia="ru-RU"/>
        </w:rPr>
        <w:t xml:space="preserve">, </w:t>
      </w:r>
      <w:hyperlink r:id="rId293">
        <w:r w:rsidRPr="00CA099F">
          <w:rPr>
            <w:rFonts w:eastAsia="Times New Roman" w:cs="Times New Roman"/>
            <w:color w:val="000000"/>
            <w:sz w:val="28"/>
            <w:szCs w:val="28"/>
            <w:lang w:val="en-GB" w:eastAsia="ru-RU"/>
          </w:rPr>
          <w:t>N. Meschi</w:t>
        </w:r>
      </w:hyperlink>
      <w:r w:rsidRPr="00CA099F">
        <w:rPr>
          <w:rFonts w:eastAsia="Times New Roman" w:cs="Times New Roman"/>
          <w:color w:val="000000"/>
          <w:sz w:val="28"/>
          <w:szCs w:val="28"/>
          <w:lang w:val="en-GB" w:eastAsia="ru-RU"/>
        </w:rPr>
        <w:t xml:space="preserve">, </w:t>
      </w:r>
      <w:hyperlink r:id="rId294">
        <w:r w:rsidRPr="00CA099F">
          <w:rPr>
            <w:rFonts w:eastAsia="Times New Roman" w:cs="Times New Roman"/>
            <w:color w:val="000000"/>
            <w:sz w:val="28"/>
            <w:szCs w:val="28"/>
            <w:lang w:val="en-GB" w:eastAsia="ru-RU"/>
          </w:rPr>
          <w:t>A. Temmerman</w:t>
        </w:r>
      </w:hyperlink>
      <w:r w:rsidRPr="00CA099F">
        <w:rPr>
          <w:rFonts w:eastAsia="Times New Roman" w:cs="Times New Roman"/>
          <w:color w:val="000000"/>
          <w:sz w:val="28"/>
          <w:szCs w:val="28"/>
          <w:lang w:val="en-GB" w:eastAsia="ru-RU"/>
        </w:rPr>
        <w:t xml:space="preserve"> [et al.] // </w:t>
      </w:r>
      <w:hyperlink r:id="rId295">
        <w:r w:rsidRPr="00CA099F">
          <w:rPr>
            <w:rFonts w:eastAsia="Times New Roman" w:cs="Times New Roman"/>
            <w:color w:val="000000"/>
            <w:sz w:val="28"/>
            <w:szCs w:val="28"/>
            <w:lang w:val="en-GB" w:eastAsia="ru-RU"/>
          </w:rPr>
          <w:t>J Clin Periodontol</w:t>
        </w:r>
      </w:hyperlink>
      <w:r w:rsidRPr="00CA099F">
        <w:rPr>
          <w:rFonts w:eastAsia="Times New Roman" w:cs="Times New Roman"/>
          <w:color w:val="000000"/>
          <w:sz w:val="28"/>
          <w:szCs w:val="28"/>
          <w:lang w:val="en-GB" w:eastAsia="ru-RU"/>
        </w:rPr>
        <w:t>. – 2017. – Vol. 44(1). – P. 67–82.</w:t>
      </w:r>
    </w:p>
    <w:p w:rsidR="0030517B" w:rsidRPr="00CA099F" w:rsidRDefault="0030517B" w:rsidP="0030517B">
      <w:pPr>
        <w:numPr>
          <w:ilvl w:val="0"/>
          <w:numId w:val="17"/>
        </w:numPr>
        <w:pBdr>
          <w:top w:val="nil"/>
          <w:left w:val="nil"/>
          <w:bottom w:val="nil"/>
          <w:right w:val="nil"/>
          <w:between w:val="nil"/>
        </w:pBdr>
        <w:tabs>
          <w:tab w:val="left" w:pos="709"/>
        </w:tabs>
        <w:spacing w:after="0" w:line="360" w:lineRule="auto"/>
        <w:contextualSpacing/>
        <w:jc w:val="both"/>
        <w:rPr>
          <w:rFonts w:eastAsia="Times New Roman" w:cs="Times New Roman"/>
          <w:color w:val="000000"/>
          <w:sz w:val="28"/>
          <w:szCs w:val="28"/>
          <w:lang w:val="en-GB" w:eastAsia="ru-RU"/>
        </w:rPr>
      </w:pPr>
      <w:r w:rsidRPr="00CA099F">
        <w:rPr>
          <w:rFonts w:eastAsia="Times New Roman" w:cs="Times New Roman"/>
          <w:color w:val="000000"/>
          <w:sz w:val="28"/>
          <w:szCs w:val="28"/>
          <w:lang w:val="en-GB" w:eastAsia="ru-RU"/>
        </w:rPr>
        <w:t>Antimicrobial activity of plasma</w:t>
      </w:r>
      <w:r w:rsidRPr="00CA099F">
        <w:rPr>
          <w:rFonts w:ascii="Cambria Math" w:eastAsia="Cambria" w:hAnsi="Cambria Math" w:cs="Cambria Math"/>
          <w:color w:val="000000"/>
          <w:sz w:val="28"/>
          <w:szCs w:val="28"/>
          <w:lang w:val="en-GB" w:eastAsia="ru-RU"/>
        </w:rPr>
        <w:t>‐</w:t>
      </w:r>
      <w:r w:rsidRPr="00CA099F">
        <w:rPr>
          <w:rFonts w:eastAsia="Times New Roman" w:cs="Times New Roman"/>
          <w:color w:val="000000"/>
          <w:sz w:val="28"/>
          <w:szCs w:val="28"/>
          <w:lang w:val="en-GB" w:eastAsia="ru-RU"/>
        </w:rPr>
        <w:t>rich plasma and other plasma preparations against periodontal pathogens / L.C. Yang, S.W. Hu, M. Yan [et al.] // Journal of Periodontology. – 2015. – Vol. 86. – P. 310–318.</w:t>
      </w:r>
    </w:p>
    <w:p w:rsidR="0030517B" w:rsidRPr="00CA099F" w:rsidRDefault="00417675" w:rsidP="0030517B">
      <w:pPr>
        <w:numPr>
          <w:ilvl w:val="0"/>
          <w:numId w:val="17"/>
        </w:numPr>
        <w:pBdr>
          <w:top w:val="nil"/>
          <w:left w:val="nil"/>
          <w:bottom w:val="nil"/>
          <w:right w:val="nil"/>
          <w:between w:val="nil"/>
        </w:pBdr>
        <w:shd w:val="clear" w:color="auto" w:fill="FFFFFF"/>
        <w:tabs>
          <w:tab w:val="left" w:pos="709"/>
        </w:tabs>
        <w:spacing w:after="0" w:line="360" w:lineRule="auto"/>
        <w:contextualSpacing/>
        <w:jc w:val="both"/>
        <w:rPr>
          <w:rFonts w:eastAsia="Times New Roman" w:cs="Times New Roman"/>
          <w:color w:val="000000"/>
          <w:sz w:val="28"/>
          <w:szCs w:val="28"/>
          <w:lang w:val="en-GB" w:eastAsia="ru-RU"/>
        </w:rPr>
      </w:pPr>
      <w:hyperlink r:id="rId296">
        <w:r w:rsidR="0030517B" w:rsidRPr="00CA099F">
          <w:rPr>
            <w:rFonts w:eastAsia="Times New Roman" w:cs="Times New Roman"/>
            <w:color w:val="000000"/>
            <w:sz w:val="28"/>
            <w:szCs w:val="28"/>
            <w:lang w:val="en-GB" w:eastAsia="ru-RU"/>
          </w:rPr>
          <w:t>Yelamali</w:t>
        </w:r>
      </w:hyperlink>
      <w:r w:rsidR="0030517B" w:rsidRPr="00CA099F">
        <w:rPr>
          <w:rFonts w:eastAsia="Times New Roman" w:cs="Times New Roman"/>
          <w:color w:val="000000"/>
          <w:sz w:val="28"/>
          <w:szCs w:val="28"/>
          <w:lang w:val="en-GB" w:eastAsia="ru-RU"/>
        </w:rPr>
        <w:t xml:space="preserve"> T. Role of Platelet Rich Fibrin and Platelet Rich Plasma in Wound Healing of Extracted Third Molar Sockets: A Comparative Study / </w:t>
      </w:r>
      <w:hyperlink r:id="rId297">
        <w:r w:rsidR="0030517B" w:rsidRPr="00CA099F">
          <w:rPr>
            <w:rFonts w:eastAsia="Times New Roman" w:cs="Times New Roman"/>
            <w:color w:val="000000"/>
            <w:sz w:val="28"/>
            <w:szCs w:val="28"/>
            <w:lang w:val="en-GB" w:eastAsia="ru-RU"/>
          </w:rPr>
          <w:t xml:space="preserve">T. </w:t>
        </w:r>
        <w:r w:rsidR="0030517B" w:rsidRPr="00CA099F">
          <w:rPr>
            <w:rFonts w:eastAsia="Times New Roman" w:cs="Times New Roman"/>
            <w:color w:val="000000"/>
            <w:sz w:val="28"/>
            <w:szCs w:val="28"/>
            <w:lang w:val="en-GB" w:eastAsia="ru-RU"/>
          </w:rPr>
          <w:lastRenderedPageBreak/>
          <w:t>Yelamali</w:t>
        </w:r>
      </w:hyperlink>
      <w:r w:rsidR="0030517B" w:rsidRPr="00CA099F">
        <w:rPr>
          <w:rFonts w:eastAsia="Times New Roman" w:cs="Times New Roman"/>
          <w:color w:val="000000"/>
          <w:sz w:val="28"/>
          <w:szCs w:val="28"/>
          <w:lang w:val="en-GB" w:eastAsia="ru-RU"/>
        </w:rPr>
        <w:t xml:space="preserve">, D. Saikrishna // </w:t>
      </w:r>
      <w:hyperlink r:id="rId298">
        <w:r w:rsidR="0030517B" w:rsidRPr="00CA099F">
          <w:rPr>
            <w:rFonts w:eastAsia="Times New Roman" w:cs="Times New Roman"/>
            <w:color w:val="000000"/>
            <w:sz w:val="28"/>
            <w:szCs w:val="28"/>
            <w:lang w:val="en-GB" w:eastAsia="ru-RU"/>
          </w:rPr>
          <w:t>J Maxillofac Oral Surg</w:t>
        </w:r>
      </w:hyperlink>
      <w:r w:rsidR="0030517B" w:rsidRPr="00CA099F">
        <w:rPr>
          <w:rFonts w:eastAsia="Times New Roman" w:cs="Times New Roman"/>
          <w:color w:val="000000"/>
          <w:sz w:val="28"/>
          <w:szCs w:val="28"/>
          <w:lang w:val="en-GB" w:eastAsia="ru-RU"/>
        </w:rPr>
        <w:t>. – 2015. – Vol. 14(2). – P. 410–416.</w:t>
      </w:r>
    </w:p>
    <w:p w:rsidR="0030517B" w:rsidRPr="00CA099F" w:rsidRDefault="00417675" w:rsidP="0030517B">
      <w:pPr>
        <w:numPr>
          <w:ilvl w:val="0"/>
          <w:numId w:val="17"/>
        </w:numPr>
        <w:pBdr>
          <w:top w:val="nil"/>
          <w:left w:val="nil"/>
          <w:bottom w:val="nil"/>
          <w:right w:val="nil"/>
          <w:between w:val="nil"/>
        </w:pBdr>
        <w:shd w:val="clear" w:color="auto" w:fill="FFFFFF"/>
        <w:tabs>
          <w:tab w:val="left" w:pos="709"/>
        </w:tabs>
        <w:spacing w:after="0" w:line="360" w:lineRule="auto"/>
        <w:contextualSpacing/>
        <w:jc w:val="both"/>
        <w:rPr>
          <w:rFonts w:eastAsia="Times New Roman" w:cs="Times New Roman"/>
          <w:color w:val="000000"/>
          <w:sz w:val="28"/>
          <w:szCs w:val="28"/>
          <w:lang w:val="en-GB" w:eastAsia="ru-RU"/>
        </w:rPr>
      </w:pPr>
      <w:hyperlink r:id="rId299">
        <w:r w:rsidR="0030517B" w:rsidRPr="00CA099F">
          <w:rPr>
            <w:rFonts w:eastAsia="Times New Roman" w:cs="Times New Roman"/>
            <w:color w:val="000000"/>
            <w:sz w:val="28"/>
            <w:szCs w:val="28"/>
            <w:lang w:val="en-GB" w:eastAsia="ru-RU"/>
          </w:rPr>
          <w:t>Bayer A</w:t>
        </w:r>
      </w:hyperlink>
      <w:r w:rsidR="0030517B" w:rsidRPr="00CA099F">
        <w:rPr>
          <w:rFonts w:eastAsia="Times New Roman" w:cs="Times New Roman"/>
          <w:color w:val="000000"/>
          <w:sz w:val="28"/>
          <w:szCs w:val="28"/>
          <w:lang w:val="en-GB" w:eastAsia="ru-RU"/>
        </w:rPr>
        <w:t xml:space="preserve">. Platelet-released growth factors induce psoriasin in keratinocytes: Implications for the cutaneous barrier / A. </w:t>
      </w:r>
      <w:hyperlink r:id="rId300">
        <w:r w:rsidR="0030517B" w:rsidRPr="00CA099F">
          <w:rPr>
            <w:rFonts w:eastAsia="Times New Roman" w:cs="Times New Roman"/>
            <w:color w:val="000000"/>
            <w:sz w:val="28"/>
            <w:szCs w:val="28"/>
            <w:lang w:val="en-GB" w:eastAsia="ru-RU"/>
          </w:rPr>
          <w:t>Bayer</w:t>
        </w:r>
      </w:hyperlink>
      <w:r w:rsidR="0030517B" w:rsidRPr="00CA099F">
        <w:rPr>
          <w:rFonts w:eastAsia="Times New Roman" w:cs="Times New Roman"/>
          <w:color w:val="000000"/>
          <w:sz w:val="28"/>
          <w:szCs w:val="28"/>
          <w:lang w:val="en-GB" w:eastAsia="ru-RU"/>
        </w:rPr>
        <w:t xml:space="preserve">, J. </w:t>
      </w:r>
      <w:hyperlink r:id="rId301">
        <w:r w:rsidR="0030517B" w:rsidRPr="00CA099F">
          <w:rPr>
            <w:rFonts w:eastAsia="Times New Roman" w:cs="Times New Roman"/>
            <w:color w:val="000000"/>
            <w:sz w:val="28"/>
            <w:szCs w:val="28"/>
            <w:lang w:val="en-GB" w:eastAsia="ru-RU"/>
          </w:rPr>
          <w:t>Lammel</w:t>
        </w:r>
      </w:hyperlink>
      <w:r w:rsidR="0030517B" w:rsidRPr="00CA099F">
        <w:rPr>
          <w:rFonts w:eastAsia="Times New Roman" w:cs="Times New Roman"/>
          <w:color w:val="000000"/>
          <w:sz w:val="28"/>
          <w:szCs w:val="28"/>
          <w:lang w:val="en-GB" w:eastAsia="ru-RU"/>
        </w:rPr>
        <w:t xml:space="preserve">, S. </w:t>
      </w:r>
      <w:hyperlink r:id="rId302">
        <w:r w:rsidR="0030517B" w:rsidRPr="00CA099F">
          <w:rPr>
            <w:rFonts w:eastAsia="Times New Roman" w:cs="Times New Roman"/>
            <w:color w:val="000000"/>
            <w:sz w:val="28"/>
            <w:szCs w:val="28"/>
            <w:lang w:val="en-GB" w:eastAsia="ru-RU"/>
          </w:rPr>
          <w:t xml:space="preserve">Lippross </w:t>
        </w:r>
      </w:hyperlink>
      <w:r w:rsidR="0030517B" w:rsidRPr="00CA099F">
        <w:rPr>
          <w:rFonts w:eastAsia="Times New Roman" w:cs="Times New Roman"/>
          <w:color w:val="000000"/>
          <w:sz w:val="28"/>
          <w:szCs w:val="28"/>
          <w:lang w:val="en-GB" w:eastAsia="ru-RU"/>
        </w:rPr>
        <w:t xml:space="preserve">// </w:t>
      </w:r>
      <w:hyperlink r:id="rId303">
        <w:r w:rsidR="0030517B" w:rsidRPr="00CA099F">
          <w:rPr>
            <w:rFonts w:eastAsia="Times New Roman" w:cs="Times New Roman"/>
            <w:color w:val="000000"/>
            <w:sz w:val="28"/>
            <w:szCs w:val="28"/>
            <w:lang w:val="en-GB" w:eastAsia="ru-RU"/>
          </w:rPr>
          <w:t>Ann Anat.</w:t>
        </w:r>
      </w:hyperlink>
      <w:r w:rsidR="0030517B" w:rsidRPr="00CA099F">
        <w:rPr>
          <w:rFonts w:eastAsia="Times New Roman" w:cs="Times New Roman"/>
          <w:color w:val="000000"/>
          <w:sz w:val="28"/>
          <w:szCs w:val="28"/>
          <w:lang w:val="en-GB" w:eastAsia="ru-RU"/>
        </w:rPr>
        <w:t xml:space="preserve"> – 2017. – Vol. 25. – P. 25-32.</w:t>
      </w:r>
    </w:p>
    <w:p w:rsidR="0030517B" w:rsidRPr="00CA099F" w:rsidRDefault="0030517B" w:rsidP="0030517B">
      <w:pPr>
        <w:numPr>
          <w:ilvl w:val="0"/>
          <w:numId w:val="17"/>
        </w:numPr>
        <w:pBdr>
          <w:top w:val="nil"/>
          <w:left w:val="nil"/>
          <w:bottom w:val="nil"/>
          <w:right w:val="nil"/>
          <w:between w:val="nil"/>
        </w:pBdr>
        <w:shd w:val="clear" w:color="auto" w:fill="FFFFFF"/>
        <w:tabs>
          <w:tab w:val="left" w:pos="709"/>
        </w:tabs>
        <w:spacing w:after="0" w:line="360" w:lineRule="auto"/>
        <w:contextualSpacing/>
        <w:jc w:val="both"/>
        <w:rPr>
          <w:rFonts w:eastAsia="Times New Roman" w:cs="Times New Roman"/>
          <w:color w:val="000000"/>
          <w:sz w:val="28"/>
          <w:szCs w:val="28"/>
          <w:lang w:val="en-GB" w:eastAsia="ru-RU"/>
        </w:rPr>
      </w:pPr>
      <w:r w:rsidRPr="00CA099F">
        <w:rPr>
          <w:rFonts w:eastAsia="Times New Roman" w:cs="Times New Roman"/>
          <w:color w:val="000000"/>
          <w:sz w:val="28"/>
          <w:szCs w:val="28"/>
          <w:lang w:val="en-GB" w:eastAsia="ru-RU"/>
        </w:rPr>
        <w:t xml:space="preserve">Platelet-Rich Fibrin Accelerates Skin Wound Healing in Diabetic Mice / Y. </w:t>
      </w:r>
      <w:hyperlink r:id="rId304">
        <w:r w:rsidRPr="00CA099F">
          <w:rPr>
            <w:rFonts w:eastAsia="Times New Roman" w:cs="Times New Roman"/>
            <w:color w:val="000000"/>
            <w:sz w:val="28"/>
            <w:szCs w:val="28"/>
            <w:lang w:val="en-GB" w:eastAsia="ru-RU"/>
          </w:rPr>
          <w:t>Ding</w:t>
        </w:r>
      </w:hyperlink>
      <w:r w:rsidRPr="00CA099F">
        <w:rPr>
          <w:rFonts w:eastAsia="Times New Roman" w:cs="Times New Roman"/>
          <w:color w:val="000000"/>
          <w:sz w:val="28"/>
          <w:szCs w:val="28"/>
          <w:lang w:val="en-GB" w:eastAsia="ru-RU"/>
        </w:rPr>
        <w:t xml:space="preserve">, L </w:t>
      </w:r>
      <w:hyperlink r:id="rId305">
        <w:r w:rsidRPr="00CA099F">
          <w:rPr>
            <w:rFonts w:eastAsia="Times New Roman" w:cs="Times New Roman"/>
            <w:color w:val="000000"/>
            <w:sz w:val="28"/>
            <w:szCs w:val="28"/>
            <w:lang w:val="en-GB" w:eastAsia="ru-RU"/>
          </w:rPr>
          <w:t>Cui</w:t>
        </w:r>
      </w:hyperlink>
      <w:r w:rsidRPr="00CA099F">
        <w:rPr>
          <w:rFonts w:eastAsia="Times New Roman" w:cs="Times New Roman"/>
          <w:color w:val="000000"/>
          <w:sz w:val="28"/>
          <w:szCs w:val="28"/>
          <w:lang w:val="en-GB" w:eastAsia="ru-RU"/>
        </w:rPr>
        <w:t xml:space="preserve">, Q. </w:t>
      </w:r>
      <w:hyperlink r:id="rId306">
        <w:r w:rsidRPr="00CA099F">
          <w:rPr>
            <w:rFonts w:eastAsia="Times New Roman" w:cs="Times New Roman"/>
            <w:color w:val="000000"/>
            <w:sz w:val="28"/>
            <w:szCs w:val="28"/>
            <w:lang w:val="en-GB" w:eastAsia="ru-RU"/>
          </w:rPr>
          <w:t>Zhao</w:t>
        </w:r>
      </w:hyperlink>
      <w:r w:rsidRPr="00CA099F">
        <w:rPr>
          <w:rFonts w:eastAsia="Times New Roman" w:cs="Times New Roman"/>
          <w:color w:val="000000"/>
          <w:sz w:val="28"/>
          <w:szCs w:val="28"/>
          <w:lang w:val="en-GB" w:eastAsia="ru-RU"/>
        </w:rPr>
        <w:t xml:space="preserve"> [et al.] // </w:t>
      </w:r>
      <w:hyperlink r:id="rId307">
        <w:r w:rsidRPr="00CA099F">
          <w:rPr>
            <w:rFonts w:eastAsia="Times New Roman" w:cs="Times New Roman"/>
            <w:color w:val="000000"/>
            <w:sz w:val="28"/>
            <w:szCs w:val="28"/>
            <w:lang w:val="en-GB" w:eastAsia="ru-RU"/>
          </w:rPr>
          <w:t>Ann Plast Surg.</w:t>
        </w:r>
      </w:hyperlink>
      <w:r w:rsidRPr="00CA099F">
        <w:rPr>
          <w:rFonts w:eastAsia="Times New Roman" w:cs="Times New Roman"/>
          <w:color w:val="000000"/>
          <w:sz w:val="28"/>
          <w:szCs w:val="28"/>
          <w:lang w:val="en-GB" w:eastAsia="ru-RU"/>
        </w:rPr>
        <w:t xml:space="preserve"> – 2017. – Vol. 23. – P. 10-17.</w:t>
      </w:r>
    </w:p>
    <w:p w:rsidR="0030517B" w:rsidRPr="00CA099F" w:rsidRDefault="0030517B" w:rsidP="0030517B">
      <w:pPr>
        <w:numPr>
          <w:ilvl w:val="0"/>
          <w:numId w:val="17"/>
        </w:numPr>
        <w:pBdr>
          <w:top w:val="nil"/>
          <w:left w:val="nil"/>
          <w:bottom w:val="nil"/>
          <w:right w:val="nil"/>
          <w:between w:val="nil"/>
        </w:pBdr>
        <w:shd w:val="clear" w:color="auto" w:fill="FFFFFF"/>
        <w:tabs>
          <w:tab w:val="left" w:pos="709"/>
        </w:tabs>
        <w:spacing w:after="0" w:line="360" w:lineRule="auto"/>
        <w:contextualSpacing/>
        <w:jc w:val="both"/>
        <w:rPr>
          <w:rFonts w:eastAsia="Times New Roman" w:cs="Times New Roman"/>
          <w:color w:val="000000"/>
          <w:sz w:val="28"/>
          <w:szCs w:val="28"/>
          <w:lang w:val="en-GB" w:eastAsia="ru-RU"/>
        </w:rPr>
      </w:pPr>
      <w:r w:rsidRPr="00CA099F">
        <w:rPr>
          <w:rFonts w:eastAsia="Times New Roman" w:cs="Times New Roman"/>
          <w:color w:val="000000"/>
          <w:sz w:val="28"/>
          <w:szCs w:val="28"/>
          <w:lang w:val="en-GB" w:eastAsia="ru-RU"/>
        </w:rPr>
        <w:t xml:space="preserve">L-PRP/L-PRF in esthetic plastic surgery, regenerative medicine of the skin and chronic wounds / A. </w:t>
      </w:r>
      <w:hyperlink r:id="rId308">
        <w:r w:rsidRPr="00CA099F">
          <w:rPr>
            <w:rFonts w:eastAsia="Times New Roman" w:cs="Times New Roman"/>
            <w:color w:val="000000"/>
            <w:sz w:val="28"/>
            <w:szCs w:val="28"/>
            <w:lang w:val="en-GB" w:eastAsia="ru-RU"/>
          </w:rPr>
          <w:t>Cieslik-Bielecka</w:t>
        </w:r>
      </w:hyperlink>
      <w:r w:rsidRPr="00CA099F">
        <w:rPr>
          <w:rFonts w:eastAsia="Times New Roman" w:cs="Times New Roman"/>
          <w:color w:val="000000"/>
          <w:sz w:val="28"/>
          <w:szCs w:val="28"/>
          <w:lang w:val="en-GB" w:eastAsia="ru-RU"/>
        </w:rPr>
        <w:t xml:space="preserve">, J. </w:t>
      </w:r>
      <w:hyperlink r:id="rId309">
        <w:r w:rsidRPr="00CA099F">
          <w:rPr>
            <w:rFonts w:eastAsia="Times New Roman" w:cs="Times New Roman"/>
            <w:color w:val="000000"/>
            <w:sz w:val="28"/>
            <w:szCs w:val="28"/>
            <w:lang w:val="en-GB" w:eastAsia="ru-RU"/>
          </w:rPr>
          <w:t>Choukroun</w:t>
        </w:r>
      </w:hyperlink>
      <w:r w:rsidRPr="00CA099F">
        <w:rPr>
          <w:rFonts w:eastAsia="Times New Roman" w:cs="Times New Roman"/>
          <w:color w:val="000000"/>
          <w:sz w:val="28"/>
          <w:szCs w:val="28"/>
          <w:lang w:val="en-GB" w:eastAsia="ru-RU"/>
        </w:rPr>
        <w:t xml:space="preserve">, G. </w:t>
      </w:r>
      <w:hyperlink r:id="rId310">
        <w:r w:rsidRPr="00CA099F">
          <w:rPr>
            <w:rFonts w:eastAsia="Times New Roman" w:cs="Times New Roman"/>
            <w:color w:val="000000"/>
            <w:sz w:val="28"/>
            <w:szCs w:val="28"/>
            <w:lang w:val="en-GB" w:eastAsia="ru-RU"/>
          </w:rPr>
          <w:t>Odin</w:t>
        </w:r>
      </w:hyperlink>
      <w:r w:rsidRPr="00CA099F">
        <w:rPr>
          <w:rFonts w:eastAsia="Times New Roman" w:cs="Times New Roman"/>
          <w:color w:val="000000"/>
          <w:sz w:val="28"/>
          <w:szCs w:val="28"/>
          <w:lang w:val="en-GB" w:eastAsia="ru-RU"/>
        </w:rPr>
        <w:t xml:space="preserve">, D.M. </w:t>
      </w:r>
      <w:hyperlink r:id="rId311">
        <w:r w:rsidRPr="00CA099F">
          <w:rPr>
            <w:rFonts w:eastAsia="Times New Roman" w:cs="Times New Roman"/>
            <w:color w:val="000000"/>
            <w:sz w:val="28"/>
            <w:szCs w:val="28"/>
            <w:lang w:val="en-GB" w:eastAsia="ru-RU"/>
          </w:rPr>
          <w:t xml:space="preserve">Dohan Ehrenfest </w:t>
        </w:r>
      </w:hyperlink>
      <w:r w:rsidRPr="00CA099F">
        <w:rPr>
          <w:rFonts w:eastAsia="Times New Roman" w:cs="Times New Roman"/>
          <w:color w:val="000000"/>
          <w:sz w:val="28"/>
          <w:szCs w:val="28"/>
          <w:lang w:val="en-GB" w:eastAsia="ru-RU"/>
        </w:rPr>
        <w:t xml:space="preserve">// </w:t>
      </w:r>
      <w:hyperlink r:id="rId312">
        <w:r w:rsidRPr="00CA099F">
          <w:rPr>
            <w:rFonts w:eastAsia="Times New Roman" w:cs="Times New Roman"/>
            <w:color w:val="000000"/>
            <w:sz w:val="28"/>
            <w:szCs w:val="28"/>
            <w:lang w:val="en-GB" w:eastAsia="ru-RU"/>
          </w:rPr>
          <w:t>Curr Pharm Biotechnol.</w:t>
        </w:r>
      </w:hyperlink>
      <w:r w:rsidRPr="00CA099F">
        <w:rPr>
          <w:rFonts w:eastAsia="Times New Roman" w:cs="Times New Roman"/>
          <w:color w:val="000000"/>
          <w:sz w:val="28"/>
          <w:szCs w:val="28"/>
          <w:lang w:val="en-GB" w:eastAsia="ru-RU"/>
        </w:rPr>
        <w:t xml:space="preserve"> – 2012. – Vol. 13(7). – P. 1266-1277.</w:t>
      </w:r>
    </w:p>
    <w:p w:rsidR="0030517B" w:rsidRPr="00CA099F" w:rsidRDefault="0030517B" w:rsidP="0030517B">
      <w:pPr>
        <w:numPr>
          <w:ilvl w:val="0"/>
          <w:numId w:val="17"/>
        </w:numPr>
        <w:pBdr>
          <w:top w:val="nil"/>
          <w:left w:val="nil"/>
          <w:bottom w:val="nil"/>
          <w:right w:val="nil"/>
          <w:between w:val="nil"/>
        </w:pBdr>
        <w:tabs>
          <w:tab w:val="left" w:pos="709"/>
        </w:tabs>
        <w:spacing w:after="0" w:line="360" w:lineRule="auto"/>
        <w:contextualSpacing/>
        <w:jc w:val="both"/>
        <w:rPr>
          <w:rFonts w:eastAsia="Times New Roman" w:cs="Times New Roman"/>
          <w:color w:val="000000"/>
          <w:sz w:val="28"/>
          <w:szCs w:val="28"/>
          <w:lang w:val="en-GB" w:eastAsia="ru-RU"/>
        </w:rPr>
      </w:pPr>
      <w:r w:rsidRPr="00CA099F">
        <w:rPr>
          <w:rFonts w:eastAsia="Times New Roman" w:cs="Times New Roman"/>
          <w:color w:val="000000"/>
          <w:sz w:val="28"/>
          <w:szCs w:val="28"/>
          <w:lang w:val="en-GB" w:eastAsia="ru-RU"/>
        </w:rPr>
        <w:t>Leukocyte- and platelet-rich fibrin (L-PRF) for long-term delivery of growth factor in rotator cuff repair: review, preliminary results and future directions / M.A. Zumstein, S. Berger, M. Schober [et al.] // Current Pharmaceutical Biotechnology. – 2012. – Vol. 13(7). – P. 1196–1206.</w:t>
      </w:r>
    </w:p>
    <w:p w:rsidR="0030517B" w:rsidRPr="00CA099F" w:rsidRDefault="0030517B" w:rsidP="0030517B">
      <w:pPr>
        <w:numPr>
          <w:ilvl w:val="0"/>
          <w:numId w:val="17"/>
        </w:numPr>
        <w:pBdr>
          <w:top w:val="nil"/>
          <w:left w:val="nil"/>
          <w:bottom w:val="nil"/>
          <w:right w:val="nil"/>
          <w:between w:val="nil"/>
        </w:pBdr>
        <w:shd w:val="clear" w:color="auto" w:fill="FFFFFF"/>
        <w:tabs>
          <w:tab w:val="left" w:pos="709"/>
        </w:tabs>
        <w:spacing w:after="0" w:line="360" w:lineRule="auto"/>
        <w:contextualSpacing/>
        <w:jc w:val="both"/>
        <w:rPr>
          <w:rFonts w:eastAsia="Times New Roman" w:cs="Times New Roman"/>
          <w:color w:val="000000"/>
          <w:sz w:val="28"/>
          <w:szCs w:val="28"/>
          <w:lang w:val="en-GB" w:eastAsia="ru-RU"/>
        </w:rPr>
      </w:pPr>
      <w:r w:rsidRPr="00CA099F">
        <w:rPr>
          <w:rFonts w:eastAsia="Times New Roman" w:cs="Times New Roman"/>
          <w:color w:val="000000"/>
          <w:sz w:val="28"/>
          <w:szCs w:val="28"/>
          <w:lang w:val="en-GB" w:eastAsia="ru-RU"/>
        </w:rPr>
        <w:t>Rock L. Potential of platelet rich fibrin in regenerative periodontal therapy: literature review / L. Rock // The Canadian Journal of Dental Hygiene. – 2013. – Vol. 47. – P. 33–37.</w:t>
      </w:r>
    </w:p>
    <w:p w:rsidR="0030517B" w:rsidRPr="00CA099F" w:rsidRDefault="0030517B" w:rsidP="0030517B">
      <w:pPr>
        <w:numPr>
          <w:ilvl w:val="0"/>
          <w:numId w:val="17"/>
        </w:numPr>
        <w:pBdr>
          <w:top w:val="nil"/>
          <w:left w:val="nil"/>
          <w:bottom w:val="nil"/>
          <w:right w:val="nil"/>
          <w:between w:val="nil"/>
        </w:pBdr>
        <w:tabs>
          <w:tab w:val="left" w:pos="709"/>
        </w:tabs>
        <w:spacing w:after="0" w:line="360" w:lineRule="auto"/>
        <w:contextualSpacing/>
        <w:jc w:val="both"/>
        <w:rPr>
          <w:rFonts w:eastAsia="Times New Roman" w:cs="Times New Roman"/>
          <w:color w:val="000000"/>
          <w:sz w:val="28"/>
          <w:szCs w:val="28"/>
          <w:lang w:val="en-GB" w:eastAsia="ru-RU"/>
        </w:rPr>
      </w:pPr>
      <w:r w:rsidRPr="00CA099F">
        <w:rPr>
          <w:rFonts w:eastAsia="Times New Roman" w:cs="Times New Roman"/>
          <w:color w:val="000000"/>
          <w:sz w:val="28"/>
          <w:szCs w:val="28"/>
          <w:lang w:val="en-GB" w:eastAsia="ru-RU"/>
        </w:rPr>
        <w:t>Comparative evaluation of platelet</w:t>
      </w:r>
      <w:r w:rsidRPr="00CA099F">
        <w:rPr>
          <w:rFonts w:ascii="Cambria Math" w:eastAsia="Cambria" w:hAnsi="Cambria Math" w:cs="Cambria Math"/>
          <w:color w:val="000000"/>
          <w:sz w:val="28"/>
          <w:szCs w:val="28"/>
          <w:lang w:val="en-GB" w:eastAsia="ru-RU"/>
        </w:rPr>
        <w:t>‐</w:t>
      </w:r>
      <w:r w:rsidRPr="00CA099F">
        <w:rPr>
          <w:rFonts w:eastAsia="Times New Roman" w:cs="Times New Roman"/>
          <w:color w:val="000000"/>
          <w:sz w:val="28"/>
          <w:szCs w:val="28"/>
          <w:lang w:val="en-GB" w:eastAsia="ru-RU"/>
        </w:rPr>
        <w:t>rich fibrin with demineralized freeze</w:t>
      </w:r>
      <w:r w:rsidRPr="00CA099F">
        <w:rPr>
          <w:rFonts w:ascii="Cambria Math" w:eastAsia="Cambria" w:hAnsi="Cambria Math" w:cs="Cambria Math"/>
          <w:color w:val="000000"/>
          <w:sz w:val="28"/>
          <w:szCs w:val="28"/>
          <w:lang w:val="en-GB" w:eastAsia="ru-RU"/>
        </w:rPr>
        <w:t>‐</w:t>
      </w:r>
      <w:r w:rsidRPr="00CA099F">
        <w:rPr>
          <w:rFonts w:eastAsia="Times New Roman" w:cs="Times New Roman"/>
          <w:color w:val="000000"/>
          <w:sz w:val="28"/>
          <w:szCs w:val="28"/>
          <w:lang w:val="en-GB" w:eastAsia="ru-RU"/>
        </w:rPr>
        <w:t>dried bone allograft in periodontal infrabony defects: a randomized controlled clinical study / M. Shah, J. Patel, D. Dave, S. Shah // Journal of Indian Society of Periodontology. – 2015. – Vol. 19. – P. 56–60.</w:t>
      </w:r>
    </w:p>
    <w:p w:rsidR="0030517B" w:rsidRPr="00CA099F" w:rsidRDefault="0030517B" w:rsidP="0030517B">
      <w:pPr>
        <w:numPr>
          <w:ilvl w:val="0"/>
          <w:numId w:val="17"/>
        </w:numPr>
        <w:pBdr>
          <w:top w:val="nil"/>
          <w:left w:val="nil"/>
          <w:bottom w:val="nil"/>
          <w:right w:val="nil"/>
          <w:between w:val="nil"/>
        </w:pBdr>
        <w:tabs>
          <w:tab w:val="left" w:pos="709"/>
        </w:tabs>
        <w:spacing w:after="0" w:line="360" w:lineRule="auto"/>
        <w:contextualSpacing/>
        <w:jc w:val="both"/>
        <w:rPr>
          <w:rFonts w:eastAsia="Times New Roman" w:cs="Times New Roman"/>
          <w:color w:val="000000"/>
          <w:sz w:val="28"/>
          <w:szCs w:val="28"/>
          <w:lang w:val="en-GB" w:eastAsia="ru-RU"/>
        </w:rPr>
      </w:pPr>
      <w:r w:rsidRPr="00CA099F">
        <w:rPr>
          <w:rFonts w:eastAsia="Times New Roman" w:cs="Times New Roman"/>
          <w:color w:val="000000"/>
          <w:sz w:val="28"/>
          <w:szCs w:val="28"/>
          <w:lang w:val="en-GB" w:eastAsia="ru-RU"/>
        </w:rPr>
        <w:t>Platelet</w:t>
      </w:r>
      <w:r w:rsidRPr="00CA099F">
        <w:rPr>
          <w:rFonts w:ascii="Cambria Math" w:eastAsia="Cambria" w:hAnsi="Cambria Math" w:cs="Cambria Math"/>
          <w:color w:val="000000"/>
          <w:sz w:val="28"/>
          <w:szCs w:val="28"/>
          <w:lang w:val="en-GB" w:eastAsia="ru-RU"/>
        </w:rPr>
        <w:t>‐</w:t>
      </w:r>
      <w:r w:rsidRPr="00CA099F">
        <w:rPr>
          <w:rFonts w:eastAsia="Times New Roman" w:cs="Times New Roman"/>
          <w:color w:val="000000"/>
          <w:sz w:val="28"/>
          <w:szCs w:val="28"/>
          <w:lang w:val="en-GB" w:eastAsia="ru-RU"/>
        </w:rPr>
        <w:t>rich</w:t>
      </w:r>
      <w:r w:rsidRPr="00CA099F">
        <w:rPr>
          <w:rFonts w:ascii="Cambria Math" w:eastAsia="Cambria" w:hAnsi="Cambria Math" w:cs="Cambria Math"/>
          <w:color w:val="000000"/>
          <w:sz w:val="28"/>
          <w:szCs w:val="28"/>
          <w:lang w:val="en-GB" w:eastAsia="ru-RU"/>
        </w:rPr>
        <w:t>‐</w:t>
      </w:r>
      <w:r w:rsidRPr="00CA099F">
        <w:rPr>
          <w:rFonts w:eastAsia="Times New Roman" w:cs="Times New Roman"/>
          <w:color w:val="000000"/>
          <w:sz w:val="28"/>
          <w:szCs w:val="28"/>
          <w:lang w:val="en-GB" w:eastAsia="ru-RU"/>
        </w:rPr>
        <w:t>fibrin: a novel root coverage approach / K. Anilkumar, A. Geetha, R. Umasudhakar [et al.] // Journal of Indian Society of Periodontology – 2009. – Vol. 13. – P. 50–54.</w:t>
      </w:r>
    </w:p>
    <w:p w:rsidR="0030517B" w:rsidRPr="00CA099F" w:rsidRDefault="0030517B" w:rsidP="0030517B">
      <w:pPr>
        <w:numPr>
          <w:ilvl w:val="0"/>
          <w:numId w:val="17"/>
        </w:numPr>
        <w:pBdr>
          <w:top w:val="nil"/>
          <w:left w:val="nil"/>
          <w:bottom w:val="nil"/>
          <w:right w:val="nil"/>
          <w:between w:val="nil"/>
        </w:pBdr>
        <w:tabs>
          <w:tab w:val="left" w:pos="709"/>
        </w:tabs>
        <w:spacing w:after="0" w:line="360" w:lineRule="auto"/>
        <w:contextualSpacing/>
        <w:jc w:val="both"/>
        <w:rPr>
          <w:rFonts w:eastAsia="Times New Roman" w:cs="Times New Roman"/>
          <w:color w:val="000000"/>
          <w:sz w:val="28"/>
          <w:szCs w:val="28"/>
          <w:lang w:val="en-GB" w:eastAsia="ru-RU"/>
        </w:rPr>
      </w:pPr>
      <w:r w:rsidRPr="00CA099F">
        <w:rPr>
          <w:rFonts w:eastAsia="Times New Roman" w:cs="Times New Roman"/>
          <w:color w:val="000000"/>
          <w:sz w:val="28"/>
          <w:szCs w:val="28"/>
          <w:lang w:val="en-GB" w:eastAsia="ru-RU"/>
        </w:rPr>
        <w:t>Lateral sliding bridge flap technique along with platelet rich fibrin and guided tissue regeneration for root coverage / K. Agarwal, C. Chandra, K. Agarwal, N. Kumar // Journal of Indian Society of Periodontology. – 2013. – Vol. 17. – P. 801–805.</w:t>
      </w:r>
    </w:p>
    <w:p w:rsidR="0030517B" w:rsidRPr="00CA099F" w:rsidRDefault="0030517B" w:rsidP="0030517B">
      <w:pPr>
        <w:numPr>
          <w:ilvl w:val="0"/>
          <w:numId w:val="17"/>
        </w:numPr>
        <w:pBdr>
          <w:top w:val="nil"/>
          <w:left w:val="nil"/>
          <w:bottom w:val="nil"/>
          <w:right w:val="nil"/>
          <w:between w:val="nil"/>
        </w:pBdr>
        <w:tabs>
          <w:tab w:val="left" w:pos="709"/>
        </w:tabs>
        <w:spacing w:after="0" w:line="360" w:lineRule="auto"/>
        <w:contextualSpacing/>
        <w:jc w:val="both"/>
        <w:rPr>
          <w:rFonts w:eastAsia="Times New Roman" w:cs="Times New Roman"/>
          <w:color w:val="000000"/>
          <w:sz w:val="28"/>
          <w:szCs w:val="28"/>
          <w:lang w:val="en-GB" w:eastAsia="ru-RU"/>
        </w:rPr>
      </w:pPr>
      <w:r w:rsidRPr="00CA099F">
        <w:rPr>
          <w:rFonts w:eastAsia="Times New Roman" w:cs="Times New Roman"/>
          <w:color w:val="000000"/>
          <w:sz w:val="28"/>
          <w:szCs w:val="28"/>
          <w:lang w:val="en-GB" w:eastAsia="ru-RU"/>
        </w:rPr>
        <w:lastRenderedPageBreak/>
        <w:t>Agarwal A. Platelet rich fibrin combined with decalcified freeze</w:t>
      </w:r>
      <w:r w:rsidRPr="00CA099F">
        <w:rPr>
          <w:rFonts w:ascii="Cambria Math" w:eastAsia="Cambria" w:hAnsi="Cambria Math" w:cs="Cambria Math"/>
          <w:color w:val="000000"/>
          <w:sz w:val="28"/>
          <w:szCs w:val="28"/>
          <w:lang w:val="en-GB" w:eastAsia="ru-RU"/>
        </w:rPr>
        <w:t>‐</w:t>
      </w:r>
      <w:r w:rsidRPr="00CA099F">
        <w:rPr>
          <w:rFonts w:eastAsia="Times New Roman" w:cs="Times New Roman"/>
          <w:color w:val="000000"/>
          <w:sz w:val="28"/>
          <w:szCs w:val="28"/>
          <w:lang w:val="en-GB" w:eastAsia="ru-RU"/>
        </w:rPr>
        <w:t>dried bone allograft for the treatment of human intrabony periodontal defects: a randomized split mouth clinical trail / A. Agarwal, N.D. Gupta, A. Jain // Acta Odontologica Scandinavica. – 2016. – Vol. 74. – P. 36–43.</w:t>
      </w:r>
    </w:p>
    <w:p w:rsidR="0030517B" w:rsidRPr="00CA099F" w:rsidRDefault="0030517B" w:rsidP="0030517B">
      <w:pPr>
        <w:numPr>
          <w:ilvl w:val="0"/>
          <w:numId w:val="17"/>
        </w:numPr>
        <w:pBdr>
          <w:top w:val="nil"/>
          <w:left w:val="nil"/>
          <w:bottom w:val="nil"/>
          <w:right w:val="nil"/>
          <w:between w:val="nil"/>
        </w:pBdr>
        <w:tabs>
          <w:tab w:val="left" w:pos="709"/>
        </w:tabs>
        <w:spacing w:after="0" w:line="360" w:lineRule="auto"/>
        <w:contextualSpacing/>
        <w:jc w:val="both"/>
        <w:rPr>
          <w:rFonts w:eastAsia="Times New Roman" w:cs="Times New Roman"/>
          <w:color w:val="000000"/>
          <w:sz w:val="28"/>
          <w:szCs w:val="28"/>
          <w:lang w:val="en-GB" w:eastAsia="ru-RU"/>
        </w:rPr>
      </w:pPr>
      <w:r w:rsidRPr="00CA099F">
        <w:rPr>
          <w:rFonts w:eastAsia="Times New Roman" w:cs="Times New Roman"/>
          <w:color w:val="000000"/>
          <w:sz w:val="28"/>
          <w:szCs w:val="28"/>
          <w:lang w:val="en-GB" w:eastAsia="ru-RU"/>
        </w:rPr>
        <w:t>Singh J. Laterally positioned flap</w:t>
      </w:r>
      <w:r w:rsidRPr="00CA099F">
        <w:rPr>
          <w:rFonts w:ascii="Cambria Math" w:eastAsia="Cambria" w:hAnsi="Cambria Math" w:cs="Cambria Math"/>
          <w:color w:val="000000"/>
          <w:sz w:val="28"/>
          <w:szCs w:val="28"/>
          <w:lang w:val="en-GB" w:eastAsia="ru-RU"/>
        </w:rPr>
        <w:t>‐</w:t>
      </w:r>
      <w:r w:rsidRPr="00CA099F">
        <w:rPr>
          <w:rFonts w:eastAsia="Times New Roman" w:cs="Times New Roman"/>
          <w:color w:val="000000"/>
          <w:sz w:val="28"/>
          <w:szCs w:val="28"/>
          <w:lang w:val="en-GB" w:eastAsia="ru-RU"/>
        </w:rPr>
        <w:t>revised technique along with platelet rich fibrin in the management of Miller class II gingival recession / J. Singh, V. Bharti // Dental Research Journal. – 2013. – Vol. 10. – P. 268–273.</w:t>
      </w:r>
    </w:p>
    <w:p w:rsidR="0030517B" w:rsidRPr="00CA099F" w:rsidRDefault="00417675" w:rsidP="0030517B">
      <w:pPr>
        <w:numPr>
          <w:ilvl w:val="0"/>
          <w:numId w:val="17"/>
        </w:numPr>
        <w:pBdr>
          <w:top w:val="nil"/>
          <w:left w:val="nil"/>
          <w:bottom w:val="nil"/>
          <w:right w:val="nil"/>
          <w:between w:val="nil"/>
        </w:pBdr>
        <w:shd w:val="clear" w:color="auto" w:fill="FFFFFF"/>
        <w:tabs>
          <w:tab w:val="left" w:pos="709"/>
        </w:tabs>
        <w:spacing w:after="0" w:line="360" w:lineRule="auto"/>
        <w:contextualSpacing/>
        <w:jc w:val="both"/>
        <w:rPr>
          <w:rFonts w:eastAsia="Times New Roman" w:cs="Times New Roman"/>
          <w:color w:val="000000"/>
          <w:sz w:val="28"/>
          <w:szCs w:val="28"/>
          <w:lang w:val="en-GB" w:eastAsia="ru-RU"/>
        </w:rPr>
      </w:pPr>
      <w:hyperlink r:id="rId313">
        <w:r w:rsidR="0030517B" w:rsidRPr="00CA099F">
          <w:rPr>
            <w:rFonts w:eastAsia="Times New Roman" w:cs="Times New Roman"/>
            <w:color w:val="000000"/>
            <w:sz w:val="28"/>
            <w:szCs w:val="28"/>
            <w:lang w:val="en-GB" w:eastAsia="ru-RU"/>
          </w:rPr>
          <w:t>Soffer E</w:t>
        </w:r>
      </w:hyperlink>
      <w:r w:rsidR="0030517B" w:rsidRPr="00CA099F">
        <w:rPr>
          <w:rFonts w:eastAsia="Times New Roman" w:cs="Times New Roman"/>
          <w:color w:val="000000"/>
          <w:sz w:val="28"/>
          <w:szCs w:val="28"/>
          <w:lang w:val="en-GB" w:eastAsia="ru-RU"/>
        </w:rPr>
        <w:t xml:space="preserve">. Fibrin sealants and platelet preparations in bone and periodontal healing / E. </w:t>
      </w:r>
      <w:hyperlink r:id="rId314">
        <w:r w:rsidR="0030517B" w:rsidRPr="00CA099F">
          <w:rPr>
            <w:rFonts w:eastAsia="Times New Roman" w:cs="Times New Roman"/>
            <w:color w:val="000000"/>
            <w:sz w:val="28"/>
            <w:szCs w:val="28"/>
            <w:lang w:val="en-GB" w:eastAsia="ru-RU"/>
          </w:rPr>
          <w:t>Soffer</w:t>
        </w:r>
      </w:hyperlink>
      <w:r w:rsidR="0030517B" w:rsidRPr="00CA099F">
        <w:rPr>
          <w:rFonts w:eastAsia="Times New Roman" w:cs="Times New Roman"/>
          <w:color w:val="000000"/>
          <w:sz w:val="28"/>
          <w:szCs w:val="28"/>
          <w:lang w:val="en-GB" w:eastAsia="ru-RU"/>
        </w:rPr>
        <w:t xml:space="preserve">, J.P. </w:t>
      </w:r>
      <w:hyperlink r:id="rId315">
        <w:r w:rsidR="0030517B" w:rsidRPr="00CA099F">
          <w:rPr>
            <w:rFonts w:eastAsia="Times New Roman" w:cs="Times New Roman"/>
            <w:color w:val="000000"/>
            <w:sz w:val="28"/>
            <w:szCs w:val="28"/>
            <w:lang w:val="en-GB" w:eastAsia="ru-RU"/>
          </w:rPr>
          <w:t>Ouhayoun</w:t>
        </w:r>
      </w:hyperlink>
      <w:r w:rsidR="0030517B" w:rsidRPr="00CA099F">
        <w:rPr>
          <w:rFonts w:eastAsia="Times New Roman" w:cs="Times New Roman"/>
          <w:color w:val="000000"/>
          <w:sz w:val="28"/>
          <w:szCs w:val="28"/>
          <w:lang w:val="en-GB" w:eastAsia="ru-RU"/>
        </w:rPr>
        <w:t xml:space="preserve">, F. </w:t>
      </w:r>
      <w:hyperlink r:id="rId316">
        <w:r w:rsidR="0030517B" w:rsidRPr="00CA099F">
          <w:rPr>
            <w:rFonts w:eastAsia="Times New Roman" w:cs="Times New Roman"/>
            <w:color w:val="000000"/>
            <w:sz w:val="28"/>
            <w:szCs w:val="28"/>
            <w:lang w:val="en-GB" w:eastAsia="ru-RU"/>
          </w:rPr>
          <w:t>Anagnostou</w:t>
        </w:r>
      </w:hyperlink>
      <w:r w:rsidR="0030517B" w:rsidRPr="00CA099F">
        <w:rPr>
          <w:rFonts w:eastAsia="Times New Roman" w:cs="Times New Roman"/>
          <w:color w:val="000000"/>
          <w:sz w:val="28"/>
          <w:szCs w:val="28"/>
          <w:lang w:val="en-GB" w:eastAsia="ru-RU"/>
        </w:rPr>
        <w:t xml:space="preserve"> // </w:t>
      </w:r>
      <w:hyperlink r:id="rId317">
        <w:r w:rsidR="0030517B" w:rsidRPr="00CA099F">
          <w:rPr>
            <w:rFonts w:eastAsia="Times New Roman" w:cs="Times New Roman"/>
            <w:color w:val="000000"/>
            <w:sz w:val="28"/>
            <w:szCs w:val="28"/>
            <w:lang w:val="en-GB" w:eastAsia="ru-RU"/>
          </w:rPr>
          <w:t>Oral Surg Oral Med Oral Pathol Oral Radiol Endod.</w:t>
        </w:r>
      </w:hyperlink>
      <w:r w:rsidR="0030517B" w:rsidRPr="00CA099F">
        <w:rPr>
          <w:rFonts w:eastAsia="Times New Roman" w:cs="Times New Roman"/>
          <w:color w:val="000000"/>
          <w:sz w:val="28"/>
          <w:szCs w:val="28"/>
          <w:lang w:val="en-GB" w:eastAsia="ru-RU"/>
        </w:rPr>
        <w:t xml:space="preserve"> – 2003. – Vol. 95(5). – P. 521-528.</w:t>
      </w:r>
    </w:p>
    <w:p w:rsidR="0030517B" w:rsidRPr="00CA099F" w:rsidRDefault="0030517B" w:rsidP="0030517B">
      <w:pPr>
        <w:numPr>
          <w:ilvl w:val="0"/>
          <w:numId w:val="17"/>
        </w:numPr>
        <w:pBdr>
          <w:top w:val="nil"/>
          <w:left w:val="nil"/>
          <w:bottom w:val="nil"/>
          <w:right w:val="nil"/>
          <w:between w:val="nil"/>
        </w:pBdr>
        <w:shd w:val="clear" w:color="auto" w:fill="FFFFFF"/>
        <w:tabs>
          <w:tab w:val="left" w:pos="709"/>
        </w:tabs>
        <w:spacing w:after="0" w:line="360" w:lineRule="auto"/>
        <w:contextualSpacing/>
        <w:jc w:val="both"/>
        <w:rPr>
          <w:rFonts w:eastAsia="Times New Roman" w:cs="Times New Roman"/>
          <w:color w:val="000000"/>
          <w:sz w:val="28"/>
          <w:szCs w:val="28"/>
          <w:lang w:val="en-GB" w:eastAsia="ru-RU"/>
        </w:rPr>
      </w:pPr>
      <w:r w:rsidRPr="00CA099F">
        <w:rPr>
          <w:rFonts w:eastAsia="Times New Roman" w:cs="Times New Roman"/>
          <w:color w:val="000000"/>
          <w:sz w:val="28"/>
          <w:szCs w:val="28"/>
          <w:lang w:val="en-GB" w:eastAsia="ru-RU"/>
        </w:rPr>
        <w:t xml:space="preserve">Patient-centered evaluation of microsurgical management of gingival recession using coronally advanced flap with platelet-rich fibrin or amnion membrane: A comparative analysis / </w:t>
      </w:r>
      <w:hyperlink r:id="rId318">
        <w:r w:rsidRPr="00CA099F">
          <w:rPr>
            <w:rFonts w:eastAsia="Times New Roman" w:cs="Times New Roman"/>
            <w:color w:val="000000"/>
            <w:sz w:val="28"/>
            <w:szCs w:val="28"/>
            <w:lang w:val="en-GB" w:eastAsia="ru-RU"/>
          </w:rPr>
          <w:t>S.K. Agarwal</w:t>
        </w:r>
      </w:hyperlink>
      <w:r w:rsidRPr="00CA099F">
        <w:rPr>
          <w:rFonts w:eastAsia="Times New Roman" w:cs="Times New Roman"/>
          <w:color w:val="000000"/>
          <w:sz w:val="28"/>
          <w:szCs w:val="28"/>
          <w:lang w:val="en-GB" w:eastAsia="ru-RU"/>
        </w:rPr>
        <w:t xml:space="preserve">, </w:t>
      </w:r>
      <w:hyperlink r:id="rId319">
        <w:r w:rsidRPr="00CA099F">
          <w:rPr>
            <w:rFonts w:eastAsia="Times New Roman" w:cs="Times New Roman"/>
            <w:color w:val="000000"/>
            <w:sz w:val="28"/>
            <w:szCs w:val="28"/>
            <w:lang w:val="en-GB" w:eastAsia="ru-RU"/>
          </w:rPr>
          <w:t>R. Jhingran</w:t>
        </w:r>
      </w:hyperlink>
      <w:r w:rsidRPr="00CA099F">
        <w:rPr>
          <w:rFonts w:eastAsia="Times New Roman" w:cs="Times New Roman"/>
          <w:color w:val="000000"/>
          <w:sz w:val="28"/>
          <w:szCs w:val="28"/>
          <w:lang w:val="en-GB" w:eastAsia="ru-RU"/>
        </w:rPr>
        <w:t xml:space="preserve">, </w:t>
      </w:r>
      <w:hyperlink r:id="rId320">
        <w:r w:rsidRPr="00CA099F">
          <w:rPr>
            <w:rFonts w:eastAsia="Times New Roman" w:cs="Times New Roman"/>
            <w:color w:val="000000"/>
            <w:sz w:val="28"/>
            <w:szCs w:val="28"/>
            <w:lang w:val="en-GB" w:eastAsia="ru-RU"/>
          </w:rPr>
          <w:t>V.K. Bains</w:t>
        </w:r>
      </w:hyperlink>
      <w:r w:rsidRPr="00CA099F">
        <w:rPr>
          <w:rFonts w:eastAsia="Times New Roman" w:cs="Times New Roman"/>
          <w:color w:val="000000"/>
          <w:sz w:val="28"/>
          <w:szCs w:val="28"/>
          <w:lang w:val="en-GB" w:eastAsia="ru-RU"/>
        </w:rPr>
        <w:t xml:space="preserve"> [at al.] // </w:t>
      </w:r>
      <w:hyperlink r:id="rId321">
        <w:r w:rsidRPr="00CA099F">
          <w:rPr>
            <w:rFonts w:eastAsia="Times New Roman" w:cs="Times New Roman"/>
            <w:color w:val="000000"/>
            <w:sz w:val="28"/>
            <w:szCs w:val="28"/>
            <w:lang w:val="en-GB" w:eastAsia="ru-RU"/>
          </w:rPr>
          <w:t>Eur J Dent</w:t>
        </w:r>
      </w:hyperlink>
      <w:r w:rsidRPr="00CA099F">
        <w:rPr>
          <w:rFonts w:eastAsia="Times New Roman" w:cs="Times New Roman"/>
          <w:color w:val="000000"/>
          <w:sz w:val="28"/>
          <w:szCs w:val="28"/>
          <w:lang w:val="en-GB" w:eastAsia="ru-RU"/>
        </w:rPr>
        <w:t>. – 2016. – Vol. 10(1). – P. 121–133.</w:t>
      </w:r>
    </w:p>
    <w:p w:rsidR="0030517B" w:rsidRPr="00CA099F" w:rsidRDefault="0030517B" w:rsidP="0030517B">
      <w:pPr>
        <w:numPr>
          <w:ilvl w:val="0"/>
          <w:numId w:val="17"/>
        </w:numPr>
        <w:pBdr>
          <w:top w:val="nil"/>
          <w:left w:val="nil"/>
          <w:bottom w:val="nil"/>
          <w:right w:val="nil"/>
          <w:between w:val="nil"/>
        </w:pBdr>
        <w:shd w:val="clear" w:color="auto" w:fill="FFFFFF"/>
        <w:tabs>
          <w:tab w:val="left" w:pos="709"/>
        </w:tabs>
        <w:spacing w:after="0" w:line="360" w:lineRule="auto"/>
        <w:contextualSpacing/>
        <w:jc w:val="both"/>
        <w:rPr>
          <w:rFonts w:eastAsia="Times New Roman" w:cs="Times New Roman"/>
          <w:color w:val="000000"/>
          <w:sz w:val="28"/>
          <w:szCs w:val="28"/>
          <w:lang w:val="en-GB" w:eastAsia="ru-RU"/>
        </w:rPr>
      </w:pPr>
      <w:r w:rsidRPr="00CA099F">
        <w:rPr>
          <w:rFonts w:eastAsia="Times New Roman" w:cs="Times New Roman"/>
          <w:color w:val="000000"/>
          <w:sz w:val="28"/>
          <w:szCs w:val="28"/>
          <w:lang w:val="en-GB" w:eastAsia="ru-RU"/>
        </w:rPr>
        <w:t xml:space="preserve">Efficacy of Autologous Platelet-rich Plasma Glue in Weight Loss Sequelae Surgery and Breast Reduction: A Prospective Study / </w:t>
      </w:r>
      <w:hyperlink r:id="rId322">
        <w:r w:rsidRPr="00CA099F">
          <w:rPr>
            <w:rFonts w:eastAsia="Times New Roman" w:cs="Times New Roman"/>
            <w:color w:val="000000"/>
            <w:sz w:val="28"/>
            <w:szCs w:val="28"/>
            <w:lang w:val="en-GB" w:eastAsia="ru-RU"/>
          </w:rPr>
          <w:t>B. Hersant</w:t>
        </w:r>
      </w:hyperlink>
      <w:r w:rsidRPr="00CA099F">
        <w:rPr>
          <w:rFonts w:eastAsia="Times New Roman" w:cs="Times New Roman"/>
          <w:color w:val="000000"/>
          <w:sz w:val="28"/>
          <w:szCs w:val="28"/>
          <w:lang w:val="en-GB" w:eastAsia="ru-RU"/>
        </w:rPr>
        <w:t xml:space="preserve">, </w:t>
      </w:r>
      <w:hyperlink r:id="rId323">
        <w:r w:rsidRPr="00CA099F">
          <w:rPr>
            <w:rFonts w:eastAsia="Times New Roman" w:cs="Times New Roman"/>
            <w:color w:val="000000"/>
            <w:sz w:val="28"/>
            <w:szCs w:val="28"/>
            <w:lang w:val="en-GB" w:eastAsia="ru-RU"/>
          </w:rPr>
          <w:t>M. SidAhmed-Mezi</w:t>
        </w:r>
      </w:hyperlink>
      <w:r w:rsidRPr="00CA099F">
        <w:rPr>
          <w:rFonts w:eastAsia="Times New Roman" w:cs="Times New Roman"/>
          <w:color w:val="000000"/>
          <w:sz w:val="28"/>
          <w:szCs w:val="28"/>
          <w:lang w:val="en-GB" w:eastAsia="ru-RU"/>
        </w:rPr>
        <w:t xml:space="preserve"> [et al.] // </w:t>
      </w:r>
      <w:hyperlink r:id="rId324">
        <w:r w:rsidRPr="00CA099F">
          <w:rPr>
            <w:rFonts w:eastAsia="Times New Roman" w:cs="Times New Roman"/>
            <w:color w:val="000000"/>
            <w:sz w:val="28"/>
            <w:szCs w:val="28"/>
            <w:lang w:val="en-GB" w:eastAsia="ru-RU"/>
          </w:rPr>
          <w:t>Plast Reconstr Surg Glob Open</w:t>
        </w:r>
      </w:hyperlink>
      <w:r w:rsidRPr="00CA099F">
        <w:rPr>
          <w:rFonts w:eastAsia="Times New Roman" w:cs="Times New Roman"/>
          <w:color w:val="000000"/>
          <w:sz w:val="28"/>
          <w:szCs w:val="28"/>
          <w:lang w:val="en-GB" w:eastAsia="ru-RU"/>
        </w:rPr>
        <w:t>. – 2016. – Vol. 4(11). – P. 871.</w:t>
      </w:r>
    </w:p>
    <w:p w:rsidR="0030517B" w:rsidRPr="00CA099F" w:rsidRDefault="00417675" w:rsidP="0030517B">
      <w:pPr>
        <w:numPr>
          <w:ilvl w:val="0"/>
          <w:numId w:val="17"/>
        </w:numPr>
        <w:pBdr>
          <w:top w:val="nil"/>
          <w:left w:val="nil"/>
          <w:bottom w:val="nil"/>
          <w:right w:val="nil"/>
          <w:between w:val="nil"/>
        </w:pBdr>
        <w:shd w:val="clear" w:color="auto" w:fill="FFFFFF"/>
        <w:tabs>
          <w:tab w:val="left" w:pos="709"/>
        </w:tabs>
        <w:spacing w:after="0" w:line="360" w:lineRule="auto"/>
        <w:contextualSpacing/>
        <w:jc w:val="both"/>
        <w:rPr>
          <w:rFonts w:eastAsia="Times New Roman" w:cs="Times New Roman"/>
          <w:color w:val="000000"/>
          <w:sz w:val="28"/>
          <w:szCs w:val="28"/>
          <w:lang w:val="en-GB" w:eastAsia="ru-RU"/>
        </w:rPr>
      </w:pPr>
      <w:hyperlink r:id="rId325">
        <w:r w:rsidR="0030517B" w:rsidRPr="00CA099F">
          <w:rPr>
            <w:rFonts w:eastAsia="Times New Roman" w:cs="Times New Roman"/>
            <w:color w:val="000000"/>
            <w:sz w:val="28"/>
            <w:szCs w:val="28"/>
            <w:lang w:val="en-GB" w:eastAsia="ru-RU"/>
          </w:rPr>
          <w:t>Bilginaylar</w:t>
        </w:r>
      </w:hyperlink>
      <w:r w:rsidR="0030517B" w:rsidRPr="00CA099F">
        <w:rPr>
          <w:rFonts w:eastAsia="Times New Roman" w:cs="Times New Roman"/>
          <w:color w:val="000000"/>
          <w:sz w:val="28"/>
          <w:szCs w:val="28"/>
          <w:lang w:val="en-GB" w:eastAsia="ru-RU"/>
        </w:rPr>
        <w:t xml:space="preserve"> K. Uncommon Odontogenic Orocutaneous Fistula of the Jaw Treated with Platelet-Rich Fibrin / </w:t>
      </w:r>
      <w:hyperlink r:id="rId326">
        <w:r w:rsidR="0030517B" w:rsidRPr="00CA099F">
          <w:rPr>
            <w:rFonts w:eastAsia="Times New Roman" w:cs="Times New Roman"/>
            <w:color w:val="000000"/>
            <w:sz w:val="28"/>
            <w:szCs w:val="28"/>
            <w:lang w:val="en-GB" w:eastAsia="ru-RU"/>
          </w:rPr>
          <w:t>K. Bilginaylar</w:t>
        </w:r>
      </w:hyperlink>
      <w:r w:rsidR="0030517B" w:rsidRPr="00CA099F">
        <w:rPr>
          <w:rFonts w:eastAsia="Times New Roman" w:cs="Times New Roman"/>
          <w:color w:val="000000"/>
          <w:sz w:val="28"/>
          <w:szCs w:val="28"/>
          <w:lang w:val="en-GB" w:eastAsia="ru-RU"/>
        </w:rPr>
        <w:t xml:space="preserve"> // </w:t>
      </w:r>
      <w:hyperlink r:id="rId327">
        <w:r w:rsidR="0030517B" w:rsidRPr="00CA099F">
          <w:rPr>
            <w:rFonts w:eastAsia="Times New Roman" w:cs="Times New Roman"/>
            <w:color w:val="000000"/>
            <w:sz w:val="28"/>
            <w:szCs w:val="28"/>
            <w:lang w:val="en-GB" w:eastAsia="ru-RU"/>
          </w:rPr>
          <w:t>Case Rep Dent</w:t>
        </w:r>
      </w:hyperlink>
      <w:r w:rsidR="0030517B" w:rsidRPr="00CA099F">
        <w:rPr>
          <w:rFonts w:eastAsia="Times New Roman" w:cs="Times New Roman"/>
          <w:color w:val="000000"/>
          <w:sz w:val="28"/>
          <w:szCs w:val="28"/>
          <w:lang w:val="en-GB" w:eastAsia="ru-RU"/>
        </w:rPr>
        <w:t>. – 2017. – Vol. 17. – P. 71-74.</w:t>
      </w:r>
    </w:p>
    <w:p w:rsidR="0030517B" w:rsidRPr="00CA099F" w:rsidRDefault="0030517B" w:rsidP="0030517B">
      <w:pPr>
        <w:numPr>
          <w:ilvl w:val="0"/>
          <w:numId w:val="17"/>
        </w:numPr>
        <w:pBdr>
          <w:top w:val="nil"/>
          <w:left w:val="nil"/>
          <w:bottom w:val="nil"/>
          <w:right w:val="nil"/>
          <w:between w:val="nil"/>
        </w:pBdr>
        <w:tabs>
          <w:tab w:val="left" w:pos="709"/>
        </w:tabs>
        <w:spacing w:after="0" w:line="360" w:lineRule="auto"/>
        <w:contextualSpacing/>
        <w:jc w:val="both"/>
        <w:rPr>
          <w:rFonts w:eastAsia="Times New Roman" w:cs="Times New Roman"/>
          <w:color w:val="000000"/>
          <w:sz w:val="28"/>
          <w:szCs w:val="28"/>
          <w:lang w:val="en-GB" w:eastAsia="ru-RU"/>
        </w:rPr>
      </w:pPr>
      <w:r w:rsidRPr="00CA099F">
        <w:rPr>
          <w:rFonts w:eastAsia="Times New Roman" w:cs="Times New Roman"/>
          <w:color w:val="000000"/>
          <w:sz w:val="28"/>
          <w:szCs w:val="28"/>
          <w:lang w:val="en-GB" w:eastAsia="ru-RU"/>
        </w:rPr>
        <w:t>Orocutaneous fistula or traumatic infectious skin lesion: a diagnostic dilemma / M. Vermani, V. Kalia, S. Singh [et al.] // Case Reports in Dentistry. – 2015. – Vol. 15. – P. 4.</w:t>
      </w:r>
    </w:p>
    <w:p w:rsidR="0030517B" w:rsidRPr="00CA099F" w:rsidRDefault="0030517B" w:rsidP="0030517B">
      <w:pPr>
        <w:numPr>
          <w:ilvl w:val="0"/>
          <w:numId w:val="17"/>
        </w:numPr>
        <w:pBdr>
          <w:top w:val="nil"/>
          <w:left w:val="nil"/>
          <w:bottom w:val="nil"/>
          <w:right w:val="nil"/>
          <w:between w:val="nil"/>
        </w:pBdr>
        <w:tabs>
          <w:tab w:val="left" w:pos="709"/>
        </w:tabs>
        <w:spacing w:after="0" w:line="360" w:lineRule="auto"/>
        <w:contextualSpacing/>
        <w:jc w:val="both"/>
        <w:rPr>
          <w:rFonts w:eastAsia="Times New Roman" w:cs="Times New Roman"/>
          <w:color w:val="000000"/>
          <w:sz w:val="28"/>
          <w:szCs w:val="28"/>
          <w:lang w:val="en-GB" w:eastAsia="ru-RU"/>
        </w:rPr>
      </w:pPr>
      <w:r w:rsidRPr="00CA099F">
        <w:rPr>
          <w:rFonts w:eastAsia="Times New Roman" w:cs="Times New Roman"/>
          <w:color w:val="000000"/>
          <w:sz w:val="28"/>
          <w:szCs w:val="28"/>
          <w:lang w:val="en-GB" w:eastAsia="ru-RU"/>
        </w:rPr>
        <w:t>The autologous platelet rich fibrin: A novel approach in osseous regeneration after cystic enucleation: A pilot study / V.S. Meshram, P.N. Lambade, P.V. Meshram [et al.] // Indian J Dent Res. – 2015. – Vol. 26. – P. 560-564.</w:t>
      </w:r>
    </w:p>
    <w:p w:rsidR="0030517B" w:rsidRPr="00CA099F" w:rsidRDefault="0030517B" w:rsidP="0030517B">
      <w:pPr>
        <w:numPr>
          <w:ilvl w:val="0"/>
          <w:numId w:val="17"/>
        </w:numPr>
        <w:pBdr>
          <w:top w:val="nil"/>
          <w:left w:val="nil"/>
          <w:bottom w:val="nil"/>
          <w:right w:val="nil"/>
          <w:between w:val="nil"/>
        </w:pBdr>
        <w:tabs>
          <w:tab w:val="left" w:pos="709"/>
        </w:tabs>
        <w:spacing w:after="0" w:line="360" w:lineRule="auto"/>
        <w:contextualSpacing/>
        <w:jc w:val="both"/>
        <w:rPr>
          <w:rFonts w:eastAsia="Times New Roman" w:cs="Times New Roman"/>
          <w:color w:val="000000"/>
          <w:sz w:val="28"/>
          <w:szCs w:val="28"/>
          <w:lang w:val="en-GB" w:eastAsia="ru-RU"/>
        </w:rPr>
      </w:pPr>
      <w:r w:rsidRPr="00CA099F">
        <w:rPr>
          <w:rFonts w:eastAsia="Times New Roman" w:cs="Times New Roman"/>
          <w:color w:val="000000"/>
          <w:sz w:val="28"/>
          <w:szCs w:val="28"/>
          <w:lang w:val="en-GB" w:eastAsia="ru-RU"/>
        </w:rPr>
        <w:t xml:space="preserve">Vaishnavi C. Treatment of endodontically induced periapical lesions using hydroxyapatite, platelet-rich plasma, and a combination of both: An in </w:t>
      </w:r>
      <w:r w:rsidRPr="00CA099F">
        <w:rPr>
          <w:rFonts w:eastAsia="Times New Roman" w:cs="Times New Roman"/>
          <w:color w:val="000000"/>
          <w:sz w:val="28"/>
          <w:szCs w:val="28"/>
          <w:lang w:val="en-GB" w:eastAsia="ru-RU"/>
        </w:rPr>
        <w:lastRenderedPageBreak/>
        <w:t>vivo study / C. Vaishnavi, B. Mohan, L.L. Narayanan // J Conserv Dent. – 2011. – Vol. 14. – P. 140-146.</w:t>
      </w:r>
    </w:p>
    <w:p w:rsidR="0030517B" w:rsidRPr="00CA099F" w:rsidRDefault="0030517B" w:rsidP="0030517B">
      <w:pPr>
        <w:numPr>
          <w:ilvl w:val="0"/>
          <w:numId w:val="17"/>
        </w:numPr>
        <w:pBdr>
          <w:top w:val="nil"/>
          <w:left w:val="nil"/>
          <w:bottom w:val="nil"/>
          <w:right w:val="nil"/>
          <w:between w:val="nil"/>
        </w:pBdr>
        <w:tabs>
          <w:tab w:val="left" w:pos="709"/>
        </w:tabs>
        <w:spacing w:after="0" w:line="360" w:lineRule="auto"/>
        <w:contextualSpacing/>
        <w:jc w:val="both"/>
        <w:rPr>
          <w:rFonts w:eastAsia="Times New Roman" w:cs="Times New Roman"/>
          <w:color w:val="000000"/>
          <w:sz w:val="28"/>
          <w:szCs w:val="28"/>
          <w:lang w:val="en-GB" w:eastAsia="ru-RU"/>
        </w:rPr>
      </w:pPr>
      <w:r w:rsidRPr="00CA099F">
        <w:rPr>
          <w:rFonts w:eastAsia="Times New Roman" w:cs="Times New Roman"/>
          <w:color w:val="000000"/>
          <w:sz w:val="28"/>
          <w:szCs w:val="28"/>
          <w:lang w:val="en-GB" w:eastAsia="ru-RU"/>
        </w:rPr>
        <w:t>Singh A. Platelet rich fibrin: A novel approach for osseous regeneration / A. Singh, M. Kohli, N. Gupta // J Maxillofac Oral Surg. – 2012. – Vol. 11. – P. 430-434.</w:t>
      </w:r>
    </w:p>
    <w:p w:rsidR="0030517B" w:rsidRPr="00CA099F" w:rsidRDefault="0030517B" w:rsidP="0030517B">
      <w:pPr>
        <w:numPr>
          <w:ilvl w:val="0"/>
          <w:numId w:val="17"/>
        </w:numPr>
        <w:pBdr>
          <w:top w:val="nil"/>
          <w:left w:val="nil"/>
          <w:bottom w:val="nil"/>
          <w:right w:val="nil"/>
          <w:between w:val="nil"/>
        </w:pBdr>
        <w:tabs>
          <w:tab w:val="left" w:pos="709"/>
        </w:tabs>
        <w:spacing w:after="0" w:line="360" w:lineRule="auto"/>
        <w:contextualSpacing/>
        <w:jc w:val="both"/>
        <w:rPr>
          <w:rFonts w:eastAsia="Times New Roman" w:cs="Times New Roman"/>
          <w:color w:val="000000"/>
          <w:sz w:val="28"/>
          <w:szCs w:val="28"/>
          <w:lang w:val="en-GB" w:eastAsia="ru-RU"/>
        </w:rPr>
      </w:pPr>
      <w:r w:rsidRPr="00CA099F">
        <w:rPr>
          <w:rFonts w:eastAsia="Times New Roman" w:cs="Times New Roman"/>
          <w:color w:val="000000"/>
          <w:sz w:val="28"/>
          <w:szCs w:val="28"/>
          <w:lang w:val="en-GB" w:eastAsia="ru-RU"/>
        </w:rPr>
        <w:t>Combination of platelet rich fibrin, hydroxyapatite and PRF membrane in the management of large inflammatory periapical lesion / V.Y. Shivashankar, D.A. Johns, S. Vidyanath, G. Sam // J Conserv Dent. – 2013. – Vol. 16. – P. 261-264.</w:t>
      </w:r>
    </w:p>
    <w:p w:rsidR="0030517B" w:rsidRPr="00CA099F" w:rsidRDefault="0030517B" w:rsidP="0030517B">
      <w:pPr>
        <w:numPr>
          <w:ilvl w:val="0"/>
          <w:numId w:val="17"/>
        </w:numPr>
        <w:pBdr>
          <w:top w:val="nil"/>
          <w:left w:val="nil"/>
          <w:bottom w:val="nil"/>
          <w:right w:val="nil"/>
          <w:between w:val="nil"/>
        </w:pBdr>
        <w:tabs>
          <w:tab w:val="left" w:pos="709"/>
        </w:tabs>
        <w:spacing w:after="0" w:line="360" w:lineRule="auto"/>
        <w:contextualSpacing/>
        <w:jc w:val="both"/>
        <w:rPr>
          <w:rFonts w:eastAsia="Times New Roman" w:cs="Times New Roman"/>
          <w:color w:val="000000"/>
          <w:sz w:val="28"/>
          <w:szCs w:val="28"/>
          <w:lang w:val="en-GB" w:eastAsia="ru-RU"/>
        </w:rPr>
      </w:pPr>
      <w:r w:rsidRPr="00CA099F">
        <w:rPr>
          <w:rFonts w:eastAsia="Times New Roman" w:cs="Times New Roman"/>
          <w:color w:val="000000"/>
          <w:sz w:val="28"/>
          <w:szCs w:val="28"/>
          <w:lang w:val="en-GB" w:eastAsia="ru-RU"/>
        </w:rPr>
        <w:t>Lauritano D. Is platelet-rich fibrin really useful in oral and maxillofacial surgery? Lights and shadows of this new technique / D. Lauritano // Ann Oral Maxillofac Surg. – 2013. – Vol. 1(3). – P. 25.</w:t>
      </w:r>
    </w:p>
    <w:p w:rsidR="0030517B" w:rsidRPr="00CA099F" w:rsidRDefault="00417675" w:rsidP="0030517B">
      <w:pPr>
        <w:numPr>
          <w:ilvl w:val="0"/>
          <w:numId w:val="17"/>
        </w:numPr>
        <w:pBdr>
          <w:top w:val="nil"/>
          <w:left w:val="nil"/>
          <w:bottom w:val="nil"/>
          <w:right w:val="nil"/>
          <w:between w:val="nil"/>
        </w:pBdr>
        <w:tabs>
          <w:tab w:val="left" w:pos="709"/>
        </w:tabs>
        <w:spacing w:after="0" w:line="360" w:lineRule="auto"/>
        <w:contextualSpacing/>
        <w:jc w:val="both"/>
        <w:rPr>
          <w:rFonts w:eastAsia="Times New Roman" w:cs="Times New Roman"/>
          <w:color w:val="000000"/>
          <w:sz w:val="28"/>
          <w:szCs w:val="28"/>
          <w:lang w:val="en-GB" w:eastAsia="ru-RU"/>
        </w:rPr>
      </w:pPr>
      <w:hyperlink r:id="rId328">
        <w:r w:rsidR="0030517B" w:rsidRPr="00CA099F">
          <w:rPr>
            <w:rFonts w:eastAsia="Times New Roman" w:cs="Times New Roman"/>
            <w:color w:val="000000"/>
            <w:sz w:val="28"/>
            <w:szCs w:val="28"/>
            <w:lang w:val="en-GB" w:eastAsia="ru-RU"/>
          </w:rPr>
          <w:t>Hoaglin</w:t>
        </w:r>
      </w:hyperlink>
      <w:r w:rsidR="0030517B" w:rsidRPr="00CA099F">
        <w:rPr>
          <w:rFonts w:eastAsia="Times New Roman" w:cs="Times New Roman"/>
          <w:color w:val="000000"/>
          <w:sz w:val="28"/>
          <w:szCs w:val="28"/>
          <w:lang w:val="en-GB" w:eastAsia="ru-RU"/>
        </w:rPr>
        <w:t xml:space="preserve"> D.R. Prevention of Localized Osteitis in Mandibular Third-Molar Sites Using Platelet-Rich Fibrin / </w:t>
      </w:r>
      <w:hyperlink r:id="rId329">
        <w:r w:rsidR="0030517B" w:rsidRPr="00CA099F">
          <w:rPr>
            <w:rFonts w:eastAsia="Times New Roman" w:cs="Times New Roman"/>
            <w:color w:val="000000"/>
            <w:sz w:val="28"/>
            <w:szCs w:val="28"/>
            <w:lang w:val="en-GB" w:eastAsia="ru-RU"/>
          </w:rPr>
          <w:t>D.R. Hoaglin</w:t>
        </w:r>
      </w:hyperlink>
      <w:r w:rsidR="0030517B" w:rsidRPr="00CA099F">
        <w:rPr>
          <w:rFonts w:eastAsia="Times New Roman" w:cs="Times New Roman"/>
          <w:color w:val="000000"/>
          <w:sz w:val="28"/>
          <w:szCs w:val="28"/>
          <w:lang w:val="en-GB" w:eastAsia="ru-RU"/>
        </w:rPr>
        <w:t xml:space="preserve">, </w:t>
      </w:r>
      <w:hyperlink r:id="rId330">
        <w:r w:rsidR="0030517B" w:rsidRPr="00CA099F">
          <w:rPr>
            <w:rFonts w:eastAsia="Times New Roman" w:cs="Times New Roman"/>
            <w:color w:val="000000"/>
            <w:sz w:val="28"/>
            <w:szCs w:val="28"/>
            <w:lang w:val="en-GB" w:eastAsia="ru-RU"/>
          </w:rPr>
          <w:t>G.K. Lines</w:t>
        </w:r>
      </w:hyperlink>
      <w:r w:rsidR="0030517B" w:rsidRPr="00CA099F">
        <w:rPr>
          <w:rFonts w:eastAsia="Times New Roman" w:cs="Times New Roman"/>
          <w:color w:val="000000"/>
          <w:sz w:val="28"/>
          <w:szCs w:val="28"/>
          <w:lang w:val="en-GB" w:eastAsia="ru-RU"/>
        </w:rPr>
        <w:t xml:space="preserve"> // </w:t>
      </w:r>
      <w:hyperlink r:id="rId331">
        <w:r w:rsidR="0030517B" w:rsidRPr="00CA099F">
          <w:rPr>
            <w:rFonts w:eastAsia="Times New Roman" w:cs="Times New Roman"/>
            <w:color w:val="000000"/>
            <w:sz w:val="28"/>
            <w:szCs w:val="28"/>
            <w:lang w:val="en-GB" w:eastAsia="ru-RU"/>
          </w:rPr>
          <w:t>Int J Dent</w:t>
        </w:r>
      </w:hyperlink>
      <w:r w:rsidR="0030517B" w:rsidRPr="00CA099F">
        <w:rPr>
          <w:rFonts w:eastAsia="Times New Roman" w:cs="Times New Roman"/>
          <w:color w:val="000000"/>
          <w:sz w:val="28"/>
          <w:szCs w:val="28"/>
          <w:lang w:val="en-GB" w:eastAsia="ru-RU"/>
        </w:rPr>
        <w:t>. – 2013. – Vol. 13. – P. 875-880.</w:t>
      </w:r>
    </w:p>
    <w:p w:rsidR="0030517B" w:rsidRPr="00CA099F" w:rsidRDefault="0030517B" w:rsidP="0030517B">
      <w:pPr>
        <w:numPr>
          <w:ilvl w:val="0"/>
          <w:numId w:val="17"/>
        </w:numPr>
        <w:pBdr>
          <w:top w:val="nil"/>
          <w:left w:val="nil"/>
          <w:bottom w:val="nil"/>
          <w:right w:val="nil"/>
          <w:between w:val="nil"/>
        </w:pBdr>
        <w:shd w:val="clear" w:color="auto" w:fill="FFFFFF"/>
        <w:tabs>
          <w:tab w:val="left" w:pos="709"/>
        </w:tabs>
        <w:spacing w:after="0" w:line="360" w:lineRule="auto"/>
        <w:contextualSpacing/>
        <w:jc w:val="both"/>
        <w:rPr>
          <w:rFonts w:eastAsia="Times New Roman" w:cs="Times New Roman"/>
          <w:color w:val="000000"/>
          <w:sz w:val="28"/>
          <w:szCs w:val="28"/>
          <w:lang w:val="en-GB" w:eastAsia="ru-RU"/>
        </w:rPr>
      </w:pPr>
      <w:r w:rsidRPr="00CA099F">
        <w:rPr>
          <w:rFonts w:eastAsia="Times New Roman" w:cs="Times New Roman"/>
          <w:color w:val="000000"/>
          <w:sz w:val="28"/>
          <w:szCs w:val="28"/>
          <w:lang w:val="en-GB" w:eastAsia="ru-RU"/>
        </w:rPr>
        <w:t>del Fabbro M. Is autologous platelet concentrate beneficial for post-extraction socket healing? A systematic review / M. del Fabbro, M. Bortolin, S. Tascheri // International Journal of Oral and Maxillofacial Surgery. – 2011. – Vol. 40. – P. 891–900.</w:t>
      </w:r>
    </w:p>
    <w:p w:rsidR="0030517B" w:rsidRPr="00CA099F" w:rsidRDefault="0030517B" w:rsidP="0030517B">
      <w:pPr>
        <w:numPr>
          <w:ilvl w:val="0"/>
          <w:numId w:val="17"/>
        </w:numPr>
        <w:pBdr>
          <w:top w:val="nil"/>
          <w:left w:val="nil"/>
          <w:bottom w:val="nil"/>
          <w:right w:val="nil"/>
          <w:between w:val="nil"/>
        </w:pBdr>
        <w:shd w:val="clear" w:color="auto" w:fill="FFFFFF"/>
        <w:tabs>
          <w:tab w:val="left" w:pos="709"/>
        </w:tabs>
        <w:spacing w:after="0" w:line="360" w:lineRule="auto"/>
        <w:contextualSpacing/>
        <w:jc w:val="both"/>
        <w:rPr>
          <w:rFonts w:eastAsia="Times New Roman" w:cs="Times New Roman"/>
          <w:color w:val="000000"/>
          <w:sz w:val="28"/>
          <w:szCs w:val="28"/>
          <w:lang w:val="en-GB" w:eastAsia="ru-RU"/>
        </w:rPr>
      </w:pPr>
      <w:r w:rsidRPr="00CA099F">
        <w:rPr>
          <w:rFonts w:eastAsia="Times New Roman" w:cs="Times New Roman"/>
          <w:color w:val="000000"/>
          <w:sz w:val="28"/>
          <w:szCs w:val="28"/>
          <w:lang w:val="en-GB" w:eastAsia="ru-RU"/>
        </w:rPr>
        <w:t>Effectiveness of sinus lift procedures for dental implant rehabilitation: a Cochrane systematic review / M. Esposito, M.G. Grusovin, J. Rees [et al.] // European Journal of Oral Implantology. – 2010. – Vol. 3. – P. 7–26.</w:t>
      </w:r>
    </w:p>
    <w:p w:rsidR="0030517B" w:rsidRPr="00CA099F" w:rsidRDefault="0030517B" w:rsidP="0030517B">
      <w:pPr>
        <w:numPr>
          <w:ilvl w:val="0"/>
          <w:numId w:val="17"/>
        </w:numPr>
        <w:pBdr>
          <w:top w:val="nil"/>
          <w:left w:val="nil"/>
          <w:bottom w:val="nil"/>
          <w:right w:val="nil"/>
          <w:between w:val="nil"/>
        </w:pBdr>
        <w:shd w:val="clear" w:color="auto" w:fill="FFFFFF"/>
        <w:tabs>
          <w:tab w:val="left" w:pos="709"/>
        </w:tabs>
        <w:spacing w:after="0" w:line="360" w:lineRule="auto"/>
        <w:contextualSpacing/>
        <w:jc w:val="both"/>
        <w:rPr>
          <w:rFonts w:eastAsia="Times New Roman" w:cs="Times New Roman"/>
          <w:color w:val="000000"/>
          <w:sz w:val="28"/>
          <w:szCs w:val="28"/>
          <w:lang w:val="en-GB" w:eastAsia="ru-RU"/>
        </w:rPr>
      </w:pPr>
      <w:r w:rsidRPr="00CA099F">
        <w:rPr>
          <w:rFonts w:eastAsia="Times New Roman" w:cs="Times New Roman"/>
          <w:color w:val="000000"/>
          <w:sz w:val="28"/>
          <w:szCs w:val="28"/>
          <w:lang w:val="en-GB" w:eastAsia="ru-RU"/>
        </w:rPr>
        <w:t>Kaur P. Efficacy of platelet rich plasma and hydroxyapatite crystals in bone regeneration after surgical removal of mandibular third molars / P. Kaur, A. Maria // Journal of Maxillofacial and Oral Surgery. – 2013. – Vol. 12(1). – P. 51–59.</w:t>
      </w:r>
    </w:p>
    <w:p w:rsidR="0030517B" w:rsidRPr="00CA099F" w:rsidRDefault="0030517B" w:rsidP="0030517B">
      <w:pPr>
        <w:numPr>
          <w:ilvl w:val="0"/>
          <w:numId w:val="17"/>
        </w:numPr>
        <w:pBdr>
          <w:top w:val="nil"/>
          <w:left w:val="nil"/>
          <w:bottom w:val="nil"/>
          <w:right w:val="nil"/>
          <w:between w:val="nil"/>
        </w:pBdr>
        <w:shd w:val="clear" w:color="auto" w:fill="FFFFFF"/>
        <w:tabs>
          <w:tab w:val="left" w:pos="709"/>
        </w:tabs>
        <w:spacing w:after="0" w:line="360" w:lineRule="auto"/>
        <w:contextualSpacing/>
        <w:jc w:val="both"/>
        <w:rPr>
          <w:rFonts w:eastAsia="Times New Roman" w:cs="Times New Roman"/>
          <w:color w:val="000000"/>
          <w:sz w:val="28"/>
          <w:szCs w:val="28"/>
          <w:lang w:val="en-GB" w:eastAsia="ru-RU"/>
        </w:rPr>
      </w:pPr>
      <w:r w:rsidRPr="00CA099F">
        <w:rPr>
          <w:rFonts w:eastAsia="Times New Roman" w:cs="Times New Roman"/>
          <w:color w:val="000000"/>
          <w:sz w:val="28"/>
          <w:szCs w:val="28"/>
          <w:lang w:val="en-GB" w:eastAsia="ru-RU"/>
        </w:rPr>
        <w:t xml:space="preserve">Evaluation of the efficacy of platelet-rich plasma and platelet-rich fibrin in alveolar defects after removal of impacted bilateral mandibular third molars / </w:t>
      </w:r>
      <w:hyperlink r:id="rId332">
        <w:r w:rsidRPr="00CA099F">
          <w:rPr>
            <w:rFonts w:eastAsia="Times New Roman" w:cs="Times New Roman"/>
            <w:color w:val="000000"/>
            <w:sz w:val="28"/>
            <w:szCs w:val="28"/>
            <w:lang w:val="en-GB" w:eastAsia="ru-RU"/>
          </w:rPr>
          <w:t>A.M. Doiphode</w:t>
        </w:r>
      </w:hyperlink>
      <w:r w:rsidRPr="00CA099F">
        <w:rPr>
          <w:rFonts w:eastAsia="Times New Roman" w:cs="Times New Roman"/>
          <w:color w:val="000000"/>
          <w:sz w:val="28"/>
          <w:szCs w:val="28"/>
          <w:lang w:val="en-GB" w:eastAsia="ru-RU"/>
        </w:rPr>
        <w:t xml:space="preserve">, </w:t>
      </w:r>
      <w:hyperlink r:id="rId333">
        <w:r w:rsidRPr="00CA099F">
          <w:rPr>
            <w:rFonts w:eastAsia="Times New Roman" w:cs="Times New Roman"/>
            <w:color w:val="000000"/>
            <w:sz w:val="28"/>
            <w:szCs w:val="28"/>
            <w:lang w:val="en-GB" w:eastAsia="ru-RU"/>
          </w:rPr>
          <w:t>P. Hegde</w:t>
        </w:r>
      </w:hyperlink>
      <w:r w:rsidRPr="00CA099F">
        <w:rPr>
          <w:rFonts w:eastAsia="Times New Roman" w:cs="Times New Roman"/>
          <w:color w:val="000000"/>
          <w:sz w:val="28"/>
          <w:szCs w:val="28"/>
          <w:lang w:val="en-GB" w:eastAsia="ru-RU"/>
        </w:rPr>
        <w:t xml:space="preserve">, </w:t>
      </w:r>
      <w:hyperlink r:id="rId334">
        <w:r w:rsidRPr="00CA099F">
          <w:rPr>
            <w:rFonts w:eastAsia="Times New Roman" w:cs="Times New Roman"/>
            <w:color w:val="000000"/>
            <w:sz w:val="28"/>
            <w:szCs w:val="28"/>
            <w:lang w:val="en-GB" w:eastAsia="ru-RU"/>
          </w:rPr>
          <w:t>U.Mahindra</w:t>
        </w:r>
      </w:hyperlink>
      <w:r w:rsidRPr="00CA099F">
        <w:rPr>
          <w:rFonts w:eastAsia="Times New Roman" w:cs="Times New Roman"/>
          <w:color w:val="000000"/>
          <w:sz w:val="28"/>
          <w:szCs w:val="28"/>
          <w:lang w:val="en-GB" w:eastAsia="ru-RU"/>
        </w:rPr>
        <w:t xml:space="preserve"> [et al.] // </w:t>
      </w:r>
      <w:hyperlink r:id="rId335">
        <w:r w:rsidRPr="00CA099F">
          <w:rPr>
            <w:rFonts w:eastAsia="Times New Roman" w:cs="Times New Roman"/>
            <w:color w:val="000000"/>
            <w:sz w:val="28"/>
            <w:szCs w:val="28"/>
            <w:lang w:val="en-GB" w:eastAsia="ru-RU"/>
          </w:rPr>
          <w:t>J Int Soc Prev Community Dent</w:t>
        </w:r>
      </w:hyperlink>
      <w:r w:rsidRPr="00CA099F">
        <w:rPr>
          <w:rFonts w:eastAsia="Times New Roman" w:cs="Times New Roman"/>
          <w:color w:val="000000"/>
          <w:sz w:val="28"/>
          <w:szCs w:val="28"/>
          <w:lang w:val="en-GB" w:eastAsia="ru-RU"/>
        </w:rPr>
        <w:t>. – 2016. – Vol. 6(1). – P. 47–52.</w:t>
      </w:r>
    </w:p>
    <w:p w:rsidR="0030517B" w:rsidRPr="00CA099F" w:rsidRDefault="0030517B" w:rsidP="0030517B">
      <w:pPr>
        <w:numPr>
          <w:ilvl w:val="0"/>
          <w:numId w:val="17"/>
        </w:numPr>
        <w:pBdr>
          <w:top w:val="nil"/>
          <w:left w:val="nil"/>
          <w:bottom w:val="nil"/>
          <w:right w:val="nil"/>
          <w:between w:val="nil"/>
        </w:pBdr>
        <w:tabs>
          <w:tab w:val="left" w:pos="709"/>
        </w:tabs>
        <w:spacing w:after="0" w:line="360" w:lineRule="auto"/>
        <w:contextualSpacing/>
        <w:jc w:val="both"/>
        <w:rPr>
          <w:rFonts w:eastAsia="Times New Roman" w:cs="Times New Roman"/>
          <w:color w:val="000000"/>
          <w:sz w:val="28"/>
          <w:szCs w:val="28"/>
          <w:lang w:val="en-GB" w:eastAsia="ru-RU"/>
        </w:rPr>
      </w:pPr>
      <w:r w:rsidRPr="00CA099F">
        <w:rPr>
          <w:rFonts w:eastAsia="Times New Roman" w:cs="Times New Roman"/>
          <w:color w:val="000000"/>
          <w:sz w:val="28"/>
          <w:szCs w:val="28"/>
          <w:lang w:val="en-GB" w:eastAsia="ru-RU"/>
        </w:rPr>
        <w:lastRenderedPageBreak/>
        <w:t>Platelet-rich fibrin (PRF): A second-generation platelet concentrate. Part V: Histologic evaluations of PRF effects on bone allograft maturation in sinus lift / J. Choukroun, A. Diss, A. Simonpieri [et al.] // Oral Surg Oral Med Oral Pathol Oral Radiol Endod. – 2006. – Vol. 101. – P. 299-303.</w:t>
      </w:r>
    </w:p>
    <w:p w:rsidR="0030517B" w:rsidRPr="00CA099F" w:rsidRDefault="0030517B" w:rsidP="0030517B">
      <w:pPr>
        <w:numPr>
          <w:ilvl w:val="0"/>
          <w:numId w:val="17"/>
        </w:numPr>
        <w:pBdr>
          <w:top w:val="nil"/>
          <w:left w:val="nil"/>
          <w:bottom w:val="nil"/>
          <w:right w:val="nil"/>
          <w:between w:val="nil"/>
        </w:pBdr>
        <w:tabs>
          <w:tab w:val="left" w:pos="709"/>
        </w:tabs>
        <w:spacing w:after="0" w:line="360" w:lineRule="auto"/>
        <w:contextualSpacing/>
        <w:jc w:val="both"/>
        <w:rPr>
          <w:rFonts w:eastAsia="Times New Roman" w:cs="Times New Roman"/>
          <w:color w:val="000000"/>
          <w:sz w:val="28"/>
          <w:szCs w:val="28"/>
          <w:lang w:val="en-GB" w:eastAsia="ru-RU"/>
        </w:rPr>
      </w:pPr>
      <w:r w:rsidRPr="00CA099F">
        <w:rPr>
          <w:rFonts w:eastAsia="Times New Roman" w:cs="Times New Roman"/>
          <w:color w:val="000000"/>
          <w:sz w:val="28"/>
          <w:szCs w:val="28"/>
          <w:lang w:val="en-GB" w:eastAsia="ru-RU"/>
        </w:rPr>
        <w:t>The use of leukocyte- and platelet-rich fibrin (L-PRF) to facilitate implant placement in bone-deficient sites: A report of two cases / M.T. Peck, J. Marnewick, L.X. Stephen [et al.] // SADJ. – 2012. – Vol. 67. – P. 54.</w:t>
      </w:r>
    </w:p>
    <w:p w:rsidR="0030517B" w:rsidRPr="00CA099F" w:rsidRDefault="0030517B" w:rsidP="0030517B">
      <w:pPr>
        <w:numPr>
          <w:ilvl w:val="0"/>
          <w:numId w:val="17"/>
        </w:numPr>
        <w:pBdr>
          <w:top w:val="nil"/>
          <w:left w:val="nil"/>
          <w:bottom w:val="nil"/>
          <w:right w:val="nil"/>
          <w:between w:val="nil"/>
        </w:pBdr>
        <w:tabs>
          <w:tab w:val="left" w:pos="709"/>
        </w:tabs>
        <w:spacing w:after="0" w:line="360" w:lineRule="auto"/>
        <w:contextualSpacing/>
        <w:jc w:val="both"/>
        <w:rPr>
          <w:rFonts w:eastAsia="Times New Roman" w:cs="Times New Roman"/>
          <w:color w:val="000000"/>
          <w:sz w:val="28"/>
          <w:szCs w:val="28"/>
          <w:lang w:val="en-GB" w:eastAsia="ru-RU"/>
        </w:rPr>
      </w:pPr>
      <w:r w:rsidRPr="00CA099F">
        <w:rPr>
          <w:rFonts w:eastAsia="Times New Roman" w:cs="Times New Roman"/>
          <w:color w:val="000000"/>
          <w:sz w:val="28"/>
          <w:szCs w:val="28"/>
          <w:lang w:val="en-GB" w:eastAsia="ru-RU"/>
        </w:rPr>
        <w:t>Platelet-rich fibrin application in dentistry: A literature review / E. Borie, D.G. Oliví, I.A. Orsi [et al.] // Int J Clin Exp Med. – 2015. – Vol. 8. – P. 7922–7929.</w:t>
      </w:r>
    </w:p>
    <w:p w:rsidR="0030517B" w:rsidRPr="00CA099F" w:rsidRDefault="0030517B" w:rsidP="0030517B">
      <w:pPr>
        <w:numPr>
          <w:ilvl w:val="0"/>
          <w:numId w:val="17"/>
        </w:numPr>
        <w:pBdr>
          <w:top w:val="nil"/>
          <w:left w:val="nil"/>
          <w:bottom w:val="nil"/>
          <w:right w:val="nil"/>
          <w:between w:val="nil"/>
        </w:pBdr>
        <w:tabs>
          <w:tab w:val="left" w:pos="709"/>
        </w:tabs>
        <w:spacing w:after="0" w:line="360" w:lineRule="auto"/>
        <w:contextualSpacing/>
        <w:jc w:val="both"/>
        <w:rPr>
          <w:rFonts w:eastAsia="Times New Roman" w:cs="Times New Roman"/>
          <w:color w:val="000000"/>
          <w:sz w:val="28"/>
          <w:szCs w:val="28"/>
          <w:lang w:val="en-GB" w:eastAsia="ru-RU"/>
        </w:rPr>
      </w:pPr>
      <w:r w:rsidRPr="00CA099F">
        <w:rPr>
          <w:rFonts w:eastAsia="Times New Roman" w:cs="Times New Roman"/>
          <w:color w:val="000000"/>
          <w:sz w:val="28"/>
          <w:szCs w:val="28"/>
          <w:lang w:val="en-GB" w:eastAsia="ru-RU"/>
        </w:rPr>
        <w:t>The relevance of choukroun′s platelet-rich fibrin and metronidazole during complex maxillary rehabilitations using bone allograft. Part II: Implant surgery, prosthodontics, and survival / V. Gupta, V.K. Bains, G.P. Singh [et al.] // Implant Dent. – 2009. – Vol. 18. – P. 220-229.</w:t>
      </w:r>
    </w:p>
    <w:p w:rsidR="0030517B" w:rsidRPr="00CA099F" w:rsidRDefault="0030517B" w:rsidP="0030517B">
      <w:pPr>
        <w:numPr>
          <w:ilvl w:val="0"/>
          <w:numId w:val="17"/>
        </w:numPr>
        <w:pBdr>
          <w:top w:val="nil"/>
          <w:left w:val="nil"/>
          <w:bottom w:val="nil"/>
          <w:right w:val="nil"/>
          <w:between w:val="nil"/>
        </w:pBdr>
        <w:tabs>
          <w:tab w:val="left" w:pos="709"/>
        </w:tabs>
        <w:spacing w:after="0" w:line="360" w:lineRule="auto"/>
        <w:contextualSpacing/>
        <w:jc w:val="both"/>
        <w:rPr>
          <w:rFonts w:eastAsia="Times New Roman" w:cs="Times New Roman"/>
          <w:color w:val="000000"/>
          <w:sz w:val="28"/>
          <w:szCs w:val="28"/>
          <w:lang w:val="en-GB" w:eastAsia="ru-RU"/>
        </w:rPr>
      </w:pPr>
      <w:r w:rsidRPr="00CA099F">
        <w:rPr>
          <w:rFonts w:eastAsia="Times New Roman" w:cs="Times New Roman"/>
          <w:color w:val="000000"/>
          <w:sz w:val="28"/>
          <w:szCs w:val="28"/>
          <w:lang w:val="en-GB" w:eastAsia="ru-RU"/>
        </w:rPr>
        <w:t>Sanchez A.R. Is platelet rich plasma the perfect enhancement factor? A current review / A.R. Sanchez, P.J. Sheridan, L.I. Kupp // Int J Oral Maxillofac Implants. – 2003. – Vol. 18. – P. 93–103.</w:t>
      </w:r>
    </w:p>
    <w:p w:rsidR="0030517B" w:rsidRPr="00CA099F" w:rsidRDefault="0030517B" w:rsidP="0030517B">
      <w:pPr>
        <w:numPr>
          <w:ilvl w:val="0"/>
          <w:numId w:val="17"/>
        </w:numPr>
        <w:pBdr>
          <w:top w:val="nil"/>
          <w:left w:val="nil"/>
          <w:bottom w:val="nil"/>
          <w:right w:val="nil"/>
          <w:between w:val="nil"/>
        </w:pBdr>
        <w:shd w:val="clear" w:color="auto" w:fill="FFFFFF"/>
        <w:tabs>
          <w:tab w:val="left" w:pos="709"/>
        </w:tabs>
        <w:spacing w:after="0" w:line="360" w:lineRule="auto"/>
        <w:contextualSpacing/>
        <w:jc w:val="both"/>
        <w:rPr>
          <w:rFonts w:eastAsia="Times New Roman" w:cs="Times New Roman"/>
          <w:color w:val="000000"/>
          <w:sz w:val="28"/>
          <w:szCs w:val="28"/>
          <w:lang w:val="en-GB" w:eastAsia="ru-RU"/>
        </w:rPr>
      </w:pPr>
      <w:r w:rsidRPr="00CA099F">
        <w:rPr>
          <w:rFonts w:eastAsia="Times New Roman" w:cs="Times New Roman"/>
          <w:color w:val="000000"/>
          <w:sz w:val="28"/>
          <w:szCs w:val="28"/>
          <w:lang w:val="en-GB" w:eastAsia="ru-RU"/>
        </w:rPr>
        <w:t xml:space="preserve">Zygomatic fractures: Technical modifications for better aesthetic and functional results in older patients / A. </w:t>
      </w:r>
      <w:hyperlink r:id="rId336">
        <w:r w:rsidRPr="00CA099F">
          <w:rPr>
            <w:rFonts w:eastAsia="Times New Roman" w:cs="Times New Roman"/>
            <w:color w:val="000000"/>
            <w:sz w:val="28"/>
            <w:szCs w:val="28"/>
            <w:lang w:val="en-GB" w:eastAsia="ru-RU"/>
          </w:rPr>
          <w:t>Cortese</w:t>
        </w:r>
      </w:hyperlink>
      <w:r w:rsidRPr="00CA099F">
        <w:rPr>
          <w:rFonts w:eastAsia="Times New Roman" w:cs="Times New Roman"/>
          <w:color w:val="000000"/>
          <w:sz w:val="28"/>
          <w:szCs w:val="28"/>
          <w:lang w:val="en-GB" w:eastAsia="ru-RU"/>
        </w:rPr>
        <w:t xml:space="preserve">, M. </w:t>
      </w:r>
      <w:hyperlink r:id="rId337">
        <w:r w:rsidRPr="00CA099F">
          <w:rPr>
            <w:rFonts w:eastAsia="Times New Roman" w:cs="Times New Roman"/>
            <w:color w:val="000000"/>
            <w:sz w:val="28"/>
            <w:szCs w:val="28"/>
            <w:lang w:val="en-GB" w:eastAsia="ru-RU"/>
          </w:rPr>
          <w:t>Caggiano</w:t>
        </w:r>
      </w:hyperlink>
      <w:r w:rsidRPr="00CA099F">
        <w:rPr>
          <w:rFonts w:eastAsia="Times New Roman" w:cs="Times New Roman"/>
          <w:color w:val="000000"/>
          <w:sz w:val="28"/>
          <w:szCs w:val="28"/>
          <w:lang w:val="en-GB" w:eastAsia="ru-RU"/>
        </w:rPr>
        <w:t xml:space="preserve">, F. </w:t>
      </w:r>
      <w:hyperlink r:id="rId338">
        <w:r w:rsidRPr="00CA099F">
          <w:rPr>
            <w:rFonts w:eastAsia="Times New Roman" w:cs="Times New Roman"/>
            <w:color w:val="000000"/>
            <w:sz w:val="28"/>
            <w:szCs w:val="28"/>
            <w:lang w:val="en-GB" w:eastAsia="ru-RU"/>
          </w:rPr>
          <w:t>Carlino</w:t>
        </w:r>
      </w:hyperlink>
      <w:r w:rsidRPr="00CA099F">
        <w:rPr>
          <w:rFonts w:eastAsia="Times New Roman" w:cs="Times New Roman"/>
          <w:color w:val="000000"/>
          <w:sz w:val="28"/>
          <w:szCs w:val="28"/>
          <w:lang w:val="en-GB" w:eastAsia="ru-RU"/>
        </w:rPr>
        <w:t xml:space="preserve">, G. </w:t>
      </w:r>
      <w:hyperlink r:id="rId339">
        <w:r w:rsidRPr="00CA099F">
          <w:rPr>
            <w:rFonts w:eastAsia="Times New Roman" w:cs="Times New Roman"/>
            <w:color w:val="000000"/>
            <w:sz w:val="28"/>
            <w:szCs w:val="28"/>
            <w:lang w:val="en-GB" w:eastAsia="ru-RU"/>
          </w:rPr>
          <w:t xml:space="preserve">Pantaleo </w:t>
        </w:r>
      </w:hyperlink>
      <w:r w:rsidRPr="00CA099F">
        <w:rPr>
          <w:rFonts w:eastAsia="Times New Roman" w:cs="Times New Roman"/>
          <w:color w:val="000000"/>
          <w:sz w:val="28"/>
          <w:szCs w:val="28"/>
          <w:lang w:val="en-GB" w:eastAsia="ru-RU"/>
        </w:rPr>
        <w:t xml:space="preserve">// </w:t>
      </w:r>
      <w:hyperlink r:id="rId340">
        <w:r w:rsidRPr="00CA099F">
          <w:rPr>
            <w:rFonts w:eastAsia="Times New Roman" w:cs="Times New Roman"/>
            <w:color w:val="000000"/>
            <w:sz w:val="28"/>
            <w:szCs w:val="28"/>
            <w:lang w:val="en-GB" w:eastAsia="ru-RU"/>
          </w:rPr>
          <w:t>Int J Surg.</w:t>
        </w:r>
      </w:hyperlink>
      <w:r w:rsidRPr="00CA099F">
        <w:rPr>
          <w:rFonts w:eastAsia="Times New Roman" w:cs="Times New Roman"/>
          <w:color w:val="000000"/>
          <w:sz w:val="28"/>
          <w:szCs w:val="28"/>
          <w:lang w:val="en-GB" w:eastAsia="ru-RU"/>
        </w:rPr>
        <w:t xml:space="preserve"> – 2016. – Vol. 33. – P. 9-15.</w:t>
      </w:r>
    </w:p>
    <w:p w:rsidR="0030517B" w:rsidRPr="00CA099F" w:rsidRDefault="0030517B" w:rsidP="0030517B">
      <w:pPr>
        <w:numPr>
          <w:ilvl w:val="0"/>
          <w:numId w:val="17"/>
        </w:numPr>
        <w:pBdr>
          <w:top w:val="nil"/>
          <w:left w:val="nil"/>
          <w:bottom w:val="nil"/>
          <w:right w:val="nil"/>
          <w:between w:val="nil"/>
        </w:pBdr>
        <w:shd w:val="clear" w:color="auto" w:fill="FFFFFF"/>
        <w:tabs>
          <w:tab w:val="left" w:pos="709"/>
        </w:tabs>
        <w:spacing w:after="0" w:line="360" w:lineRule="auto"/>
        <w:contextualSpacing/>
        <w:jc w:val="both"/>
        <w:rPr>
          <w:rFonts w:eastAsia="Times New Roman" w:cs="Times New Roman"/>
          <w:color w:val="000000"/>
          <w:sz w:val="28"/>
          <w:szCs w:val="28"/>
          <w:lang w:val="en-GB" w:eastAsia="ru-RU"/>
        </w:rPr>
      </w:pPr>
      <w:r w:rsidRPr="00CA099F">
        <w:rPr>
          <w:rFonts w:eastAsia="Times New Roman" w:cs="Times New Roman"/>
          <w:color w:val="000000"/>
          <w:sz w:val="28"/>
          <w:szCs w:val="28"/>
          <w:lang w:eastAsia="ru-RU"/>
        </w:rPr>
        <w:t>Мещишен І. Ф. Метод визначення окислювальної модифікації білків плазми крові / І. Ф. Мещишен // Буковинський медичний вісник. – 1998. – Т. 2, № 1. – С. 156–158.</w:t>
      </w:r>
    </w:p>
    <w:p w:rsidR="0030517B" w:rsidRPr="00CA099F" w:rsidRDefault="0030517B" w:rsidP="0030517B">
      <w:pPr>
        <w:numPr>
          <w:ilvl w:val="0"/>
          <w:numId w:val="17"/>
        </w:numPr>
        <w:pBdr>
          <w:top w:val="nil"/>
          <w:left w:val="nil"/>
          <w:bottom w:val="nil"/>
          <w:right w:val="nil"/>
          <w:between w:val="nil"/>
        </w:pBdr>
        <w:shd w:val="clear" w:color="auto" w:fill="FFFFFF"/>
        <w:tabs>
          <w:tab w:val="left" w:pos="709"/>
        </w:tabs>
        <w:spacing w:after="0" w:line="360" w:lineRule="auto"/>
        <w:contextualSpacing/>
        <w:jc w:val="both"/>
        <w:rPr>
          <w:rFonts w:eastAsia="Times New Roman" w:cs="Times New Roman"/>
          <w:color w:val="000000"/>
          <w:sz w:val="28"/>
          <w:szCs w:val="28"/>
          <w:lang w:val="ru-RU" w:eastAsia="ru-RU"/>
        </w:rPr>
      </w:pPr>
      <w:r w:rsidRPr="00CA099F">
        <w:rPr>
          <w:rFonts w:eastAsia="Times New Roman" w:cs="Times New Roman"/>
          <w:color w:val="000000"/>
          <w:sz w:val="28"/>
          <w:szCs w:val="28"/>
          <w:lang w:eastAsia="ru-RU"/>
        </w:rPr>
        <w:t>Чевари С. Роль супероксидредуктазы в окислительных процессах клетки и метод определения ее в биологическом материале / С. Чевари, И. Чаба, Й. Секей // Лаб. дело. – 1985. – № 11. – С. 678–681.</w:t>
      </w:r>
    </w:p>
    <w:p w:rsidR="0030517B" w:rsidRPr="00CA099F" w:rsidRDefault="0030517B" w:rsidP="0030517B">
      <w:pPr>
        <w:numPr>
          <w:ilvl w:val="0"/>
          <w:numId w:val="17"/>
        </w:numPr>
        <w:pBdr>
          <w:top w:val="nil"/>
          <w:left w:val="nil"/>
          <w:bottom w:val="nil"/>
          <w:right w:val="nil"/>
          <w:between w:val="nil"/>
        </w:pBdr>
        <w:shd w:val="clear" w:color="auto" w:fill="FFFFFF"/>
        <w:tabs>
          <w:tab w:val="left" w:pos="709"/>
        </w:tabs>
        <w:spacing w:after="0" w:line="360" w:lineRule="auto"/>
        <w:contextualSpacing/>
        <w:jc w:val="both"/>
        <w:rPr>
          <w:rFonts w:eastAsia="Times New Roman" w:cs="Times New Roman"/>
          <w:color w:val="000000"/>
          <w:sz w:val="28"/>
          <w:szCs w:val="28"/>
          <w:lang w:val="ru-RU" w:eastAsia="ru-RU"/>
        </w:rPr>
      </w:pPr>
      <w:r w:rsidRPr="00CA099F">
        <w:rPr>
          <w:rFonts w:eastAsia="Times New Roman" w:cs="Times New Roman"/>
          <w:color w:val="000000"/>
          <w:sz w:val="28"/>
          <w:szCs w:val="28"/>
          <w:lang w:eastAsia="ru-RU"/>
        </w:rPr>
        <w:t>Котолюк М.А. Метод определения активности каталазы / М. А. Королюк, Л. И. Иванова, И. Г. Майорова [и др.] // Лаб. дело. – 1988. – № 1. – С. 16–18.</w:t>
      </w:r>
    </w:p>
    <w:p w:rsidR="0030517B" w:rsidRPr="00CA099F" w:rsidRDefault="0030517B" w:rsidP="0030517B">
      <w:pPr>
        <w:numPr>
          <w:ilvl w:val="0"/>
          <w:numId w:val="17"/>
        </w:numPr>
        <w:pBdr>
          <w:top w:val="nil"/>
          <w:left w:val="nil"/>
          <w:bottom w:val="nil"/>
          <w:right w:val="nil"/>
          <w:between w:val="nil"/>
        </w:pBdr>
        <w:shd w:val="clear" w:color="auto" w:fill="FFFFFF"/>
        <w:tabs>
          <w:tab w:val="left" w:pos="709"/>
        </w:tabs>
        <w:spacing w:after="0" w:line="360" w:lineRule="auto"/>
        <w:contextualSpacing/>
        <w:jc w:val="both"/>
        <w:rPr>
          <w:rFonts w:eastAsia="Times New Roman" w:cs="Times New Roman"/>
          <w:color w:val="000000"/>
          <w:sz w:val="28"/>
          <w:szCs w:val="28"/>
          <w:lang w:val="en-US" w:eastAsia="ru-RU"/>
        </w:rPr>
      </w:pPr>
      <w:r w:rsidRPr="00CA099F">
        <w:rPr>
          <w:rFonts w:eastAsia="Times New Roman" w:cs="Times New Roman"/>
          <w:color w:val="000000"/>
          <w:sz w:val="28"/>
          <w:szCs w:val="28"/>
          <w:lang w:eastAsia="ru-RU"/>
        </w:rPr>
        <w:lastRenderedPageBreak/>
        <w:t>Moffat J. A. Investigations into the role of sulfhydryl groups in the mechanism of action of the nitrates / J. A. Moffat, P. W. Armstrong, G. S. Marks // Canadian Journal of Physiology and Pharmacology. – 1982. – Vol. 60, № 10. – Р. 1261-1266.</w:t>
      </w:r>
    </w:p>
    <w:p w:rsidR="0030517B" w:rsidRPr="00CA099F" w:rsidRDefault="0030517B" w:rsidP="0030517B">
      <w:pPr>
        <w:numPr>
          <w:ilvl w:val="0"/>
          <w:numId w:val="17"/>
        </w:numPr>
        <w:pBdr>
          <w:top w:val="nil"/>
          <w:left w:val="nil"/>
          <w:bottom w:val="nil"/>
          <w:right w:val="nil"/>
          <w:between w:val="nil"/>
        </w:pBdr>
        <w:shd w:val="clear" w:color="auto" w:fill="FFFFFF"/>
        <w:tabs>
          <w:tab w:val="left" w:pos="709"/>
        </w:tabs>
        <w:spacing w:after="0" w:line="360" w:lineRule="auto"/>
        <w:contextualSpacing/>
        <w:jc w:val="both"/>
        <w:rPr>
          <w:rFonts w:eastAsia="Times New Roman" w:cs="Times New Roman"/>
          <w:color w:val="000000"/>
          <w:sz w:val="28"/>
          <w:szCs w:val="28"/>
          <w:lang w:val="ru-RU" w:eastAsia="ru-RU"/>
        </w:rPr>
      </w:pPr>
      <w:r w:rsidRPr="00CA099F">
        <w:rPr>
          <w:rFonts w:eastAsia="Times New Roman" w:cs="Times New Roman"/>
          <w:color w:val="000000"/>
          <w:sz w:val="28"/>
          <w:szCs w:val="28"/>
          <w:lang w:eastAsia="ru-RU"/>
        </w:rPr>
        <w:t>Пустовалова Р.А. Неоптерин как показатель активности воспалительного этапа раневого процесса в коже // Р.А. Пустовалова, М.Б. Петрова // Биомедицинск</w:t>
      </w:r>
      <w:r w:rsidR="00A74681">
        <w:rPr>
          <w:rFonts w:eastAsia="Times New Roman" w:cs="Times New Roman"/>
          <w:color w:val="000000"/>
          <w:sz w:val="28"/>
          <w:szCs w:val="28"/>
          <w:lang w:eastAsia="ru-RU"/>
        </w:rPr>
        <w:t>ая химия, 2011 том 57, вып. 4, С</w:t>
      </w:r>
      <w:r w:rsidRPr="00CA099F">
        <w:rPr>
          <w:rFonts w:eastAsia="Times New Roman" w:cs="Times New Roman"/>
          <w:color w:val="000000"/>
          <w:sz w:val="28"/>
          <w:szCs w:val="28"/>
          <w:lang w:eastAsia="ru-RU"/>
        </w:rPr>
        <w:t>. 461-468.</w:t>
      </w:r>
    </w:p>
    <w:p w:rsidR="0030517B" w:rsidRPr="00CA099F" w:rsidRDefault="0030517B" w:rsidP="0030517B">
      <w:pPr>
        <w:numPr>
          <w:ilvl w:val="0"/>
          <w:numId w:val="17"/>
        </w:numPr>
        <w:pBdr>
          <w:top w:val="nil"/>
          <w:left w:val="nil"/>
          <w:bottom w:val="nil"/>
          <w:right w:val="nil"/>
          <w:between w:val="nil"/>
        </w:pBdr>
        <w:shd w:val="clear" w:color="auto" w:fill="FFFFFF"/>
        <w:tabs>
          <w:tab w:val="left" w:pos="709"/>
        </w:tabs>
        <w:spacing w:after="0" w:line="360" w:lineRule="auto"/>
        <w:contextualSpacing/>
        <w:jc w:val="both"/>
        <w:rPr>
          <w:rFonts w:eastAsia="Times New Roman" w:cs="Times New Roman"/>
          <w:color w:val="000000"/>
          <w:sz w:val="28"/>
          <w:szCs w:val="28"/>
          <w:lang w:val="ru-RU" w:eastAsia="ru-RU"/>
        </w:rPr>
      </w:pPr>
      <w:r w:rsidRPr="00CA099F">
        <w:rPr>
          <w:rFonts w:eastAsia="Times New Roman" w:cs="Times New Roman"/>
          <w:color w:val="000000"/>
          <w:sz w:val="28"/>
          <w:szCs w:val="28"/>
          <w:lang w:eastAsia="ru-RU"/>
        </w:rPr>
        <w:t>Ферментативный метод определения дисбиоза полости рта для скрининга про-и пребиотиков: метод. рекомендации / А.П. Левицкий, О.А. Макаренко, И.А. Селиванская [и др.] – К.: ГФЦ МЗУ, 2007. – 22 с.</w:t>
      </w:r>
    </w:p>
    <w:p w:rsidR="0030517B" w:rsidRPr="00CA099F" w:rsidRDefault="0030517B" w:rsidP="0030517B">
      <w:pPr>
        <w:numPr>
          <w:ilvl w:val="0"/>
          <w:numId w:val="17"/>
        </w:numPr>
        <w:pBdr>
          <w:top w:val="nil"/>
          <w:left w:val="nil"/>
          <w:bottom w:val="nil"/>
          <w:right w:val="nil"/>
          <w:between w:val="nil"/>
        </w:pBdr>
        <w:shd w:val="clear" w:color="auto" w:fill="FFFFFF"/>
        <w:tabs>
          <w:tab w:val="left" w:pos="709"/>
        </w:tabs>
        <w:spacing w:after="0" w:line="360" w:lineRule="auto"/>
        <w:contextualSpacing/>
        <w:jc w:val="both"/>
        <w:rPr>
          <w:rFonts w:eastAsia="Times New Roman" w:cs="Times New Roman"/>
          <w:color w:val="000000"/>
          <w:sz w:val="28"/>
          <w:szCs w:val="28"/>
          <w:lang w:val="ru-RU" w:eastAsia="ru-RU"/>
        </w:rPr>
      </w:pPr>
      <w:r w:rsidRPr="00CA099F">
        <w:rPr>
          <w:rFonts w:eastAsia="Times New Roman" w:cs="Times New Roman"/>
          <w:color w:val="000000"/>
          <w:sz w:val="28"/>
          <w:szCs w:val="28"/>
          <w:lang w:eastAsia="ru-RU"/>
        </w:rPr>
        <w:t>Левицкий А.П. Методы определения активности эластазы и ее ингибиторов: метод. рекомендации / А.П. Левицкий, А.В. Стефанов – К.: ГФЦ, 2002. – 15 с.</w:t>
      </w:r>
    </w:p>
    <w:p w:rsidR="0030517B" w:rsidRPr="00CA099F" w:rsidRDefault="0030517B" w:rsidP="0030517B">
      <w:pPr>
        <w:numPr>
          <w:ilvl w:val="0"/>
          <w:numId w:val="17"/>
        </w:numPr>
        <w:pBdr>
          <w:top w:val="nil"/>
          <w:left w:val="nil"/>
          <w:bottom w:val="nil"/>
          <w:right w:val="nil"/>
          <w:between w:val="nil"/>
        </w:pBdr>
        <w:shd w:val="clear" w:color="auto" w:fill="FFFFFF"/>
        <w:tabs>
          <w:tab w:val="left" w:pos="709"/>
        </w:tabs>
        <w:spacing w:after="0" w:line="360" w:lineRule="auto"/>
        <w:contextualSpacing/>
        <w:jc w:val="both"/>
        <w:rPr>
          <w:rFonts w:eastAsia="Times New Roman" w:cs="Times New Roman"/>
          <w:color w:val="000000"/>
          <w:sz w:val="28"/>
          <w:szCs w:val="28"/>
          <w:lang w:val="ru-RU" w:eastAsia="ru-RU"/>
        </w:rPr>
      </w:pPr>
      <w:r>
        <w:rPr>
          <w:rFonts w:eastAsia="Times New Roman" w:cs="Times New Roman"/>
          <w:color w:val="000000"/>
          <w:sz w:val="28"/>
          <w:szCs w:val="28"/>
          <w:lang w:eastAsia="ru-RU"/>
        </w:rPr>
        <w:t>Бузлама B.</w:t>
      </w:r>
      <w:r w:rsidRPr="00CA099F">
        <w:rPr>
          <w:rFonts w:eastAsia="Times New Roman" w:cs="Times New Roman"/>
          <w:color w:val="000000"/>
          <w:sz w:val="28"/>
          <w:szCs w:val="28"/>
          <w:lang w:eastAsia="ru-RU"/>
        </w:rPr>
        <w:t>C. Методическое пособие по изучению процессов перекисного окисления липидов и системы антиоксидантной защиты организма животных / B. C. Бузлама, М. И. Рецкий, Н. П. Мещеряков, Т. Е. Рогачева. – Воронеж, 1997. – 35 с.</w:t>
      </w:r>
    </w:p>
    <w:p w:rsidR="0030517B" w:rsidRPr="00CA099F" w:rsidRDefault="0030517B" w:rsidP="0030517B">
      <w:pPr>
        <w:numPr>
          <w:ilvl w:val="0"/>
          <w:numId w:val="17"/>
        </w:numPr>
        <w:pBdr>
          <w:top w:val="nil"/>
          <w:left w:val="nil"/>
          <w:bottom w:val="nil"/>
          <w:right w:val="nil"/>
          <w:between w:val="nil"/>
        </w:pBdr>
        <w:shd w:val="clear" w:color="auto" w:fill="FFFFFF"/>
        <w:tabs>
          <w:tab w:val="left" w:pos="709"/>
        </w:tabs>
        <w:spacing w:after="0" w:line="360" w:lineRule="auto"/>
        <w:contextualSpacing/>
        <w:jc w:val="both"/>
        <w:rPr>
          <w:rFonts w:eastAsia="Times New Roman" w:cs="Times New Roman"/>
          <w:color w:val="000000"/>
          <w:sz w:val="28"/>
          <w:szCs w:val="28"/>
          <w:lang w:val="ru-RU" w:eastAsia="ru-RU"/>
        </w:rPr>
      </w:pPr>
      <w:r>
        <w:rPr>
          <w:rFonts w:eastAsia="Times New Roman" w:cs="Times New Roman"/>
          <w:color w:val="000000"/>
          <w:sz w:val="28"/>
          <w:szCs w:val="28"/>
          <w:lang w:eastAsia="ru-RU"/>
        </w:rPr>
        <w:t>Коробейникова Э.</w:t>
      </w:r>
      <w:r w:rsidRPr="00CA099F">
        <w:rPr>
          <w:rFonts w:eastAsia="Times New Roman" w:cs="Times New Roman"/>
          <w:color w:val="000000"/>
          <w:sz w:val="28"/>
          <w:szCs w:val="28"/>
          <w:lang w:eastAsia="ru-RU"/>
        </w:rPr>
        <w:t xml:space="preserve">Н. Модификация определения продуктов ПОЛ в реакции </w:t>
      </w:r>
      <w:r>
        <w:rPr>
          <w:rFonts w:eastAsia="Times New Roman" w:cs="Times New Roman"/>
          <w:color w:val="000000"/>
          <w:sz w:val="28"/>
          <w:szCs w:val="28"/>
          <w:lang w:eastAsia="ru-RU"/>
        </w:rPr>
        <w:t>с тиобарбитуровой кислотой / Э.</w:t>
      </w:r>
      <w:r w:rsidRPr="00CA099F">
        <w:rPr>
          <w:rFonts w:eastAsia="Times New Roman" w:cs="Times New Roman"/>
          <w:color w:val="000000"/>
          <w:sz w:val="28"/>
          <w:szCs w:val="28"/>
          <w:lang w:eastAsia="ru-RU"/>
        </w:rPr>
        <w:t>Н. Коробейникова // Лаб. дело. – 1989. – № 7. – С. 8-10.</w:t>
      </w:r>
    </w:p>
    <w:p w:rsidR="0030517B" w:rsidRPr="00CA099F" w:rsidRDefault="0030517B" w:rsidP="0030517B">
      <w:pPr>
        <w:numPr>
          <w:ilvl w:val="0"/>
          <w:numId w:val="17"/>
        </w:numPr>
        <w:pBdr>
          <w:top w:val="nil"/>
          <w:left w:val="nil"/>
          <w:bottom w:val="nil"/>
          <w:right w:val="nil"/>
          <w:between w:val="nil"/>
        </w:pBdr>
        <w:shd w:val="clear" w:color="auto" w:fill="FFFFFF"/>
        <w:tabs>
          <w:tab w:val="left" w:pos="709"/>
        </w:tabs>
        <w:spacing w:after="0" w:line="360" w:lineRule="auto"/>
        <w:contextualSpacing/>
        <w:jc w:val="both"/>
        <w:rPr>
          <w:rFonts w:eastAsia="Times New Roman" w:cs="Times New Roman"/>
          <w:color w:val="000000"/>
          <w:sz w:val="28"/>
          <w:szCs w:val="28"/>
          <w:lang w:val="ru-RU" w:eastAsia="ru-RU"/>
        </w:rPr>
      </w:pPr>
      <w:r w:rsidRPr="00CA099F">
        <w:rPr>
          <w:rFonts w:eastAsia="Times New Roman" w:cs="Times New Roman"/>
          <w:color w:val="000000"/>
          <w:sz w:val="28"/>
          <w:szCs w:val="28"/>
          <w:lang w:eastAsia="ru-RU"/>
        </w:rPr>
        <w:t xml:space="preserve">Caveolin-1 Inhibits Expression of Antioxidant Enzymes through Direct Interaction with Nuclear Erythroid 2 p45-related Factor-2 (Nrf2) / W. </w:t>
      </w:r>
      <w:hyperlink r:id="rId341" w:history="1">
        <w:r w:rsidRPr="00CA099F">
          <w:rPr>
            <w:rFonts w:eastAsia="Times New Roman" w:cs="Times New Roman"/>
            <w:sz w:val="28"/>
            <w:szCs w:val="28"/>
            <w:u w:val="single"/>
            <w:lang w:eastAsia="ru-RU"/>
          </w:rPr>
          <w:t>Li</w:t>
        </w:r>
      </w:hyperlink>
      <w:r w:rsidRPr="00CA099F">
        <w:rPr>
          <w:rFonts w:eastAsia="Times New Roman" w:cs="Times New Roman"/>
          <w:sz w:val="28"/>
          <w:szCs w:val="28"/>
          <w:lang w:eastAsia="ru-RU"/>
        </w:rPr>
        <w:t xml:space="preserve">, H. </w:t>
      </w:r>
      <w:hyperlink r:id="rId342" w:history="1">
        <w:r w:rsidRPr="00CA099F">
          <w:rPr>
            <w:rFonts w:eastAsia="Times New Roman" w:cs="Times New Roman"/>
            <w:sz w:val="28"/>
            <w:szCs w:val="28"/>
            <w:u w:val="single"/>
            <w:lang w:eastAsia="ru-RU"/>
          </w:rPr>
          <w:t>Liu</w:t>
        </w:r>
      </w:hyperlink>
      <w:r w:rsidRPr="00CA099F">
        <w:rPr>
          <w:rFonts w:eastAsia="Times New Roman" w:cs="Times New Roman"/>
          <w:sz w:val="28"/>
          <w:szCs w:val="28"/>
          <w:lang w:eastAsia="ru-RU"/>
        </w:rPr>
        <w:t xml:space="preserve">, J. S. </w:t>
      </w:r>
      <w:hyperlink r:id="rId343" w:history="1">
        <w:r w:rsidRPr="00CA099F">
          <w:rPr>
            <w:rFonts w:eastAsia="Times New Roman" w:cs="Times New Roman"/>
            <w:sz w:val="28"/>
            <w:szCs w:val="28"/>
            <w:u w:val="single"/>
            <w:lang w:eastAsia="ru-RU"/>
          </w:rPr>
          <w:t xml:space="preserve">Zhou </w:t>
        </w:r>
      </w:hyperlink>
      <w:r w:rsidRPr="00CA099F">
        <w:rPr>
          <w:rFonts w:eastAsia="Times New Roman" w:cs="Times New Roman"/>
          <w:sz w:val="28"/>
          <w:szCs w:val="28"/>
          <w:lang w:eastAsia="ru-RU"/>
        </w:rPr>
        <w:t xml:space="preserve">[et al.] // </w:t>
      </w:r>
      <w:hyperlink r:id="rId344" w:tooltip="The Journal of biological chemistry." w:history="1">
        <w:r w:rsidRPr="00CA099F">
          <w:rPr>
            <w:rFonts w:eastAsia="Times New Roman" w:cs="Times New Roman"/>
            <w:sz w:val="28"/>
            <w:szCs w:val="28"/>
            <w:u w:val="single"/>
            <w:lang w:eastAsia="ru-RU"/>
          </w:rPr>
          <w:t>J. Biol. Chem.</w:t>
        </w:r>
      </w:hyperlink>
      <w:r w:rsidRPr="00CA099F">
        <w:rPr>
          <w:rFonts w:eastAsia="Times New Roman" w:cs="Times New Roman"/>
          <w:sz w:val="28"/>
          <w:szCs w:val="28"/>
          <w:lang w:eastAsia="ru-RU"/>
        </w:rPr>
        <w:t xml:space="preserve"> – 2012. – Vol. 287, № 25. – P. </w:t>
      </w:r>
      <w:r w:rsidRPr="00CA099F">
        <w:rPr>
          <w:rFonts w:eastAsia="Times New Roman" w:cs="Times New Roman"/>
          <w:color w:val="000000"/>
          <w:sz w:val="28"/>
          <w:szCs w:val="28"/>
          <w:lang w:eastAsia="ru-RU"/>
        </w:rPr>
        <w:t>20922-20930.</w:t>
      </w:r>
    </w:p>
    <w:p w:rsidR="0030517B" w:rsidRPr="00CA099F" w:rsidRDefault="0030517B" w:rsidP="0030517B">
      <w:pPr>
        <w:numPr>
          <w:ilvl w:val="0"/>
          <w:numId w:val="17"/>
        </w:numPr>
        <w:pBdr>
          <w:top w:val="nil"/>
          <w:left w:val="nil"/>
          <w:bottom w:val="nil"/>
          <w:right w:val="nil"/>
          <w:between w:val="nil"/>
        </w:pBdr>
        <w:shd w:val="clear" w:color="auto" w:fill="FFFFFF"/>
        <w:tabs>
          <w:tab w:val="left" w:pos="709"/>
        </w:tabs>
        <w:spacing w:after="0" w:line="360" w:lineRule="auto"/>
        <w:contextualSpacing/>
        <w:jc w:val="both"/>
        <w:rPr>
          <w:rFonts w:eastAsia="Times New Roman" w:cs="Times New Roman"/>
          <w:color w:val="000000"/>
          <w:sz w:val="28"/>
          <w:szCs w:val="28"/>
          <w:lang w:val="ru-RU" w:eastAsia="ru-RU"/>
        </w:rPr>
      </w:pPr>
      <w:r>
        <w:rPr>
          <w:rFonts w:eastAsia="Times New Roman" w:cs="Times New Roman"/>
          <w:color w:val="000000"/>
          <w:sz w:val="28"/>
          <w:szCs w:val="28"/>
          <w:lang w:eastAsia="ru-RU"/>
        </w:rPr>
        <w:t>Влізло В.В., Федорук Р.</w:t>
      </w:r>
      <w:r w:rsidRPr="00CA099F">
        <w:rPr>
          <w:rFonts w:eastAsia="Times New Roman" w:cs="Times New Roman"/>
          <w:color w:val="000000"/>
          <w:sz w:val="28"/>
          <w:szCs w:val="28"/>
          <w:lang w:eastAsia="ru-RU"/>
        </w:rPr>
        <w:t>С., Ратич І. Б. та ін. Лабораторні методи досліджень у біології, тваринництві та ветеринарній медицині. Львів: СПОЛОМ, 2012. – 761 с.</w:t>
      </w:r>
    </w:p>
    <w:p w:rsidR="0030517B" w:rsidRPr="00CA099F" w:rsidRDefault="0030517B" w:rsidP="0030517B">
      <w:pPr>
        <w:numPr>
          <w:ilvl w:val="0"/>
          <w:numId w:val="17"/>
        </w:numPr>
        <w:pBdr>
          <w:top w:val="nil"/>
          <w:left w:val="nil"/>
          <w:bottom w:val="nil"/>
          <w:right w:val="nil"/>
          <w:between w:val="nil"/>
        </w:pBdr>
        <w:shd w:val="clear" w:color="auto" w:fill="FFFFFF"/>
        <w:tabs>
          <w:tab w:val="left" w:pos="709"/>
        </w:tabs>
        <w:spacing w:after="0" w:line="360" w:lineRule="auto"/>
        <w:contextualSpacing/>
        <w:jc w:val="both"/>
        <w:rPr>
          <w:rFonts w:eastAsia="Times New Roman" w:cs="Times New Roman"/>
          <w:color w:val="000000"/>
          <w:sz w:val="28"/>
          <w:szCs w:val="28"/>
          <w:lang w:val="ru-RU" w:eastAsia="ru-RU"/>
        </w:rPr>
      </w:pPr>
      <w:r w:rsidRPr="00CA099F">
        <w:rPr>
          <w:rFonts w:eastAsia="Times New Roman" w:cs="Times New Roman"/>
          <w:color w:val="000000"/>
          <w:sz w:val="28"/>
          <w:szCs w:val="28"/>
          <w:lang w:val="ru-RU" w:eastAsia="ru-RU"/>
        </w:rPr>
        <w:t>Камышников В.С. Справочник по клинико-биохимическим исследованиям и лабораторной диагностике / В.С. Камышников. – М.: МЕДпресс-информ. – 2004. – 911 с.</w:t>
      </w:r>
    </w:p>
    <w:p w:rsidR="0030517B" w:rsidRPr="00CA099F" w:rsidRDefault="0030517B" w:rsidP="0030517B">
      <w:pPr>
        <w:numPr>
          <w:ilvl w:val="0"/>
          <w:numId w:val="17"/>
        </w:numPr>
        <w:pBdr>
          <w:top w:val="nil"/>
          <w:left w:val="nil"/>
          <w:bottom w:val="nil"/>
          <w:right w:val="nil"/>
          <w:between w:val="nil"/>
        </w:pBdr>
        <w:shd w:val="clear" w:color="auto" w:fill="FFFFFF"/>
        <w:tabs>
          <w:tab w:val="left" w:pos="709"/>
        </w:tabs>
        <w:spacing w:after="0" w:line="360" w:lineRule="auto"/>
        <w:contextualSpacing/>
        <w:jc w:val="both"/>
        <w:rPr>
          <w:rFonts w:eastAsia="Times New Roman" w:cs="Times New Roman"/>
          <w:color w:val="000000"/>
          <w:sz w:val="28"/>
          <w:szCs w:val="28"/>
          <w:lang w:val="ru-RU" w:eastAsia="ru-RU"/>
        </w:rPr>
      </w:pPr>
      <w:r>
        <w:rPr>
          <w:rFonts w:eastAsia="Times New Roman" w:cs="Times New Roman"/>
          <w:color w:val="000000"/>
          <w:sz w:val="28"/>
          <w:szCs w:val="28"/>
          <w:lang w:val="ru-RU" w:eastAsia="ru-RU"/>
        </w:rPr>
        <w:lastRenderedPageBreak/>
        <w:t>Лапач С.</w:t>
      </w:r>
      <w:r w:rsidRPr="00CA099F">
        <w:rPr>
          <w:rFonts w:eastAsia="Times New Roman" w:cs="Times New Roman"/>
          <w:color w:val="000000"/>
          <w:sz w:val="28"/>
          <w:szCs w:val="28"/>
          <w:lang w:val="ru-RU" w:eastAsia="ru-RU"/>
        </w:rPr>
        <w:t>Н. Статистические методы в медико-биологических исследованиях с использованием Exel / Лапач С. Н. Чубенко А. В., Бабич П. Н. – Киев: Морион, 2000. – 320 с.</w:t>
      </w:r>
    </w:p>
    <w:p w:rsidR="0030517B" w:rsidRPr="00CA099F" w:rsidRDefault="0030517B" w:rsidP="0030517B">
      <w:pPr>
        <w:numPr>
          <w:ilvl w:val="0"/>
          <w:numId w:val="17"/>
        </w:numPr>
        <w:pBdr>
          <w:top w:val="nil"/>
          <w:left w:val="nil"/>
          <w:bottom w:val="nil"/>
          <w:right w:val="nil"/>
          <w:between w:val="nil"/>
        </w:pBdr>
        <w:spacing w:line="360" w:lineRule="auto"/>
        <w:contextualSpacing/>
        <w:jc w:val="both"/>
        <w:rPr>
          <w:rFonts w:eastAsia="Times New Roman" w:cs="Times New Roman"/>
          <w:sz w:val="28"/>
          <w:szCs w:val="28"/>
          <w:shd w:val="clear" w:color="auto" w:fill="FFFFFF"/>
          <w:lang w:eastAsia="ru-RU"/>
        </w:rPr>
      </w:pPr>
      <w:r>
        <w:rPr>
          <w:rFonts w:eastAsia="Times New Roman" w:cs="Times New Roman"/>
          <w:sz w:val="28"/>
          <w:szCs w:val="28"/>
          <w:shd w:val="clear" w:color="auto" w:fill="FFFFFF"/>
          <w:lang w:val="ru-RU" w:eastAsia="ru-RU"/>
        </w:rPr>
        <w:t>Шепітько В.</w:t>
      </w:r>
      <w:r w:rsidRPr="00CA099F">
        <w:rPr>
          <w:rFonts w:eastAsia="Times New Roman" w:cs="Times New Roman"/>
          <w:sz w:val="28"/>
          <w:szCs w:val="28"/>
          <w:shd w:val="clear" w:color="auto" w:fill="FFFFFF"/>
          <w:lang w:val="ru-RU" w:eastAsia="ru-RU"/>
        </w:rPr>
        <w:t>І. Вікові аспекти будови шкіри обличчя людини / В.І.</w:t>
      </w:r>
      <w:r w:rsidRPr="00CA099F">
        <w:rPr>
          <w:rFonts w:eastAsia="Times New Roman" w:cs="Times New Roman"/>
          <w:sz w:val="28"/>
          <w:szCs w:val="28"/>
          <w:shd w:val="clear" w:color="auto" w:fill="FFFFFF"/>
          <w:lang w:val="en-US" w:eastAsia="ru-RU"/>
        </w:rPr>
        <w:t> </w:t>
      </w:r>
      <w:r w:rsidRPr="00CA099F">
        <w:rPr>
          <w:rFonts w:eastAsia="Times New Roman" w:cs="Times New Roman"/>
          <w:sz w:val="28"/>
          <w:szCs w:val="28"/>
          <w:shd w:val="clear" w:color="auto" w:fill="FFFFFF"/>
          <w:lang w:val="ru-RU" w:eastAsia="ru-RU"/>
        </w:rPr>
        <w:t>Шепітько, Г.А. Єрошенко, О.Д. Лисаченко // Світ медицини та біології. — 2013. — № 3. — С. 91—97.</w:t>
      </w:r>
    </w:p>
    <w:p w:rsidR="0030517B" w:rsidRPr="00CA099F" w:rsidRDefault="00417675" w:rsidP="0030517B">
      <w:pPr>
        <w:numPr>
          <w:ilvl w:val="0"/>
          <w:numId w:val="17"/>
        </w:numPr>
        <w:pBdr>
          <w:top w:val="nil"/>
          <w:left w:val="nil"/>
          <w:bottom w:val="nil"/>
          <w:right w:val="nil"/>
          <w:between w:val="nil"/>
        </w:pBdr>
        <w:spacing w:line="360" w:lineRule="auto"/>
        <w:contextualSpacing/>
        <w:jc w:val="both"/>
        <w:rPr>
          <w:rFonts w:eastAsia="Times New Roman" w:cs="Times New Roman"/>
          <w:sz w:val="28"/>
          <w:szCs w:val="28"/>
          <w:shd w:val="clear" w:color="auto" w:fill="FFFFFF"/>
          <w:lang w:eastAsia="ru-RU"/>
        </w:rPr>
      </w:pPr>
      <w:hyperlink r:id="rId345" w:history="1">
        <w:r w:rsidR="0030517B" w:rsidRPr="00CA099F">
          <w:rPr>
            <w:rFonts w:eastAsia="Times New Roman" w:cs="Times New Roman"/>
            <w:sz w:val="28"/>
            <w:szCs w:val="28"/>
            <w:lang w:val="en-GB" w:eastAsia="ru-RU"/>
          </w:rPr>
          <w:t>Krzyszczyk</w:t>
        </w:r>
      </w:hyperlink>
      <w:r w:rsidR="0030517B" w:rsidRPr="00CA099F">
        <w:rPr>
          <w:rFonts w:eastAsia="Times New Roman" w:cs="Times New Roman"/>
          <w:color w:val="000000"/>
          <w:sz w:val="28"/>
          <w:szCs w:val="28"/>
          <w:lang w:val="en-GB" w:eastAsia="ru-RU"/>
        </w:rPr>
        <w:t>P. </w:t>
      </w:r>
      <w:r w:rsidR="0030517B" w:rsidRPr="00CA099F">
        <w:rPr>
          <w:rFonts w:eastAsia="Times New Roman" w:cs="Times New Roman"/>
          <w:sz w:val="28"/>
          <w:szCs w:val="28"/>
          <w:lang w:val="en-GB" w:eastAsia="ru-RU"/>
        </w:rPr>
        <w:t>The Role of Macrophages in Acute andChronicWound Healing and Interventions to Promo</w:t>
      </w:r>
      <w:r w:rsidR="0030517B" w:rsidRPr="00CA099F">
        <w:rPr>
          <w:rFonts w:eastAsia="Times New Roman" w:cs="Times New Roman"/>
          <w:color w:val="000000"/>
          <w:sz w:val="28"/>
          <w:szCs w:val="28"/>
          <w:lang w:val="en-GB" w:eastAsia="ru-RU"/>
        </w:rPr>
        <w:t>te Pro-wound Healing Phenotypes / P. </w:t>
      </w:r>
      <w:hyperlink r:id="rId346" w:history="1">
        <w:r w:rsidR="0030517B" w:rsidRPr="00CA099F">
          <w:rPr>
            <w:rFonts w:eastAsia="Times New Roman" w:cs="Times New Roman"/>
            <w:sz w:val="28"/>
            <w:szCs w:val="28"/>
            <w:lang w:val="en-GB" w:eastAsia="ru-RU"/>
          </w:rPr>
          <w:t>Krzyszczyk</w:t>
        </w:r>
      </w:hyperlink>
      <w:r w:rsidR="0030517B" w:rsidRPr="00CA099F">
        <w:rPr>
          <w:rFonts w:eastAsia="Times New Roman" w:cs="Times New Roman"/>
          <w:sz w:val="28"/>
          <w:szCs w:val="28"/>
          <w:lang w:val="en-GB" w:eastAsia="ru-RU"/>
        </w:rPr>
        <w:t>,</w:t>
      </w:r>
      <w:r w:rsidR="0030517B" w:rsidRPr="00CA099F">
        <w:rPr>
          <w:rFonts w:eastAsia="Times New Roman" w:cs="Times New Roman"/>
          <w:color w:val="000000"/>
          <w:sz w:val="28"/>
          <w:szCs w:val="28"/>
          <w:lang w:val="en-GB" w:eastAsia="ru-RU"/>
        </w:rPr>
        <w:t>R.</w:t>
      </w:r>
      <w:r w:rsidR="0030517B" w:rsidRPr="00CA099F">
        <w:rPr>
          <w:rFonts w:eastAsia="Times New Roman" w:cs="Times New Roman"/>
          <w:sz w:val="28"/>
          <w:szCs w:val="28"/>
          <w:lang w:val="en-GB" w:eastAsia="ru-RU"/>
        </w:rPr>
        <w:t> </w:t>
      </w:r>
      <w:hyperlink r:id="rId347" w:history="1">
        <w:r w:rsidR="0030517B" w:rsidRPr="00CA099F">
          <w:rPr>
            <w:rFonts w:eastAsia="Times New Roman" w:cs="Times New Roman"/>
            <w:sz w:val="28"/>
            <w:szCs w:val="28"/>
            <w:lang w:val="en-GB" w:eastAsia="ru-RU"/>
          </w:rPr>
          <w:t>Schloss</w:t>
        </w:r>
      </w:hyperlink>
      <w:r w:rsidR="0030517B" w:rsidRPr="00CA099F">
        <w:rPr>
          <w:rFonts w:eastAsia="Times New Roman" w:cs="Times New Roman"/>
          <w:sz w:val="28"/>
          <w:szCs w:val="28"/>
          <w:lang w:val="en-GB" w:eastAsia="ru-RU"/>
        </w:rPr>
        <w:t>,</w:t>
      </w:r>
      <w:r w:rsidR="0030517B" w:rsidRPr="00CA099F">
        <w:rPr>
          <w:rFonts w:eastAsia="Times New Roman" w:cs="Times New Roman"/>
          <w:color w:val="000000"/>
          <w:sz w:val="28"/>
          <w:szCs w:val="28"/>
          <w:lang w:val="en-GB" w:eastAsia="ru-RU"/>
        </w:rPr>
        <w:t>A.</w:t>
      </w:r>
      <w:r w:rsidR="0030517B" w:rsidRPr="00CA099F">
        <w:rPr>
          <w:rFonts w:eastAsia="Times New Roman" w:cs="Times New Roman"/>
          <w:sz w:val="28"/>
          <w:szCs w:val="28"/>
          <w:lang w:val="en-GB" w:eastAsia="ru-RU"/>
        </w:rPr>
        <w:t> </w:t>
      </w:r>
      <w:hyperlink r:id="rId348" w:history="1">
        <w:r w:rsidR="0030517B" w:rsidRPr="00CA099F">
          <w:rPr>
            <w:rFonts w:eastAsia="Times New Roman" w:cs="Times New Roman"/>
            <w:sz w:val="28"/>
            <w:szCs w:val="28"/>
            <w:lang w:val="en-GB" w:eastAsia="ru-RU"/>
          </w:rPr>
          <w:t>Palmer</w:t>
        </w:r>
      </w:hyperlink>
      <w:r w:rsidR="0030517B" w:rsidRPr="00CA099F">
        <w:rPr>
          <w:rFonts w:eastAsia="Times New Roman" w:cs="Times New Roman"/>
          <w:sz w:val="28"/>
          <w:szCs w:val="28"/>
          <w:lang w:val="en-GB" w:eastAsia="ru-RU"/>
        </w:rPr>
        <w:t>,</w:t>
      </w:r>
      <w:r w:rsidR="0030517B" w:rsidRPr="00CA099F">
        <w:rPr>
          <w:rFonts w:eastAsia="Times New Roman" w:cs="Times New Roman"/>
          <w:color w:val="000000"/>
          <w:sz w:val="28"/>
          <w:szCs w:val="28"/>
          <w:lang w:val="en-GB" w:eastAsia="ru-RU"/>
        </w:rPr>
        <w:t>F.</w:t>
      </w:r>
      <w:r w:rsidR="0030517B" w:rsidRPr="00CA099F">
        <w:rPr>
          <w:rFonts w:eastAsia="Times New Roman" w:cs="Times New Roman"/>
          <w:sz w:val="28"/>
          <w:szCs w:val="28"/>
          <w:lang w:val="en-GB" w:eastAsia="ru-RU"/>
        </w:rPr>
        <w:t> </w:t>
      </w:r>
      <w:hyperlink r:id="rId349" w:history="1">
        <w:r w:rsidR="0030517B" w:rsidRPr="00CA099F">
          <w:rPr>
            <w:rFonts w:eastAsia="Times New Roman" w:cs="Times New Roman"/>
            <w:sz w:val="28"/>
            <w:szCs w:val="28"/>
            <w:lang w:val="en-GB" w:eastAsia="ru-RU"/>
          </w:rPr>
          <w:t xml:space="preserve">Berthiaume </w:t>
        </w:r>
      </w:hyperlink>
      <w:r w:rsidR="0030517B" w:rsidRPr="00CA099F">
        <w:rPr>
          <w:rFonts w:eastAsia="Times New Roman" w:cs="Times New Roman"/>
          <w:color w:val="000000"/>
          <w:sz w:val="28"/>
          <w:szCs w:val="28"/>
          <w:lang w:val="en-US" w:eastAsia="ru-RU"/>
        </w:rPr>
        <w:t xml:space="preserve">// </w:t>
      </w:r>
      <w:r w:rsidR="0030517B" w:rsidRPr="00CA099F">
        <w:rPr>
          <w:rFonts w:eastAsia="Times New Roman" w:cs="Times New Roman"/>
          <w:color w:val="000000"/>
          <w:sz w:val="28"/>
          <w:szCs w:val="28"/>
          <w:lang w:val="en-GB" w:eastAsia="ru-RU"/>
        </w:rPr>
        <w:t xml:space="preserve">Physiol J. – </w:t>
      </w:r>
      <w:r w:rsidR="0030517B" w:rsidRPr="00CA099F">
        <w:rPr>
          <w:rFonts w:eastAsia="Times New Roman" w:cs="Times New Roman"/>
          <w:sz w:val="28"/>
          <w:szCs w:val="28"/>
          <w:lang w:val="en-GB" w:eastAsia="ru-RU"/>
        </w:rPr>
        <w:t>2018</w:t>
      </w:r>
      <w:r w:rsidR="0030517B" w:rsidRPr="00CA099F">
        <w:rPr>
          <w:rFonts w:eastAsia="Times New Roman" w:cs="Times New Roman"/>
          <w:color w:val="000000"/>
          <w:sz w:val="28"/>
          <w:szCs w:val="28"/>
          <w:lang w:val="en-GB" w:eastAsia="ru-RU"/>
        </w:rPr>
        <w:t xml:space="preserve">. – Vol. </w:t>
      </w:r>
      <w:r w:rsidR="0030517B" w:rsidRPr="00CA099F">
        <w:rPr>
          <w:rFonts w:eastAsia="Times New Roman" w:cs="Times New Roman"/>
          <w:sz w:val="28"/>
          <w:szCs w:val="28"/>
          <w:lang w:val="en-GB" w:eastAsia="ru-RU"/>
        </w:rPr>
        <w:t>1</w:t>
      </w:r>
      <w:r w:rsidR="0030517B" w:rsidRPr="00CA099F">
        <w:rPr>
          <w:rFonts w:eastAsia="Times New Roman" w:cs="Times New Roman"/>
          <w:color w:val="000000"/>
          <w:sz w:val="28"/>
          <w:szCs w:val="28"/>
          <w:lang w:val="en-GB" w:eastAsia="ru-RU"/>
        </w:rPr>
        <w:t>(</w:t>
      </w:r>
      <w:r w:rsidR="0030517B" w:rsidRPr="00CA099F">
        <w:rPr>
          <w:rFonts w:eastAsia="Times New Roman" w:cs="Times New Roman"/>
          <w:sz w:val="28"/>
          <w:szCs w:val="28"/>
          <w:lang w:val="en-GB" w:eastAsia="ru-RU"/>
        </w:rPr>
        <w:t>9</w:t>
      </w:r>
      <w:r w:rsidR="0030517B" w:rsidRPr="00CA099F">
        <w:rPr>
          <w:rFonts w:eastAsia="Times New Roman" w:cs="Times New Roman"/>
          <w:color w:val="000000"/>
          <w:sz w:val="28"/>
          <w:szCs w:val="28"/>
          <w:lang w:val="en-GB" w:eastAsia="ru-RU"/>
        </w:rPr>
        <w:t>). – P. </w:t>
      </w:r>
      <w:r w:rsidR="0030517B" w:rsidRPr="00CA099F">
        <w:rPr>
          <w:rFonts w:eastAsia="Times New Roman" w:cs="Times New Roman"/>
          <w:sz w:val="28"/>
          <w:szCs w:val="28"/>
          <w:lang w:val="en-GB" w:eastAsia="ru-RU"/>
        </w:rPr>
        <w:t>419.</w:t>
      </w:r>
    </w:p>
    <w:p w:rsidR="0030517B" w:rsidRPr="00CA099F" w:rsidRDefault="0030517B" w:rsidP="0030517B">
      <w:pPr>
        <w:numPr>
          <w:ilvl w:val="0"/>
          <w:numId w:val="17"/>
        </w:numPr>
        <w:pBdr>
          <w:top w:val="nil"/>
          <w:left w:val="nil"/>
          <w:bottom w:val="nil"/>
          <w:right w:val="nil"/>
          <w:between w:val="nil"/>
        </w:pBdr>
        <w:spacing w:after="0" w:line="360" w:lineRule="auto"/>
        <w:contextualSpacing/>
        <w:jc w:val="both"/>
        <w:rPr>
          <w:rFonts w:eastAsia="Times New Roman" w:cs="Times New Roman"/>
          <w:sz w:val="28"/>
          <w:szCs w:val="28"/>
          <w:shd w:val="clear" w:color="auto" w:fill="FFFFFF"/>
          <w:lang w:val="ru-RU" w:eastAsia="ru-RU"/>
        </w:rPr>
      </w:pPr>
      <w:r>
        <w:rPr>
          <w:rFonts w:eastAsia="Times New Roman" w:cs="Times New Roman"/>
          <w:sz w:val="28"/>
          <w:szCs w:val="28"/>
          <w:shd w:val="clear" w:color="auto" w:fill="FFFFFF"/>
          <w:lang w:eastAsia="ru-RU"/>
        </w:rPr>
        <w:t xml:space="preserve">Ставицький С.О. </w:t>
      </w:r>
      <w:r w:rsidRPr="00CA099F">
        <w:rPr>
          <w:rFonts w:eastAsia="Times New Roman" w:cs="Times New Roman"/>
          <w:sz w:val="28"/>
          <w:szCs w:val="28"/>
          <w:shd w:val="clear" w:color="auto" w:fill="FFFFFF"/>
          <w:lang w:eastAsia="ru-RU"/>
        </w:rPr>
        <w:t xml:space="preserve">Оптимізація хірургічних розрізів шкіри голови та шиї. </w:t>
      </w:r>
      <w:r w:rsidRPr="00CA099F">
        <w:rPr>
          <w:rFonts w:eastAsia="Times New Roman" w:cs="Times New Roman"/>
          <w:sz w:val="28"/>
          <w:szCs w:val="28"/>
          <w:shd w:val="clear" w:color="auto" w:fill="FFFFFF"/>
          <w:lang w:val="ru-RU" w:eastAsia="ru-RU"/>
        </w:rPr>
        <w:t>Сучасний погляд на проблему / С.О. Ставицький, Д.С. Аветіков, І.В. Яценко, К.П.</w:t>
      </w:r>
      <w:r w:rsidRPr="00CA099F">
        <w:rPr>
          <w:rFonts w:eastAsia="Times New Roman" w:cs="Times New Roman"/>
          <w:sz w:val="28"/>
          <w:szCs w:val="28"/>
          <w:shd w:val="clear" w:color="auto" w:fill="FFFFFF"/>
          <w:lang w:val="en-US" w:eastAsia="ru-RU"/>
        </w:rPr>
        <w:t> </w:t>
      </w:r>
      <w:r w:rsidRPr="00CA099F">
        <w:rPr>
          <w:rFonts w:eastAsia="Times New Roman" w:cs="Times New Roman"/>
          <w:sz w:val="28"/>
          <w:szCs w:val="28"/>
          <w:shd w:val="clear" w:color="auto" w:fill="FFFFFF"/>
          <w:lang w:val="ru-RU" w:eastAsia="ru-RU"/>
        </w:rPr>
        <w:t>Локес // Вісник проблем біології і медицини. – 2013. – Вип. 3, Т. 2(103). – С. 42–47.</w:t>
      </w:r>
    </w:p>
    <w:p w:rsidR="0030517B" w:rsidRPr="0016277E" w:rsidRDefault="0030517B" w:rsidP="0030517B">
      <w:pPr>
        <w:numPr>
          <w:ilvl w:val="0"/>
          <w:numId w:val="17"/>
        </w:numPr>
        <w:pBdr>
          <w:top w:val="nil"/>
          <w:left w:val="nil"/>
          <w:bottom w:val="nil"/>
          <w:right w:val="nil"/>
          <w:between w:val="nil"/>
        </w:pBdr>
        <w:spacing w:after="0" w:line="360" w:lineRule="auto"/>
        <w:contextualSpacing/>
        <w:jc w:val="both"/>
        <w:rPr>
          <w:rFonts w:eastAsia="Times New Roman" w:cs="Times New Roman"/>
          <w:sz w:val="28"/>
          <w:szCs w:val="28"/>
          <w:lang w:eastAsia="ru-RU"/>
        </w:rPr>
      </w:pPr>
      <w:r w:rsidRPr="00CA099F">
        <w:rPr>
          <w:rFonts w:eastAsia="Times New Roman" w:cs="Times New Roman"/>
          <w:sz w:val="28"/>
          <w:szCs w:val="28"/>
          <w:shd w:val="clear" w:color="auto" w:fill="FFFFFF"/>
          <w:lang w:eastAsia="ru-RU"/>
        </w:rPr>
        <w:t xml:space="preserve">Патент 109266 </w:t>
      </w:r>
      <w:r w:rsidRPr="00CA099F">
        <w:rPr>
          <w:rFonts w:eastAsia="Times New Roman" w:cs="Times New Roman"/>
          <w:sz w:val="28"/>
          <w:szCs w:val="28"/>
          <w:shd w:val="clear" w:color="auto" w:fill="FFFFFF"/>
          <w:lang w:val="en-GB" w:eastAsia="ru-RU"/>
        </w:rPr>
        <w:t>UA</w:t>
      </w:r>
      <w:r w:rsidRPr="00CA099F">
        <w:rPr>
          <w:rFonts w:eastAsia="Times New Roman" w:cs="Times New Roman"/>
          <w:sz w:val="28"/>
          <w:szCs w:val="28"/>
          <w:shd w:val="clear" w:color="auto" w:fill="FFFFFF"/>
          <w:lang w:eastAsia="ru-RU"/>
        </w:rPr>
        <w:t xml:space="preserve">, МПК </w:t>
      </w:r>
      <w:r w:rsidRPr="00CA099F">
        <w:rPr>
          <w:rFonts w:eastAsia="Times New Roman" w:cs="Times New Roman"/>
          <w:sz w:val="28"/>
          <w:szCs w:val="28"/>
          <w:shd w:val="clear" w:color="auto" w:fill="FFFFFF"/>
          <w:lang w:val="en-GB" w:eastAsia="ru-RU"/>
        </w:rPr>
        <w:t>A</w:t>
      </w:r>
      <w:r w:rsidRPr="00CA099F">
        <w:rPr>
          <w:rFonts w:eastAsia="Times New Roman" w:cs="Times New Roman"/>
          <w:sz w:val="28"/>
          <w:szCs w:val="28"/>
          <w:shd w:val="clear" w:color="auto" w:fill="FFFFFF"/>
          <w:lang w:eastAsia="ru-RU"/>
        </w:rPr>
        <w:t>61</w:t>
      </w:r>
      <w:r w:rsidRPr="00CA099F">
        <w:rPr>
          <w:rFonts w:eastAsia="Times New Roman" w:cs="Times New Roman"/>
          <w:sz w:val="28"/>
          <w:szCs w:val="28"/>
          <w:shd w:val="clear" w:color="auto" w:fill="FFFFFF"/>
          <w:lang w:val="en-GB" w:eastAsia="ru-RU"/>
        </w:rPr>
        <w:t>B</w:t>
      </w:r>
      <w:r w:rsidRPr="00CA099F">
        <w:rPr>
          <w:rFonts w:eastAsia="Times New Roman" w:cs="Times New Roman"/>
          <w:sz w:val="28"/>
          <w:szCs w:val="28"/>
          <w:shd w:val="clear" w:color="auto" w:fill="FFFFFF"/>
          <w:lang w:eastAsia="ru-RU"/>
        </w:rPr>
        <w:t xml:space="preserve"> 8/00 (2016.01) Спосіб інтегральної диференційної діагностики рубців шкіри голови та шиї різного генезу / Д.С.Аветіков, С.О.Ставицький, О.П.Буханченко, О.О.</w:t>
      </w:r>
      <w:r w:rsidRPr="00CA099F">
        <w:rPr>
          <w:rFonts w:eastAsia="Times New Roman" w:cs="Times New Roman"/>
          <w:sz w:val="28"/>
          <w:szCs w:val="28"/>
          <w:shd w:val="clear" w:color="auto" w:fill="FFFFFF"/>
          <w:lang w:val="en-US" w:eastAsia="ru-RU"/>
        </w:rPr>
        <w:t> </w:t>
      </w:r>
      <w:r w:rsidRPr="00CA099F">
        <w:rPr>
          <w:rFonts w:eastAsia="Times New Roman" w:cs="Times New Roman"/>
          <w:sz w:val="28"/>
          <w:szCs w:val="28"/>
          <w:shd w:val="clear" w:color="auto" w:fill="FFFFFF"/>
          <w:lang w:eastAsia="ru-RU"/>
        </w:rPr>
        <w:t xml:space="preserve">Розколупа, В.Д. Ахмеров; заявник ВДНЗУ УМСА. — № </w:t>
      </w:r>
      <w:r w:rsidRPr="00CA099F">
        <w:rPr>
          <w:rFonts w:eastAsia="Times New Roman" w:cs="Times New Roman"/>
          <w:sz w:val="28"/>
          <w:szCs w:val="28"/>
          <w:shd w:val="clear" w:color="auto" w:fill="FFFFFF"/>
          <w:lang w:val="en-GB" w:eastAsia="ru-RU"/>
        </w:rPr>
        <w:t>u</w:t>
      </w:r>
      <w:r w:rsidRPr="00CA099F">
        <w:rPr>
          <w:rFonts w:eastAsia="Times New Roman" w:cs="Times New Roman"/>
          <w:sz w:val="28"/>
          <w:szCs w:val="28"/>
          <w:shd w:val="clear" w:color="auto" w:fill="FFFFFF"/>
          <w:lang w:eastAsia="ru-RU"/>
        </w:rPr>
        <w:t xml:space="preserve"> 2015 00024 ; заявл. </w:t>
      </w:r>
      <w:r>
        <w:rPr>
          <w:rFonts w:eastAsia="Times New Roman" w:cs="Times New Roman"/>
          <w:sz w:val="28"/>
          <w:szCs w:val="28"/>
          <w:shd w:val="clear" w:color="auto" w:fill="FFFFFF"/>
          <w:lang w:val="ru-RU" w:eastAsia="ru-RU"/>
        </w:rPr>
        <w:t>04.01.2016</w:t>
      </w:r>
      <w:r w:rsidRPr="00CA099F">
        <w:rPr>
          <w:rFonts w:eastAsia="Times New Roman" w:cs="Times New Roman"/>
          <w:sz w:val="28"/>
          <w:szCs w:val="28"/>
          <w:shd w:val="clear" w:color="auto" w:fill="FFFFFF"/>
          <w:lang w:val="ru-RU" w:eastAsia="ru-RU"/>
        </w:rPr>
        <w:t>; опубл. 25.08.2016, Бюл. № 16.</w:t>
      </w:r>
    </w:p>
    <w:p w:rsidR="0016277E" w:rsidRDefault="0016277E" w:rsidP="0016277E">
      <w:pPr>
        <w:pBdr>
          <w:top w:val="nil"/>
          <w:left w:val="nil"/>
          <w:bottom w:val="nil"/>
          <w:right w:val="nil"/>
          <w:between w:val="nil"/>
        </w:pBdr>
        <w:spacing w:after="0" w:line="360" w:lineRule="auto"/>
        <w:contextualSpacing/>
        <w:jc w:val="both"/>
        <w:rPr>
          <w:rFonts w:eastAsia="Times New Roman" w:cs="Times New Roman"/>
          <w:sz w:val="28"/>
          <w:szCs w:val="28"/>
          <w:shd w:val="clear" w:color="auto" w:fill="FFFFFF"/>
          <w:lang w:val="ru-RU" w:eastAsia="ru-RU"/>
        </w:rPr>
      </w:pPr>
    </w:p>
    <w:p w:rsidR="0016277E" w:rsidRDefault="0016277E" w:rsidP="0016277E">
      <w:pPr>
        <w:pBdr>
          <w:top w:val="nil"/>
          <w:left w:val="nil"/>
          <w:bottom w:val="nil"/>
          <w:right w:val="nil"/>
          <w:between w:val="nil"/>
        </w:pBdr>
        <w:spacing w:after="0" w:line="360" w:lineRule="auto"/>
        <w:contextualSpacing/>
        <w:jc w:val="both"/>
        <w:rPr>
          <w:rFonts w:eastAsia="Times New Roman" w:cs="Times New Roman"/>
          <w:sz w:val="28"/>
          <w:szCs w:val="28"/>
          <w:shd w:val="clear" w:color="auto" w:fill="FFFFFF"/>
          <w:lang w:val="ru-RU" w:eastAsia="ru-RU"/>
        </w:rPr>
      </w:pPr>
    </w:p>
    <w:p w:rsidR="0016277E" w:rsidRDefault="0016277E" w:rsidP="0016277E">
      <w:pPr>
        <w:pBdr>
          <w:top w:val="nil"/>
          <w:left w:val="nil"/>
          <w:bottom w:val="nil"/>
          <w:right w:val="nil"/>
          <w:between w:val="nil"/>
        </w:pBdr>
        <w:spacing w:after="0" w:line="360" w:lineRule="auto"/>
        <w:contextualSpacing/>
        <w:jc w:val="both"/>
        <w:rPr>
          <w:rFonts w:eastAsia="Times New Roman" w:cs="Times New Roman"/>
          <w:sz w:val="28"/>
          <w:szCs w:val="28"/>
          <w:shd w:val="clear" w:color="auto" w:fill="FFFFFF"/>
          <w:lang w:val="ru-RU" w:eastAsia="ru-RU"/>
        </w:rPr>
      </w:pPr>
    </w:p>
    <w:p w:rsidR="0016277E" w:rsidRDefault="0016277E" w:rsidP="0016277E">
      <w:pPr>
        <w:pBdr>
          <w:top w:val="nil"/>
          <w:left w:val="nil"/>
          <w:bottom w:val="nil"/>
          <w:right w:val="nil"/>
          <w:between w:val="nil"/>
        </w:pBdr>
        <w:spacing w:after="0" w:line="360" w:lineRule="auto"/>
        <w:contextualSpacing/>
        <w:jc w:val="both"/>
        <w:rPr>
          <w:rFonts w:eastAsia="Times New Roman" w:cs="Times New Roman"/>
          <w:sz w:val="28"/>
          <w:szCs w:val="28"/>
          <w:shd w:val="clear" w:color="auto" w:fill="FFFFFF"/>
          <w:lang w:val="ru-RU" w:eastAsia="ru-RU"/>
        </w:rPr>
      </w:pPr>
    </w:p>
    <w:p w:rsidR="0016277E" w:rsidRDefault="0016277E" w:rsidP="0016277E">
      <w:pPr>
        <w:pBdr>
          <w:top w:val="nil"/>
          <w:left w:val="nil"/>
          <w:bottom w:val="nil"/>
          <w:right w:val="nil"/>
          <w:between w:val="nil"/>
        </w:pBdr>
        <w:spacing w:after="0" w:line="360" w:lineRule="auto"/>
        <w:contextualSpacing/>
        <w:jc w:val="both"/>
        <w:rPr>
          <w:rFonts w:eastAsia="Times New Roman" w:cs="Times New Roman"/>
          <w:sz w:val="28"/>
          <w:szCs w:val="28"/>
          <w:shd w:val="clear" w:color="auto" w:fill="FFFFFF"/>
          <w:lang w:val="ru-RU" w:eastAsia="ru-RU"/>
        </w:rPr>
      </w:pPr>
    </w:p>
    <w:p w:rsidR="0016277E" w:rsidRDefault="0016277E" w:rsidP="0016277E">
      <w:pPr>
        <w:pBdr>
          <w:top w:val="nil"/>
          <w:left w:val="nil"/>
          <w:bottom w:val="nil"/>
          <w:right w:val="nil"/>
          <w:between w:val="nil"/>
        </w:pBdr>
        <w:spacing w:after="0" w:line="360" w:lineRule="auto"/>
        <w:contextualSpacing/>
        <w:jc w:val="both"/>
        <w:rPr>
          <w:rFonts w:eastAsia="Times New Roman" w:cs="Times New Roman"/>
          <w:sz w:val="28"/>
          <w:szCs w:val="28"/>
          <w:shd w:val="clear" w:color="auto" w:fill="FFFFFF"/>
          <w:lang w:val="ru-RU" w:eastAsia="ru-RU"/>
        </w:rPr>
      </w:pPr>
    </w:p>
    <w:p w:rsidR="0016277E" w:rsidRDefault="0016277E" w:rsidP="0016277E">
      <w:pPr>
        <w:pBdr>
          <w:top w:val="nil"/>
          <w:left w:val="nil"/>
          <w:bottom w:val="nil"/>
          <w:right w:val="nil"/>
          <w:between w:val="nil"/>
        </w:pBdr>
        <w:spacing w:after="0" w:line="360" w:lineRule="auto"/>
        <w:contextualSpacing/>
        <w:jc w:val="both"/>
        <w:rPr>
          <w:rFonts w:eastAsia="Times New Roman" w:cs="Times New Roman"/>
          <w:sz w:val="28"/>
          <w:szCs w:val="28"/>
          <w:shd w:val="clear" w:color="auto" w:fill="FFFFFF"/>
          <w:lang w:val="ru-RU" w:eastAsia="ru-RU"/>
        </w:rPr>
      </w:pPr>
    </w:p>
    <w:p w:rsidR="0016277E" w:rsidRDefault="0016277E" w:rsidP="0016277E">
      <w:pPr>
        <w:pBdr>
          <w:top w:val="nil"/>
          <w:left w:val="nil"/>
          <w:bottom w:val="nil"/>
          <w:right w:val="nil"/>
          <w:between w:val="nil"/>
        </w:pBdr>
        <w:spacing w:after="0" w:line="360" w:lineRule="auto"/>
        <w:contextualSpacing/>
        <w:jc w:val="both"/>
        <w:rPr>
          <w:rFonts w:eastAsia="Times New Roman" w:cs="Times New Roman"/>
          <w:sz w:val="28"/>
          <w:szCs w:val="28"/>
          <w:shd w:val="clear" w:color="auto" w:fill="FFFFFF"/>
          <w:lang w:val="ru-RU" w:eastAsia="ru-RU"/>
        </w:rPr>
      </w:pPr>
    </w:p>
    <w:p w:rsidR="0016277E" w:rsidRDefault="0016277E" w:rsidP="0016277E">
      <w:pPr>
        <w:pBdr>
          <w:top w:val="nil"/>
          <w:left w:val="nil"/>
          <w:bottom w:val="nil"/>
          <w:right w:val="nil"/>
          <w:between w:val="nil"/>
        </w:pBdr>
        <w:spacing w:after="0" w:line="360" w:lineRule="auto"/>
        <w:contextualSpacing/>
        <w:jc w:val="both"/>
        <w:rPr>
          <w:rFonts w:eastAsia="Times New Roman" w:cs="Times New Roman"/>
          <w:sz w:val="28"/>
          <w:szCs w:val="28"/>
          <w:shd w:val="clear" w:color="auto" w:fill="FFFFFF"/>
          <w:lang w:val="ru-RU" w:eastAsia="ru-RU"/>
        </w:rPr>
      </w:pPr>
    </w:p>
    <w:p w:rsidR="0016277E" w:rsidRDefault="0016277E" w:rsidP="0016277E">
      <w:pPr>
        <w:pBdr>
          <w:top w:val="nil"/>
          <w:left w:val="nil"/>
          <w:bottom w:val="nil"/>
          <w:right w:val="nil"/>
          <w:between w:val="nil"/>
        </w:pBdr>
        <w:spacing w:after="0" w:line="360" w:lineRule="auto"/>
        <w:contextualSpacing/>
        <w:jc w:val="both"/>
        <w:rPr>
          <w:rFonts w:eastAsia="Times New Roman" w:cs="Times New Roman"/>
          <w:sz w:val="28"/>
          <w:szCs w:val="28"/>
          <w:shd w:val="clear" w:color="auto" w:fill="FFFFFF"/>
          <w:lang w:val="ru-RU" w:eastAsia="ru-RU"/>
        </w:rPr>
      </w:pPr>
    </w:p>
    <w:p w:rsidR="0016277E" w:rsidRDefault="0016277E" w:rsidP="0016277E">
      <w:pPr>
        <w:pBdr>
          <w:top w:val="nil"/>
          <w:left w:val="nil"/>
          <w:bottom w:val="nil"/>
          <w:right w:val="nil"/>
          <w:between w:val="nil"/>
        </w:pBdr>
        <w:spacing w:after="0" w:line="360" w:lineRule="auto"/>
        <w:contextualSpacing/>
        <w:jc w:val="both"/>
        <w:rPr>
          <w:rFonts w:eastAsia="Times New Roman" w:cs="Times New Roman"/>
          <w:sz w:val="28"/>
          <w:szCs w:val="28"/>
          <w:shd w:val="clear" w:color="auto" w:fill="FFFFFF"/>
          <w:lang w:val="ru-RU" w:eastAsia="ru-RU"/>
        </w:rPr>
      </w:pPr>
    </w:p>
    <w:p w:rsidR="0016277E" w:rsidRDefault="0016277E" w:rsidP="0016277E">
      <w:pPr>
        <w:spacing w:line="360" w:lineRule="auto"/>
        <w:jc w:val="center"/>
        <w:rPr>
          <w:rFonts w:eastAsia="MS Mincho"/>
          <w:b/>
          <w:sz w:val="28"/>
          <w:szCs w:val="24"/>
        </w:rPr>
      </w:pPr>
      <w:r w:rsidRPr="008774F8">
        <w:rPr>
          <w:rFonts w:eastAsia="MS Mincho"/>
          <w:b/>
          <w:sz w:val="28"/>
          <w:szCs w:val="24"/>
        </w:rPr>
        <w:lastRenderedPageBreak/>
        <w:t>ДОДАТОК</w:t>
      </w:r>
      <w:r>
        <w:rPr>
          <w:rFonts w:eastAsia="MS Mincho"/>
          <w:b/>
          <w:sz w:val="28"/>
          <w:szCs w:val="24"/>
        </w:rPr>
        <w:t xml:space="preserve"> А</w:t>
      </w:r>
    </w:p>
    <w:p w:rsidR="0016277E" w:rsidRPr="00C34B6C" w:rsidRDefault="0016277E" w:rsidP="0016277E">
      <w:pPr>
        <w:tabs>
          <w:tab w:val="left" w:pos="142"/>
        </w:tabs>
        <w:spacing w:line="360" w:lineRule="auto"/>
        <w:jc w:val="center"/>
        <w:rPr>
          <w:b/>
          <w:sz w:val="28"/>
          <w:szCs w:val="28"/>
        </w:rPr>
      </w:pPr>
      <w:r w:rsidRPr="00C34B6C">
        <w:rPr>
          <w:b/>
          <w:sz w:val="28"/>
          <w:szCs w:val="28"/>
        </w:rPr>
        <w:t>СПИСОК ОПУБЛІКОВАНИХ ПРАЦЬ ЗА ТЕМОЮ ДИСЕРТАЦІЇ</w:t>
      </w:r>
    </w:p>
    <w:p w:rsidR="0016277E" w:rsidRDefault="0016277E" w:rsidP="0016277E">
      <w:pPr>
        <w:spacing w:line="360" w:lineRule="auto"/>
        <w:ind w:left="-567" w:firstLine="568"/>
        <w:jc w:val="center"/>
        <w:rPr>
          <w:b/>
          <w:sz w:val="28"/>
          <w:szCs w:val="28"/>
        </w:rPr>
      </w:pPr>
      <w:r w:rsidRPr="00C34B6C">
        <w:rPr>
          <w:b/>
          <w:sz w:val="28"/>
          <w:szCs w:val="28"/>
        </w:rPr>
        <w:t>Праці, у яких опубліковані основні результати</w:t>
      </w:r>
      <w:r>
        <w:rPr>
          <w:b/>
          <w:sz w:val="28"/>
          <w:szCs w:val="28"/>
        </w:rPr>
        <w:t xml:space="preserve"> </w:t>
      </w:r>
      <w:r w:rsidRPr="00C34B6C">
        <w:rPr>
          <w:b/>
          <w:sz w:val="28"/>
          <w:szCs w:val="28"/>
        </w:rPr>
        <w:t>дисертації:</w:t>
      </w:r>
    </w:p>
    <w:p w:rsidR="0016277E" w:rsidRPr="00776E0A" w:rsidRDefault="0016277E" w:rsidP="0016277E">
      <w:pPr>
        <w:pStyle w:val="ac"/>
        <w:numPr>
          <w:ilvl w:val="0"/>
          <w:numId w:val="20"/>
        </w:numPr>
        <w:spacing w:line="360" w:lineRule="auto"/>
        <w:jc w:val="both"/>
      </w:pPr>
      <w:r w:rsidRPr="00776E0A">
        <w:rPr>
          <w:lang w:val="en-US"/>
        </w:rPr>
        <w:t xml:space="preserve">Krinichko L.R. Dynamics of changes of proteins free-radial oxidation, regenerator processes, microbial distribution and non-specific immunity in the gomogenates of scar tissues at different stages of the postoperative period / L.R. Krinichko, S.M. Grigorov // </w:t>
      </w:r>
      <w:r w:rsidRPr="00776E0A">
        <w:t xml:space="preserve">Проблеми екології та медицини. – 2018. – Т. 22 (№3-4). – С. 3-6. </w:t>
      </w:r>
      <w:r>
        <w:t>(</w:t>
      </w:r>
      <w:r>
        <w:rPr>
          <w:i/>
        </w:rPr>
        <w:t>Дисертантом особисто проведено</w:t>
      </w:r>
      <w:r w:rsidRPr="007345C5">
        <w:rPr>
          <w:i/>
        </w:rPr>
        <w:t xml:space="preserve"> обстеження пацієнтів,</w:t>
      </w:r>
      <w:r>
        <w:rPr>
          <w:i/>
        </w:rPr>
        <w:t xml:space="preserve"> досліджено зміни регенераторних процесів та неспеціфічного імунітету,</w:t>
      </w:r>
      <w:r w:rsidRPr="007345C5">
        <w:rPr>
          <w:i/>
        </w:rPr>
        <w:t xml:space="preserve"> </w:t>
      </w:r>
      <w:r>
        <w:rPr>
          <w:i/>
        </w:rPr>
        <w:t>проаналізовано отримані дані, підготовлено матеріали до друку).</w:t>
      </w:r>
      <w:r>
        <w:t xml:space="preserve"> </w:t>
      </w:r>
    </w:p>
    <w:p w:rsidR="0016277E" w:rsidRPr="00776E0A" w:rsidRDefault="0016277E" w:rsidP="0016277E">
      <w:pPr>
        <w:pStyle w:val="ac"/>
        <w:numPr>
          <w:ilvl w:val="0"/>
          <w:numId w:val="20"/>
        </w:numPr>
        <w:spacing w:line="360" w:lineRule="auto"/>
        <w:ind w:left="720"/>
        <w:jc w:val="both"/>
      </w:pPr>
      <w:r>
        <w:t xml:space="preserve">Криничко Л.Р. </w:t>
      </w:r>
      <w:r w:rsidRPr="00776E0A">
        <w:t>Визначення розбіжностей продукції активних форм окси</w:t>
      </w:r>
      <w:r>
        <w:t>г</w:t>
      </w:r>
      <w:r w:rsidRPr="00776E0A">
        <w:t xml:space="preserve">ену та вмісту гідропероксидів ліпідів </w:t>
      </w:r>
      <w:r>
        <w:t>в</w:t>
      </w:r>
      <w:r w:rsidRPr="00776E0A">
        <w:t xml:space="preserve"> гомогенатах рубцевозмінених тканин в різні терміни післяопераційного періоду / Л.Р. Криничко, К.П. Локес, С.О. Ставицький</w:t>
      </w:r>
      <w:r>
        <w:t xml:space="preserve">, С.М. Григоров., Л. І. Волошина </w:t>
      </w:r>
      <w:r w:rsidRPr="00776E0A">
        <w:t xml:space="preserve"> // Вісник проблем біології і медицини. – 2018. – Bип. 4 (146). – С. 95-98. </w:t>
      </w:r>
      <w:r>
        <w:t>(</w:t>
      </w:r>
      <w:r>
        <w:rPr>
          <w:i/>
        </w:rPr>
        <w:t>Дисертантом особисто проведено</w:t>
      </w:r>
      <w:r w:rsidRPr="007345C5">
        <w:rPr>
          <w:i/>
        </w:rPr>
        <w:t xml:space="preserve"> обстеження пацієнтів, </w:t>
      </w:r>
      <w:r>
        <w:rPr>
          <w:i/>
        </w:rPr>
        <w:t xml:space="preserve">досліджено </w:t>
      </w:r>
      <w:r w:rsidRPr="00BA3BAD">
        <w:rPr>
          <w:i/>
        </w:rPr>
        <w:t>гомогенати рубцевозмінених тканин в різні терміни післяопераційного період</w:t>
      </w:r>
      <w:r>
        <w:rPr>
          <w:i/>
        </w:rPr>
        <w:t>,</w:t>
      </w:r>
      <w:r w:rsidRPr="00BA3BAD">
        <w:rPr>
          <w:i/>
        </w:rPr>
        <w:t>у провів</w:t>
      </w:r>
      <w:r w:rsidRPr="007345C5">
        <w:rPr>
          <w:i/>
        </w:rPr>
        <w:t xml:space="preserve"> пошук літератури</w:t>
      </w:r>
      <w:r>
        <w:rPr>
          <w:i/>
        </w:rPr>
        <w:t>, виконано статистичну обробку отриманих даних та оформлено статтю до друку</w:t>
      </w:r>
      <w:r>
        <w:t>).</w:t>
      </w:r>
    </w:p>
    <w:p w:rsidR="0016277E" w:rsidRPr="00776E0A" w:rsidRDefault="0016277E" w:rsidP="0016277E">
      <w:pPr>
        <w:pStyle w:val="ac"/>
        <w:numPr>
          <w:ilvl w:val="0"/>
          <w:numId w:val="20"/>
        </w:numPr>
        <w:spacing w:line="360" w:lineRule="auto"/>
        <w:ind w:left="720"/>
        <w:jc w:val="both"/>
      </w:pPr>
      <w:r w:rsidRPr="00776E0A">
        <w:t>Криничко Л.Р. Особливості морфологічної будови рубцевозмінених тканин шкіри при хірургічному лікуванні кіст шиї ембріонального походження на 6, 9 та 12 місяць післяопераційного періоду / Л.Р. Криничко // Актуальні проблеми сучасної медицини : Вісник УМСА. – 2018. – Т. 18., Вип. 3 (63). – С. 219-222.</w:t>
      </w:r>
      <w:r>
        <w:t xml:space="preserve"> </w:t>
      </w:r>
    </w:p>
    <w:p w:rsidR="0016277E" w:rsidRPr="00776E0A" w:rsidRDefault="0016277E" w:rsidP="0016277E">
      <w:pPr>
        <w:pStyle w:val="ac"/>
        <w:numPr>
          <w:ilvl w:val="0"/>
          <w:numId w:val="20"/>
        </w:numPr>
        <w:spacing w:line="360" w:lineRule="auto"/>
        <w:ind w:left="720"/>
        <w:jc w:val="both"/>
      </w:pPr>
      <w:r w:rsidRPr="00776E0A">
        <w:t>Криничко Л.Р.</w:t>
      </w:r>
      <w:r>
        <w:t xml:space="preserve"> </w:t>
      </w:r>
      <w:r w:rsidRPr="00776E0A">
        <w:t xml:space="preserve">Аналіз динаміки клінічних змін рубцевозмінених тканин після хірургічного лікування бранхіогенних кіст у хронологічному </w:t>
      </w:r>
      <w:r w:rsidRPr="00776E0A">
        <w:lastRenderedPageBreak/>
        <w:t>аспекті / С.М. Григоров,</w:t>
      </w:r>
      <w:r>
        <w:t xml:space="preserve"> Л.Р. Криничко, С.О. Ставицький, Бойко І. В., Труфанова В.П.</w:t>
      </w:r>
      <w:r w:rsidRPr="00776E0A">
        <w:t>// Клінічна хірургія. – 2018. – Т. 85 (№6). – С. 33-35.</w:t>
      </w:r>
      <w:r>
        <w:t xml:space="preserve"> </w:t>
      </w:r>
      <w:r w:rsidRPr="00E456E3">
        <w:t>(</w:t>
      </w:r>
      <w:r w:rsidRPr="00E456E3">
        <w:rPr>
          <w:i/>
        </w:rPr>
        <w:t>Дисертантом особисто зібрано клінічний матеріал, виконано статистичну обробку отриманих результатів, підготовлено текст</w:t>
      </w:r>
      <w:r w:rsidRPr="00E456E3">
        <w:t>)</w:t>
      </w:r>
      <w:r>
        <w:t>.</w:t>
      </w:r>
    </w:p>
    <w:p w:rsidR="0016277E" w:rsidRPr="00776E0A" w:rsidRDefault="0016277E" w:rsidP="0016277E">
      <w:pPr>
        <w:pStyle w:val="ac"/>
        <w:numPr>
          <w:ilvl w:val="0"/>
          <w:numId w:val="20"/>
        </w:numPr>
        <w:spacing w:line="360" w:lineRule="auto"/>
        <w:ind w:left="720"/>
        <w:jc w:val="both"/>
      </w:pPr>
      <w:r w:rsidRPr="00776E0A">
        <w:t>Krynychko L.R. The Dynamics of Changes of Indicators of Products of Peroxide Lipid Oxidation in the Homogenates of Scarring Tissues in Different Terms of the Postoperative Period / L.R. Krynychko, S.M. Grygorov, K.P. Lokes, O.O. Rozkolupa // Intermedical journal. – 2018. – Vol. 1 (11). – P. 50-54.</w:t>
      </w:r>
      <w:r>
        <w:t xml:space="preserve"> </w:t>
      </w:r>
      <w:r w:rsidRPr="00411424">
        <w:t>(</w:t>
      </w:r>
      <w:r w:rsidRPr="00411424">
        <w:rPr>
          <w:i/>
        </w:rPr>
        <w:t>Дисертантом особисто зібрано клінічний матеріал, виконано статистичну обробку отриманих результатів, підготовлено текст</w:t>
      </w:r>
      <w:r w:rsidRPr="00411424">
        <w:t>)</w:t>
      </w:r>
      <w:r>
        <w:t>.</w:t>
      </w:r>
    </w:p>
    <w:p w:rsidR="0016277E" w:rsidRPr="00776E0A" w:rsidRDefault="0016277E" w:rsidP="0016277E">
      <w:pPr>
        <w:pStyle w:val="ac"/>
        <w:numPr>
          <w:ilvl w:val="0"/>
          <w:numId w:val="20"/>
        </w:numPr>
        <w:spacing w:line="360" w:lineRule="auto"/>
        <w:ind w:left="720"/>
        <w:jc w:val="both"/>
      </w:pPr>
      <w:r w:rsidRPr="00776E0A">
        <w:t>Криничко Л.Р.</w:t>
      </w:r>
      <w:r>
        <w:t xml:space="preserve"> </w:t>
      </w:r>
      <w:r w:rsidRPr="00776E0A">
        <w:t xml:space="preserve">Гістотопографічні особливості регенеративних процесів, що відбуваються в шкірі шиї на 3-й місяць післяопераційного періоду / Л.Р. Криничко, </w:t>
      </w:r>
      <w:r>
        <w:t xml:space="preserve">С.М. Григоров, С.О. Ставицький, Локес К.П., Розколупа О.О. </w:t>
      </w:r>
      <w:r w:rsidRPr="00776E0A">
        <w:t>// Вісник проблем біології і медицини. – 2018. – Bип. 2(144). – С. 315-319.</w:t>
      </w:r>
      <w:r>
        <w:t xml:space="preserve"> (</w:t>
      </w:r>
      <w:r>
        <w:rPr>
          <w:i/>
        </w:rPr>
        <w:t>Дисертантом особисто проведено</w:t>
      </w:r>
      <w:r w:rsidRPr="007345C5">
        <w:rPr>
          <w:i/>
        </w:rPr>
        <w:t xml:space="preserve"> пошук літератури</w:t>
      </w:r>
      <w:r>
        <w:rPr>
          <w:i/>
        </w:rPr>
        <w:t>, виконав статистичну обробку отриманих даних, підготовлено матеріали до друку).</w:t>
      </w:r>
    </w:p>
    <w:p w:rsidR="0016277E" w:rsidRPr="00776E0A" w:rsidRDefault="0016277E" w:rsidP="0016277E">
      <w:pPr>
        <w:pStyle w:val="ac"/>
        <w:numPr>
          <w:ilvl w:val="0"/>
          <w:numId w:val="20"/>
        </w:numPr>
        <w:spacing w:line="360" w:lineRule="auto"/>
        <w:ind w:left="720"/>
        <w:jc w:val="both"/>
      </w:pPr>
      <w:r w:rsidRPr="00776E0A">
        <w:t>Сучасний погляд на експериментальне і клінічне обґрунтування використання PRF у процесі репаративної регенерації шкіри / Л.Р. Криничко, С</w:t>
      </w:r>
      <w:r>
        <w:t xml:space="preserve">.М. Григоров, Д.В. Стебловський, С.О. Ставицький, В.Д. Ахмеров </w:t>
      </w:r>
      <w:r w:rsidRPr="00776E0A">
        <w:t>// Український стоматологічний альманах. – 2018. - №2. – С. 45-48.</w:t>
      </w:r>
      <w:r>
        <w:t xml:space="preserve"> </w:t>
      </w:r>
      <w:r w:rsidRPr="00A0507C">
        <w:t>(</w:t>
      </w:r>
      <w:r w:rsidRPr="00A0507C">
        <w:rPr>
          <w:i/>
        </w:rPr>
        <w:t>Дисертантом особисто зібрано клінічний матеріал, виконано статистичну обробку отриманих результатів, підготовлено текст</w:t>
      </w:r>
      <w:r w:rsidRPr="00A0507C">
        <w:t>)</w:t>
      </w:r>
      <w:r>
        <w:t>.</w:t>
      </w:r>
    </w:p>
    <w:p w:rsidR="0016277E" w:rsidRPr="0016277E" w:rsidRDefault="0016277E" w:rsidP="0016277E">
      <w:pPr>
        <w:pStyle w:val="ac"/>
        <w:numPr>
          <w:ilvl w:val="0"/>
          <w:numId w:val="20"/>
        </w:numPr>
        <w:spacing w:line="360" w:lineRule="auto"/>
        <w:ind w:left="720"/>
        <w:jc w:val="both"/>
      </w:pPr>
      <w:r w:rsidRPr="00776E0A">
        <w:t>Динаміка змін показників рубцевозмінених тканин на 3 місяць післяопераційного періоду / Л.Р. Криничко,</w:t>
      </w:r>
      <w:r>
        <w:t xml:space="preserve"> С.М. Григоров, С.О. Ставицький, Бойко І.В., Ахмеров  В.Д. </w:t>
      </w:r>
      <w:r w:rsidRPr="00776E0A">
        <w:t>// Актуальні проблеми сучасної медицини : Вісник УМСА. – 2018. – Т. 18., Вип. 2 (62). – С. 197-200.</w:t>
      </w:r>
      <w:r>
        <w:t xml:space="preserve"> </w:t>
      </w:r>
      <w:r w:rsidRPr="00A0507C">
        <w:t>(</w:t>
      </w:r>
      <w:r w:rsidRPr="00A0507C">
        <w:rPr>
          <w:i/>
        </w:rPr>
        <w:t>Дисертантом особисто зібрано клінічний матеріал, виконано статистичну обробку отриманих результатів, підготовлено текст</w:t>
      </w:r>
      <w:r w:rsidRPr="00A0507C">
        <w:t>)</w:t>
      </w:r>
      <w:r>
        <w:t>.</w:t>
      </w:r>
    </w:p>
    <w:p w:rsidR="0016277E" w:rsidRDefault="0016277E" w:rsidP="0016277E">
      <w:pPr>
        <w:pStyle w:val="Style1"/>
        <w:spacing w:line="360" w:lineRule="auto"/>
        <w:ind w:right="283" w:firstLine="567"/>
        <w:rPr>
          <w:b/>
          <w:bCs/>
          <w:sz w:val="28"/>
          <w:szCs w:val="28"/>
          <w:lang w:val="uk-UA"/>
        </w:rPr>
      </w:pPr>
    </w:p>
    <w:p w:rsidR="0016277E" w:rsidRDefault="0016277E" w:rsidP="0016277E">
      <w:pPr>
        <w:pStyle w:val="Style1"/>
        <w:spacing w:line="360" w:lineRule="auto"/>
        <w:ind w:right="283" w:firstLine="567"/>
        <w:rPr>
          <w:b/>
          <w:bCs/>
          <w:sz w:val="28"/>
          <w:szCs w:val="28"/>
          <w:lang w:val="uk-UA"/>
        </w:rPr>
      </w:pPr>
      <w:bookmarkStart w:id="1" w:name="_GoBack"/>
      <w:bookmarkEnd w:id="1"/>
      <w:r w:rsidRPr="00A330F0">
        <w:rPr>
          <w:b/>
          <w:bCs/>
          <w:sz w:val="28"/>
          <w:szCs w:val="28"/>
          <w:lang w:val="uk-UA"/>
        </w:rPr>
        <w:lastRenderedPageBreak/>
        <w:t>Праці, які засвідчують апробацію матеріалів дисертації:</w:t>
      </w:r>
    </w:p>
    <w:p w:rsidR="0016277E" w:rsidRPr="00776E0A" w:rsidRDefault="0016277E" w:rsidP="0016277E">
      <w:pPr>
        <w:pStyle w:val="ac"/>
        <w:numPr>
          <w:ilvl w:val="0"/>
          <w:numId w:val="20"/>
        </w:numPr>
        <w:spacing w:line="360" w:lineRule="auto"/>
        <w:jc w:val="both"/>
      </w:pPr>
      <w:r w:rsidRPr="00776E0A">
        <w:t xml:space="preserve">Особливості оптимізації профілактики виникнення ускладнень у хворих після хірургічного лікування кіст ембріонального походження в анатомічному аспекті. / С.М. Григоров, Л.Р. Криничко, С.О. Ставицький </w:t>
      </w:r>
      <w:r>
        <w:t>І.В. Яценко, Ф. Р. Криничко</w:t>
      </w:r>
      <w:r w:rsidRPr="00776E0A">
        <w:t xml:space="preserve"> // Стоматологія Придніпров’я</w:t>
      </w:r>
      <w:r>
        <w:t xml:space="preserve">: </w:t>
      </w:r>
      <w:r w:rsidRPr="00776E0A">
        <w:t xml:space="preserve"> </w:t>
      </w:r>
      <w:r>
        <w:t>з</w:t>
      </w:r>
      <w:r w:rsidRPr="00776E0A">
        <w:t>б</w:t>
      </w:r>
      <w:r>
        <w:t>ірник наукових праць Третьої (ІІІ) міжрегіональної науково-практичної конференції,</w:t>
      </w:r>
      <w:r w:rsidRPr="00776E0A">
        <w:t xml:space="preserve"> Дніпропетровськ, Запоріжжя,</w:t>
      </w:r>
      <w:r>
        <w:t xml:space="preserve"> 5 березня </w:t>
      </w:r>
      <w:r w:rsidRPr="00776E0A">
        <w:t xml:space="preserve"> 2015. –</w:t>
      </w:r>
      <w:r w:rsidRPr="00BB565B">
        <w:t xml:space="preserve"> </w:t>
      </w:r>
      <w:r w:rsidRPr="00776E0A">
        <w:t>Дніпропетровськ, Запоріжжя</w:t>
      </w:r>
      <w:r>
        <w:t xml:space="preserve">, 2015  – </w:t>
      </w:r>
      <w:r w:rsidRPr="00776E0A">
        <w:t xml:space="preserve"> С. 51-52.</w:t>
      </w:r>
      <w:r>
        <w:t xml:space="preserve"> </w:t>
      </w:r>
      <w:r w:rsidRPr="00FB0C0F">
        <w:t>(</w:t>
      </w:r>
      <w:r w:rsidRPr="00FB0C0F">
        <w:rPr>
          <w:i/>
        </w:rPr>
        <w:t>Дисертантом особисто виконано лікування тематичних пацієнтів, зібрано клінічний матеріал, виконано статистичну обробку отриманих результатів</w:t>
      </w:r>
      <w:r w:rsidRPr="00FB0C0F">
        <w:t>)</w:t>
      </w:r>
      <w:r>
        <w:t>.</w:t>
      </w:r>
    </w:p>
    <w:p w:rsidR="0016277E" w:rsidRPr="00776E0A" w:rsidRDefault="0016277E" w:rsidP="0016277E">
      <w:pPr>
        <w:pStyle w:val="ac"/>
        <w:numPr>
          <w:ilvl w:val="0"/>
          <w:numId w:val="20"/>
        </w:numPr>
        <w:spacing w:line="360" w:lineRule="auto"/>
        <w:ind w:left="720"/>
        <w:jc w:val="both"/>
      </w:pPr>
      <w:r w:rsidRPr="00776E0A">
        <w:t xml:space="preserve"> Современный подход к хирургическому лечению и послеоперационной реабилитации пациентов с жаберными кистами шеи / С.Н. Григоров, Л.Р. Криничко, С.А. Ставицкий, Е.П. Локес // Паринские чтения 2016. Обеспечение демографической безопасности при решении актуальных вопросов хирургической стоматологии </w:t>
      </w:r>
      <w:r>
        <w:t>и челюстно-лицевой хирургии : сборник трудов национального конгресса с международн</w:t>
      </w:r>
      <w:r>
        <w:rPr>
          <w:lang w:val="ru-RU"/>
        </w:rPr>
        <w:t>ым</w:t>
      </w:r>
      <w:r>
        <w:t xml:space="preserve"> участием</w:t>
      </w:r>
      <w:r w:rsidRPr="00776E0A">
        <w:t xml:space="preserve"> – Минск, </w:t>
      </w:r>
      <w:r>
        <w:rPr>
          <w:lang w:val="ru-RU"/>
        </w:rPr>
        <w:t xml:space="preserve">5-6 мая, </w:t>
      </w:r>
      <w:r>
        <w:t>2016 г</w:t>
      </w:r>
      <w:r>
        <w:rPr>
          <w:lang w:val="ru-RU"/>
        </w:rPr>
        <w:t xml:space="preserve">. – Минск, 2016. </w:t>
      </w:r>
      <w:r w:rsidRPr="00776E0A">
        <w:t xml:space="preserve"> – С. 327-329.</w:t>
      </w:r>
      <w:r>
        <w:t xml:space="preserve"> </w:t>
      </w:r>
      <w:r w:rsidRPr="00FB0C0F">
        <w:t>(</w:t>
      </w:r>
      <w:r w:rsidRPr="00FB0C0F">
        <w:rPr>
          <w:i/>
        </w:rPr>
        <w:t>Дисертантом особисто виконано лікування тематичних пацієнтів, зібрано клінічний матеріал, виконано статистичну обробку отриманих результатів</w:t>
      </w:r>
      <w:r w:rsidRPr="00FB0C0F">
        <w:t>)</w:t>
      </w:r>
      <w:r>
        <w:t>.</w:t>
      </w:r>
    </w:p>
    <w:p w:rsidR="0016277E" w:rsidRPr="00776E0A" w:rsidRDefault="0016277E" w:rsidP="0016277E">
      <w:pPr>
        <w:pStyle w:val="ac"/>
        <w:numPr>
          <w:ilvl w:val="0"/>
          <w:numId w:val="20"/>
        </w:numPr>
        <w:spacing w:line="360" w:lineRule="auto"/>
        <w:ind w:left="720"/>
        <w:jc w:val="both"/>
      </w:pPr>
      <w:r w:rsidRPr="00776E0A">
        <w:t xml:space="preserve"> Григоров С.М. Особливості васкуляризації інтактної шкіри, в аспекті регенеративних питань / С.М. Григоров, Л.Р. Криничко, С.О. Ставицький // Сучасна стоматологія та </w:t>
      </w:r>
      <w:r>
        <w:t>щелепно-лицева хірургія : матеріали</w:t>
      </w:r>
      <w:r w:rsidRPr="00776E0A">
        <w:t xml:space="preserve"> міжна</w:t>
      </w:r>
      <w:r>
        <w:t>родної науково-практичної конференції присвяченої 25-річн. створення Національної</w:t>
      </w:r>
      <w:r w:rsidRPr="00776E0A">
        <w:t xml:space="preserve"> академії мед. наук України та 40-річчю відновлення д</w:t>
      </w:r>
      <w:r>
        <w:t>ентальної імплантації в Україні. м.</w:t>
      </w:r>
      <w:r w:rsidRPr="00776E0A">
        <w:t xml:space="preserve"> Київ,</w:t>
      </w:r>
      <w:r>
        <w:t xml:space="preserve"> 11 травня</w:t>
      </w:r>
      <w:r w:rsidRPr="00776E0A">
        <w:t xml:space="preserve"> 2018</w:t>
      </w:r>
      <w:r>
        <w:t xml:space="preserve"> р. – м. Київ</w:t>
      </w:r>
      <w:r w:rsidRPr="00776E0A">
        <w:t>. – С. 111-112.</w:t>
      </w:r>
      <w:r>
        <w:t xml:space="preserve"> </w:t>
      </w:r>
      <w:r w:rsidRPr="00FB0C0F">
        <w:t>(</w:t>
      </w:r>
      <w:r w:rsidRPr="00FB0C0F">
        <w:rPr>
          <w:i/>
        </w:rPr>
        <w:t>Дисертантом особисто виконано лікування тематичних пацієнтів, зібрано клінічний матеріал, виконано статистичну обробку отриманих результатів</w:t>
      </w:r>
      <w:r w:rsidRPr="00FB0C0F">
        <w:t>)</w:t>
      </w:r>
      <w:r>
        <w:t>.</w:t>
      </w:r>
    </w:p>
    <w:p w:rsidR="0016277E" w:rsidRPr="00776E0A" w:rsidRDefault="0016277E" w:rsidP="0016277E">
      <w:pPr>
        <w:pStyle w:val="ac"/>
        <w:numPr>
          <w:ilvl w:val="0"/>
          <w:numId w:val="20"/>
        </w:numPr>
        <w:spacing w:line="360" w:lineRule="auto"/>
        <w:jc w:val="both"/>
      </w:pPr>
      <w:r w:rsidRPr="00776E0A">
        <w:t xml:space="preserve"> Использование RGB-метода в дифференциальной диагностике патологических рубцов головы и шеи / О.П. Буханченко, Е.С. Иваницкая, </w:t>
      </w:r>
      <w:r w:rsidRPr="00776E0A">
        <w:lastRenderedPageBreak/>
        <w:t xml:space="preserve">И.В. Бойко, Л.Р. Криничко // Паринские чтения </w:t>
      </w:r>
      <w:r>
        <w:t xml:space="preserve"> 2018. </w:t>
      </w:r>
      <w:r w:rsidRPr="00776E0A">
        <w:t xml:space="preserve">Перспективные решения в прогнозировании, диагностике, лечении и реабилитации заболеваний черепно-челюстно-лицевой области и шеи : </w:t>
      </w:r>
      <w:r>
        <w:t>с</w:t>
      </w:r>
      <w:r w:rsidRPr="00776E0A">
        <w:t>бор. Трудов Нац. конгресса с междунар. участием, Минск, 3-4 мая 2018</w:t>
      </w:r>
      <w:r>
        <w:t>.</w:t>
      </w:r>
      <w:r w:rsidRPr="00776E0A">
        <w:t xml:space="preserve"> – Минск</w:t>
      </w:r>
      <w:r>
        <w:t xml:space="preserve">, </w:t>
      </w:r>
      <w:r w:rsidRPr="00776E0A">
        <w:t>2018.– С. 204-207.</w:t>
      </w:r>
      <w:r>
        <w:t xml:space="preserve"> </w:t>
      </w:r>
      <w:r w:rsidRPr="00FB0C0F">
        <w:t>(</w:t>
      </w:r>
      <w:r w:rsidRPr="00FB0C0F">
        <w:rPr>
          <w:i/>
        </w:rPr>
        <w:t>Дисертантом особисто виконано лікування тематичних пацієнтів, зібрано клінічний матеріал, виконано статистичну обробку отриманих результатів</w:t>
      </w:r>
      <w:r w:rsidRPr="00FB0C0F">
        <w:t>)</w:t>
      </w:r>
      <w:r>
        <w:t>.</w:t>
      </w:r>
    </w:p>
    <w:p w:rsidR="0016277E" w:rsidRPr="00A330F0" w:rsidRDefault="0016277E" w:rsidP="0016277E">
      <w:pPr>
        <w:pStyle w:val="Style1"/>
        <w:spacing w:line="360" w:lineRule="auto"/>
        <w:ind w:right="283" w:firstLine="567"/>
        <w:rPr>
          <w:b/>
          <w:bCs/>
          <w:sz w:val="28"/>
          <w:szCs w:val="28"/>
          <w:lang w:val="uk-UA"/>
        </w:rPr>
      </w:pPr>
    </w:p>
    <w:p w:rsidR="0016277E" w:rsidRPr="00A330F0" w:rsidRDefault="0016277E" w:rsidP="0016277E">
      <w:pPr>
        <w:pStyle w:val="Style1"/>
        <w:spacing w:line="360" w:lineRule="auto"/>
        <w:ind w:right="283" w:firstLine="567"/>
        <w:rPr>
          <w:b/>
          <w:bCs/>
          <w:sz w:val="28"/>
          <w:szCs w:val="28"/>
          <w:lang w:val="uk-UA"/>
        </w:rPr>
      </w:pPr>
      <w:r w:rsidRPr="00A330F0">
        <w:rPr>
          <w:b/>
          <w:bCs/>
          <w:sz w:val="28"/>
          <w:szCs w:val="28"/>
          <w:lang w:val="uk-UA"/>
        </w:rPr>
        <w:t>Праці, які додатково відображають наукові результати дисертації:</w:t>
      </w:r>
    </w:p>
    <w:p w:rsidR="0016277E" w:rsidRPr="00776E0A" w:rsidRDefault="0016277E" w:rsidP="0016277E">
      <w:pPr>
        <w:pStyle w:val="ac"/>
        <w:numPr>
          <w:ilvl w:val="0"/>
          <w:numId w:val="20"/>
        </w:numPr>
        <w:spacing w:line="360" w:lineRule="auto"/>
        <w:jc w:val="both"/>
      </w:pPr>
      <w:r>
        <w:t xml:space="preserve"> </w:t>
      </w:r>
      <w:r w:rsidRPr="00776E0A">
        <w:t>Патент 109267 UA, МПК A61K 31/00 (2016.01) A61P 17/02 (2006.01) Спосіб інтраопераційної профілактики виникнення келоїдних та гіпертрофічних рубців шкіри при лікуванні кист шиї ембріонального походження / Григоров С. М., Криничко Л. Р., Ставицький С. О., Яценко І. В. ; заявник ВДНЗУ УМСА. — № u 2015 00026 ; заявл. 04.01.2016 ; опубл. 25.08.2016, Бюл. № 16.</w:t>
      </w:r>
      <w:r>
        <w:t xml:space="preserve"> </w:t>
      </w:r>
      <w:r w:rsidRPr="00A0507C">
        <w:t>(</w:t>
      </w:r>
      <w:r w:rsidRPr="00A0507C">
        <w:rPr>
          <w:i/>
        </w:rPr>
        <w:t xml:space="preserve">Дисертант особисто розробив </w:t>
      </w:r>
      <w:r>
        <w:rPr>
          <w:i/>
        </w:rPr>
        <w:t xml:space="preserve">авторську методику </w:t>
      </w:r>
      <w:r w:rsidRPr="00A0507C">
        <w:rPr>
          <w:i/>
        </w:rPr>
        <w:t xml:space="preserve">профілактики </w:t>
      </w:r>
      <w:r>
        <w:rPr>
          <w:i/>
        </w:rPr>
        <w:t>виникнення патологічних рубців шкіри</w:t>
      </w:r>
      <w:r w:rsidRPr="00A0507C">
        <w:rPr>
          <w:i/>
        </w:rPr>
        <w:t>, проводив клінічну апробацію та оформив формулу винаходу</w:t>
      </w:r>
      <w:r w:rsidRPr="00A0507C">
        <w:t>)</w:t>
      </w:r>
      <w:r>
        <w:t>.</w:t>
      </w:r>
    </w:p>
    <w:p w:rsidR="0016277E" w:rsidRPr="0016277E" w:rsidRDefault="0016277E" w:rsidP="0016277E">
      <w:pPr>
        <w:pStyle w:val="a7"/>
        <w:pBdr>
          <w:top w:val="nil"/>
          <w:left w:val="nil"/>
          <w:bottom w:val="nil"/>
          <w:right w:val="nil"/>
          <w:between w:val="nil"/>
        </w:pBdr>
        <w:spacing w:after="0" w:line="360" w:lineRule="auto"/>
        <w:ind w:left="644"/>
        <w:jc w:val="both"/>
        <w:rPr>
          <w:sz w:val="28"/>
          <w:szCs w:val="28"/>
        </w:rPr>
      </w:pPr>
    </w:p>
    <w:p w:rsidR="0030517B" w:rsidRDefault="0030517B" w:rsidP="0016277E">
      <w:pPr>
        <w:spacing w:line="360" w:lineRule="auto"/>
      </w:pPr>
      <w:bookmarkStart w:id="2" w:name="_gjdgxs" w:colFirst="0" w:colLast="0"/>
      <w:bookmarkEnd w:id="2"/>
    </w:p>
    <w:p w:rsidR="0043343C" w:rsidRDefault="0043343C" w:rsidP="0016277E">
      <w:pPr>
        <w:spacing w:line="360" w:lineRule="auto"/>
      </w:pPr>
    </w:p>
    <w:sectPr w:rsidR="0043343C" w:rsidSect="00751472">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17675" w:rsidRDefault="00417675">
      <w:pPr>
        <w:spacing w:after="0" w:line="240" w:lineRule="auto"/>
      </w:pPr>
      <w:r>
        <w:separator/>
      </w:r>
    </w:p>
  </w:endnote>
  <w:endnote w:type="continuationSeparator" w:id="0">
    <w:p w:rsidR="00417675" w:rsidRDefault="004176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Gungsuh">
    <w:altName w:val="Times New Roman"/>
    <w:charset w:val="81"/>
    <w:family w:val="roman"/>
    <w:pitch w:val="variable"/>
    <w:sig w:usb0="B00002AF" w:usb1="69D77CFB" w:usb2="00000030" w:usb3="00000000" w:csb0="0008009F" w:csb1="00000000"/>
  </w:font>
  <w:font w:name="Cambria Math">
    <w:panose1 w:val="02040503050406030204"/>
    <w:charset w:val="CC"/>
    <w:family w:val="roman"/>
    <w:pitch w:val="variable"/>
    <w:sig w:usb0="E00006FF" w:usb1="420024FF" w:usb2="02000000" w:usb3="00000000" w:csb0="0000019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17675" w:rsidRDefault="00417675">
      <w:pPr>
        <w:spacing w:after="0" w:line="240" w:lineRule="auto"/>
      </w:pPr>
      <w:r>
        <w:separator/>
      </w:r>
    </w:p>
  </w:footnote>
  <w:footnote w:type="continuationSeparator" w:id="0">
    <w:p w:rsidR="00417675" w:rsidRDefault="0041767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76611827"/>
      <w:docPartObj>
        <w:docPartGallery w:val="Page Numbers (Top of Page)"/>
        <w:docPartUnique/>
      </w:docPartObj>
    </w:sdtPr>
    <w:sdtEndPr/>
    <w:sdtContent>
      <w:p w:rsidR="00536D58" w:rsidRDefault="00536D58">
        <w:pPr>
          <w:pStyle w:val="af1"/>
          <w:jc w:val="right"/>
        </w:pPr>
        <w:r>
          <w:fldChar w:fldCharType="begin"/>
        </w:r>
        <w:r>
          <w:instrText>PAGE   \* MERGEFORMAT</w:instrText>
        </w:r>
        <w:r>
          <w:fldChar w:fldCharType="separate"/>
        </w:r>
        <w:r w:rsidR="0016277E" w:rsidRPr="0016277E">
          <w:rPr>
            <w:noProof/>
            <w:lang w:val="ru-RU"/>
          </w:rPr>
          <w:t>1</w:t>
        </w:r>
        <w:r>
          <w:fldChar w:fldCharType="end"/>
        </w:r>
      </w:p>
    </w:sdtContent>
  </w:sdt>
  <w:p w:rsidR="00536D58" w:rsidRDefault="00536D58">
    <w:pPr>
      <w:pStyle w:val="af1"/>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1852773"/>
      <w:docPartObj>
        <w:docPartGallery w:val="Page Numbers (Top of Page)"/>
        <w:docPartUnique/>
      </w:docPartObj>
    </w:sdtPr>
    <w:sdtEndPr/>
    <w:sdtContent>
      <w:p w:rsidR="00536D58" w:rsidRDefault="00536D58">
        <w:pPr>
          <w:pStyle w:val="af1"/>
          <w:jc w:val="right"/>
        </w:pPr>
        <w:r>
          <w:fldChar w:fldCharType="begin"/>
        </w:r>
        <w:r>
          <w:instrText>PAGE   \* MERGEFORMAT</w:instrText>
        </w:r>
        <w:r>
          <w:fldChar w:fldCharType="separate"/>
        </w:r>
        <w:r w:rsidR="0016277E" w:rsidRPr="0016277E">
          <w:rPr>
            <w:noProof/>
            <w:lang w:val="ru-RU"/>
          </w:rPr>
          <w:t>196</w:t>
        </w:r>
        <w:r>
          <w:rPr>
            <w:noProof/>
            <w:lang w:val="ru-RU"/>
          </w:rPr>
          <w:fldChar w:fldCharType="end"/>
        </w:r>
      </w:p>
    </w:sdtContent>
  </w:sdt>
  <w:p w:rsidR="00536D58" w:rsidRDefault="00536D58">
    <w:pPr>
      <w:pStyle w:val="af1"/>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C21F44"/>
    <w:multiLevelType w:val="hybridMultilevel"/>
    <w:tmpl w:val="B44EB114"/>
    <w:lvl w:ilvl="0" w:tplc="EF16BF34">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BD1109C"/>
    <w:multiLevelType w:val="hybridMultilevel"/>
    <w:tmpl w:val="BC2ECF7C"/>
    <w:lvl w:ilvl="0" w:tplc="69F2D04E">
      <w:start w:val="5"/>
      <w:numFmt w:val="bullet"/>
      <w:lvlText w:val="-"/>
      <w:lvlJc w:val="left"/>
      <w:pPr>
        <w:ind w:left="1068" w:hanging="360"/>
      </w:pPr>
      <w:rPr>
        <w:rFonts w:ascii="Times New Roman" w:eastAsia="Times New Roman" w:hAnsi="Times New Roman" w:cs="Times New Roman" w:hint="default"/>
      </w:rPr>
    </w:lvl>
    <w:lvl w:ilvl="1" w:tplc="04220003" w:tentative="1">
      <w:start w:val="1"/>
      <w:numFmt w:val="bullet"/>
      <w:lvlText w:val="o"/>
      <w:lvlJc w:val="left"/>
      <w:pPr>
        <w:ind w:left="1788" w:hanging="360"/>
      </w:pPr>
      <w:rPr>
        <w:rFonts w:ascii="Courier New" w:hAnsi="Courier New" w:cs="Courier New" w:hint="default"/>
      </w:rPr>
    </w:lvl>
    <w:lvl w:ilvl="2" w:tplc="04220005" w:tentative="1">
      <w:start w:val="1"/>
      <w:numFmt w:val="bullet"/>
      <w:lvlText w:val=""/>
      <w:lvlJc w:val="left"/>
      <w:pPr>
        <w:ind w:left="2508" w:hanging="360"/>
      </w:pPr>
      <w:rPr>
        <w:rFonts w:ascii="Wingdings" w:hAnsi="Wingdings" w:hint="default"/>
      </w:rPr>
    </w:lvl>
    <w:lvl w:ilvl="3" w:tplc="04220001" w:tentative="1">
      <w:start w:val="1"/>
      <w:numFmt w:val="bullet"/>
      <w:lvlText w:val=""/>
      <w:lvlJc w:val="left"/>
      <w:pPr>
        <w:ind w:left="3228" w:hanging="360"/>
      </w:pPr>
      <w:rPr>
        <w:rFonts w:ascii="Symbol" w:hAnsi="Symbol" w:hint="default"/>
      </w:rPr>
    </w:lvl>
    <w:lvl w:ilvl="4" w:tplc="04220003" w:tentative="1">
      <w:start w:val="1"/>
      <w:numFmt w:val="bullet"/>
      <w:lvlText w:val="o"/>
      <w:lvlJc w:val="left"/>
      <w:pPr>
        <w:ind w:left="3948" w:hanging="360"/>
      </w:pPr>
      <w:rPr>
        <w:rFonts w:ascii="Courier New" w:hAnsi="Courier New" w:cs="Courier New" w:hint="default"/>
      </w:rPr>
    </w:lvl>
    <w:lvl w:ilvl="5" w:tplc="04220005" w:tentative="1">
      <w:start w:val="1"/>
      <w:numFmt w:val="bullet"/>
      <w:lvlText w:val=""/>
      <w:lvlJc w:val="left"/>
      <w:pPr>
        <w:ind w:left="4668" w:hanging="360"/>
      </w:pPr>
      <w:rPr>
        <w:rFonts w:ascii="Wingdings" w:hAnsi="Wingdings" w:hint="default"/>
      </w:rPr>
    </w:lvl>
    <w:lvl w:ilvl="6" w:tplc="04220001" w:tentative="1">
      <w:start w:val="1"/>
      <w:numFmt w:val="bullet"/>
      <w:lvlText w:val=""/>
      <w:lvlJc w:val="left"/>
      <w:pPr>
        <w:ind w:left="5388" w:hanging="360"/>
      </w:pPr>
      <w:rPr>
        <w:rFonts w:ascii="Symbol" w:hAnsi="Symbol" w:hint="default"/>
      </w:rPr>
    </w:lvl>
    <w:lvl w:ilvl="7" w:tplc="04220003" w:tentative="1">
      <w:start w:val="1"/>
      <w:numFmt w:val="bullet"/>
      <w:lvlText w:val="o"/>
      <w:lvlJc w:val="left"/>
      <w:pPr>
        <w:ind w:left="6108" w:hanging="360"/>
      </w:pPr>
      <w:rPr>
        <w:rFonts w:ascii="Courier New" w:hAnsi="Courier New" w:cs="Courier New" w:hint="default"/>
      </w:rPr>
    </w:lvl>
    <w:lvl w:ilvl="8" w:tplc="04220005" w:tentative="1">
      <w:start w:val="1"/>
      <w:numFmt w:val="bullet"/>
      <w:lvlText w:val=""/>
      <w:lvlJc w:val="left"/>
      <w:pPr>
        <w:ind w:left="6828" w:hanging="360"/>
      </w:pPr>
      <w:rPr>
        <w:rFonts w:ascii="Wingdings" w:hAnsi="Wingdings" w:hint="default"/>
      </w:rPr>
    </w:lvl>
  </w:abstractNum>
  <w:abstractNum w:abstractNumId="2" w15:restartNumberingAfterBreak="0">
    <w:nsid w:val="14844BBC"/>
    <w:multiLevelType w:val="hybridMultilevel"/>
    <w:tmpl w:val="D72AF9A6"/>
    <w:lvl w:ilvl="0" w:tplc="B980FD80">
      <w:start w:val="1"/>
      <w:numFmt w:val="decimal"/>
      <w:lvlText w:val="%1."/>
      <w:lvlJc w:val="left"/>
      <w:pPr>
        <w:ind w:left="1035" w:hanging="675"/>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15:restartNumberingAfterBreak="0">
    <w:nsid w:val="16920D08"/>
    <w:multiLevelType w:val="hybridMultilevel"/>
    <w:tmpl w:val="E8A0FE00"/>
    <w:lvl w:ilvl="0" w:tplc="D85AA5BE">
      <w:start w:val="1"/>
      <w:numFmt w:val="decimal"/>
      <w:lvlText w:val="%1."/>
      <w:lvlJc w:val="left"/>
      <w:pPr>
        <w:ind w:left="928" w:hanging="360"/>
      </w:pPr>
      <w:rPr>
        <w:rFonts w:cs="Times New Roman" w:hint="default"/>
        <w:color w:val="000000"/>
      </w:rPr>
    </w:lvl>
    <w:lvl w:ilvl="1" w:tplc="04190019" w:tentative="1">
      <w:start w:val="1"/>
      <w:numFmt w:val="lowerLetter"/>
      <w:lvlText w:val="%2."/>
      <w:lvlJc w:val="left"/>
      <w:pPr>
        <w:ind w:left="1648" w:hanging="360"/>
      </w:pPr>
      <w:rPr>
        <w:rFonts w:cs="Times New Roman"/>
      </w:rPr>
    </w:lvl>
    <w:lvl w:ilvl="2" w:tplc="0419001B" w:tentative="1">
      <w:start w:val="1"/>
      <w:numFmt w:val="lowerRoman"/>
      <w:lvlText w:val="%3."/>
      <w:lvlJc w:val="right"/>
      <w:pPr>
        <w:ind w:left="2368" w:hanging="180"/>
      </w:pPr>
      <w:rPr>
        <w:rFonts w:cs="Times New Roman"/>
      </w:rPr>
    </w:lvl>
    <w:lvl w:ilvl="3" w:tplc="0419000F" w:tentative="1">
      <w:start w:val="1"/>
      <w:numFmt w:val="decimal"/>
      <w:lvlText w:val="%4."/>
      <w:lvlJc w:val="left"/>
      <w:pPr>
        <w:ind w:left="3088" w:hanging="360"/>
      </w:pPr>
      <w:rPr>
        <w:rFonts w:cs="Times New Roman"/>
      </w:rPr>
    </w:lvl>
    <w:lvl w:ilvl="4" w:tplc="04190019" w:tentative="1">
      <w:start w:val="1"/>
      <w:numFmt w:val="lowerLetter"/>
      <w:lvlText w:val="%5."/>
      <w:lvlJc w:val="left"/>
      <w:pPr>
        <w:ind w:left="3808" w:hanging="360"/>
      </w:pPr>
      <w:rPr>
        <w:rFonts w:cs="Times New Roman"/>
      </w:rPr>
    </w:lvl>
    <w:lvl w:ilvl="5" w:tplc="0419001B" w:tentative="1">
      <w:start w:val="1"/>
      <w:numFmt w:val="lowerRoman"/>
      <w:lvlText w:val="%6."/>
      <w:lvlJc w:val="right"/>
      <w:pPr>
        <w:ind w:left="4528" w:hanging="180"/>
      </w:pPr>
      <w:rPr>
        <w:rFonts w:cs="Times New Roman"/>
      </w:rPr>
    </w:lvl>
    <w:lvl w:ilvl="6" w:tplc="0419000F" w:tentative="1">
      <w:start w:val="1"/>
      <w:numFmt w:val="decimal"/>
      <w:lvlText w:val="%7."/>
      <w:lvlJc w:val="left"/>
      <w:pPr>
        <w:ind w:left="5248" w:hanging="360"/>
      </w:pPr>
      <w:rPr>
        <w:rFonts w:cs="Times New Roman"/>
      </w:rPr>
    </w:lvl>
    <w:lvl w:ilvl="7" w:tplc="04190019" w:tentative="1">
      <w:start w:val="1"/>
      <w:numFmt w:val="lowerLetter"/>
      <w:lvlText w:val="%8."/>
      <w:lvlJc w:val="left"/>
      <w:pPr>
        <w:ind w:left="5968" w:hanging="360"/>
      </w:pPr>
      <w:rPr>
        <w:rFonts w:cs="Times New Roman"/>
      </w:rPr>
    </w:lvl>
    <w:lvl w:ilvl="8" w:tplc="0419001B" w:tentative="1">
      <w:start w:val="1"/>
      <w:numFmt w:val="lowerRoman"/>
      <w:lvlText w:val="%9."/>
      <w:lvlJc w:val="right"/>
      <w:pPr>
        <w:ind w:left="6688" w:hanging="180"/>
      </w:pPr>
      <w:rPr>
        <w:rFonts w:cs="Times New Roman"/>
      </w:rPr>
    </w:lvl>
  </w:abstractNum>
  <w:abstractNum w:abstractNumId="4" w15:restartNumberingAfterBreak="0">
    <w:nsid w:val="1A222E46"/>
    <w:multiLevelType w:val="hybridMultilevel"/>
    <w:tmpl w:val="1978919C"/>
    <w:lvl w:ilvl="0" w:tplc="22FA370C">
      <w:start w:val="1"/>
      <w:numFmt w:val="decimal"/>
      <w:lvlText w:val="%1."/>
      <w:lvlJc w:val="left"/>
      <w:pPr>
        <w:ind w:left="1120" w:hanging="360"/>
      </w:pPr>
      <w:rPr>
        <w:rFonts w:cs="Times New Roman" w:hint="default"/>
      </w:rPr>
    </w:lvl>
    <w:lvl w:ilvl="1" w:tplc="04190019" w:tentative="1">
      <w:start w:val="1"/>
      <w:numFmt w:val="lowerLetter"/>
      <w:lvlText w:val="%2."/>
      <w:lvlJc w:val="left"/>
      <w:pPr>
        <w:ind w:left="1840" w:hanging="360"/>
      </w:pPr>
      <w:rPr>
        <w:rFonts w:cs="Times New Roman"/>
      </w:rPr>
    </w:lvl>
    <w:lvl w:ilvl="2" w:tplc="0419001B" w:tentative="1">
      <w:start w:val="1"/>
      <w:numFmt w:val="lowerRoman"/>
      <w:lvlText w:val="%3."/>
      <w:lvlJc w:val="right"/>
      <w:pPr>
        <w:ind w:left="2560" w:hanging="180"/>
      </w:pPr>
      <w:rPr>
        <w:rFonts w:cs="Times New Roman"/>
      </w:rPr>
    </w:lvl>
    <w:lvl w:ilvl="3" w:tplc="0419000F" w:tentative="1">
      <w:start w:val="1"/>
      <w:numFmt w:val="decimal"/>
      <w:lvlText w:val="%4."/>
      <w:lvlJc w:val="left"/>
      <w:pPr>
        <w:ind w:left="3280" w:hanging="360"/>
      </w:pPr>
      <w:rPr>
        <w:rFonts w:cs="Times New Roman"/>
      </w:rPr>
    </w:lvl>
    <w:lvl w:ilvl="4" w:tplc="04190019" w:tentative="1">
      <w:start w:val="1"/>
      <w:numFmt w:val="lowerLetter"/>
      <w:lvlText w:val="%5."/>
      <w:lvlJc w:val="left"/>
      <w:pPr>
        <w:ind w:left="4000" w:hanging="360"/>
      </w:pPr>
      <w:rPr>
        <w:rFonts w:cs="Times New Roman"/>
      </w:rPr>
    </w:lvl>
    <w:lvl w:ilvl="5" w:tplc="0419001B" w:tentative="1">
      <w:start w:val="1"/>
      <w:numFmt w:val="lowerRoman"/>
      <w:lvlText w:val="%6."/>
      <w:lvlJc w:val="right"/>
      <w:pPr>
        <w:ind w:left="4720" w:hanging="180"/>
      </w:pPr>
      <w:rPr>
        <w:rFonts w:cs="Times New Roman"/>
      </w:rPr>
    </w:lvl>
    <w:lvl w:ilvl="6" w:tplc="0419000F" w:tentative="1">
      <w:start w:val="1"/>
      <w:numFmt w:val="decimal"/>
      <w:lvlText w:val="%7."/>
      <w:lvlJc w:val="left"/>
      <w:pPr>
        <w:ind w:left="5440" w:hanging="360"/>
      </w:pPr>
      <w:rPr>
        <w:rFonts w:cs="Times New Roman"/>
      </w:rPr>
    </w:lvl>
    <w:lvl w:ilvl="7" w:tplc="04190019" w:tentative="1">
      <w:start w:val="1"/>
      <w:numFmt w:val="lowerLetter"/>
      <w:lvlText w:val="%8."/>
      <w:lvlJc w:val="left"/>
      <w:pPr>
        <w:ind w:left="6160" w:hanging="360"/>
      </w:pPr>
      <w:rPr>
        <w:rFonts w:cs="Times New Roman"/>
      </w:rPr>
    </w:lvl>
    <w:lvl w:ilvl="8" w:tplc="0419001B" w:tentative="1">
      <w:start w:val="1"/>
      <w:numFmt w:val="lowerRoman"/>
      <w:lvlText w:val="%9."/>
      <w:lvlJc w:val="right"/>
      <w:pPr>
        <w:ind w:left="6880" w:hanging="180"/>
      </w:pPr>
      <w:rPr>
        <w:rFonts w:cs="Times New Roman"/>
      </w:rPr>
    </w:lvl>
  </w:abstractNum>
  <w:abstractNum w:abstractNumId="5" w15:restartNumberingAfterBreak="0">
    <w:nsid w:val="1AFC5FD7"/>
    <w:multiLevelType w:val="hybridMultilevel"/>
    <w:tmpl w:val="F8883658"/>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E7359AC"/>
    <w:multiLevelType w:val="multilevel"/>
    <w:tmpl w:val="D98666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20E1F38"/>
    <w:multiLevelType w:val="hybridMultilevel"/>
    <w:tmpl w:val="7AEACB74"/>
    <w:lvl w:ilvl="0" w:tplc="0D2A4AC2">
      <w:start w:val="1"/>
      <w:numFmt w:val="decimal"/>
      <w:lvlText w:val="%1."/>
      <w:lvlJc w:val="left"/>
      <w:pPr>
        <w:ind w:left="1068" w:hanging="360"/>
      </w:pPr>
      <w:rPr>
        <w:rFonts w:hint="default"/>
      </w:rPr>
    </w:lvl>
    <w:lvl w:ilvl="1" w:tplc="04220019" w:tentative="1">
      <w:start w:val="1"/>
      <w:numFmt w:val="lowerLetter"/>
      <w:lvlText w:val="%2."/>
      <w:lvlJc w:val="left"/>
      <w:pPr>
        <w:ind w:left="1788" w:hanging="360"/>
      </w:pPr>
    </w:lvl>
    <w:lvl w:ilvl="2" w:tplc="0422001B" w:tentative="1">
      <w:start w:val="1"/>
      <w:numFmt w:val="lowerRoman"/>
      <w:lvlText w:val="%3."/>
      <w:lvlJc w:val="right"/>
      <w:pPr>
        <w:ind w:left="2508" w:hanging="180"/>
      </w:pPr>
    </w:lvl>
    <w:lvl w:ilvl="3" w:tplc="0422000F" w:tentative="1">
      <w:start w:val="1"/>
      <w:numFmt w:val="decimal"/>
      <w:lvlText w:val="%4."/>
      <w:lvlJc w:val="left"/>
      <w:pPr>
        <w:ind w:left="3228" w:hanging="360"/>
      </w:pPr>
    </w:lvl>
    <w:lvl w:ilvl="4" w:tplc="04220019" w:tentative="1">
      <w:start w:val="1"/>
      <w:numFmt w:val="lowerLetter"/>
      <w:lvlText w:val="%5."/>
      <w:lvlJc w:val="left"/>
      <w:pPr>
        <w:ind w:left="3948" w:hanging="360"/>
      </w:pPr>
    </w:lvl>
    <w:lvl w:ilvl="5" w:tplc="0422001B" w:tentative="1">
      <w:start w:val="1"/>
      <w:numFmt w:val="lowerRoman"/>
      <w:lvlText w:val="%6."/>
      <w:lvlJc w:val="right"/>
      <w:pPr>
        <w:ind w:left="4668" w:hanging="180"/>
      </w:pPr>
    </w:lvl>
    <w:lvl w:ilvl="6" w:tplc="0422000F" w:tentative="1">
      <w:start w:val="1"/>
      <w:numFmt w:val="decimal"/>
      <w:lvlText w:val="%7."/>
      <w:lvlJc w:val="left"/>
      <w:pPr>
        <w:ind w:left="5388" w:hanging="360"/>
      </w:pPr>
    </w:lvl>
    <w:lvl w:ilvl="7" w:tplc="04220019" w:tentative="1">
      <w:start w:val="1"/>
      <w:numFmt w:val="lowerLetter"/>
      <w:lvlText w:val="%8."/>
      <w:lvlJc w:val="left"/>
      <w:pPr>
        <w:ind w:left="6108" w:hanging="360"/>
      </w:pPr>
    </w:lvl>
    <w:lvl w:ilvl="8" w:tplc="0422001B" w:tentative="1">
      <w:start w:val="1"/>
      <w:numFmt w:val="lowerRoman"/>
      <w:lvlText w:val="%9."/>
      <w:lvlJc w:val="right"/>
      <w:pPr>
        <w:ind w:left="6828" w:hanging="180"/>
      </w:pPr>
    </w:lvl>
  </w:abstractNum>
  <w:abstractNum w:abstractNumId="8" w15:restartNumberingAfterBreak="0">
    <w:nsid w:val="314E43E6"/>
    <w:multiLevelType w:val="hybridMultilevel"/>
    <w:tmpl w:val="0FC8A964"/>
    <w:lvl w:ilvl="0" w:tplc="15D60716">
      <w:start w:val="4"/>
      <w:numFmt w:val="bullet"/>
      <w:lvlText w:val="-"/>
      <w:lvlJc w:val="left"/>
      <w:pPr>
        <w:ind w:left="1080" w:hanging="360"/>
      </w:pPr>
      <w:rPr>
        <w:rFonts w:ascii="Times New Roman" w:eastAsia="Times New Roman" w:hAnsi="Times New Roman"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9" w15:restartNumberingAfterBreak="0">
    <w:nsid w:val="31647E76"/>
    <w:multiLevelType w:val="hybridMultilevel"/>
    <w:tmpl w:val="7DB62F6A"/>
    <w:lvl w:ilvl="0" w:tplc="8B549AE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15:restartNumberingAfterBreak="0">
    <w:nsid w:val="370C75B4"/>
    <w:multiLevelType w:val="hybridMultilevel"/>
    <w:tmpl w:val="2F2ACAB4"/>
    <w:lvl w:ilvl="0" w:tplc="A0F0A4EA">
      <w:start w:val="1"/>
      <w:numFmt w:val="decimal"/>
      <w:lvlText w:val="%1."/>
      <w:lvlJc w:val="left"/>
      <w:pPr>
        <w:ind w:left="720" w:hanging="360"/>
      </w:pPr>
      <w:rPr>
        <w:rFonts w:hint="default"/>
        <w:sz w:val="29"/>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437D5ABD"/>
    <w:multiLevelType w:val="multilevel"/>
    <w:tmpl w:val="82E6312A"/>
    <w:lvl w:ilvl="0">
      <w:start w:val="41"/>
      <w:numFmt w:val="decimal"/>
      <w:lvlText w:val="%1."/>
      <w:lvlJc w:val="left"/>
      <w:pPr>
        <w:ind w:left="455" w:hanging="375"/>
      </w:pPr>
    </w:lvl>
    <w:lvl w:ilvl="1">
      <w:start w:val="1"/>
      <w:numFmt w:val="lowerLetter"/>
      <w:lvlText w:val="%2."/>
      <w:lvlJc w:val="left"/>
      <w:pPr>
        <w:ind w:left="1160" w:hanging="360"/>
      </w:pPr>
    </w:lvl>
    <w:lvl w:ilvl="2">
      <w:start w:val="1"/>
      <w:numFmt w:val="lowerRoman"/>
      <w:lvlText w:val="%3."/>
      <w:lvlJc w:val="right"/>
      <w:pPr>
        <w:ind w:left="1880" w:hanging="180"/>
      </w:pPr>
    </w:lvl>
    <w:lvl w:ilvl="3">
      <w:start w:val="1"/>
      <w:numFmt w:val="decimal"/>
      <w:lvlText w:val="%4."/>
      <w:lvlJc w:val="left"/>
      <w:pPr>
        <w:ind w:left="2600" w:hanging="360"/>
      </w:pPr>
    </w:lvl>
    <w:lvl w:ilvl="4">
      <w:start w:val="1"/>
      <w:numFmt w:val="lowerLetter"/>
      <w:lvlText w:val="%5."/>
      <w:lvlJc w:val="left"/>
      <w:pPr>
        <w:ind w:left="3320" w:hanging="360"/>
      </w:pPr>
    </w:lvl>
    <w:lvl w:ilvl="5">
      <w:start w:val="1"/>
      <w:numFmt w:val="lowerRoman"/>
      <w:lvlText w:val="%6."/>
      <w:lvlJc w:val="right"/>
      <w:pPr>
        <w:ind w:left="4040" w:hanging="180"/>
      </w:pPr>
    </w:lvl>
    <w:lvl w:ilvl="6">
      <w:start w:val="1"/>
      <w:numFmt w:val="decimal"/>
      <w:lvlText w:val="%7."/>
      <w:lvlJc w:val="left"/>
      <w:pPr>
        <w:ind w:left="4760" w:hanging="360"/>
      </w:pPr>
    </w:lvl>
    <w:lvl w:ilvl="7">
      <w:start w:val="1"/>
      <w:numFmt w:val="lowerLetter"/>
      <w:lvlText w:val="%8."/>
      <w:lvlJc w:val="left"/>
      <w:pPr>
        <w:ind w:left="5480" w:hanging="360"/>
      </w:pPr>
    </w:lvl>
    <w:lvl w:ilvl="8">
      <w:start w:val="1"/>
      <w:numFmt w:val="lowerRoman"/>
      <w:lvlText w:val="%9."/>
      <w:lvlJc w:val="right"/>
      <w:pPr>
        <w:ind w:left="6200" w:hanging="180"/>
      </w:pPr>
    </w:lvl>
  </w:abstractNum>
  <w:abstractNum w:abstractNumId="12" w15:restartNumberingAfterBreak="0">
    <w:nsid w:val="43DB5D16"/>
    <w:multiLevelType w:val="hybridMultilevel"/>
    <w:tmpl w:val="BCBE3882"/>
    <w:lvl w:ilvl="0" w:tplc="4DCA9EDE">
      <w:start w:val="1"/>
      <w:numFmt w:val="decimal"/>
      <w:lvlText w:val="%1."/>
      <w:lvlJc w:val="left"/>
      <w:pPr>
        <w:ind w:left="1495" w:hanging="360"/>
      </w:pPr>
      <w:rPr>
        <w:b w:val="0"/>
        <w:i w:val="0"/>
        <w:sz w:val="28"/>
        <w:szCs w:val="28"/>
        <w:lang w:val="uk-UA"/>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4409511A"/>
    <w:multiLevelType w:val="hybridMultilevel"/>
    <w:tmpl w:val="2556C874"/>
    <w:lvl w:ilvl="0" w:tplc="94948BD0">
      <w:start w:val="1"/>
      <w:numFmt w:val="decimal"/>
      <w:lvlText w:val="%1."/>
      <w:lvlJc w:val="left"/>
      <w:pPr>
        <w:tabs>
          <w:tab w:val="num" w:pos="720"/>
        </w:tabs>
        <w:ind w:left="720" w:hanging="360"/>
      </w:pPr>
      <w:rPr>
        <w:rFonts w:cs="Times New Roman"/>
        <w:sz w:val="28"/>
        <w:szCs w:val="28"/>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4F301AEB"/>
    <w:multiLevelType w:val="multilevel"/>
    <w:tmpl w:val="B79C8E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8BD2510"/>
    <w:multiLevelType w:val="hybridMultilevel"/>
    <w:tmpl w:val="BE40528E"/>
    <w:lvl w:ilvl="0" w:tplc="0DAE2390">
      <w:start w:val="1"/>
      <w:numFmt w:val="decimal"/>
      <w:lvlText w:val="%1."/>
      <w:lvlJc w:val="left"/>
      <w:pPr>
        <w:ind w:left="720" w:hanging="360"/>
      </w:pPr>
      <w:rPr>
        <w:rFonts w:cs="Times New Roman" w:hint="default"/>
        <w:color w:val="110C09"/>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6" w15:restartNumberingAfterBreak="0">
    <w:nsid w:val="60D21FDB"/>
    <w:multiLevelType w:val="hybridMultilevel"/>
    <w:tmpl w:val="1E724290"/>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7" w15:restartNumberingAfterBreak="0">
    <w:nsid w:val="776E08B9"/>
    <w:multiLevelType w:val="hybridMultilevel"/>
    <w:tmpl w:val="6C882AB6"/>
    <w:lvl w:ilvl="0" w:tplc="71043E82">
      <w:start w:val="1"/>
      <w:numFmt w:val="bullet"/>
      <w:lvlText w:val="-"/>
      <w:lvlJc w:val="left"/>
      <w:pPr>
        <w:ind w:left="1774" w:hanging="360"/>
      </w:pPr>
      <w:rPr>
        <w:rFonts w:ascii="Times New Roman" w:eastAsia="Times New Roman" w:hAnsi="Times New Roman" w:cs="Times New Roman" w:hint="default"/>
      </w:rPr>
    </w:lvl>
    <w:lvl w:ilvl="1" w:tplc="04190003" w:tentative="1">
      <w:start w:val="1"/>
      <w:numFmt w:val="bullet"/>
      <w:lvlText w:val="o"/>
      <w:lvlJc w:val="left"/>
      <w:pPr>
        <w:ind w:left="2494" w:hanging="360"/>
      </w:pPr>
      <w:rPr>
        <w:rFonts w:ascii="Courier New" w:hAnsi="Courier New" w:cs="Courier New" w:hint="default"/>
      </w:rPr>
    </w:lvl>
    <w:lvl w:ilvl="2" w:tplc="04190005" w:tentative="1">
      <w:start w:val="1"/>
      <w:numFmt w:val="bullet"/>
      <w:lvlText w:val=""/>
      <w:lvlJc w:val="left"/>
      <w:pPr>
        <w:ind w:left="3214" w:hanging="360"/>
      </w:pPr>
      <w:rPr>
        <w:rFonts w:ascii="Wingdings" w:hAnsi="Wingdings" w:hint="default"/>
      </w:rPr>
    </w:lvl>
    <w:lvl w:ilvl="3" w:tplc="04190001" w:tentative="1">
      <w:start w:val="1"/>
      <w:numFmt w:val="bullet"/>
      <w:lvlText w:val=""/>
      <w:lvlJc w:val="left"/>
      <w:pPr>
        <w:ind w:left="3934" w:hanging="360"/>
      </w:pPr>
      <w:rPr>
        <w:rFonts w:ascii="Symbol" w:hAnsi="Symbol" w:hint="default"/>
      </w:rPr>
    </w:lvl>
    <w:lvl w:ilvl="4" w:tplc="04190003" w:tentative="1">
      <w:start w:val="1"/>
      <w:numFmt w:val="bullet"/>
      <w:lvlText w:val="o"/>
      <w:lvlJc w:val="left"/>
      <w:pPr>
        <w:ind w:left="4654" w:hanging="360"/>
      </w:pPr>
      <w:rPr>
        <w:rFonts w:ascii="Courier New" w:hAnsi="Courier New" w:cs="Courier New" w:hint="default"/>
      </w:rPr>
    </w:lvl>
    <w:lvl w:ilvl="5" w:tplc="04190005" w:tentative="1">
      <w:start w:val="1"/>
      <w:numFmt w:val="bullet"/>
      <w:lvlText w:val=""/>
      <w:lvlJc w:val="left"/>
      <w:pPr>
        <w:ind w:left="5374" w:hanging="360"/>
      </w:pPr>
      <w:rPr>
        <w:rFonts w:ascii="Wingdings" w:hAnsi="Wingdings" w:hint="default"/>
      </w:rPr>
    </w:lvl>
    <w:lvl w:ilvl="6" w:tplc="04190001" w:tentative="1">
      <w:start w:val="1"/>
      <w:numFmt w:val="bullet"/>
      <w:lvlText w:val=""/>
      <w:lvlJc w:val="left"/>
      <w:pPr>
        <w:ind w:left="6094" w:hanging="360"/>
      </w:pPr>
      <w:rPr>
        <w:rFonts w:ascii="Symbol" w:hAnsi="Symbol" w:hint="default"/>
      </w:rPr>
    </w:lvl>
    <w:lvl w:ilvl="7" w:tplc="04190003" w:tentative="1">
      <w:start w:val="1"/>
      <w:numFmt w:val="bullet"/>
      <w:lvlText w:val="o"/>
      <w:lvlJc w:val="left"/>
      <w:pPr>
        <w:ind w:left="6814" w:hanging="360"/>
      </w:pPr>
      <w:rPr>
        <w:rFonts w:ascii="Courier New" w:hAnsi="Courier New" w:cs="Courier New" w:hint="default"/>
      </w:rPr>
    </w:lvl>
    <w:lvl w:ilvl="8" w:tplc="04190005" w:tentative="1">
      <w:start w:val="1"/>
      <w:numFmt w:val="bullet"/>
      <w:lvlText w:val=""/>
      <w:lvlJc w:val="left"/>
      <w:pPr>
        <w:ind w:left="7534" w:hanging="360"/>
      </w:pPr>
      <w:rPr>
        <w:rFonts w:ascii="Wingdings" w:hAnsi="Wingdings" w:hint="default"/>
      </w:rPr>
    </w:lvl>
  </w:abstractNum>
  <w:abstractNum w:abstractNumId="18" w15:restartNumberingAfterBreak="0">
    <w:nsid w:val="7F256FAC"/>
    <w:multiLevelType w:val="hybridMultilevel"/>
    <w:tmpl w:val="F8883658"/>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7FE7065D"/>
    <w:multiLevelType w:val="hybridMultilevel"/>
    <w:tmpl w:val="8FEA969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8"/>
  </w:num>
  <w:num w:numId="2">
    <w:abstractNumId w:val="1"/>
  </w:num>
  <w:num w:numId="3">
    <w:abstractNumId w:val="4"/>
  </w:num>
  <w:num w:numId="4">
    <w:abstractNumId w:val="8"/>
  </w:num>
  <w:num w:numId="5">
    <w:abstractNumId w:val="3"/>
  </w:num>
  <w:num w:numId="6">
    <w:abstractNumId w:val="17"/>
  </w:num>
  <w:num w:numId="7">
    <w:abstractNumId w:val="6"/>
  </w:num>
  <w:num w:numId="8">
    <w:abstractNumId w:val="14"/>
  </w:num>
  <w:num w:numId="9">
    <w:abstractNumId w:val="9"/>
  </w:num>
  <w:num w:numId="10">
    <w:abstractNumId w:val="7"/>
  </w:num>
  <w:num w:numId="11">
    <w:abstractNumId w:val="0"/>
  </w:num>
  <w:num w:numId="12">
    <w:abstractNumId w:val="15"/>
  </w:num>
  <w:num w:numId="13">
    <w:abstractNumId w:val="13"/>
  </w:num>
  <w:num w:numId="14">
    <w:abstractNumId w:val="12"/>
  </w:num>
  <w:num w:numId="15">
    <w:abstractNumId w:val="16"/>
  </w:num>
  <w:num w:numId="16">
    <w:abstractNumId w:val="11"/>
  </w:num>
  <w:num w:numId="17">
    <w:abstractNumId w:val="19"/>
  </w:num>
  <w:num w:numId="18">
    <w:abstractNumId w:val="10"/>
  </w:num>
  <w:num w:numId="19">
    <w:abstractNumId w:val="2"/>
  </w:num>
  <w:num w:numId="2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517B"/>
    <w:rsid w:val="00005754"/>
    <w:rsid w:val="00005F8F"/>
    <w:rsid w:val="00014E01"/>
    <w:rsid w:val="00015256"/>
    <w:rsid w:val="000337E1"/>
    <w:rsid w:val="0003712A"/>
    <w:rsid w:val="00042096"/>
    <w:rsid w:val="00065B03"/>
    <w:rsid w:val="00067BD2"/>
    <w:rsid w:val="00072F70"/>
    <w:rsid w:val="000737E6"/>
    <w:rsid w:val="000817FF"/>
    <w:rsid w:val="00084587"/>
    <w:rsid w:val="000905E0"/>
    <w:rsid w:val="000906BF"/>
    <w:rsid w:val="0009518D"/>
    <w:rsid w:val="0009596B"/>
    <w:rsid w:val="00097ABC"/>
    <w:rsid w:val="000B5DF6"/>
    <w:rsid w:val="000B6DDC"/>
    <w:rsid w:val="000C1A2F"/>
    <w:rsid w:val="000C2338"/>
    <w:rsid w:val="000C5226"/>
    <w:rsid w:val="000C6ABB"/>
    <w:rsid w:val="000D1971"/>
    <w:rsid w:val="000D495E"/>
    <w:rsid w:val="000D5686"/>
    <w:rsid w:val="000E0994"/>
    <w:rsid w:val="000E699C"/>
    <w:rsid w:val="000E6FB8"/>
    <w:rsid w:val="000F3F1C"/>
    <w:rsid w:val="001013D7"/>
    <w:rsid w:val="001062EE"/>
    <w:rsid w:val="0011184F"/>
    <w:rsid w:val="001174CC"/>
    <w:rsid w:val="00122C61"/>
    <w:rsid w:val="00126974"/>
    <w:rsid w:val="00133E3F"/>
    <w:rsid w:val="001473B4"/>
    <w:rsid w:val="0014797D"/>
    <w:rsid w:val="00150FDA"/>
    <w:rsid w:val="00151EDB"/>
    <w:rsid w:val="0016277E"/>
    <w:rsid w:val="00172638"/>
    <w:rsid w:val="001733E7"/>
    <w:rsid w:val="001A4A21"/>
    <w:rsid w:val="001B1A4E"/>
    <w:rsid w:val="001B567E"/>
    <w:rsid w:val="001B7151"/>
    <w:rsid w:val="001C5630"/>
    <w:rsid w:val="001C7A6D"/>
    <w:rsid w:val="001E75A4"/>
    <w:rsid w:val="00244374"/>
    <w:rsid w:val="00246894"/>
    <w:rsid w:val="00247382"/>
    <w:rsid w:val="00250C95"/>
    <w:rsid w:val="00250E2C"/>
    <w:rsid w:val="00262E2E"/>
    <w:rsid w:val="00263EEB"/>
    <w:rsid w:val="00264F3B"/>
    <w:rsid w:val="00267C06"/>
    <w:rsid w:val="00270657"/>
    <w:rsid w:val="00277037"/>
    <w:rsid w:val="002803D2"/>
    <w:rsid w:val="00280D07"/>
    <w:rsid w:val="00290497"/>
    <w:rsid w:val="00297468"/>
    <w:rsid w:val="002A6FDE"/>
    <w:rsid w:val="002B33FD"/>
    <w:rsid w:val="002C4C01"/>
    <w:rsid w:val="002C755C"/>
    <w:rsid w:val="002D0787"/>
    <w:rsid w:val="002D5AE2"/>
    <w:rsid w:val="002D6409"/>
    <w:rsid w:val="002E63EC"/>
    <w:rsid w:val="002F147B"/>
    <w:rsid w:val="002F2D0C"/>
    <w:rsid w:val="0030498B"/>
    <w:rsid w:val="00304E83"/>
    <w:rsid w:val="0030517B"/>
    <w:rsid w:val="00305833"/>
    <w:rsid w:val="003236D6"/>
    <w:rsid w:val="00327200"/>
    <w:rsid w:val="003336C6"/>
    <w:rsid w:val="0033398C"/>
    <w:rsid w:val="00342FEB"/>
    <w:rsid w:val="00344078"/>
    <w:rsid w:val="003564E7"/>
    <w:rsid w:val="003652BC"/>
    <w:rsid w:val="00376F11"/>
    <w:rsid w:val="00393EA1"/>
    <w:rsid w:val="00396FF0"/>
    <w:rsid w:val="003A25E3"/>
    <w:rsid w:val="003A3228"/>
    <w:rsid w:val="003A6425"/>
    <w:rsid w:val="003A6E92"/>
    <w:rsid w:val="003B58F0"/>
    <w:rsid w:val="003B7FCB"/>
    <w:rsid w:val="003C1E4C"/>
    <w:rsid w:val="003C4020"/>
    <w:rsid w:val="003C7159"/>
    <w:rsid w:val="003D1332"/>
    <w:rsid w:val="003D4803"/>
    <w:rsid w:val="003F1F3D"/>
    <w:rsid w:val="003F7735"/>
    <w:rsid w:val="00400041"/>
    <w:rsid w:val="004021F0"/>
    <w:rsid w:val="004025F6"/>
    <w:rsid w:val="00417675"/>
    <w:rsid w:val="0042173A"/>
    <w:rsid w:val="00425DEA"/>
    <w:rsid w:val="0042749C"/>
    <w:rsid w:val="00432A0D"/>
    <w:rsid w:val="0043343C"/>
    <w:rsid w:val="0043432D"/>
    <w:rsid w:val="0046780B"/>
    <w:rsid w:val="004713FC"/>
    <w:rsid w:val="00472CB8"/>
    <w:rsid w:val="00476E2A"/>
    <w:rsid w:val="004778B3"/>
    <w:rsid w:val="004808B1"/>
    <w:rsid w:val="00482B79"/>
    <w:rsid w:val="004916A1"/>
    <w:rsid w:val="0049240C"/>
    <w:rsid w:val="004A0205"/>
    <w:rsid w:val="004B2A21"/>
    <w:rsid w:val="004B4CBA"/>
    <w:rsid w:val="004B63B8"/>
    <w:rsid w:val="004C1414"/>
    <w:rsid w:val="004C5F7A"/>
    <w:rsid w:val="004C75A9"/>
    <w:rsid w:val="004D0CF5"/>
    <w:rsid w:val="004D3F29"/>
    <w:rsid w:val="004D5E40"/>
    <w:rsid w:val="004E3904"/>
    <w:rsid w:val="005001AD"/>
    <w:rsid w:val="005003B6"/>
    <w:rsid w:val="00506730"/>
    <w:rsid w:val="00514F48"/>
    <w:rsid w:val="005279F5"/>
    <w:rsid w:val="00536D58"/>
    <w:rsid w:val="00537B9F"/>
    <w:rsid w:val="00541021"/>
    <w:rsid w:val="00550434"/>
    <w:rsid w:val="0055519F"/>
    <w:rsid w:val="00556FBB"/>
    <w:rsid w:val="005734C4"/>
    <w:rsid w:val="00591877"/>
    <w:rsid w:val="00596D4B"/>
    <w:rsid w:val="00597D48"/>
    <w:rsid w:val="005A01B4"/>
    <w:rsid w:val="005A3701"/>
    <w:rsid w:val="005A5079"/>
    <w:rsid w:val="005B77D6"/>
    <w:rsid w:val="005C0170"/>
    <w:rsid w:val="005D14C9"/>
    <w:rsid w:val="005D6DAC"/>
    <w:rsid w:val="005E229C"/>
    <w:rsid w:val="005E760B"/>
    <w:rsid w:val="005F3AB1"/>
    <w:rsid w:val="00605BB4"/>
    <w:rsid w:val="00606F5D"/>
    <w:rsid w:val="006071EA"/>
    <w:rsid w:val="006147E7"/>
    <w:rsid w:val="00615507"/>
    <w:rsid w:val="00616635"/>
    <w:rsid w:val="0061787E"/>
    <w:rsid w:val="006179C3"/>
    <w:rsid w:val="006253E6"/>
    <w:rsid w:val="00630AC5"/>
    <w:rsid w:val="00635F98"/>
    <w:rsid w:val="006509D4"/>
    <w:rsid w:val="0066110C"/>
    <w:rsid w:val="006631C9"/>
    <w:rsid w:val="006638C3"/>
    <w:rsid w:val="00666948"/>
    <w:rsid w:val="006A453A"/>
    <w:rsid w:val="006A45FB"/>
    <w:rsid w:val="006A5EAB"/>
    <w:rsid w:val="006A757A"/>
    <w:rsid w:val="006B23DA"/>
    <w:rsid w:val="006B4EB6"/>
    <w:rsid w:val="006B6396"/>
    <w:rsid w:val="006B6C8C"/>
    <w:rsid w:val="006C3AA8"/>
    <w:rsid w:val="006C5235"/>
    <w:rsid w:val="006C576E"/>
    <w:rsid w:val="006D2681"/>
    <w:rsid w:val="006D382D"/>
    <w:rsid w:val="006D3F87"/>
    <w:rsid w:val="006D7CC4"/>
    <w:rsid w:val="006E22EE"/>
    <w:rsid w:val="006F51BD"/>
    <w:rsid w:val="006F583B"/>
    <w:rsid w:val="00712C84"/>
    <w:rsid w:val="007139F7"/>
    <w:rsid w:val="00716654"/>
    <w:rsid w:val="00725115"/>
    <w:rsid w:val="00727F19"/>
    <w:rsid w:val="007303A4"/>
    <w:rsid w:val="00734253"/>
    <w:rsid w:val="00735EFC"/>
    <w:rsid w:val="00740A63"/>
    <w:rsid w:val="007416E3"/>
    <w:rsid w:val="00741F7C"/>
    <w:rsid w:val="0075103F"/>
    <w:rsid w:val="00751472"/>
    <w:rsid w:val="00765B5C"/>
    <w:rsid w:val="00770C95"/>
    <w:rsid w:val="00783205"/>
    <w:rsid w:val="00792DB2"/>
    <w:rsid w:val="00793BD4"/>
    <w:rsid w:val="007A7590"/>
    <w:rsid w:val="007B7DDF"/>
    <w:rsid w:val="007C08DC"/>
    <w:rsid w:val="007C4300"/>
    <w:rsid w:val="007C5094"/>
    <w:rsid w:val="007D13E8"/>
    <w:rsid w:val="007D6B9B"/>
    <w:rsid w:val="007E37DA"/>
    <w:rsid w:val="007F04D1"/>
    <w:rsid w:val="00801EEF"/>
    <w:rsid w:val="00803C75"/>
    <w:rsid w:val="0080771D"/>
    <w:rsid w:val="00812EE8"/>
    <w:rsid w:val="008317E6"/>
    <w:rsid w:val="00836EF4"/>
    <w:rsid w:val="00860850"/>
    <w:rsid w:val="008634E4"/>
    <w:rsid w:val="008652C5"/>
    <w:rsid w:val="0087139E"/>
    <w:rsid w:val="00882365"/>
    <w:rsid w:val="008B2675"/>
    <w:rsid w:val="008B65D0"/>
    <w:rsid w:val="008B68C4"/>
    <w:rsid w:val="008C0E8F"/>
    <w:rsid w:val="008D025C"/>
    <w:rsid w:val="008D1A57"/>
    <w:rsid w:val="008D527F"/>
    <w:rsid w:val="008D6962"/>
    <w:rsid w:val="008E3418"/>
    <w:rsid w:val="008E66D5"/>
    <w:rsid w:val="008F06F1"/>
    <w:rsid w:val="008F1873"/>
    <w:rsid w:val="008F2712"/>
    <w:rsid w:val="008F5DE6"/>
    <w:rsid w:val="0090257C"/>
    <w:rsid w:val="009030F9"/>
    <w:rsid w:val="00905A6D"/>
    <w:rsid w:val="0091601B"/>
    <w:rsid w:val="00922F57"/>
    <w:rsid w:val="0092425C"/>
    <w:rsid w:val="00924E52"/>
    <w:rsid w:val="00932579"/>
    <w:rsid w:val="009360C2"/>
    <w:rsid w:val="00945C6C"/>
    <w:rsid w:val="0095113A"/>
    <w:rsid w:val="00953FC1"/>
    <w:rsid w:val="0095796A"/>
    <w:rsid w:val="009612E7"/>
    <w:rsid w:val="00973529"/>
    <w:rsid w:val="00981D29"/>
    <w:rsid w:val="00985DEC"/>
    <w:rsid w:val="00985FE4"/>
    <w:rsid w:val="00993FAA"/>
    <w:rsid w:val="009A4DD8"/>
    <w:rsid w:val="009A789C"/>
    <w:rsid w:val="009B1E15"/>
    <w:rsid w:val="009B67B6"/>
    <w:rsid w:val="009C0600"/>
    <w:rsid w:val="009C26CF"/>
    <w:rsid w:val="009C2EE8"/>
    <w:rsid w:val="009C31D5"/>
    <w:rsid w:val="009D1D17"/>
    <w:rsid w:val="009D34FA"/>
    <w:rsid w:val="009D4B01"/>
    <w:rsid w:val="009F6A43"/>
    <w:rsid w:val="00A0087E"/>
    <w:rsid w:val="00A105BE"/>
    <w:rsid w:val="00A24D19"/>
    <w:rsid w:val="00A37BCD"/>
    <w:rsid w:val="00A43557"/>
    <w:rsid w:val="00A46C15"/>
    <w:rsid w:val="00A6190F"/>
    <w:rsid w:val="00A630AC"/>
    <w:rsid w:val="00A73DE6"/>
    <w:rsid w:val="00A74681"/>
    <w:rsid w:val="00A77B45"/>
    <w:rsid w:val="00A8018C"/>
    <w:rsid w:val="00A84137"/>
    <w:rsid w:val="00A85273"/>
    <w:rsid w:val="00A854CB"/>
    <w:rsid w:val="00A870A8"/>
    <w:rsid w:val="00A94D98"/>
    <w:rsid w:val="00AC01F7"/>
    <w:rsid w:val="00AD2774"/>
    <w:rsid w:val="00AD6672"/>
    <w:rsid w:val="00AF3716"/>
    <w:rsid w:val="00AF4A69"/>
    <w:rsid w:val="00B0179E"/>
    <w:rsid w:val="00B030BA"/>
    <w:rsid w:val="00B13A5F"/>
    <w:rsid w:val="00B30E3A"/>
    <w:rsid w:val="00B351B8"/>
    <w:rsid w:val="00B435B1"/>
    <w:rsid w:val="00B46B4A"/>
    <w:rsid w:val="00B4770F"/>
    <w:rsid w:val="00B544CA"/>
    <w:rsid w:val="00B5758E"/>
    <w:rsid w:val="00B63A48"/>
    <w:rsid w:val="00B7572A"/>
    <w:rsid w:val="00B83B4E"/>
    <w:rsid w:val="00B85909"/>
    <w:rsid w:val="00B86260"/>
    <w:rsid w:val="00B93F9C"/>
    <w:rsid w:val="00BA5DDC"/>
    <w:rsid w:val="00BB39E8"/>
    <w:rsid w:val="00BD1681"/>
    <w:rsid w:val="00BE51DF"/>
    <w:rsid w:val="00BE7808"/>
    <w:rsid w:val="00BF2713"/>
    <w:rsid w:val="00BF604D"/>
    <w:rsid w:val="00C006AF"/>
    <w:rsid w:val="00C05B9D"/>
    <w:rsid w:val="00C07C1C"/>
    <w:rsid w:val="00C12C89"/>
    <w:rsid w:val="00C131EE"/>
    <w:rsid w:val="00C20783"/>
    <w:rsid w:val="00C32A94"/>
    <w:rsid w:val="00C4351D"/>
    <w:rsid w:val="00C47116"/>
    <w:rsid w:val="00C474A5"/>
    <w:rsid w:val="00C612ED"/>
    <w:rsid w:val="00C7469C"/>
    <w:rsid w:val="00C76B4A"/>
    <w:rsid w:val="00C77E20"/>
    <w:rsid w:val="00C844DD"/>
    <w:rsid w:val="00C96113"/>
    <w:rsid w:val="00CB4E9E"/>
    <w:rsid w:val="00CB6C08"/>
    <w:rsid w:val="00CC39FB"/>
    <w:rsid w:val="00CC4DB8"/>
    <w:rsid w:val="00CD32C1"/>
    <w:rsid w:val="00CE35E2"/>
    <w:rsid w:val="00D014B1"/>
    <w:rsid w:val="00D031C6"/>
    <w:rsid w:val="00D06AB3"/>
    <w:rsid w:val="00D10E54"/>
    <w:rsid w:val="00D13B7F"/>
    <w:rsid w:val="00D3171A"/>
    <w:rsid w:val="00D31875"/>
    <w:rsid w:val="00D53F66"/>
    <w:rsid w:val="00D55EE9"/>
    <w:rsid w:val="00D65158"/>
    <w:rsid w:val="00D73F02"/>
    <w:rsid w:val="00D758D5"/>
    <w:rsid w:val="00D96DA9"/>
    <w:rsid w:val="00DA29C8"/>
    <w:rsid w:val="00DA3D34"/>
    <w:rsid w:val="00DB77F1"/>
    <w:rsid w:val="00DC0151"/>
    <w:rsid w:val="00DC5C24"/>
    <w:rsid w:val="00DE51B0"/>
    <w:rsid w:val="00DE6032"/>
    <w:rsid w:val="00DF09B9"/>
    <w:rsid w:val="00E13E6C"/>
    <w:rsid w:val="00E1448E"/>
    <w:rsid w:val="00E16F39"/>
    <w:rsid w:val="00E45759"/>
    <w:rsid w:val="00E4651D"/>
    <w:rsid w:val="00E5419E"/>
    <w:rsid w:val="00E56627"/>
    <w:rsid w:val="00E6030B"/>
    <w:rsid w:val="00E61D0F"/>
    <w:rsid w:val="00E65F6A"/>
    <w:rsid w:val="00E724F1"/>
    <w:rsid w:val="00E73DB2"/>
    <w:rsid w:val="00E74185"/>
    <w:rsid w:val="00E745BE"/>
    <w:rsid w:val="00E80214"/>
    <w:rsid w:val="00E879AB"/>
    <w:rsid w:val="00E939D3"/>
    <w:rsid w:val="00EA09EA"/>
    <w:rsid w:val="00EA1E2C"/>
    <w:rsid w:val="00EA533F"/>
    <w:rsid w:val="00EC149D"/>
    <w:rsid w:val="00EE78C9"/>
    <w:rsid w:val="00EF2891"/>
    <w:rsid w:val="00EF4C56"/>
    <w:rsid w:val="00EF5D25"/>
    <w:rsid w:val="00F0178A"/>
    <w:rsid w:val="00F03FBC"/>
    <w:rsid w:val="00F12A79"/>
    <w:rsid w:val="00F16863"/>
    <w:rsid w:val="00F17177"/>
    <w:rsid w:val="00F27423"/>
    <w:rsid w:val="00F323FA"/>
    <w:rsid w:val="00F3718A"/>
    <w:rsid w:val="00F41B42"/>
    <w:rsid w:val="00F433C8"/>
    <w:rsid w:val="00F4664E"/>
    <w:rsid w:val="00F46CA5"/>
    <w:rsid w:val="00F6274A"/>
    <w:rsid w:val="00F6347F"/>
    <w:rsid w:val="00F66EC0"/>
    <w:rsid w:val="00F77D41"/>
    <w:rsid w:val="00FA2E4F"/>
    <w:rsid w:val="00FA3469"/>
    <w:rsid w:val="00FA646B"/>
    <w:rsid w:val="00FC1256"/>
    <w:rsid w:val="00FC37AF"/>
    <w:rsid w:val="00FC65A6"/>
    <w:rsid w:val="00FE0058"/>
    <w:rsid w:val="00FE03AF"/>
    <w:rsid w:val="00FE212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D92D30"/>
  <w15:docId w15:val="{ED01F2CB-D86B-43B0-800D-3252FEDB68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8"/>
        <w:szCs w:val="28"/>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0517B"/>
    <w:pPr>
      <w:spacing w:after="200" w:line="276" w:lineRule="auto"/>
    </w:pPr>
    <w:rPr>
      <w:rFonts w:cstheme="minorBidi"/>
      <w:sz w:val="24"/>
      <w:szCs w:val="22"/>
    </w:rPr>
  </w:style>
  <w:style w:type="paragraph" w:styleId="1">
    <w:name w:val="heading 1"/>
    <w:basedOn w:val="a"/>
    <w:link w:val="10"/>
    <w:qFormat/>
    <w:rsid w:val="0030517B"/>
    <w:pPr>
      <w:spacing w:before="100" w:beforeAutospacing="1" w:after="100" w:afterAutospacing="1" w:line="240" w:lineRule="auto"/>
      <w:outlineLvl w:val="0"/>
    </w:pPr>
    <w:rPr>
      <w:rFonts w:eastAsia="Times New Roman" w:cs="Times New Roman"/>
      <w:b/>
      <w:bCs/>
      <w:kern w:val="36"/>
      <w:sz w:val="48"/>
      <w:szCs w:val="48"/>
      <w:lang w:val="ru-RU" w:eastAsia="ru-RU"/>
    </w:rPr>
  </w:style>
  <w:style w:type="paragraph" w:styleId="2">
    <w:name w:val="heading 2"/>
    <w:basedOn w:val="a"/>
    <w:next w:val="a"/>
    <w:link w:val="20"/>
    <w:rsid w:val="0030517B"/>
    <w:pPr>
      <w:keepNext/>
      <w:keepLines/>
      <w:pBdr>
        <w:top w:val="nil"/>
        <w:left w:val="nil"/>
        <w:bottom w:val="nil"/>
        <w:right w:val="nil"/>
        <w:between w:val="nil"/>
      </w:pBdr>
      <w:spacing w:before="360" w:after="80"/>
      <w:outlineLvl w:val="1"/>
    </w:pPr>
    <w:rPr>
      <w:rFonts w:eastAsia="Times New Roman" w:cs="Times New Roman"/>
      <w:b/>
      <w:color w:val="000000"/>
      <w:sz w:val="36"/>
      <w:szCs w:val="36"/>
      <w:lang w:val="en-GB" w:eastAsia="ru-RU"/>
    </w:rPr>
  </w:style>
  <w:style w:type="paragraph" w:styleId="3">
    <w:name w:val="heading 3"/>
    <w:basedOn w:val="a"/>
    <w:next w:val="a"/>
    <w:link w:val="30"/>
    <w:rsid w:val="0030517B"/>
    <w:pPr>
      <w:keepNext/>
      <w:keepLines/>
      <w:pBdr>
        <w:top w:val="nil"/>
        <w:left w:val="nil"/>
        <w:bottom w:val="nil"/>
        <w:right w:val="nil"/>
        <w:between w:val="nil"/>
      </w:pBdr>
      <w:spacing w:before="280" w:after="80"/>
      <w:outlineLvl w:val="2"/>
    </w:pPr>
    <w:rPr>
      <w:rFonts w:eastAsia="Times New Roman" w:cs="Times New Roman"/>
      <w:b/>
      <w:color w:val="000000"/>
      <w:sz w:val="28"/>
      <w:szCs w:val="28"/>
      <w:lang w:val="en-GB" w:eastAsia="ru-RU"/>
    </w:rPr>
  </w:style>
  <w:style w:type="paragraph" w:styleId="4">
    <w:name w:val="heading 4"/>
    <w:basedOn w:val="a"/>
    <w:next w:val="a"/>
    <w:link w:val="40"/>
    <w:rsid w:val="0030517B"/>
    <w:pPr>
      <w:keepNext/>
      <w:keepLines/>
      <w:pBdr>
        <w:top w:val="nil"/>
        <w:left w:val="nil"/>
        <w:bottom w:val="nil"/>
        <w:right w:val="nil"/>
        <w:between w:val="nil"/>
      </w:pBdr>
      <w:spacing w:before="240" w:after="40"/>
      <w:outlineLvl w:val="3"/>
    </w:pPr>
    <w:rPr>
      <w:rFonts w:eastAsia="Times New Roman" w:cs="Times New Roman"/>
      <w:b/>
      <w:color w:val="000000"/>
      <w:szCs w:val="24"/>
      <w:lang w:val="en-GB" w:eastAsia="ru-RU"/>
    </w:rPr>
  </w:style>
  <w:style w:type="paragraph" w:styleId="5">
    <w:name w:val="heading 5"/>
    <w:basedOn w:val="a"/>
    <w:next w:val="a"/>
    <w:link w:val="50"/>
    <w:rsid w:val="0030517B"/>
    <w:pPr>
      <w:keepNext/>
      <w:keepLines/>
      <w:pBdr>
        <w:top w:val="nil"/>
        <w:left w:val="nil"/>
        <w:bottom w:val="nil"/>
        <w:right w:val="nil"/>
        <w:between w:val="nil"/>
      </w:pBdr>
      <w:spacing w:before="220" w:after="40"/>
      <w:outlineLvl w:val="4"/>
    </w:pPr>
    <w:rPr>
      <w:rFonts w:eastAsia="Times New Roman" w:cs="Times New Roman"/>
      <w:b/>
      <w:color w:val="000000"/>
      <w:sz w:val="22"/>
      <w:lang w:val="en-GB" w:eastAsia="ru-RU"/>
    </w:rPr>
  </w:style>
  <w:style w:type="paragraph" w:styleId="6">
    <w:name w:val="heading 6"/>
    <w:basedOn w:val="a"/>
    <w:next w:val="a"/>
    <w:link w:val="60"/>
    <w:rsid w:val="0030517B"/>
    <w:pPr>
      <w:keepNext/>
      <w:keepLines/>
      <w:pBdr>
        <w:top w:val="nil"/>
        <w:left w:val="nil"/>
        <w:bottom w:val="nil"/>
        <w:right w:val="nil"/>
        <w:between w:val="nil"/>
      </w:pBdr>
      <w:spacing w:before="200" w:after="40"/>
      <w:outlineLvl w:val="5"/>
    </w:pPr>
    <w:rPr>
      <w:rFonts w:eastAsia="Times New Roman" w:cs="Times New Roman"/>
      <w:b/>
      <w:color w:val="000000"/>
      <w:sz w:val="20"/>
      <w:szCs w:val="20"/>
      <w:lang w:val="en-GB"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30517B"/>
    <w:rPr>
      <w:rFonts w:eastAsia="Times New Roman"/>
      <w:b/>
      <w:bCs/>
      <w:kern w:val="36"/>
      <w:sz w:val="48"/>
      <w:szCs w:val="48"/>
      <w:lang w:val="ru-RU" w:eastAsia="ru-RU"/>
    </w:rPr>
  </w:style>
  <w:style w:type="character" w:customStyle="1" w:styleId="20">
    <w:name w:val="Заголовок 2 Знак"/>
    <w:basedOn w:val="a0"/>
    <w:link w:val="2"/>
    <w:rsid w:val="0030517B"/>
    <w:rPr>
      <w:rFonts w:eastAsia="Times New Roman"/>
      <w:b/>
      <w:color w:val="000000"/>
      <w:sz w:val="36"/>
      <w:szCs w:val="36"/>
      <w:lang w:val="en-GB" w:eastAsia="ru-RU"/>
    </w:rPr>
  </w:style>
  <w:style w:type="character" w:customStyle="1" w:styleId="30">
    <w:name w:val="Заголовок 3 Знак"/>
    <w:basedOn w:val="a0"/>
    <w:link w:val="3"/>
    <w:rsid w:val="0030517B"/>
    <w:rPr>
      <w:rFonts w:eastAsia="Times New Roman"/>
      <w:b/>
      <w:color w:val="000000"/>
      <w:lang w:val="en-GB" w:eastAsia="ru-RU"/>
    </w:rPr>
  </w:style>
  <w:style w:type="character" w:customStyle="1" w:styleId="40">
    <w:name w:val="Заголовок 4 Знак"/>
    <w:basedOn w:val="a0"/>
    <w:link w:val="4"/>
    <w:rsid w:val="0030517B"/>
    <w:rPr>
      <w:rFonts w:eastAsia="Times New Roman"/>
      <w:b/>
      <w:color w:val="000000"/>
      <w:sz w:val="24"/>
      <w:szCs w:val="24"/>
      <w:lang w:val="en-GB" w:eastAsia="ru-RU"/>
    </w:rPr>
  </w:style>
  <w:style w:type="character" w:customStyle="1" w:styleId="50">
    <w:name w:val="Заголовок 5 Знак"/>
    <w:basedOn w:val="a0"/>
    <w:link w:val="5"/>
    <w:rsid w:val="0030517B"/>
    <w:rPr>
      <w:rFonts w:eastAsia="Times New Roman"/>
      <w:b/>
      <w:color w:val="000000"/>
      <w:sz w:val="22"/>
      <w:szCs w:val="22"/>
      <w:lang w:val="en-GB" w:eastAsia="ru-RU"/>
    </w:rPr>
  </w:style>
  <w:style w:type="character" w:customStyle="1" w:styleId="60">
    <w:name w:val="Заголовок 6 Знак"/>
    <w:basedOn w:val="a0"/>
    <w:link w:val="6"/>
    <w:rsid w:val="0030517B"/>
    <w:rPr>
      <w:rFonts w:eastAsia="Times New Roman"/>
      <w:b/>
      <w:color w:val="000000"/>
      <w:sz w:val="20"/>
      <w:szCs w:val="20"/>
      <w:lang w:val="en-GB" w:eastAsia="ru-RU"/>
    </w:rPr>
  </w:style>
  <w:style w:type="numbering" w:customStyle="1" w:styleId="11">
    <w:name w:val="Нет списка1"/>
    <w:next w:val="a2"/>
    <w:uiPriority w:val="99"/>
    <w:semiHidden/>
    <w:unhideWhenUsed/>
    <w:rsid w:val="0030517B"/>
  </w:style>
  <w:style w:type="character" w:customStyle="1" w:styleId="BodyTextChar">
    <w:name w:val="Body Text Char"/>
    <w:uiPriority w:val="99"/>
    <w:locked/>
    <w:rsid w:val="0030517B"/>
    <w:rPr>
      <w:rFonts w:cs="Times New Roman"/>
      <w:sz w:val="28"/>
      <w:szCs w:val="28"/>
      <w:shd w:val="clear" w:color="auto" w:fill="FFFFFF"/>
    </w:rPr>
  </w:style>
  <w:style w:type="paragraph" w:styleId="a3">
    <w:name w:val="Body Text"/>
    <w:basedOn w:val="a"/>
    <w:link w:val="a4"/>
    <w:uiPriority w:val="99"/>
    <w:rsid w:val="0030517B"/>
    <w:pPr>
      <w:shd w:val="clear" w:color="auto" w:fill="FFFFFF"/>
      <w:spacing w:after="0" w:line="322" w:lineRule="exact"/>
      <w:ind w:hanging="1220"/>
      <w:jc w:val="center"/>
    </w:pPr>
    <w:rPr>
      <w:rFonts w:eastAsia="Calibri" w:cs="Times New Roman"/>
      <w:sz w:val="28"/>
      <w:szCs w:val="28"/>
      <w:lang w:val="ru-RU"/>
    </w:rPr>
  </w:style>
  <w:style w:type="character" w:customStyle="1" w:styleId="a4">
    <w:name w:val="Основной текст Знак"/>
    <w:basedOn w:val="a0"/>
    <w:link w:val="a3"/>
    <w:uiPriority w:val="99"/>
    <w:rsid w:val="0030517B"/>
    <w:rPr>
      <w:rFonts w:eastAsia="Calibri"/>
      <w:shd w:val="clear" w:color="auto" w:fill="FFFFFF"/>
      <w:lang w:val="ru-RU"/>
    </w:rPr>
  </w:style>
  <w:style w:type="character" w:customStyle="1" w:styleId="12">
    <w:name w:val="Основной текст Знак1"/>
    <w:uiPriority w:val="99"/>
    <w:semiHidden/>
    <w:rsid w:val="0030517B"/>
    <w:rPr>
      <w:rFonts w:cs="Times New Roman"/>
    </w:rPr>
  </w:style>
  <w:style w:type="character" w:styleId="a5">
    <w:name w:val="Hyperlink"/>
    <w:uiPriority w:val="99"/>
    <w:rsid w:val="0030517B"/>
    <w:rPr>
      <w:rFonts w:cs="Times New Roman"/>
      <w:color w:val="0000FF"/>
      <w:u w:val="single"/>
    </w:rPr>
  </w:style>
  <w:style w:type="paragraph" w:customStyle="1" w:styleId="pp-last">
    <w:name w:val="p p-last"/>
    <w:basedOn w:val="a"/>
    <w:uiPriority w:val="99"/>
    <w:rsid w:val="0030517B"/>
    <w:pPr>
      <w:spacing w:before="100" w:beforeAutospacing="1" w:after="100" w:afterAutospacing="1" w:line="240" w:lineRule="auto"/>
    </w:pPr>
    <w:rPr>
      <w:rFonts w:eastAsia="Times New Roman" w:cs="Times New Roman"/>
      <w:szCs w:val="24"/>
      <w:lang w:val="ru-RU" w:eastAsia="ru-RU"/>
    </w:rPr>
  </w:style>
  <w:style w:type="paragraph" w:styleId="a6">
    <w:name w:val="Normal (Web)"/>
    <w:basedOn w:val="a"/>
    <w:rsid w:val="0030517B"/>
    <w:pPr>
      <w:spacing w:before="100" w:beforeAutospacing="1" w:after="100" w:afterAutospacing="1" w:line="240" w:lineRule="auto"/>
    </w:pPr>
    <w:rPr>
      <w:rFonts w:eastAsia="Times New Roman" w:cs="Times New Roman"/>
      <w:szCs w:val="24"/>
      <w:lang w:val="ru-RU" w:eastAsia="ru-RU"/>
    </w:rPr>
  </w:style>
  <w:style w:type="character" w:customStyle="1" w:styleId="refauthors">
    <w:name w:val="refauthors"/>
    <w:rsid w:val="0030517B"/>
    <w:rPr>
      <w:rFonts w:cs="Times New Roman"/>
    </w:rPr>
  </w:style>
  <w:style w:type="paragraph" w:customStyle="1" w:styleId="pp-first">
    <w:name w:val="p p-first"/>
    <w:basedOn w:val="a"/>
    <w:uiPriority w:val="99"/>
    <w:rsid w:val="0030517B"/>
    <w:pPr>
      <w:spacing w:before="100" w:beforeAutospacing="1" w:after="100" w:afterAutospacing="1" w:line="240" w:lineRule="auto"/>
    </w:pPr>
    <w:rPr>
      <w:rFonts w:eastAsia="Times New Roman" w:cs="Times New Roman"/>
      <w:szCs w:val="24"/>
      <w:lang w:val="ru-RU" w:eastAsia="ru-RU"/>
    </w:rPr>
  </w:style>
  <w:style w:type="character" w:customStyle="1" w:styleId="132">
    <w:name w:val="Основной текст + 132"/>
    <w:aliases w:val="5 pt6"/>
    <w:uiPriority w:val="99"/>
    <w:rsid w:val="0030517B"/>
    <w:rPr>
      <w:rFonts w:ascii="Times New Roman" w:hAnsi="Times New Roman" w:cs="Times New Roman"/>
      <w:spacing w:val="0"/>
      <w:sz w:val="27"/>
      <w:szCs w:val="27"/>
      <w:shd w:val="clear" w:color="auto" w:fill="FFFFFF"/>
    </w:rPr>
  </w:style>
  <w:style w:type="paragraph" w:styleId="a7">
    <w:name w:val="List Paragraph"/>
    <w:basedOn w:val="a"/>
    <w:uiPriority w:val="34"/>
    <w:qFormat/>
    <w:rsid w:val="0030517B"/>
    <w:pPr>
      <w:ind w:left="720"/>
      <w:contextualSpacing/>
    </w:pPr>
    <w:rPr>
      <w:rFonts w:ascii="Calibri" w:eastAsia="Times New Roman" w:hAnsi="Calibri" w:cs="Times New Roman"/>
      <w:sz w:val="22"/>
      <w:lang w:val="ru-RU" w:eastAsia="ru-RU"/>
    </w:rPr>
  </w:style>
  <w:style w:type="character" w:customStyle="1" w:styleId="reference">
    <w:name w:val="reference"/>
    <w:rsid w:val="0030517B"/>
  </w:style>
  <w:style w:type="character" w:customStyle="1" w:styleId="reftitle">
    <w:name w:val="reftitle"/>
    <w:rsid w:val="0030517B"/>
  </w:style>
  <w:style w:type="character" w:customStyle="1" w:styleId="refseriestitle">
    <w:name w:val="refseriestitle"/>
    <w:rsid w:val="0030517B"/>
  </w:style>
  <w:style w:type="character" w:customStyle="1" w:styleId="refseriesdate">
    <w:name w:val="refseriesdate"/>
    <w:rsid w:val="0030517B"/>
  </w:style>
  <w:style w:type="character" w:customStyle="1" w:styleId="refseriesvolume">
    <w:name w:val="refseriesvolume"/>
    <w:rsid w:val="0030517B"/>
  </w:style>
  <w:style w:type="character" w:customStyle="1" w:styleId="refpages">
    <w:name w:val="refpages"/>
    <w:rsid w:val="0030517B"/>
  </w:style>
  <w:style w:type="character" w:customStyle="1" w:styleId="autoren">
    <w:name w:val="autoren"/>
    <w:rsid w:val="0030517B"/>
  </w:style>
  <w:style w:type="character" w:customStyle="1" w:styleId="color">
    <w:name w:val="color"/>
    <w:rsid w:val="0030517B"/>
  </w:style>
  <w:style w:type="character" w:customStyle="1" w:styleId="cit">
    <w:name w:val="cit"/>
    <w:rsid w:val="0030517B"/>
  </w:style>
  <w:style w:type="character" w:customStyle="1" w:styleId="element-citation">
    <w:name w:val="element-citation"/>
    <w:rsid w:val="0030517B"/>
  </w:style>
  <w:style w:type="character" w:customStyle="1" w:styleId="ref-journal">
    <w:name w:val="ref-journal"/>
    <w:rsid w:val="0030517B"/>
  </w:style>
  <w:style w:type="character" w:customStyle="1" w:styleId="ref-vol">
    <w:name w:val="ref-vol"/>
    <w:rsid w:val="0030517B"/>
  </w:style>
  <w:style w:type="character" w:styleId="a8">
    <w:name w:val="Strong"/>
    <w:qFormat/>
    <w:rsid w:val="0030517B"/>
    <w:rPr>
      <w:b/>
      <w:bCs/>
    </w:rPr>
  </w:style>
  <w:style w:type="table" w:styleId="a9">
    <w:name w:val="Table Grid"/>
    <w:basedOn w:val="a1"/>
    <w:rsid w:val="0030517B"/>
    <w:pPr>
      <w:spacing w:after="0" w:line="240" w:lineRule="auto"/>
    </w:pPr>
    <w:rPr>
      <w:rFonts w:eastAsia="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
    <w:name w:val="Нет списка2"/>
    <w:next w:val="a2"/>
    <w:uiPriority w:val="99"/>
    <w:semiHidden/>
    <w:unhideWhenUsed/>
    <w:rsid w:val="0030517B"/>
  </w:style>
  <w:style w:type="paragraph" w:styleId="aa">
    <w:name w:val="Balloon Text"/>
    <w:basedOn w:val="a"/>
    <w:link w:val="ab"/>
    <w:uiPriority w:val="99"/>
    <w:semiHidden/>
    <w:rsid w:val="0030517B"/>
    <w:pPr>
      <w:spacing w:after="0" w:line="240" w:lineRule="auto"/>
    </w:pPr>
    <w:rPr>
      <w:rFonts w:ascii="Tahoma" w:eastAsia="Times New Roman" w:hAnsi="Tahoma" w:cs="Tahoma"/>
      <w:sz w:val="16"/>
      <w:szCs w:val="16"/>
      <w:lang w:val="ru-RU"/>
    </w:rPr>
  </w:style>
  <w:style w:type="character" w:customStyle="1" w:styleId="ab">
    <w:name w:val="Текст выноски Знак"/>
    <w:basedOn w:val="a0"/>
    <w:link w:val="aa"/>
    <w:uiPriority w:val="99"/>
    <w:semiHidden/>
    <w:rsid w:val="0030517B"/>
    <w:rPr>
      <w:rFonts w:ascii="Tahoma" w:eastAsia="Times New Roman" w:hAnsi="Tahoma" w:cs="Tahoma"/>
      <w:sz w:val="16"/>
      <w:szCs w:val="16"/>
      <w:lang w:val="ru-RU"/>
    </w:rPr>
  </w:style>
  <w:style w:type="numbering" w:customStyle="1" w:styleId="31">
    <w:name w:val="Нет списка3"/>
    <w:next w:val="a2"/>
    <w:uiPriority w:val="99"/>
    <w:semiHidden/>
    <w:unhideWhenUsed/>
    <w:rsid w:val="0030517B"/>
  </w:style>
  <w:style w:type="paragraph" w:customStyle="1" w:styleId="13">
    <w:name w:val="Без интервала1"/>
    <w:basedOn w:val="a"/>
    <w:link w:val="NoSpacingChar"/>
    <w:uiPriority w:val="99"/>
    <w:rsid w:val="0030517B"/>
    <w:pPr>
      <w:spacing w:after="0" w:line="240" w:lineRule="auto"/>
    </w:pPr>
    <w:rPr>
      <w:rFonts w:eastAsia="SimSun" w:cs="Times New Roman"/>
      <w:szCs w:val="24"/>
      <w:lang w:val="ru-RU" w:eastAsia="zh-CN"/>
    </w:rPr>
  </w:style>
  <w:style w:type="character" w:customStyle="1" w:styleId="NoSpacingChar">
    <w:name w:val="No Spacing Char"/>
    <w:link w:val="13"/>
    <w:uiPriority w:val="99"/>
    <w:locked/>
    <w:rsid w:val="0030517B"/>
    <w:rPr>
      <w:rFonts w:eastAsia="SimSun"/>
      <w:sz w:val="24"/>
      <w:szCs w:val="24"/>
      <w:lang w:val="ru-RU" w:eastAsia="zh-CN"/>
    </w:rPr>
  </w:style>
  <w:style w:type="paragraph" w:styleId="ac">
    <w:name w:val="No Spacing"/>
    <w:uiPriority w:val="1"/>
    <w:qFormat/>
    <w:rsid w:val="0030517B"/>
    <w:pPr>
      <w:spacing w:after="0" w:line="240" w:lineRule="auto"/>
    </w:pPr>
  </w:style>
  <w:style w:type="numbering" w:customStyle="1" w:styleId="41">
    <w:name w:val="Нет списка4"/>
    <w:next w:val="a2"/>
    <w:uiPriority w:val="99"/>
    <w:semiHidden/>
    <w:unhideWhenUsed/>
    <w:rsid w:val="0030517B"/>
  </w:style>
  <w:style w:type="table" w:customStyle="1" w:styleId="TableNormal">
    <w:name w:val="Table Normal"/>
    <w:rsid w:val="0030517B"/>
    <w:pPr>
      <w:pBdr>
        <w:top w:val="nil"/>
        <w:left w:val="nil"/>
        <w:bottom w:val="nil"/>
        <w:right w:val="nil"/>
        <w:between w:val="nil"/>
      </w:pBdr>
      <w:spacing w:after="200" w:line="276" w:lineRule="auto"/>
    </w:pPr>
    <w:rPr>
      <w:rFonts w:eastAsia="Times New Roman"/>
      <w:color w:val="000000"/>
      <w:lang w:val="en-GB" w:eastAsia="ru-RU"/>
    </w:rPr>
    <w:tblPr>
      <w:tblCellMar>
        <w:top w:w="0" w:type="dxa"/>
        <w:left w:w="0" w:type="dxa"/>
        <w:bottom w:w="0" w:type="dxa"/>
        <w:right w:w="0" w:type="dxa"/>
      </w:tblCellMar>
    </w:tblPr>
  </w:style>
  <w:style w:type="paragraph" w:styleId="ad">
    <w:name w:val="Title"/>
    <w:basedOn w:val="a"/>
    <w:next w:val="a"/>
    <w:link w:val="ae"/>
    <w:rsid w:val="0030517B"/>
    <w:pPr>
      <w:keepNext/>
      <w:keepLines/>
      <w:pBdr>
        <w:top w:val="nil"/>
        <w:left w:val="nil"/>
        <w:bottom w:val="nil"/>
        <w:right w:val="nil"/>
        <w:between w:val="nil"/>
      </w:pBdr>
      <w:spacing w:before="480" w:after="120"/>
    </w:pPr>
    <w:rPr>
      <w:rFonts w:eastAsia="Times New Roman" w:cs="Times New Roman"/>
      <w:b/>
      <w:color w:val="000000"/>
      <w:sz w:val="72"/>
      <w:szCs w:val="72"/>
      <w:lang w:val="en-GB" w:eastAsia="ru-RU"/>
    </w:rPr>
  </w:style>
  <w:style w:type="character" w:customStyle="1" w:styleId="ae">
    <w:name w:val="Заголовок Знак"/>
    <w:basedOn w:val="a0"/>
    <w:link w:val="ad"/>
    <w:rsid w:val="0030517B"/>
    <w:rPr>
      <w:rFonts w:eastAsia="Times New Roman"/>
      <w:b/>
      <w:color w:val="000000"/>
      <w:sz w:val="72"/>
      <w:szCs w:val="72"/>
      <w:lang w:val="en-GB" w:eastAsia="ru-RU"/>
    </w:rPr>
  </w:style>
  <w:style w:type="paragraph" w:styleId="af">
    <w:name w:val="Subtitle"/>
    <w:basedOn w:val="a"/>
    <w:next w:val="a"/>
    <w:link w:val="af0"/>
    <w:rsid w:val="0030517B"/>
    <w:pPr>
      <w:keepNext/>
      <w:keepLines/>
      <w:pBdr>
        <w:top w:val="nil"/>
        <w:left w:val="nil"/>
        <w:bottom w:val="nil"/>
        <w:right w:val="nil"/>
        <w:between w:val="nil"/>
      </w:pBdr>
      <w:spacing w:before="360" w:after="80"/>
    </w:pPr>
    <w:rPr>
      <w:rFonts w:ascii="Georgia" w:eastAsia="Georgia" w:hAnsi="Georgia" w:cs="Georgia"/>
      <w:i/>
      <w:color w:val="666666"/>
      <w:sz w:val="48"/>
      <w:szCs w:val="48"/>
      <w:lang w:val="en-GB" w:eastAsia="ru-RU"/>
    </w:rPr>
  </w:style>
  <w:style w:type="character" w:customStyle="1" w:styleId="af0">
    <w:name w:val="Подзаголовок Знак"/>
    <w:basedOn w:val="a0"/>
    <w:link w:val="af"/>
    <w:rsid w:val="0030517B"/>
    <w:rPr>
      <w:rFonts w:ascii="Georgia" w:eastAsia="Georgia" w:hAnsi="Georgia" w:cs="Georgia"/>
      <w:i/>
      <w:color w:val="666666"/>
      <w:sz w:val="48"/>
      <w:szCs w:val="48"/>
      <w:lang w:val="en-GB" w:eastAsia="ru-RU"/>
    </w:rPr>
  </w:style>
  <w:style w:type="character" w:customStyle="1" w:styleId="highlight">
    <w:name w:val="highlight"/>
    <w:basedOn w:val="a0"/>
    <w:rsid w:val="0030517B"/>
  </w:style>
  <w:style w:type="paragraph" w:styleId="af1">
    <w:name w:val="header"/>
    <w:basedOn w:val="a"/>
    <w:link w:val="af2"/>
    <w:uiPriority w:val="99"/>
    <w:unhideWhenUsed/>
    <w:rsid w:val="0030517B"/>
    <w:pPr>
      <w:tabs>
        <w:tab w:val="center" w:pos="4819"/>
        <w:tab w:val="right" w:pos="9639"/>
      </w:tabs>
      <w:spacing w:after="0" w:line="240" w:lineRule="auto"/>
    </w:pPr>
  </w:style>
  <w:style w:type="character" w:customStyle="1" w:styleId="af2">
    <w:name w:val="Верхний колонтитул Знак"/>
    <w:basedOn w:val="a0"/>
    <w:link w:val="af1"/>
    <w:uiPriority w:val="99"/>
    <w:rsid w:val="0030517B"/>
    <w:rPr>
      <w:rFonts w:cstheme="minorBidi"/>
      <w:sz w:val="24"/>
      <w:szCs w:val="22"/>
    </w:rPr>
  </w:style>
  <w:style w:type="paragraph" w:styleId="af3">
    <w:name w:val="footer"/>
    <w:basedOn w:val="a"/>
    <w:link w:val="af4"/>
    <w:uiPriority w:val="99"/>
    <w:unhideWhenUsed/>
    <w:rsid w:val="0030517B"/>
    <w:pPr>
      <w:tabs>
        <w:tab w:val="center" w:pos="4819"/>
        <w:tab w:val="right" w:pos="9639"/>
      </w:tabs>
      <w:spacing w:after="0" w:line="240" w:lineRule="auto"/>
    </w:pPr>
  </w:style>
  <w:style w:type="character" w:customStyle="1" w:styleId="af4">
    <w:name w:val="Нижний колонтитул Знак"/>
    <w:basedOn w:val="a0"/>
    <w:link w:val="af3"/>
    <w:uiPriority w:val="99"/>
    <w:rsid w:val="0030517B"/>
    <w:rPr>
      <w:rFonts w:cstheme="minorBidi"/>
      <w:sz w:val="24"/>
      <w:szCs w:val="22"/>
    </w:rPr>
  </w:style>
  <w:style w:type="paragraph" w:customStyle="1" w:styleId="Style1">
    <w:name w:val="Style1"/>
    <w:basedOn w:val="a"/>
    <w:rsid w:val="0016277E"/>
    <w:pPr>
      <w:widowControl w:val="0"/>
      <w:autoSpaceDE w:val="0"/>
      <w:autoSpaceDN w:val="0"/>
      <w:adjustRightInd w:val="0"/>
      <w:spacing w:after="0" w:line="240" w:lineRule="auto"/>
      <w:jc w:val="center"/>
    </w:pPr>
    <w:rPr>
      <w:rFonts w:eastAsia="Times New Roman" w:cs="Times New Roman"/>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ncbi.nlm.nih.gov/pmc/articles/PMC3267057/" TargetMode="External"/><Relationship Id="rId299" Type="http://schemas.openxmlformats.org/officeDocument/2006/relationships/hyperlink" Target="https://www.ncbi.nlm.nih.gov/pubmed/?term=Bayer%20A%5BAuthor%5D&amp;cauthor=true&amp;cauthor_uid=28552640" TargetMode="External"/><Relationship Id="rId303" Type="http://schemas.openxmlformats.org/officeDocument/2006/relationships/hyperlink" Target="https://www.ncbi.nlm.nih.gov/pubmed/28552640" TargetMode="External"/><Relationship Id="rId21" Type="http://schemas.openxmlformats.org/officeDocument/2006/relationships/chart" Target="charts/chart3.xml"/><Relationship Id="rId42" Type="http://schemas.openxmlformats.org/officeDocument/2006/relationships/image" Target="media/image17.emf"/><Relationship Id="rId63" Type="http://schemas.openxmlformats.org/officeDocument/2006/relationships/hyperlink" Target="https://www.ncbi.nlm.nih.gov/pubmed/?term=Virgin%20F%5BAuthor%5D&amp;cauthor=true&amp;cauthor_uid=27034873" TargetMode="External"/><Relationship Id="rId84" Type="http://schemas.openxmlformats.org/officeDocument/2006/relationships/hyperlink" Target="https://www.ncbi.nlm.nih.gov/pmc/articles/PMC4587576/" TargetMode="External"/><Relationship Id="rId138" Type="http://schemas.openxmlformats.org/officeDocument/2006/relationships/hyperlink" Target="https://www.ncbi.nlm.nih.gov/pubmed/?term=Piccioni%20M%5BAuthor%5D&amp;cauthor=true&amp;cauthor_uid=26927898" TargetMode="External"/><Relationship Id="rId159" Type="http://schemas.openxmlformats.org/officeDocument/2006/relationships/hyperlink" Target="https://www.ncbi.nlm.nih.gov/pubmed/?term=Wang%20AY%5BAuthor%5D&amp;cauthor=true&amp;cauthor_uid=29623203" TargetMode="External"/><Relationship Id="rId324" Type="http://schemas.openxmlformats.org/officeDocument/2006/relationships/hyperlink" Target="https://www.ncbi.nlm.nih.gov/pmc/articles/PMC5142469/" TargetMode="External"/><Relationship Id="rId345" Type="http://schemas.openxmlformats.org/officeDocument/2006/relationships/hyperlink" Target="https://www.ncbi.nlm.nih.gov/pubmed/?term=Krzyszczyk%20P%5BAuthor%5D&amp;cauthor=true&amp;cauthor_uid=29765329" TargetMode="External"/><Relationship Id="rId170" Type="http://schemas.openxmlformats.org/officeDocument/2006/relationships/hyperlink" Target="https://www.ncbi.nlm.nih.gov/pubmed/27959277" TargetMode="External"/><Relationship Id="rId191" Type="http://schemas.openxmlformats.org/officeDocument/2006/relationships/hyperlink" Target="https://www.ncbi.nlm.nih.gov/pubmed/?term=Takumi%20S%5BAuthor%5D&amp;cauthor=true&amp;cauthor_uid=28209294" TargetMode="External"/><Relationship Id="rId205" Type="http://schemas.openxmlformats.org/officeDocument/2006/relationships/hyperlink" Target="https://www.ncbi.nlm.nih.gov/pubmed/?term=Ma%20B%5BAuthor%5D&amp;cauthor=true&amp;cauthor_uid=28316164" TargetMode="External"/><Relationship Id="rId226" Type="http://schemas.openxmlformats.org/officeDocument/2006/relationships/hyperlink" Target="https://www.ncbi.nlm.nih.gov/pubmed/?term=Jablonka%20EM%5BAuthor%5D&amp;cauthor=true&amp;cauthor_uid=23027220" TargetMode="External"/><Relationship Id="rId247" Type="http://schemas.openxmlformats.org/officeDocument/2006/relationships/hyperlink" Target="https://www.ncbi.nlm.nih.gov/pubmed/?term=Singh%20S%5BAuthor%5D&amp;cauthor=true&amp;cauthor_uid=24163562" TargetMode="External"/><Relationship Id="rId107" Type="http://schemas.openxmlformats.org/officeDocument/2006/relationships/hyperlink" Target="https://www.ncbi.nlm.nih.gov/pubmed/?term=Carone%20L%5BAuthor%5D&amp;cauthor=true&amp;cauthor_uid=24046795" TargetMode="External"/><Relationship Id="rId268" Type="http://schemas.openxmlformats.org/officeDocument/2006/relationships/hyperlink" Target="https://www.ncbi.nlm.nih.gov/pubmed/?term=Anitua%20E%5BAuthor%5D&amp;cauthor=true&amp;cauthor_uid=14691563" TargetMode="External"/><Relationship Id="rId289" Type="http://schemas.openxmlformats.org/officeDocument/2006/relationships/hyperlink" Target="https://www.ncbi.nlm.nih.gov/pubmed/?term=Niu%20Z%5BAuthor%5D&amp;cauthor=true&amp;cauthor_uid=24993354" TargetMode="External"/><Relationship Id="rId11" Type="http://schemas.openxmlformats.org/officeDocument/2006/relationships/hyperlink" Target="https://www.ncbi.nlm.nih.gov/pubmed/?term=Bayer%20A%5BAuthor%5D&amp;cauthor=true&amp;cauthor_uid=28552640" TargetMode="External"/><Relationship Id="rId32" Type="http://schemas.openxmlformats.org/officeDocument/2006/relationships/image" Target="media/image13.jpeg"/><Relationship Id="rId53" Type="http://schemas.openxmlformats.org/officeDocument/2006/relationships/hyperlink" Target="https://www.ncbi.nlm.nih.gov/pubmed/?term=Muller%20S%5BAuthor%5D&amp;cauthor=true&amp;cauthor_uid=25421295" TargetMode="External"/><Relationship Id="rId74" Type="http://schemas.openxmlformats.org/officeDocument/2006/relationships/hyperlink" Target="https://www.ncbi.nlm.nih.gov/pubmed/?term=HE%20Y%5BAuthor%5D&amp;cauthor=true&amp;cauthor_uid=26893692" TargetMode="External"/><Relationship Id="rId128" Type="http://schemas.openxmlformats.org/officeDocument/2006/relationships/hyperlink" Target="https://www.ncbi.nlm.nih.gov/pubmed/?term=Goff%20CJ%5BAuthor%5D&amp;cauthor=true&amp;cauthor_uid=23128685" TargetMode="External"/><Relationship Id="rId149" Type="http://schemas.openxmlformats.org/officeDocument/2006/relationships/hyperlink" Target="https://www.ncbi.nlm.nih.gov/pubmed/29305009" TargetMode="External"/><Relationship Id="rId314" Type="http://schemas.openxmlformats.org/officeDocument/2006/relationships/hyperlink" Target="https://www.ncbi.nlm.nih.gov/pubmed/?term=Soffer%20E%5BAuthor%5D&amp;cauthor=true&amp;cauthor_uid=12738942" TargetMode="External"/><Relationship Id="rId335" Type="http://schemas.openxmlformats.org/officeDocument/2006/relationships/hyperlink" Target="https://www.ncbi.nlm.nih.gov/pmc/articles/PMC4863483/" TargetMode="External"/><Relationship Id="rId5" Type="http://schemas.openxmlformats.org/officeDocument/2006/relationships/webSettings" Target="webSettings.xml"/><Relationship Id="rId95" Type="http://schemas.openxmlformats.org/officeDocument/2006/relationships/hyperlink" Target="https://www.ncbi.nlm.nih.gov/pubmed/?term=Chavan%20S%5BAuthor%5D&amp;cauthor=true&amp;cauthor_uid=24959062" TargetMode="External"/><Relationship Id="rId160" Type="http://schemas.openxmlformats.org/officeDocument/2006/relationships/hyperlink" Target="https://www.ncbi.nlm.nih.gov/pmc/articles/PMC5881962/" TargetMode="External"/><Relationship Id="rId181" Type="http://schemas.openxmlformats.org/officeDocument/2006/relationships/hyperlink" Target="https://www.ncbi.nlm.nih.gov/pubmed/?term=Sunaga%20A%5BAuthor%5D&amp;cauthor=true&amp;cauthor_uid=28507865" TargetMode="External"/><Relationship Id="rId216" Type="http://schemas.openxmlformats.org/officeDocument/2006/relationships/hyperlink" Target="https://www.ncbi.nlm.nih.gov/pubmed/?term=Liu%20DQ%5BAuthor%5D&amp;cauthor=true&amp;cauthor_uid=28180922" TargetMode="External"/><Relationship Id="rId237" Type="http://schemas.openxmlformats.org/officeDocument/2006/relationships/hyperlink" Target="https://www.ncbi.nlm.nih.gov/pubmed/?term=Dougall%20GM%5BAuthor%5D&amp;cauthor=true&amp;cauthor_uid=28293527" TargetMode="External"/><Relationship Id="rId258" Type="http://schemas.openxmlformats.org/officeDocument/2006/relationships/hyperlink" Target="https://www.ncbi.nlm.nih.gov/pubmed/21740376" TargetMode="External"/><Relationship Id="rId279" Type="http://schemas.openxmlformats.org/officeDocument/2006/relationships/hyperlink" Target="https://www.ncbi.nlm.nih.gov/pubmed/2045423/" TargetMode="External"/><Relationship Id="rId22" Type="http://schemas.openxmlformats.org/officeDocument/2006/relationships/chart" Target="charts/chart4.xml"/><Relationship Id="rId43" Type="http://schemas.openxmlformats.org/officeDocument/2006/relationships/image" Target="media/image18.emf"/><Relationship Id="rId64" Type="http://schemas.openxmlformats.org/officeDocument/2006/relationships/hyperlink" Target="https://www.ncbi.nlm.nih.gov/pubmed/?term=Wootten%20C%5BAuthor%5D&amp;cauthor=true&amp;cauthor_uid=27034873" TargetMode="External"/><Relationship Id="rId118" Type="http://schemas.openxmlformats.org/officeDocument/2006/relationships/hyperlink" Target="https://www.ncbi.nlm.nih.gov/pubmed/?term=Al-Ashaa%20Y%5BAuthor%5D&amp;cauthor=true&amp;cauthor_uid=21857866" TargetMode="External"/><Relationship Id="rId139" Type="http://schemas.openxmlformats.org/officeDocument/2006/relationships/hyperlink" Target="https://www.ncbi.nlm.nih.gov/pubmed/?term=Bottazzoli%20M%5BAuthor%5D&amp;cauthor=true&amp;cauthor_uid=26927898" TargetMode="External"/><Relationship Id="rId290" Type="http://schemas.openxmlformats.org/officeDocument/2006/relationships/hyperlink" Target="https://www.ncbi.nlm.nih.gov/pubmed/?term=Xue%20Y%5BAuthor%5D&amp;cauthor=true&amp;cauthor_uid=24993354" TargetMode="External"/><Relationship Id="rId304" Type="http://schemas.openxmlformats.org/officeDocument/2006/relationships/hyperlink" Target="https://www.ncbi.nlm.nih.gov/pubmed/?term=Ding%20Y%5BAuthor%5D&amp;cauthor=true&amp;cauthor_uid=28650409" TargetMode="External"/><Relationship Id="rId325" Type="http://schemas.openxmlformats.org/officeDocument/2006/relationships/hyperlink" Target="https://www.ncbi.nlm.nih.gov/pubmed/?term=Bilginaylar%20K%5BAuthor%5D&amp;cauthor=true&amp;cauthor_uid=28458932" TargetMode="External"/><Relationship Id="rId346" Type="http://schemas.openxmlformats.org/officeDocument/2006/relationships/hyperlink" Target="https://www.ncbi.nlm.nih.gov/pubmed/?term=Krzyszczyk%20P%5BAuthor%5D&amp;cauthor=true&amp;cauthor_uid=29765329" TargetMode="External"/><Relationship Id="rId85" Type="http://schemas.openxmlformats.org/officeDocument/2006/relationships/hyperlink" Target="https://www.ncbi.nlm.nih.gov/pubmed/?term=Horvath%20D%5BAuthor%5D&amp;cauthor=true&amp;cauthor_uid=26863817" TargetMode="External"/><Relationship Id="rId150" Type="http://schemas.openxmlformats.org/officeDocument/2006/relationships/hyperlink" Target="https://www.ncbi.nlm.nih.gov/pubmed/?term=Narayana%20Moorthy%20S%5BAuthor%5D&amp;cauthor=true&amp;cauthor_uid=22211034" TargetMode="External"/><Relationship Id="rId171" Type="http://schemas.openxmlformats.org/officeDocument/2006/relationships/hyperlink" Target="https://www.ncbi.nlm.nih.gov/pubmed/?term=Ogawa%20R%5BAuthor%5D&amp;cauthor=true&amp;cauthor_uid=28287424" TargetMode="External"/><Relationship Id="rId192" Type="http://schemas.openxmlformats.org/officeDocument/2006/relationships/hyperlink" Target="https://www.ncbi.nlm.nih.gov/pubmed/?term=Shirai%20K%5BAuthor%5D&amp;cauthor=true&amp;cauthor_uid=28209294" TargetMode="External"/><Relationship Id="rId206" Type="http://schemas.openxmlformats.org/officeDocument/2006/relationships/hyperlink" Target="https://www.ncbi.nlm.nih.gov/pubmed/?term=Xia%20ZF%5BAuthor%5D&amp;cauthor=true&amp;cauthor_uid=28316164" TargetMode="External"/><Relationship Id="rId227" Type="http://schemas.openxmlformats.org/officeDocument/2006/relationships/hyperlink" Target="https://www.ncbi.nlm.nih.gov/pubmed/?term=Sherris%20DA%5BAuthor%5D&amp;cauthor=true&amp;cauthor_uid=23027220" TargetMode="External"/><Relationship Id="rId248" Type="http://schemas.openxmlformats.org/officeDocument/2006/relationships/hyperlink" Target="https://www.ncbi.nlm.nih.gov/pubmed/?term=Singh%20R%5BAuthor%5D&amp;cauthor=true&amp;cauthor_uid=24163562" TargetMode="External"/><Relationship Id="rId269" Type="http://schemas.openxmlformats.org/officeDocument/2006/relationships/hyperlink" Target="https://www.ncbi.nlm.nih.gov/pubmed/?term=Andia%20I%5BAuthor%5D&amp;cauthor=true&amp;cauthor_uid=14691563" TargetMode="External"/><Relationship Id="rId12" Type="http://schemas.openxmlformats.org/officeDocument/2006/relationships/hyperlink" Target="https://www.ncbi.nlm.nih.gov/pubmed/?term=Doiphode%20AM%5BAuthor%5D&amp;cauthor=true&amp;cauthor_uid=27195227" TargetMode="External"/><Relationship Id="rId33" Type="http://schemas.openxmlformats.org/officeDocument/2006/relationships/chart" Target="charts/chart5.xml"/><Relationship Id="rId108" Type="http://schemas.openxmlformats.org/officeDocument/2006/relationships/hyperlink" Target="https://www.ncbi.nlm.nih.gov/pmc/articles/PMC3774901/" TargetMode="External"/><Relationship Id="rId129" Type="http://schemas.openxmlformats.org/officeDocument/2006/relationships/hyperlink" Target="https://www.ncbi.nlm.nih.gov/pubmed/?term=Allred%20C%5BAuthor%5D&amp;cauthor=true&amp;cauthor_uid=23128685" TargetMode="External"/><Relationship Id="rId280" Type="http://schemas.openxmlformats.org/officeDocument/2006/relationships/hyperlink" Target="https://www.ncbi.nlm.nih.gov/pubmed/?term=Bansal%20M%5BAuthor%5D&amp;cauthor=true&amp;cauthor_uid=27761092" TargetMode="External"/><Relationship Id="rId315" Type="http://schemas.openxmlformats.org/officeDocument/2006/relationships/hyperlink" Target="https://www.ncbi.nlm.nih.gov/pubmed/?term=Ouhayoun%20JP%5BAuthor%5D&amp;cauthor=true&amp;cauthor_uid=12738942" TargetMode="External"/><Relationship Id="rId336" Type="http://schemas.openxmlformats.org/officeDocument/2006/relationships/hyperlink" Target="https://www.ncbi.nlm.nih.gov/pubmed/?term=Cortese%20A%5BAuthor%5D&amp;cauthor=true&amp;cauthor_uid=27255572" TargetMode="External"/><Relationship Id="rId54" Type="http://schemas.openxmlformats.org/officeDocument/2006/relationships/hyperlink" Target="https://www.ncbi.nlm.nih.gov/pubmed/?term=Aiken%20A%5BAuthor%5D&amp;cauthor=true&amp;cauthor_uid=25421295" TargetMode="External"/><Relationship Id="rId75" Type="http://schemas.openxmlformats.org/officeDocument/2006/relationships/hyperlink" Target="https://www.ncbi.nlm.nih.gov/pmc/articles/PMC4733956/" TargetMode="External"/><Relationship Id="rId96" Type="http://schemas.openxmlformats.org/officeDocument/2006/relationships/hyperlink" Target="https://www.ncbi.nlm.nih.gov/pubmed/?term=Deshmukh%20R%5BAuthor%5D&amp;cauthor=true&amp;cauthor_uid=24959062" TargetMode="External"/><Relationship Id="rId140" Type="http://schemas.openxmlformats.org/officeDocument/2006/relationships/hyperlink" Target="https://www.ncbi.nlm.nih.gov/pubmed/?term=Nassif%20N%5BAuthor%5D&amp;cauthor=true&amp;cauthor_uid=26927898" TargetMode="External"/><Relationship Id="rId161" Type="http://schemas.openxmlformats.org/officeDocument/2006/relationships/hyperlink" Target="https://www.ncbi.nlm.nih.gov/pubmed/?term=Patigaroo%20SA%5BAuthor%5D&amp;cauthor=true&amp;cauthor_uid=28239589" TargetMode="External"/><Relationship Id="rId182" Type="http://schemas.openxmlformats.org/officeDocument/2006/relationships/hyperlink" Target="https://www.ncbi.nlm.nih.gov/pubmed/?term=Kamochi%20H%5BAuthor%5D&amp;cauthor=true&amp;cauthor_uid=28507865" TargetMode="External"/><Relationship Id="rId217" Type="http://schemas.openxmlformats.org/officeDocument/2006/relationships/hyperlink" Target="https://www.ncbi.nlm.nih.gov/pubmed/?term=Liu%20DQ%5BAuthor%5D&amp;cauthor=true&amp;cauthor_uid=28180922" TargetMode="External"/><Relationship Id="rId6" Type="http://schemas.openxmlformats.org/officeDocument/2006/relationships/footnotes" Target="footnotes.xml"/><Relationship Id="rId238" Type="http://schemas.openxmlformats.org/officeDocument/2006/relationships/hyperlink" Target="https://www.ncbi.nlm.nih.gov/pubmed/?term=Tafuro%20EM%5BAuthor%5D&amp;cauthor=true&amp;cauthor_uid=28293527" TargetMode="External"/><Relationship Id="rId259" Type="http://schemas.openxmlformats.org/officeDocument/2006/relationships/hyperlink" Target="https://www.ncbi.nlm.nih.gov/pubmed/?term=Tamimi%20FM%5BAuthor%5D&amp;cauthor=true&amp;cauthor_uid=17517290" TargetMode="External"/><Relationship Id="rId23" Type="http://schemas.openxmlformats.org/officeDocument/2006/relationships/image" Target="media/image4.jpeg"/><Relationship Id="rId119" Type="http://schemas.openxmlformats.org/officeDocument/2006/relationships/hyperlink" Target="https://www.ncbi.nlm.nih.gov/pubmed/?term=Hefny%20A%5BAuthor%5D&amp;cauthor=true&amp;cauthor_uid=21857866" TargetMode="External"/><Relationship Id="rId270" Type="http://schemas.openxmlformats.org/officeDocument/2006/relationships/hyperlink" Target="https://www.ncbi.nlm.nih.gov/pubmed/?term=Ardanza%20B%5BAuthor%5D&amp;cauthor=true&amp;cauthor_uid=14691563" TargetMode="External"/><Relationship Id="rId291" Type="http://schemas.openxmlformats.org/officeDocument/2006/relationships/hyperlink" Target="https://www.ncbi.nlm.nih.gov/pubmed/24993354" TargetMode="External"/><Relationship Id="rId305" Type="http://schemas.openxmlformats.org/officeDocument/2006/relationships/hyperlink" Target="https://www.ncbi.nlm.nih.gov/pubmed/?term=Cui%20L%5BAuthor%5D&amp;cauthor=true&amp;cauthor_uid=28650409" TargetMode="External"/><Relationship Id="rId326" Type="http://schemas.openxmlformats.org/officeDocument/2006/relationships/hyperlink" Target="https://www.ncbi.nlm.nih.gov/pubmed/?term=Bilginaylar%20K%5BAuthor%5D&amp;cauthor=true&amp;cauthor_uid=28458932" TargetMode="External"/><Relationship Id="rId347" Type="http://schemas.openxmlformats.org/officeDocument/2006/relationships/hyperlink" Target="https://www.ncbi.nlm.nih.gov/pubmed/?term=Schloss%20R%5BAuthor%5D&amp;cauthor=true&amp;cauthor_uid=29765329" TargetMode="External"/><Relationship Id="rId44" Type="http://schemas.openxmlformats.org/officeDocument/2006/relationships/image" Target="media/image19.emf"/><Relationship Id="rId65" Type="http://schemas.openxmlformats.org/officeDocument/2006/relationships/hyperlink" Target="https://www.ncbi.nlm.nih.gov/pmc/articles/PMC4789415/" TargetMode="External"/><Relationship Id="rId86" Type="http://schemas.openxmlformats.org/officeDocument/2006/relationships/hyperlink" Target="https://www.ncbi.nlm.nih.gov/pubmed/?term=Horvath%20D%5BAuthor%5D&amp;cauthor=true&amp;cauthor_uid=26863817" TargetMode="External"/><Relationship Id="rId130" Type="http://schemas.openxmlformats.org/officeDocument/2006/relationships/hyperlink" Target="https://www.ncbi.nlm.nih.gov/pubmed/?term=Glade%20RS%5BAuthor%5D&amp;cauthor=true&amp;cauthor_uid=23128685" TargetMode="External"/><Relationship Id="rId151" Type="http://schemas.openxmlformats.org/officeDocument/2006/relationships/hyperlink" Target="https://www.ncbi.nlm.nih.gov/pubmed/?term=Narayana%20Moorthy%20S%5BAuthor%5D&amp;cauthor=true&amp;cauthor_uid=22211034" TargetMode="External"/><Relationship Id="rId172" Type="http://schemas.openxmlformats.org/officeDocument/2006/relationships/hyperlink" Target="https://www.ncbi.nlm.nih.gov/pubmed/?term=Ogawa%20R%5BAuthor%5D&amp;cauthor=true&amp;cauthor_uid=28287424" TargetMode="External"/><Relationship Id="rId193" Type="http://schemas.openxmlformats.org/officeDocument/2006/relationships/hyperlink" Target="https://www.ncbi.nlm.nih.gov/pubmed/28209294" TargetMode="External"/><Relationship Id="rId207" Type="http://schemas.openxmlformats.org/officeDocument/2006/relationships/hyperlink" Target="https://www.ncbi.nlm.nih.gov/pubmed/28316164" TargetMode="External"/><Relationship Id="rId228" Type="http://schemas.openxmlformats.org/officeDocument/2006/relationships/hyperlink" Target="https://www.ncbi.nlm.nih.gov/pubmed/?term=Gassner%20HG%5BAuthor%5D&amp;cauthor=true&amp;cauthor_uid=23027220" TargetMode="External"/><Relationship Id="rId249" Type="http://schemas.openxmlformats.org/officeDocument/2006/relationships/hyperlink" Target="https://www.ncbi.nlm.nih.gov/pmc/articles/PMC3800395/" TargetMode="External"/><Relationship Id="rId13" Type="http://schemas.openxmlformats.org/officeDocument/2006/relationships/hyperlink" Target="https://www.ncbi.nlm.nih.gov/pubmed/?term=Cortese%20A%5BAuthor%5D&amp;cauthor=true&amp;cauthor_uid=27255572" TargetMode="External"/><Relationship Id="rId109" Type="http://schemas.openxmlformats.org/officeDocument/2006/relationships/hyperlink" Target="https://www.ncbi.nlm.nih.gov/pubmed/?term=Nahata%20V%5BAuthor%5D&amp;cauthor=true&amp;cauthor_uid=27904209" TargetMode="External"/><Relationship Id="rId260" Type="http://schemas.openxmlformats.org/officeDocument/2006/relationships/hyperlink" Target="https://www.ncbi.nlm.nih.gov/pubmed/?term=Montalvo%20S%5BAuthor%5D&amp;cauthor=true&amp;cauthor_uid=17517290" TargetMode="External"/><Relationship Id="rId281" Type="http://schemas.openxmlformats.org/officeDocument/2006/relationships/hyperlink" Target="https://www.ncbi.nlm.nih.gov/pubmed/?term=Kumar%20A%5BAuthor%5D&amp;cauthor=true&amp;cauthor_uid=27761092" TargetMode="External"/><Relationship Id="rId316" Type="http://schemas.openxmlformats.org/officeDocument/2006/relationships/hyperlink" Target="https://www.ncbi.nlm.nih.gov/pubmed/?term=Anagnostou%20F%5BAuthor%5D&amp;cauthor=true&amp;cauthor_uid=12738942" TargetMode="External"/><Relationship Id="rId337" Type="http://schemas.openxmlformats.org/officeDocument/2006/relationships/hyperlink" Target="https://www.ncbi.nlm.nih.gov/pubmed/?term=Caggiano%20M%5BAuthor%5D&amp;cauthor=true&amp;cauthor_uid=27255572" TargetMode="External"/><Relationship Id="rId34" Type="http://schemas.openxmlformats.org/officeDocument/2006/relationships/chart" Target="charts/chart6.xml"/><Relationship Id="rId55" Type="http://schemas.openxmlformats.org/officeDocument/2006/relationships/hyperlink" Target="https://www.ncbi.nlm.nih.gov/pubmed/?term=Magliocca%20K%5BAuthor%5D&amp;cauthor=true&amp;cauthor_uid=25421295" TargetMode="External"/><Relationship Id="rId76" Type="http://schemas.openxmlformats.org/officeDocument/2006/relationships/hyperlink" Target="https://www.ncbi.nlm.nih.gov/pubmed/?term=Bu%C5%82a%20G%5BAuthor%5D&amp;cauthor=true&amp;cauthor_uid=23241572" TargetMode="External"/><Relationship Id="rId97" Type="http://schemas.openxmlformats.org/officeDocument/2006/relationships/hyperlink" Target="https://www.ncbi.nlm.nih.gov/pubmed/?term=Karande%20P%5BAuthor%5D&amp;cauthor=true&amp;cauthor_uid=24959062" TargetMode="External"/><Relationship Id="rId120" Type="http://schemas.openxmlformats.org/officeDocument/2006/relationships/hyperlink" Target="https://www.ncbi.nlm.nih.gov/pubmed/?term=Joshi%20S%5BAuthor%5D&amp;cauthor=true&amp;cauthor_uid=21857866" TargetMode="External"/><Relationship Id="rId141" Type="http://schemas.openxmlformats.org/officeDocument/2006/relationships/hyperlink" Target="https://www.ncbi.nlm.nih.gov/pubmed/?term=Huang%20LD%5BAuthor%5D&amp;cauthor=true&amp;cauthor_uid=26261619" TargetMode="External"/><Relationship Id="rId7" Type="http://schemas.openxmlformats.org/officeDocument/2006/relationships/endnotes" Target="endnotes.xml"/><Relationship Id="rId162" Type="http://schemas.openxmlformats.org/officeDocument/2006/relationships/hyperlink" Target="https://www.ncbi.nlm.nih.gov/pubmed/?term=Patigaroo%20SA%5BAuthor%5D&amp;cauthor=true&amp;cauthor_uid=28239589" TargetMode="External"/><Relationship Id="rId183" Type="http://schemas.openxmlformats.org/officeDocument/2006/relationships/hyperlink" Target="https://www.ncbi.nlm.nih.gov/pubmed/?term=Sarukawa%20S%5BAuthor%5D&amp;cauthor=true&amp;cauthor_uid=28507865" TargetMode="External"/><Relationship Id="rId218" Type="http://schemas.openxmlformats.org/officeDocument/2006/relationships/hyperlink" Target="https://www.ncbi.nlm.nih.gov/pubmed/?term=Li%20XJ%5BAuthor%5D&amp;cauthor=true&amp;cauthor_uid=28180922" TargetMode="External"/><Relationship Id="rId239" Type="http://schemas.openxmlformats.org/officeDocument/2006/relationships/hyperlink" Target="https://www.ncbi.nlm.nih.gov/pmc/articles/PMC5222672/" TargetMode="External"/><Relationship Id="rId250" Type="http://schemas.openxmlformats.org/officeDocument/2006/relationships/hyperlink" Target="https://www.ncbi.nlm.nih.gov/pubmed/?term=Kumar%20KR%5BAuthor%5D&amp;cauthor=true&amp;cauthor_uid=27829743" TargetMode="External"/><Relationship Id="rId271" Type="http://schemas.openxmlformats.org/officeDocument/2006/relationships/hyperlink" Target="https://www.ncbi.nlm.nih.gov/pubmed/14691563" TargetMode="External"/><Relationship Id="rId292" Type="http://schemas.openxmlformats.org/officeDocument/2006/relationships/hyperlink" Target="https://www.ncbi.nlm.nih.gov/pubmed/?term=Castro%20AB%5BAuthor%5D&amp;cauthor=true&amp;cauthor_uid=27783851" TargetMode="External"/><Relationship Id="rId306" Type="http://schemas.openxmlformats.org/officeDocument/2006/relationships/hyperlink" Target="https://www.ncbi.nlm.nih.gov/pubmed/?term=Zhao%20Q%5BAuthor%5D&amp;cauthor=true&amp;cauthor_uid=28650409" TargetMode="External"/><Relationship Id="rId24" Type="http://schemas.openxmlformats.org/officeDocument/2006/relationships/image" Target="media/image5.jpeg"/><Relationship Id="rId45" Type="http://schemas.openxmlformats.org/officeDocument/2006/relationships/image" Target="media/image20.emf"/><Relationship Id="rId66" Type="http://schemas.openxmlformats.org/officeDocument/2006/relationships/hyperlink" Target="https://www.ncbi.nlm.nih.gov/pubmed/?term=McLean%20T%5BAuthor%5D&amp;cauthor=true&amp;cauthor_uid=26004639" TargetMode="External"/><Relationship Id="rId87" Type="http://schemas.openxmlformats.org/officeDocument/2006/relationships/hyperlink" Target="https://www.ncbi.nlm.nih.gov/pubmed/?term=Redl%20P%5BAuthor%5D&amp;cauthor=true&amp;cauthor_uid=26863817" TargetMode="External"/><Relationship Id="rId110" Type="http://schemas.openxmlformats.org/officeDocument/2006/relationships/hyperlink" Target="https://www.ncbi.nlm.nih.gov/pubmed/?term=Nahata%20V%5BAuthor%5D&amp;cauthor=true&amp;cauthor_uid=27904209" TargetMode="External"/><Relationship Id="rId131" Type="http://schemas.openxmlformats.org/officeDocument/2006/relationships/hyperlink" Target="https://www.ncbi.nlm.nih.gov/pubmed/23128685" TargetMode="External"/><Relationship Id="rId327" Type="http://schemas.openxmlformats.org/officeDocument/2006/relationships/hyperlink" Target="https://www.ncbi.nlm.nih.gov/pmc/articles/PMC5385223/" TargetMode="External"/><Relationship Id="rId348" Type="http://schemas.openxmlformats.org/officeDocument/2006/relationships/hyperlink" Target="https://www.ncbi.nlm.nih.gov/pubmed/?term=Palmer%20A%5BAuthor%5D&amp;cauthor=true&amp;cauthor_uid=29765329" TargetMode="External"/><Relationship Id="rId152" Type="http://schemas.openxmlformats.org/officeDocument/2006/relationships/hyperlink" Target="https://www.ncbi.nlm.nih.gov/pubmed/?term=Arcot%20R%5BAuthor%5D&amp;cauthor=true&amp;cauthor_uid=22211034" TargetMode="External"/><Relationship Id="rId173" Type="http://schemas.openxmlformats.org/officeDocument/2006/relationships/hyperlink" Target="https://www.ncbi.nlm.nih.gov/pmc/articles/PMC5372622/" TargetMode="External"/><Relationship Id="rId194" Type="http://schemas.openxmlformats.org/officeDocument/2006/relationships/hyperlink" Target="https://www.ncbi.nlm.nih.gov/pubmed/?term=Zhai%20XX%5BAuthor%5D&amp;cauthor=true&amp;cauthor_uid=28393182" TargetMode="External"/><Relationship Id="rId208" Type="http://schemas.openxmlformats.org/officeDocument/2006/relationships/hyperlink" Target="https://www.ncbi.nlm.nih.gov/pubmed/?term=Goldberg%20DJ%5BAuthor%5D&amp;cauthor=true&amp;cauthor_uid=28210394" TargetMode="External"/><Relationship Id="rId229" Type="http://schemas.openxmlformats.org/officeDocument/2006/relationships/hyperlink" Target="https://www.ncbi.nlm.nih.gov/pubmed/23027220" TargetMode="External"/><Relationship Id="rId240" Type="http://schemas.openxmlformats.org/officeDocument/2006/relationships/hyperlink" Target="https://www.ncbi.nlm.nih.gov/pubmed/?term=Saluja%20H%5BAuthor%5D&amp;cauthor=true&amp;cauthor_uid=23482459" TargetMode="External"/><Relationship Id="rId261" Type="http://schemas.openxmlformats.org/officeDocument/2006/relationships/hyperlink" Target="https://www.ncbi.nlm.nih.gov/pubmed/?term=Tresguerres%20I%5BAuthor%5D&amp;cauthor=true&amp;cauthor_uid=17517290" TargetMode="External"/><Relationship Id="rId14" Type="http://schemas.openxmlformats.org/officeDocument/2006/relationships/hyperlink" Target="http://uk.wikipedia.org/wiki/%D0%93%D0%B5%D0%BC%D0%B0%D1%82%D0%BE%D0%BA%D1%81%D0%B8%D0%BB%D1%96%D0%BD" TargetMode="External"/><Relationship Id="rId35" Type="http://schemas.openxmlformats.org/officeDocument/2006/relationships/chart" Target="charts/chart7.xml"/><Relationship Id="rId56" Type="http://schemas.openxmlformats.org/officeDocument/2006/relationships/hyperlink" Target="https://www.ncbi.nlm.nih.gov/pubmed/?term=Chen%20AY%5BAuthor%5D&amp;cauthor=true&amp;cauthor_uid=25421295" TargetMode="External"/><Relationship Id="rId77" Type="http://schemas.openxmlformats.org/officeDocument/2006/relationships/hyperlink" Target="https://www.ncbi.nlm.nih.gov/pubmed/?term=Waler%20J%5BAuthor%5D&amp;cauthor=true&amp;cauthor_uid=23241572" TargetMode="External"/><Relationship Id="rId100" Type="http://schemas.openxmlformats.org/officeDocument/2006/relationships/hyperlink" Target="https://www.ncbi.nlm.nih.gov/pubmed/?term=Nakazawa%20T%5BAuthor%5D&amp;cauthor=true&amp;cauthor_uid=26496296" TargetMode="External"/><Relationship Id="rId282" Type="http://schemas.openxmlformats.org/officeDocument/2006/relationships/hyperlink" Target="https://www.ncbi.nlm.nih.gov/pubmed/?term=Puri%20K%5BAuthor%5D&amp;cauthor=true&amp;cauthor_uid=27761092" TargetMode="External"/><Relationship Id="rId317" Type="http://schemas.openxmlformats.org/officeDocument/2006/relationships/hyperlink" Target="https://www.ncbi.nlm.nih.gov/pubmed/12738942" TargetMode="External"/><Relationship Id="rId338" Type="http://schemas.openxmlformats.org/officeDocument/2006/relationships/hyperlink" Target="https://www.ncbi.nlm.nih.gov/pubmed/?term=Carlino%20F%5BAuthor%5D&amp;cauthor=true&amp;cauthor_uid=27255572" TargetMode="External"/><Relationship Id="rId8" Type="http://schemas.openxmlformats.org/officeDocument/2006/relationships/header" Target="header1.xml"/><Relationship Id="rId98" Type="http://schemas.openxmlformats.org/officeDocument/2006/relationships/hyperlink" Target="https://www.ncbi.nlm.nih.gov/pubmed/?term=Ingale%20Y%5BAuthor%5D&amp;cauthor=true&amp;cauthor_uid=24959062" TargetMode="External"/><Relationship Id="rId121" Type="http://schemas.openxmlformats.org/officeDocument/2006/relationships/hyperlink" Target="https://www.ncbi.nlm.nih.gov/pmc/articles/PMC3158521/" TargetMode="External"/><Relationship Id="rId142" Type="http://schemas.openxmlformats.org/officeDocument/2006/relationships/hyperlink" Target="https://www.ncbi.nlm.nih.gov/pubmed/?term=Gao%20SQ%5BAuthor%5D&amp;cauthor=true&amp;cauthor_uid=26261619" TargetMode="External"/><Relationship Id="rId163" Type="http://schemas.openxmlformats.org/officeDocument/2006/relationships/hyperlink" Target="https://www.ncbi.nlm.nih.gov/pubmed/?term=Dar%20NH%5BAuthor%5D&amp;cauthor=true&amp;cauthor_uid=28239589" TargetMode="External"/><Relationship Id="rId184" Type="http://schemas.openxmlformats.org/officeDocument/2006/relationships/hyperlink" Target="https://www.ncbi.nlm.nih.gov/pmc/articles/PMC5426884/" TargetMode="External"/><Relationship Id="rId219" Type="http://schemas.openxmlformats.org/officeDocument/2006/relationships/hyperlink" Target="https://www.ncbi.nlm.nih.gov/pubmed/?term=Weng%20XJ%5BAuthor%5D&amp;cauthor=true&amp;cauthor_uid=28180922" TargetMode="External"/><Relationship Id="rId230" Type="http://schemas.openxmlformats.org/officeDocument/2006/relationships/hyperlink" Target="https://www.ncbi.nlm.nih.gov/pubmed/?term=Poetschke%20J%5BAuthor%5D&amp;cauthor=true&amp;cauthor_uid=28401348" TargetMode="External"/><Relationship Id="rId251" Type="http://schemas.openxmlformats.org/officeDocument/2006/relationships/hyperlink" Target="https://www.ncbi.nlm.nih.gov/pubmed/?term=Genmorgan%20K%5BAuthor%5D&amp;cauthor=true&amp;cauthor_uid=27829743" TargetMode="External"/><Relationship Id="rId25" Type="http://schemas.openxmlformats.org/officeDocument/2006/relationships/image" Target="media/image6.jpeg"/><Relationship Id="rId46" Type="http://schemas.openxmlformats.org/officeDocument/2006/relationships/image" Target="media/image21.emf"/><Relationship Id="rId67" Type="http://schemas.openxmlformats.org/officeDocument/2006/relationships/hyperlink" Target="https://www.ncbi.nlm.nih.gov/pubmed/?term=Iseli%20C%5BAuthor%5D&amp;cauthor=true&amp;cauthor_uid=26004639" TargetMode="External"/><Relationship Id="rId272" Type="http://schemas.openxmlformats.org/officeDocument/2006/relationships/hyperlink" Target="https://www.ncbi.nlm.nih.gov/pubmed/?term=Marenzi%20G%5BAuthor%5D&amp;cauthor=true&amp;cauthor_uid=26273612" TargetMode="External"/><Relationship Id="rId293" Type="http://schemas.openxmlformats.org/officeDocument/2006/relationships/hyperlink" Target="https://www.ncbi.nlm.nih.gov/pubmed/?term=Meschi%20N%5BAuthor%5D&amp;cauthor=true&amp;cauthor_uid=27783851" TargetMode="External"/><Relationship Id="rId307" Type="http://schemas.openxmlformats.org/officeDocument/2006/relationships/hyperlink" Target="https://www.ncbi.nlm.nih.gov/pubmed/28650409" TargetMode="External"/><Relationship Id="rId328" Type="http://schemas.openxmlformats.org/officeDocument/2006/relationships/hyperlink" Target="https://www.ncbi.nlm.nih.gov/pubmed/?term=Hoaglin%20DR%5BAuthor%5D&amp;cauthor=true&amp;cauthor_uid=23653648" TargetMode="External"/><Relationship Id="rId349" Type="http://schemas.openxmlformats.org/officeDocument/2006/relationships/hyperlink" Target="https://www.ncbi.nlm.nih.gov/pubmed/?term=Berthiaume%20F%5BAuthor%5D&amp;cauthor=true&amp;cauthor_uid=29765329" TargetMode="External"/><Relationship Id="rId20" Type="http://schemas.openxmlformats.org/officeDocument/2006/relationships/chart" Target="charts/chart2.xml"/><Relationship Id="rId41" Type="http://schemas.openxmlformats.org/officeDocument/2006/relationships/image" Target="media/image16.emf"/><Relationship Id="rId62" Type="http://schemas.openxmlformats.org/officeDocument/2006/relationships/hyperlink" Target="https://www.ncbi.nlm.nih.gov/pubmed/?term=Quintanilla-Dieck%20L%5BAuthor%5D&amp;cauthor=true&amp;cauthor_uid=27034873" TargetMode="External"/><Relationship Id="rId83" Type="http://schemas.openxmlformats.org/officeDocument/2006/relationships/hyperlink" Target="https://www.ncbi.nlm.nih.gov/pubmed/?term=Ruturi%20J%5BAuthor%5D&amp;cauthor=true&amp;cauthor_uid=26416666" TargetMode="External"/><Relationship Id="rId88" Type="http://schemas.openxmlformats.org/officeDocument/2006/relationships/hyperlink" Target="https://www.ncbi.nlm.nih.gov/pubmed/?term=Heged%C5%B1s%20C%5BAuthor%5D&amp;cauthor=true&amp;cauthor_uid=26863817" TargetMode="External"/><Relationship Id="rId111" Type="http://schemas.openxmlformats.org/officeDocument/2006/relationships/hyperlink" Target="https://www.ncbi.nlm.nih.gov/pmc/articles/PMC5122306/" TargetMode="External"/><Relationship Id="rId132" Type="http://schemas.openxmlformats.org/officeDocument/2006/relationships/hyperlink" Target="https://www.ncbi.nlm.nih.gov/pubmed/23128685" TargetMode="External"/><Relationship Id="rId153" Type="http://schemas.openxmlformats.org/officeDocument/2006/relationships/hyperlink" Target="https://www.ncbi.nlm.nih.gov/pmc/articles/PMC3077189/" TargetMode="External"/><Relationship Id="rId174" Type="http://schemas.openxmlformats.org/officeDocument/2006/relationships/hyperlink" Target="https://www.ncbi.nlm.nih.gov/pubmed/?term=Mescher%20AL%5BAuthor%5D&amp;cauthor=true&amp;cauthor_uid=28616244" TargetMode="External"/><Relationship Id="rId179" Type="http://schemas.openxmlformats.org/officeDocument/2006/relationships/hyperlink" Target="https://www.ncbi.nlm.nih.gov/pubmed/?term=Liu%20JQ%5BAuthor%5D&amp;cauthor=true&amp;cauthor_uid=27909731" TargetMode="External"/><Relationship Id="rId195" Type="http://schemas.openxmlformats.org/officeDocument/2006/relationships/hyperlink" Target="https://www.ncbi.nlm.nih.gov/pubmed/?term=Tang%20ZM%5BAuthor%5D&amp;cauthor=true&amp;cauthor_uid=28393182" TargetMode="External"/><Relationship Id="rId209" Type="http://schemas.openxmlformats.org/officeDocument/2006/relationships/hyperlink" Target="https://www.ncbi.nlm.nih.gov/pubmed/?term=Goldberg%20DJ%5BAuthor%5D&amp;cauthor=true&amp;cauthor_uid=28210394" TargetMode="External"/><Relationship Id="rId190" Type="http://schemas.openxmlformats.org/officeDocument/2006/relationships/hyperlink" Target="https://www.ncbi.nlm.nih.gov/pubmed/?term=Horigome%20T%5BAuthor%5D&amp;cauthor=true&amp;cauthor_uid=28209294" TargetMode="External"/><Relationship Id="rId204" Type="http://schemas.openxmlformats.org/officeDocument/2006/relationships/hyperlink" Target="https://www.ncbi.nlm.nih.gov/pubmed/?term=Jin%20J%5BAuthor%5D&amp;cauthor=true&amp;cauthor_uid=28316164" TargetMode="External"/><Relationship Id="rId220" Type="http://schemas.openxmlformats.org/officeDocument/2006/relationships/hyperlink" Target="https://www.ncbi.nlm.nih.gov/pubmed/28180922" TargetMode="External"/><Relationship Id="rId225" Type="http://schemas.openxmlformats.org/officeDocument/2006/relationships/hyperlink" Target="https://www.ncbi.nlm.nih.gov/pubmed/?term=Jablonka%20EM%5BAuthor%5D&amp;cauthor=true&amp;cauthor_uid=23027220" TargetMode="External"/><Relationship Id="rId241" Type="http://schemas.openxmlformats.org/officeDocument/2006/relationships/hyperlink" Target="https://www.ncbi.nlm.nih.gov/pubmed/?term=Saluja%20H%5BAuthor%5D&amp;cauthor=true&amp;cauthor_uid=23482459" TargetMode="External"/><Relationship Id="rId246" Type="http://schemas.openxmlformats.org/officeDocument/2006/relationships/hyperlink" Target="https://www.ncbi.nlm.nih.gov/pubmed/?term=Singh%20A%5BAuthor%5D&amp;cauthor=true&amp;cauthor_uid=24163562" TargetMode="External"/><Relationship Id="rId267" Type="http://schemas.openxmlformats.org/officeDocument/2006/relationships/hyperlink" Target="https://www.ncbi.nlm.nih.gov/pubmed/27063116" TargetMode="External"/><Relationship Id="rId288" Type="http://schemas.openxmlformats.org/officeDocument/2006/relationships/hyperlink" Target="https://www.ncbi.nlm.nih.gov/pubmed/?term=Chen%20Y%5BAuthor%5D&amp;cauthor=true&amp;cauthor_uid=24993354" TargetMode="External"/><Relationship Id="rId15" Type="http://schemas.openxmlformats.org/officeDocument/2006/relationships/hyperlink" Target="http://uk.wikipedia.org/wiki/%D0%95%D0%BE%D0%B7%D0%B8%D0%BD" TargetMode="External"/><Relationship Id="rId36" Type="http://schemas.openxmlformats.org/officeDocument/2006/relationships/chart" Target="charts/chart8.xml"/><Relationship Id="rId57" Type="http://schemas.openxmlformats.org/officeDocument/2006/relationships/hyperlink" Target="https://www.ncbi.nlm.nih.gov/pmc/articles/PMC4542795/" TargetMode="External"/><Relationship Id="rId106" Type="http://schemas.openxmlformats.org/officeDocument/2006/relationships/hyperlink" Target="https://www.ncbi.nlm.nih.gov/pubmed/?term=Quiligotti%20C%5BAuthor%5D&amp;cauthor=true&amp;cauthor_uid=24046795" TargetMode="External"/><Relationship Id="rId127" Type="http://schemas.openxmlformats.org/officeDocument/2006/relationships/hyperlink" Target="https://www.ncbi.nlm.nih.gov/pubmed/?term=Goff%20CJ%5BAuthor%5D&amp;cauthor=true&amp;cauthor_uid=23128685" TargetMode="External"/><Relationship Id="rId262" Type="http://schemas.openxmlformats.org/officeDocument/2006/relationships/hyperlink" Target="https://www.ncbi.nlm.nih.gov/pubmed/?term=Blanco%20Jerez%20L%5BAuthor%5D&amp;cauthor=true&amp;cauthor_uid=17517290" TargetMode="External"/><Relationship Id="rId283" Type="http://schemas.openxmlformats.org/officeDocument/2006/relationships/hyperlink" Target="https://www.ncbi.nlm.nih.gov/pmc/articles/PMC5064686/" TargetMode="External"/><Relationship Id="rId313" Type="http://schemas.openxmlformats.org/officeDocument/2006/relationships/hyperlink" Target="https://www.ncbi.nlm.nih.gov/pubmed/?term=Soffer%20E%5BAuthor%5D&amp;cauthor=true&amp;cauthor_uid=12738942" TargetMode="External"/><Relationship Id="rId318" Type="http://schemas.openxmlformats.org/officeDocument/2006/relationships/hyperlink" Target="https://www.ncbi.nlm.nih.gov/pubmed/?term=Agarwal%20SK%5BAuthor%5D&amp;cauthor=true&amp;cauthor_uid=27011751" TargetMode="External"/><Relationship Id="rId339" Type="http://schemas.openxmlformats.org/officeDocument/2006/relationships/hyperlink" Target="https://www.ncbi.nlm.nih.gov/pubmed/?term=Pantaleo%20G%5BAuthor%5D&amp;cauthor=true&amp;cauthor_uid=27255572" TargetMode="External"/><Relationship Id="rId10" Type="http://schemas.openxmlformats.org/officeDocument/2006/relationships/hyperlink" Target="https://www.ncbi.nlm.nih.gov/pubmed/?term=Ogawa%20R%5BAuthor%5D&amp;cauthor=true&amp;cauthor_uid=27959277" TargetMode="External"/><Relationship Id="rId31" Type="http://schemas.openxmlformats.org/officeDocument/2006/relationships/image" Target="media/image12.jpeg"/><Relationship Id="rId52" Type="http://schemas.openxmlformats.org/officeDocument/2006/relationships/hyperlink" Target="https://www.ncbi.nlm.nih.gov/pmc/articles/PMC4718085/" TargetMode="External"/><Relationship Id="rId73" Type="http://schemas.openxmlformats.org/officeDocument/2006/relationships/hyperlink" Target="https://www.ncbi.nlm.nih.gov/pubmed/?term=ZHANG%20C%5BAuthor%5D&amp;cauthor=true&amp;cauthor_uid=26893692" TargetMode="External"/><Relationship Id="rId78" Type="http://schemas.openxmlformats.org/officeDocument/2006/relationships/hyperlink" Target="https://www.ncbi.nlm.nih.gov/pubmed/?term=Niemiec%20A%5BAuthor%5D&amp;cauthor=true&amp;cauthor_uid=23241572" TargetMode="External"/><Relationship Id="rId94" Type="http://schemas.openxmlformats.org/officeDocument/2006/relationships/hyperlink" Target="https://www.ncbi.nlm.nih.gov/pmc/articles/PMC4729717/" TargetMode="External"/><Relationship Id="rId99" Type="http://schemas.openxmlformats.org/officeDocument/2006/relationships/hyperlink" Target="https://www.ncbi.nlm.nih.gov/pmc/articles/PMC4065440/" TargetMode="External"/><Relationship Id="rId101" Type="http://schemas.openxmlformats.org/officeDocument/2006/relationships/hyperlink" Target="https://www.ncbi.nlm.nih.gov/pubmed/?term=Kondo%20T%5BAuthor%5D&amp;cauthor=true&amp;cauthor_uid=26496296" TargetMode="External"/><Relationship Id="rId122" Type="http://schemas.openxmlformats.org/officeDocument/2006/relationships/hyperlink" Target="https://www.ncbi.nlm.nih.gov/pubmed/?term=Gr%C3%B8nlund%20S%5BAuthor%5D&amp;cauthor=true&amp;cauthor_uid=28894805" TargetMode="External"/><Relationship Id="rId143" Type="http://schemas.openxmlformats.org/officeDocument/2006/relationships/hyperlink" Target="https://www.ncbi.nlm.nih.gov/pubmed/?term=Dai%20RJ%5BAuthor%5D&amp;cauthor=true&amp;cauthor_uid=26261619" TargetMode="External"/><Relationship Id="rId148" Type="http://schemas.openxmlformats.org/officeDocument/2006/relationships/hyperlink" Target="https://www.ncbi.nlm.nih.gov/pubmed/?term=Jones%20MO%5BAuthor%5D&amp;cauthor=true&amp;cauthor_uid=29305009" TargetMode="External"/><Relationship Id="rId164" Type="http://schemas.openxmlformats.org/officeDocument/2006/relationships/hyperlink" Target="https://www.ncbi.nlm.nih.gov/pubmed/?term=Jallu%20AS%5BAuthor%5D&amp;cauthor=true&amp;cauthor_uid=28239589" TargetMode="External"/><Relationship Id="rId169" Type="http://schemas.openxmlformats.org/officeDocument/2006/relationships/hyperlink" Target="https://www.ncbi.nlm.nih.gov/pubmed/?term=Akaishi%20S%5BAuthor%5D&amp;cauthor=true&amp;cauthor_uid=27959277" TargetMode="External"/><Relationship Id="rId185" Type="http://schemas.openxmlformats.org/officeDocument/2006/relationships/hyperlink" Target="https://www.ncbi.nlm.nih.gov/pubmed/?term=Lebo%20PB%5BAuthor%5D&amp;cauthor=true&amp;cauthor_uid=28561172" TargetMode="External"/><Relationship Id="rId334" Type="http://schemas.openxmlformats.org/officeDocument/2006/relationships/hyperlink" Target="https://www.ncbi.nlm.nih.gov/pubmed/?term=Mahindra%20U%5BAuthor%5D&amp;cauthor=true&amp;cauthor_uid=27195227" TargetMode="External"/><Relationship Id="rId35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ncbi.nlm.nih.gov/pubmed/?term=Piccioni%20M%5BAuthor%5D&amp;cauthor=true&amp;cauthor_uid=26927898" TargetMode="External"/><Relationship Id="rId180" Type="http://schemas.openxmlformats.org/officeDocument/2006/relationships/hyperlink" Target="https://www.ncbi.nlm.nih.gov/pmc/articles/PMC5179176/" TargetMode="External"/><Relationship Id="rId210" Type="http://schemas.openxmlformats.org/officeDocument/2006/relationships/hyperlink" Target="https://www.ncbi.nlm.nih.gov/pmc/articles/PMC5300722/" TargetMode="External"/><Relationship Id="rId215" Type="http://schemas.openxmlformats.org/officeDocument/2006/relationships/hyperlink" Target="https://www.ncbi.nlm.nih.gov/pmc/articles/PMC5371876/" TargetMode="External"/><Relationship Id="rId236" Type="http://schemas.openxmlformats.org/officeDocument/2006/relationships/hyperlink" Target="https://www.ncbi.nlm.nih.gov/pmc/articles/PMC5353774/" TargetMode="External"/><Relationship Id="rId257" Type="http://schemas.openxmlformats.org/officeDocument/2006/relationships/hyperlink" Target="https://www.ncbi.nlm.nih.gov/pubmed/?term=Wiczkowski%20A%5BAuthor%5D&amp;cauthor=true&amp;cauthor_uid=21740376" TargetMode="External"/><Relationship Id="rId278" Type="http://schemas.openxmlformats.org/officeDocument/2006/relationships/hyperlink" Target="https://www.ncbi.nlm.nih.gov/pubmed/?term=Altrock%20BW%5BAuthor%5D&amp;cauthor=true&amp;cauthor_uid=2045423" TargetMode="External"/><Relationship Id="rId26" Type="http://schemas.openxmlformats.org/officeDocument/2006/relationships/image" Target="media/image7.jpeg"/><Relationship Id="rId231" Type="http://schemas.openxmlformats.org/officeDocument/2006/relationships/hyperlink" Target="https://www.ncbi.nlm.nih.gov/pubmed/?term=Dornseifer%20U%5BAuthor%5D&amp;cauthor=true&amp;cauthor_uid=28401348" TargetMode="External"/><Relationship Id="rId252" Type="http://schemas.openxmlformats.org/officeDocument/2006/relationships/hyperlink" Target="https://www.ncbi.nlm.nih.gov/pubmed/?term=Abdul%20Rahman%20SM%5BAuthor%5D&amp;cauthor=true&amp;cauthor_uid=27829743" TargetMode="External"/><Relationship Id="rId273" Type="http://schemas.openxmlformats.org/officeDocument/2006/relationships/hyperlink" Target="https://www.ncbi.nlm.nih.gov/pubmed/?term=Riccitiello%20F%5BAuthor%5D&amp;cauthor=true&amp;cauthor_uid=26273612" TargetMode="External"/><Relationship Id="rId294" Type="http://schemas.openxmlformats.org/officeDocument/2006/relationships/hyperlink" Target="https://www.ncbi.nlm.nih.gov/pubmed/?term=Temmerman%20A%5BAuthor%5D&amp;cauthor=true&amp;cauthor_uid=27783851" TargetMode="External"/><Relationship Id="rId308" Type="http://schemas.openxmlformats.org/officeDocument/2006/relationships/hyperlink" Target="https://www.ncbi.nlm.nih.gov/pubmed/?term=Cieslik-Bielecka%20A%5BAuthor%5D&amp;cauthor=true&amp;cauthor_uid=21740368" TargetMode="External"/><Relationship Id="rId329" Type="http://schemas.openxmlformats.org/officeDocument/2006/relationships/hyperlink" Target="https://www.ncbi.nlm.nih.gov/pubmed/?term=Hoaglin%20DR%5BAuthor%5D&amp;cauthor=true&amp;cauthor_uid=23653648" TargetMode="External"/><Relationship Id="rId47" Type="http://schemas.openxmlformats.org/officeDocument/2006/relationships/header" Target="header2.xml"/><Relationship Id="rId68" Type="http://schemas.openxmlformats.org/officeDocument/2006/relationships/hyperlink" Target="https://www.ncbi.nlm.nih.gov/pubmed/?term=Amott%20D%5BAuthor%5D&amp;cauthor=true&amp;cauthor_uid=26004639" TargetMode="External"/><Relationship Id="rId89" Type="http://schemas.openxmlformats.org/officeDocument/2006/relationships/hyperlink" Target="https://www.ncbi.nlm.nih.gov/pubmed/26863817" TargetMode="External"/><Relationship Id="rId112" Type="http://schemas.openxmlformats.org/officeDocument/2006/relationships/hyperlink" Target="https://www.ncbi.nlm.nih.gov/pubmed/?term=Guzik%20K%5BAuthor%5D&amp;cauthor=true&amp;cauthor_uid=21755330" TargetMode="External"/><Relationship Id="rId133" Type="http://schemas.openxmlformats.org/officeDocument/2006/relationships/hyperlink" Target="https://www.ncbi.nlm.nih.gov/pubmed/23128685" TargetMode="External"/><Relationship Id="rId154" Type="http://schemas.openxmlformats.org/officeDocument/2006/relationships/hyperlink" Target="https://www.ncbi.nlm.nih.gov/pubmed/?term=Ramchandani%20R%5BAuthor%5D&amp;cauthor=true&amp;cauthor_uid=29217911" TargetMode="External"/><Relationship Id="rId175" Type="http://schemas.openxmlformats.org/officeDocument/2006/relationships/hyperlink" Target="https://www.ncbi.nlm.nih.gov/pubmed/?term=Mescher%20AL%5BAuthor%5D&amp;cauthor=true&amp;cauthor_uid=28616244" TargetMode="External"/><Relationship Id="rId340" Type="http://schemas.openxmlformats.org/officeDocument/2006/relationships/hyperlink" Target="https://www.ncbi.nlm.nih.gov/pubmed/27255572" TargetMode="External"/><Relationship Id="rId196" Type="http://schemas.openxmlformats.org/officeDocument/2006/relationships/hyperlink" Target="https://www.ncbi.nlm.nih.gov/pubmed/?term=Ding%20JC%5BAuthor%5D&amp;cauthor=true&amp;cauthor_uid=28393182" TargetMode="External"/><Relationship Id="rId200" Type="http://schemas.openxmlformats.org/officeDocument/2006/relationships/hyperlink" Target="https://www.ncbi.nlm.nih.gov/pubmed/?term=Liu%20D%5BAuthor%5D&amp;cauthor=true&amp;cauthor_uid=28656236" TargetMode="External"/><Relationship Id="rId16" Type="http://schemas.openxmlformats.org/officeDocument/2006/relationships/image" Target="media/image1.jpeg"/><Relationship Id="rId221" Type="http://schemas.openxmlformats.org/officeDocument/2006/relationships/hyperlink" Target="https://www.ncbi.nlm.nih.gov/pubmed/?term=Li%20YH%5BAuthor%5D&amp;cauthor=true&amp;cauthor_uid=28427139" TargetMode="External"/><Relationship Id="rId242" Type="http://schemas.openxmlformats.org/officeDocument/2006/relationships/hyperlink" Target="https://www.ncbi.nlm.nih.gov/pubmed/?term=Dehane%20V%5BAuthor%5D&amp;cauthor=true&amp;cauthor_uid=23482459" TargetMode="External"/><Relationship Id="rId263" Type="http://schemas.openxmlformats.org/officeDocument/2006/relationships/hyperlink" Target="https://www.ncbi.nlm.nih.gov/pubmed/17517290" TargetMode="External"/><Relationship Id="rId284" Type="http://schemas.openxmlformats.org/officeDocument/2006/relationships/hyperlink" Target="https://www.ncbi.nlm.nih.gov/pubmed/?term=Miron%20RJ%5BAuthor%5D&amp;cauthor=true&amp;cauthor_uid=27672729" TargetMode="External"/><Relationship Id="rId319" Type="http://schemas.openxmlformats.org/officeDocument/2006/relationships/hyperlink" Target="https://www.ncbi.nlm.nih.gov/pubmed/?term=Jhingran%20R%5BAuthor%5D&amp;cauthor=true&amp;cauthor_uid=27011751" TargetMode="External"/><Relationship Id="rId37" Type="http://schemas.openxmlformats.org/officeDocument/2006/relationships/chart" Target="charts/chart9.xml"/><Relationship Id="rId58" Type="http://schemas.openxmlformats.org/officeDocument/2006/relationships/hyperlink" Target="https://www.ncbi.nlm.nih.gov/pubmed/?term=Panchbhai%20AS%5BAuthor%5D&amp;cauthor=true&amp;cauthor_uid=22116133" TargetMode="External"/><Relationship Id="rId79" Type="http://schemas.openxmlformats.org/officeDocument/2006/relationships/hyperlink" Target="https://www.ncbi.nlm.nih.gov/pubmed/23241572" TargetMode="External"/><Relationship Id="rId102" Type="http://schemas.openxmlformats.org/officeDocument/2006/relationships/hyperlink" Target="https://www.ncbi.nlm.nih.gov/pubmed/?term=Oishi%20N%5BAuthor%5D&amp;cauthor=true&amp;cauthor_uid=26496296" TargetMode="External"/><Relationship Id="rId123" Type="http://schemas.openxmlformats.org/officeDocument/2006/relationships/hyperlink" Target="https://www.ncbi.nlm.nih.gov/pubmed/?term=Mey%20K%5BAuthor%5D&amp;cauthor=true&amp;cauthor_uid=28894805" TargetMode="External"/><Relationship Id="rId144" Type="http://schemas.openxmlformats.org/officeDocument/2006/relationships/hyperlink" Target="https://www.ncbi.nlm.nih.gov/pmc/articles/PMC4525953/" TargetMode="External"/><Relationship Id="rId330" Type="http://schemas.openxmlformats.org/officeDocument/2006/relationships/hyperlink" Target="https://www.ncbi.nlm.nih.gov/pubmed/?term=Lines%20GK%5BAuthor%5D&amp;cauthor=true&amp;cauthor_uid=23653648" TargetMode="External"/><Relationship Id="rId90" Type="http://schemas.openxmlformats.org/officeDocument/2006/relationships/hyperlink" Target="https://www.ncbi.nlm.nih.gov/pubmed/?term=Adams%20A%5BAuthor%5D&amp;cauthor=true&amp;cauthor_uid=26661849" TargetMode="External"/><Relationship Id="rId165" Type="http://schemas.openxmlformats.org/officeDocument/2006/relationships/hyperlink" Target="https://www.ncbi.nlm.nih.gov/pubmed/?term=Ahmad%20R%5BAuthor%5D&amp;cauthor=true&amp;cauthor_uid=28239589" TargetMode="External"/><Relationship Id="rId186" Type="http://schemas.openxmlformats.org/officeDocument/2006/relationships/hyperlink" Target="https://www.ncbi.nlm.nih.gov/pubmed/?term=Lebo%20PB%5BAuthor%5D&amp;cauthor=true&amp;cauthor_uid=28561172" TargetMode="External"/><Relationship Id="rId351" Type="http://schemas.openxmlformats.org/officeDocument/2006/relationships/theme" Target="theme/theme1.xml"/><Relationship Id="rId211" Type="http://schemas.openxmlformats.org/officeDocument/2006/relationships/hyperlink" Target="https://www.ncbi.nlm.nih.gov/pubmed/?term=Moore%20AL%5BAuthor%5D&amp;cauthor=true&amp;cauthor_uid=28117733" TargetMode="External"/><Relationship Id="rId232" Type="http://schemas.openxmlformats.org/officeDocument/2006/relationships/hyperlink" Target="https://www.ncbi.nlm.nih.gov/pubmed/?term=Clementoni%20MT%5BAuthor%5D&amp;cauthor=true&amp;cauthor_uid=28401348" TargetMode="External"/><Relationship Id="rId253" Type="http://schemas.openxmlformats.org/officeDocument/2006/relationships/hyperlink" Target="https://www.ncbi.nlm.nih.gov/pmc/articles/PMC5074036/" TargetMode="External"/><Relationship Id="rId274" Type="http://schemas.openxmlformats.org/officeDocument/2006/relationships/hyperlink" Target="https://www.ncbi.nlm.nih.gov/pubmed/?term=Tia%20M%5BAuthor%5D&amp;cauthor=true&amp;cauthor_uid=26273612" TargetMode="External"/><Relationship Id="rId295" Type="http://schemas.openxmlformats.org/officeDocument/2006/relationships/hyperlink" Target="https://www.ncbi.nlm.nih.gov/pmc/articles/PMC5248642/" TargetMode="External"/><Relationship Id="rId309" Type="http://schemas.openxmlformats.org/officeDocument/2006/relationships/hyperlink" Target="https://www.ncbi.nlm.nih.gov/pubmed/?term=Choukroun%20J%5BAuthor%5D&amp;cauthor=true&amp;cauthor_uid=21740368" TargetMode="External"/><Relationship Id="rId27" Type="http://schemas.openxmlformats.org/officeDocument/2006/relationships/image" Target="media/image8.jpeg"/><Relationship Id="rId48" Type="http://schemas.openxmlformats.org/officeDocument/2006/relationships/hyperlink" Target="https://www.ncbi.nlm.nih.gov/pubmed/?term=Nasreldin%20MH%5BAuthor%5D&amp;cauthor=true&amp;cauthor_uid=26819565" TargetMode="External"/><Relationship Id="rId69" Type="http://schemas.openxmlformats.org/officeDocument/2006/relationships/hyperlink" Target="https://www.ncbi.nlm.nih.gov/pubmed/?term=Taylor%20M%5BAuthor%5D&amp;cauthor=true&amp;cauthor_uid=26004639" TargetMode="External"/><Relationship Id="rId113" Type="http://schemas.openxmlformats.org/officeDocument/2006/relationships/hyperlink" Target="https://www.ncbi.nlm.nih.gov/pmc/articles/PMC3275742/" TargetMode="External"/><Relationship Id="rId134" Type="http://schemas.openxmlformats.org/officeDocument/2006/relationships/hyperlink" Target="https://www.ncbi.nlm.nih.gov/pubmed/?term=Chen%20J%5BAuthor%5D&amp;cauthor=true&amp;cauthor_uid=24292216" TargetMode="External"/><Relationship Id="rId320" Type="http://schemas.openxmlformats.org/officeDocument/2006/relationships/hyperlink" Target="https://www.ncbi.nlm.nih.gov/pubmed/?term=Bains%20VK%5BAuthor%5D&amp;cauthor=true&amp;cauthor_uid=27011751" TargetMode="External"/><Relationship Id="rId80" Type="http://schemas.openxmlformats.org/officeDocument/2006/relationships/hyperlink" Target="https://www.ncbi.nlm.nih.gov/pubmed/?term=Kotecha%20V%5BAuthor%5D&amp;cauthor=true&amp;cauthor_uid=26416666" TargetMode="External"/><Relationship Id="rId155" Type="http://schemas.openxmlformats.org/officeDocument/2006/relationships/hyperlink" Target="https://www.ncbi.nlm.nih.gov/pubmed/?term=Chumber%20S%5BAuthor%5D&amp;cauthor=true&amp;cauthor_uid=29217911" TargetMode="External"/><Relationship Id="rId176" Type="http://schemas.openxmlformats.org/officeDocument/2006/relationships/hyperlink" Target="https://www.ncbi.nlm.nih.gov/pmc/articles/PMC5469729/" TargetMode="External"/><Relationship Id="rId197" Type="http://schemas.openxmlformats.org/officeDocument/2006/relationships/hyperlink" Target="https://www.ncbi.nlm.nih.gov/pubmed/?term=Lu%20XL%5BAuthor%5D&amp;cauthor=true&amp;cauthor_uid=28393182" TargetMode="External"/><Relationship Id="rId341" Type="http://schemas.openxmlformats.org/officeDocument/2006/relationships/hyperlink" Target="http://www.ncbi.nlm.nih.gov/pubmed?term=Li%20W%5BAuthor%5D&amp;cauthor=true&amp;cauthor_uid=22547061" TargetMode="External"/><Relationship Id="rId201" Type="http://schemas.openxmlformats.org/officeDocument/2006/relationships/hyperlink" Target="https://www.ncbi.nlm.nih.gov/pubmed/?term=Yu%20M%5BAuthor%5D&amp;cauthor=true&amp;cauthor_uid=28656236" TargetMode="External"/><Relationship Id="rId222" Type="http://schemas.openxmlformats.org/officeDocument/2006/relationships/hyperlink" Target="https://www.ncbi.nlm.nih.gov/pubmed/?term=Liu%20JQ%5BAuthor%5D&amp;cauthor=true&amp;cauthor_uid=28427139" TargetMode="External"/><Relationship Id="rId243" Type="http://schemas.openxmlformats.org/officeDocument/2006/relationships/hyperlink" Target="https://www.ncbi.nlm.nih.gov/pubmed/?term=Mahindra%20U%5BAuthor%5D&amp;cauthor=true&amp;cauthor_uid=23482459" TargetMode="External"/><Relationship Id="rId264" Type="http://schemas.openxmlformats.org/officeDocument/2006/relationships/hyperlink" Target="https://www.ncbi.nlm.nih.gov/pubmed/?term=Gao%20J%5BAuthor%5D&amp;cauthor=true&amp;cauthor_uid=27063116" TargetMode="External"/><Relationship Id="rId285" Type="http://schemas.openxmlformats.org/officeDocument/2006/relationships/hyperlink" Target="https://www.ncbi.nlm.nih.gov/pubmed/?term=Fujioka-Kobayashi%20M%5BAuthor%5D&amp;cauthor=true&amp;cauthor_uid=27672729" TargetMode="External"/><Relationship Id="rId17" Type="http://schemas.openxmlformats.org/officeDocument/2006/relationships/image" Target="media/image2.jpeg"/><Relationship Id="rId38" Type="http://schemas.openxmlformats.org/officeDocument/2006/relationships/chart" Target="charts/chart10.xml"/><Relationship Id="rId59" Type="http://schemas.openxmlformats.org/officeDocument/2006/relationships/hyperlink" Target="https://www.ncbi.nlm.nih.gov/pubmed/?term=Panchbhai%20AS%5BAuthor%5D&amp;cauthor=true&amp;cauthor_uid=22116133" TargetMode="External"/><Relationship Id="rId103" Type="http://schemas.openxmlformats.org/officeDocument/2006/relationships/hyperlink" Target="https://www.ncbi.nlm.nih.gov/pmc/articles/PMC4620827/" TargetMode="External"/><Relationship Id="rId124" Type="http://schemas.openxmlformats.org/officeDocument/2006/relationships/hyperlink" Target="https://www.ncbi.nlm.nih.gov/pubmed/?term=Andersen%20E%5BAuthor%5D&amp;cauthor=true&amp;cauthor_uid=28894805" TargetMode="External"/><Relationship Id="rId310" Type="http://schemas.openxmlformats.org/officeDocument/2006/relationships/hyperlink" Target="https://www.ncbi.nlm.nih.gov/pubmed/?term=Odin%20G%5BAuthor%5D&amp;cauthor=true&amp;cauthor_uid=21740368" TargetMode="External"/><Relationship Id="rId70" Type="http://schemas.openxmlformats.org/officeDocument/2006/relationships/hyperlink" Target="https://www.ncbi.nlm.nih.gov/pubmed/26004639" TargetMode="External"/><Relationship Id="rId91" Type="http://schemas.openxmlformats.org/officeDocument/2006/relationships/hyperlink" Target="https://www.ncbi.nlm.nih.gov/pubmed/?term=Mankad%20K%5BAuthor%5D&amp;cauthor=true&amp;cauthor_uid=26661849" TargetMode="External"/><Relationship Id="rId145" Type="http://schemas.openxmlformats.org/officeDocument/2006/relationships/hyperlink" Target="https://www.ncbi.nlm.nih.gov/pubmed/?term=Povey%20HG%5BAuthor%5D&amp;cauthor=true&amp;cauthor_uid=29305009" TargetMode="External"/><Relationship Id="rId166" Type="http://schemas.openxmlformats.org/officeDocument/2006/relationships/hyperlink" Target="https://www.ncbi.nlm.nih.gov/pmc/articles/PMC5305636/" TargetMode="External"/><Relationship Id="rId187" Type="http://schemas.openxmlformats.org/officeDocument/2006/relationships/hyperlink" Target="https://www.ncbi.nlm.nih.gov/pubmed/?term=Grohmann%20M%5BAuthor%5D&amp;cauthor=true&amp;cauthor_uid=28561172" TargetMode="External"/><Relationship Id="rId331" Type="http://schemas.openxmlformats.org/officeDocument/2006/relationships/hyperlink" Target="https://www.ncbi.nlm.nih.gov/pmc/articles/PMC3638712/" TargetMode="External"/><Relationship Id="rId1" Type="http://schemas.openxmlformats.org/officeDocument/2006/relationships/customXml" Target="../customXml/item1.xml"/><Relationship Id="rId212" Type="http://schemas.openxmlformats.org/officeDocument/2006/relationships/hyperlink" Target="https://www.ncbi.nlm.nih.gov/pubmed/?term=Moore%20AL%5BAuthor%5D&amp;cauthor=true&amp;cauthor_uid=28117733" TargetMode="External"/><Relationship Id="rId233" Type="http://schemas.openxmlformats.org/officeDocument/2006/relationships/hyperlink" Target="https://www.ncbi.nlm.nih.gov/pubmed/28401348" TargetMode="External"/><Relationship Id="rId254" Type="http://schemas.openxmlformats.org/officeDocument/2006/relationships/hyperlink" Target="https://www.ncbi.nlm.nih.gov/pubmed/?term=Bielecki%20T%5BAuthor%5D&amp;cauthor=true&amp;cauthor_uid=21740376" TargetMode="External"/><Relationship Id="rId28" Type="http://schemas.openxmlformats.org/officeDocument/2006/relationships/image" Target="media/image9.jpeg"/><Relationship Id="rId49" Type="http://schemas.openxmlformats.org/officeDocument/2006/relationships/hyperlink" Target="https://www.ncbi.nlm.nih.gov/pubmed/?term=Nasreldin%20MH%5BAuthor%5D&amp;cauthor=true&amp;cauthor_uid=26819565" TargetMode="External"/><Relationship Id="rId114" Type="http://schemas.openxmlformats.org/officeDocument/2006/relationships/hyperlink" Target="https://www.ncbi.nlm.nih.gov/pubmed/?term=Cho%20JS%5BAuthor%5D&amp;cauthor=true&amp;cauthor_uid=22319730" TargetMode="External"/><Relationship Id="rId275" Type="http://schemas.openxmlformats.org/officeDocument/2006/relationships/hyperlink" Target="https://www.ncbi.nlm.nih.gov/pmc/articles/PMC4529911/" TargetMode="External"/><Relationship Id="rId296" Type="http://schemas.openxmlformats.org/officeDocument/2006/relationships/hyperlink" Target="https://www.ncbi.nlm.nih.gov/pubmed/?term=Yelamali%20T%5BAuthor%5D&amp;cauthor=true&amp;cauthor_uid=26028867" TargetMode="External"/><Relationship Id="rId300" Type="http://schemas.openxmlformats.org/officeDocument/2006/relationships/hyperlink" Target="https://www.ncbi.nlm.nih.gov/pubmed/?term=Bayer%20A%5BAuthor%5D&amp;cauthor=true&amp;cauthor_uid=28552640" TargetMode="External"/><Relationship Id="rId60" Type="http://schemas.openxmlformats.org/officeDocument/2006/relationships/hyperlink" Target="https://www.ncbi.nlm.nih.gov/pubmed/?term=Choudhary%20MS%5BAuthor%5D&amp;cauthor=true&amp;cauthor_uid=22116133" TargetMode="External"/><Relationship Id="rId81" Type="http://schemas.openxmlformats.org/officeDocument/2006/relationships/hyperlink" Target="https://www.ncbi.nlm.nih.gov/pubmed/?term=Kotecha%20V%5BAuthor%5D&amp;cauthor=true&amp;cauthor_uid=26416666" TargetMode="External"/><Relationship Id="rId135" Type="http://schemas.openxmlformats.org/officeDocument/2006/relationships/hyperlink" Target="https://www.ncbi.nlm.nih.gov/pubmed/?term=Chen%20W%5BAuthor%5D&amp;cauthor=true&amp;cauthor_uid=24292216" TargetMode="External"/><Relationship Id="rId156" Type="http://schemas.openxmlformats.org/officeDocument/2006/relationships/hyperlink" Target="https://www.ncbi.nlm.nih.gov/pubmed/29217911" TargetMode="External"/><Relationship Id="rId177" Type="http://schemas.openxmlformats.org/officeDocument/2006/relationships/hyperlink" Target="https://www.ncbi.nlm.nih.gov/pubmed/?term=Zhao%20B%5BAuthor%5D&amp;cauthor=true&amp;cauthor_uid=27909731" TargetMode="External"/><Relationship Id="rId198" Type="http://schemas.openxmlformats.org/officeDocument/2006/relationships/hyperlink" Target="https://www.ncbi.nlm.nih.gov/pmc/articles/PMC5436288/" TargetMode="External"/><Relationship Id="rId321" Type="http://schemas.openxmlformats.org/officeDocument/2006/relationships/hyperlink" Target="https://www.ncbi.nlm.nih.gov/pmc/articles/PMC4784142/" TargetMode="External"/><Relationship Id="rId342" Type="http://schemas.openxmlformats.org/officeDocument/2006/relationships/hyperlink" Target="http://www.ncbi.nlm.nih.gov/pubmed?term=Liu%20H%5BAuthor%5D&amp;cauthor=true&amp;cauthor_uid=22547061" TargetMode="External"/><Relationship Id="rId202" Type="http://schemas.openxmlformats.org/officeDocument/2006/relationships/hyperlink" Target="https://www.ncbi.nlm.nih.gov/pubmed/28656236" TargetMode="External"/><Relationship Id="rId223" Type="http://schemas.openxmlformats.org/officeDocument/2006/relationships/hyperlink" Target="https://www.ncbi.nlm.nih.gov/pubmed/?term=Xiao%20D%5BAuthor%5D&amp;cauthor=true&amp;cauthor_uid=28427139" TargetMode="External"/><Relationship Id="rId244" Type="http://schemas.openxmlformats.org/officeDocument/2006/relationships/hyperlink" Target="https://www.ncbi.nlm.nih.gov/pmc/articles/PMC3591032/" TargetMode="External"/><Relationship Id="rId18" Type="http://schemas.openxmlformats.org/officeDocument/2006/relationships/image" Target="media/image3.jpeg"/><Relationship Id="rId39" Type="http://schemas.openxmlformats.org/officeDocument/2006/relationships/image" Target="media/image14.emf"/><Relationship Id="rId265" Type="http://schemas.openxmlformats.org/officeDocument/2006/relationships/hyperlink" Target="https://www.ncbi.nlm.nih.gov/pubmed/?term=Wang%20MG%5BAuthor%5D&amp;cauthor=true&amp;cauthor_uid=27063116" TargetMode="External"/><Relationship Id="rId286" Type="http://schemas.openxmlformats.org/officeDocument/2006/relationships/hyperlink" Target="https://www.ncbi.nlm.nih.gov/pubmed/?term=Bishara%20M%5BAuthor%5D&amp;cauthor=true&amp;cauthor_uid=27672729" TargetMode="External"/><Relationship Id="rId50" Type="http://schemas.openxmlformats.org/officeDocument/2006/relationships/hyperlink" Target="https://www.ncbi.nlm.nih.gov/pubmed/?term=Ibrahim%20EA%5BAuthor%5D&amp;cauthor=true&amp;cauthor_uid=26819565" TargetMode="External"/><Relationship Id="rId104" Type="http://schemas.openxmlformats.org/officeDocument/2006/relationships/hyperlink" Target="https://www.ncbi.nlm.nih.gov/pubmed/?term=Valentino%20M%5BAuthor%5D&amp;cauthor=true&amp;cauthor_uid=24046795" TargetMode="External"/><Relationship Id="rId125" Type="http://schemas.openxmlformats.org/officeDocument/2006/relationships/hyperlink" Target="https://www.ncbi.nlm.nih.gov/pubmed/?term=Rasmussen%20ER%5BAuthor%5D&amp;cauthor=true&amp;cauthor_uid=28894805" TargetMode="External"/><Relationship Id="rId146" Type="http://schemas.openxmlformats.org/officeDocument/2006/relationships/hyperlink" Target="https://www.ncbi.nlm.nih.gov/pubmed/?term=Povey%20HG%5BAuthor%5D&amp;cauthor=true&amp;cauthor_uid=29305009" TargetMode="External"/><Relationship Id="rId167" Type="http://schemas.openxmlformats.org/officeDocument/2006/relationships/hyperlink" Target="https://www.ncbi.nlm.nih.gov/pubmed/?term=Ogawa%20R%5BAuthor%5D&amp;cauthor=true&amp;cauthor_uid=27959277" TargetMode="External"/><Relationship Id="rId188" Type="http://schemas.openxmlformats.org/officeDocument/2006/relationships/hyperlink" Target="https://www.ncbi.nlm.nih.gov/pubmed/?term=Kamolz%20L%5BAuthor%5D&amp;cauthor=true&amp;cauthor_uid=28561172" TargetMode="External"/><Relationship Id="rId311" Type="http://schemas.openxmlformats.org/officeDocument/2006/relationships/hyperlink" Target="https://www.ncbi.nlm.nih.gov/pubmed/?term=Dohan%20Ehrenfest%20DM%5BAuthor%5D&amp;cauthor=true&amp;cauthor_uid=21740368" TargetMode="External"/><Relationship Id="rId332" Type="http://schemas.openxmlformats.org/officeDocument/2006/relationships/hyperlink" Target="https://www.ncbi.nlm.nih.gov/pubmed/?term=Doiphode%20AM%5BAuthor%5D&amp;cauthor=true&amp;cauthor_uid=27195227" TargetMode="External"/><Relationship Id="rId71" Type="http://schemas.openxmlformats.org/officeDocument/2006/relationships/hyperlink" Target="https://www.ncbi.nlm.nih.gov/pubmed/?term=LIU%20Z%5BAuthor%5D&amp;cauthor=true&amp;cauthor_uid=26893692" TargetMode="External"/><Relationship Id="rId92" Type="http://schemas.openxmlformats.org/officeDocument/2006/relationships/hyperlink" Target="https://www.ncbi.nlm.nih.gov/pubmed/?term=Offiah%20C%5BAuthor%5D&amp;cauthor=true&amp;cauthor_uid=26661849" TargetMode="External"/><Relationship Id="rId213" Type="http://schemas.openxmlformats.org/officeDocument/2006/relationships/hyperlink" Target="https://www.ncbi.nlm.nih.gov/pubmed/?term=Marshall%20CD%5BAuthor%5D&amp;cauthor=true&amp;cauthor_uid=28117733" TargetMode="External"/><Relationship Id="rId234" Type="http://schemas.openxmlformats.org/officeDocument/2006/relationships/hyperlink" Target="https://www.ncbi.nlm.nih.gov/pubmed/?term=Faghihi%20G%5BAuthor%5D&amp;cauthor=true&amp;cauthor_uid=28349023" TargetMode="External"/><Relationship Id="rId2" Type="http://schemas.openxmlformats.org/officeDocument/2006/relationships/numbering" Target="numbering.xml"/><Relationship Id="rId29" Type="http://schemas.openxmlformats.org/officeDocument/2006/relationships/image" Target="media/image10.jpeg"/><Relationship Id="rId255" Type="http://schemas.openxmlformats.org/officeDocument/2006/relationships/hyperlink" Target="https://www.ncbi.nlm.nih.gov/pubmed/?term=Dohan%20Ehrenfest%20DM%5BAuthor%5D&amp;cauthor=true&amp;cauthor_uid=21740376" TargetMode="External"/><Relationship Id="rId276" Type="http://schemas.openxmlformats.org/officeDocument/2006/relationships/hyperlink" Target="https://www.ncbi.nlm.nih.gov/pubmed/?term=Pierce%20GF%5BAuthor%5D&amp;cauthor=true&amp;cauthor_uid=2045423" TargetMode="External"/><Relationship Id="rId297" Type="http://schemas.openxmlformats.org/officeDocument/2006/relationships/hyperlink" Target="https://www.ncbi.nlm.nih.gov/pubmed/?term=Yelamali%20T%5BAuthor%5D&amp;cauthor=true&amp;cauthor_uid=26028867" TargetMode="External"/><Relationship Id="rId40" Type="http://schemas.openxmlformats.org/officeDocument/2006/relationships/image" Target="media/image15.emf"/><Relationship Id="rId115" Type="http://schemas.openxmlformats.org/officeDocument/2006/relationships/hyperlink" Target="https://www.ncbi.nlm.nih.gov/pubmed/?term=Shin%20SH%5BAuthor%5D&amp;cauthor=true&amp;cauthor_uid=22319730" TargetMode="External"/><Relationship Id="rId136" Type="http://schemas.openxmlformats.org/officeDocument/2006/relationships/hyperlink" Target="https://www.ncbi.nlm.nih.gov/pubmed/?term=Zhang%20J%5BAuthor%5D&amp;cauthor=true&amp;cauthor_uid=24292216" TargetMode="External"/><Relationship Id="rId157" Type="http://schemas.openxmlformats.org/officeDocument/2006/relationships/hyperlink" Target="https://www.ncbi.nlm.nih.gov/pubmed/?term=Huang%20Q%5BAuthor%5D&amp;cauthor=true&amp;cauthor_uid=29623203" TargetMode="External"/><Relationship Id="rId178" Type="http://schemas.openxmlformats.org/officeDocument/2006/relationships/hyperlink" Target="https://www.ncbi.nlm.nih.gov/pubmed/?term=Guan%20H%5BAuthor%5D&amp;cauthor=true&amp;cauthor_uid=27909731" TargetMode="External"/><Relationship Id="rId301" Type="http://schemas.openxmlformats.org/officeDocument/2006/relationships/hyperlink" Target="https://www.ncbi.nlm.nih.gov/pubmed/?term=Lammel%20J%5BAuthor%5D&amp;cauthor=true&amp;cauthor_uid=28552640" TargetMode="External"/><Relationship Id="rId322" Type="http://schemas.openxmlformats.org/officeDocument/2006/relationships/hyperlink" Target="https://www.ncbi.nlm.nih.gov/pubmed/?term=Hersant%20B%5BAuthor%5D&amp;cauthor=true&amp;cauthor_uid=27975003" TargetMode="External"/><Relationship Id="rId343" Type="http://schemas.openxmlformats.org/officeDocument/2006/relationships/hyperlink" Target="http://www.ncbi.nlm.nih.gov/pubmed?term=Zhou%20JS%5BAuthor%5D&amp;cauthor=true&amp;cauthor_uid=22547061" TargetMode="External"/><Relationship Id="rId61" Type="http://schemas.openxmlformats.org/officeDocument/2006/relationships/hyperlink" Target="https://www.ncbi.nlm.nih.gov/pmc/articles/PMC3528200/" TargetMode="External"/><Relationship Id="rId82" Type="http://schemas.openxmlformats.org/officeDocument/2006/relationships/hyperlink" Target="https://www.ncbi.nlm.nih.gov/pubmed/?term=Muturi%20A%5BAuthor%5D&amp;cauthor=true&amp;cauthor_uid=26416666" TargetMode="External"/><Relationship Id="rId199" Type="http://schemas.openxmlformats.org/officeDocument/2006/relationships/hyperlink" Target="https://www.ncbi.nlm.nih.gov/pubmed/?term=Xie%20Q%5BAuthor%5D&amp;cauthor=true&amp;cauthor_uid=28656236" TargetMode="External"/><Relationship Id="rId203" Type="http://schemas.openxmlformats.org/officeDocument/2006/relationships/hyperlink" Target="https://www.ncbi.nlm.nih.gov/pubmed/?term=Jin%20J%5BAuthor%5D&amp;cauthor=true&amp;cauthor_uid=28316164" TargetMode="External"/><Relationship Id="rId19" Type="http://schemas.openxmlformats.org/officeDocument/2006/relationships/chart" Target="charts/chart1.xml"/><Relationship Id="rId224" Type="http://schemas.openxmlformats.org/officeDocument/2006/relationships/hyperlink" Target="https://www.ncbi.nlm.nih.gov/pubmed/28427139" TargetMode="External"/><Relationship Id="rId245" Type="http://schemas.openxmlformats.org/officeDocument/2006/relationships/hyperlink" Target="https://www.ncbi.nlm.nih.gov/pubmed/?term=Singh%20S%5BAuthor%5D&amp;cauthor=true&amp;cauthor_uid=24163562" TargetMode="External"/><Relationship Id="rId266" Type="http://schemas.openxmlformats.org/officeDocument/2006/relationships/hyperlink" Target="https://www.ncbi.nlm.nih.gov/pubmed/?term=Yang%20S%5BAuthor%5D&amp;cauthor=true&amp;cauthor_uid=27063116" TargetMode="External"/><Relationship Id="rId287" Type="http://schemas.openxmlformats.org/officeDocument/2006/relationships/hyperlink" Target="https://www.ncbi.nlm.nih.gov/pubmed/27672729" TargetMode="External"/><Relationship Id="rId30" Type="http://schemas.openxmlformats.org/officeDocument/2006/relationships/image" Target="media/image11.jpeg"/><Relationship Id="rId105" Type="http://schemas.openxmlformats.org/officeDocument/2006/relationships/hyperlink" Target="https://www.ncbi.nlm.nih.gov/pubmed/?term=Valentino%20M%5BAuthor%5D&amp;cauthor=true&amp;cauthor_uid=24046795" TargetMode="External"/><Relationship Id="rId126" Type="http://schemas.openxmlformats.org/officeDocument/2006/relationships/hyperlink" Target="https://www.ncbi.nlm.nih.gov/pubmed/28894805" TargetMode="External"/><Relationship Id="rId147" Type="http://schemas.openxmlformats.org/officeDocument/2006/relationships/hyperlink" Target="https://www.ncbi.nlm.nih.gov/pubmed/?term=Selvachandran%20H%5BAuthor%5D&amp;cauthor=true&amp;cauthor_uid=29305009" TargetMode="External"/><Relationship Id="rId168" Type="http://schemas.openxmlformats.org/officeDocument/2006/relationships/hyperlink" Target="https://www.ncbi.nlm.nih.gov/pubmed/?term=Ogawa%20R%5BAuthor%5D&amp;cauthor=true&amp;cauthor_uid=27959277" TargetMode="External"/><Relationship Id="rId312" Type="http://schemas.openxmlformats.org/officeDocument/2006/relationships/hyperlink" Target="https://www.ncbi.nlm.nih.gov/pubmed/21740368" TargetMode="External"/><Relationship Id="rId333" Type="http://schemas.openxmlformats.org/officeDocument/2006/relationships/hyperlink" Target="https://www.ncbi.nlm.nih.gov/pubmed/?term=Hegde%20P%5BAuthor%5D&amp;cauthor=true&amp;cauthor_uid=27195227" TargetMode="External"/><Relationship Id="rId51" Type="http://schemas.openxmlformats.org/officeDocument/2006/relationships/hyperlink" Target="https://www.ncbi.nlm.nih.gov/pubmed/?term=Saad%20El-Din%20SA%5BAuthor%5D&amp;cauthor=true&amp;cauthor_uid=26819565" TargetMode="External"/><Relationship Id="rId72" Type="http://schemas.openxmlformats.org/officeDocument/2006/relationships/hyperlink" Target="https://www.ncbi.nlm.nih.gov/pubmed/?term=TIAN%20Z%5BAuthor%5D&amp;cauthor=true&amp;cauthor_uid=26893692" TargetMode="External"/><Relationship Id="rId93" Type="http://schemas.openxmlformats.org/officeDocument/2006/relationships/hyperlink" Target="https://www.ncbi.nlm.nih.gov/pubmed/?term=Childs%20L%5BAuthor%5D&amp;cauthor=true&amp;cauthor_uid=26661849" TargetMode="External"/><Relationship Id="rId189" Type="http://schemas.openxmlformats.org/officeDocument/2006/relationships/hyperlink" Target="https://www.ncbi.nlm.nih.gov/pubmed/28561172" TargetMode="External"/><Relationship Id="rId3" Type="http://schemas.openxmlformats.org/officeDocument/2006/relationships/styles" Target="styles.xml"/><Relationship Id="rId214" Type="http://schemas.openxmlformats.org/officeDocument/2006/relationships/hyperlink" Target="https://www.ncbi.nlm.nih.gov/pubmed/?term=Longaker%20MT%5BAuthor%5D&amp;cauthor=true&amp;cauthor_uid=28117733" TargetMode="External"/><Relationship Id="rId235" Type="http://schemas.openxmlformats.org/officeDocument/2006/relationships/hyperlink" Target="https://www.ncbi.nlm.nih.gov/pubmed/?term=Jaffary%20F%5BAuthor%5D&amp;cauthor=true&amp;cauthor_uid=28349023" TargetMode="External"/><Relationship Id="rId256" Type="http://schemas.openxmlformats.org/officeDocument/2006/relationships/hyperlink" Target="https://www.ncbi.nlm.nih.gov/pubmed/?term=Everts%20PA%5BAuthor%5D&amp;cauthor=true&amp;cauthor_uid=21740376" TargetMode="External"/><Relationship Id="rId277" Type="http://schemas.openxmlformats.org/officeDocument/2006/relationships/hyperlink" Target="https://www.ncbi.nlm.nih.gov/pubmed/?term=Mustoe%20TA%5BAuthor%5D&amp;cauthor=true&amp;cauthor_uid=2045423" TargetMode="External"/><Relationship Id="rId298" Type="http://schemas.openxmlformats.org/officeDocument/2006/relationships/hyperlink" Target="https://www.ncbi.nlm.nih.gov/pmc/articles/PMC4444657/" TargetMode="External"/><Relationship Id="rId116" Type="http://schemas.openxmlformats.org/officeDocument/2006/relationships/hyperlink" Target="https://www.ncbi.nlm.nih.gov/pubmed/?term=Kim%20HK%5BAuthor%5D&amp;cauthor=true&amp;cauthor_uid=22319730" TargetMode="External"/><Relationship Id="rId137" Type="http://schemas.openxmlformats.org/officeDocument/2006/relationships/hyperlink" Target="https://www.ncbi.nlm.nih.gov/pubmed/24292216" TargetMode="External"/><Relationship Id="rId158" Type="http://schemas.openxmlformats.org/officeDocument/2006/relationships/hyperlink" Target="https://www.ncbi.nlm.nih.gov/pubmed/?term=Shen%20Y%5BAuthor%5D&amp;cauthor=true&amp;cauthor_uid=29623203" TargetMode="External"/><Relationship Id="rId302" Type="http://schemas.openxmlformats.org/officeDocument/2006/relationships/hyperlink" Target="https://www.ncbi.nlm.nih.gov/pubmed/?term=Lippross%20S%5BAuthor%5D&amp;cauthor=true&amp;cauthor_uid=28552640" TargetMode="External"/><Relationship Id="rId323" Type="http://schemas.openxmlformats.org/officeDocument/2006/relationships/hyperlink" Target="https://www.ncbi.nlm.nih.gov/pubmed/?term=SidAhmed-Mezi%20M%5BAuthor%5D&amp;cauthor=true&amp;cauthor_uid=27975003" TargetMode="External"/><Relationship Id="rId344" Type="http://schemas.openxmlformats.org/officeDocument/2006/relationships/hyperlink" Target="http://www.ncbi.nlm.nih.gov/pubmed/22547061?dopt=Abstract" TargetMode="External"/></Relationships>
</file>

<file path=word/charts/_rels/chart1.xml.rels><?xml version="1.0" encoding="UTF-8" standalone="yes"?>
<Relationships xmlns="http://schemas.openxmlformats.org/package/2006/relationships"><Relationship Id="rId2" Type="http://schemas.openxmlformats.org/officeDocument/2006/relationships/package" Target="../embeddings/_____Microsoft_Excel.xlsx"/><Relationship Id="rId1" Type="http://schemas.openxmlformats.org/officeDocument/2006/relationships/themeOverride" Target="../theme/themeOverride1.xml"/></Relationships>
</file>

<file path=word/charts/_rels/chart10.xml.rels><?xml version="1.0" encoding="UTF-8" standalone="yes"?>
<Relationships xmlns="http://schemas.openxmlformats.org/package/2006/relationships"><Relationship Id="rId1" Type="http://schemas.openxmlformats.org/officeDocument/2006/relationships/oleObject" Target="file:///D:\Davyd\&#1057;&#1090;&#1072;&#1090;&#1080;&#1089;&#1090;&#1080;&#1082;&#1072;_Oxana.xlsx" TargetMode="External"/></Relationships>
</file>

<file path=word/charts/_rels/chart2.xml.rels><?xml version="1.0" encoding="UTF-8" standalone="yes"?>
<Relationships xmlns="http://schemas.openxmlformats.org/package/2006/relationships"><Relationship Id="rId2" Type="http://schemas.openxmlformats.org/officeDocument/2006/relationships/package" Target="../embeddings/_____Microsoft_Excel1.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package" Target="../embeddings/_____Microsoft_Excel2.xlsx"/><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package" Target="../embeddings/_____Microsoft_Excel3.xlsx"/><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1" Type="http://schemas.openxmlformats.org/officeDocument/2006/relationships/oleObject" Target="file:///D:\Davyd\&#1057;&#1090;&#1072;&#1090;&#1080;&#1089;&#1090;&#1080;&#1082;&#1072;_Oxana%20(1).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D:\Davyd\&#1057;&#1090;&#1072;&#1090;&#1080;&#1089;&#1090;&#1080;&#1082;&#1072;_Oxana%20(1).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D:\Davyd\&#1057;&#1090;&#1072;&#1090;&#1080;&#1089;&#1090;&#1080;&#1082;&#1072;_Oxana.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D:\Davyd\&#1057;&#1090;&#1072;&#1090;&#1080;&#1089;&#1090;&#1080;&#1082;&#1072;_Oxana.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D:\Davyd\&#1057;&#1090;&#1072;&#1090;&#1080;&#1089;&#1090;&#1080;&#1082;&#1072;_Oxana.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rotY val="20"/>
      <c:rAngAx val="0"/>
    </c:view3D>
    <c:floor>
      <c:thickness val="0"/>
      <c:spPr>
        <a:pattFill prst="ltDnDiag">
          <a:fgClr>
            <a:schemeClr val="dk1">
              <a:lumMod val="15000"/>
              <a:lumOff val="85000"/>
            </a:schemeClr>
          </a:fgClr>
          <a:bgClr>
            <a:schemeClr val="lt1"/>
          </a:bgClr>
        </a:pattFill>
        <a:ln>
          <a:noFill/>
        </a:ln>
        <a:effectLst/>
        <a:sp3d/>
      </c:spPr>
    </c:floor>
    <c:sideWall>
      <c:thickness val="0"/>
      <c:spPr>
        <a:pattFill prst="ltDnDiag">
          <a:fgClr>
            <a:schemeClr val="dk1">
              <a:lumMod val="15000"/>
              <a:lumOff val="85000"/>
            </a:schemeClr>
          </a:fgClr>
          <a:bgClr>
            <a:schemeClr val="lt1"/>
          </a:bgClr>
        </a:pattFill>
        <a:ln>
          <a:noFill/>
        </a:ln>
        <a:effectLst/>
        <a:sp3d/>
      </c:spPr>
    </c:sideWall>
    <c:backWall>
      <c:thickness val="0"/>
      <c:spPr>
        <a:pattFill prst="ltDnDiag">
          <a:fgClr>
            <a:schemeClr val="dk1">
              <a:lumMod val="15000"/>
              <a:lumOff val="85000"/>
            </a:schemeClr>
          </a:fgClr>
          <a:bgClr>
            <a:schemeClr val="lt1"/>
          </a:bgClr>
        </a:pattFill>
        <a:ln>
          <a:noFill/>
        </a:ln>
        <a:effectLst/>
        <a:sp3d/>
      </c:spPr>
    </c:backWall>
    <c:plotArea>
      <c:layout/>
      <c:line3DChart>
        <c:grouping val="standard"/>
        <c:varyColors val="0"/>
        <c:ser>
          <c:idx val="0"/>
          <c:order val="0"/>
          <c:tx>
            <c:strRef>
              <c:f>Лист1!$B$1</c:f>
              <c:strCache>
                <c:ptCount val="1"/>
                <c:pt idx="0">
                  <c:v>1 група</c:v>
                </c:pt>
              </c:strCache>
            </c:strRef>
          </c:tx>
          <c:spPr>
            <a:solidFill>
              <a:schemeClr val="accent1"/>
            </a:solidFill>
            <a:ln>
              <a:noFill/>
            </a:ln>
            <a:effectLst/>
            <a:sp3d/>
          </c:spPr>
          <c:cat>
            <c:strRef>
              <c:f>Лист1!$A$2:$A$5</c:f>
              <c:strCache>
                <c:ptCount val="3"/>
                <c:pt idx="0">
                  <c:v>Центральна частина</c:v>
                </c:pt>
                <c:pt idx="1">
                  <c:v>Медіальний край</c:v>
                </c:pt>
                <c:pt idx="2">
                  <c:v>Латеральний край</c:v>
                </c:pt>
              </c:strCache>
            </c:strRef>
          </c:cat>
          <c:val>
            <c:numRef>
              <c:f>Лист1!$B$2:$B$5</c:f>
              <c:numCache>
                <c:formatCode>General</c:formatCode>
                <c:ptCount val="4"/>
                <c:pt idx="0">
                  <c:v>25.6</c:v>
                </c:pt>
                <c:pt idx="1">
                  <c:v>29.9</c:v>
                </c:pt>
                <c:pt idx="2">
                  <c:v>30.2</c:v>
                </c:pt>
              </c:numCache>
            </c:numRef>
          </c:val>
          <c:smooth val="0"/>
          <c:extLst>
            <c:ext xmlns:c16="http://schemas.microsoft.com/office/drawing/2014/chart" uri="{C3380CC4-5D6E-409C-BE32-E72D297353CC}">
              <c16:uniqueId val="{00000000-7246-44B5-83AA-CF744094C516}"/>
            </c:ext>
          </c:extLst>
        </c:ser>
        <c:ser>
          <c:idx val="1"/>
          <c:order val="1"/>
          <c:tx>
            <c:strRef>
              <c:f>Лист1!$C$1</c:f>
              <c:strCache>
                <c:ptCount val="1"/>
                <c:pt idx="0">
                  <c:v>2 група</c:v>
                </c:pt>
              </c:strCache>
            </c:strRef>
          </c:tx>
          <c:spPr>
            <a:solidFill>
              <a:schemeClr val="accent2"/>
            </a:solidFill>
            <a:ln>
              <a:noFill/>
            </a:ln>
            <a:effectLst/>
            <a:sp3d/>
          </c:spPr>
          <c:cat>
            <c:strRef>
              <c:f>Лист1!$A$2:$A$5</c:f>
              <c:strCache>
                <c:ptCount val="3"/>
                <c:pt idx="0">
                  <c:v>Центральна частина</c:v>
                </c:pt>
                <c:pt idx="1">
                  <c:v>Медіальний край</c:v>
                </c:pt>
                <c:pt idx="2">
                  <c:v>Латеральний край</c:v>
                </c:pt>
              </c:strCache>
            </c:strRef>
          </c:cat>
          <c:val>
            <c:numRef>
              <c:f>Лист1!$C$2:$C$5</c:f>
              <c:numCache>
                <c:formatCode>General</c:formatCode>
                <c:ptCount val="4"/>
                <c:pt idx="0">
                  <c:v>26.3</c:v>
                </c:pt>
                <c:pt idx="1">
                  <c:v>30.1</c:v>
                </c:pt>
                <c:pt idx="2">
                  <c:v>30.8</c:v>
                </c:pt>
              </c:numCache>
            </c:numRef>
          </c:val>
          <c:smooth val="0"/>
          <c:extLst>
            <c:ext xmlns:c16="http://schemas.microsoft.com/office/drawing/2014/chart" uri="{C3380CC4-5D6E-409C-BE32-E72D297353CC}">
              <c16:uniqueId val="{00000001-7246-44B5-83AA-CF744094C516}"/>
            </c:ext>
          </c:extLst>
        </c:ser>
        <c:ser>
          <c:idx val="2"/>
          <c:order val="2"/>
          <c:tx>
            <c:strRef>
              <c:f>Лист1!$D$1</c:f>
              <c:strCache>
                <c:ptCount val="1"/>
                <c:pt idx="0">
                  <c:v>Контрольна група </c:v>
                </c:pt>
              </c:strCache>
            </c:strRef>
          </c:tx>
          <c:spPr>
            <a:solidFill>
              <a:schemeClr val="accent3"/>
            </a:solidFill>
            <a:ln>
              <a:noFill/>
            </a:ln>
            <a:effectLst/>
            <a:sp3d/>
          </c:spPr>
          <c:cat>
            <c:strRef>
              <c:f>Лист1!$A$2:$A$5</c:f>
              <c:strCache>
                <c:ptCount val="3"/>
                <c:pt idx="0">
                  <c:v>Центральна частина</c:v>
                </c:pt>
                <c:pt idx="1">
                  <c:v>Медіальний край</c:v>
                </c:pt>
                <c:pt idx="2">
                  <c:v>Латеральний край</c:v>
                </c:pt>
              </c:strCache>
            </c:strRef>
          </c:cat>
          <c:val>
            <c:numRef>
              <c:f>Лист1!$D$2:$D$5</c:f>
              <c:numCache>
                <c:formatCode>General</c:formatCode>
                <c:ptCount val="4"/>
                <c:pt idx="0">
                  <c:v>24.9</c:v>
                </c:pt>
                <c:pt idx="1">
                  <c:v>29.8</c:v>
                </c:pt>
                <c:pt idx="2">
                  <c:v>28.7</c:v>
                </c:pt>
              </c:numCache>
            </c:numRef>
          </c:val>
          <c:smooth val="0"/>
          <c:extLst>
            <c:ext xmlns:c16="http://schemas.microsoft.com/office/drawing/2014/chart" uri="{C3380CC4-5D6E-409C-BE32-E72D297353CC}">
              <c16:uniqueId val="{00000002-7246-44B5-83AA-CF744094C516}"/>
            </c:ext>
          </c:extLst>
        </c:ser>
        <c:dLbls>
          <c:showLegendKey val="0"/>
          <c:showVal val="0"/>
          <c:showCatName val="0"/>
          <c:showSerName val="0"/>
          <c:showPercent val="0"/>
          <c:showBubbleSize val="0"/>
        </c:dLbls>
        <c:axId val="130226688"/>
        <c:axId val="129146880"/>
        <c:axId val="174370816"/>
      </c:line3DChart>
      <c:catAx>
        <c:axId val="130226688"/>
        <c:scaling>
          <c:orientation val="minMax"/>
        </c:scaling>
        <c:delete val="0"/>
        <c:axPos val="b"/>
        <c:majorGridlines>
          <c:spPr>
            <a:ln w="9525" cap="flat" cmpd="sng" algn="ctr">
              <a:solidFill>
                <a:schemeClr val="dk1">
                  <a:lumMod val="15000"/>
                  <a:lumOff val="85000"/>
                  <a:alpha val="54000"/>
                </a:schemeClr>
              </a:solidFill>
              <a:round/>
            </a:ln>
            <a:effectLst/>
          </c:spPr>
        </c:majorGridlines>
        <c:minorGridlines>
          <c:spPr>
            <a:ln w="9525" cap="flat" cmpd="sng" algn="ctr">
              <a:solidFill>
                <a:schemeClr val="dk1">
                  <a:lumMod val="15000"/>
                  <a:lumOff val="85000"/>
                  <a:alpha val="51000"/>
                </a:schemeClr>
              </a:solidFill>
              <a:round/>
            </a:ln>
            <a:effectLst/>
          </c:spPr>
        </c:minorGridlines>
        <c:title>
          <c:tx>
            <c:rich>
              <a:bodyPr rot="0" spcFirstLastPara="1" vertOverflow="ellipsis" vert="horz" wrap="square" anchor="ctr" anchorCtr="1"/>
              <a:lstStyle/>
              <a:p>
                <a:pPr>
                  <a:defRPr lang="uk-UA" sz="900" b="1" i="0" u="none" strike="noStrike" kern="1200" baseline="0">
                    <a:solidFill>
                      <a:schemeClr val="dk1">
                        <a:lumMod val="65000"/>
                        <a:lumOff val="35000"/>
                      </a:schemeClr>
                    </a:solidFill>
                    <a:latin typeface="+mn-lt"/>
                    <a:ea typeface="+mn-ea"/>
                    <a:cs typeface="+mn-cs"/>
                  </a:defRPr>
                </a:pPr>
                <a:r>
                  <a:rPr lang="uk-UA"/>
                  <a:t>Ділянка рубця</a:t>
                </a:r>
              </a:p>
            </c:rich>
          </c:tx>
          <c:layout>
            <c:manualLayout>
              <c:xMode val="edge"/>
              <c:yMode val="edge"/>
              <c:x val="0.22794801691455238"/>
              <c:y val="0.65254776292498362"/>
            </c:manualLayout>
          </c:layout>
          <c:overlay val="0"/>
          <c:spPr>
            <a:noFill/>
            <a:ln>
              <a:noFill/>
            </a:ln>
            <a:effectLst/>
          </c:spPr>
        </c:title>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lang="uk-UA" sz="900" b="0" i="0" u="none" strike="noStrike" kern="1200" cap="none" spc="0" normalizeH="0" baseline="0">
                <a:solidFill>
                  <a:schemeClr val="dk1">
                    <a:lumMod val="65000"/>
                    <a:lumOff val="35000"/>
                  </a:schemeClr>
                </a:solidFill>
                <a:latin typeface="+mn-lt"/>
                <a:ea typeface="+mn-ea"/>
                <a:cs typeface="+mn-cs"/>
              </a:defRPr>
            </a:pPr>
            <a:endParaRPr lang="ru-RU"/>
          </a:p>
        </c:txPr>
        <c:crossAx val="129146880"/>
        <c:crosses val="autoZero"/>
        <c:auto val="1"/>
        <c:lblAlgn val="ctr"/>
        <c:lblOffset val="100"/>
        <c:noMultiLvlLbl val="0"/>
      </c:catAx>
      <c:valAx>
        <c:axId val="129146880"/>
        <c:scaling>
          <c:orientation val="minMax"/>
        </c:scaling>
        <c:delete val="0"/>
        <c:axPos val="l"/>
        <c:majorGridlines>
          <c:spPr>
            <a:ln w="9525" cap="flat" cmpd="sng" algn="ctr">
              <a:solidFill>
                <a:schemeClr val="dk1">
                  <a:lumMod val="15000"/>
                  <a:lumOff val="85000"/>
                  <a:alpha val="54000"/>
                </a:schemeClr>
              </a:solidFill>
              <a:round/>
            </a:ln>
            <a:effectLst/>
          </c:spPr>
        </c:majorGridlines>
        <c:title>
          <c:tx>
            <c:rich>
              <a:bodyPr rot="-5400000" spcFirstLastPara="1" vertOverflow="ellipsis" vert="horz" wrap="square" anchor="ctr" anchorCtr="1"/>
              <a:lstStyle/>
              <a:p>
                <a:pPr>
                  <a:defRPr lang="uk-UA" sz="900" b="1" i="0" u="none" strike="noStrike" kern="1200" baseline="0">
                    <a:solidFill>
                      <a:schemeClr val="dk1">
                        <a:lumMod val="65000"/>
                        <a:lumOff val="35000"/>
                      </a:schemeClr>
                    </a:solidFill>
                    <a:latin typeface="+mn-lt"/>
                    <a:ea typeface="+mn-ea"/>
                    <a:cs typeface="+mn-cs"/>
                  </a:defRPr>
                </a:pPr>
                <a:r>
                  <a:rPr lang="uk-UA"/>
                  <a:t>Температура, </a:t>
                </a:r>
                <a:r>
                  <a:rPr lang="uk-UA">
                    <a:latin typeface="Times New Roman" panose="02020603050405020304" pitchFamily="18" charset="0"/>
                    <a:cs typeface="Times New Roman" panose="02020603050405020304" pitchFamily="18" charset="0"/>
                  </a:rPr>
                  <a:t>°С</a:t>
                </a:r>
                <a:endParaRPr lang="uk-UA"/>
              </a:p>
            </c:rich>
          </c:tx>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uk-UA" sz="900" b="0" i="0" u="none" strike="noStrike" kern="1200" baseline="0">
                <a:solidFill>
                  <a:schemeClr val="dk1">
                    <a:lumMod val="65000"/>
                    <a:lumOff val="35000"/>
                  </a:schemeClr>
                </a:solidFill>
                <a:latin typeface="+mn-lt"/>
                <a:ea typeface="+mn-ea"/>
                <a:cs typeface="+mn-cs"/>
              </a:defRPr>
            </a:pPr>
            <a:endParaRPr lang="ru-RU"/>
          </a:p>
        </c:txPr>
        <c:crossAx val="130226688"/>
        <c:crosses val="autoZero"/>
        <c:crossBetween val="between"/>
      </c:valAx>
      <c:serAx>
        <c:axId val="174370816"/>
        <c:scaling>
          <c:orientation val="minMax"/>
        </c:scaling>
        <c:delete val="0"/>
        <c:axPos val="b"/>
        <c:majorTickMark val="out"/>
        <c:minorTickMark val="none"/>
        <c:tickLblPos val="nextTo"/>
        <c:spPr>
          <a:noFill/>
          <a:ln>
            <a:noFill/>
          </a:ln>
          <a:effectLst/>
        </c:spPr>
        <c:txPr>
          <a:bodyPr rot="-60000000" spcFirstLastPara="1" vertOverflow="ellipsis" vert="horz" wrap="square" anchor="ctr" anchorCtr="1"/>
          <a:lstStyle/>
          <a:p>
            <a:pPr>
              <a:defRPr lang="uk-UA" sz="900" b="0" i="0" u="none" strike="noStrike" kern="1200" baseline="0">
                <a:solidFill>
                  <a:schemeClr val="dk1">
                    <a:lumMod val="65000"/>
                    <a:lumOff val="35000"/>
                  </a:schemeClr>
                </a:solidFill>
                <a:latin typeface="+mn-lt"/>
                <a:ea typeface="+mn-ea"/>
                <a:cs typeface="+mn-cs"/>
              </a:defRPr>
            </a:pPr>
            <a:endParaRPr lang="ru-RU"/>
          </a:p>
        </c:txPr>
        <c:crossAx val="129146880"/>
        <c:crosses val="autoZero"/>
      </c:serAx>
      <c:dTable>
        <c:showHorzBorder val="1"/>
        <c:showVertBorder val="1"/>
        <c:showOutline val="1"/>
        <c:showKeys val="1"/>
        <c:spPr>
          <a:noFill/>
          <a:ln w="9525" cap="flat" cmpd="sng" algn="ctr">
            <a:solidFill>
              <a:schemeClr val="dk1">
                <a:lumMod val="15000"/>
                <a:lumOff val="85000"/>
              </a:schemeClr>
            </a:solidFill>
            <a:round/>
          </a:ln>
          <a:effectLst/>
        </c:spPr>
        <c:txPr>
          <a:bodyPr rot="0" spcFirstLastPara="1" vertOverflow="ellipsis" vert="horz" wrap="square" anchor="ctr" anchorCtr="1"/>
          <a:lstStyle/>
          <a:p>
            <a:pPr rtl="0">
              <a:defRPr lang="uk-UA" sz="800" b="0" i="0" u="none" strike="noStrike" kern="1200" baseline="0">
                <a:solidFill>
                  <a:schemeClr val="dk1">
                    <a:lumMod val="65000"/>
                    <a:lumOff val="35000"/>
                  </a:schemeClr>
                </a:solidFill>
                <a:latin typeface="+mn-lt"/>
                <a:ea typeface="+mn-ea"/>
                <a:cs typeface="+mn-cs"/>
              </a:defRPr>
            </a:pPr>
            <a:endParaRPr lang="ru-RU"/>
          </a:p>
        </c:txPr>
      </c:dTable>
      <c:spPr>
        <a:solidFill>
          <a:schemeClr val="lt1"/>
        </a:solidFill>
        <a:ln>
          <a:noFill/>
        </a:ln>
        <a:effectLst/>
      </c:spPr>
    </c:plotArea>
    <c:legend>
      <c:legendPos val="b"/>
      <c:overlay val="0"/>
      <c:spPr>
        <a:noFill/>
        <a:ln>
          <a:noFill/>
        </a:ln>
        <a:effectLst/>
      </c:spPr>
      <c:txPr>
        <a:bodyPr rot="0" spcFirstLastPara="1" vertOverflow="ellipsis" vert="horz" wrap="square" anchor="ctr" anchorCtr="1"/>
        <a:lstStyle/>
        <a:p>
          <a:pPr>
            <a:defRPr lang="uk-UA" sz="900" b="0" i="0" u="none" strike="noStrike" kern="1200" baseline="0">
              <a:solidFill>
                <a:schemeClr val="dk1">
                  <a:lumMod val="65000"/>
                  <a:lumOff val="35000"/>
                </a:schemeClr>
              </a:solidFill>
              <a:latin typeface="+mn-lt"/>
              <a:ea typeface="+mn-ea"/>
              <a:cs typeface="+mn-cs"/>
            </a:defRPr>
          </a:pPr>
          <a:endParaRPr lang="ru-RU"/>
        </a:p>
      </c:txPr>
    </c:legend>
    <c:plotVisOnly val="1"/>
    <c:dispBlanksAs val="gap"/>
    <c:showDLblsOverMax val="0"/>
  </c:chart>
  <c:spPr>
    <a:solidFill>
      <a:schemeClr val="lt1"/>
    </a:solidFill>
    <a:ln w="9525" cap="flat" cmpd="sng" algn="ctr">
      <a:solidFill>
        <a:schemeClr val="dk1">
          <a:lumMod val="15000"/>
          <a:lumOff val="85000"/>
        </a:schemeClr>
      </a:solidFill>
      <a:round/>
    </a:ln>
    <a:effectLst/>
  </c:spPr>
  <c:txPr>
    <a:bodyPr/>
    <a:lstStyle/>
    <a:p>
      <a:pPr>
        <a:defRPr/>
      </a:pPr>
      <a:endParaRPr lang="ru-RU"/>
    </a:p>
  </c:txPr>
  <c:externalData r:id="rId2">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1"/>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0"/>
      <c:rotY val="0"/>
      <c:rAngAx val="1"/>
    </c:view3D>
    <c:floor>
      <c:thickness val="0"/>
    </c:floor>
    <c:sideWall>
      <c:thickness val="0"/>
    </c:sideWall>
    <c:backWall>
      <c:thickness val="0"/>
    </c:backWall>
    <c:plotArea>
      <c:layout>
        <c:manualLayout>
          <c:layoutTarget val="inner"/>
          <c:xMode val="edge"/>
          <c:yMode val="edge"/>
          <c:x val="5.1233179185935077E-2"/>
          <c:y val="2.9845483024299402E-2"/>
          <c:w val="0.82113043161271504"/>
          <c:h val="0.85980060960121962"/>
        </c:manualLayout>
      </c:layout>
      <c:bar3DChart>
        <c:barDir val="col"/>
        <c:grouping val="clustered"/>
        <c:varyColors val="1"/>
        <c:ser>
          <c:idx val="0"/>
          <c:order val="0"/>
          <c:tx>
            <c:strRef>
              <c:f>Лист2!$D$76</c:f>
              <c:strCache>
                <c:ptCount val="1"/>
                <c:pt idx="0">
                  <c:v>інтактна група</c:v>
                </c:pt>
              </c:strCache>
            </c:strRef>
          </c:tx>
          <c:invertIfNegative val="1"/>
          <c:cat>
            <c:strRef>
              <c:f>Лист2!$C$77:$C$80</c:f>
              <c:strCache>
                <c:ptCount val="4"/>
                <c:pt idx="0">
                  <c:v>3 міс</c:v>
                </c:pt>
                <c:pt idx="1">
                  <c:v>6 міс</c:v>
                </c:pt>
                <c:pt idx="2">
                  <c:v>9 міс</c:v>
                </c:pt>
                <c:pt idx="3">
                  <c:v>12 міс</c:v>
                </c:pt>
              </c:strCache>
            </c:strRef>
          </c:cat>
          <c:val>
            <c:numRef>
              <c:f>Лист2!$D$77:$D$80</c:f>
              <c:numCache>
                <c:formatCode>General</c:formatCode>
                <c:ptCount val="4"/>
                <c:pt idx="0">
                  <c:v>100</c:v>
                </c:pt>
                <c:pt idx="1">
                  <c:v>100</c:v>
                </c:pt>
                <c:pt idx="2">
                  <c:v>100</c:v>
                </c:pt>
                <c:pt idx="3">
                  <c:v>100</c:v>
                </c:pt>
              </c:numCache>
            </c:numRef>
          </c:val>
          <c:extLst>
            <c:ext xmlns:c16="http://schemas.microsoft.com/office/drawing/2014/chart" uri="{C3380CC4-5D6E-409C-BE32-E72D297353CC}">
              <c16:uniqueId val="{00000000-0E5E-4BEA-A6A1-CDAF29934E03}"/>
            </c:ext>
          </c:extLst>
        </c:ser>
        <c:ser>
          <c:idx val="1"/>
          <c:order val="1"/>
          <c:tx>
            <c:strRef>
              <c:f>Лист2!$E$76</c:f>
              <c:strCache>
                <c:ptCount val="1"/>
                <c:pt idx="0">
                  <c:v>група порівняння</c:v>
                </c:pt>
              </c:strCache>
            </c:strRef>
          </c:tx>
          <c:spPr>
            <a:solidFill>
              <a:srgbClr val="FF0000"/>
            </a:solidFill>
          </c:spPr>
          <c:invertIfNegative val="1"/>
          <c:dLbls>
            <c:dLbl>
              <c:idx val="0"/>
              <c:tx>
                <c:rich>
                  <a:bodyPr/>
                  <a:lstStyle/>
                  <a:p>
                    <a:r>
                      <a:rPr lang="en-US"/>
                      <a:t>*</a:t>
                    </a:r>
                  </a:p>
                </c:rich>
              </c:tx>
              <c:showLegendKey val="1"/>
              <c:showVal val="1"/>
              <c:showCatName val="1"/>
              <c:showSerName val="1"/>
              <c:showPercent val="1"/>
              <c:showBubbleSize val="1"/>
              <c:extLst>
                <c:ext xmlns:c15="http://schemas.microsoft.com/office/drawing/2012/chart" uri="{CE6537A1-D6FC-4f65-9D91-7224C49458BB}"/>
                <c:ext xmlns:c16="http://schemas.microsoft.com/office/drawing/2014/chart" uri="{C3380CC4-5D6E-409C-BE32-E72D297353CC}">
                  <c16:uniqueId val="{00000001-0E5E-4BEA-A6A1-CDAF29934E03}"/>
                </c:ext>
              </c:extLst>
            </c:dLbl>
            <c:dLbl>
              <c:idx val="1"/>
              <c:tx>
                <c:rich>
                  <a:bodyPr/>
                  <a:lstStyle/>
                  <a:p>
                    <a:r>
                      <a:rPr lang="en-US"/>
                      <a:t>*</a:t>
                    </a:r>
                  </a:p>
                </c:rich>
              </c:tx>
              <c:showLegendKey val="1"/>
              <c:showVal val="1"/>
              <c:showCatName val="1"/>
              <c:showSerName val="1"/>
              <c:showPercent val="1"/>
              <c:showBubbleSize val="1"/>
              <c:extLst>
                <c:ext xmlns:c15="http://schemas.microsoft.com/office/drawing/2012/chart" uri="{CE6537A1-D6FC-4f65-9D91-7224C49458BB}"/>
                <c:ext xmlns:c16="http://schemas.microsoft.com/office/drawing/2014/chart" uri="{C3380CC4-5D6E-409C-BE32-E72D297353CC}">
                  <c16:uniqueId val="{00000002-0E5E-4BEA-A6A1-CDAF29934E03}"/>
                </c:ext>
              </c:extLst>
            </c:dLbl>
            <c:dLbl>
              <c:idx val="2"/>
              <c:tx>
                <c:rich>
                  <a:bodyPr/>
                  <a:lstStyle/>
                  <a:p>
                    <a:r>
                      <a:rPr lang="en-US"/>
                      <a:t>*</a:t>
                    </a:r>
                  </a:p>
                </c:rich>
              </c:tx>
              <c:showLegendKey val="1"/>
              <c:showVal val="1"/>
              <c:showCatName val="1"/>
              <c:showSerName val="1"/>
              <c:showPercent val="1"/>
              <c:showBubbleSize val="1"/>
              <c:extLst>
                <c:ext xmlns:c15="http://schemas.microsoft.com/office/drawing/2012/chart" uri="{CE6537A1-D6FC-4f65-9D91-7224C49458BB}"/>
                <c:ext xmlns:c16="http://schemas.microsoft.com/office/drawing/2014/chart" uri="{C3380CC4-5D6E-409C-BE32-E72D297353CC}">
                  <c16:uniqueId val="{00000003-0E5E-4BEA-A6A1-CDAF29934E03}"/>
                </c:ext>
              </c:extLst>
            </c:dLbl>
            <c:dLbl>
              <c:idx val="3"/>
              <c:delete val="1"/>
              <c:extLst>
                <c:ext xmlns:c15="http://schemas.microsoft.com/office/drawing/2012/chart" uri="{CE6537A1-D6FC-4f65-9D91-7224C49458BB}"/>
                <c:ext xmlns:c16="http://schemas.microsoft.com/office/drawing/2014/chart" uri="{C3380CC4-5D6E-409C-BE32-E72D297353CC}">
                  <c16:uniqueId val="{00000004-0E5E-4BEA-A6A1-CDAF29934E03}"/>
                </c:ext>
              </c:extLst>
            </c:dLbl>
            <c:spPr>
              <a:noFill/>
              <a:ln>
                <a:noFill/>
              </a:ln>
              <a:effectLst/>
            </c:spPr>
            <c:txPr>
              <a:bodyPr/>
              <a:lstStyle/>
              <a:p>
                <a:pPr>
                  <a:defRPr lang="uk-UA"/>
                </a:pPr>
                <a:endParaRPr lang="ru-RU"/>
              </a:p>
            </c:txPr>
            <c:showLegendKey val="1"/>
            <c:showVal val="1"/>
            <c:showCatName val="1"/>
            <c:showSerName val="1"/>
            <c:showPercent val="1"/>
            <c:showBubbleSize val="1"/>
            <c:showLeaderLines val="0"/>
            <c:extLst>
              <c:ext xmlns:c15="http://schemas.microsoft.com/office/drawing/2012/chart" uri="{CE6537A1-D6FC-4f65-9D91-7224C49458BB}">
                <c15:showLeaderLines val="0"/>
              </c:ext>
            </c:extLst>
          </c:dLbls>
          <c:cat>
            <c:strRef>
              <c:f>Лист2!$C$77:$C$80</c:f>
              <c:strCache>
                <c:ptCount val="4"/>
                <c:pt idx="0">
                  <c:v>3 міс</c:v>
                </c:pt>
                <c:pt idx="1">
                  <c:v>6 міс</c:v>
                </c:pt>
                <c:pt idx="2">
                  <c:v>9 міс</c:v>
                </c:pt>
                <c:pt idx="3">
                  <c:v>12 міс</c:v>
                </c:pt>
              </c:strCache>
            </c:strRef>
          </c:cat>
          <c:val>
            <c:numRef>
              <c:f>Лист2!$E$77:$E$80</c:f>
              <c:numCache>
                <c:formatCode>General</c:formatCode>
                <c:ptCount val="4"/>
                <c:pt idx="0">
                  <c:v>189</c:v>
                </c:pt>
                <c:pt idx="1">
                  <c:v>151</c:v>
                </c:pt>
                <c:pt idx="2">
                  <c:v>108</c:v>
                </c:pt>
                <c:pt idx="3">
                  <c:v>104.6</c:v>
                </c:pt>
              </c:numCache>
            </c:numRef>
          </c:val>
          <c:extLst>
            <c:ext xmlns:c14="http://schemas.microsoft.com/office/drawing/2007/8/2/chart" uri="{6F2FDCE9-48DA-4B69-8628-5D25D57E5C99}">
              <c14:invertSolidFillFmt>
                <c14:spPr xmlns:c14="http://schemas.microsoft.com/office/drawing/2007/8/2/chart">
                  <a:solidFill>
                    <a:srgbClr val="FFFFFF"/>
                  </a:solidFill>
                </c14:spPr>
              </c14:invertSolidFillFmt>
            </c:ext>
            <c:ext xmlns:c16="http://schemas.microsoft.com/office/drawing/2014/chart" uri="{C3380CC4-5D6E-409C-BE32-E72D297353CC}">
              <c16:uniqueId val="{00000005-0E5E-4BEA-A6A1-CDAF29934E03}"/>
            </c:ext>
          </c:extLst>
        </c:ser>
        <c:ser>
          <c:idx val="2"/>
          <c:order val="2"/>
          <c:tx>
            <c:strRef>
              <c:f>Лист2!$F$76</c:f>
              <c:strCache>
                <c:ptCount val="1"/>
                <c:pt idx="0">
                  <c:v>PRF-згусток</c:v>
                </c:pt>
              </c:strCache>
            </c:strRef>
          </c:tx>
          <c:spPr>
            <a:solidFill>
              <a:srgbClr val="92D050"/>
            </a:solidFill>
          </c:spPr>
          <c:invertIfNegative val="1"/>
          <c:dLbls>
            <c:dLbl>
              <c:idx val="0"/>
              <c:layout>
                <c:manualLayout>
                  <c:x val="4.96031746031746E-3"/>
                  <c:y val="-5.3763440860215336E-3"/>
                </c:manualLayout>
              </c:layout>
              <c:tx>
                <c:rich>
                  <a:bodyPr/>
                  <a:lstStyle/>
                  <a:p>
                    <a:r>
                      <a:rPr lang="en-US"/>
                      <a:t>*</a:t>
                    </a:r>
                  </a:p>
                </c:rich>
              </c:tx>
              <c:showLegendKey val="1"/>
              <c:showVal val="1"/>
              <c:showCatName val="1"/>
              <c:showSerName val="1"/>
              <c:showPercent val="1"/>
              <c:showBubbleSize val="1"/>
              <c:extLst>
                <c:ext xmlns:c15="http://schemas.microsoft.com/office/drawing/2012/chart" uri="{CE6537A1-D6FC-4f65-9D91-7224C49458BB}"/>
                <c:ext xmlns:c16="http://schemas.microsoft.com/office/drawing/2014/chart" uri="{C3380CC4-5D6E-409C-BE32-E72D297353CC}">
                  <c16:uniqueId val="{00000006-0E5E-4BEA-A6A1-CDAF29934E03}"/>
                </c:ext>
              </c:extLst>
            </c:dLbl>
            <c:dLbl>
              <c:idx val="1"/>
              <c:layout>
                <c:manualLayout>
                  <c:x val="9.9206349206349773E-3"/>
                  <c:y val="-2.6881720430107655E-3"/>
                </c:manualLayout>
              </c:layout>
              <c:tx>
                <c:rich>
                  <a:bodyPr/>
                  <a:lstStyle/>
                  <a:p>
                    <a:r>
                      <a:rPr lang="en-US"/>
                      <a:t>*</a:t>
                    </a:r>
                  </a:p>
                </c:rich>
              </c:tx>
              <c:showLegendKey val="1"/>
              <c:showVal val="1"/>
              <c:showCatName val="1"/>
              <c:showSerName val="1"/>
              <c:showPercent val="1"/>
              <c:showBubbleSize val="1"/>
              <c:extLst>
                <c:ext xmlns:c15="http://schemas.microsoft.com/office/drawing/2012/chart" uri="{CE6537A1-D6FC-4f65-9D91-7224C49458BB}"/>
                <c:ext xmlns:c16="http://schemas.microsoft.com/office/drawing/2014/chart" uri="{C3380CC4-5D6E-409C-BE32-E72D297353CC}">
                  <c16:uniqueId val="{00000007-0E5E-4BEA-A6A1-CDAF29934E03}"/>
                </c:ext>
              </c:extLst>
            </c:dLbl>
            <c:dLbl>
              <c:idx val="2"/>
              <c:delete val="1"/>
              <c:extLst>
                <c:ext xmlns:c15="http://schemas.microsoft.com/office/drawing/2012/chart" uri="{CE6537A1-D6FC-4f65-9D91-7224C49458BB}"/>
                <c:ext xmlns:c16="http://schemas.microsoft.com/office/drawing/2014/chart" uri="{C3380CC4-5D6E-409C-BE32-E72D297353CC}">
                  <c16:uniqueId val="{00000008-0E5E-4BEA-A6A1-CDAF29934E03}"/>
                </c:ext>
              </c:extLst>
            </c:dLbl>
            <c:dLbl>
              <c:idx val="3"/>
              <c:delete val="1"/>
              <c:extLst>
                <c:ext xmlns:c15="http://schemas.microsoft.com/office/drawing/2012/chart" uri="{CE6537A1-D6FC-4f65-9D91-7224C49458BB}"/>
                <c:ext xmlns:c16="http://schemas.microsoft.com/office/drawing/2014/chart" uri="{C3380CC4-5D6E-409C-BE32-E72D297353CC}">
                  <c16:uniqueId val="{00000009-0E5E-4BEA-A6A1-CDAF29934E03}"/>
                </c:ext>
              </c:extLst>
            </c:dLbl>
            <c:spPr>
              <a:noFill/>
              <a:ln>
                <a:noFill/>
              </a:ln>
              <a:effectLst/>
            </c:spPr>
            <c:txPr>
              <a:bodyPr/>
              <a:lstStyle/>
              <a:p>
                <a:pPr>
                  <a:defRPr lang="uk-UA"/>
                </a:pPr>
                <a:endParaRPr lang="ru-RU"/>
              </a:p>
            </c:txPr>
            <c:showLegendKey val="1"/>
            <c:showVal val="1"/>
            <c:showCatName val="1"/>
            <c:showSerName val="1"/>
            <c:showPercent val="1"/>
            <c:showBubbleSize val="1"/>
            <c:showLeaderLines val="0"/>
            <c:extLst>
              <c:ext xmlns:c15="http://schemas.microsoft.com/office/drawing/2012/chart" uri="{CE6537A1-D6FC-4f65-9D91-7224C49458BB}">
                <c15:showLeaderLines val="0"/>
              </c:ext>
            </c:extLst>
          </c:dLbls>
          <c:cat>
            <c:strRef>
              <c:f>Лист2!$C$77:$C$80</c:f>
              <c:strCache>
                <c:ptCount val="4"/>
                <c:pt idx="0">
                  <c:v>3 міс</c:v>
                </c:pt>
                <c:pt idx="1">
                  <c:v>6 міс</c:v>
                </c:pt>
                <c:pt idx="2">
                  <c:v>9 міс</c:v>
                </c:pt>
                <c:pt idx="3">
                  <c:v>12 міс</c:v>
                </c:pt>
              </c:strCache>
            </c:strRef>
          </c:cat>
          <c:val>
            <c:numRef>
              <c:f>Лист2!$F$77:$F$80</c:f>
              <c:numCache>
                <c:formatCode>General</c:formatCode>
                <c:ptCount val="4"/>
                <c:pt idx="0">
                  <c:v>155.4</c:v>
                </c:pt>
                <c:pt idx="1">
                  <c:v>116.6</c:v>
                </c:pt>
                <c:pt idx="2">
                  <c:v>103.8</c:v>
                </c:pt>
                <c:pt idx="3">
                  <c:v>102.1</c:v>
                </c:pt>
              </c:numCache>
            </c:numRef>
          </c:val>
          <c:extLst>
            <c:ext xmlns:c14="http://schemas.microsoft.com/office/drawing/2007/8/2/chart" uri="{6F2FDCE9-48DA-4B69-8628-5D25D57E5C99}">
              <c14:invertSolidFillFmt>
                <c14:spPr xmlns:c14="http://schemas.microsoft.com/office/drawing/2007/8/2/chart">
                  <a:solidFill>
                    <a:srgbClr val="FFFFFF"/>
                  </a:solidFill>
                </c14:spPr>
              </c14:invertSolidFillFmt>
            </c:ext>
            <c:ext xmlns:c16="http://schemas.microsoft.com/office/drawing/2014/chart" uri="{C3380CC4-5D6E-409C-BE32-E72D297353CC}">
              <c16:uniqueId val="{0000000A-0E5E-4BEA-A6A1-CDAF29934E03}"/>
            </c:ext>
          </c:extLst>
        </c:ser>
        <c:ser>
          <c:idx val="3"/>
          <c:order val="3"/>
          <c:tx>
            <c:strRef>
              <c:f>Лист2!$G$76</c:f>
              <c:strCache>
                <c:ptCount val="1"/>
                <c:pt idx="0">
                  <c:v>PRF-згусток і Біоцерулін</c:v>
                </c:pt>
              </c:strCache>
            </c:strRef>
          </c:tx>
          <c:spPr>
            <a:solidFill>
              <a:srgbClr val="FFFF00"/>
            </a:solidFill>
          </c:spPr>
          <c:invertIfNegative val="1"/>
          <c:dLbls>
            <c:dLbl>
              <c:idx val="0"/>
              <c:tx>
                <c:rich>
                  <a:bodyPr/>
                  <a:lstStyle/>
                  <a:p>
                    <a:r>
                      <a:rPr lang="en-US"/>
                      <a:t>*</a:t>
                    </a:r>
                  </a:p>
                </c:rich>
              </c:tx>
              <c:showLegendKey val="1"/>
              <c:showVal val="1"/>
              <c:showCatName val="1"/>
              <c:showSerName val="1"/>
              <c:showPercent val="1"/>
              <c:showBubbleSize val="1"/>
              <c:extLst>
                <c:ext xmlns:c15="http://schemas.microsoft.com/office/drawing/2012/chart" uri="{CE6537A1-D6FC-4f65-9D91-7224C49458BB}"/>
                <c:ext xmlns:c16="http://schemas.microsoft.com/office/drawing/2014/chart" uri="{C3380CC4-5D6E-409C-BE32-E72D297353CC}">
                  <c16:uniqueId val="{0000000B-0E5E-4BEA-A6A1-CDAF29934E03}"/>
                </c:ext>
              </c:extLst>
            </c:dLbl>
            <c:dLbl>
              <c:idx val="1"/>
              <c:layout>
                <c:manualLayout>
                  <c:x val="1.7103153393907063E-2"/>
                  <c:y val="0"/>
                </c:manualLayout>
              </c:layout>
              <c:tx>
                <c:rich>
                  <a:bodyPr/>
                  <a:lstStyle/>
                  <a:p>
                    <a:r>
                      <a:rPr lang="en-US"/>
                      <a:t>*</a:t>
                    </a:r>
                  </a:p>
                </c:rich>
              </c:tx>
              <c:showLegendKey val="1"/>
              <c:showVal val="1"/>
              <c:showCatName val="1"/>
              <c:showSerName val="1"/>
              <c:showPercent val="1"/>
              <c:showBubbleSize val="1"/>
              <c:extLst>
                <c:ext xmlns:c15="http://schemas.microsoft.com/office/drawing/2012/chart" uri="{CE6537A1-D6FC-4f65-9D91-7224C49458BB}"/>
                <c:ext xmlns:c16="http://schemas.microsoft.com/office/drawing/2014/chart" uri="{C3380CC4-5D6E-409C-BE32-E72D297353CC}">
                  <c16:uniqueId val="{0000000C-0E5E-4BEA-A6A1-CDAF29934E03}"/>
                </c:ext>
              </c:extLst>
            </c:dLbl>
            <c:dLbl>
              <c:idx val="2"/>
              <c:delete val="1"/>
              <c:extLst>
                <c:ext xmlns:c15="http://schemas.microsoft.com/office/drawing/2012/chart" uri="{CE6537A1-D6FC-4f65-9D91-7224C49458BB}"/>
                <c:ext xmlns:c16="http://schemas.microsoft.com/office/drawing/2014/chart" uri="{C3380CC4-5D6E-409C-BE32-E72D297353CC}">
                  <c16:uniqueId val="{0000000D-0E5E-4BEA-A6A1-CDAF29934E03}"/>
                </c:ext>
              </c:extLst>
            </c:dLbl>
            <c:dLbl>
              <c:idx val="3"/>
              <c:delete val="1"/>
              <c:extLst>
                <c:ext xmlns:c15="http://schemas.microsoft.com/office/drawing/2012/chart" uri="{CE6537A1-D6FC-4f65-9D91-7224C49458BB}"/>
                <c:ext xmlns:c16="http://schemas.microsoft.com/office/drawing/2014/chart" uri="{C3380CC4-5D6E-409C-BE32-E72D297353CC}">
                  <c16:uniqueId val="{0000000E-0E5E-4BEA-A6A1-CDAF29934E03}"/>
                </c:ext>
              </c:extLst>
            </c:dLbl>
            <c:spPr>
              <a:noFill/>
              <a:ln>
                <a:noFill/>
              </a:ln>
              <a:effectLst/>
            </c:spPr>
            <c:txPr>
              <a:bodyPr/>
              <a:lstStyle/>
              <a:p>
                <a:pPr>
                  <a:defRPr lang="uk-UA"/>
                </a:pPr>
                <a:endParaRPr lang="ru-RU"/>
              </a:p>
            </c:txPr>
            <c:showLegendKey val="1"/>
            <c:showVal val="1"/>
            <c:showCatName val="1"/>
            <c:showSerName val="1"/>
            <c:showPercent val="1"/>
            <c:showBubbleSize val="1"/>
            <c:showLeaderLines val="0"/>
            <c:extLst>
              <c:ext xmlns:c15="http://schemas.microsoft.com/office/drawing/2012/chart" uri="{CE6537A1-D6FC-4f65-9D91-7224C49458BB}">
                <c15:showLeaderLines val="0"/>
              </c:ext>
            </c:extLst>
          </c:dLbls>
          <c:cat>
            <c:strRef>
              <c:f>Лист2!$C$77:$C$80</c:f>
              <c:strCache>
                <c:ptCount val="4"/>
                <c:pt idx="0">
                  <c:v>3 міс</c:v>
                </c:pt>
                <c:pt idx="1">
                  <c:v>6 міс</c:v>
                </c:pt>
                <c:pt idx="2">
                  <c:v>9 міс</c:v>
                </c:pt>
                <c:pt idx="3">
                  <c:v>12 міс</c:v>
                </c:pt>
              </c:strCache>
            </c:strRef>
          </c:cat>
          <c:val>
            <c:numRef>
              <c:f>Лист2!$G$77:$G$80</c:f>
              <c:numCache>
                <c:formatCode>General</c:formatCode>
                <c:ptCount val="4"/>
                <c:pt idx="0">
                  <c:v>122.6</c:v>
                </c:pt>
                <c:pt idx="1">
                  <c:v>109.2</c:v>
                </c:pt>
                <c:pt idx="2">
                  <c:v>107.8</c:v>
                </c:pt>
                <c:pt idx="3">
                  <c:v>100</c:v>
                </c:pt>
              </c:numCache>
            </c:numRef>
          </c:val>
          <c:extLst>
            <c:ext xmlns:c14="http://schemas.microsoft.com/office/drawing/2007/8/2/chart" uri="{6F2FDCE9-48DA-4B69-8628-5D25D57E5C99}">
              <c14:invertSolidFillFmt>
                <c14:spPr xmlns:c14="http://schemas.microsoft.com/office/drawing/2007/8/2/chart">
                  <a:solidFill>
                    <a:srgbClr val="FFFFFF"/>
                  </a:solidFill>
                </c14:spPr>
              </c14:invertSolidFillFmt>
            </c:ext>
            <c:ext xmlns:c16="http://schemas.microsoft.com/office/drawing/2014/chart" uri="{C3380CC4-5D6E-409C-BE32-E72D297353CC}">
              <c16:uniqueId val="{0000000F-0E5E-4BEA-A6A1-CDAF29934E03}"/>
            </c:ext>
          </c:extLst>
        </c:ser>
        <c:dLbls>
          <c:showLegendKey val="0"/>
          <c:showVal val="0"/>
          <c:showCatName val="0"/>
          <c:showSerName val="0"/>
          <c:showPercent val="0"/>
          <c:showBubbleSize val="0"/>
        </c:dLbls>
        <c:gapWidth val="150"/>
        <c:shape val="box"/>
        <c:axId val="130225664"/>
        <c:axId val="283384000"/>
        <c:axId val="0"/>
      </c:bar3DChart>
      <c:catAx>
        <c:axId val="130225664"/>
        <c:scaling>
          <c:orientation val="minMax"/>
        </c:scaling>
        <c:delete val="1"/>
        <c:axPos val="b"/>
        <c:numFmt formatCode="General" sourceLinked="0"/>
        <c:majorTickMark val="cross"/>
        <c:minorTickMark val="cross"/>
        <c:tickLblPos val="nextTo"/>
        <c:crossAx val="283384000"/>
        <c:crosses val="autoZero"/>
        <c:auto val="1"/>
        <c:lblAlgn val="ctr"/>
        <c:lblOffset val="100"/>
        <c:noMultiLvlLbl val="1"/>
      </c:catAx>
      <c:valAx>
        <c:axId val="283384000"/>
        <c:scaling>
          <c:orientation val="minMax"/>
        </c:scaling>
        <c:delete val="1"/>
        <c:axPos val="l"/>
        <c:majorGridlines/>
        <c:numFmt formatCode="General" sourceLinked="1"/>
        <c:majorTickMark val="cross"/>
        <c:minorTickMark val="cross"/>
        <c:tickLblPos val="nextTo"/>
        <c:crossAx val="130225664"/>
        <c:crosses val="autoZero"/>
        <c:crossBetween val="between"/>
      </c:valAx>
    </c:plotArea>
    <c:legend>
      <c:legendPos val="r"/>
      <c:layout>
        <c:manualLayout>
          <c:xMode val="edge"/>
          <c:yMode val="edge"/>
          <c:x val="0.72341692724005358"/>
          <c:y val="1.6473461650627054E-2"/>
          <c:w val="0.27462479536396961"/>
          <c:h val="0.37689427079190957"/>
        </c:manualLayout>
      </c:layout>
      <c:overlay val="1"/>
      <c:txPr>
        <a:bodyPr/>
        <a:lstStyle/>
        <a:p>
          <a:pPr>
            <a:defRPr lang="uk-UA"/>
          </a:pPr>
          <a:endParaRPr lang="ru-RU"/>
        </a:p>
      </c:txPr>
    </c:legend>
    <c:plotVisOnly val="1"/>
    <c:dispBlanksAs val="zero"/>
    <c:showDLblsOverMax val="1"/>
  </c:chart>
  <c:spPr>
    <a:noFill/>
    <a:ln>
      <a:noFill/>
    </a:ln>
  </c:sp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rotY val="20"/>
      <c:rAngAx val="0"/>
    </c:view3D>
    <c:floor>
      <c:thickness val="0"/>
      <c:spPr>
        <a:pattFill prst="ltDnDiag">
          <a:fgClr>
            <a:schemeClr val="dk1">
              <a:lumMod val="15000"/>
              <a:lumOff val="85000"/>
            </a:schemeClr>
          </a:fgClr>
          <a:bgClr>
            <a:schemeClr val="lt1"/>
          </a:bgClr>
        </a:pattFill>
        <a:ln>
          <a:noFill/>
        </a:ln>
        <a:effectLst/>
        <a:sp3d/>
      </c:spPr>
    </c:floor>
    <c:sideWall>
      <c:thickness val="0"/>
      <c:spPr>
        <a:pattFill prst="ltDnDiag">
          <a:fgClr>
            <a:schemeClr val="dk1">
              <a:lumMod val="15000"/>
              <a:lumOff val="85000"/>
            </a:schemeClr>
          </a:fgClr>
          <a:bgClr>
            <a:schemeClr val="lt1"/>
          </a:bgClr>
        </a:pattFill>
        <a:ln>
          <a:noFill/>
        </a:ln>
        <a:effectLst/>
        <a:sp3d/>
      </c:spPr>
    </c:sideWall>
    <c:backWall>
      <c:thickness val="0"/>
      <c:spPr>
        <a:pattFill prst="ltDnDiag">
          <a:fgClr>
            <a:schemeClr val="dk1">
              <a:lumMod val="15000"/>
              <a:lumOff val="85000"/>
            </a:schemeClr>
          </a:fgClr>
          <a:bgClr>
            <a:schemeClr val="lt1"/>
          </a:bgClr>
        </a:pattFill>
        <a:ln>
          <a:noFill/>
        </a:ln>
        <a:effectLst/>
        <a:sp3d/>
      </c:spPr>
    </c:backWall>
    <c:plotArea>
      <c:layout/>
      <c:line3DChart>
        <c:grouping val="standard"/>
        <c:varyColors val="0"/>
        <c:ser>
          <c:idx val="0"/>
          <c:order val="0"/>
          <c:tx>
            <c:strRef>
              <c:f>Лист1!$B$1</c:f>
              <c:strCache>
                <c:ptCount val="1"/>
                <c:pt idx="0">
                  <c:v>1 група</c:v>
                </c:pt>
              </c:strCache>
            </c:strRef>
          </c:tx>
          <c:spPr>
            <a:solidFill>
              <a:schemeClr val="accent1"/>
            </a:solidFill>
            <a:ln>
              <a:noFill/>
            </a:ln>
            <a:effectLst/>
            <a:sp3d/>
          </c:spPr>
          <c:cat>
            <c:strRef>
              <c:f>Лист1!$A$2:$A$5</c:f>
              <c:strCache>
                <c:ptCount val="3"/>
                <c:pt idx="0">
                  <c:v>Центральна частина</c:v>
                </c:pt>
                <c:pt idx="1">
                  <c:v>Медіальний край</c:v>
                </c:pt>
                <c:pt idx="2">
                  <c:v>Латеральний край</c:v>
                </c:pt>
              </c:strCache>
            </c:strRef>
          </c:cat>
          <c:val>
            <c:numRef>
              <c:f>Лист1!$B$2:$B$5</c:f>
              <c:numCache>
                <c:formatCode>General</c:formatCode>
                <c:ptCount val="4"/>
                <c:pt idx="0">
                  <c:v>28.1</c:v>
                </c:pt>
                <c:pt idx="1">
                  <c:v>31.1</c:v>
                </c:pt>
                <c:pt idx="2">
                  <c:v>31.3</c:v>
                </c:pt>
              </c:numCache>
            </c:numRef>
          </c:val>
          <c:smooth val="0"/>
          <c:extLst>
            <c:ext xmlns:c16="http://schemas.microsoft.com/office/drawing/2014/chart" uri="{C3380CC4-5D6E-409C-BE32-E72D297353CC}">
              <c16:uniqueId val="{00000000-7078-44AD-A7F4-84525EDADD4C}"/>
            </c:ext>
          </c:extLst>
        </c:ser>
        <c:ser>
          <c:idx val="1"/>
          <c:order val="1"/>
          <c:tx>
            <c:strRef>
              <c:f>Лист1!$C$1</c:f>
              <c:strCache>
                <c:ptCount val="1"/>
                <c:pt idx="0">
                  <c:v>2 група</c:v>
                </c:pt>
              </c:strCache>
            </c:strRef>
          </c:tx>
          <c:spPr>
            <a:solidFill>
              <a:schemeClr val="accent2"/>
            </a:solidFill>
            <a:ln>
              <a:noFill/>
            </a:ln>
            <a:effectLst/>
            <a:sp3d/>
          </c:spPr>
          <c:cat>
            <c:strRef>
              <c:f>Лист1!$A$2:$A$5</c:f>
              <c:strCache>
                <c:ptCount val="3"/>
                <c:pt idx="0">
                  <c:v>Центральна частина</c:v>
                </c:pt>
                <c:pt idx="1">
                  <c:v>Медіальний край</c:v>
                </c:pt>
                <c:pt idx="2">
                  <c:v>Латеральний край</c:v>
                </c:pt>
              </c:strCache>
            </c:strRef>
          </c:cat>
          <c:val>
            <c:numRef>
              <c:f>Лист1!$C$2:$C$5</c:f>
              <c:numCache>
                <c:formatCode>General</c:formatCode>
                <c:ptCount val="4"/>
                <c:pt idx="0">
                  <c:v>28.9</c:v>
                </c:pt>
                <c:pt idx="1">
                  <c:v>31.4</c:v>
                </c:pt>
                <c:pt idx="2">
                  <c:v>31.7</c:v>
                </c:pt>
              </c:numCache>
            </c:numRef>
          </c:val>
          <c:smooth val="0"/>
          <c:extLst>
            <c:ext xmlns:c16="http://schemas.microsoft.com/office/drawing/2014/chart" uri="{C3380CC4-5D6E-409C-BE32-E72D297353CC}">
              <c16:uniqueId val="{00000001-7078-44AD-A7F4-84525EDADD4C}"/>
            </c:ext>
          </c:extLst>
        </c:ser>
        <c:ser>
          <c:idx val="2"/>
          <c:order val="2"/>
          <c:tx>
            <c:strRef>
              <c:f>Лист1!$D$1</c:f>
              <c:strCache>
                <c:ptCount val="1"/>
                <c:pt idx="0">
                  <c:v>Контрольна група </c:v>
                </c:pt>
              </c:strCache>
            </c:strRef>
          </c:tx>
          <c:spPr>
            <a:solidFill>
              <a:schemeClr val="accent3"/>
            </a:solidFill>
            <a:ln>
              <a:noFill/>
            </a:ln>
            <a:effectLst/>
            <a:sp3d/>
          </c:spPr>
          <c:cat>
            <c:strRef>
              <c:f>Лист1!$A$2:$A$5</c:f>
              <c:strCache>
                <c:ptCount val="3"/>
                <c:pt idx="0">
                  <c:v>Центральна частина</c:v>
                </c:pt>
                <c:pt idx="1">
                  <c:v>Медіальний край</c:v>
                </c:pt>
                <c:pt idx="2">
                  <c:v>Латеральний край</c:v>
                </c:pt>
              </c:strCache>
            </c:strRef>
          </c:cat>
          <c:val>
            <c:numRef>
              <c:f>Лист1!$D$2:$D$5</c:f>
              <c:numCache>
                <c:formatCode>General</c:formatCode>
                <c:ptCount val="4"/>
                <c:pt idx="0">
                  <c:v>26.8</c:v>
                </c:pt>
                <c:pt idx="1">
                  <c:v>30.6</c:v>
                </c:pt>
                <c:pt idx="2">
                  <c:v>30.1</c:v>
                </c:pt>
              </c:numCache>
            </c:numRef>
          </c:val>
          <c:smooth val="0"/>
          <c:extLst>
            <c:ext xmlns:c16="http://schemas.microsoft.com/office/drawing/2014/chart" uri="{C3380CC4-5D6E-409C-BE32-E72D297353CC}">
              <c16:uniqueId val="{00000002-7078-44AD-A7F4-84525EDADD4C}"/>
            </c:ext>
          </c:extLst>
        </c:ser>
        <c:dLbls>
          <c:showLegendKey val="0"/>
          <c:showVal val="0"/>
          <c:showCatName val="0"/>
          <c:showSerName val="0"/>
          <c:showPercent val="0"/>
          <c:showBubbleSize val="0"/>
        </c:dLbls>
        <c:axId val="203959296"/>
        <c:axId val="43997952"/>
        <c:axId val="174372096"/>
      </c:line3DChart>
      <c:catAx>
        <c:axId val="203959296"/>
        <c:scaling>
          <c:orientation val="minMax"/>
        </c:scaling>
        <c:delete val="0"/>
        <c:axPos val="b"/>
        <c:majorGridlines>
          <c:spPr>
            <a:ln w="9525" cap="flat" cmpd="sng" algn="ctr">
              <a:solidFill>
                <a:schemeClr val="dk1">
                  <a:lumMod val="15000"/>
                  <a:lumOff val="85000"/>
                  <a:alpha val="54000"/>
                </a:schemeClr>
              </a:solidFill>
              <a:round/>
            </a:ln>
            <a:effectLst/>
          </c:spPr>
        </c:majorGridlines>
        <c:minorGridlines>
          <c:spPr>
            <a:ln w="9525" cap="flat" cmpd="sng" algn="ctr">
              <a:solidFill>
                <a:schemeClr val="dk1">
                  <a:lumMod val="15000"/>
                  <a:lumOff val="85000"/>
                  <a:alpha val="51000"/>
                </a:schemeClr>
              </a:solidFill>
              <a:round/>
            </a:ln>
            <a:effectLst/>
          </c:spPr>
        </c:minorGridlines>
        <c:title>
          <c:tx>
            <c:rich>
              <a:bodyPr rot="0" spcFirstLastPara="1" vertOverflow="ellipsis" vert="horz" wrap="square" anchor="ctr" anchorCtr="1"/>
              <a:lstStyle/>
              <a:p>
                <a:pPr>
                  <a:defRPr lang="uk-UA" sz="900" b="1" i="0" u="none" strike="noStrike" kern="1200" baseline="0">
                    <a:solidFill>
                      <a:schemeClr val="dk1">
                        <a:lumMod val="65000"/>
                        <a:lumOff val="35000"/>
                      </a:schemeClr>
                    </a:solidFill>
                    <a:latin typeface="+mn-lt"/>
                    <a:ea typeface="+mn-ea"/>
                    <a:cs typeface="+mn-cs"/>
                  </a:defRPr>
                </a:pPr>
                <a:r>
                  <a:rPr lang="uk-UA"/>
                  <a:t>Ділянка рубця</a:t>
                </a:r>
              </a:p>
            </c:rich>
          </c:tx>
          <c:layout>
            <c:manualLayout>
              <c:xMode val="edge"/>
              <c:yMode val="edge"/>
              <c:x val="0.2279480169145523"/>
              <c:y val="0.65254776292498362"/>
            </c:manualLayout>
          </c:layout>
          <c:overlay val="0"/>
          <c:spPr>
            <a:noFill/>
            <a:ln>
              <a:noFill/>
            </a:ln>
            <a:effectLst/>
          </c:spPr>
        </c:title>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lang="uk-UA" sz="900" b="0" i="0" u="none" strike="noStrike" kern="1200" cap="none" spc="0" normalizeH="0" baseline="0">
                <a:solidFill>
                  <a:schemeClr val="dk1">
                    <a:lumMod val="65000"/>
                    <a:lumOff val="35000"/>
                  </a:schemeClr>
                </a:solidFill>
                <a:latin typeface="+mn-lt"/>
                <a:ea typeface="+mn-ea"/>
                <a:cs typeface="+mn-cs"/>
              </a:defRPr>
            </a:pPr>
            <a:endParaRPr lang="ru-RU"/>
          </a:p>
        </c:txPr>
        <c:crossAx val="43997952"/>
        <c:crosses val="autoZero"/>
        <c:auto val="1"/>
        <c:lblAlgn val="ctr"/>
        <c:lblOffset val="100"/>
        <c:noMultiLvlLbl val="0"/>
      </c:catAx>
      <c:valAx>
        <c:axId val="43997952"/>
        <c:scaling>
          <c:orientation val="minMax"/>
        </c:scaling>
        <c:delete val="0"/>
        <c:axPos val="l"/>
        <c:majorGridlines>
          <c:spPr>
            <a:ln w="9525" cap="flat" cmpd="sng" algn="ctr">
              <a:solidFill>
                <a:schemeClr val="dk1">
                  <a:lumMod val="15000"/>
                  <a:lumOff val="85000"/>
                  <a:alpha val="54000"/>
                </a:schemeClr>
              </a:solidFill>
              <a:round/>
            </a:ln>
            <a:effectLst/>
          </c:spPr>
        </c:majorGridlines>
        <c:title>
          <c:tx>
            <c:rich>
              <a:bodyPr rot="-5400000" spcFirstLastPara="1" vertOverflow="ellipsis" vert="horz" wrap="square" anchor="ctr" anchorCtr="1"/>
              <a:lstStyle/>
              <a:p>
                <a:pPr>
                  <a:defRPr lang="uk-UA" sz="900" b="1" i="0" u="none" strike="noStrike" kern="1200" baseline="0">
                    <a:solidFill>
                      <a:schemeClr val="dk1">
                        <a:lumMod val="65000"/>
                        <a:lumOff val="35000"/>
                      </a:schemeClr>
                    </a:solidFill>
                    <a:latin typeface="+mn-lt"/>
                    <a:ea typeface="+mn-ea"/>
                    <a:cs typeface="+mn-cs"/>
                  </a:defRPr>
                </a:pPr>
                <a:r>
                  <a:rPr lang="uk-UA"/>
                  <a:t>Температура, </a:t>
                </a:r>
                <a:r>
                  <a:rPr lang="uk-UA" sz="900" b="1" i="0" u="none" strike="noStrike" baseline="0">
                    <a:effectLst/>
                  </a:rPr>
                  <a:t>°С</a:t>
                </a:r>
                <a:endParaRPr lang="uk-UA"/>
              </a:p>
            </c:rich>
          </c:tx>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uk-UA" sz="900" b="0" i="0" u="none" strike="noStrike" kern="1200" baseline="0">
                <a:solidFill>
                  <a:schemeClr val="dk1">
                    <a:lumMod val="65000"/>
                    <a:lumOff val="35000"/>
                  </a:schemeClr>
                </a:solidFill>
                <a:latin typeface="+mn-lt"/>
                <a:ea typeface="+mn-ea"/>
                <a:cs typeface="+mn-cs"/>
              </a:defRPr>
            </a:pPr>
            <a:endParaRPr lang="ru-RU"/>
          </a:p>
        </c:txPr>
        <c:crossAx val="203959296"/>
        <c:crosses val="autoZero"/>
        <c:crossBetween val="between"/>
      </c:valAx>
      <c:serAx>
        <c:axId val="174372096"/>
        <c:scaling>
          <c:orientation val="minMax"/>
        </c:scaling>
        <c:delete val="0"/>
        <c:axPos val="b"/>
        <c:majorTickMark val="out"/>
        <c:minorTickMark val="none"/>
        <c:tickLblPos val="nextTo"/>
        <c:spPr>
          <a:noFill/>
          <a:ln>
            <a:noFill/>
          </a:ln>
          <a:effectLst/>
        </c:spPr>
        <c:txPr>
          <a:bodyPr rot="-60000000" spcFirstLastPara="1" vertOverflow="ellipsis" vert="horz" wrap="square" anchor="ctr" anchorCtr="1"/>
          <a:lstStyle/>
          <a:p>
            <a:pPr>
              <a:defRPr lang="uk-UA" sz="900" b="0" i="0" u="none" strike="noStrike" kern="1200" baseline="0">
                <a:solidFill>
                  <a:schemeClr val="dk1">
                    <a:lumMod val="65000"/>
                    <a:lumOff val="35000"/>
                  </a:schemeClr>
                </a:solidFill>
                <a:latin typeface="+mn-lt"/>
                <a:ea typeface="+mn-ea"/>
                <a:cs typeface="+mn-cs"/>
              </a:defRPr>
            </a:pPr>
            <a:endParaRPr lang="ru-RU"/>
          </a:p>
        </c:txPr>
        <c:crossAx val="43997952"/>
        <c:crosses val="autoZero"/>
      </c:serAx>
      <c:dTable>
        <c:showHorzBorder val="1"/>
        <c:showVertBorder val="1"/>
        <c:showOutline val="1"/>
        <c:showKeys val="1"/>
        <c:spPr>
          <a:noFill/>
          <a:ln w="9525" cap="flat" cmpd="sng" algn="ctr">
            <a:solidFill>
              <a:schemeClr val="dk1">
                <a:lumMod val="15000"/>
                <a:lumOff val="85000"/>
              </a:schemeClr>
            </a:solidFill>
            <a:round/>
          </a:ln>
          <a:effectLst/>
        </c:spPr>
        <c:txPr>
          <a:bodyPr rot="0" spcFirstLastPara="1" vertOverflow="ellipsis" vert="horz" wrap="square" anchor="ctr" anchorCtr="1"/>
          <a:lstStyle/>
          <a:p>
            <a:pPr rtl="0">
              <a:defRPr lang="uk-UA" sz="800" b="0" i="0" u="none" strike="noStrike" kern="1200" baseline="0">
                <a:solidFill>
                  <a:schemeClr val="dk1">
                    <a:lumMod val="65000"/>
                    <a:lumOff val="35000"/>
                  </a:schemeClr>
                </a:solidFill>
                <a:latin typeface="+mn-lt"/>
                <a:ea typeface="+mn-ea"/>
                <a:cs typeface="+mn-cs"/>
              </a:defRPr>
            </a:pPr>
            <a:endParaRPr lang="ru-RU"/>
          </a:p>
        </c:txPr>
      </c:dTable>
      <c:spPr>
        <a:solidFill>
          <a:schemeClr val="lt1"/>
        </a:solidFill>
        <a:ln>
          <a:noFill/>
        </a:ln>
        <a:effectLst/>
      </c:spPr>
    </c:plotArea>
    <c:legend>
      <c:legendPos val="b"/>
      <c:overlay val="0"/>
      <c:spPr>
        <a:noFill/>
        <a:ln>
          <a:noFill/>
        </a:ln>
        <a:effectLst/>
      </c:spPr>
      <c:txPr>
        <a:bodyPr rot="0" spcFirstLastPara="1" vertOverflow="ellipsis" vert="horz" wrap="square" anchor="ctr" anchorCtr="1"/>
        <a:lstStyle/>
        <a:p>
          <a:pPr>
            <a:defRPr lang="uk-UA" sz="900" b="0" i="0" u="none" strike="noStrike" kern="1200" baseline="0">
              <a:solidFill>
                <a:schemeClr val="dk1">
                  <a:lumMod val="65000"/>
                  <a:lumOff val="35000"/>
                </a:schemeClr>
              </a:solidFill>
              <a:latin typeface="+mn-lt"/>
              <a:ea typeface="+mn-ea"/>
              <a:cs typeface="+mn-cs"/>
            </a:defRPr>
          </a:pPr>
          <a:endParaRPr lang="ru-RU"/>
        </a:p>
      </c:txPr>
    </c:legend>
    <c:plotVisOnly val="1"/>
    <c:dispBlanksAs val="gap"/>
    <c:showDLblsOverMax val="0"/>
  </c:chart>
  <c:spPr>
    <a:solidFill>
      <a:schemeClr val="lt1"/>
    </a:solidFill>
    <a:ln w="9525" cap="flat" cmpd="sng" algn="ctr">
      <a:solidFill>
        <a:schemeClr val="dk1">
          <a:lumMod val="15000"/>
          <a:lumOff val="85000"/>
        </a:schemeClr>
      </a:solidFill>
      <a:round/>
    </a:ln>
    <a:effectLst/>
  </c:spPr>
  <c:txPr>
    <a:bodyPr/>
    <a:lstStyle/>
    <a:p>
      <a:pPr>
        <a:defRPr/>
      </a:pPr>
      <a:endParaRPr lang="ru-RU"/>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rotY val="20"/>
      <c:rAngAx val="0"/>
    </c:view3D>
    <c:floor>
      <c:thickness val="0"/>
      <c:spPr>
        <a:pattFill prst="ltDnDiag">
          <a:fgClr>
            <a:schemeClr val="dk1">
              <a:lumMod val="15000"/>
              <a:lumOff val="85000"/>
            </a:schemeClr>
          </a:fgClr>
          <a:bgClr>
            <a:schemeClr val="lt1"/>
          </a:bgClr>
        </a:pattFill>
        <a:ln>
          <a:noFill/>
        </a:ln>
        <a:effectLst/>
        <a:sp3d/>
      </c:spPr>
    </c:floor>
    <c:sideWall>
      <c:thickness val="0"/>
      <c:spPr>
        <a:pattFill prst="ltDnDiag">
          <a:fgClr>
            <a:schemeClr val="dk1">
              <a:lumMod val="15000"/>
              <a:lumOff val="85000"/>
            </a:schemeClr>
          </a:fgClr>
          <a:bgClr>
            <a:schemeClr val="lt1"/>
          </a:bgClr>
        </a:pattFill>
        <a:ln>
          <a:noFill/>
        </a:ln>
        <a:effectLst/>
        <a:sp3d/>
      </c:spPr>
    </c:sideWall>
    <c:backWall>
      <c:thickness val="0"/>
      <c:spPr>
        <a:pattFill prst="ltDnDiag">
          <a:fgClr>
            <a:schemeClr val="dk1">
              <a:lumMod val="15000"/>
              <a:lumOff val="85000"/>
            </a:schemeClr>
          </a:fgClr>
          <a:bgClr>
            <a:schemeClr val="lt1"/>
          </a:bgClr>
        </a:pattFill>
        <a:ln>
          <a:noFill/>
        </a:ln>
        <a:effectLst/>
        <a:sp3d/>
      </c:spPr>
    </c:backWall>
    <c:plotArea>
      <c:layout/>
      <c:line3DChart>
        <c:grouping val="standard"/>
        <c:varyColors val="0"/>
        <c:ser>
          <c:idx val="0"/>
          <c:order val="0"/>
          <c:tx>
            <c:strRef>
              <c:f>Лист1!$B$1</c:f>
              <c:strCache>
                <c:ptCount val="1"/>
                <c:pt idx="0">
                  <c:v>1 група</c:v>
                </c:pt>
              </c:strCache>
            </c:strRef>
          </c:tx>
          <c:spPr>
            <a:solidFill>
              <a:schemeClr val="accent1"/>
            </a:solidFill>
            <a:ln>
              <a:noFill/>
            </a:ln>
            <a:effectLst/>
            <a:sp3d/>
          </c:spPr>
          <c:cat>
            <c:strRef>
              <c:f>Лист1!$A$2:$A$5</c:f>
              <c:strCache>
                <c:ptCount val="3"/>
                <c:pt idx="0">
                  <c:v>Центральна частина</c:v>
                </c:pt>
                <c:pt idx="1">
                  <c:v>Медіальний край</c:v>
                </c:pt>
                <c:pt idx="2">
                  <c:v>Латеральний край</c:v>
                </c:pt>
              </c:strCache>
            </c:strRef>
          </c:cat>
          <c:val>
            <c:numRef>
              <c:f>Лист1!$B$2:$B$5</c:f>
              <c:numCache>
                <c:formatCode>General</c:formatCode>
                <c:ptCount val="4"/>
                <c:pt idx="0">
                  <c:v>29.2</c:v>
                </c:pt>
                <c:pt idx="1">
                  <c:v>32.1</c:v>
                </c:pt>
                <c:pt idx="2">
                  <c:v>32.4</c:v>
                </c:pt>
              </c:numCache>
            </c:numRef>
          </c:val>
          <c:smooth val="0"/>
          <c:extLst>
            <c:ext xmlns:c16="http://schemas.microsoft.com/office/drawing/2014/chart" uri="{C3380CC4-5D6E-409C-BE32-E72D297353CC}">
              <c16:uniqueId val="{00000000-C548-43CE-B8F6-D8A72EDA928A}"/>
            </c:ext>
          </c:extLst>
        </c:ser>
        <c:ser>
          <c:idx val="1"/>
          <c:order val="1"/>
          <c:tx>
            <c:strRef>
              <c:f>Лист1!$C$1</c:f>
              <c:strCache>
                <c:ptCount val="1"/>
                <c:pt idx="0">
                  <c:v>2 група</c:v>
                </c:pt>
              </c:strCache>
            </c:strRef>
          </c:tx>
          <c:spPr>
            <a:solidFill>
              <a:schemeClr val="accent2"/>
            </a:solidFill>
            <a:ln>
              <a:noFill/>
            </a:ln>
            <a:effectLst/>
            <a:sp3d/>
          </c:spPr>
          <c:cat>
            <c:strRef>
              <c:f>Лист1!$A$2:$A$5</c:f>
              <c:strCache>
                <c:ptCount val="3"/>
                <c:pt idx="0">
                  <c:v>Центральна частина</c:v>
                </c:pt>
                <c:pt idx="1">
                  <c:v>Медіальний край</c:v>
                </c:pt>
                <c:pt idx="2">
                  <c:v>Латеральний край</c:v>
                </c:pt>
              </c:strCache>
            </c:strRef>
          </c:cat>
          <c:val>
            <c:numRef>
              <c:f>Лист1!$C$2:$C$5</c:f>
              <c:numCache>
                <c:formatCode>General</c:formatCode>
                <c:ptCount val="4"/>
                <c:pt idx="0">
                  <c:v>30.4</c:v>
                </c:pt>
                <c:pt idx="1">
                  <c:v>32.9</c:v>
                </c:pt>
                <c:pt idx="2">
                  <c:v>31.7</c:v>
                </c:pt>
              </c:numCache>
            </c:numRef>
          </c:val>
          <c:smooth val="0"/>
          <c:extLst>
            <c:ext xmlns:c16="http://schemas.microsoft.com/office/drawing/2014/chart" uri="{C3380CC4-5D6E-409C-BE32-E72D297353CC}">
              <c16:uniqueId val="{00000001-C548-43CE-B8F6-D8A72EDA928A}"/>
            </c:ext>
          </c:extLst>
        </c:ser>
        <c:ser>
          <c:idx val="2"/>
          <c:order val="2"/>
          <c:tx>
            <c:strRef>
              <c:f>Лист1!$D$1</c:f>
              <c:strCache>
                <c:ptCount val="1"/>
                <c:pt idx="0">
                  <c:v>Контрольна група </c:v>
                </c:pt>
              </c:strCache>
            </c:strRef>
          </c:tx>
          <c:spPr>
            <a:solidFill>
              <a:schemeClr val="accent3"/>
            </a:solidFill>
            <a:ln>
              <a:noFill/>
            </a:ln>
            <a:effectLst/>
            <a:sp3d/>
          </c:spPr>
          <c:cat>
            <c:strRef>
              <c:f>Лист1!$A$2:$A$5</c:f>
              <c:strCache>
                <c:ptCount val="3"/>
                <c:pt idx="0">
                  <c:v>Центральна частина</c:v>
                </c:pt>
                <c:pt idx="1">
                  <c:v>Медіальний край</c:v>
                </c:pt>
                <c:pt idx="2">
                  <c:v>Латеральний край</c:v>
                </c:pt>
              </c:strCache>
            </c:strRef>
          </c:cat>
          <c:val>
            <c:numRef>
              <c:f>Лист1!$D$2:$D$5</c:f>
              <c:numCache>
                <c:formatCode>General</c:formatCode>
                <c:ptCount val="4"/>
                <c:pt idx="0">
                  <c:v>28.1</c:v>
                </c:pt>
                <c:pt idx="1">
                  <c:v>31.1</c:v>
                </c:pt>
                <c:pt idx="2">
                  <c:v>31.7</c:v>
                </c:pt>
              </c:numCache>
            </c:numRef>
          </c:val>
          <c:smooth val="0"/>
          <c:extLst>
            <c:ext xmlns:c16="http://schemas.microsoft.com/office/drawing/2014/chart" uri="{C3380CC4-5D6E-409C-BE32-E72D297353CC}">
              <c16:uniqueId val="{00000002-C548-43CE-B8F6-D8A72EDA928A}"/>
            </c:ext>
          </c:extLst>
        </c:ser>
        <c:dLbls>
          <c:showLegendKey val="0"/>
          <c:showVal val="0"/>
          <c:showCatName val="0"/>
          <c:showSerName val="0"/>
          <c:showPercent val="0"/>
          <c:showBubbleSize val="0"/>
        </c:dLbls>
        <c:axId val="219371520"/>
        <c:axId val="129150336"/>
        <c:axId val="174372736"/>
      </c:line3DChart>
      <c:catAx>
        <c:axId val="219371520"/>
        <c:scaling>
          <c:orientation val="minMax"/>
        </c:scaling>
        <c:delete val="0"/>
        <c:axPos val="b"/>
        <c:majorGridlines>
          <c:spPr>
            <a:ln w="9525" cap="flat" cmpd="sng" algn="ctr">
              <a:solidFill>
                <a:schemeClr val="dk1">
                  <a:lumMod val="15000"/>
                  <a:lumOff val="85000"/>
                  <a:alpha val="54000"/>
                </a:schemeClr>
              </a:solidFill>
              <a:round/>
            </a:ln>
            <a:effectLst/>
          </c:spPr>
        </c:majorGridlines>
        <c:minorGridlines>
          <c:spPr>
            <a:ln w="9525" cap="flat" cmpd="sng" algn="ctr">
              <a:solidFill>
                <a:schemeClr val="dk1">
                  <a:lumMod val="15000"/>
                  <a:lumOff val="85000"/>
                  <a:alpha val="51000"/>
                </a:schemeClr>
              </a:solidFill>
              <a:round/>
            </a:ln>
            <a:effectLst/>
          </c:spPr>
        </c:minorGridlines>
        <c:title>
          <c:tx>
            <c:rich>
              <a:bodyPr rot="0" spcFirstLastPara="1" vertOverflow="ellipsis" vert="horz" wrap="square" anchor="ctr" anchorCtr="1"/>
              <a:lstStyle/>
              <a:p>
                <a:pPr>
                  <a:defRPr lang="uk-UA" sz="900" b="1" i="0" u="none" strike="noStrike" kern="1200" baseline="0">
                    <a:solidFill>
                      <a:schemeClr val="dk1">
                        <a:lumMod val="65000"/>
                        <a:lumOff val="35000"/>
                      </a:schemeClr>
                    </a:solidFill>
                    <a:latin typeface="+mn-lt"/>
                    <a:ea typeface="+mn-ea"/>
                    <a:cs typeface="+mn-cs"/>
                  </a:defRPr>
                </a:pPr>
                <a:r>
                  <a:rPr lang="uk-UA"/>
                  <a:t>Ділянка рубця</a:t>
                </a:r>
              </a:p>
            </c:rich>
          </c:tx>
          <c:layout>
            <c:manualLayout>
              <c:xMode val="edge"/>
              <c:yMode val="edge"/>
              <c:x val="0.2279480169145523"/>
              <c:y val="0.65254776292498362"/>
            </c:manualLayout>
          </c:layout>
          <c:overlay val="0"/>
          <c:spPr>
            <a:noFill/>
            <a:ln>
              <a:noFill/>
            </a:ln>
            <a:effectLst/>
          </c:spPr>
        </c:title>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lang="uk-UA" sz="900" b="0" i="0" u="none" strike="noStrike" kern="1200" cap="none" spc="0" normalizeH="0" baseline="0">
                <a:solidFill>
                  <a:schemeClr val="dk1">
                    <a:lumMod val="65000"/>
                    <a:lumOff val="35000"/>
                  </a:schemeClr>
                </a:solidFill>
                <a:latin typeface="+mn-lt"/>
                <a:ea typeface="+mn-ea"/>
                <a:cs typeface="+mn-cs"/>
              </a:defRPr>
            </a:pPr>
            <a:endParaRPr lang="ru-RU"/>
          </a:p>
        </c:txPr>
        <c:crossAx val="129150336"/>
        <c:crosses val="autoZero"/>
        <c:auto val="1"/>
        <c:lblAlgn val="ctr"/>
        <c:lblOffset val="100"/>
        <c:noMultiLvlLbl val="0"/>
      </c:catAx>
      <c:valAx>
        <c:axId val="129150336"/>
        <c:scaling>
          <c:orientation val="minMax"/>
        </c:scaling>
        <c:delete val="0"/>
        <c:axPos val="l"/>
        <c:majorGridlines>
          <c:spPr>
            <a:ln w="9525" cap="flat" cmpd="sng" algn="ctr">
              <a:solidFill>
                <a:schemeClr val="dk1">
                  <a:lumMod val="15000"/>
                  <a:lumOff val="85000"/>
                  <a:alpha val="54000"/>
                </a:schemeClr>
              </a:solidFill>
              <a:round/>
            </a:ln>
            <a:effectLst/>
          </c:spPr>
        </c:majorGridlines>
        <c:title>
          <c:tx>
            <c:rich>
              <a:bodyPr rot="-5400000" spcFirstLastPara="1" vertOverflow="ellipsis" vert="horz" wrap="square" anchor="ctr" anchorCtr="1"/>
              <a:lstStyle/>
              <a:p>
                <a:pPr>
                  <a:defRPr lang="uk-UA" sz="900" b="1" i="0" u="none" strike="noStrike" kern="1200" baseline="0">
                    <a:solidFill>
                      <a:schemeClr val="dk1">
                        <a:lumMod val="65000"/>
                        <a:lumOff val="35000"/>
                      </a:schemeClr>
                    </a:solidFill>
                    <a:latin typeface="+mn-lt"/>
                    <a:ea typeface="+mn-ea"/>
                    <a:cs typeface="+mn-cs"/>
                  </a:defRPr>
                </a:pPr>
                <a:r>
                  <a:rPr lang="uk-UA"/>
                  <a:t>Температура, </a:t>
                </a:r>
                <a:r>
                  <a:rPr lang="uk-UA" sz="900" b="1" i="0" u="none" strike="noStrike" baseline="0">
                    <a:effectLst/>
                  </a:rPr>
                  <a:t>°С</a:t>
                </a:r>
                <a:endParaRPr lang="uk-UA"/>
              </a:p>
            </c:rich>
          </c:tx>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uk-UA" sz="900" b="0" i="0" u="none" strike="noStrike" kern="1200" baseline="0">
                <a:solidFill>
                  <a:schemeClr val="dk1">
                    <a:lumMod val="65000"/>
                    <a:lumOff val="35000"/>
                  </a:schemeClr>
                </a:solidFill>
                <a:latin typeface="+mn-lt"/>
                <a:ea typeface="+mn-ea"/>
                <a:cs typeface="+mn-cs"/>
              </a:defRPr>
            </a:pPr>
            <a:endParaRPr lang="ru-RU"/>
          </a:p>
        </c:txPr>
        <c:crossAx val="219371520"/>
        <c:crosses val="autoZero"/>
        <c:crossBetween val="between"/>
      </c:valAx>
      <c:serAx>
        <c:axId val="174372736"/>
        <c:scaling>
          <c:orientation val="minMax"/>
        </c:scaling>
        <c:delete val="0"/>
        <c:axPos val="b"/>
        <c:majorTickMark val="out"/>
        <c:minorTickMark val="none"/>
        <c:tickLblPos val="nextTo"/>
        <c:spPr>
          <a:noFill/>
          <a:ln>
            <a:noFill/>
          </a:ln>
          <a:effectLst/>
        </c:spPr>
        <c:txPr>
          <a:bodyPr rot="-60000000" spcFirstLastPara="1" vertOverflow="ellipsis" vert="horz" wrap="square" anchor="ctr" anchorCtr="1"/>
          <a:lstStyle/>
          <a:p>
            <a:pPr>
              <a:defRPr lang="uk-UA" sz="900" b="0" i="0" u="none" strike="noStrike" kern="1200" baseline="0">
                <a:solidFill>
                  <a:schemeClr val="dk1">
                    <a:lumMod val="65000"/>
                    <a:lumOff val="35000"/>
                  </a:schemeClr>
                </a:solidFill>
                <a:latin typeface="+mn-lt"/>
                <a:ea typeface="+mn-ea"/>
                <a:cs typeface="+mn-cs"/>
              </a:defRPr>
            </a:pPr>
            <a:endParaRPr lang="ru-RU"/>
          </a:p>
        </c:txPr>
        <c:crossAx val="129150336"/>
        <c:crosses val="autoZero"/>
      </c:serAx>
      <c:dTable>
        <c:showHorzBorder val="1"/>
        <c:showVertBorder val="1"/>
        <c:showOutline val="1"/>
        <c:showKeys val="1"/>
        <c:spPr>
          <a:noFill/>
          <a:ln w="9525" cap="flat" cmpd="sng" algn="ctr">
            <a:solidFill>
              <a:schemeClr val="dk1">
                <a:lumMod val="15000"/>
                <a:lumOff val="85000"/>
              </a:schemeClr>
            </a:solidFill>
            <a:round/>
          </a:ln>
          <a:effectLst/>
        </c:spPr>
        <c:txPr>
          <a:bodyPr rot="0" spcFirstLastPara="1" vertOverflow="ellipsis" vert="horz" wrap="square" anchor="ctr" anchorCtr="1"/>
          <a:lstStyle/>
          <a:p>
            <a:pPr rtl="0">
              <a:defRPr lang="uk-UA" sz="800" b="0" i="0" u="none" strike="noStrike" kern="1200" baseline="0">
                <a:solidFill>
                  <a:schemeClr val="dk1">
                    <a:lumMod val="65000"/>
                    <a:lumOff val="35000"/>
                  </a:schemeClr>
                </a:solidFill>
                <a:latin typeface="+mn-lt"/>
                <a:ea typeface="+mn-ea"/>
                <a:cs typeface="+mn-cs"/>
              </a:defRPr>
            </a:pPr>
            <a:endParaRPr lang="ru-RU"/>
          </a:p>
        </c:txPr>
      </c:dTable>
      <c:spPr>
        <a:solidFill>
          <a:schemeClr val="lt1"/>
        </a:solidFill>
        <a:ln>
          <a:noFill/>
        </a:ln>
        <a:effectLst/>
      </c:spPr>
    </c:plotArea>
    <c:legend>
      <c:legendPos val="b"/>
      <c:overlay val="0"/>
      <c:spPr>
        <a:noFill/>
        <a:ln>
          <a:noFill/>
        </a:ln>
        <a:effectLst/>
      </c:spPr>
      <c:txPr>
        <a:bodyPr rot="0" spcFirstLastPara="1" vertOverflow="ellipsis" vert="horz" wrap="square" anchor="ctr" anchorCtr="1"/>
        <a:lstStyle/>
        <a:p>
          <a:pPr>
            <a:defRPr lang="uk-UA" sz="900" b="0" i="0" u="none" strike="noStrike" kern="1200" baseline="0">
              <a:solidFill>
                <a:schemeClr val="dk1">
                  <a:lumMod val="65000"/>
                  <a:lumOff val="35000"/>
                </a:schemeClr>
              </a:solidFill>
              <a:latin typeface="+mn-lt"/>
              <a:ea typeface="+mn-ea"/>
              <a:cs typeface="+mn-cs"/>
            </a:defRPr>
          </a:pPr>
          <a:endParaRPr lang="ru-RU"/>
        </a:p>
      </c:txPr>
    </c:legend>
    <c:plotVisOnly val="1"/>
    <c:dispBlanksAs val="gap"/>
    <c:showDLblsOverMax val="0"/>
  </c:chart>
  <c:spPr>
    <a:solidFill>
      <a:schemeClr val="lt1"/>
    </a:solidFill>
    <a:ln w="9525" cap="flat" cmpd="sng" algn="ctr">
      <a:solidFill>
        <a:schemeClr val="dk1">
          <a:lumMod val="15000"/>
          <a:lumOff val="85000"/>
        </a:schemeClr>
      </a:solidFill>
      <a:round/>
    </a:ln>
    <a:effectLst/>
  </c:spPr>
  <c:txPr>
    <a:bodyPr/>
    <a:lstStyle/>
    <a:p>
      <a:pPr>
        <a:defRPr/>
      </a:pPr>
      <a:endParaRPr lang="ru-RU"/>
    </a:p>
  </c:tx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rotY val="20"/>
      <c:rAngAx val="0"/>
    </c:view3D>
    <c:floor>
      <c:thickness val="0"/>
      <c:spPr>
        <a:pattFill prst="ltDnDiag">
          <a:fgClr>
            <a:schemeClr val="dk1">
              <a:lumMod val="15000"/>
              <a:lumOff val="85000"/>
            </a:schemeClr>
          </a:fgClr>
          <a:bgClr>
            <a:schemeClr val="lt1"/>
          </a:bgClr>
        </a:pattFill>
        <a:ln>
          <a:noFill/>
        </a:ln>
        <a:effectLst/>
        <a:sp3d/>
      </c:spPr>
    </c:floor>
    <c:sideWall>
      <c:thickness val="0"/>
      <c:spPr>
        <a:pattFill prst="ltDnDiag">
          <a:fgClr>
            <a:schemeClr val="dk1">
              <a:lumMod val="15000"/>
              <a:lumOff val="85000"/>
            </a:schemeClr>
          </a:fgClr>
          <a:bgClr>
            <a:schemeClr val="lt1"/>
          </a:bgClr>
        </a:pattFill>
        <a:ln>
          <a:noFill/>
        </a:ln>
        <a:effectLst/>
        <a:sp3d/>
      </c:spPr>
    </c:sideWall>
    <c:backWall>
      <c:thickness val="0"/>
      <c:spPr>
        <a:pattFill prst="ltDnDiag">
          <a:fgClr>
            <a:schemeClr val="dk1">
              <a:lumMod val="15000"/>
              <a:lumOff val="85000"/>
            </a:schemeClr>
          </a:fgClr>
          <a:bgClr>
            <a:schemeClr val="lt1"/>
          </a:bgClr>
        </a:pattFill>
        <a:ln>
          <a:noFill/>
        </a:ln>
        <a:effectLst/>
        <a:sp3d/>
      </c:spPr>
    </c:backWall>
    <c:plotArea>
      <c:layout/>
      <c:line3DChart>
        <c:grouping val="standard"/>
        <c:varyColors val="0"/>
        <c:ser>
          <c:idx val="0"/>
          <c:order val="0"/>
          <c:tx>
            <c:strRef>
              <c:f>Лист1!$B$1</c:f>
              <c:strCache>
                <c:ptCount val="1"/>
                <c:pt idx="0">
                  <c:v>1 група</c:v>
                </c:pt>
              </c:strCache>
            </c:strRef>
          </c:tx>
          <c:spPr>
            <a:solidFill>
              <a:schemeClr val="accent1"/>
            </a:solidFill>
            <a:ln>
              <a:noFill/>
            </a:ln>
            <a:effectLst/>
            <a:sp3d/>
          </c:spPr>
          <c:cat>
            <c:strRef>
              <c:f>Лист1!$A$2:$A$5</c:f>
              <c:strCache>
                <c:ptCount val="3"/>
                <c:pt idx="0">
                  <c:v>Центральна частина</c:v>
                </c:pt>
                <c:pt idx="1">
                  <c:v>Медіальний край</c:v>
                </c:pt>
                <c:pt idx="2">
                  <c:v>Латеральний край</c:v>
                </c:pt>
              </c:strCache>
            </c:strRef>
          </c:cat>
          <c:val>
            <c:numRef>
              <c:f>Лист1!$B$2:$B$5</c:f>
              <c:numCache>
                <c:formatCode>General</c:formatCode>
                <c:ptCount val="4"/>
                <c:pt idx="0">
                  <c:v>30.2</c:v>
                </c:pt>
                <c:pt idx="1">
                  <c:v>33.6</c:v>
                </c:pt>
                <c:pt idx="2">
                  <c:v>33.800000000000004</c:v>
                </c:pt>
              </c:numCache>
            </c:numRef>
          </c:val>
          <c:smooth val="0"/>
          <c:extLst>
            <c:ext xmlns:c16="http://schemas.microsoft.com/office/drawing/2014/chart" uri="{C3380CC4-5D6E-409C-BE32-E72D297353CC}">
              <c16:uniqueId val="{00000000-4973-41CA-A6B7-8275B4C25F48}"/>
            </c:ext>
          </c:extLst>
        </c:ser>
        <c:ser>
          <c:idx val="1"/>
          <c:order val="1"/>
          <c:tx>
            <c:strRef>
              <c:f>Лист1!$C$1</c:f>
              <c:strCache>
                <c:ptCount val="1"/>
                <c:pt idx="0">
                  <c:v>2 група</c:v>
                </c:pt>
              </c:strCache>
            </c:strRef>
          </c:tx>
          <c:spPr>
            <a:solidFill>
              <a:schemeClr val="accent2"/>
            </a:solidFill>
            <a:ln>
              <a:noFill/>
            </a:ln>
            <a:effectLst/>
            <a:sp3d/>
          </c:spPr>
          <c:cat>
            <c:strRef>
              <c:f>Лист1!$A$2:$A$5</c:f>
              <c:strCache>
                <c:ptCount val="3"/>
                <c:pt idx="0">
                  <c:v>Центральна частина</c:v>
                </c:pt>
                <c:pt idx="1">
                  <c:v>Медіальний край</c:v>
                </c:pt>
                <c:pt idx="2">
                  <c:v>Латеральний край</c:v>
                </c:pt>
              </c:strCache>
            </c:strRef>
          </c:cat>
          <c:val>
            <c:numRef>
              <c:f>Лист1!$C$2:$C$5</c:f>
              <c:numCache>
                <c:formatCode>General</c:formatCode>
                <c:ptCount val="4"/>
                <c:pt idx="0">
                  <c:v>33.9</c:v>
                </c:pt>
                <c:pt idx="1">
                  <c:v>34.4</c:v>
                </c:pt>
                <c:pt idx="2">
                  <c:v>34.6</c:v>
                </c:pt>
              </c:numCache>
            </c:numRef>
          </c:val>
          <c:smooth val="0"/>
          <c:extLst>
            <c:ext xmlns:c16="http://schemas.microsoft.com/office/drawing/2014/chart" uri="{C3380CC4-5D6E-409C-BE32-E72D297353CC}">
              <c16:uniqueId val="{00000001-4973-41CA-A6B7-8275B4C25F48}"/>
            </c:ext>
          </c:extLst>
        </c:ser>
        <c:ser>
          <c:idx val="2"/>
          <c:order val="2"/>
          <c:tx>
            <c:strRef>
              <c:f>Лист1!$D$1</c:f>
              <c:strCache>
                <c:ptCount val="1"/>
                <c:pt idx="0">
                  <c:v>Контрольна група </c:v>
                </c:pt>
              </c:strCache>
            </c:strRef>
          </c:tx>
          <c:spPr>
            <a:solidFill>
              <a:schemeClr val="accent3"/>
            </a:solidFill>
            <a:ln>
              <a:noFill/>
            </a:ln>
            <a:effectLst/>
            <a:sp3d/>
          </c:spPr>
          <c:cat>
            <c:strRef>
              <c:f>Лист1!$A$2:$A$5</c:f>
              <c:strCache>
                <c:ptCount val="3"/>
                <c:pt idx="0">
                  <c:v>Центральна частина</c:v>
                </c:pt>
                <c:pt idx="1">
                  <c:v>Медіальний край</c:v>
                </c:pt>
                <c:pt idx="2">
                  <c:v>Латеральний край</c:v>
                </c:pt>
              </c:strCache>
            </c:strRef>
          </c:cat>
          <c:val>
            <c:numRef>
              <c:f>Лист1!$D$2:$D$5</c:f>
              <c:numCache>
                <c:formatCode>General</c:formatCode>
                <c:ptCount val="4"/>
                <c:pt idx="0">
                  <c:v>29.7</c:v>
                </c:pt>
                <c:pt idx="1">
                  <c:v>32.300000000000004</c:v>
                </c:pt>
                <c:pt idx="2">
                  <c:v>32.9</c:v>
                </c:pt>
              </c:numCache>
            </c:numRef>
          </c:val>
          <c:smooth val="0"/>
          <c:extLst>
            <c:ext xmlns:c16="http://schemas.microsoft.com/office/drawing/2014/chart" uri="{C3380CC4-5D6E-409C-BE32-E72D297353CC}">
              <c16:uniqueId val="{00000002-4973-41CA-A6B7-8275B4C25F48}"/>
            </c:ext>
          </c:extLst>
        </c:ser>
        <c:dLbls>
          <c:showLegendKey val="0"/>
          <c:showVal val="0"/>
          <c:showCatName val="0"/>
          <c:showSerName val="0"/>
          <c:showPercent val="0"/>
          <c:showBubbleSize val="0"/>
        </c:dLbls>
        <c:axId val="241476608"/>
        <c:axId val="129152064"/>
        <c:axId val="174376192"/>
      </c:line3DChart>
      <c:catAx>
        <c:axId val="241476608"/>
        <c:scaling>
          <c:orientation val="minMax"/>
        </c:scaling>
        <c:delete val="0"/>
        <c:axPos val="b"/>
        <c:majorGridlines>
          <c:spPr>
            <a:ln w="9525" cap="flat" cmpd="sng" algn="ctr">
              <a:solidFill>
                <a:schemeClr val="dk1">
                  <a:lumMod val="15000"/>
                  <a:lumOff val="85000"/>
                  <a:alpha val="54000"/>
                </a:schemeClr>
              </a:solidFill>
              <a:round/>
            </a:ln>
            <a:effectLst/>
          </c:spPr>
        </c:majorGridlines>
        <c:minorGridlines>
          <c:spPr>
            <a:ln w="9525" cap="flat" cmpd="sng" algn="ctr">
              <a:solidFill>
                <a:schemeClr val="dk1">
                  <a:lumMod val="15000"/>
                  <a:lumOff val="85000"/>
                  <a:alpha val="51000"/>
                </a:schemeClr>
              </a:solidFill>
              <a:round/>
            </a:ln>
            <a:effectLst/>
          </c:spPr>
        </c:minorGridlines>
        <c:title>
          <c:tx>
            <c:rich>
              <a:bodyPr rot="0" spcFirstLastPara="1" vertOverflow="ellipsis" vert="horz" wrap="square" anchor="ctr" anchorCtr="1"/>
              <a:lstStyle/>
              <a:p>
                <a:pPr>
                  <a:defRPr lang="uk-UA" sz="900" b="1" i="0" u="none" strike="noStrike" kern="1200" baseline="0">
                    <a:solidFill>
                      <a:schemeClr val="dk1">
                        <a:lumMod val="65000"/>
                        <a:lumOff val="35000"/>
                      </a:schemeClr>
                    </a:solidFill>
                    <a:latin typeface="+mn-lt"/>
                    <a:ea typeface="+mn-ea"/>
                    <a:cs typeface="+mn-cs"/>
                  </a:defRPr>
                </a:pPr>
                <a:r>
                  <a:rPr lang="uk-UA"/>
                  <a:t>Ділянка рубця</a:t>
                </a:r>
              </a:p>
            </c:rich>
          </c:tx>
          <c:layout>
            <c:manualLayout>
              <c:xMode val="edge"/>
              <c:yMode val="edge"/>
              <c:x val="0.2279480169145523"/>
              <c:y val="0.65254776292498362"/>
            </c:manualLayout>
          </c:layout>
          <c:overlay val="0"/>
          <c:spPr>
            <a:noFill/>
            <a:ln>
              <a:noFill/>
            </a:ln>
            <a:effectLst/>
          </c:spPr>
        </c:title>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lang="uk-UA" sz="900" b="0" i="0" u="none" strike="noStrike" kern="1200" cap="none" spc="0" normalizeH="0" baseline="0">
                <a:solidFill>
                  <a:schemeClr val="dk1">
                    <a:lumMod val="65000"/>
                    <a:lumOff val="35000"/>
                  </a:schemeClr>
                </a:solidFill>
                <a:latin typeface="+mn-lt"/>
                <a:ea typeface="+mn-ea"/>
                <a:cs typeface="+mn-cs"/>
              </a:defRPr>
            </a:pPr>
            <a:endParaRPr lang="ru-RU"/>
          </a:p>
        </c:txPr>
        <c:crossAx val="129152064"/>
        <c:crosses val="autoZero"/>
        <c:auto val="1"/>
        <c:lblAlgn val="ctr"/>
        <c:lblOffset val="100"/>
        <c:noMultiLvlLbl val="0"/>
      </c:catAx>
      <c:valAx>
        <c:axId val="129152064"/>
        <c:scaling>
          <c:orientation val="minMax"/>
        </c:scaling>
        <c:delete val="0"/>
        <c:axPos val="l"/>
        <c:majorGridlines>
          <c:spPr>
            <a:ln w="9525" cap="flat" cmpd="sng" algn="ctr">
              <a:solidFill>
                <a:schemeClr val="dk1">
                  <a:lumMod val="15000"/>
                  <a:lumOff val="85000"/>
                  <a:alpha val="54000"/>
                </a:schemeClr>
              </a:solidFill>
              <a:round/>
            </a:ln>
            <a:effectLst/>
          </c:spPr>
        </c:majorGridlines>
        <c:title>
          <c:tx>
            <c:rich>
              <a:bodyPr rot="-5400000" spcFirstLastPara="1" vertOverflow="ellipsis" vert="horz" wrap="square" anchor="ctr" anchorCtr="1"/>
              <a:lstStyle/>
              <a:p>
                <a:pPr>
                  <a:defRPr lang="uk-UA" sz="900" b="1" i="0" u="none" strike="noStrike" kern="1200" baseline="0">
                    <a:solidFill>
                      <a:schemeClr val="dk1">
                        <a:lumMod val="65000"/>
                        <a:lumOff val="35000"/>
                      </a:schemeClr>
                    </a:solidFill>
                    <a:latin typeface="+mn-lt"/>
                    <a:ea typeface="+mn-ea"/>
                    <a:cs typeface="+mn-cs"/>
                  </a:defRPr>
                </a:pPr>
                <a:r>
                  <a:rPr lang="uk-UA"/>
                  <a:t>Температура, </a:t>
                </a:r>
                <a:r>
                  <a:rPr lang="uk-UA" sz="900" b="1" i="0" u="none" strike="noStrike" baseline="0">
                    <a:effectLst/>
                  </a:rPr>
                  <a:t>°С</a:t>
                </a:r>
                <a:endParaRPr lang="uk-UA"/>
              </a:p>
            </c:rich>
          </c:tx>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uk-UA" sz="900" b="0" i="0" u="none" strike="noStrike" kern="1200" baseline="0">
                <a:solidFill>
                  <a:schemeClr val="dk1">
                    <a:lumMod val="65000"/>
                    <a:lumOff val="35000"/>
                  </a:schemeClr>
                </a:solidFill>
                <a:latin typeface="+mn-lt"/>
                <a:ea typeface="+mn-ea"/>
                <a:cs typeface="+mn-cs"/>
              </a:defRPr>
            </a:pPr>
            <a:endParaRPr lang="ru-RU"/>
          </a:p>
        </c:txPr>
        <c:crossAx val="241476608"/>
        <c:crosses val="autoZero"/>
        <c:crossBetween val="between"/>
      </c:valAx>
      <c:serAx>
        <c:axId val="174376192"/>
        <c:scaling>
          <c:orientation val="minMax"/>
        </c:scaling>
        <c:delete val="0"/>
        <c:axPos val="b"/>
        <c:majorTickMark val="out"/>
        <c:minorTickMark val="none"/>
        <c:tickLblPos val="nextTo"/>
        <c:spPr>
          <a:noFill/>
          <a:ln>
            <a:noFill/>
          </a:ln>
          <a:effectLst/>
        </c:spPr>
        <c:txPr>
          <a:bodyPr rot="-60000000" spcFirstLastPara="1" vertOverflow="ellipsis" vert="horz" wrap="square" anchor="ctr" anchorCtr="1"/>
          <a:lstStyle/>
          <a:p>
            <a:pPr>
              <a:defRPr lang="uk-UA" sz="900" b="0" i="0" u="none" strike="noStrike" kern="1200" baseline="0">
                <a:solidFill>
                  <a:schemeClr val="dk1">
                    <a:lumMod val="65000"/>
                    <a:lumOff val="35000"/>
                  </a:schemeClr>
                </a:solidFill>
                <a:latin typeface="+mn-lt"/>
                <a:ea typeface="+mn-ea"/>
                <a:cs typeface="+mn-cs"/>
              </a:defRPr>
            </a:pPr>
            <a:endParaRPr lang="ru-RU"/>
          </a:p>
        </c:txPr>
        <c:crossAx val="129152064"/>
        <c:crosses val="autoZero"/>
      </c:serAx>
      <c:dTable>
        <c:showHorzBorder val="1"/>
        <c:showVertBorder val="1"/>
        <c:showOutline val="1"/>
        <c:showKeys val="1"/>
        <c:spPr>
          <a:noFill/>
          <a:ln w="9525" cap="flat" cmpd="sng" algn="ctr">
            <a:solidFill>
              <a:schemeClr val="dk1">
                <a:lumMod val="15000"/>
                <a:lumOff val="85000"/>
              </a:schemeClr>
            </a:solidFill>
            <a:round/>
          </a:ln>
          <a:effectLst/>
        </c:spPr>
        <c:txPr>
          <a:bodyPr rot="0" spcFirstLastPara="1" vertOverflow="ellipsis" vert="horz" wrap="square" anchor="ctr" anchorCtr="1"/>
          <a:lstStyle/>
          <a:p>
            <a:pPr rtl="0">
              <a:defRPr lang="uk-UA" sz="800" b="0" i="0" u="none" strike="noStrike" kern="1200" baseline="0">
                <a:solidFill>
                  <a:schemeClr val="dk1">
                    <a:lumMod val="65000"/>
                    <a:lumOff val="35000"/>
                  </a:schemeClr>
                </a:solidFill>
                <a:latin typeface="+mn-lt"/>
                <a:ea typeface="+mn-ea"/>
                <a:cs typeface="+mn-cs"/>
              </a:defRPr>
            </a:pPr>
            <a:endParaRPr lang="ru-RU"/>
          </a:p>
        </c:txPr>
      </c:dTable>
      <c:spPr>
        <a:solidFill>
          <a:schemeClr val="lt1"/>
        </a:solidFill>
        <a:ln>
          <a:noFill/>
        </a:ln>
        <a:effectLst/>
      </c:spPr>
    </c:plotArea>
    <c:legend>
      <c:legendPos val="b"/>
      <c:overlay val="0"/>
      <c:spPr>
        <a:noFill/>
        <a:ln>
          <a:noFill/>
        </a:ln>
        <a:effectLst/>
      </c:spPr>
      <c:txPr>
        <a:bodyPr rot="0" spcFirstLastPara="1" vertOverflow="ellipsis" vert="horz" wrap="square" anchor="ctr" anchorCtr="1"/>
        <a:lstStyle/>
        <a:p>
          <a:pPr>
            <a:defRPr lang="uk-UA" sz="900" b="0" i="0" u="none" strike="noStrike" kern="1200" baseline="0">
              <a:solidFill>
                <a:schemeClr val="dk1">
                  <a:lumMod val="65000"/>
                  <a:lumOff val="35000"/>
                </a:schemeClr>
              </a:solidFill>
              <a:latin typeface="+mn-lt"/>
              <a:ea typeface="+mn-ea"/>
              <a:cs typeface="+mn-cs"/>
            </a:defRPr>
          </a:pPr>
          <a:endParaRPr lang="ru-RU"/>
        </a:p>
      </c:txPr>
    </c:legend>
    <c:plotVisOnly val="1"/>
    <c:dispBlanksAs val="gap"/>
    <c:showDLblsOverMax val="0"/>
  </c:chart>
  <c:spPr>
    <a:solidFill>
      <a:schemeClr val="lt1"/>
    </a:solidFill>
    <a:ln w="9525" cap="flat" cmpd="sng" algn="ctr">
      <a:solidFill>
        <a:schemeClr val="dk1">
          <a:lumMod val="15000"/>
          <a:lumOff val="85000"/>
        </a:schemeClr>
      </a:solidFill>
      <a:round/>
    </a:ln>
    <a:effectLst/>
  </c:spPr>
  <c:txPr>
    <a:bodyPr/>
    <a:lstStyle/>
    <a:p>
      <a:pPr>
        <a:defRPr/>
      </a:pPr>
      <a:endParaRPr lang="ru-RU"/>
    </a:p>
  </c:txPr>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1"/>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0"/>
      <c:rotY val="0"/>
      <c:rAngAx val="1"/>
    </c:view3D>
    <c:floor>
      <c:thickness val="0"/>
    </c:floor>
    <c:sideWall>
      <c:thickness val="0"/>
    </c:sideWall>
    <c:backWall>
      <c:thickness val="0"/>
    </c:backWall>
    <c:plotArea>
      <c:layout/>
      <c:bar3DChart>
        <c:barDir val="col"/>
        <c:grouping val="clustered"/>
        <c:varyColors val="1"/>
        <c:ser>
          <c:idx val="0"/>
          <c:order val="0"/>
          <c:tx>
            <c:strRef>
              <c:f>Лист2!$D$172</c:f>
              <c:strCache>
                <c:ptCount val="1"/>
                <c:pt idx="0">
                  <c:v>3 група</c:v>
                </c:pt>
              </c:strCache>
            </c:strRef>
          </c:tx>
          <c:spPr>
            <a:solidFill>
              <a:srgbClr val="00B0F0"/>
            </a:solidFill>
          </c:spPr>
          <c:invertIfNegative val="1"/>
          <c:dLbls>
            <c:dLbl>
              <c:idx val="0"/>
              <c:layout>
                <c:manualLayout>
                  <c:x val="5.5741360089186176E-2"/>
                  <c:y val="0"/>
                </c:manualLayout>
              </c:layout>
              <c:showLegendKey val="1"/>
              <c:showVal val="1"/>
              <c:showCatName val="1"/>
              <c:showSerName val="1"/>
              <c:showPercent val="1"/>
              <c:showBubbleSize val="1"/>
              <c:extLst>
                <c:ext xmlns:c15="http://schemas.microsoft.com/office/drawing/2012/chart" uri="{CE6537A1-D6FC-4f65-9D91-7224C49458BB}"/>
                <c:ext xmlns:c16="http://schemas.microsoft.com/office/drawing/2014/chart" uri="{C3380CC4-5D6E-409C-BE32-E72D297353CC}">
                  <c16:uniqueId val="{00000000-A727-4342-983D-D00C20ED5E71}"/>
                </c:ext>
              </c:extLst>
            </c:dLbl>
            <c:dLbl>
              <c:idx val="1"/>
              <c:layout>
                <c:manualLayout>
                  <c:x val="5.5741360089186176E-2"/>
                  <c:y val="-0.14432989690721648"/>
                </c:manualLayout>
              </c:layout>
              <c:showLegendKey val="1"/>
              <c:showVal val="1"/>
              <c:showCatName val="1"/>
              <c:showSerName val="1"/>
              <c:showPercent val="1"/>
              <c:showBubbleSize val="1"/>
              <c:extLst>
                <c:ext xmlns:c15="http://schemas.microsoft.com/office/drawing/2012/chart" uri="{CE6537A1-D6FC-4f65-9D91-7224C49458BB}"/>
                <c:ext xmlns:c16="http://schemas.microsoft.com/office/drawing/2014/chart" uri="{C3380CC4-5D6E-409C-BE32-E72D297353CC}">
                  <c16:uniqueId val="{00000001-A727-4342-983D-D00C20ED5E71}"/>
                </c:ext>
              </c:extLst>
            </c:dLbl>
            <c:dLbl>
              <c:idx val="2"/>
              <c:layout>
                <c:manualLayout>
                  <c:x val="4.4593088071349006E-2"/>
                  <c:y val="-0.23024082041291241"/>
                </c:manualLayout>
              </c:layout>
              <c:showLegendKey val="1"/>
              <c:showVal val="1"/>
              <c:showCatName val="1"/>
              <c:showSerName val="1"/>
              <c:showPercent val="1"/>
              <c:showBubbleSize val="1"/>
              <c:extLst>
                <c:ext xmlns:c15="http://schemas.microsoft.com/office/drawing/2012/chart" uri="{CE6537A1-D6FC-4f65-9D91-7224C49458BB}"/>
                <c:ext xmlns:c16="http://schemas.microsoft.com/office/drawing/2014/chart" uri="{C3380CC4-5D6E-409C-BE32-E72D297353CC}">
                  <c16:uniqueId val="{00000002-A727-4342-983D-D00C20ED5E71}"/>
                </c:ext>
              </c:extLst>
            </c:dLbl>
            <c:dLbl>
              <c:idx val="3"/>
              <c:layout>
                <c:manualLayout>
                  <c:x val="8.918617614269804E-2"/>
                  <c:y val="-0.13745704467353953"/>
                </c:manualLayout>
              </c:layout>
              <c:showLegendKey val="1"/>
              <c:showVal val="1"/>
              <c:showCatName val="1"/>
              <c:showSerName val="1"/>
              <c:showPercent val="1"/>
              <c:showBubbleSize val="1"/>
              <c:extLst>
                <c:ext xmlns:c15="http://schemas.microsoft.com/office/drawing/2012/chart" uri="{CE6537A1-D6FC-4f65-9D91-7224C49458BB}"/>
                <c:ext xmlns:c16="http://schemas.microsoft.com/office/drawing/2014/chart" uri="{C3380CC4-5D6E-409C-BE32-E72D297353CC}">
                  <c16:uniqueId val="{00000003-A727-4342-983D-D00C20ED5E71}"/>
                </c:ext>
              </c:extLst>
            </c:dLbl>
            <c:spPr>
              <a:noFill/>
              <a:ln>
                <a:noFill/>
              </a:ln>
              <a:effectLst/>
            </c:spPr>
            <c:txPr>
              <a:bodyPr/>
              <a:lstStyle/>
              <a:p>
                <a:pPr>
                  <a:defRPr lang="uk-UA" sz="1200" b="0">
                    <a:solidFill>
                      <a:sysClr val="windowText" lastClr="000000"/>
                    </a:solidFill>
                  </a:defRPr>
                </a:pPr>
                <a:endParaRPr lang="ru-RU"/>
              </a:p>
            </c:txPr>
            <c:showLegendKey val="1"/>
            <c:showVal val="1"/>
            <c:showCatName val="1"/>
            <c:showSerName val="1"/>
            <c:showPercent val="1"/>
            <c:showBubbleSize val="1"/>
            <c:showLeaderLines val="0"/>
            <c:extLst>
              <c:ext xmlns:c15="http://schemas.microsoft.com/office/drawing/2012/chart" uri="{CE6537A1-D6FC-4f65-9D91-7224C49458BB}">
                <c15:showLeaderLines val="0"/>
              </c:ext>
            </c:extLst>
          </c:dLbls>
          <c:cat>
            <c:strRef>
              <c:f>Лист2!$C$173:$C$176</c:f>
              <c:strCache>
                <c:ptCount val="4"/>
                <c:pt idx="0">
                  <c:v>3 міс</c:v>
                </c:pt>
                <c:pt idx="1">
                  <c:v>6 міс</c:v>
                </c:pt>
                <c:pt idx="2">
                  <c:v>9 міс</c:v>
                </c:pt>
                <c:pt idx="3">
                  <c:v>12 міс</c:v>
                </c:pt>
              </c:strCache>
            </c:strRef>
          </c:cat>
          <c:val>
            <c:numRef>
              <c:f>Лист2!$D$173:$D$176</c:f>
              <c:numCache>
                <c:formatCode>General</c:formatCode>
                <c:ptCount val="4"/>
                <c:pt idx="0">
                  <c:v>29.9</c:v>
                </c:pt>
                <c:pt idx="1">
                  <c:v>20.100000000000001</c:v>
                </c:pt>
                <c:pt idx="2">
                  <c:v>17.100000000000001</c:v>
                </c:pt>
                <c:pt idx="3">
                  <c:v>14.9</c:v>
                </c:pt>
              </c:numCache>
            </c:numRef>
          </c:val>
          <c:extLst>
            <c:ext xmlns:c14="http://schemas.microsoft.com/office/drawing/2007/8/2/chart" uri="{6F2FDCE9-48DA-4B69-8628-5D25D57E5C99}">
              <c14:invertSolidFillFmt>
                <c14:spPr xmlns:c14="http://schemas.microsoft.com/office/drawing/2007/8/2/chart">
                  <a:solidFill>
                    <a:srgbClr val="FFFFFF"/>
                  </a:solidFill>
                </c14:spPr>
              </c14:invertSolidFillFmt>
            </c:ext>
            <c:ext xmlns:c16="http://schemas.microsoft.com/office/drawing/2014/chart" uri="{C3380CC4-5D6E-409C-BE32-E72D297353CC}">
              <c16:uniqueId val="{00000004-A727-4342-983D-D00C20ED5E71}"/>
            </c:ext>
          </c:extLst>
        </c:ser>
        <c:ser>
          <c:idx val="1"/>
          <c:order val="1"/>
          <c:tx>
            <c:strRef>
              <c:f>Лист2!$E$172</c:f>
              <c:strCache>
                <c:ptCount val="1"/>
                <c:pt idx="0">
                  <c:v>1 група</c:v>
                </c:pt>
              </c:strCache>
            </c:strRef>
          </c:tx>
          <c:spPr>
            <a:solidFill>
              <a:srgbClr val="FF0000"/>
            </a:solidFill>
          </c:spPr>
          <c:invertIfNegative val="1"/>
          <c:dLbls>
            <c:dLbl>
              <c:idx val="0"/>
              <c:layout>
                <c:manualLayout>
                  <c:x val="1.2956398844793231E-2"/>
                  <c:y val="-8.5910652920962227E-2"/>
                </c:manualLayout>
              </c:layout>
              <c:showLegendKey val="1"/>
              <c:showVal val="1"/>
              <c:showCatName val="1"/>
              <c:showSerName val="1"/>
              <c:showPercent val="1"/>
              <c:showBubbleSize val="1"/>
              <c:extLst>
                <c:ext xmlns:c15="http://schemas.microsoft.com/office/drawing/2012/chart" uri="{CE6537A1-D6FC-4f65-9D91-7224C49458BB}"/>
                <c:ext xmlns:c16="http://schemas.microsoft.com/office/drawing/2014/chart" uri="{C3380CC4-5D6E-409C-BE32-E72D297353CC}">
                  <c16:uniqueId val="{00000005-A727-4342-983D-D00C20ED5E71}"/>
                </c:ext>
              </c:extLst>
            </c:dLbl>
            <c:dLbl>
              <c:idx val="1"/>
              <c:layout>
                <c:manualLayout>
                  <c:x val="-4.8808363837463484E-3"/>
                  <c:y val="-9.2783505154639206E-2"/>
                </c:manualLayout>
              </c:layout>
              <c:showLegendKey val="1"/>
              <c:showVal val="1"/>
              <c:showCatName val="1"/>
              <c:showSerName val="1"/>
              <c:showPercent val="1"/>
              <c:showBubbleSize val="1"/>
              <c:extLst>
                <c:ext xmlns:c15="http://schemas.microsoft.com/office/drawing/2012/chart" uri="{CE6537A1-D6FC-4f65-9D91-7224C49458BB}"/>
                <c:ext xmlns:c16="http://schemas.microsoft.com/office/drawing/2014/chart" uri="{C3380CC4-5D6E-409C-BE32-E72D297353CC}">
                  <c16:uniqueId val="{00000006-A727-4342-983D-D00C20ED5E71}"/>
                </c:ext>
              </c:extLst>
            </c:dLbl>
            <c:dLbl>
              <c:idx val="2"/>
              <c:layout>
                <c:manualLayout>
                  <c:x val="-1.0665823962640123E-2"/>
                  <c:y val="-0.17211353735422263"/>
                </c:manualLayout>
              </c:layout>
              <c:showLegendKey val="1"/>
              <c:showVal val="1"/>
              <c:showCatName val="1"/>
              <c:showSerName val="1"/>
              <c:showPercent val="1"/>
              <c:showBubbleSize val="1"/>
              <c:extLst>
                <c:ext xmlns:c15="http://schemas.microsoft.com/office/drawing/2012/chart" uri="{CE6537A1-D6FC-4f65-9D91-7224C49458BB}"/>
                <c:ext xmlns:c16="http://schemas.microsoft.com/office/drawing/2014/chart" uri="{C3380CC4-5D6E-409C-BE32-E72D297353CC}">
                  <c16:uniqueId val="{00000007-A727-4342-983D-D00C20ED5E71}"/>
                </c:ext>
              </c:extLst>
            </c:dLbl>
            <c:dLbl>
              <c:idx val="3"/>
              <c:layout>
                <c:manualLayout>
                  <c:x val="3.8145173324906294E-2"/>
                  <c:y val="-6.4999864707633193E-2"/>
                </c:manualLayout>
              </c:layout>
              <c:showLegendKey val="1"/>
              <c:showVal val="1"/>
              <c:showCatName val="1"/>
              <c:showSerName val="1"/>
              <c:showPercent val="1"/>
              <c:showBubbleSize val="1"/>
              <c:extLst>
                <c:ext xmlns:c15="http://schemas.microsoft.com/office/drawing/2012/chart" uri="{CE6537A1-D6FC-4f65-9D91-7224C49458BB}"/>
                <c:ext xmlns:c16="http://schemas.microsoft.com/office/drawing/2014/chart" uri="{C3380CC4-5D6E-409C-BE32-E72D297353CC}">
                  <c16:uniqueId val="{00000008-A727-4342-983D-D00C20ED5E71}"/>
                </c:ext>
              </c:extLst>
            </c:dLbl>
            <c:spPr>
              <a:noFill/>
              <a:ln>
                <a:noFill/>
              </a:ln>
              <a:effectLst/>
            </c:spPr>
            <c:txPr>
              <a:bodyPr/>
              <a:lstStyle/>
              <a:p>
                <a:pPr>
                  <a:defRPr lang="uk-UA" sz="1200" b="0">
                    <a:solidFill>
                      <a:sysClr val="windowText" lastClr="000000"/>
                    </a:solidFill>
                  </a:defRPr>
                </a:pPr>
                <a:endParaRPr lang="ru-RU"/>
              </a:p>
            </c:txPr>
            <c:showLegendKey val="1"/>
            <c:showVal val="1"/>
            <c:showCatName val="1"/>
            <c:showSerName val="1"/>
            <c:showPercent val="1"/>
            <c:showBubbleSize val="1"/>
            <c:showLeaderLines val="0"/>
            <c:extLst>
              <c:ext xmlns:c15="http://schemas.microsoft.com/office/drawing/2012/chart" uri="{CE6537A1-D6FC-4f65-9D91-7224C49458BB}">
                <c15:showLeaderLines val="0"/>
              </c:ext>
            </c:extLst>
          </c:dLbls>
          <c:cat>
            <c:strRef>
              <c:f>Лист2!$C$173:$C$176</c:f>
              <c:strCache>
                <c:ptCount val="4"/>
                <c:pt idx="0">
                  <c:v>3 міс</c:v>
                </c:pt>
                <c:pt idx="1">
                  <c:v>6 міс</c:v>
                </c:pt>
                <c:pt idx="2">
                  <c:v>9 міс</c:v>
                </c:pt>
                <c:pt idx="3">
                  <c:v>12 міс</c:v>
                </c:pt>
              </c:strCache>
            </c:strRef>
          </c:cat>
          <c:val>
            <c:numRef>
              <c:f>Лист2!$E$173:$E$176</c:f>
              <c:numCache>
                <c:formatCode>General</c:formatCode>
                <c:ptCount val="4"/>
                <c:pt idx="0">
                  <c:v>22</c:v>
                </c:pt>
                <c:pt idx="1">
                  <c:v>17.899999999999999</c:v>
                </c:pt>
                <c:pt idx="2">
                  <c:v>15</c:v>
                </c:pt>
                <c:pt idx="3">
                  <c:v>14.4</c:v>
                </c:pt>
              </c:numCache>
            </c:numRef>
          </c:val>
          <c:extLst>
            <c:ext xmlns:c14="http://schemas.microsoft.com/office/drawing/2007/8/2/chart" uri="{6F2FDCE9-48DA-4B69-8628-5D25D57E5C99}">
              <c14:invertSolidFillFmt>
                <c14:spPr xmlns:c14="http://schemas.microsoft.com/office/drawing/2007/8/2/chart">
                  <a:solidFill>
                    <a:srgbClr val="FFFFFF"/>
                  </a:solidFill>
                </c14:spPr>
              </c14:invertSolidFillFmt>
            </c:ext>
            <c:ext xmlns:c16="http://schemas.microsoft.com/office/drawing/2014/chart" uri="{C3380CC4-5D6E-409C-BE32-E72D297353CC}">
              <c16:uniqueId val="{00000009-A727-4342-983D-D00C20ED5E71}"/>
            </c:ext>
          </c:extLst>
        </c:ser>
        <c:ser>
          <c:idx val="2"/>
          <c:order val="2"/>
          <c:tx>
            <c:strRef>
              <c:f>Лист2!$F$172</c:f>
              <c:strCache>
                <c:ptCount val="1"/>
                <c:pt idx="0">
                  <c:v>2 група</c:v>
                </c:pt>
              </c:strCache>
            </c:strRef>
          </c:tx>
          <c:spPr>
            <a:solidFill>
              <a:srgbClr val="00B050"/>
            </a:solidFill>
          </c:spPr>
          <c:invertIfNegative val="1"/>
          <c:dLbls>
            <c:dLbl>
              <c:idx val="0"/>
              <c:layout>
                <c:manualLayout>
                  <c:x val="-4.534607923173483E-2"/>
                  <c:y val="-8.90548475255028E-2"/>
                </c:manualLayout>
              </c:layout>
              <c:showLegendKey val="1"/>
              <c:showVal val="1"/>
              <c:showCatName val="1"/>
              <c:showSerName val="1"/>
              <c:showPercent val="1"/>
              <c:showBubbleSize val="1"/>
              <c:extLst>
                <c:ext xmlns:c15="http://schemas.microsoft.com/office/drawing/2012/chart" uri="{CE6537A1-D6FC-4f65-9D91-7224C49458BB}"/>
                <c:ext xmlns:c16="http://schemas.microsoft.com/office/drawing/2014/chart" uri="{C3380CC4-5D6E-409C-BE32-E72D297353CC}">
                  <c16:uniqueId val="{0000000A-A727-4342-983D-D00C20ED5E71}"/>
                </c:ext>
              </c:extLst>
            </c:dLbl>
            <c:dLbl>
              <c:idx val="1"/>
              <c:layout>
                <c:manualLayout>
                  <c:x val="-5.1041002817791586E-2"/>
                  <c:y val="-7.2164948453608324E-2"/>
                </c:manualLayout>
              </c:layout>
              <c:showLegendKey val="1"/>
              <c:showVal val="1"/>
              <c:showCatName val="1"/>
              <c:showSerName val="1"/>
              <c:showPercent val="1"/>
              <c:showBubbleSize val="1"/>
              <c:extLst>
                <c:ext xmlns:c15="http://schemas.microsoft.com/office/drawing/2012/chart" uri="{CE6537A1-D6FC-4f65-9D91-7224C49458BB}"/>
                <c:ext xmlns:c16="http://schemas.microsoft.com/office/drawing/2014/chart" uri="{C3380CC4-5D6E-409C-BE32-E72D297353CC}">
                  <c16:uniqueId val="{0000000B-A727-4342-983D-D00C20ED5E71}"/>
                </c:ext>
              </c:extLst>
            </c:dLbl>
            <c:dLbl>
              <c:idx val="2"/>
              <c:layout>
                <c:manualLayout>
                  <c:x val="-5.5258912033989062E-2"/>
                  <c:y val="-0.10280055199285655"/>
                </c:manualLayout>
              </c:layout>
              <c:showLegendKey val="1"/>
              <c:showVal val="1"/>
              <c:showCatName val="1"/>
              <c:showSerName val="1"/>
              <c:showPercent val="1"/>
              <c:showBubbleSize val="1"/>
              <c:extLst>
                <c:ext xmlns:c15="http://schemas.microsoft.com/office/drawing/2012/chart" uri="{CE6537A1-D6FC-4f65-9D91-7224C49458BB}"/>
                <c:ext xmlns:c16="http://schemas.microsoft.com/office/drawing/2014/chart" uri="{C3380CC4-5D6E-409C-BE32-E72D297353CC}">
                  <c16:uniqueId val="{0000000C-A727-4342-983D-D00C20ED5E71}"/>
                </c:ext>
              </c:extLst>
            </c:dLbl>
            <c:dLbl>
              <c:idx val="3"/>
              <c:layout>
                <c:manualLayout>
                  <c:x val="0"/>
                  <c:y val="-1.0309278350515465E-2"/>
                </c:manualLayout>
              </c:layout>
              <c:showLegendKey val="1"/>
              <c:showVal val="1"/>
              <c:showCatName val="1"/>
              <c:showSerName val="1"/>
              <c:showPercent val="1"/>
              <c:showBubbleSize val="1"/>
              <c:extLst>
                <c:ext xmlns:c15="http://schemas.microsoft.com/office/drawing/2012/chart" uri="{CE6537A1-D6FC-4f65-9D91-7224C49458BB}"/>
                <c:ext xmlns:c16="http://schemas.microsoft.com/office/drawing/2014/chart" uri="{C3380CC4-5D6E-409C-BE32-E72D297353CC}">
                  <c16:uniqueId val="{0000000D-A727-4342-983D-D00C20ED5E71}"/>
                </c:ext>
              </c:extLst>
            </c:dLbl>
            <c:spPr>
              <a:noFill/>
              <a:ln>
                <a:noFill/>
              </a:ln>
              <a:effectLst/>
            </c:spPr>
            <c:txPr>
              <a:bodyPr/>
              <a:lstStyle/>
              <a:p>
                <a:pPr>
                  <a:defRPr lang="uk-UA" sz="1200" b="0">
                    <a:solidFill>
                      <a:sysClr val="windowText" lastClr="000000"/>
                    </a:solidFill>
                  </a:defRPr>
                </a:pPr>
                <a:endParaRPr lang="ru-RU"/>
              </a:p>
            </c:txPr>
            <c:showLegendKey val="1"/>
            <c:showVal val="1"/>
            <c:showCatName val="1"/>
            <c:showSerName val="1"/>
            <c:showPercent val="1"/>
            <c:showBubbleSize val="1"/>
            <c:showLeaderLines val="0"/>
            <c:extLst>
              <c:ext xmlns:c15="http://schemas.microsoft.com/office/drawing/2012/chart" uri="{CE6537A1-D6FC-4f65-9D91-7224C49458BB}">
                <c15:showLeaderLines val="0"/>
              </c:ext>
            </c:extLst>
          </c:dLbls>
          <c:cat>
            <c:strRef>
              <c:f>Лист2!$C$173:$C$176</c:f>
              <c:strCache>
                <c:ptCount val="4"/>
                <c:pt idx="0">
                  <c:v>3 міс</c:v>
                </c:pt>
                <c:pt idx="1">
                  <c:v>6 міс</c:v>
                </c:pt>
                <c:pt idx="2">
                  <c:v>9 міс</c:v>
                </c:pt>
                <c:pt idx="3">
                  <c:v>12 міс</c:v>
                </c:pt>
              </c:strCache>
            </c:strRef>
          </c:cat>
          <c:val>
            <c:numRef>
              <c:f>Лист2!$F$173:$F$176</c:f>
              <c:numCache>
                <c:formatCode>General</c:formatCode>
                <c:ptCount val="4"/>
                <c:pt idx="0">
                  <c:v>18.100000000000001</c:v>
                </c:pt>
                <c:pt idx="1">
                  <c:v>15.1</c:v>
                </c:pt>
                <c:pt idx="2">
                  <c:v>14</c:v>
                </c:pt>
                <c:pt idx="3">
                  <c:v>13.4</c:v>
                </c:pt>
              </c:numCache>
            </c:numRef>
          </c:val>
          <c:extLst>
            <c:ext xmlns:c14="http://schemas.microsoft.com/office/drawing/2007/8/2/chart" uri="{6F2FDCE9-48DA-4B69-8628-5D25D57E5C99}">
              <c14:invertSolidFillFmt>
                <c14:spPr xmlns:c14="http://schemas.microsoft.com/office/drawing/2007/8/2/chart">
                  <a:solidFill>
                    <a:srgbClr val="FFFFFF"/>
                  </a:solidFill>
                </c14:spPr>
              </c14:invertSolidFillFmt>
            </c:ext>
            <c:ext xmlns:c16="http://schemas.microsoft.com/office/drawing/2014/chart" uri="{C3380CC4-5D6E-409C-BE32-E72D297353CC}">
              <c16:uniqueId val="{0000000E-A727-4342-983D-D00C20ED5E71}"/>
            </c:ext>
          </c:extLst>
        </c:ser>
        <c:dLbls>
          <c:showLegendKey val="0"/>
          <c:showVal val="0"/>
          <c:showCatName val="0"/>
          <c:showSerName val="0"/>
          <c:showPercent val="0"/>
          <c:showBubbleSize val="0"/>
        </c:dLbls>
        <c:gapWidth val="150"/>
        <c:shape val="box"/>
        <c:axId val="218864640"/>
        <c:axId val="129153792"/>
        <c:axId val="0"/>
      </c:bar3DChart>
      <c:catAx>
        <c:axId val="218864640"/>
        <c:scaling>
          <c:orientation val="minMax"/>
        </c:scaling>
        <c:delete val="1"/>
        <c:axPos val="b"/>
        <c:numFmt formatCode="General" sourceLinked="0"/>
        <c:majorTickMark val="none"/>
        <c:minorTickMark val="cross"/>
        <c:tickLblPos val="nextTo"/>
        <c:crossAx val="129153792"/>
        <c:crosses val="autoZero"/>
        <c:auto val="1"/>
        <c:lblAlgn val="ctr"/>
        <c:lblOffset val="100"/>
        <c:noMultiLvlLbl val="1"/>
      </c:catAx>
      <c:valAx>
        <c:axId val="129153792"/>
        <c:scaling>
          <c:orientation val="minMax"/>
        </c:scaling>
        <c:delete val="1"/>
        <c:axPos val="l"/>
        <c:majorGridlines/>
        <c:title>
          <c:tx>
            <c:rich>
              <a:bodyPr/>
              <a:lstStyle/>
              <a:p>
                <a:pPr>
                  <a:defRPr lang="uk-UA"/>
                </a:pPr>
                <a:r>
                  <a:rPr lang="en-US"/>
                  <a:t>%</a:t>
                </a:r>
              </a:p>
            </c:rich>
          </c:tx>
          <c:overlay val="1"/>
        </c:title>
        <c:numFmt formatCode="General" sourceLinked="1"/>
        <c:majorTickMark val="cross"/>
        <c:minorTickMark val="cross"/>
        <c:tickLblPos val="nextTo"/>
        <c:crossAx val="218864640"/>
        <c:crosses val="autoZero"/>
        <c:crossBetween val="between"/>
      </c:valAx>
    </c:plotArea>
    <c:legend>
      <c:legendPos val="r"/>
      <c:layout>
        <c:manualLayout>
          <c:xMode val="edge"/>
          <c:yMode val="edge"/>
          <c:x val="0.87392539334989705"/>
          <c:y val="1.2900242183791892E-3"/>
          <c:w val="0.10600777745591181"/>
          <c:h val="0.18642178748275046"/>
        </c:manualLayout>
      </c:layout>
      <c:overlay val="1"/>
      <c:txPr>
        <a:bodyPr/>
        <a:lstStyle/>
        <a:p>
          <a:pPr>
            <a:defRPr lang="uk-UA"/>
          </a:pPr>
          <a:endParaRPr lang="ru-RU"/>
        </a:p>
      </c:txPr>
    </c:legend>
    <c:plotVisOnly val="1"/>
    <c:dispBlanksAs val="zero"/>
    <c:showDLblsOverMax val="1"/>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1"/>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0"/>
      <c:rotY val="0"/>
      <c:rAngAx val="1"/>
    </c:view3D>
    <c:floor>
      <c:thickness val="0"/>
    </c:floor>
    <c:sideWall>
      <c:thickness val="0"/>
    </c:sideWall>
    <c:backWall>
      <c:thickness val="0"/>
    </c:backWall>
    <c:plotArea>
      <c:layout>
        <c:manualLayout>
          <c:layoutTarget val="inner"/>
          <c:xMode val="edge"/>
          <c:yMode val="edge"/>
          <c:x val="6.904150350190183E-2"/>
          <c:y val="4.7204590497616404E-2"/>
          <c:w val="0.75240571532836475"/>
          <c:h val="0.8675417804917247"/>
        </c:manualLayout>
      </c:layout>
      <c:bar3DChart>
        <c:barDir val="col"/>
        <c:grouping val="clustered"/>
        <c:varyColors val="1"/>
        <c:ser>
          <c:idx val="0"/>
          <c:order val="0"/>
          <c:tx>
            <c:strRef>
              <c:f>Лист2!$D$179</c:f>
              <c:strCache>
                <c:ptCount val="1"/>
                <c:pt idx="0">
                  <c:v>інтактна група</c:v>
                </c:pt>
              </c:strCache>
            </c:strRef>
          </c:tx>
          <c:invertIfNegative val="1"/>
          <c:cat>
            <c:strRef>
              <c:f>Лист2!$C$180:$C$183</c:f>
              <c:strCache>
                <c:ptCount val="4"/>
                <c:pt idx="0">
                  <c:v>3 міс</c:v>
                </c:pt>
                <c:pt idx="1">
                  <c:v>6 міс</c:v>
                </c:pt>
                <c:pt idx="2">
                  <c:v>9 міс</c:v>
                </c:pt>
                <c:pt idx="3">
                  <c:v>12 міс</c:v>
                </c:pt>
              </c:strCache>
            </c:strRef>
          </c:cat>
          <c:val>
            <c:numRef>
              <c:f>Лист2!$D$180:$D$183</c:f>
              <c:numCache>
                <c:formatCode>General</c:formatCode>
                <c:ptCount val="4"/>
                <c:pt idx="0">
                  <c:v>100</c:v>
                </c:pt>
                <c:pt idx="1">
                  <c:v>100</c:v>
                </c:pt>
                <c:pt idx="2">
                  <c:v>100</c:v>
                </c:pt>
                <c:pt idx="3">
                  <c:v>100</c:v>
                </c:pt>
              </c:numCache>
            </c:numRef>
          </c:val>
          <c:extLst>
            <c:ext xmlns:c16="http://schemas.microsoft.com/office/drawing/2014/chart" uri="{C3380CC4-5D6E-409C-BE32-E72D297353CC}">
              <c16:uniqueId val="{00000000-3CBA-42FA-B90B-FA02D68D68E6}"/>
            </c:ext>
          </c:extLst>
        </c:ser>
        <c:ser>
          <c:idx val="1"/>
          <c:order val="1"/>
          <c:tx>
            <c:strRef>
              <c:f>Лист2!$E$179</c:f>
              <c:strCache>
                <c:ptCount val="1"/>
                <c:pt idx="0">
                  <c:v>група порівняння</c:v>
                </c:pt>
              </c:strCache>
            </c:strRef>
          </c:tx>
          <c:spPr>
            <a:solidFill>
              <a:srgbClr val="FF0000"/>
            </a:solidFill>
          </c:spPr>
          <c:invertIfNegative val="1"/>
          <c:dLbls>
            <c:dLbl>
              <c:idx val="0"/>
              <c:tx>
                <c:rich>
                  <a:bodyPr/>
                  <a:lstStyle/>
                  <a:p>
                    <a:r>
                      <a:rPr lang="en-US"/>
                      <a:t>*</a:t>
                    </a:r>
                  </a:p>
                </c:rich>
              </c:tx>
              <c:showLegendKey val="1"/>
              <c:showVal val="1"/>
              <c:showCatName val="1"/>
              <c:showSerName val="1"/>
              <c:showPercent val="1"/>
              <c:showBubbleSize val="1"/>
              <c:extLst>
                <c:ext xmlns:c15="http://schemas.microsoft.com/office/drawing/2012/chart" uri="{CE6537A1-D6FC-4f65-9D91-7224C49458BB}"/>
                <c:ext xmlns:c16="http://schemas.microsoft.com/office/drawing/2014/chart" uri="{C3380CC4-5D6E-409C-BE32-E72D297353CC}">
                  <c16:uniqueId val="{00000001-3CBA-42FA-B90B-FA02D68D68E6}"/>
                </c:ext>
              </c:extLst>
            </c:dLbl>
            <c:dLbl>
              <c:idx val="1"/>
              <c:tx>
                <c:rich>
                  <a:bodyPr/>
                  <a:lstStyle/>
                  <a:p>
                    <a:r>
                      <a:rPr lang="en-US"/>
                      <a:t>*</a:t>
                    </a:r>
                  </a:p>
                </c:rich>
              </c:tx>
              <c:showLegendKey val="1"/>
              <c:showVal val="1"/>
              <c:showCatName val="1"/>
              <c:showSerName val="1"/>
              <c:showPercent val="1"/>
              <c:showBubbleSize val="1"/>
              <c:extLst>
                <c:ext xmlns:c15="http://schemas.microsoft.com/office/drawing/2012/chart" uri="{CE6537A1-D6FC-4f65-9D91-7224C49458BB}"/>
                <c:ext xmlns:c16="http://schemas.microsoft.com/office/drawing/2014/chart" uri="{C3380CC4-5D6E-409C-BE32-E72D297353CC}">
                  <c16:uniqueId val="{00000002-3CBA-42FA-B90B-FA02D68D68E6}"/>
                </c:ext>
              </c:extLst>
            </c:dLbl>
            <c:dLbl>
              <c:idx val="2"/>
              <c:tx>
                <c:rich>
                  <a:bodyPr/>
                  <a:lstStyle/>
                  <a:p>
                    <a:r>
                      <a:rPr lang="en-US"/>
                      <a:t>*</a:t>
                    </a:r>
                  </a:p>
                </c:rich>
              </c:tx>
              <c:showLegendKey val="1"/>
              <c:showVal val="1"/>
              <c:showCatName val="1"/>
              <c:showSerName val="1"/>
              <c:showPercent val="1"/>
              <c:showBubbleSize val="1"/>
              <c:extLst>
                <c:ext xmlns:c15="http://schemas.microsoft.com/office/drawing/2012/chart" uri="{CE6537A1-D6FC-4f65-9D91-7224C49458BB}"/>
                <c:ext xmlns:c16="http://schemas.microsoft.com/office/drawing/2014/chart" uri="{C3380CC4-5D6E-409C-BE32-E72D297353CC}">
                  <c16:uniqueId val="{00000003-3CBA-42FA-B90B-FA02D68D68E6}"/>
                </c:ext>
              </c:extLst>
            </c:dLbl>
            <c:dLbl>
              <c:idx val="3"/>
              <c:tx>
                <c:rich>
                  <a:bodyPr/>
                  <a:lstStyle/>
                  <a:p>
                    <a:r>
                      <a:rPr lang="en-US"/>
                      <a:t>*</a:t>
                    </a:r>
                  </a:p>
                </c:rich>
              </c:tx>
              <c:showLegendKey val="1"/>
              <c:showVal val="1"/>
              <c:showCatName val="1"/>
              <c:showSerName val="1"/>
              <c:showPercent val="1"/>
              <c:showBubbleSize val="1"/>
              <c:extLst>
                <c:ext xmlns:c15="http://schemas.microsoft.com/office/drawing/2012/chart" uri="{CE6537A1-D6FC-4f65-9D91-7224C49458BB}"/>
                <c:ext xmlns:c16="http://schemas.microsoft.com/office/drawing/2014/chart" uri="{C3380CC4-5D6E-409C-BE32-E72D297353CC}">
                  <c16:uniqueId val="{00000004-3CBA-42FA-B90B-FA02D68D68E6}"/>
                </c:ext>
              </c:extLst>
            </c:dLbl>
            <c:spPr>
              <a:noFill/>
              <a:ln>
                <a:noFill/>
              </a:ln>
              <a:effectLst/>
            </c:spPr>
            <c:txPr>
              <a:bodyPr/>
              <a:lstStyle/>
              <a:p>
                <a:pPr>
                  <a:defRPr lang="uk-UA"/>
                </a:pPr>
                <a:endParaRPr lang="ru-RU"/>
              </a:p>
            </c:txPr>
            <c:showLegendKey val="1"/>
            <c:showVal val="1"/>
            <c:showCatName val="1"/>
            <c:showSerName val="1"/>
            <c:showPercent val="1"/>
            <c:showBubbleSize val="1"/>
            <c:showLeaderLines val="0"/>
            <c:extLst>
              <c:ext xmlns:c15="http://schemas.microsoft.com/office/drawing/2012/chart" uri="{CE6537A1-D6FC-4f65-9D91-7224C49458BB}">
                <c15:showLeaderLines val="0"/>
              </c:ext>
            </c:extLst>
          </c:dLbls>
          <c:cat>
            <c:strRef>
              <c:f>Лист2!$C$180:$C$183</c:f>
              <c:strCache>
                <c:ptCount val="4"/>
                <c:pt idx="0">
                  <c:v>3 міс</c:v>
                </c:pt>
                <c:pt idx="1">
                  <c:v>6 міс</c:v>
                </c:pt>
                <c:pt idx="2">
                  <c:v>9 міс</c:v>
                </c:pt>
                <c:pt idx="3">
                  <c:v>12 міс</c:v>
                </c:pt>
              </c:strCache>
            </c:strRef>
          </c:cat>
          <c:val>
            <c:numRef>
              <c:f>Лист2!$E$180:$E$183</c:f>
              <c:numCache>
                <c:formatCode>General</c:formatCode>
                <c:ptCount val="4"/>
                <c:pt idx="0">
                  <c:v>219.7</c:v>
                </c:pt>
                <c:pt idx="1">
                  <c:v>147.6</c:v>
                </c:pt>
                <c:pt idx="2">
                  <c:v>125.4</c:v>
                </c:pt>
                <c:pt idx="3">
                  <c:v>109.4</c:v>
                </c:pt>
              </c:numCache>
            </c:numRef>
          </c:val>
          <c:extLst>
            <c:ext xmlns:c14="http://schemas.microsoft.com/office/drawing/2007/8/2/chart" uri="{6F2FDCE9-48DA-4B69-8628-5D25D57E5C99}">
              <c14:invertSolidFillFmt>
                <c14:spPr xmlns:c14="http://schemas.microsoft.com/office/drawing/2007/8/2/chart">
                  <a:solidFill>
                    <a:srgbClr val="FFFFFF"/>
                  </a:solidFill>
                </c14:spPr>
              </c14:invertSolidFillFmt>
            </c:ext>
            <c:ext xmlns:c16="http://schemas.microsoft.com/office/drawing/2014/chart" uri="{C3380CC4-5D6E-409C-BE32-E72D297353CC}">
              <c16:uniqueId val="{00000005-3CBA-42FA-B90B-FA02D68D68E6}"/>
            </c:ext>
          </c:extLst>
        </c:ser>
        <c:ser>
          <c:idx val="2"/>
          <c:order val="2"/>
          <c:tx>
            <c:strRef>
              <c:f>Лист2!$F$179</c:f>
              <c:strCache>
                <c:ptCount val="1"/>
                <c:pt idx="0">
                  <c:v>PRF-згусток</c:v>
                </c:pt>
              </c:strCache>
            </c:strRef>
          </c:tx>
          <c:spPr>
            <a:solidFill>
              <a:srgbClr val="00B050"/>
            </a:solidFill>
          </c:spPr>
          <c:invertIfNegative val="1"/>
          <c:dLbls>
            <c:dLbl>
              <c:idx val="0"/>
              <c:layout>
                <c:manualLayout>
                  <c:x val="2.0053475935828881E-2"/>
                  <c:y val="8.5034013605442566E-3"/>
                </c:manualLayout>
              </c:layout>
              <c:tx>
                <c:rich>
                  <a:bodyPr/>
                  <a:lstStyle/>
                  <a:p>
                    <a:r>
                      <a:rPr lang="en-US"/>
                      <a:t>*</a:t>
                    </a:r>
                  </a:p>
                </c:rich>
              </c:tx>
              <c:showLegendKey val="1"/>
              <c:showVal val="1"/>
              <c:showCatName val="1"/>
              <c:showSerName val="1"/>
              <c:showPercent val="1"/>
              <c:showBubbleSize val="1"/>
              <c:extLst>
                <c:ext xmlns:c15="http://schemas.microsoft.com/office/drawing/2012/chart" uri="{CE6537A1-D6FC-4f65-9D91-7224C49458BB}"/>
                <c:ext xmlns:c16="http://schemas.microsoft.com/office/drawing/2014/chart" uri="{C3380CC4-5D6E-409C-BE32-E72D297353CC}">
                  <c16:uniqueId val="{00000006-3CBA-42FA-B90B-FA02D68D68E6}"/>
                </c:ext>
              </c:extLst>
            </c:dLbl>
            <c:dLbl>
              <c:idx val="1"/>
              <c:layout>
                <c:manualLayout>
                  <c:x val="1.3368983957219251E-2"/>
                  <c:y val="0"/>
                </c:manualLayout>
              </c:layout>
              <c:tx>
                <c:rich>
                  <a:bodyPr/>
                  <a:lstStyle/>
                  <a:p>
                    <a:r>
                      <a:rPr lang="en-US"/>
                      <a:t>*</a:t>
                    </a:r>
                  </a:p>
                </c:rich>
              </c:tx>
              <c:showLegendKey val="1"/>
              <c:showVal val="1"/>
              <c:showCatName val="1"/>
              <c:showSerName val="1"/>
              <c:showPercent val="1"/>
              <c:showBubbleSize val="1"/>
              <c:extLst>
                <c:ext xmlns:c15="http://schemas.microsoft.com/office/drawing/2012/chart" uri="{CE6537A1-D6FC-4f65-9D91-7224C49458BB}"/>
                <c:ext xmlns:c16="http://schemas.microsoft.com/office/drawing/2014/chart" uri="{C3380CC4-5D6E-409C-BE32-E72D297353CC}">
                  <c16:uniqueId val="{00000007-3CBA-42FA-B90B-FA02D68D68E6}"/>
                </c:ext>
              </c:extLst>
            </c:dLbl>
            <c:dLbl>
              <c:idx val="2"/>
              <c:layout>
                <c:manualLayout>
                  <c:x val="1.7825311942959002E-2"/>
                  <c:y val="0"/>
                </c:manualLayout>
              </c:layout>
              <c:tx>
                <c:rich>
                  <a:bodyPr/>
                  <a:lstStyle/>
                  <a:p>
                    <a:r>
                      <a:rPr lang="en-US"/>
                      <a:t>*</a:t>
                    </a:r>
                  </a:p>
                </c:rich>
              </c:tx>
              <c:showLegendKey val="1"/>
              <c:showVal val="1"/>
              <c:showCatName val="1"/>
              <c:showSerName val="1"/>
              <c:showPercent val="1"/>
              <c:showBubbleSize val="1"/>
              <c:extLst>
                <c:ext xmlns:c15="http://schemas.microsoft.com/office/drawing/2012/chart" uri="{CE6537A1-D6FC-4f65-9D91-7224C49458BB}"/>
                <c:ext xmlns:c16="http://schemas.microsoft.com/office/drawing/2014/chart" uri="{C3380CC4-5D6E-409C-BE32-E72D297353CC}">
                  <c16:uniqueId val="{00000008-3CBA-42FA-B90B-FA02D68D68E6}"/>
                </c:ext>
              </c:extLst>
            </c:dLbl>
            <c:dLbl>
              <c:idx val="3"/>
              <c:delete val="1"/>
              <c:extLst>
                <c:ext xmlns:c15="http://schemas.microsoft.com/office/drawing/2012/chart" uri="{CE6537A1-D6FC-4f65-9D91-7224C49458BB}"/>
                <c:ext xmlns:c16="http://schemas.microsoft.com/office/drawing/2014/chart" uri="{C3380CC4-5D6E-409C-BE32-E72D297353CC}">
                  <c16:uniqueId val="{00000009-3CBA-42FA-B90B-FA02D68D68E6}"/>
                </c:ext>
              </c:extLst>
            </c:dLbl>
            <c:spPr>
              <a:noFill/>
              <a:ln>
                <a:noFill/>
              </a:ln>
              <a:effectLst/>
            </c:spPr>
            <c:txPr>
              <a:bodyPr/>
              <a:lstStyle/>
              <a:p>
                <a:pPr>
                  <a:defRPr lang="uk-UA"/>
                </a:pPr>
                <a:endParaRPr lang="ru-RU"/>
              </a:p>
            </c:txPr>
            <c:showLegendKey val="1"/>
            <c:showVal val="1"/>
            <c:showCatName val="1"/>
            <c:showSerName val="1"/>
            <c:showPercent val="1"/>
            <c:showBubbleSize val="1"/>
            <c:showLeaderLines val="0"/>
            <c:extLst>
              <c:ext xmlns:c15="http://schemas.microsoft.com/office/drawing/2012/chart" uri="{CE6537A1-D6FC-4f65-9D91-7224C49458BB}">
                <c15:showLeaderLines val="0"/>
              </c:ext>
            </c:extLst>
          </c:dLbls>
          <c:cat>
            <c:strRef>
              <c:f>Лист2!$C$180:$C$183</c:f>
              <c:strCache>
                <c:ptCount val="4"/>
                <c:pt idx="0">
                  <c:v>3 міс</c:v>
                </c:pt>
                <c:pt idx="1">
                  <c:v>6 міс</c:v>
                </c:pt>
                <c:pt idx="2">
                  <c:v>9 міс</c:v>
                </c:pt>
                <c:pt idx="3">
                  <c:v>12 міс</c:v>
                </c:pt>
              </c:strCache>
            </c:strRef>
          </c:cat>
          <c:val>
            <c:numRef>
              <c:f>Лист2!$F$180:$F$183</c:f>
              <c:numCache>
                <c:formatCode>General</c:formatCode>
                <c:ptCount val="4"/>
                <c:pt idx="0">
                  <c:v>161.30000000000001</c:v>
                </c:pt>
                <c:pt idx="1">
                  <c:v>131.5</c:v>
                </c:pt>
                <c:pt idx="2">
                  <c:v>110.2</c:v>
                </c:pt>
                <c:pt idx="3">
                  <c:v>105.5</c:v>
                </c:pt>
              </c:numCache>
            </c:numRef>
          </c:val>
          <c:extLst>
            <c:ext xmlns:c14="http://schemas.microsoft.com/office/drawing/2007/8/2/chart" uri="{6F2FDCE9-48DA-4B69-8628-5D25D57E5C99}">
              <c14:invertSolidFillFmt>
                <c14:spPr xmlns:c14="http://schemas.microsoft.com/office/drawing/2007/8/2/chart">
                  <a:solidFill>
                    <a:srgbClr val="FFFFFF"/>
                  </a:solidFill>
                </c14:spPr>
              </c14:invertSolidFillFmt>
            </c:ext>
            <c:ext xmlns:c16="http://schemas.microsoft.com/office/drawing/2014/chart" uri="{C3380CC4-5D6E-409C-BE32-E72D297353CC}">
              <c16:uniqueId val="{0000000A-3CBA-42FA-B90B-FA02D68D68E6}"/>
            </c:ext>
          </c:extLst>
        </c:ser>
        <c:ser>
          <c:idx val="3"/>
          <c:order val="3"/>
          <c:tx>
            <c:strRef>
              <c:f>Лист2!$G$179</c:f>
              <c:strCache>
                <c:ptCount val="1"/>
                <c:pt idx="0">
                  <c:v>PRF-згусток і Біоцерулін</c:v>
                </c:pt>
              </c:strCache>
            </c:strRef>
          </c:tx>
          <c:spPr>
            <a:solidFill>
              <a:srgbClr val="FFFF00"/>
            </a:solidFill>
          </c:spPr>
          <c:invertIfNegative val="1"/>
          <c:dLbls>
            <c:dLbl>
              <c:idx val="0"/>
              <c:layout>
                <c:manualLayout>
                  <c:x val="8.9126559714795047E-3"/>
                  <c:y val="4.2517006802721439E-3"/>
                </c:manualLayout>
              </c:layout>
              <c:tx>
                <c:rich>
                  <a:bodyPr/>
                  <a:lstStyle/>
                  <a:p>
                    <a:r>
                      <a:rPr lang="en-US"/>
                      <a:t>*</a:t>
                    </a:r>
                  </a:p>
                </c:rich>
              </c:tx>
              <c:showLegendKey val="1"/>
              <c:showVal val="1"/>
              <c:showCatName val="1"/>
              <c:showSerName val="1"/>
              <c:showPercent val="1"/>
              <c:showBubbleSize val="1"/>
              <c:extLst>
                <c:ext xmlns:c15="http://schemas.microsoft.com/office/drawing/2012/chart" uri="{CE6537A1-D6FC-4f65-9D91-7224C49458BB}"/>
                <c:ext xmlns:c16="http://schemas.microsoft.com/office/drawing/2014/chart" uri="{C3380CC4-5D6E-409C-BE32-E72D297353CC}">
                  <c16:uniqueId val="{0000000B-3CBA-42FA-B90B-FA02D68D68E6}"/>
                </c:ext>
              </c:extLst>
            </c:dLbl>
            <c:dLbl>
              <c:idx val="1"/>
              <c:layout>
                <c:manualLayout>
                  <c:x val="8.9126559714795047E-3"/>
                  <c:y val="0"/>
                </c:manualLayout>
              </c:layout>
              <c:tx>
                <c:rich>
                  <a:bodyPr/>
                  <a:lstStyle/>
                  <a:p>
                    <a:r>
                      <a:rPr lang="en-US"/>
                      <a:t>*</a:t>
                    </a:r>
                  </a:p>
                </c:rich>
              </c:tx>
              <c:showLegendKey val="1"/>
              <c:showVal val="1"/>
              <c:showCatName val="1"/>
              <c:showSerName val="1"/>
              <c:showPercent val="1"/>
              <c:showBubbleSize val="1"/>
              <c:extLst>
                <c:ext xmlns:c15="http://schemas.microsoft.com/office/drawing/2012/chart" uri="{CE6537A1-D6FC-4f65-9D91-7224C49458BB}"/>
                <c:ext xmlns:c16="http://schemas.microsoft.com/office/drawing/2014/chart" uri="{C3380CC4-5D6E-409C-BE32-E72D297353CC}">
                  <c16:uniqueId val="{0000000C-3CBA-42FA-B90B-FA02D68D68E6}"/>
                </c:ext>
              </c:extLst>
            </c:dLbl>
            <c:dLbl>
              <c:idx val="2"/>
              <c:delete val="1"/>
              <c:extLst>
                <c:ext xmlns:c15="http://schemas.microsoft.com/office/drawing/2012/chart" uri="{CE6537A1-D6FC-4f65-9D91-7224C49458BB}"/>
                <c:ext xmlns:c16="http://schemas.microsoft.com/office/drawing/2014/chart" uri="{C3380CC4-5D6E-409C-BE32-E72D297353CC}">
                  <c16:uniqueId val="{0000000D-3CBA-42FA-B90B-FA02D68D68E6}"/>
                </c:ext>
              </c:extLst>
            </c:dLbl>
            <c:dLbl>
              <c:idx val="3"/>
              <c:delete val="1"/>
              <c:extLst>
                <c:ext xmlns:c15="http://schemas.microsoft.com/office/drawing/2012/chart" uri="{CE6537A1-D6FC-4f65-9D91-7224C49458BB}"/>
                <c:ext xmlns:c16="http://schemas.microsoft.com/office/drawing/2014/chart" uri="{C3380CC4-5D6E-409C-BE32-E72D297353CC}">
                  <c16:uniqueId val="{0000000E-3CBA-42FA-B90B-FA02D68D68E6}"/>
                </c:ext>
              </c:extLst>
            </c:dLbl>
            <c:spPr>
              <a:noFill/>
              <a:ln>
                <a:noFill/>
              </a:ln>
              <a:effectLst/>
            </c:spPr>
            <c:txPr>
              <a:bodyPr/>
              <a:lstStyle/>
              <a:p>
                <a:pPr>
                  <a:defRPr lang="uk-UA"/>
                </a:pPr>
                <a:endParaRPr lang="ru-RU"/>
              </a:p>
            </c:txPr>
            <c:showLegendKey val="1"/>
            <c:showVal val="1"/>
            <c:showCatName val="1"/>
            <c:showSerName val="1"/>
            <c:showPercent val="1"/>
            <c:showBubbleSize val="1"/>
            <c:showLeaderLines val="0"/>
            <c:extLst>
              <c:ext xmlns:c15="http://schemas.microsoft.com/office/drawing/2012/chart" uri="{CE6537A1-D6FC-4f65-9D91-7224C49458BB}">
                <c15:showLeaderLines val="0"/>
              </c:ext>
            </c:extLst>
          </c:dLbls>
          <c:cat>
            <c:strRef>
              <c:f>Лист2!$C$180:$C$183</c:f>
              <c:strCache>
                <c:ptCount val="4"/>
                <c:pt idx="0">
                  <c:v>3 міс</c:v>
                </c:pt>
                <c:pt idx="1">
                  <c:v>6 міс</c:v>
                </c:pt>
                <c:pt idx="2">
                  <c:v>9 міс</c:v>
                </c:pt>
                <c:pt idx="3">
                  <c:v>12 міс</c:v>
                </c:pt>
              </c:strCache>
            </c:strRef>
          </c:cat>
          <c:val>
            <c:numRef>
              <c:f>Лист2!$G$180:$G$183</c:f>
              <c:numCache>
                <c:formatCode>General</c:formatCode>
                <c:ptCount val="4"/>
                <c:pt idx="0">
                  <c:v>133.1</c:v>
                </c:pt>
                <c:pt idx="1">
                  <c:v>110.1</c:v>
                </c:pt>
                <c:pt idx="2">
                  <c:v>103.5</c:v>
                </c:pt>
                <c:pt idx="3">
                  <c:v>98.4</c:v>
                </c:pt>
              </c:numCache>
            </c:numRef>
          </c:val>
          <c:extLst>
            <c:ext xmlns:c14="http://schemas.microsoft.com/office/drawing/2007/8/2/chart" uri="{6F2FDCE9-48DA-4B69-8628-5D25D57E5C99}">
              <c14:invertSolidFillFmt>
                <c14:spPr xmlns:c14="http://schemas.microsoft.com/office/drawing/2007/8/2/chart">
                  <a:solidFill>
                    <a:srgbClr val="FFFFFF"/>
                  </a:solidFill>
                </c14:spPr>
              </c14:invertSolidFillFmt>
            </c:ext>
            <c:ext xmlns:c16="http://schemas.microsoft.com/office/drawing/2014/chart" uri="{C3380CC4-5D6E-409C-BE32-E72D297353CC}">
              <c16:uniqueId val="{0000000F-3CBA-42FA-B90B-FA02D68D68E6}"/>
            </c:ext>
          </c:extLst>
        </c:ser>
        <c:dLbls>
          <c:showLegendKey val="0"/>
          <c:showVal val="0"/>
          <c:showCatName val="0"/>
          <c:showSerName val="0"/>
          <c:showPercent val="0"/>
          <c:showBubbleSize val="0"/>
        </c:dLbls>
        <c:gapWidth val="150"/>
        <c:shape val="box"/>
        <c:axId val="125603328"/>
        <c:axId val="283377664"/>
        <c:axId val="0"/>
      </c:bar3DChart>
      <c:catAx>
        <c:axId val="125603328"/>
        <c:scaling>
          <c:orientation val="minMax"/>
        </c:scaling>
        <c:delete val="1"/>
        <c:axPos val="b"/>
        <c:numFmt formatCode="General" sourceLinked="0"/>
        <c:majorTickMark val="cross"/>
        <c:minorTickMark val="cross"/>
        <c:tickLblPos val="nextTo"/>
        <c:crossAx val="283377664"/>
        <c:crosses val="autoZero"/>
        <c:auto val="1"/>
        <c:lblAlgn val="ctr"/>
        <c:lblOffset val="100"/>
        <c:noMultiLvlLbl val="1"/>
      </c:catAx>
      <c:valAx>
        <c:axId val="283377664"/>
        <c:scaling>
          <c:orientation val="minMax"/>
        </c:scaling>
        <c:delete val="1"/>
        <c:axPos val="l"/>
        <c:majorGridlines/>
        <c:numFmt formatCode="General" sourceLinked="1"/>
        <c:majorTickMark val="cross"/>
        <c:minorTickMark val="cross"/>
        <c:tickLblPos val="nextTo"/>
        <c:crossAx val="125603328"/>
        <c:crosses val="autoZero"/>
        <c:crossBetween val="between"/>
      </c:valAx>
    </c:plotArea>
    <c:legend>
      <c:legendPos val="r"/>
      <c:layout>
        <c:manualLayout>
          <c:xMode val="edge"/>
          <c:yMode val="edge"/>
          <c:x val="0.6717990716152491"/>
          <c:y val="8.0614380439287536E-2"/>
          <c:w val="0.2829418770542525"/>
          <c:h val="0.34622358060505598"/>
        </c:manualLayout>
      </c:layout>
      <c:overlay val="1"/>
      <c:txPr>
        <a:bodyPr/>
        <a:lstStyle/>
        <a:p>
          <a:pPr>
            <a:defRPr lang="uk-UA"/>
          </a:pPr>
          <a:endParaRPr lang="ru-RU"/>
        </a:p>
      </c:txPr>
    </c:legend>
    <c:plotVisOnly val="1"/>
    <c:dispBlanksAs val="zero"/>
    <c:showDLblsOverMax val="1"/>
  </c:chart>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1"/>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0"/>
      <c:rotY val="0"/>
      <c:rAngAx val="1"/>
    </c:view3D>
    <c:floor>
      <c:thickness val="0"/>
    </c:floor>
    <c:sideWall>
      <c:thickness val="0"/>
    </c:sideWall>
    <c:backWall>
      <c:thickness val="0"/>
    </c:backWall>
    <c:plotArea>
      <c:layout>
        <c:manualLayout>
          <c:layoutTarget val="inner"/>
          <c:xMode val="edge"/>
          <c:yMode val="edge"/>
          <c:x val="9.372784769828367E-2"/>
          <c:y val="5.1400554097404488E-2"/>
          <c:w val="0.88880499607360464"/>
          <c:h val="0.85133492807069999"/>
        </c:manualLayout>
      </c:layout>
      <c:bar3DChart>
        <c:barDir val="col"/>
        <c:grouping val="clustered"/>
        <c:varyColors val="1"/>
        <c:ser>
          <c:idx val="0"/>
          <c:order val="0"/>
          <c:tx>
            <c:strRef>
              <c:f>Лист2!$D$83</c:f>
              <c:strCache>
                <c:ptCount val="1"/>
                <c:pt idx="0">
                  <c:v>інтактна група</c:v>
                </c:pt>
              </c:strCache>
            </c:strRef>
          </c:tx>
          <c:invertIfNegative val="1"/>
          <c:cat>
            <c:strRef>
              <c:f>Лист2!$C$84:$C$87</c:f>
              <c:strCache>
                <c:ptCount val="4"/>
                <c:pt idx="0">
                  <c:v>3 міс</c:v>
                </c:pt>
                <c:pt idx="1">
                  <c:v>6 міс</c:v>
                </c:pt>
                <c:pt idx="2">
                  <c:v>9 міс</c:v>
                </c:pt>
                <c:pt idx="3">
                  <c:v>12 міс</c:v>
                </c:pt>
              </c:strCache>
            </c:strRef>
          </c:cat>
          <c:val>
            <c:numRef>
              <c:f>Лист2!$D$84:$D$87</c:f>
              <c:numCache>
                <c:formatCode>General</c:formatCode>
                <c:ptCount val="4"/>
                <c:pt idx="0">
                  <c:v>100</c:v>
                </c:pt>
                <c:pt idx="1">
                  <c:v>100</c:v>
                </c:pt>
                <c:pt idx="2">
                  <c:v>100</c:v>
                </c:pt>
                <c:pt idx="3">
                  <c:v>100</c:v>
                </c:pt>
              </c:numCache>
            </c:numRef>
          </c:val>
          <c:extLst>
            <c:ext xmlns:c16="http://schemas.microsoft.com/office/drawing/2014/chart" uri="{C3380CC4-5D6E-409C-BE32-E72D297353CC}">
              <c16:uniqueId val="{00000000-28EC-4A7B-9ADE-61721E2F97D7}"/>
            </c:ext>
          </c:extLst>
        </c:ser>
        <c:ser>
          <c:idx val="1"/>
          <c:order val="1"/>
          <c:tx>
            <c:strRef>
              <c:f>Лист2!$E$83</c:f>
              <c:strCache>
                <c:ptCount val="1"/>
                <c:pt idx="0">
                  <c:v>група порівняння</c:v>
                </c:pt>
              </c:strCache>
            </c:strRef>
          </c:tx>
          <c:spPr>
            <a:solidFill>
              <a:srgbClr val="FF0000"/>
            </a:solidFill>
          </c:spPr>
          <c:invertIfNegative val="1"/>
          <c:dLbls>
            <c:dLbl>
              <c:idx val="0"/>
              <c:layout>
                <c:manualLayout>
                  <c:x val="1.3477088948787115E-2"/>
                  <c:y val="8.4388185654008484E-3"/>
                </c:manualLayout>
              </c:layout>
              <c:tx>
                <c:rich>
                  <a:bodyPr/>
                  <a:lstStyle/>
                  <a:p>
                    <a:r>
                      <a:rPr lang="en-US" sz="1200" b="1"/>
                      <a:t>*</a:t>
                    </a:r>
                    <a:endParaRPr lang="en-US"/>
                  </a:p>
                </c:rich>
              </c:tx>
              <c:showLegendKey val="1"/>
              <c:showVal val="1"/>
              <c:showCatName val="1"/>
              <c:showSerName val="1"/>
              <c:showPercent val="1"/>
              <c:showBubbleSize val="1"/>
              <c:extLst>
                <c:ext xmlns:c15="http://schemas.microsoft.com/office/drawing/2012/chart" uri="{CE6537A1-D6FC-4f65-9D91-7224C49458BB}"/>
                <c:ext xmlns:c16="http://schemas.microsoft.com/office/drawing/2014/chart" uri="{C3380CC4-5D6E-409C-BE32-E72D297353CC}">
                  <c16:uniqueId val="{00000001-28EC-4A7B-9ADE-61721E2F97D7}"/>
                </c:ext>
              </c:extLst>
            </c:dLbl>
            <c:dLbl>
              <c:idx val="1"/>
              <c:layout>
                <c:manualLayout>
                  <c:x val="8.9847259658580505E-3"/>
                  <c:y val="1.6877637130801686E-2"/>
                </c:manualLayout>
              </c:layout>
              <c:tx>
                <c:rich>
                  <a:bodyPr/>
                  <a:lstStyle/>
                  <a:p>
                    <a:r>
                      <a:rPr lang="en-US" sz="1200" b="1"/>
                      <a:t>*</a:t>
                    </a:r>
                    <a:endParaRPr lang="en-US"/>
                  </a:p>
                </c:rich>
              </c:tx>
              <c:showLegendKey val="1"/>
              <c:showVal val="1"/>
              <c:showCatName val="1"/>
              <c:showSerName val="1"/>
              <c:showPercent val="1"/>
              <c:showBubbleSize val="1"/>
              <c:extLst>
                <c:ext xmlns:c15="http://schemas.microsoft.com/office/drawing/2012/chart" uri="{CE6537A1-D6FC-4f65-9D91-7224C49458BB}"/>
                <c:ext xmlns:c16="http://schemas.microsoft.com/office/drawing/2014/chart" uri="{C3380CC4-5D6E-409C-BE32-E72D297353CC}">
                  <c16:uniqueId val="{00000002-28EC-4A7B-9ADE-61721E2F97D7}"/>
                </c:ext>
              </c:extLst>
            </c:dLbl>
            <c:dLbl>
              <c:idx val="2"/>
              <c:layout>
                <c:manualLayout>
                  <c:x val="1.1230907457322551E-2"/>
                  <c:y val="1.2658227848101266E-2"/>
                </c:manualLayout>
              </c:layout>
              <c:tx>
                <c:rich>
                  <a:bodyPr/>
                  <a:lstStyle/>
                  <a:p>
                    <a:r>
                      <a:rPr lang="en-US" sz="1200" b="1"/>
                      <a:t>*</a:t>
                    </a:r>
                    <a:endParaRPr lang="en-US"/>
                  </a:p>
                </c:rich>
              </c:tx>
              <c:showLegendKey val="1"/>
              <c:showVal val="1"/>
              <c:showCatName val="1"/>
              <c:showSerName val="1"/>
              <c:showPercent val="1"/>
              <c:showBubbleSize val="1"/>
              <c:extLst>
                <c:ext xmlns:c15="http://schemas.microsoft.com/office/drawing/2012/chart" uri="{CE6537A1-D6FC-4f65-9D91-7224C49458BB}"/>
                <c:ext xmlns:c16="http://schemas.microsoft.com/office/drawing/2014/chart" uri="{C3380CC4-5D6E-409C-BE32-E72D297353CC}">
                  <c16:uniqueId val="{00000003-28EC-4A7B-9ADE-61721E2F97D7}"/>
                </c:ext>
              </c:extLst>
            </c:dLbl>
            <c:dLbl>
              <c:idx val="3"/>
              <c:delete val="1"/>
              <c:extLst>
                <c:ext xmlns:c15="http://schemas.microsoft.com/office/drawing/2012/chart" uri="{CE6537A1-D6FC-4f65-9D91-7224C49458BB}"/>
                <c:ext xmlns:c16="http://schemas.microsoft.com/office/drawing/2014/chart" uri="{C3380CC4-5D6E-409C-BE32-E72D297353CC}">
                  <c16:uniqueId val="{00000004-28EC-4A7B-9ADE-61721E2F97D7}"/>
                </c:ext>
              </c:extLst>
            </c:dLbl>
            <c:spPr>
              <a:noFill/>
              <a:ln>
                <a:noFill/>
              </a:ln>
              <a:effectLst/>
            </c:spPr>
            <c:txPr>
              <a:bodyPr/>
              <a:lstStyle/>
              <a:p>
                <a:pPr>
                  <a:defRPr lang="uk-UA" sz="1200" b="1"/>
                </a:pPr>
                <a:endParaRPr lang="ru-RU"/>
              </a:p>
            </c:txPr>
            <c:showLegendKey val="1"/>
            <c:showVal val="1"/>
            <c:showCatName val="1"/>
            <c:showSerName val="1"/>
            <c:showPercent val="1"/>
            <c:showBubbleSize val="1"/>
            <c:showLeaderLines val="0"/>
            <c:extLst>
              <c:ext xmlns:c15="http://schemas.microsoft.com/office/drawing/2012/chart" uri="{CE6537A1-D6FC-4f65-9D91-7224C49458BB}">
                <c15:showLeaderLines val="0"/>
              </c:ext>
            </c:extLst>
          </c:dLbls>
          <c:cat>
            <c:strRef>
              <c:f>Лист2!$C$84:$C$87</c:f>
              <c:strCache>
                <c:ptCount val="4"/>
                <c:pt idx="0">
                  <c:v>3 міс</c:v>
                </c:pt>
                <c:pt idx="1">
                  <c:v>6 міс</c:v>
                </c:pt>
                <c:pt idx="2">
                  <c:v>9 міс</c:v>
                </c:pt>
                <c:pt idx="3">
                  <c:v>12 міс</c:v>
                </c:pt>
              </c:strCache>
            </c:strRef>
          </c:cat>
          <c:val>
            <c:numRef>
              <c:f>Лист2!$E$84:$E$87</c:f>
              <c:numCache>
                <c:formatCode>General</c:formatCode>
                <c:ptCount val="4"/>
                <c:pt idx="0">
                  <c:v>203.2</c:v>
                </c:pt>
                <c:pt idx="1">
                  <c:v>141</c:v>
                </c:pt>
                <c:pt idx="2">
                  <c:v>113.7</c:v>
                </c:pt>
                <c:pt idx="3">
                  <c:v>107.8</c:v>
                </c:pt>
              </c:numCache>
            </c:numRef>
          </c:val>
          <c:extLst>
            <c:ext xmlns:c14="http://schemas.microsoft.com/office/drawing/2007/8/2/chart" uri="{6F2FDCE9-48DA-4B69-8628-5D25D57E5C99}">
              <c14:invertSolidFillFmt>
                <c14:spPr xmlns:c14="http://schemas.microsoft.com/office/drawing/2007/8/2/chart">
                  <a:solidFill>
                    <a:srgbClr val="FFFFFF"/>
                  </a:solidFill>
                </c14:spPr>
              </c14:invertSolidFillFmt>
            </c:ext>
            <c:ext xmlns:c16="http://schemas.microsoft.com/office/drawing/2014/chart" uri="{C3380CC4-5D6E-409C-BE32-E72D297353CC}">
              <c16:uniqueId val="{00000005-28EC-4A7B-9ADE-61721E2F97D7}"/>
            </c:ext>
          </c:extLst>
        </c:ser>
        <c:ser>
          <c:idx val="2"/>
          <c:order val="2"/>
          <c:tx>
            <c:strRef>
              <c:f>Лист2!$F$83</c:f>
              <c:strCache>
                <c:ptCount val="1"/>
                <c:pt idx="0">
                  <c:v>PRF-згусток</c:v>
                </c:pt>
              </c:strCache>
            </c:strRef>
          </c:tx>
          <c:spPr>
            <a:solidFill>
              <a:srgbClr val="00B050"/>
            </a:solidFill>
          </c:spPr>
          <c:invertIfNegative val="1"/>
          <c:dLbls>
            <c:dLbl>
              <c:idx val="0"/>
              <c:layout>
                <c:manualLayout>
                  <c:x val="6.7385444743935539E-3"/>
                  <c:y val="0"/>
                </c:manualLayout>
              </c:layout>
              <c:tx>
                <c:rich>
                  <a:bodyPr/>
                  <a:lstStyle/>
                  <a:p>
                    <a:r>
                      <a:rPr lang="en-US" sz="1200" b="1"/>
                      <a:t>*</a:t>
                    </a:r>
                    <a:endParaRPr lang="en-US"/>
                  </a:p>
                </c:rich>
              </c:tx>
              <c:showLegendKey val="1"/>
              <c:showVal val="1"/>
              <c:showCatName val="1"/>
              <c:showSerName val="1"/>
              <c:showPercent val="1"/>
              <c:showBubbleSize val="1"/>
              <c:extLst>
                <c:ext xmlns:c15="http://schemas.microsoft.com/office/drawing/2012/chart" uri="{CE6537A1-D6FC-4f65-9D91-7224C49458BB}"/>
                <c:ext xmlns:c16="http://schemas.microsoft.com/office/drawing/2014/chart" uri="{C3380CC4-5D6E-409C-BE32-E72D297353CC}">
                  <c16:uniqueId val="{00000006-28EC-4A7B-9ADE-61721E2F97D7}"/>
                </c:ext>
              </c:extLst>
            </c:dLbl>
            <c:dLbl>
              <c:idx val="1"/>
              <c:layout>
                <c:manualLayout>
                  <c:x val="1.1002752014488797E-2"/>
                  <c:y val="1.7287949765772949E-2"/>
                </c:manualLayout>
              </c:layout>
              <c:tx>
                <c:rich>
                  <a:bodyPr/>
                  <a:lstStyle/>
                  <a:p>
                    <a:r>
                      <a:rPr lang="en-US" sz="1200" b="1"/>
                      <a:t>*</a:t>
                    </a:r>
                    <a:endParaRPr lang="en-US"/>
                  </a:p>
                </c:rich>
              </c:tx>
              <c:showLegendKey val="1"/>
              <c:showVal val="1"/>
              <c:showCatName val="1"/>
              <c:showSerName val="1"/>
              <c:showPercent val="1"/>
              <c:showBubbleSize val="1"/>
              <c:extLst>
                <c:ext xmlns:c15="http://schemas.microsoft.com/office/drawing/2012/chart" uri="{CE6537A1-D6FC-4f65-9D91-7224C49458BB}"/>
                <c:ext xmlns:c16="http://schemas.microsoft.com/office/drawing/2014/chart" uri="{C3380CC4-5D6E-409C-BE32-E72D297353CC}">
                  <c16:uniqueId val="{00000007-28EC-4A7B-9ADE-61721E2F97D7}"/>
                </c:ext>
              </c:extLst>
            </c:dLbl>
            <c:dLbl>
              <c:idx val="2"/>
              <c:delete val="1"/>
              <c:extLst>
                <c:ext xmlns:c15="http://schemas.microsoft.com/office/drawing/2012/chart" uri="{CE6537A1-D6FC-4f65-9D91-7224C49458BB}"/>
                <c:ext xmlns:c16="http://schemas.microsoft.com/office/drawing/2014/chart" uri="{C3380CC4-5D6E-409C-BE32-E72D297353CC}">
                  <c16:uniqueId val="{00000008-28EC-4A7B-9ADE-61721E2F97D7}"/>
                </c:ext>
              </c:extLst>
            </c:dLbl>
            <c:dLbl>
              <c:idx val="3"/>
              <c:delete val="1"/>
              <c:extLst>
                <c:ext xmlns:c15="http://schemas.microsoft.com/office/drawing/2012/chart" uri="{CE6537A1-D6FC-4f65-9D91-7224C49458BB}"/>
                <c:ext xmlns:c16="http://schemas.microsoft.com/office/drawing/2014/chart" uri="{C3380CC4-5D6E-409C-BE32-E72D297353CC}">
                  <c16:uniqueId val="{00000009-28EC-4A7B-9ADE-61721E2F97D7}"/>
                </c:ext>
              </c:extLst>
            </c:dLbl>
            <c:spPr>
              <a:noFill/>
              <a:ln>
                <a:noFill/>
              </a:ln>
              <a:effectLst/>
            </c:spPr>
            <c:txPr>
              <a:bodyPr/>
              <a:lstStyle/>
              <a:p>
                <a:pPr>
                  <a:defRPr lang="uk-UA" sz="1200" b="1"/>
                </a:pPr>
                <a:endParaRPr lang="ru-RU"/>
              </a:p>
            </c:txPr>
            <c:showLegendKey val="1"/>
            <c:showVal val="1"/>
            <c:showCatName val="1"/>
            <c:showSerName val="1"/>
            <c:showPercent val="1"/>
            <c:showBubbleSize val="1"/>
            <c:showLeaderLines val="0"/>
            <c:extLst>
              <c:ext xmlns:c15="http://schemas.microsoft.com/office/drawing/2012/chart" uri="{CE6537A1-D6FC-4f65-9D91-7224C49458BB}">
                <c15:showLeaderLines val="0"/>
              </c:ext>
            </c:extLst>
          </c:dLbls>
          <c:cat>
            <c:strRef>
              <c:f>Лист2!$C$84:$C$87</c:f>
              <c:strCache>
                <c:ptCount val="4"/>
                <c:pt idx="0">
                  <c:v>3 міс</c:v>
                </c:pt>
                <c:pt idx="1">
                  <c:v>6 міс</c:v>
                </c:pt>
                <c:pt idx="2">
                  <c:v>9 міс</c:v>
                </c:pt>
                <c:pt idx="3">
                  <c:v>12 міс</c:v>
                </c:pt>
              </c:strCache>
            </c:strRef>
          </c:cat>
          <c:val>
            <c:numRef>
              <c:f>Лист2!$F$84:$F$87</c:f>
              <c:numCache>
                <c:formatCode>General</c:formatCode>
                <c:ptCount val="4"/>
                <c:pt idx="0">
                  <c:v>149</c:v>
                </c:pt>
                <c:pt idx="1">
                  <c:v>119.6</c:v>
                </c:pt>
                <c:pt idx="2">
                  <c:v>108</c:v>
                </c:pt>
                <c:pt idx="3">
                  <c:v>104.6</c:v>
                </c:pt>
              </c:numCache>
            </c:numRef>
          </c:val>
          <c:extLst>
            <c:ext xmlns:c14="http://schemas.microsoft.com/office/drawing/2007/8/2/chart" uri="{6F2FDCE9-48DA-4B69-8628-5D25D57E5C99}">
              <c14:invertSolidFillFmt>
                <c14:spPr xmlns:c14="http://schemas.microsoft.com/office/drawing/2007/8/2/chart">
                  <a:solidFill>
                    <a:srgbClr val="FFFFFF"/>
                  </a:solidFill>
                </c14:spPr>
              </c14:invertSolidFillFmt>
            </c:ext>
            <c:ext xmlns:c16="http://schemas.microsoft.com/office/drawing/2014/chart" uri="{C3380CC4-5D6E-409C-BE32-E72D297353CC}">
              <c16:uniqueId val="{0000000A-28EC-4A7B-9ADE-61721E2F97D7}"/>
            </c:ext>
          </c:extLst>
        </c:ser>
        <c:ser>
          <c:idx val="3"/>
          <c:order val="3"/>
          <c:tx>
            <c:strRef>
              <c:f>Лист2!$G$83</c:f>
              <c:strCache>
                <c:ptCount val="1"/>
                <c:pt idx="0">
                  <c:v>PRF-згусток і Біоцерулін</c:v>
                </c:pt>
              </c:strCache>
            </c:strRef>
          </c:tx>
          <c:spPr>
            <a:solidFill>
              <a:srgbClr val="FFFF00"/>
            </a:solidFill>
          </c:spPr>
          <c:invertIfNegative val="1"/>
          <c:dLbls>
            <c:dLbl>
              <c:idx val="0"/>
              <c:layout>
                <c:manualLayout>
                  <c:x val="1.5723270440251583E-2"/>
                  <c:y val="1.2658227848101266E-2"/>
                </c:manualLayout>
              </c:layout>
              <c:tx>
                <c:rich>
                  <a:bodyPr/>
                  <a:lstStyle/>
                  <a:p>
                    <a:r>
                      <a:rPr lang="en-US" sz="1200" b="1"/>
                      <a:t>*</a:t>
                    </a:r>
                    <a:endParaRPr lang="en-US"/>
                  </a:p>
                </c:rich>
              </c:tx>
              <c:showLegendKey val="1"/>
              <c:showVal val="1"/>
              <c:showCatName val="1"/>
              <c:showSerName val="1"/>
              <c:showPercent val="1"/>
              <c:showBubbleSize val="1"/>
              <c:extLst>
                <c:ext xmlns:c15="http://schemas.microsoft.com/office/drawing/2012/chart" uri="{CE6537A1-D6FC-4f65-9D91-7224C49458BB}"/>
                <c:ext xmlns:c16="http://schemas.microsoft.com/office/drawing/2014/chart" uri="{C3380CC4-5D6E-409C-BE32-E72D297353CC}">
                  <c16:uniqueId val="{0000000B-28EC-4A7B-9ADE-61721E2F97D7}"/>
                </c:ext>
              </c:extLst>
            </c:dLbl>
            <c:dLbl>
              <c:idx val="1"/>
              <c:layout>
                <c:manualLayout>
                  <c:x val="1.3477088948787115E-2"/>
                  <c:y val="1.2658227848101266E-2"/>
                </c:manualLayout>
              </c:layout>
              <c:tx>
                <c:rich>
                  <a:bodyPr/>
                  <a:lstStyle/>
                  <a:p>
                    <a:r>
                      <a:rPr lang="en-US" sz="1200" b="1"/>
                      <a:t>*</a:t>
                    </a:r>
                    <a:endParaRPr lang="en-US"/>
                  </a:p>
                </c:rich>
              </c:tx>
              <c:showLegendKey val="1"/>
              <c:showVal val="1"/>
              <c:showCatName val="1"/>
              <c:showSerName val="1"/>
              <c:showPercent val="1"/>
              <c:showBubbleSize val="1"/>
              <c:extLst>
                <c:ext xmlns:c15="http://schemas.microsoft.com/office/drawing/2012/chart" uri="{CE6537A1-D6FC-4f65-9D91-7224C49458BB}"/>
                <c:ext xmlns:c16="http://schemas.microsoft.com/office/drawing/2014/chart" uri="{C3380CC4-5D6E-409C-BE32-E72D297353CC}">
                  <c16:uniqueId val="{0000000C-28EC-4A7B-9ADE-61721E2F97D7}"/>
                </c:ext>
              </c:extLst>
            </c:dLbl>
            <c:dLbl>
              <c:idx val="2"/>
              <c:delete val="1"/>
              <c:extLst>
                <c:ext xmlns:c15="http://schemas.microsoft.com/office/drawing/2012/chart" uri="{CE6537A1-D6FC-4f65-9D91-7224C49458BB}"/>
                <c:ext xmlns:c16="http://schemas.microsoft.com/office/drawing/2014/chart" uri="{C3380CC4-5D6E-409C-BE32-E72D297353CC}">
                  <c16:uniqueId val="{0000000D-28EC-4A7B-9ADE-61721E2F97D7}"/>
                </c:ext>
              </c:extLst>
            </c:dLbl>
            <c:dLbl>
              <c:idx val="3"/>
              <c:delete val="1"/>
              <c:extLst>
                <c:ext xmlns:c15="http://schemas.microsoft.com/office/drawing/2012/chart" uri="{CE6537A1-D6FC-4f65-9D91-7224C49458BB}"/>
                <c:ext xmlns:c16="http://schemas.microsoft.com/office/drawing/2014/chart" uri="{C3380CC4-5D6E-409C-BE32-E72D297353CC}">
                  <c16:uniqueId val="{0000000E-28EC-4A7B-9ADE-61721E2F97D7}"/>
                </c:ext>
              </c:extLst>
            </c:dLbl>
            <c:spPr>
              <a:noFill/>
              <a:ln>
                <a:noFill/>
              </a:ln>
              <a:effectLst/>
            </c:spPr>
            <c:txPr>
              <a:bodyPr/>
              <a:lstStyle/>
              <a:p>
                <a:pPr>
                  <a:defRPr lang="uk-UA" sz="1200" b="1"/>
                </a:pPr>
                <a:endParaRPr lang="ru-RU"/>
              </a:p>
            </c:txPr>
            <c:showLegendKey val="1"/>
            <c:showVal val="1"/>
            <c:showCatName val="1"/>
            <c:showSerName val="1"/>
            <c:showPercent val="1"/>
            <c:showBubbleSize val="1"/>
            <c:showLeaderLines val="0"/>
            <c:extLst>
              <c:ext xmlns:c15="http://schemas.microsoft.com/office/drawing/2012/chart" uri="{CE6537A1-D6FC-4f65-9D91-7224C49458BB}">
                <c15:showLeaderLines val="0"/>
              </c:ext>
            </c:extLst>
          </c:dLbls>
          <c:cat>
            <c:strRef>
              <c:f>Лист2!$C$84:$C$87</c:f>
              <c:strCache>
                <c:ptCount val="4"/>
                <c:pt idx="0">
                  <c:v>3 міс</c:v>
                </c:pt>
                <c:pt idx="1">
                  <c:v>6 міс</c:v>
                </c:pt>
                <c:pt idx="2">
                  <c:v>9 міс</c:v>
                </c:pt>
                <c:pt idx="3">
                  <c:v>12 міс</c:v>
                </c:pt>
              </c:strCache>
            </c:strRef>
          </c:cat>
          <c:val>
            <c:numRef>
              <c:f>Лист2!$G$84:$G$87</c:f>
              <c:numCache>
                <c:formatCode>General</c:formatCode>
                <c:ptCount val="4"/>
                <c:pt idx="0">
                  <c:v>123.9</c:v>
                </c:pt>
                <c:pt idx="1">
                  <c:v>113.2</c:v>
                </c:pt>
                <c:pt idx="2">
                  <c:v>103.8</c:v>
                </c:pt>
                <c:pt idx="3">
                  <c:v>102.1</c:v>
                </c:pt>
              </c:numCache>
            </c:numRef>
          </c:val>
          <c:extLst>
            <c:ext xmlns:c14="http://schemas.microsoft.com/office/drawing/2007/8/2/chart" uri="{6F2FDCE9-48DA-4B69-8628-5D25D57E5C99}">
              <c14:invertSolidFillFmt>
                <c14:spPr xmlns:c14="http://schemas.microsoft.com/office/drawing/2007/8/2/chart">
                  <a:solidFill>
                    <a:srgbClr val="FFFFFF"/>
                  </a:solidFill>
                </c14:spPr>
              </c14:invertSolidFillFmt>
            </c:ext>
            <c:ext xmlns:c16="http://schemas.microsoft.com/office/drawing/2014/chart" uri="{C3380CC4-5D6E-409C-BE32-E72D297353CC}">
              <c16:uniqueId val="{0000000F-28EC-4A7B-9ADE-61721E2F97D7}"/>
            </c:ext>
          </c:extLst>
        </c:ser>
        <c:dLbls>
          <c:showLegendKey val="0"/>
          <c:showVal val="0"/>
          <c:showCatName val="0"/>
          <c:showSerName val="0"/>
          <c:showPercent val="0"/>
          <c:showBubbleSize val="0"/>
        </c:dLbls>
        <c:gapWidth val="150"/>
        <c:shape val="box"/>
        <c:axId val="241478144"/>
        <c:axId val="283379392"/>
        <c:axId val="0"/>
      </c:bar3DChart>
      <c:catAx>
        <c:axId val="241478144"/>
        <c:scaling>
          <c:orientation val="minMax"/>
        </c:scaling>
        <c:delete val="1"/>
        <c:axPos val="b"/>
        <c:numFmt formatCode="General" sourceLinked="0"/>
        <c:majorTickMark val="none"/>
        <c:minorTickMark val="cross"/>
        <c:tickLblPos val="nextTo"/>
        <c:crossAx val="283379392"/>
        <c:crosses val="autoZero"/>
        <c:auto val="1"/>
        <c:lblAlgn val="ctr"/>
        <c:lblOffset val="100"/>
        <c:noMultiLvlLbl val="1"/>
      </c:catAx>
      <c:valAx>
        <c:axId val="283379392"/>
        <c:scaling>
          <c:orientation val="minMax"/>
        </c:scaling>
        <c:delete val="1"/>
        <c:axPos val="l"/>
        <c:majorGridlines/>
        <c:title>
          <c:tx>
            <c:rich>
              <a:bodyPr/>
              <a:lstStyle/>
              <a:p>
                <a:pPr>
                  <a:defRPr lang="uk-UA"/>
                </a:pPr>
                <a:r>
                  <a:rPr lang="ru-RU"/>
                  <a:t>% від</a:t>
                </a:r>
                <a:r>
                  <a:rPr lang="en-US"/>
                  <a:t> </a:t>
                </a:r>
                <a:r>
                  <a:rPr lang="uk-UA"/>
                  <a:t>рівня</a:t>
                </a:r>
                <a:r>
                  <a:rPr lang="ru-RU"/>
                  <a:t> інтактної групи</a:t>
                </a:r>
              </a:p>
            </c:rich>
          </c:tx>
          <c:layout>
            <c:manualLayout>
              <c:xMode val="edge"/>
              <c:yMode val="edge"/>
              <c:x val="8.4035486130271883E-3"/>
              <c:y val="0.26815608491976561"/>
            </c:manualLayout>
          </c:layout>
          <c:overlay val="1"/>
        </c:title>
        <c:numFmt formatCode="General" sourceLinked="1"/>
        <c:majorTickMark val="cross"/>
        <c:minorTickMark val="cross"/>
        <c:tickLblPos val="nextTo"/>
        <c:crossAx val="241478144"/>
        <c:crosses val="autoZero"/>
        <c:crossBetween val="between"/>
      </c:valAx>
    </c:plotArea>
    <c:legend>
      <c:legendPos val="r"/>
      <c:layout>
        <c:manualLayout>
          <c:xMode val="edge"/>
          <c:yMode val="edge"/>
          <c:x val="0.64668197725284582"/>
          <c:y val="6.8676727909011637E-2"/>
          <c:w val="0.26300887193788497"/>
          <c:h val="0.30519685039370081"/>
        </c:manualLayout>
      </c:layout>
      <c:overlay val="1"/>
      <c:txPr>
        <a:bodyPr/>
        <a:lstStyle/>
        <a:p>
          <a:pPr>
            <a:defRPr lang="uk-UA"/>
          </a:pPr>
          <a:endParaRPr lang="ru-RU"/>
        </a:p>
      </c:txPr>
    </c:legend>
    <c:plotVisOnly val="1"/>
    <c:dispBlanksAs val="zero"/>
    <c:showDLblsOverMax val="1"/>
  </c:chart>
  <c:spPr>
    <a:noFill/>
    <a:ln>
      <a:noFill/>
    </a:ln>
  </c:sp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1"/>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0"/>
      <c:rotY val="0"/>
      <c:rAngAx val="1"/>
    </c:view3D>
    <c:floor>
      <c:thickness val="0"/>
    </c:floor>
    <c:sideWall>
      <c:thickness val="0"/>
    </c:sideWall>
    <c:backWall>
      <c:thickness val="0"/>
    </c:backWall>
    <c:plotArea>
      <c:layout>
        <c:manualLayout>
          <c:layoutTarget val="inner"/>
          <c:xMode val="edge"/>
          <c:yMode val="edge"/>
          <c:x val="0.11997462817147862"/>
          <c:y val="5.1400554097404488E-2"/>
          <c:w val="0.83781846019247663"/>
          <c:h val="0.79558253135024515"/>
        </c:manualLayout>
      </c:layout>
      <c:bar3DChart>
        <c:barDir val="col"/>
        <c:grouping val="clustered"/>
        <c:varyColors val="1"/>
        <c:ser>
          <c:idx val="0"/>
          <c:order val="0"/>
          <c:tx>
            <c:strRef>
              <c:f>Лист2!$V$77</c:f>
              <c:strCache>
                <c:ptCount val="1"/>
                <c:pt idx="0">
                  <c:v>інтактна група</c:v>
                </c:pt>
              </c:strCache>
            </c:strRef>
          </c:tx>
          <c:spPr>
            <a:solidFill>
              <a:srgbClr val="0070C0"/>
            </a:solidFill>
          </c:spPr>
          <c:invertIfNegative val="1"/>
          <c:cat>
            <c:strRef>
              <c:f>Лист2!$U$78:$U$81</c:f>
              <c:strCache>
                <c:ptCount val="4"/>
                <c:pt idx="0">
                  <c:v>3 міс</c:v>
                </c:pt>
                <c:pt idx="1">
                  <c:v>6 міс</c:v>
                </c:pt>
                <c:pt idx="2">
                  <c:v>9 міс</c:v>
                </c:pt>
                <c:pt idx="3">
                  <c:v>12 міс</c:v>
                </c:pt>
              </c:strCache>
            </c:strRef>
          </c:cat>
          <c:val>
            <c:numRef>
              <c:f>Лист2!$V$78:$V$81</c:f>
              <c:numCache>
                <c:formatCode>General</c:formatCode>
                <c:ptCount val="4"/>
                <c:pt idx="0">
                  <c:v>100</c:v>
                </c:pt>
                <c:pt idx="1">
                  <c:v>100</c:v>
                </c:pt>
                <c:pt idx="2">
                  <c:v>100</c:v>
                </c:pt>
                <c:pt idx="3">
                  <c:v>100</c:v>
                </c:pt>
              </c:numCache>
            </c:numRef>
          </c:val>
          <c:extLst>
            <c:ext xmlns:c14="http://schemas.microsoft.com/office/drawing/2007/8/2/chart" uri="{6F2FDCE9-48DA-4B69-8628-5D25D57E5C99}">
              <c14:invertSolidFillFmt>
                <c14:spPr xmlns:c14="http://schemas.microsoft.com/office/drawing/2007/8/2/chart">
                  <a:solidFill>
                    <a:srgbClr val="FFFFFF"/>
                  </a:solidFill>
                </c14:spPr>
              </c14:invertSolidFillFmt>
            </c:ext>
            <c:ext xmlns:c16="http://schemas.microsoft.com/office/drawing/2014/chart" uri="{C3380CC4-5D6E-409C-BE32-E72D297353CC}">
              <c16:uniqueId val="{00000000-7D3C-474D-9A5D-5CB5889A0407}"/>
            </c:ext>
          </c:extLst>
        </c:ser>
        <c:ser>
          <c:idx val="1"/>
          <c:order val="1"/>
          <c:tx>
            <c:strRef>
              <c:f>Лист2!$W$77</c:f>
              <c:strCache>
                <c:ptCount val="1"/>
                <c:pt idx="0">
                  <c:v>група порівняння</c:v>
                </c:pt>
              </c:strCache>
            </c:strRef>
          </c:tx>
          <c:spPr>
            <a:solidFill>
              <a:srgbClr val="FF0000"/>
            </a:solidFill>
          </c:spPr>
          <c:invertIfNegative val="1"/>
          <c:dLbls>
            <c:dLbl>
              <c:idx val="0"/>
              <c:tx>
                <c:rich>
                  <a:bodyPr/>
                  <a:lstStyle/>
                  <a:p>
                    <a:r>
                      <a:rPr lang="en-US" sz="1200" b="1"/>
                      <a:t>*</a:t>
                    </a:r>
                    <a:endParaRPr lang="en-US"/>
                  </a:p>
                </c:rich>
              </c:tx>
              <c:showLegendKey val="1"/>
              <c:showVal val="1"/>
              <c:showCatName val="1"/>
              <c:showSerName val="1"/>
              <c:showPercent val="1"/>
              <c:showBubbleSize val="1"/>
              <c:extLst>
                <c:ext xmlns:c15="http://schemas.microsoft.com/office/drawing/2012/chart" uri="{CE6537A1-D6FC-4f65-9D91-7224C49458BB}"/>
                <c:ext xmlns:c16="http://schemas.microsoft.com/office/drawing/2014/chart" uri="{C3380CC4-5D6E-409C-BE32-E72D297353CC}">
                  <c16:uniqueId val="{00000001-7D3C-474D-9A5D-5CB5889A0407}"/>
                </c:ext>
              </c:extLst>
            </c:dLbl>
            <c:dLbl>
              <c:idx val="1"/>
              <c:tx>
                <c:rich>
                  <a:bodyPr/>
                  <a:lstStyle/>
                  <a:p>
                    <a:r>
                      <a:rPr lang="en-US" sz="1200" b="1"/>
                      <a:t>*</a:t>
                    </a:r>
                    <a:endParaRPr lang="en-US"/>
                  </a:p>
                </c:rich>
              </c:tx>
              <c:showLegendKey val="1"/>
              <c:showVal val="1"/>
              <c:showCatName val="1"/>
              <c:showSerName val="1"/>
              <c:showPercent val="1"/>
              <c:showBubbleSize val="1"/>
              <c:extLst>
                <c:ext xmlns:c15="http://schemas.microsoft.com/office/drawing/2012/chart" uri="{CE6537A1-D6FC-4f65-9D91-7224C49458BB}"/>
                <c:ext xmlns:c16="http://schemas.microsoft.com/office/drawing/2014/chart" uri="{C3380CC4-5D6E-409C-BE32-E72D297353CC}">
                  <c16:uniqueId val="{00000002-7D3C-474D-9A5D-5CB5889A0407}"/>
                </c:ext>
              </c:extLst>
            </c:dLbl>
            <c:dLbl>
              <c:idx val="2"/>
              <c:layout>
                <c:manualLayout>
                  <c:x val="6.6755674232310842E-3"/>
                  <c:y val="4.3859649122807015E-3"/>
                </c:manualLayout>
              </c:layout>
              <c:tx>
                <c:rich>
                  <a:bodyPr/>
                  <a:lstStyle/>
                  <a:p>
                    <a:r>
                      <a:rPr lang="en-US" sz="1200" b="1"/>
                      <a:t>*</a:t>
                    </a:r>
                    <a:endParaRPr lang="en-US"/>
                  </a:p>
                </c:rich>
              </c:tx>
              <c:showLegendKey val="1"/>
              <c:showVal val="1"/>
              <c:showCatName val="1"/>
              <c:showSerName val="1"/>
              <c:showPercent val="1"/>
              <c:showBubbleSize val="1"/>
              <c:extLst>
                <c:ext xmlns:c15="http://schemas.microsoft.com/office/drawing/2012/chart" uri="{CE6537A1-D6FC-4f65-9D91-7224C49458BB}"/>
                <c:ext xmlns:c16="http://schemas.microsoft.com/office/drawing/2014/chart" uri="{C3380CC4-5D6E-409C-BE32-E72D297353CC}">
                  <c16:uniqueId val="{00000003-7D3C-474D-9A5D-5CB5889A0407}"/>
                </c:ext>
              </c:extLst>
            </c:dLbl>
            <c:dLbl>
              <c:idx val="3"/>
              <c:layout>
                <c:manualLayout>
                  <c:x val="6.6755674232309931E-3"/>
                  <c:y val="4.3859649122807015E-3"/>
                </c:manualLayout>
              </c:layout>
              <c:tx>
                <c:rich>
                  <a:bodyPr/>
                  <a:lstStyle/>
                  <a:p>
                    <a:r>
                      <a:rPr lang="en-US" sz="1200" b="1"/>
                      <a:t>*</a:t>
                    </a:r>
                    <a:endParaRPr lang="en-US"/>
                  </a:p>
                </c:rich>
              </c:tx>
              <c:showLegendKey val="1"/>
              <c:showVal val="1"/>
              <c:showCatName val="1"/>
              <c:showSerName val="1"/>
              <c:showPercent val="1"/>
              <c:showBubbleSize val="1"/>
              <c:extLst>
                <c:ext xmlns:c15="http://schemas.microsoft.com/office/drawing/2012/chart" uri="{CE6537A1-D6FC-4f65-9D91-7224C49458BB}"/>
                <c:ext xmlns:c16="http://schemas.microsoft.com/office/drawing/2014/chart" uri="{C3380CC4-5D6E-409C-BE32-E72D297353CC}">
                  <c16:uniqueId val="{00000004-7D3C-474D-9A5D-5CB5889A0407}"/>
                </c:ext>
              </c:extLst>
            </c:dLbl>
            <c:spPr>
              <a:noFill/>
              <a:ln>
                <a:noFill/>
              </a:ln>
              <a:effectLst/>
            </c:spPr>
            <c:txPr>
              <a:bodyPr/>
              <a:lstStyle/>
              <a:p>
                <a:pPr>
                  <a:defRPr lang="uk-UA" sz="1200" b="1"/>
                </a:pPr>
                <a:endParaRPr lang="ru-RU"/>
              </a:p>
            </c:txPr>
            <c:showLegendKey val="1"/>
            <c:showVal val="1"/>
            <c:showCatName val="1"/>
            <c:showSerName val="1"/>
            <c:showPercent val="1"/>
            <c:showBubbleSize val="1"/>
            <c:showLeaderLines val="0"/>
            <c:extLst>
              <c:ext xmlns:c15="http://schemas.microsoft.com/office/drawing/2012/chart" uri="{CE6537A1-D6FC-4f65-9D91-7224C49458BB}">
                <c15:showLeaderLines val="0"/>
              </c:ext>
            </c:extLst>
          </c:dLbls>
          <c:cat>
            <c:strRef>
              <c:f>Лист2!$U$78:$U$81</c:f>
              <c:strCache>
                <c:ptCount val="4"/>
                <c:pt idx="0">
                  <c:v>3 міс</c:v>
                </c:pt>
                <c:pt idx="1">
                  <c:v>6 міс</c:v>
                </c:pt>
                <c:pt idx="2">
                  <c:v>9 міс</c:v>
                </c:pt>
                <c:pt idx="3">
                  <c:v>12 міс</c:v>
                </c:pt>
              </c:strCache>
            </c:strRef>
          </c:cat>
          <c:val>
            <c:numRef>
              <c:f>Лист2!$W$78:$W$81</c:f>
              <c:numCache>
                <c:formatCode>General</c:formatCode>
                <c:ptCount val="4"/>
                <c:pt idx="0">
                  <c:v>222.5</c:v>
                </c:pt>
                <c:pt idx="1">
                  <c:v>160.4</c:v>
                </c:pt>
                <c:pt idx="2">
                  <c:v>128.69999999999999</c:v>
                </c:pt>
                <c:pt idx="3">
                  <c:v>113.4</c:v>
                </c:pt>
              </c:numCache>
            </c:numRef>
          </c:val>
          <c:extLst>
            <c:ext xmlns:c14="http://schemas.microsoft.com/office/drawing/2007/8/2/chart" uri="{6F2FDCE9-48DA-4B69-8628-5D25D57E5C99}">
              <c14:invertSolidFillFmt>
                <c14:spPr xmlns:c14="http://schemas.microsoft.com/office/drawing/2007/8/2/chart">
                  <a:solidFill>
                    <a:srgbClr val="FFFFFF"/>
                  </a:solidFill>
                </c14:spPr>
              </c14:invertSolidFillFmt>
            </c:ext>
            <c:ext xmlns:c16="http://schemas.microsoft.com/office/drawing/2014/chart" uri="{C3380CC4-5D6E-409C-BE32-E72D297353CC}">
              <c16:uniqueId val="{00000005-7D3C-474D-9A5D-5CB5889A0407}"/>
            </c:ext>
          </c:extLst>
        </c:ser>
        <c:ser>
          <c:idx val="2"/>
          <c:order val="2"/>
          <c:tx>
            <c:strRef>
              <c:f>Лист2!$X$77</c:f>
              <c:strCache>
                <c:ptCount val="1"/>
                <c:pt idx="0">
                  <c:v>PRF-згусток</c:v>
                </c:pt>
              </c:strCache>
            </c:strRef>
          </c:tx>
          <c:spPr>
            <a:solidFill>
              <a:srgbClr val="00B050"/>
            </a:solidFill>
          </c:spPr>
          <c:invertIfNegative val="1"/>
          <c:dLbls>
            <c:dLbl>
              <c:idx val="0"/>
              <c:layout>
                <c:manualLayout>
                  <c:x val="8.9007565643080353E-3"/>
                  <c:y val="4.3859649122807015E-3"/>
                </c:manualLayout>
              </c:layout>
              <c:tx>
                <c:rich>
                  <a:bodyPr/>
                  <a:lstStyle/>
                  <a:p>
                    <a:r>
                      <a:rPr lang="en-US" sz="1200" b="1"/>
                      <a:t>*</a:t>
                    </a:r>
                    <a:endParaRPr lang="en-US"/>
                  </a:p>
                </c:rich>
              </c:tx>
              <c:showLegendKey val="1"/>
              <c:showVal val="1"/>
              <c:showCatName val="1"/>
              <c:showSerName val="1"/>
              <c:showPercent val="1"/>
              <c:showBubbleSize val="1"/>
              <c:extLst>
                <c:ext xmlns:c15="http://schemas.microsoft.com/office/drawing/2012/chart" uri="{CE6537A1-D6FC-4f65-9D91-7224C49458BB}"/>
                <c:ext xmlns:c16="http://schemas.microsoft.com/office/drawing/2014/chart" uri="{C3380CC4-5D6E-409C-BE32-E72D297353CC}">
                  <c16:uniqueId val="{00000006-7D3C-474D-9A5D-5CB5889A0407}"/>
                </c:ext>
              </c:extLst>
            </c:dLbl>
            <c:dLbl>
              <c:idx val="1"/>
              <c:layout>
                <c:manualLayout>
                  <c:x val="1.1125945705384957E-2"/>
                  <c:y val="1.3157894736842111E-2"/>
                </c:manualLayout>
              </c:layout>
              <c:tx>
                <c:rich>
                  <a:bodyPr/>
                  <a:lstStyle/>
                  <a:p>
                    <a:r>
                      <a:rPr lang="en-US" sz="1200" b="1"/>
                      <a:t>*</a:t>
                    </a:r>
                    <a:endParaRPr lang="en-US"/>
                  </a:p>
                </c:rich>
              </c:tx>
              <c:showLegendKey val="1"/>
              <c:showVal val="1"/>
              <c:showCatName val="1"/>
              <c:showSerName val="1"/>
              <c:showPercent val="1"/>
              <c:showBubbleSize val="1"/>
              <c:extLst>
                <c:ext xmlns:c15="http://schemas.microsoft.com/office/drawing/2012/chart" uri="{CE6537A1-D6FC-4f65-9D91-7224C49458BB}"/>
                <c:ext xmlns:c16="http://schemas.microsoft.com/office/drawing/2014/chart" uri="{C3380CC4-5D6E-409C-BE32-E72D297353CC}">
                  <c16:uniqueId val="{00000007-7D3C-474D-9A5D-5CB5889A0407}"/>
                </c:ext>
              </c:extLst>
            </c:dLbl>
            <c:dLbl>
              <c:idx val="2"/>
              <c:layout>
                <c:manualLayout>
                  <c:x val="6.6755674232309931E-3"/>
                  <c:y val="4.3859649122807015E-3"/>
                </c:manualLayout>
              </c:layout>
              <c:tx>
                <c:rich>
                  <a:bodyPr/>
                  <a:lstStyle/>
                  <a:p>
                    <a:r>
                      <a:rPr lang="en-US" sz="1200" b="1"/>
                      <a:t>*</a:t>
                    </a:r>
                    <a:endParaRPr lang="en-US"/>
                  </a:p>
                </c:rich>
              </c:tx>
              <c:showLegendKey val="1"/>
              <c:showVal val="1"/>
              <c:showCatName val="1"/>
              <c:showSerName val="1"/>
              <c:showPercent val="1"/>
              <c:showBubbleSize val="1"/>
              <c:extLst>
                <c:ext xmlns:c15="http://schemas.microsoft.com/office/drawing/2012/chart" uri="{CE6537A1-D6FC-4f65-9D91-7224C49458BB}"/>
                <c:ext xmlns:c16="http://schemas.microsoft.com/office/drawing/2014/chart" uri="{C3380CC4-5D6E-409C-BE32-E72D297353CC}">
                  <c16:uniqueId val="{00000008-7D3C-474D-9A5D-5CB5889A0407}"/>
                </c:ext>
              </c:extLst>
            </c:dLbl>
            <c:dLbl>
              <c:idx val="3"/>
              <c:delete val="1"/>
              <c:extLst>
                <c:ext xmlns:c15="http://schemas.microsoft.com/office/drawing/2012/chart" uri="{CE6537A1-D6FC-4f65-9D91-7224C49458BB}"/>
                <c:ext xmlns:c16="http://schemas.microsoft.com/office/drawing/2014/chart" uri="{C3380CC4-5D6E-409C-BE32-E72D297353CC}">
                  <c16:uniqueId val="{00000009-7D3C-474D-9A5D-5CB5889A0407}"/>
                </c:ext>
              </c:extLst>
            </c:dLbl>
            <c:spPr>
              <a:noFill/>
              <a:ln>
                <a:noFill/>
              </a:ln>
              <a:effectLst/>
            </c:spPr>
            <c:txPr>
              <a:bodyPr/>
              <a:lstStyle/>
              <a:p>
                <a:pPr>
                  <a:defRPr lang="uk-UA" sz="1200" b="1"/>
                </a:pPr>
                <a:endParaRPr lang="ru-RU"/>
              </a:p>
            </c:txPr>
            <c:showLegendKey val="1"/>
            <c:showVal val="1"/>
            <c:showCatName val="1"/>
            <c:showSerName val="1"/>
            <c:showPercent val="1"/>
            <c:showBubbleSize val="1"/>
            <c:showLeaderLines val="0"/>
            <c:extLst>
              <c:ext xmlns:c15="http://schemas.microsoft.com/office/drawing/2012/chart" uri="{CE6537A1-D6FC-4f65-9D91-7224C49458BB}">
                <c15:showLeaderLines val="0"/>
              </c:ext>
            </c:extLst>
          </c:dLbls>
          <c:cat>
            <c:strRef>
              <c:f>Лист2!$U$78:$U$81</c:f>
              <c:strCache>
                <c:ptCount val="4"/>
                <c:pt idx="0">
                  <c:v>3 міс</c:v>
                </c:pt>
                <c:pt idx="1">
                  <c:v>6 міс</c:v>
                </c:pt>
                <c:pt idx="2">
                  <c:v>9 міс</c:v>
                </c:pt>
                <c:pt idx="3">
                  <c:v>12 міс</c:v>
                </c:pt>
              </c:strCache>
            </c:strRef>
          </c:cat>
          <c:val>
            <c:numRef>
              <c:f>Лист2!$X$78:$X$81</c:f>
              <c:numCache>
                <c:formatCode>General</c:formatCode>
                <c:ptCount val="4"/>
                <c:pt idx="0" formatCode="0.00">
                  <c:v>187</c:v>
                </c:pt>
                <c:pt idx="1">
                  <c:v>128.80000000000001</c:v>
                </c:pt>
                <c:pt idx="2">
                  <c:v>110.9</c:v>
                </c:pt>
                <c:pt idx="3" formatCode="0.00">
                  <c:v>106.5</c:v>
                </c:pt>
              </c:numCache>
            </c:numRef>
          </c:val>
          <c:extLst>
            <c:ext xmlns:c14="http://schemas.microsoft.com/office/drawing/2007/8/2/chart" uri="{6F2FDCE9-48DA-4B69-8628-5D25D57E5C99}">
              <c14:invertSolidFillFmt>
                <c14:spPr xmlns:c14="http://schemas.microsoft.com/office/drawing/2007/8/2/chart">
                  <a:solidFill>
                    <a:srgbClr val="FFFFFF"/>
                  </a:solidFill>
                </c14:spPr>
              </c14:invertSolidFillFmt>
            </c:ext>
            <c:ext xmlns:c16="http://schemas.microsoft.com/office/drawing/2014/chart" uri="{C3380CC4-5D6E-409C-BE32-E72D297353CC}">
              <c16:uniqueId val="{0000000A-7D3C-474D-9A5D-5CB5889A0407}"/>
            </c:ext>
          </c:extLst>
        </c:ser>
        <c:ser>
          <c:idx val="3"/>
          <c:order val="3"/>
          <c:tx>
            <c:strRef>
              <c:f>Лист2!$Y$77</c:f>
              <c:strCache>
                <c:ptCount val="1"/>
                <c:pt idx="0">
                  <c:v>PRF-згусток і Біоцерулін</c:v>
                </c:pt>
              </c:strCache>
            </c:strRef>
          </c:tx>
          <c:spPr>
            <a:solidFill>
              <a:srgbClr val="FFFF00"/>
            </a:solidFill>
          </c:spPr>
          <c:invertIfNegative val="1"/>
          <c:dLbls>
            <c:dLbl>
              <c:idx val="0"/>
              <c:layout>
                <c:manualLayout>
                  <c:x val="6.6755674232310443E-3"/>
                  <c:y val="1.3157894736842065E-2"/>
                </c:manualLayout>
              </c:layout>
              <c:tx>
                <c:rich>
                  <a:bodyPr/>
                  <a:lstStyle/>
                  <a:p>
                    <a:r>
                      <a:rPr lang="en-US" sz="1200" b="1"/>
                      <a:t>*</a:t>
                    </a:r>
                    <a:endParaRPr lang="en-US"/>
                  </a:p>
                </c:rich>
              </c:tx>
              <c:showLegendKey val="1"/>
              <c:showVal val="1"/>
              <c:showCatName val="1"/>
              <c:showSerName val="1"/>
              <c:showPercent val="1"/>
              <c:showBubbleSize val="1"/>
              <c:extLst>
                <c:ext xmlns:c15="http://schemas.microsoft.com/office/drawing/2012/chart" uri="{CE6537A1-D6FC-4f65-9D91-7224C49458BB}"/>
                <c:ext xmlns:c16="http://schemas.microsoft.com/office/drawing/2014/chart" uri="{C3380CC4-5D6E-409C-BE32-E72D297353CC}">
                  <c16:uniqueId val="{0000000B-7D3C-474D-9A5D-5CB5889A0407}"/>
                </c:ext>
              </c:extLst>
            </c:dLbl>
            <c:dLbl>
              <c:idx val="1"/>
              <c:layout>
                <c:manualLayout>
                  <c:x val="1.3351134846461993E-2"/>
                  <c:y val="8.771929824561403E-3"/>
                </c:manualLayout>
              </c:layout>
              <c:tx>
                <c:rich>
                  <a:bodyPr/>
                  <a:lstStyle/>
                  <a:p>
                    <a:r>
                      <a:rPr lang="en-US" sz="1200" b="1"/>
                      <a:t>*</a:t>
                    </a:r>
                    <a:endParaRPr lang="en-US"/>
                  </a:p>
                </c:rich>
              </c:tx>
              <c:showLegendKey val="1"/>
              <c:showVal val="1"/>
              <c:showCatName val="1"/>
              <c:showSerName val="1"/>
              <c:showPercent val="1"/>
              <c:showBubbleSize val="1"/>
              <c:extLst>
                <c:ext xmlns:c15="http://schemas.microsoft.com/office/drawing/2012/chart" uri="{CE6537A1-D6FC-4f65-9D91-7224C49458BB}"/>
                <c:ext xmlns:c16="http://schemas.microsoft.com/office/drawing/2014/chart" uri="{C3380CC4-5D6E-409C-BE32-E72D297353CC}">
                  <c16:uniqueId val="{0000000C-7D3C-474D-9A5D-5CB5889A0407}"/>
                </c:ext>
              </c:extLst>
            </c:dLbl>
            <c:dLbl>
              <c:idx val="2"/>
              <c:layout>
                <c:manualLayout>
                  <c:x val="1.0864037505734017E-2"/>
                  <c:y val="1.6945397942422245E-2"/>
                </c:manualLayout>
              </c:layout>
              <c:tx>
                <c:rich>
                  <a:bodyPr/>
                  <a:lstStyle/>
                  <a:p>
                    <a:r>
                      <a:rPr lang="en-US" sz="1200" b="1"/>
                      <a:t>*</a:t>
                    </a:r>
                    <a:endParaRPr lang="en-US"/>
                  </a:p>
                </c:rich>
              </c:tx>
              <c:showLegendKey val="1"/>
              <c:showVal val="1"/>
              <c:showCatName val="1"/>
              <c:showSerName val="1"/>
              <c:showPercent val="1"/>
              <c:showBubbleSize val="1"/>
              <c:extLst>
                <c:ext xmlns:c15="http://schemas.microsoft.com/office/drawing/2012/chart" uri="{CE6537A1-D6FC-4f65-9D91-7224C49458BB}"/>
                <c:ext xmlns:c16="http://schemas.microsoft.com/office/drawing/2014/chart" uri="{C3380CC4-5D6E-409C-BE32-E72D297353CC}">
                  <c16:uniqueId val="{0000000D-7D3C-474D-9A5D-5CB5889A0407}"/>
                </c:ext>
              </c:extLst>
            </c:dLbl>
            <c:dLbl>
              <c:idx val="3"/>
              <c:delete val="1"/>
              <c:extLst>
                <c:ext xmlns:c15="http://schemas.microsoft.com/office/drawing/2012/chart" uri="{CE6537A1-D6FC-4f65-9D91-7224C49458BB}"/>
                <c:ext xmlns:c16="http://schemas.microsoft.com/office/drawing/2014/chart" uri="{C3380CC4-5D6E-409C-BE32-E72D297353CC}">
                  <c16:uniqueId val="{0000000E-7D3C-474D-9A5D-5CB5889A0407}"/>
                </c:ext>
              </c:extLst>
            </c:dLbl>
            <c:spPr>
              <a:noFill/>
              <a:ln>
                <a:noFill/>
              </a:ln>
              <a:effectLst/>
            </c:spPr>
            <c:txPr>
              <a:bodyPr/>
              <a:lstStyle/>
              <a:p>
                <a:pPr>
                  <a:defRPr lang="uk-UA" sz="1200" b="1"/>
                </a:pPr>
                <a:endParaRPr lang="ru-RU"/>
              </a:p>
            </c:txPr>
            <c:showLegendKey val="1"/>
            <c:showVal val="1"/>
            <c:showCatName val="1"/>
            <c:showSerName val="1"/>
            <c:showPercent val="1"/>
            <c:showBubbleSize val="1"/>
            <c:showLeaderLines val="0"/>
            <c:extLst>
              <c:ext xmlns:c15="http://schemas.microsoft.com/office/drawing/2012/chart" uri="{CE6537A1-D6FC-4f65-9D91-7224C49458BB}">
                <c15:showLeaderLines val="0"/>
              </c:ext>
            </c:extLst>
          </c:dLbls>
          <c:cat>
            <c:strRef>
              <c:f>Лист2!$U$78:$U$81</c:f>
              <c:strCache>
                <c:ptCount val="4"/>
                <c:pt idx="0">
                  <c:v>3 міс</c:v>
                </c:pt>
                <c:pt idx="1">
                  <c:v>6 міс</c:v>
                </c:pt>
                <c:pt idx="2">
                  <c:v>9 міс</c:v>
                </c:pt>
                <c:pt idx="3">
                  <c:v>12 міс</c:v>
                </c:pt>
              </c:strCache>
            </c:strRef>
          </c:cat>
          <c:val>
            <c:numRef>
              <c:f>Лист2!$Y$78:$Y$81</c:f>
              <c:numCache>
                <c:formatCode>General</c:formatCode>
                <c:ptCount val="4"/>
                <c:pt idx="0" formatCode="0.00">
                  <c:v>136.69999999999999</c:v>
                </c:pt>
                <c:pt idx="1">
                  <c:v>119.8</c:v>
                </c:pt>
                <c:pt idx="2">
                  <c:v>112</c:v>
                </c:pt>
                <c:pt idx="3" formatCode="0.00">
                  <c:v>109.3</c:v>
                </c:pt>
              </c:numCache>
            </c:numRef>
          </c:val>
          <c:extLst>
            <c:ext xmlns:c14="http://schemas.microsoft.com/office/drawing/2007/8/2/chart" uri="{6F2FDCE9-48DA-4B69-8628-5D25D57E5C99}">
              <c14:invertSolidFillFmt>
                <c14:spPr xmlns:c14="http://schemas.microsoft.com/office/drawing/2007/8/2/chart">
                  <a:solidFill>
                    <a:srgbClr val="FFFFFF"/>
                  </a:solidFill>
                </c14:spPr>
              </c14:invertSolidFillFmt>
            </c:ext>
            <c:ext xmlns:c16="http://schemas.microsoft.com/office/drawing/2014/chart" uri="{C3380CC4-5D6E-409C-BE32-E72D297353CC}">
              <c16:uniqueId val="{0000000F-7D3C-474D-9A5D-5CB5889A0407}"/>
            </c:ext>
          </c:extLst>
        </c:ser>
        <c:dLbls>
          <c:showLegendKey val="0"/>
          <c:showVal val="0"/>
          <c:showCatName val="0"/>
          <c:showSerName val="0"/>
          <c:showPercent val="0"/>
          <c:showBubbleSize val="0"/>
        </c:dLbls>
        <c:gapWidth val="150"/>
        <c:shape val="box"/>
        <c:axId val="130224640"/>
        <c:axId val="283381120"/>
        <c:axId val="0"/>
      </c:bar3DChart>
      <c:catAx>
        <c:axId val="130224640"/>
        <c:scaling>
          <c:orientation val="minMax"/>
        </c:scaling>
        <c:delete val="1"/>
        <c:axPos val="b"/>
        <c:numFmt formatCode="General" sourceLinked="0"/>
        <c:majorTickMark val="none"/>
        <c:minorTickMark val="cross"/>
        <c:tickLblPos val="nextTo"/>
        <c:crossAx val="283381120"/>
        <c:crosses val="autoZero"/>
        <c:auto val="1"/>
        <c:lblAlgn val="ctr"/>
        <c:lblOffset val="100"/>
        <c:noMultiLvlLbl val="1"/>
      </c:catAx>
      <c:valAx>
        <c:axId val="283381120"/>
        <c:scaling>
          <c:orientation val="minMax"/>
        </c:scaling>
        <c:delete val="1"/>
        <c:axPos val="l"/>
        <c:majorGridlines/>
        <c:title>
          <c:tx>
            <c:rich>
              <a:bodyPr/>
              <a:lstStyle/>
              <a:p>
                <a:pPr>
                  <a:defRPr lang="uk-UA"/>
                </a:pPr>
                <a:r>
                  <a:rPr lang="ru-RU"/>
                  <a:t>% від рівня інтактної групи</a:t>
                </a:r>
              </a:p>
            </c:rich>
          </c:tx>
          <c:overlay val="1"/>
        </c:title>
        <c:numFmt formatCode="General" sourceLinked="1"/>
        <c:majorTickMark val="cross"/>
        <c:minorTickMark val="cross"/>
        <c:tickLblPos val="nextTo"/>
        <c:crossAx val="130224640"/>
        <c:crosses val="autoZero"/>
        <c:crossBetween val="between"/>
      </c:valAx>
    </c:plotArea>
    <c:legend>
      <c:legendPos val="r"/>
      <c:layout>
        <c:manualLayout>
          <c:xMode val="edge"/>
          <c:yMode val="edge"/>
          <c:x val="0.64390419947506561"/>
          <c:y val="6.4047098279381764E-2"/>
          <c:w val="0.25343891298405891"/>
          <c:h val="0.29619841745825998"/>
        </c:manualLayout>
      </c:layout>
      <c:overlay val="1"/>
      <c:txPr>
        <a:bodyPr/>
        <a:lstStyle/>
        <a:p>
          <a:pPr>
            <a:defRPr lang="uk-UA"/>
          </a:pPr>
          <a:endParaRPr lang="ru-RU"/>
        </a:p>
      </c:txPr>
    </c:legend>
    <c:plotVisOnly val="1"/>
    <c:dispBlanksAs val="zero"/>
    <c:showDLblsOverMax val="1"/>
  </c:chart>
  <c:spPr>
    <a:noFill/>
    <a:ln>
      <a:noFill/>
    </a:ln>
  </c:sp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1"/>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0"/>
      <c:rotY val="0"/>
      <c:rAngAx val="1"/>
    </c:view3D>
    <c:floor>
      <c:thickness val="0"/>
    </c:floor>
    <c:sideWall>
      <c:thickness val="0"/>
    </c:sideWall>
    <c:backWall>
      <c:thickness val="0"/>
    </c:backWall>
    <c:plotArea>
      <c:layout>
        <c:manualLayout>
          <c:layoutTarget val="inner"/>
          <c:xMode val="edge"/>
          <c:yMode val="edge"/>
          <c:x val="0.11400363945332521"/>
          <c:y val="5.1400554097404488E-2"/>
          <c:w val="0.77810522778855773"/>
          <c:h val="0.85576771653543549"/>
        </c:manualLayout>
      </c:layout>
      <c:bar3DChart>
        <c:barDir val="col"/>
        <c:grouping val="clustered"/>
        <c:varyColors val="1"/>
        <c:ser>
          <c:idx val="0"/>
          <c:order val="0"/>
          <c:tx>
            <c:strRef>
              <c:f>Лист2!$V$89</c:f>
              <c:strCache>
                <c:ptCount val="1"/>
                <c:pt idx="0">
                  <c:v>інтактна група</c:v>
                </c:pt>
              </c:strCache>
            </c:strRef>
          </c:tx>
          <c:invertIfNegative val="1"/>
          <c:cat>
            <c:strRef>
              <c:f>Лист2!$U$90:$U$93</c:f>
              <c:strCache>
                <c:ptCount val="4"/>
                <c:pt idx="0">
                  <c:v>3 міс</c:v>
                </c:pt>
                <c:pt idx="1">
                  <c:v>6 міс</c:v>
                </c:pt>
                <c:pt idx="2">
                  <c:v>9 міс</c:v>
                </c:pt>
                <c:pt idx="3">
                  <c:v>12 міс</c:v>
                </c:pt>
              </c:strCache>
            </c:strRef>
          </c:cat>
          <c:val>
            <c:numRef>
              <c:f>Лист2!$V$90:$V$93</c:f>
              <c:numCache>
                <c:formatCode>General</c:formatCode>
                <c:ptCount val="4"/>
                <c:pt idx="0">
                  <c:v>100</c:v>
                </c:pt>
                <c:pt idx="1">
                  <c:v>100</c:v>
                </c:pt>
                <c:pt idx="2">
                  <c:v>100</c:v>
                </c:pt>
                <c:pt idx="3">
                  <c:v>100</c:v>
                </c:pt>
              </c:numCache>
            </c:numRef>
          </c:val>
          <c:extLst>
            <c:ext xmlns:c16="http://schemas.microsoft.com/office/drawing/2014/chart" uri="{C3380CC4-5D6E-409C-BE32-E72D297353CC}">
              <c16:uniqueId val="{00000000-1840-4A9B-9268-D478B59D7C97}"/>
            </c:ext>
          </c:extLst>
        </c:ser>
        <c:ser>
          <c:idx val="1"/>
          <c:order val="1"/>
          <c:tx>
            <c:strRef>
              <c:f>Лист2!$W$89</c:f>
              <c:strCache>
                <c:ptCount val="1"/>
                <c:pt idx="0">
                  <c:v>група порівняння</c:v>
                </c:pt>
              </c:strCache>
            </c:strRef>
          </c:tx>
          <c:spPr>
            <a:solidFill>
              <a:srgbClr val="FF0000"/>
            </a:solidFill>
          </c:spPr>
          <c:invertIfNegative val="1"/>
          <c:dLbls>
            <c:dLbl>
              <c:idx val="0"/>
              <c:layout>
                <c:manualLayout>
                  <c:x val="5.7537399309551436E-3"/>
                  <c:y val="1.642036124794756E-2"/>
                </c:manualLayout>
              </c:layout>
              <c:tx>
                <c:rich>
                  <a:bodyPr/>
                  <a:lstStyle/>
                  <a:p>
                    <a:r>
                      <a:rPr lang="en-US" sz="1200" b="1"/>
                      <a:t>*</a:t>
                    </a:r>
                    <a:endParaRPr lang="en-US"/>
                  </a:p>
                </c:rich>
              </c:tx>
              <c:showLegendKey val="1"/>
              <c:showVal val="1"/>
              <c:showCatName val="1"/>
              <c:showSerName val="1"/>
              <c:showPercent val="1"/>
              <c:showBubbleSize val="1"/>
              <c:extLst>
                <c:ext xmlns:c15="http://schemas.microsoft.com/office/drawing/2012/chart" uri="{CE6537A1-D6FC-4f65-9D91-7224C49458BB}"/>
                <c:ext xmlns:c16="http://schemas.microsoft.com/office/drawing/2014/chart" uri="{C3380CC4-5D6E-409C-BE32-E72D297353CC}">
                  <c16:uniqueId val="{00000001-1840-4A9B-9268-D478B59D7C97}"/>
                </c:ext>
              </c:extLst>
            </c:dLbl>
            <c:dLbl>
              <c:idx val="1"/>
              <c:layout>
                <c:manualLayout>
                  <c:x val="5.7537399309551436E-3"/>
                  <c:y val="1.2315270935960593E-2"/>
                </c:manualLayout>
              </c:layout>
              <c:tx>
                <c:rich>
                  <a:bodyPr/>
                  <a:lstStyle/>
                  <a:p>
                    <a:r>
                      <a:rPr lang="en-US" sz="1200" b="1"/>
                      <a:t>*</a:t>
                    </a:r>
                    <a:endParaRPr lang="en-US"/>
                  </a:p>
                </c:rich>
              </c:tx>
              <c:showLegendKey val="1"/>
              <c:showVal val="1"/>
              <c:showCatName val="1"/>
              <c:showSerName val="1"/>
              <c:showPercent val="1"/>
              <c:showBubbleSize val="1"/>
              <c:extLst>
                <c:ext xmlns:c15="http://schemas.microsoft.com/office/drawing/2012/chart" uri="{CE6537A1-D6FC-4f65-9D91-7224C49458BB}"/>
                <c:ext xmlns:c16="http://schemas.microsoft.com/office/drawing/2014/chart" uri="{C3380CC4-5D6E-409C-BE32-E72D297353CC}">
                  <c16:uniqueId val="{00000002-1840-4A9B-9268-D478B59D7C97}"/>
                </c:ext>
              </c:extLst>
            </c:dLbl>
            <c:dLbl>
              <c:idx val="2"/>
              <c:layout>
                <c:manualLayout>
                  <c:x val="5.7537399309551436E-3"/>
                  <c:y val="8.2101806239737209E-3"/>
                </c:manualLayout>
              </c:layout>
              <c:tx>
                <c:rich>
                  <a:bodyPr/>
                  <a:lstStyle/>
                  <a:p>
                    <a:r>
                      <a:rPr lang="en-US" sz="1200" b="1"/>
                      <a:t>*</a:t>
                    </a:r>
                    <a:endParaRPr lang="en-US"/>
                  </a:p>
                </c:rich>
              </c:tx>
              <c:showLegendKey val="1"/>
              <c:showVal val="1"/>
              <c:showCatName val="1"/>
              <c:showSerName val="1"/>
              <c:showPercent val="1"/>
              <c:showBubbleSize val="1"/>
              <c:extLst>
                <c:ext xmlns:c15="http://schemas.microsoft.com/office/drawing/2012/chart" uri="{CE6537A1-D6FC-4f65-9D91-7224C49458BB}"/>
                <c:ext xmlns:c16="http://schemas.microsoft.com/office/drawing/2014/chart" uri="{C3380CC4-5D6E-409C-BE32-E72D297353CC}">
                  <c16:uniqueId val="{00000003-1840-4A9B-9268-D478B59D7C97}"/>
                </c:ext>
              </c:extLst>
            </c:dLbl>
            <c:dLbl>
              <c:idx val="3"/>
              <c:delete val="1"/>
              <c:extLst>
                <c:ext xmlns:c15="http://schemas.microsoft.com/office/drawing/2012/chart" uri="{CE6537A1-D6FC-4f65-9D91-7224C49458BB}"/>
                <c:ext xmlns:c16="http://schemas.microsoft.com/office/drawing/2014/chart" uri="{C3380CC4-5D6E-409C-BE32-E72D297353CC}">
                  <c16:uniqueId val="{00000004-1840-4A9B-9268-D478B59D7C97}"/>
                </c:ext>
              </c:extLst>
            </c:dLbl>
            <c:spPr>
              <a:noFill/>
              <a:ln>
                <a:noFill/>
              </a:ln>
              <a:effectLst/>
            </c:spPr>
            <c:txPr>
              <a:bodyPr/>
              <a:lstStyle/>
              <a:p>
                <a:pPr>
                  <a:defRPr lang="uk-UA" sz="1200" b="1"/>
                </a:pPr>
                <a:endParaRPr lang="ru-RU"/>
              </a:p>
            </c:txPr>
            <c:showLegendKey val="1"/>
            <c:showVal val="1"/>
            <c:showCatName val="1"/>
            <c:showSerName val="1"/>
            <c:showPercent val="1"/>
            <c:showBubbleSize val="1"/>
            <c:showLeaderLines val="0"/>
            <c:extLst>
              <c:ext xmlns:c15="http://schemas.microsoft.com/office/drawing/2012/chart" uri="{CE6537A1-D6FC-4f65-9D91-7224C49458BB}">
                <c15:showLeaderLines val="0"/>
              </c:ext>
            </c:extLst>
          </c:dLbls>
          <c:cat>
            <c:strRef>
              <c:f>Лист2!$U$90:$U$93</c:f>
              <c:strCache>
                <c:ptCount val="4"/>
                <c:pt idx="0">
                  <c:v>3 міс</c:v>
                </c:pt>
                <c:pt idx="1">
                  <c:v>6 міс</c:v>
                </c:pt>
                <c:pt idx="2">
                  <c:v>9 міс</c:v>
                </c:pt>
                <c:pt idx="3">
                  <c:v>12 міс</c:v>
                </c:pt>
              </c:strCache>
            </c:strRef>
          </c:cat>
          <c:val>
            <c:numRef>
              <c:f>Лист2!$W$90:$W$93</c:f>
              <c:numCache>
                <c:formatCode>General</c:formatCode>
                <c:ptCount val="4"/>
                <c:pt idx="0">
                  <c:v>207.2</c:v>
                </c:pt>
                <c:pt idx="1">
                  <c:v>156</c:v>
                </c:pt>
                <c:pt idx="2">
                  <c:v>122.4</c:v>
                </c:pt>
                <c:pt idx="3">
                  <c:v>110.1</c:v>
                </c:pt>
              </c:numCache>
            </c:numRef>
          </c:val>
          <c:extLst>
            <c:ext xmlns:c14="http://schemas.microsoft.com/office/drawing/2007/8/2/chart" uri="{6F2FDCE9-48DA-4B69-8628-5D25D57E5C99}">
              <c14:invertSolidFillFmt>
                <c14:spPr xmlns:c14="http://schemas.microsoft.com/office/drawing/2007/8/2/chart">
                  <a:solidFill>
                    <a:srgbClr val="FFFFFF"/>
                  </a:solidFill>
                </c14:spPr>
              </c14:invertSolidFillFmt>
            </c:ext>
            <c:ext xmlns:c16="http://schemas.microsoft.com/office/drawing/2014/chart" uri="{C3380CC4-5D6E-409C-BE32-E72D297353CC}">
              <c16:uniqueId val="{00000005-1840-4A9B-9268-D478B59D7C97}"/>
            </c:ext>
          </c:extLst>
        </c:ser>
        <c:ser>
          <c:idx val="2"/>
          <c:order val="2"/>
          <c:tx>
            <c:strRef>
              <c:f>Лист2!$X$89</c:f>
              <c:strCache>
                <c:ptCount val="1"/>
                <c:pt idx="0">
                  <c:v>PRF-згусток</c:v>
                </c:pt>
              </c:strCache>
            </c:strRef>
          </c:tx>
          <c:spPr>
            <a:solidFill>
              <a:srgbClr val="00B050"/>
            </a:solidFill>
          </c:spPr>
          <c:invertIfNegative val="1"/>
          <c:dLbls>
            <c:dLbl>
              <c:idx val="0"/>
              <c:layout>
                <c:manualLayout>
                  <c:x val="9.5895665515919101E-3"/>
                  <c:y val="1.2315270935960555E-2"/>
                </c:manualLayout>
              </c:layout>
              <c:tx>
                <c:rich>
                  <a:bodyPr/>
                  <a:lstStyle/>
                  <a:p>
                    <a:r>
                      <a:rPr lang="en-US" sz="1200" b="1"/>
                      <a:t>*</a:t>
                    </a:r>
                    <a:endParaRPr lang="en-US"/>
                  </a:p>
                </c:rich>
              </c:tx>
              <c:showLegendKey val="1"/>
              <c:showVal val="1"/>
              <c:showCatName val="1"/>
              <c:showSerName val="1"/>
              <c:showPercent val="1"/>
              <c:showBubbleSize val="1"/>
              <c:extLst>
                <c:ext xmlns:c15="http://schemas.microsoft.com/office/drawing/2012/chart" uri="{CE6537A1-D6FC-4f65-9D91-7224C49458BB}"/>
                <c:ext xmlns:c16="http://schemas.microsoft.com/office/drawing/2014/chart" uri="{C3380CC4-5D6E-409C-BE32-E72D297353CC}">
                  <c16:uniqueId val="{00000006-1840-4A9B-9268-D478B59D7C97}"/>
                </c:ext>
              </c:extLst>
            </c:dLbl>
            <c:dLbl>
              <c:idx val="1"/>
              <c:layout>
                <c:manualLayout>
                  <c:x val="7.6716532412735268E-3"/>
                  <c:y val="1.2315270935960593E-2"/>
                </c:manualLayout>
              </c:layout>
              <c:tx>
                <c:rich>
                  <a:bodyPr/>
                  <a:lstStyle/>
                  <a:p>
                    <a:r>
                      <a:rPr lang="en-US" sz="1200" b="1"/>
                      <a:t>*</a:t>
                    </a:r>
                    <a:endParaRPr lang="en-US"/>
                  </a:p>
                </c:rich>
              </c:tx>
              <c:showLegendKey val="1"/>
              <c:showVal val="1"/>
              <c:showCatName val="1"/>
              <c:showSerName val="1"/>
              <c:showPercent val="1"/>
              <c:showBubbleSize val="1"/>
              <c:extLst>
                <c:ext xmlns:c15="http://schemas.microsoft.com/office/drawing/2012/chart" uri="{CE6537A1-D6FC-4f65-9D91-7224C49458BB}"/>
                <c:ext xmlns:c16="http://schemas.microsoft.com/office/drawing/2014/chart" uri="{C3380CC4-5D6E-409C-BE32-E72D297353CC}">
                  <c16:uniqueId val="{00000007-1840-4A9B-9268-D478B59D7C97}"/>
                </c:ext>
              </c:extLst>
            </c:dLbl>
            <c:dLbl>
              <c:idx val="2"/>
              <c:layout>
                <c:manualLayout>
                  <c:x val="6.0386473429951959E-3"/>
                  <c:y val="0"/>
                </c:manualLayout>
              </c:layout>
              <c:tx>
                <c:rich>
                  <a:bodyPr/>
                  <a:lstStyle/>
                  <a:p>
                    <a:r>
                      <a:rPr lang="en-US"/>
                      <a:t>*</a:t>
                    </a:r>
                  </a:p>
                </c:rich>
              </c:tx>
              <c:showLegendKey val="1"/>
              <c:showVal val="1"/>
              <c:showCatName val="1"/>
              <c:showSerName val="1"/>
              <c:showPercent val="1"/>
              <c:showBubbleSize val="1"/>
              <c:extLst>
                <c:ext xmlns:c15="http://schemas.microsoft.com/office/drawing/2012/chart" uri="{CE6537A1-D6FC-4f65-9D91-7224C49458BB}"/>
                <c:ext xmlns:c16="http://schemas.microsoft.com/office/drawing/2014/chart" uri="{C3380CC4-5D6E-409C-BE32-E72D297353CC}">
                  <c16:uniqueId val="{00000008-1840-4A9B-9268-D478B59D7C97}"/>
                </c:ext>
              </c:extLst>
            </c:dLbl>
            <c:dLbl>
              <c:idx val="3"/>
              <c:delete val="1"/>
              <c:extLst>
                <c:ext xmlns:c15="http://schemas.microsoft.com/office/drawing/2012/chart" uri="{CE6537A1-D6FC-4f65-9D91-7224C49458BB}"/>
                <c:ext xmlns:c16="http://schemas.microsoft.com/office/drawing/2014/chart" uri="{C3380CC4-5D6E-409C-BE32-E72D297353CC}">
                  <c16:uniqueId val="{00000009-1840-4A9B-9268-D478B59D7C97}"/>
                </c:ext>
              </c:extLst>
            </c:dLbl>
            <c:spPr>
              <a:noFill/>
              <a:ln>
                <a:noFill/>
              </a:ln>
              <a:effectLst/>
            </c:spPr>
            <c:txPr>
              <a:bodyPr/>
              <a:lstStyle/>
              <a:p>
                <a:pPr>
                  <a:defRPr lang="uk-UA" sz="1200" b="1"/>
                </a:pPr>
                <a:endParaRPr lang="ru-RU"/>
              </a:p>
            </c:txPr>
            <c:showLegendKey val="1"/>
            <c:showVal val="1"/>
            <c:showCatName val="1"/>
            <c:showSerName val="1"/>
            <c:showPercent val="1"/>
            <c:showBubbleSize val="1"/>
            <c:showLeaderLines val="0"/>
            <c:extLst>
              <c:ext xmlns:c15="http://schemas.microsoft.com/office/drawing/2012/chart" uri="{CE6537A1-D6FC-4f65-9D91-7224C49458BB}">
                <c15:showLeaderLines val="0"/>
              </c:ext>
            </c:extLst>
          </c:dLbls>
          <c:cat>
            <c:strRef>
              <c:f>Лист2!$U$90:$U$93</c:f>
              <c:strCache>
                <c:ptCount val="4"/>
                <c:pt idx="0">
                  <c:v>3 міс</c:v>
                </c:pt>
                <c:pt idx="1">
                  <c:v>6 міс</c:v>
                </c:pt>
                <c:pt idx="2">
                  <c:v>9 міс</c:v>
                </c:pt>
                <c:pt idx="3">
                  <c:v>12 міс</c:v>
                </c:pt>
              </c:strCache>
            </c:strRef>
          </c:cat>
          <c:val>
            <c:numRef>
              <c:f>Лист2!$X$90:$X$93</c:f>
              <c:numCache>
                <c:formatCode>General</c:formatCode>
                <c:ptCount val="4"/>
                <c:pt idx="0" formatCode="0.00">
                  <c:v>172.4</c:v>
                </c:pt>
                <c:pt idx="1">
                  <c:v>122</c:v>
                </c:pt>
                <c:pt idx="2">
                  <c:v>105.6</c:v>
                </c:pt>
                <c:pt idx="3" formatCode="0.00">
                  <c:v>100.4</c:v>
                </c:pt>
              </c:numCache>
            </c:numRef>
          </c:val>
          <c:extLst>
            <c:ext xmlns:c14="http://schemas.microsoft.com/office/drawing/2007/8/2/chart" uri="{6F2FDCE9-48DA-4B69-8628-5D25D57E5C99}">
              <c14:invertSolidFillFmt>
                <c14:spPr xmlns:c14="http://schemas.microsoft.com/office/drawing/2007/8/2/chart">
                  <a:solidFill>
                    <a:srgbClr val="FFFFFF"/>
                  </a:solidFill>
                </c14:spPr>
              </c14:invertSolidFillFmt>
            </c:ext>
            <c:ext xmlns:c16="http://schemas.microsoft.com/office/drawing/2014/chart" uri="{C3380CC4-5D6E-409C-BE32-E72D297353CC}">
              <c16:uniqueId val="{0000000A-1840-4A9B-9268-D478B59D7C97}"/>
            </c:ext>
          </c:extLst>
        </c:ser>
        <c:ser>
          <c:idx val="3"/>
          <c:order val="3"/>
          <c:tx>
            <c:strRef>
              <c:f>Лист2!$Y$89</c:f>
              <c:strCache>
                <c:ptCount val="1"/>
                <c:pt idx="0">
                  <c:v>PRF-згусток і Біоцерулін</c:v>
                </c:pt>
              </c:strCache>
            </c:strRef>
          </c:tx>
          <c:spPr>
            <a:solidFill>
              <a:srgbClr val="FFFF00"/>
            </a:solidFill>
          </c:spPr>
          <c:invertIfNegative val="1"/>
          <c:dLbls>
            <c:dLbl>
              <c:idx val="0"/>
              <c:layout>
                <c:manualLayout>
                  <c:x val="1.1507479861910332E-2"/>
                  <c:y val="4.1050903119868639E-3"/>
                </c:manualLayout>
              </c:layout>
              <c:tx>
                <c:rich>
                  <a:bodyPr/>
                  <a:lstStyle/>
                  <a:p>
                    <a:r>
                      <a:rPr lang="en-US" sz="1200" b="1"/>
                      <a:t>*</a:t>
                    </a:r>
                    <a:endParaRPr lang="en-US"/>
                  </a:p>
                </c:rich>
              </c:tx>
              <c:showLegendKey val="1"/>
              <c:showVal val="1"/>
              <c:showCatName val="1"/>
              <c:showSerName val="1"/>
              <c:showPercent val="1"/>
              <c:showBubbleSize val="1"/>
              <c:extLst>
                <c:ext xmlns:c15="http://schemas.microsoft.com/office/drawing/2012/chart" uri="{CE6537A1-D6FC-4f65-9D91-7224C49458BB}"/>
                <c:ext xmlns:c16="http://schemas.microsoft.com/office/drawing/2014/chart" uri="{C3380CC4-5D6E-409C-BE32-E72D297353CC}">
                  <c16:uniqueId val="{0000000B-1840-4A9B-9268-D478B59D7C97}"/>
                </c:ext>
              </c:extLst>
            </c:dLbl>
            <c:dLbl>
              <c:idx val="1"/>
              <c:layout>
                <c:manualLayout>
                  <c:x val="7.6716532412735268E-3"/>
                  <c:y val="1.642036124794756E-2"/>
                </c:manualLayout>
              </c:layout>
              <c:tx>
                <c:rich>
                  <a:bodyPr/>
                  <a:lstStyle/>
                  <a:p>
                    <a:r>
                      <a:rPr lang="en-US" sz="1200" b="1"/>
                      <a:t>*</a:t>
                    </a:r>
                    <a:endParaRPr lang="en-US"/>
                  </a:p>
                </c:rich>
              </c:tx>
              <c:showLegendKey val="1"/>
              <c:showVal val="1"/>
              <c:showCatName val="1"/>
              <c:showSerName val="1"/>
              <c:showPercent val="1"/>
              <c:showBubbleSize val="1"/>
              <c:extLst>
                <c:ext xmlns:c15="http://schemas.microsoft.com/office/drawing/2012/chart" uri="{CE6537A1-D6FC-4f65-9D91-7224C49458BB}"/>
                <c:ext xmlns:c16="http://schemas.microsoft.com/office/drawing/2014/chart" uri="{C3380CC4-5D6E-409C-BE32-E72D297353CC}">
                  <c16:uniqueId val="{0000000C-1840-4A9B-9268-D478B59D7C97}"/>
                </c:ext>
              </c:extLst>
            </c:dLbl>
            <c:dLbl>
              <c:idx val="2"/>
              <c:tx>
                <c:rich>
                  <a:bodyPr/>
                  <a:lstStyle/>
                  <a:p>
                    <a:r>
                      <a:rPr lang="en-US"/>
                      <a:t>*</a:t>
                    </a:r>
                  </a:p>
                </c:rich>
              </c:tx>
              <c:showLegendKey val="1"/>
              <c:showVal val="1"/>
              <c:showCatName val="1"/>
              <c:showSerName val="1"/>
              <c:showPercent val="1"/>
              <c:showBubbleSize val="1"/>
              <c:extLst>
                <c:ext xmlns:c15="http://schemas.microsoft.com/office/drawing/2012/chart" uri="{CE6537A1-D6FC-4f65-9D91-7224C49458BB}"/>
                <c:ext xmlns:c16="http://schemas.microsoft.com/office/drawing/2014/chart" uri="{C3380CC4-5D6E-409C-BE32-E72D297353CC}">
                  <c16:uniqueId val="{0000000D-1840-4A9B-9268-D478B59D7C97}"/>
                </c:ext>
              </c:extLst>
            </c:dLbl>
            <c:dLbl>
              <c:idx val="3"/>
              <c:delete val="1"/>
              <c:extLst>
                <c:ext xmlns:c15="http://schemas.microsoft.com/office/drawing/2012/chart" uri="{CE6537A1-D6FC-4f65-9D91-7224C49458BB}"/>
                <c:ext xmlns:c16="http://schemas.microsoft.com/office/drawing/2014/chart" uri="{C3380CC4-5D6E-409C-BE32-E72D297353CC}">
                  <c16:uniqueId val="{0000000E-1840-4A9B-9268-D478B59D7C97}"/>
                </c:ext>
              </c:extLst>
            </c:dLbl>
            <c:spPr>
              <a:noFill/>
              <a:ln>
                <a:noFill/>
              </a:ln>
              <a:effectLst/>
            </c:spPr>
            <c:txPr>
              <a:bodyPr/>
              <a:lstStyle/>
              <a:p>
                <a:pPr>
                  <a:defRPr lang="uk-UA" sz="1200" b="1"/>
                </a:pPr>
                <a:endParaRPr lang="ru-RU"/>
              </a:p>
            </c:txPr>
            <c:showLegendKey val="1"/>
            <c:showVal val="1"/>
            <c:showCatName val="1"/>
            <c:showSerName val="1"/>
            <c:showPercent val="1"/>
            <c:showBubbleSize val="1"/>
            <c:showLeaderLines val="0"/>
            <c:extLst>
              <c:ext xmlns:c15="http://schemas.microsoft.com/office/drawing/2012/chart" uri="{CE6537A1-D6FC-4f65-9D91-7224C49458BB}">
                <c15:showLeaderLines val="0"/>
              </c:ext>
            </c:extLst>
          </c:dLbls>
          <c:cat>
            <c:strRef>
              <c:f>Лист2!$U$90:$U$93</c:f>
              <c:strCache>
                <c:ptCount val="4"/>
                <c:pt idx="0">
                  <c:v>3 міс</c:v>
                </c:pt>
                <c:pt idx="1">
                  <c:v>6 міс</c:v>
                </c:pt>
                <c:pt idx="2">
                  <c:v>9 міс</c:v>
                </c:pt>
                <c:pt idx="3">
                  <c:v>12 міс</c:v>
                </c:pt>
              </c:strCache>
            </c:strRef>
          </c:cat>
          <c:val>
            <c:numRef>
              <c:f>Лист2!$Y$90:$Y$93</c:f>
              <c:numCache>
                <c:formatCode>General</c:formatCode>
                <c:ptCount val="4"/>
                <c:pt idx="0" formatCode="0.00">
                  <c:v>145.80000000000001</c:v>
                </c:pt>
                <c:pt idx="1">
                  <c:v>118.8</c:v>
                </c:pt>
                <c:pt idx="2">
                  <c:v>108.4</c:v>
                </c:pt>
                <c:pt idx="3" formatCode="0.00">
                  <c:v>110.8</c:v>
                </c:pt>
              </c:numCache>
            </c:numRef>
          </c:val>
          <c:extLst>
            <c:ext xmlns:c14="http://schemas.microsoft.com/office/drawing/2007/8/2/chart" uri="{6F2FDCE9-48DA-4B69-8628-5D25D57E5C99}">
              <c14:invertSolidFillFmt>
                <c14:spPr xmlns:c14="http://schemas.microsoft.com/office/drawing/2007/8/2/chart">
                  <a:solidFill>
                    <a:srgbClr val="FFFFFF"/>
                  </a:solidFill>
                </c14:spPr>
              </c14:invertSolidFillFmt>
            </c:ext>
            <c:ext xmlns:c16="http://schemas.microsoft.com/office/drawing/2014/chart" uri="{C3380CC4-5D6E-409C-BE32-E72D297353CC}">
              <c16:uniqueId val="{0000000F-1840-4A9B-9268-D478B59D7C97}"/>
            </c:ext>
          </c:extLst>
        </c:ser>
        <c:dLbls>
          <c:showLegendKey val="0"/>
          <c:showVal val="0"/>
          <c:showCatName val="0"/>
          <c:showSerName val="0"/>
          <c:showPercent val="0"/>
          <c:showBubbleSize val="0"/>
        </c:dLbls>
        <c:gapWidth val="150"/>
        <c:shape val="box"/>
        <c:axId val="242461184"/>
        <c:axId val="283382848"/>
        <c:axId val="0"/>
      </c:bar3DChart>
      <c:catAx>
        <c:axId val="242461184"/>
        <c:scaling>
          <c:orientation val="minMax"/>
        </c:scaling>
        <c:delete val="1"/>
        <c:axPos val="b"/>
        <c:numFmt formatCode="General" sourceLinked="0"/>
        <c:majorTickMark val="none"/>
        <c:minorTickMark val="cross"/>
        <c:tickLblPos val="nextTo"/>
        <c:crossAx val="283382848"/>
        <c:crosses val="autoZero"/>
        <c:auto val="1"/>
        <c:lblAlgn val="ctr"/>
        <c:lblOffset val="100"/>
        <c:noMultiLvlLbl val="1"/>
      </c:catAx>
      <c:valAx>
        <c:axId val="283382848"/>
        <c:scaling>
          <c:orientation val="minMax"/>
        </c:scaling>
        <c:delete val="1"/>
        <c:axPos val="l"/>
        <c:majorGridlines/>
        <c:title>
          <c:tx>
            <c:rich>
              <a:bodyPr/>
              <a:lstStyle/>
              <a:p>
                <a:pPr>
                  <a:defRPr lang="uk-UA"/>
                </a:pPr>
                <a:r>
                  <a:rPr lang="ru-RU"/>
                  <a:t>% від рівня інтактної групи</a:t>
                </a:r>
              </a:p>
            </c:rich>
          </c:tx>
          <c:overlay val="1"/>
        </c:title>
        <c:numFmt formatCode="General" sourceLinked="1"/>
        <c:majorTickMark val="cross"/>
        <c:minorTickMark val="cross"/>
        <c:tickLblPos val="nextTo"/>
        <c:crossAx val="242461184"/>
        <c:crosses val="autoZero"/>
        <c:crossBetween val="between"/>
      </c:valAx>
    </c:plotArea>
    <c:legend>
      <c:legendPos val="r"/>
      <c:layout>
        <c:manualLayout>
          <c:xMode val="edge"/>
          <c:yMode val="edge"/>
          <c:x val="0.63688963698378753"/>
          <c:y val="5.0158209390492856E-2"/>
          <c:w val="0.28276259398734716"/>
          <c:h val="0.29692797021062239"/>
        </c:manualLayout>
      </c:layout>
      <c:overlay val="1"/>
      <c:txPr>
        <a:bodyPr/>
        <a:lstStyle/>
        <a:p>
          <a:pPr>
            <a:defRPr lang="uk-UA"/>
          </a:pPr>
          <a:endParaRPr lang="ru-RU"/>
        </a:p>
      </c:txPr>
    </c:legend>
    <c:plotVisOnly val="1"/>
    <c:dispBlanksAs val="zero"/>
    <c:showDLblsOverMax val="1"/>
  </c:chart>
  <c:spPr>
    <a:noFill/>
    <a:ln>
      <a:noFill/>
    </a:ln>
  </c:spPr>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FFA5AE-479D-4E56-979E-354DEC5FD3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51042</Words>
  <Characters>290945</Characters>
  <Application>Microsoft Office Word</Application>
  <DocSecurity>0</DocSecurity>
  <Lines>2424</Lines>
  <Paragraphs>682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341305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Давид Соломонович</dc:creator>
  <cp:keywords/>
  <dc:description/>
  <cp:lastModifiedBy>Пользователь Windows</cp:lastModifiedBy>
  <cp:revision>5</cp:revision>
  <cp:lastPrinted>2018-12-27T10:14:00Z</cp:lastPrinted>
  <dcterms:created xsi:type="dcterms:W3CDTF">2019-03-20T06:22:00Z</dcterms:created>
  <dcterms:modified xsi:type="dcterms:W3CDTF">2019-03-20T06:47:00Z</dcterms:modified>
</cp:coreProperties>
</file>