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41D" w:rsidRPr="00C2641D" w:rsidRDefault="00C2641D" w:rsidP="00C2641D">
      <w:pPr>
        <w:keepNext/>
        <w:keepLines/>
        <w:suppressAutoHyphens/>
        <w:spacing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</w:pPr>
      <w:bookmarkStart w:id="0" w:name="_Toc493257389"/>
      <w:bookmarkStart w:id="1" w:name="_Toc496272434"/>
      <w:bookmarkStart w:id="2" w:name="_GoBack"/>
      <w:r w:rsidRPr="00C2641D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Сучасне лікування когнітивних </w:t>
      </w:r>
      <w:bookmarkEnd w:id="2"/>
      <w:r w:rsidRPr="00C2641D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розладів у хворих</w:t>
      </w:r>
      <w:r w:rsidRPr="00C2641D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br/>
        <w:t>на черепно-мозкову травму (ЧМТ)</w:t>
      </w:r>
      <w:bookmarkEnd w:id="0"/>
      <w:bookmarkEnd w:id="1"/>
    </w:p>
    <w:p w:rsidR="00C2641D" w:rsidRPr="00C2641D" w:rsidRDefault="00C2641D" w:rsidP="00C2641D">
      <w:pPr>
        <w:keepNext/>
        <w:keepLines/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</w:pPr>
      <w:r w:rsidRPr="00C264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Григорова І. А., Григоров М. М., Тихонова Л. В.</w:t>
      </w:r>
    </w:p>
    <w:p w:rsidR="00C2641D" w:rsidRPr="00C2641D" w:rsidRDefault="00C2641D" w:rsidP="00C264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Однією із найважливіших медико-соціальних проблем є гідна реабілітація хворих з наслідками ЧМТ. Сьогодні відомо, що завдяки великій пластичності мозку триває відновлення мозкових структур певний час після ЧМТ, навіть у віддаленому періоді, однак відновні </w:t>
      </w:r>
      <w:proofErr w:type="spellStart"/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нейропластичні</w:t>
      </w:r>
      <w:proofErr w:type="spellEnd"/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процеси знаходяться у кожного конкретного пацієнта в різних співвідношеннях між репаративними і деструктивними процесами [1, </w:t>
      </w:r>
      <w:r w:rsidRPr="00C264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124; 2, </w:t>
      </w:r>
      <w:r w:rsidRPr="00C264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5–6].</w:t>
      </w:r>
    </w:p>
    <w:p w:rsidR="00C2641D" w:rsidRPr="00C2641D" w:rsidRDefault="00C2641D" w:rsidP="00C264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Найбільшими чинниками, що призводять до погіршення якості життя хворих на ЧМТ, є </w:t>
      </w:r>
      <w:proofErr w:type="spellStart"/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когнитивні</w:t>
      </w:r>
      <w:proofErr w:type="spellEnd"/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психоемоційні порушення, що виникають на тлі вегетативних та </w:t>
      </w:r>
      <w:proofErr w:type="spellStart"/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ліквородинамічних</w:t>
      </w:r>
      <w:proofErr w:type="spellEnd"/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розладів [3, </w:t>
      </w:r>
      <w:r w:rsidRPr="00C264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396–397; 4, </w:t>
      </w:r>
      <w:r w:rsidRPr="00C264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88–90].</w:t>
      </w:r>
    </w:p>
    <w:p w:rsidR="00C2641D" w:rsidRPr="00C2641D" w:rsidRDefault="00C2641D" w:rsidP="00C264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Метою нашої роботи було вивчення клініко-неврологічного, когнітивного, емоційно-вольового статусу у хворих на ЧМТ та вплив на дані розлади комбінованого препарату, що містить фені бут і </w:t>
      </w:r>
      <w:proofErr w:type="spellStart"/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іпідакрин</w:t>
      </w:r>
      <w:proofErr w:type="spellEnd"/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</w:t>
      </w:r>
      <w:proofErr w:type="spellStart"/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когніфен</w:t>
      </w:r>
      <w:proofErr w:type="spellEnd"/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).</w:t>
      </w:r>
    </w:p>
    <w:p w:rsidR="00C2641D" w:rsidRPr="00C2641D" w:rsidRDefault="00C2641D" w:rsidP="00C264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Матеріали, методи та результати. Нами було обстежено 105 пацієнтів працездатного віку, які перенесли закриту ЧМТ середнього ступеня тяжкості працездатного віку. 60 хворих приймали на тлі базової терапії </w:t>
      </w:r>
      <w:proofErr w:type="spellStart"/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когніфен</w:t>
      </w:r>
      <w:proofErr w:type="spellEnd"/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(по 1 капсулі в 2 </w:t>
      </w:r>
      <w:proofErr w:type="spellStart"/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прийома</w:t>
      </w:r>
      <w:proofErr w:type="spellEnd"/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), 45 хворих – </w:t>
      </w:r>
      <w:proofErr w:type="spellStart"/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пірацетам</w:t>
      </w:r>
      <w:proofErr w:type="spellEnd"/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(1000 мг на добу) протягом 90 діб.</w:t>
      </w:r>
    </w:p>
    <w:p w:rsidR="00C2641D" w:rsidRPr="00C2641D" w:rsidRDefault="00C2641D" w:rsidP="00C264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ru-RU"/>
        </w:rPr>
      </w:pPr>
      <w:r w:rsidRPr="00C2641D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ru-RU"/>
        </w:rPr>
        <w:t>Дослідження проводилося у динаміці на 1, 30, 90 добу після прийому препаратів.</w:t>
      </w:r>
    </w:p>
    <w:p w:rsidR="00C2641D" w:rsidRPr="00C2641D" w:rsidRDefault="00C2641D" w:rsidP="00C264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Окрім стандартного обстеження хворих на ЧМТ (згідно вітчизняних протоколів), було проведено </w:t>
      </w:r>
      <w:proofErr w:type="spellStart"/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психодіагностичне</w:t>
      </w:r>
      <w:proofErr w:type="spellEnd"/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обстеження: когнітивна сфера оцінювалась за </w:t>
      </w:r>
      <w:proofErr w:type="spellStart"/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Монреальскою</w:t>
      </w:r>
      <w:proofErr w:type="spellEnd"/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шкалою (</w:t>
      </w:r>
      <w:proofErr w:type="spellStart"/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МоСа</w:t>
      </w:r>
      <w:proofErr w:type="spellEnd"/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), тривожність – за шкалою Ч. Д. Спілберга, Ю. Л. </w:t>
      </w:r>
      <w:proofErr w:type="spellStart"/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Ханіна</w:t>
      </w:r>
      <w:proofErr w:type="spellEnd"/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депресія – за шкалою Бека.</w:t>
      </w:r>
    </w:p>
    <w:p w:rsidR="00C2641D" w:rsidRPr="00C2641D" w:rsidRDefault="00C2641D" w:rsidP="00C264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Вже на 30 день прийому препаратів краща динаміка регресу неврологічних, когнітивних і </w:t>
      </w:r>
      <w:proofErr w:type="spellStart"/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психо</w:t>
      </w:r>
      <w:proofErr w:type="spellEnd"/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-емоційних розладів, а також </w:t>
      </w:r>
      <w:proofErr w:type="spellStart"/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ліквородинамічних</w:t>
      </w:r>
      <w:proofErr w:type="spellEnd"/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вегетативних порушень спостерігалася у пацієнтів, що приймали </w:t>
      </w:r>
      <w:proofErr w:type="spellStart"/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когніфен</w:t>
      </w:r>
      <w:proofErr w:type="spellEnd"/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На 90 добу прийому </w:t>
      </w:r>
      <w:proofErr w:type="spellStart"/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когніфену</w:t>
      </w:r>
      <w:proofErr w:type="spellEnd"/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подальшому зменшувався когнітивний дефіцит та </w:t>
      </w:r>
      <w:proofErr w:type="spellStart"/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психо</w:t>
      </w:r>
      <w:proofErr w:type="spellEnd"/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-емоційні розлади (в більшій мірі, ніж у групі контролю).</w:t>
      </w:r>
    </w:p>
    <w:p w:rsidR="00C2641D" w:rsidRPr="00C2641D" w:rsidRDefault="00C2641D" w:rsidP="00C264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Висновки. 1. У хворих на ЧМТ середнього ступеня важкості у віддаленому періоді застосування комбінованого препарату </w:t>
      </w:r>
      <w:proofErr w:type="spellStart"/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когніфен</w:t>
      </w:r>
      <w:proofErr w:type="spellEnd"/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</w:t>
      </w:r>
      <w:proofErr w:type="spellStart"/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фенібут+іпідакрин</w:t>
      </w:r>
      <w:proofErr w:type="spellEnd"/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 виявило його високу ефективність (до 92 %) і безпечність. 2. При прийомі </w:t>
      </w:r>
      <w:proofErr w:type="spellStart"/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когніфену</w:t>
      </w:r>
      <w:proofErr w:type="spellEnd"/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більш значно зменшувався когнітивний дефіцит. 3. Перевага застосування </w:t>
      </w:r>
      <w:proofErr w:type="spellStart"/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когніфену</w:t>
      </w:r>
      <w:proofErr w:type="spellEnd"/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над </w:t>
      </w:r>
      <w:proofErr w:type="spellStart"/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пірацетамом</w:t>
      </w:r>
      <w:proofErr w:type="spellEnd"/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хворих на ЧМТ була у тих пацієнтів, які мали тривожно-депресивний синдром [5, </w:t>
      </w:r>
      <w:r w:rsidRPr="00C264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.56–57].</w:t>
      </w:r>
    </w:p>
    <w:p w:rsidR="00C2641D" w:rsidRPr="00C2641D" w:rsidRDefault="00C2641D" w:rsidP="00C2641D">
      <w:pPr>
        <w:keepNext/>
        <w:spacing w:before="120"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 w:rsidRPr="00C2641D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Використана література:</w:t>
      </w:r>
    </w:p>
    <w:p w:rsidR="00C2641D" w:rsidRPr="00C2641D" w:rsidRDefault="00C2641D" w:rsidP="00C264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1. </w:t>
      </w:r>
      <w:r w:rsidRPr="00C26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Рахова р. К., </w:t>
      </w:r>
      <w:proofErr w:type="spellStart"/>
      <w:r w:rsidRPr="00C2641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Раковлев</w:t>
      </w:r>
      <w:proofErr w:type="spellEnd"/>
      <w:r w:rsidRPr="00C26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 А. Клинико-психовегетативные и метаболические нарушения у больных с последствиями легкой черепно-</w:t>
      </w:r>
      <w:r w:rsidRPr="00C264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мозговой травмы </w:t>
      </w:r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 р. К. Рахова, Н. А. </w:t>
      </w:r>
      <w:proofErr w:type="spellStart"/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Раковлев</w:t>
      </w:r>
      <w:proofErr w:type="spellEnd"/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2641D">
        <w:rPr>
          <w:rFonts w:ascii="Times New Roman" w:eastAsia="Times New Roman" w:hAnsi="Times New Roman" w:cs="Times New Roman"/>
          <w:sz w:val="28"/>
          <w:szCs w:val="28"/>
          <w:lang w:eastAsia="ru-RU"/>
        </w:rPr>
        <w:t>//</w:t>
      </w:r>
      <w:proofErr w:type="spellStart"/>
      <w:r w:rsidRPr="00C2641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Нейроиммунольгия</w:t>
      </w:r>
      <w:proofErr w:type="spellEnd"/>
      <w:r w:rsidRPr="00C2641D">
        <w:rPr>
          <w:rFonts w:ascii="Times New Roman" w:eastAsia="Times New Roman" w:hAnsi="Times New Roman" w:cs="Times New Roman"/>
          <w:sz w:val="28"/>
          <w:szCs w:val="28"/>
          <w:lang w:eastAsia="ru-RU"/>
        </w:rPr>
        <w:t>. – 2003. – Т</w:t>
      </w:r>
      <w:proofErr w:type="gramStart"/>
      <w:r w:rsidRPr="00C2641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Pr="00C2641D">
        <w:rPr>
          <w:rFonts w:ascii="Times New Roman" w:eastAsia="Times New Roman" w:hAnsi="Times New Roman" w:cs="Times New Roman"/>
          <w:sz w:val="28"/>
          <w:szCs w:val="28"/>
          <w:lang w:eastAsia="ru-RU"/>
        </w:rPr>
        <w:t>, № 2. – С. 124–125.</w:t>
      </w:r>
    </w:p>
    <w:p w:rsidR="00C2641D" w:rsidRPr="00C2641D" w:rsidRDefault="00C2641D" w:rsidP="00C264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 Бойко А. В. Костенко Е. В., </w:t>
      </w:r>
      <w:proofErr w:type="spellStart"/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Батышева</w:t>
      </w:r>
      <w:proofErr w:type="spellEnd"/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Т. Т., Зайцев К. А. Черепно-</w:t>
      </w:r>
      <w:proofErr w:type="spellStart"/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мозговая</w:t>
      </w:r>
      <w:proofErr w:type="spellEnd"/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травма // </w:t>
      </w:r>
      <w:proofErr w:type="spellStart"/>
      <w:r w:rsidRPr="00C264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Consillium</w:t>
      </w:r>
      <w:proofErr w:type="spellEnd"/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264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Medicum</w:t>
      </w:r>
      <w:proofErr w:type="spellEnd"/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 – 2007. – Т.9, № 8. – С. 5–10.</w:t>
      </w:r>
    </w:p>
    <w:p w:rsidR="00C2641D" w:rsidRPr="00C2641D" w:rsidRDefault="00C2641D" w:rsidP="00C264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3. </w:t>
      </w:r>
      <w:proofErr w:type="spellStart"/>
      <w:r w:rsidRPr="00C264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Pullela</w:t>
      </w:r>
      <w:proofErr w:type="spellEnd"/>
      <w:r w:rsidRPr="00C264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R. Raver J., </w:t>
      </w:r>
      <w:proofErr w:type="spellStart"/>
      <w:r w:rsidRPr="00C264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Pfankuch</w:t>
      </w:r>
      <w:proofErr w:type="spellEnd"/>
      <w:r w:rsidRPr="00C264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T. et al. </w:t>
      </w:r>
      <w:proofErr w:type="spellStart"/>
      <w:r w:rsidRPr="00C264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Jranmatic</w:t>
      </w:r>
      <w:proofErr w:type="spellEnd"/>
      <w:r w:rsidRPr="00C264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264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inyury</w:t>
      </w:r>
      <w:proofErr w:type="spellEnd"/>
      <w:r w:rsidRPr="00C264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to the immature brain results in progressive neuronal loss, hyperactivity and </w:t>
      </w:r>
      <w:proofErr w:type="spellStart"/>
      <w:r w:rsidRPr="00C264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clelayed</w:t>
      </w:r>
      <w:proofErr w:type="spellEnd"/>
      <w:r w:rsidRPr="00C264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cognitive impairments //Dev. </w:t>
      </w:r>
      <w:proofErr w:type="spellStart"/>
      <w:r w:rsidRPr="00C264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Neurosci</w:t>
      </w:r>
      <w:proofErr w:type="spellEnd"/>
      <w:r w:rsidRPr="00C264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264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C2641D">
        <w:rPr>
          <w:rFonts w:ascii="Times New Roman" w:eastAsia="Times New Roman" w:hAnsi="Times New Roman" w:cs="Times New Roman"/>
          <w:sz w:val="28"/>
          <w:szCs w:val="28"/>
          <w:lang w:eastAsia="ru-RU"/>
        </w:rPr>
        <w:t>– 2006.</w:t>
      </w:r>
      <w:r w:rsidRPr="00C264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C26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Pr="00C264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vol</w:t>
      </w:r>
      <w:proofErr w:type="spellEnd"/>
      <w:r w:rsidRPr="00C2641D">
        <w:rPr>
          <w:rFonts w:ascii="Times New Roman" w:eastAsia="Times New Roman" w:hAnsi="Times New Roman" w:cs="Times New Roman"/>
          <w:sz w:val="28"/>
          <w:szCs w:val="28"/>
          <w:lang w:eastAsia="ru-RU"/>
        </w:rPr>
        <w:t>.28.</w:t>
      </w:r>
      <w:r w:rsidRPr="00C264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C26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C264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r w:rsidRPr="00C2641D">
        <w:rPr>
          <w:rFonts w:ascii="Times New Roman" w:eastAsia="Times New Roman" w:hAnsi="Times New Roman" w:cs="Times New Roman"/>
          <w:sz w:val="28"/>
          <w:szCs w:val="28"/>
          <w:lang w:eastAsia="ru-RU"/>
        </w:rPr>
        <w:t>. 396–409.</w:t>
      </w:r>
    </w:p>
    <w:p w:rsidR="00C2641D" w:rsidRPr="00C2641D" w:rsidRDefault="00C2641D" w:rsidP="00C264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4. Захаров В. В., Дроздова Е. А. </w:t>
      </w:r>
      <w:proofErr w:type="spellStart"/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Когнитивные</w:t>
      </w:r>
      <w:proofErr w:type="spellEnd"/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нарушения</w:t>
      </w:r>
      <w:proofErr w:type="spellEnd"/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</w:t>
      </w:r>
      <w:proofErr w:type="spellStart"/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больных</w:t>
      </w:r>
      <w:proofErr w:type="spellEnd"/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 черепно-</w:t>
      </w:r>
      <w:proofErr w:type="spellStart"/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мозговой</w:t>
      </w:r>
      <w:proofErr w:type="spellEnd"/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травмой</w:t>
      </w:r>
      <w:proofErr w:type="spellEnd"/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/ В. В. Захаров, Е. А. Дроздова // </w:t>
      </w:r>
      <w:proofErr w:type="spellStart"/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Неврология</w:t>
      </w:r>
      <w:proofErr w:type="spellEnd"/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нейропсихиатрия</w:t>
      </w:r>
      <w:proofErr w:type="spellEnd"/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психосоматика. – 2013. – Т.(4). – С.88–93.</w:t>
      </w:r>
    </w:p>
    <w:p w:rsidR="00C2641D" w:rsidRPr="00C2641D" w:rsidRDefault="00C2641D" w:rsidP="00C264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5. Григорова І. А., Тесленко О. О., Григоров М. М. Ефективність застосування препарату </w:t>
      </w:r>
      <w:proofErr w:type="spellStart"/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когніфен</w:t>
      </w:r>
      <w:proofErr w:type="spellEnd"/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хворих із черепно-мозковою травмою / І. А. Григорова, О. О. Тесленко, М. М. Григоров //“ </w:t>
      </w:r>
      <w:r w:rsidRPr="00C264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Innovative</w:t>
      </w:r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264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technology</w:t>
      </w:r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264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</w:t>
      </w:r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264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medicine</w:t>
      </w:r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  <w:r w:rsidRPr="00C264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experience</w:t>
      </w:r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264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of</w:t>
      </w:r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264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Polend</w:t>
      </w:r>
      <w:proofErr w:type="spellEnd"/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264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and</w:t>
      </w:r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264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Ukraine</w:t>
      </w:r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”. – </w:t>
      </w:r>
      <w:r w:rsidRPr="00C264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Lublin</w:t>
      </w:r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Pr="00C264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Republic</w:t>
      </w:r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264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of</w:t>
      </w:r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264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Poland</w:t>
      </w:r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 – </w:t>
      </w:r>
      <w:r w:rsidRPr="00C264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April</w:t>
      </w:r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28–29, 2017. </w:t>
      </w:r>
      <w:r w:rsidRPr="00C264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r w:rsidRPr="00C264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 53–57.</w:t>
      </w:r>
    </w:p>
    <w:p w:rsidR="00CC5365" w:rsidRDefault="00CC5365"/>
    <w:sectPr w:rsidR="00CC53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1F9"/>
    <w:rsid w:val="00065AA0"/>
    <w:rsid w:val="00250D37"/>
    <w:rsid w:val="002F18D0"/>
    <w:rsid w:val="003019C4"/>
    <w:rsid w:val="004111F9"/>
    <w:rsid w:val="005342EA"/>
    <w:rsid w:val="005B1A15"/>
    <w:rsid w:val="005F7DD7"/>
    <w:rsid w:val="006811F8"/>
    <w:rsid w:val="00707071"/>
    <w:rsid w:val="008415C2"/>
    <w:rsid w:val="00A5025B"/>
    <w:rsid w:val="00A91018"/>
    <w:rsid w:val="00C2641D"/>
    <w:rsid w:val="00CC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2974</Characters>
  <Application>Microsoft Office Word</Application>
  <DocSecurity>0</DocSecurity>
  <Lines>24</Lines>
  <Paragraphs>6</Paragraphs>
  <ScaleCrop>false</ScaleCrop>
  <Company/>
  <LinksUpToDate>false</LinksUpToDate>
  <CharactersWithSpaces>3489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2</cp:revision>
  <dcterms:created xsi:type="dcterms:W3CDTF">2017-11-02T14:18:00Z</dcterms:created>
  <dcterms:modified xsi:type="dcterms:W3CDTF">2017-11-02T14:18:00Z</dcterms:modified>
</cp:coreProperties>
</file>