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98A" w:rsidRPr="00F8298A" w:rsidRDefault="00F8298A" w:rsidP="00F8298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98A">
        <w:rPr>
          <w:rFonts w:ascii="Times New Roman" w:hAnsi="Times New Roman" w:cs="Times New Roman"/>
          <w:b/>
          <w:sz w:val="28"/>
          <w:szCs w:val="28"/>
        </w:rPr>
        <w:t>ВЗАИМОСВЯЗЬ ГИПЕРИНСУЛИНЕМИИ И ГИПЕРАНДРОГЕНИИ</w:t>
      </w:r>
    </w:p>
    <w:p w:rsidR="00F8298A" w:rsidRPr="00F8298A" w:rsidRDefault="00F8298A" w:rsidP="00F8298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98A">
        <w:rPr>
          <w:rFonts w:ascii="Times New Roman" w:hAnsi="Times New Roman" w:cs="Times New Roman"/>
          <w:b/>
          <w:sz w:val="28"/>
          <w:szCs w:val="28"/>
        </w:rPr>
        <w:t>ПРИ СИНДРОМЕ ПОЛИКИСТОЗНЫХ ЯИЧНИКОВ</w:t>
      </w:r>
    </w:p>
    <w:p w:rsidR="00F8298A" w:rsidRPr="00F8298A" w:rsidRDefault="00F8298A" w:rsidP="00F8298A">
      <w:pPr>
        <w:pStyle w:val="Defaul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8298A">
        <w:rPr>
          <w:rFonts w:ascii="Times New Roman" w:hAnsi="Times New Roman" w:cs="Times New Roman"/>
          <w:i/>
          <w:iCs/>
          <w:sz w:val="28"/>
          <w:szCs w:val="28"/>
        </w:rPr>
        <w:t>Тиханский</w:t>
      </w:r>
      <w:proofErr w:type="spellEnd"/>
      <w:r w:rsidRPr="00F8298A">
        <w:rPr>
          <w:rFonts w:ascii="Times New Roman" w:hAnsi="Times New Roman" w:cs="Times New Roman"/>
          <w:i/>
          <w:iCs/>
          <w:sz w:val="28"/>
          <w:szCs w:val="28"/>
        </w:rPr>
        <w:t xml:space="preserve"> Д.С., </w:t>
      </w:r>
      <w:proofErr w:type="spellStart"/>
      <w:r w:rsidRPr="00F8298A">
        <w:rPr>
          <w:rFonts w:ascii="Times New Roman" w:hAnsi="Times New Roman" w:cs="Times New Roman"/>
          <w:i/>
          <w:iCs/>
          <w:sz w:val="28"/>
          <w:szCs w:val="28"/>
        </w:rPr>
        <w:t>Королькова</w:t>
      </w:r>
      <w:proofErr w:type="spellEnd"/>
      <w:r w:rsidRPr="00F8298A">
        <w:rPr>
          <w:rFonts w:ascii="Times New Roman" w:hAnsi="Times New Roman" w:cs="Times New Roman"/>
          <w:i/>
          <w:iCs/>
          <w:sz w:val="28"/>
          <w:szCs w:val="28"/>
        </w:rPr>
        <w:t xml:space="preserve"> А.А.</w:t>
      </w:r>
    </w:p>
    <w:p w:rsidR="00F8298A" w:rsidRPr="00F8298A" w:rsidRDefault="00F8298A" w:rsidP="00F8298A">
      <w:pPr>
        <w:pStyle w:val="Defaul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298A"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университет,</w:t>
      </w:r>
    </w:p>
    <w:p w:rsidR="00F8298A" w:rsidRPr="00F8298A" w:rsidRDefault="00F8298A" w:rsidP="00F8298A">
      <w:pPr>
        <w:pStyle w:val="Defaul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298A">
        <w:rPr>
          <w:rFonts w:ascii="Times New Roman" w:hAnsi="Times New Roman" w:cs="Times New Roman"/>
          <w:sz w:val="28"/>
          <w:szCs w:val="28"/>
        </w:rPr>
        <w:t>Кафедра акушерства и гинекологии №2, Харьков, Украина</w:t>
      </w:r>
    </w:p>
    <w:p w:rsidR="00F8298A" w:rsidRPr="00F8298A" w:rsidRDefault="00F8298A" w:rsidP="00F8298A">
      <w:pPr>
        <w:pStyle w:val="Defaul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298A"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  <w:proofErr w:type="spellStart"/>
      <w:r w:rsidRPr="00F8298A">
        <w:rPr>
          <w:rFonts w:ascii="Times New Roman" w:hAnsi="Times New Roman" w:cs="Times New Roman"/>
          <w:sz w:val="28"/>
          <w:szCs w:val="28"/>
        </w:rPr>
        <w:t>Гайворонская</w:t>
      </w:r>
      <w:proofErr w:type="spellEnd"/>
      <w:r w:rsidRPr="00F8298A">
        <w:rPr>
          <w:rFonts w:ascii="Times New Roman" w:hAnsi="Times New Roman" w:cs="Times New Roman"/>
          <w:sz w:val="28"/>
          <w:szCs w:val="28"/>
        </w:rPr>
        <w:t xml:space="preserve"> С.И., к. </w:t>
      </w:r>
      <w:proofErr w:type="spellStart"/>
      <w:r w:rsidRPr="00F8298A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Pr="00F8298A">
        <w:rPr>
          <w:rFonts w:ascii="Times New Roman" w:hAnsi="Times New Roman" w:cs="Times New Roman"/>
          <w:sz w:val="28"/>
          <w:szCs w:val="28"/>
        </w:rPr>
        <w:t>.н</w:t>
      </w:r>
      <w:proofErr w:type="spellEnd"/>
      <w:proofErr w:type="gramEnd"/>
      <w:r w:rsidRPr="00F8298A">
        <w:rPr>
          <w:rFonts w:ascii="Times New Roman" w:hAnsi="Times New Roman" w:cs="Times New Roman"/>
          <w:sz w:val="28"/>
          <w:szCs w:val="28"/>
        </w:rPr>
        <w:t>., доцент</w:t>
      </w:r>
    </w:p>
    <w:p w:rsidR="00F8298A" w:rsidRPr="00F8298A" w:rsidRDefault="00F8298A" w:rsidP="00F8298A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98A">
        <w:rPr>
          <w:rFonts w:ascii="Times New Roman" w:hAnsi="Times New Roman" w:cs="Times New Roman"/>
          <w:sz w:val="28"/>
          <w:szCs w:val="28"/>
        </w:rPr>
        <w:t xml:space="preserve">Синдром поликистозных яичников (СПКЯ) – </w:t>
      </w:r>
      <w:proofErr w:type="spellStart"/>
      <w:r w:rsidRPr="00F8298A">
        <w:rPr>
          <w:rFonts w:ascii="Times New Roman" w:hAnsi="Times New Roman" w:cs="Times New Roman"/>
          <w:sz w:val="28"/>
          <w:szCs w:val="28"/>
        </w:rPr>
        <w:t>полиэндокринная</w:t>
      </w:r>
      <w:proofErr w:type="spellEnd"/>
      <w:r w:rsidRPr="00F8298A">
        <w:rPr>
          <w:rFonts w:ascii="Times New Roman" w:hAnsi="Times New Roman" w:cs="Times New Roman"/>
          <w:sz w:val="28"/>
          <w:szCs w:val="28"/>
        </w:rPr>
        <w:t xml:space="preserve"> патология, сопровождающаяся нарушением функции яичников (</w:t>
      </w:r>
      <w:proofErr w:type="spellStart"/>
      <w:r w:rsidRPr="00F8298A">
        <w:rPr>
          <w:rFonts w:ascii="Times New Roman" w:hAnsi="Times New Roman" w:cs="Times New Roman"/>
          <w:sz w:val="28"/>
          <w:szCs w:val="28"/>
        </w:rPr>
        <w:t>ановуляция</w:t>
      </w:r>
      <w:proofErr w:type="spellEnd"/>
      <w:r w:rsidRPr="00F8298A">
        <w:rPr>
          <w:rFonts w:ascii="Times New Roman" w:hAnsi="Times New Roman" w:cs="Times New Roman"/>
          <w:sz w:val="28"/>
          <w:szCs w:val="28"/>
        </w:rPr>
        <w:t>, повышение секреции андрогенов), поджелудочной железы (</w:t>
      </w:r>
      <w:proofErr w:type="spellStart"/>
      <w:r w:rsidRPr="00F8298A">
        <w:rPr>
          <w:rFonts w:ascii="Times New Roman" w:hAnsi="Times New Roman" w:cs="Times New Roman"/>
          <w:sz w:val="28"/>
          <w:szCs w:val="28"/>
        </w:rPr>
        <w:t>гиперинсулинемия</w:t>
      </w:r>
      <w:proofErr w:type="spellEnd"/>
      <w:r w:rsidRPr="00F8298A">
        <w:rPr>
          <w:rFonts w:ascii="Times New Roman" w:hAnsi="Times New Roman" w:cs="Times New Roman"/>
          <w:sz w:val="28"/>
          <w:szCs w:val="28"/>
        </w:rPr>
        <w:t xml:space="preserve">), надпочечников, гипоталамуса и гипофиза. Ведущими клиническими симптомами при СПКЯ являются нарушение менструального цикла, бесплодие, различные проявления </w:t>
      </w:r>
      <w:proofErr w:type="spellStart"/>
      <w:r w:rsidRPr="00F8298A">
        <w:rPr>
          <w:rFonts w:ascii="Times New Roman" w:hAnsi="Times New Roman" w:cs="Times New Roman"/>
          <w:sz w:val="28"/>
          <w:szCs w:val="28"/>
        </w:rPr>
        <w:t>гиперандрогении</w:t>
      </w:r>
      <w:proofErr w:type="spellEnd"/>
      <w:r w:rsidRPr="00F8298A">
        <w:rPr>
          <w:rFonts w:ascii="Times New Roman" w:hAnsi="Times New Roman" w:cs="Times New Roman"/>
          <w:sz w:val="28"/>
          <w:szCs w:val="28"/>
        </w:rPr>
        <w:t xml:space="preserve"> (гирсутизм, </w:t>
      </w:r>
      <w:proofErr w:type="spellStart"/>
      <w:r w:rsidRPr="00F8298A">
        <w:rPr>
          <w:rFonts w:ascii="Times New Roman" w:hAnsi="Times New Roman" w:cs="Times New Roman"/>
          <w:sz w:val="28"/>
          <w:szCs w:val="28"/>
        </w:rPr>
        <w:t>акне</w:t>
      </w:r>
      <w:proofErr w:type="spellEnd"/>
      <w:r w:rsidRPr="00F8298A">
        <w:rPr>
          <w:rFonts w:ascii="Times New Roman" w:hAnsi="Times New Roman" w:cs="Times New Roman"/>
          <w:sz w:val="28"/>
          <w:szCs w:val="28"/>
        </w:rPr>
        <w:t xml:space="preserve">). Множество исследований, посвященных изучению влияния инсулина на уровень андрогенов, установили, что в яичниках человека находятся рецепторы к инсулину, что дает основание для предположения об участии инсулина в регуляции их функции. Проведенные </w:t>
      </w:r>
      <w:proofErr w:type="spellStart"/>
      <w:r w:rsidRPr="00F8298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829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298A">
        <w:rPr>
          <w:rFonts w:ascii="Times New Roman" w:hAnsi="Times New Roman" w:cs="Times New Roman"/>
          <w:sz w:val="28"/>
          <w:szCs w:val="28"/>
        </w:rPr>
        <w:t>vitro</w:t>
      </w:r>
      <w:proofErr w:type="spellEnd"/>
      <w:r w:rsidRPr="00F8298A">
        <w:rPr>
          <w:rFonts w:ascii="Times New Roman" w:hAnsi="Times New Roman" w:cs="Times New Roman"/>
          <w:sz w:val="28"/>
          <w:szCs w:val="28"/>
        </w:rPr>
        <w:t xml:space="preserve"> исследования показали, что инсулин может прямо стимулировать продукцию тестостерона в </w:t>
      </w:r>
      <w:proofErr w:type="spellStart"/>
      <w:r w:rsidRPr="00F8298A">
        <w:rPr>
          <w:rFonts w:ascii="Times New Roman" w:hAnsi="Times New Roman" w:cs="Times New Roman"/>
          <w:sz w:val="28"/>
          <w:szCs w:val="28"/>
        </w:rPr>
        <w:t>тека</w:t>
      </w:r>
      <w:proofErr w:type="spellEnd"/>
      <w:r w:rsidRPr="00F8298A">
        <w:rPr>
          <w:rFonts w:ascii="Times New Roman" w:hAnsi="Times New Roman" w:cs="Times New Roman"/>
          <w:sz w:val="28"/>
          <w:szCs w:val="28"/>
        </w:rPr>
        <w:t xml:space="preserve">-клетках яичников. </w:t>
      </w:r>
      <w:proofErr w:type="gramStart"/>
      <w:r w:rsidRPr="00F8298A">
        <w:rPr>
          <w:rFonts w:ascii="Times New Roman" w:hAnsi="Times New Roman" w:cs="Times New Roman"/>
          <w:sz w:val="28"/>
          <w:szCs w:val="28"/>
        </w:rPr>
        <w:t xml:space="preserve">Также, инсулин может влиять на биосинтез </w:t>
      </w:r>
      <w:proofErr w:type="spellStart"/>
      <w:r w:rsidRPr="00F8298A">
        <w:rPr>
          <w:rFonts w:ascii="Times New Roman" w:hAnsi="Times New Roman" w:cs="Times New Roman"/>
          <w:sz w:val="28"/>
          <w:szCs w:val="28"/>
        </w:rPr>
        <w:t>андроге</w:t>
      </w:r>
      <w:proofErr w:type="spellEnd"/>
      <w:r w:rsidRPr="00F8298A">
        <w:rPr>
          <w:rFonts w:ascii="Times New Roman" w:hAnsi="Times New Roman" w:cs="Times New Roman"/>
          <w:sz w:val="28"/>
          <w:szCs w:val="28"/>
        </w:rPr>
        <w:t xml:space="preserve">-нов, продукция которых стимулируется </w:t>
      </w:r>
      <w:proofErr w:type="spellStart"/>
      <w:r w:rsidRPr="00F8298A">
        <w:rPr>
          <w:rFonts w:ascii="Times New Roman" w:hAnsi="Times New Roman" w:cs="Times New Roman"/>
          <w:sz w:val="28"/>
          <w:szCs w:val="28"/>
        </w:rPr>
        <w:t>лютеинизирующим</w:t>
      </w:r>
      <w:proofErr w:type="spellEnd"/>
      <w:r w:rsidRPr="00F8298A">
        <w:rPr>
          <w:rFonts w:ascii="Times New Roman" w:hAnsi="Times New Roman" w:cs="Times New Roman"/>
          <w:sz w:val="28"/>
          <w:szCs w:val="28"/>
        </w:rPr>
        <w:t xml:space="preserve"> гормоном (J.</w:t>
      </w:r>
      <w:proofErr w:type="gramEnd"/>
      <w:r w:rsidRPr="00F829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8298A">
        <w:rPr>
          <w:rFonts w:ascii="Times New Roman" w:hAnsi="Times New Roman" w:cs="Times New Roman"/>
          <w:sz w:val="28"/>
          <w:szCs w:val="28"/>
        </w:rPr>
        <w:t>Cara</w:t>
      </w:r>
      <w:proofErr w:type="spellEnd"/>
      <w:r w:rsidRPr="00F8298A">
        <w:rPr>
          <w:rFonts w:ascii="Times New Roman" w:hAnsi="Times New Roman" w:cs="Times New Roman"/>
          <w:sz w:val="28"/>
          <w:szCs w:val="28"/>
        </w:rPr>
        <w:t>, 1990).</w:t>
      </w:r>
      <w:proofErr w:type="gramEnd"/>
      <w:r w:rsidRPr="00F8298A">
        <w:rPr>
          <w:rFonts w:ascii="Times New Roman" w:hAnsi="Times New Roman" w:cs="Times New Roman"/>
          <w:sz w:val="28"/>
          <w:szCs w:val="28"/>
        </w:rPr>
        <w:t xml:space="preserve"> Распространенность СПКЯ в мире варьирует от 4 до 8%, что делает данное заболевание одной из самых часто встречающихся эндокринопатий среди женщин, доказывая актуальность данной темы. </w:t>
      </w:r>
    </w:p>
    <w:p w:rsidR="00F8298A" w:rsidRPr="00F8298A" w:rsidRDefault="00F8298A" w:rsidP="00F8298A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98A">
        <w:rPr>
          <w:rFonts w:ascii="Times New Roman" w:hAnsi="Times New Roman" w:cs="Times New Roman"/>
          <w:sz w:val="28"/>
          <w:szCs w:val="28"/>
        </w:rPr>
        <w:t xml:space="preserve">Цель работы: изучить влияние </w:t>
      </w:r>
      <w:proofErr w:type="spellStart"/>
      <w:r w:rsidRPr="00F8298A">
        <w:rPr>
          <w:rFonts w:ascii="Times New Roman" w:hAnsi="Times New Roman" w:cs="Times New Roman"/>
          <w:sz w:val="28"/>
          <w:szCs w:val="28"/>
        </w:rPr>
        <w:t>гиперинсулинемии</w:t>
      </w:r>
      <w:proofErr w:type="spellEnd"/>
      <w:r w:rsidRPr="00F8298A">
        <w:rPr>
          <w:rFonts w:ascii="Times New Roman" w:hAnsi="Times New Roman" w:cs="Times New Roman"/>
          <w:sz w:val="28"/>
          <w:szCs w:val="28"/>
        </w:rPr>
        <w:t xml:space="preserve"> на повышение продукции андрогенов при синдроме поликистозных яичников. </w:t>
      </w:r>
    </w:p>
    <w:p w:rsidR="00F8298A" w:rsidRPr="00F8298A" w:rsidRDefault="00F8298A" w:rsidP="00F8298A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98A">
        <w:rPr>
          <w:rFonts w:ascii="Times New Roman" w:hAnsi="Times New Roman" w:cs="Times New Roman"/>
          <w:sz w:val="28"/>
          <w:szCs w:val="28"/>
        </w:rPr>
        <w:t>Материалы и методы исследования. В исследовании приняли участие 20 пациенток с СПКЯ (основная группа) и 10 со</w:t>
      </w:r>
      <w:r>
        <w:rPr>
          <w:rFonts w:ascii="Times New Roman" w:hAnsi="Times New Roman" w:cs="Times New Roman"/>
          <w:sz w:val="28"/>
          <w:szCs w:val="28"/>
        </w:rPr>
        <w:t>матически здоровых женщин (конт</w:t>
      </w:r>
      <w:r w:rsidRPr="00F8298A">
        <w:rPr>
          <w:rFonts w:ascii="Times New Roman" w:hAnsi="Times New Roman" w:cs="Times New Roman"/>
          <w:sz w:val="28"/>
          <w:szCs w:val="28"/>
        </w:rPr>
        <w:t xml:space="preserve">рольная группа). Все женщины были одной возрастной группы от 20 до 30 лет. Проведен анализ анамнеза жизни, соматического и акушерско-гинекологического анамнеза. Диагноз СПКЯ поставлен на основании </w:t>
      </w:r>
      <w:proofErr w:type="spellStart"/>
      <w:r w:rsidRPr="00F8298A">
        <w:rPr>
          <w:rFonts w:ascii="Times New Roman" w:hAnsi="Times New Roman" w:cs="Times New Roman"/>
          <w:sz w:val="28"/>
          <w:szCs w:val="28"/>
        </w:rPr>
        <w:t>гиперандрогении</w:t>
      </w:r>
      <w:proofErr w:type="spellEnd"/>
      <w:r w:rsidRPr="00F8298A">
        <w:rPr>
          <w:rFonts w:ascii="Times New Roman" w:hAnsi="Times New Roman" w:cs="Times New Roman"/>
          <w:sz w:val="28"/>
          <w:szCs w:val="28"/>
        </w:rPr>
        <w:t xml:space="preserve">, овуляторной дисфункции, данных УЗИ. </w:t>
      </w:r>
    </w:p>
    <w:p w:rsidR="00F8298A" w:rsidRPr="00F8298A" w:rsidRDefault="00F8298A" w:rsidP="00F8298A">
      <w:pPr>
        <w:pStyle w:val="Default"/>
        <w:pageBreakBefore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 w:rsidRPr="00F8298A">
        <w:rPr>
          <w:rFonts w:ascii="Times New Roman" w:hAnsi="Times New Roman" w:cs="Times New Roman"/>
          <w:sz w:val="28"/>
          <w:szCs w:val="28"/>
        </w:rPr>
        <w:lastRenderedPageBreak/>
        <w:t xml:space="preserve">Всем женщинам были проведены гормональные исследования: </w:t>
      </w:r>
      <w:proofErr w:type="spellStart"/>
      <w:r w:rsidRPr="00F8298A">
        <w:rPr>
          <w:rFonts w:ascii="Times New Roman" w:hAnsi="Times New Roman" w:cs="Times New Roman"/>
          <w:sz w:val="28"/>
          <w:szCs w:val="28"/>
        </w:rPr>
        <w:t>фолликуло</w:t>
      </w:r>
      <w:proofErr w:type="spellEnd"/>
      <w:r w:rsidRPr="00F8298A">
        <w:rPr>
          <w:rFonts w:ascii="Times New Roman" w:hAnsi="Times New Roman" w:cs="Times New Roman"/>
          <w:sz w:val="28"/>
          <w:szCs w:val="28"/>
        </w:rPr>
        <w:t xml:space="preserve">-стимулирующий гормон (ФСГ) и </w:t>
      </w:r>
      <w:proofErr w:type="spellStart"/>
      <w:r w:rsidRPr="00F8298A">
        <w:rPr>
          <w:rFonts w:ascii="Times New Roman" w:hAnsi="Times New Roman" w:cs="Times New Roman"/>
          <w:sz w:val="28"/>
          <w:szCs w:val="28"/>
        </w:rPr>
        <w:t>лютеинизирующий</w:t>
      </w:r>
      <w:proofErr w:type="spellEnd"/>
      <w:r w:rsidRPr="00F8298A">
        <w:rPr>
          <w:rFonts w:ascii="Times New Roman" w:hAnsi="Times New Roman" w:cs="Times New Roman"/>
          <w:sz w:val="28"/>
          <w:szCs w:val="28"/>
        </w:rPr>
        <w:t xml:space="preserve"> гормон (ЛГ) на 2-7 день менструального цикла, уровень свободного тестостерона на 8-10 день менструального цикла, уровень инсулина. </w:t>
      </w:r>
      <w:r w:rsidRPr="00F8298A">
        <w:rPr>
          <w:rFonts w:ascii="Times New Roman" w:hAnsi="Times New Roman" w:cs="Times New Roman"/>
          <w:color w:val="auto"/>
          <w:sz w:val="28"/>
          <w:szCs w:val="28"/>
        </w:rPr>
        <w:t xml:space="preserve">Результаты исследований. У всех женщин основной группы наблюдалось повышение уровня ЛГ (20,5 – 25,3 </w:t>
      </w:r>
      <w:proofErr w:type="spellStart"/>
      <w:r w:rsidRPr="00F8298A">
        <w:rPr>
          <w:rFonts w:ascii="Times New Roman" w:hAnsi="Times New Roman" w:cs="Times New Roman"/>
          <w:color w:val="auto"/>
          <w:sz w:val="28"/>
          <w:szCs w:val="28"/>
        </w:rPr>
        <w:t>мЕД</w:t>
      </w:r>
      <w:proofErr w:type="spellEnd"/>
      <w:r w:rsidRPr="00F8298A">
        <w:rPr>
          <w:rFonts w:ascii="Times New Roman" w:hAnsi="Times New Roman" w:cs="Times New Roman"/>
          <w:color w:val="auto"/>
          <w:sz w:val="28"/>
          <w:szCs w:val="28"/>
        </w:rPr>
        <w:t xml:space="preserve">/мл против 1,67 – 15,0 </w:t>
      </w:r>
      <w:proofErr w:type="spellStart"/>
      <w:r w:rsidRPr="00F8298A">
        <w:rPr>
          <w:rFonts w:ascii="Times New Roman" w:hAnsi="Times New Roman" w:cs="Times New Roman"/>
          <w:color w:val="auto"/>
          <w:sz w:val="28"/>
          <w:szCs w:val="28"/>
        </w:rPr>
        <w:t>мЕД</w:t>
      </w:r>
      <w:proofErr w:type="spellEnd"/>
      <w:r w:rsidRPr="00F8298A">
        <w:rPr>
          <w:rFonts w:ascii="Times New Roman" w:hAnsi="Times New Roman" w:cs="Times New Roman"/>
          <w:color w:val="auto"/>
          <w:sz w:val="28"/>
          <w:szCs w:val="28"/>
        </w:rPr>
        <w:t xml:space="preserve">/мл, </w:t>
      </w:r>
      <w:proofErr w:type="gramStart"/>
      <w:r w:rsidRPr="00F8298A">
        <w:rPr>
          <w:rFonts w:ascii="Times New Roman" w:hAnsi="Times New Roman" w:cs="Times New Roman"/>
          <w:color w:val="auto"/>
          <w:sz w:val="28"/>
          <w:szCs w:val="28"/>
        </w:rPr>
        <w:t>р</w:t>
      </w:r>
      <w:proofErr w:type="gramEnd"/>
      <w:r w:rsidRPr="00F8298A">
        <w:rPr>
          <w:rFonts w:ascii="Times New Roman" w:hAnsi="Times New Roman" w:cs="Times New Roman"/>
          <w:color w:val="auto"/>
          <w:sz w:val="28"/>
          <w:szCs w:val="28"/>
        </w:rPr>
        <w:t xml:space="preserve">&lt;0,05), незначительное снижение уровня ФСГ (0,97 – 1,1 </w:t>
      </w:r>
      <w:proofErr w:type="spellStart"/>
      <w:r w:rsidRPr="00F8298A">
        <w:rPr>
          <w:rFonts w:ascii="Times New Roman" w:hAnsi="Times New Roman" w:cs="Times New Roman"/>
          <w:color w:val="auto"/>
          <w:sz w:val="28"/>
          <w:szCs w:val="28"/>
        </w:rPr>
        <w:t>мЕД</w:t>
      </w:r>
      <w:proofErr w:type="spellEnd"/>
      <w:r w:rsidRPr="00F8298A">
        <w:rPr>
          <w:rFonts w:ascii="Times New Roman" w:hAnsi="Times New Roman" w:cs="Times New Roman"/>
          <w:color w:val="auto"/>
          <w:sz w:val="28"/>
          <w:szCs w:val="28"/>
        </w:rPr>
        <w:t xml:space="preserve">/мл против 1,3 – 9,9 </w:t>
      </w:r>
      <w:proofErr w:type="spellStart"/>
      <w:r w:rsidRPr="00F8298A">
        <w:rPr>
          <w:rFonts w:ascii="Times New Roman" w:hAnsi="Times New Roman" w:cs="Times New Roman"/>
          <w:color w:val="auto"/>
          <w:sz w:val="28"/>
          <w:szCs w:val="28"/>
        </w:rPr>
        <w:t>мЕД</w:t>
      </w:r>
      <w:proofErr w:type="spellEnd"/>
      <w:r w:rsidRPr="00F8298A">
        <w:rPr>
          <w:rFonts w:ascii="Times New Roman" w:hAnsi="Times New Roman" w:cs="Times New Roman"/>
          <w:color w:val="auto"/>
          <w:sz w:val="28"/>
          <w:szCs w:val="28"/>
        </w:rPr>
        <w:t xml:space="preserve">/мл, р&lt;0,05), повешение уровня свободного тестостерона (10,1 – 12,2 против 0,5 – 4,1 </w:t>
      </w:r>
      <w:proofErr w:type="spellStart"/>
      <w:r w:rsidRPr="00F8298A">
        <w:rPr>
          <w:rFonts w:ascii="Times New Roman" w:hAnsi="Times New Roman" w:cs="Times New Roman"/>
          <w:color w:val="auto"/>
          <w:sz w:val="28"/>
          <w:szCs w:val="28"/>
        </w:rPr>
        <w:t>пг</w:t>
      </w:r>
      <w:proofErr w:type="spellEnd"/>
      <w:r w:rsidRPr="00F8298A">
        <w:rPr>
          <w:rFonts w:ascii="Times New Roman" w:hAnsi="Times New Roman" w:cs="Times New Roman"/>
          <w:color w:val="auto"/>
          <w:sz w:val="28"/>
          <w:szCs w:val="28"/>
        </w:rPr>
        <w:t xml:space="preserve">/мл, р&lt;0,05). </w:t>
      </w:r>
    </w:p>
    <w:p w:rsidR="00F8298A" w:rsidRPr="00F8298A" w:rsidRDefault="00F8298A" w:rsidP="00F8298A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8298A">
        <w:rPr>
          <w:rFonts w:ascii="Times New Roman" w:hAnsi="Times New Roman" w:cs="Times New Roman"/>
          <w:color w:val="auto"/>
          <w:sz w:val="28"/>
          <w:szCs w:val="28"/>
        </w:rPr>
        <w:t xml:space="preserve">У 13 женщин (65%) при исследовании уровня инсулина было выявлено его повышение (28,4 – 30,5 </w:t>
      </w:r>
      <w:proofErr w:type="spellStart"/>
      <w:r w:rsidRPr="00F8298A">
        <w:rPr>
          <w:rFonts w:ascii="Times New Roman" w:hAnsi="Times New Roman" w:cs="Times New Roman"/>
          <w:color w:val="auto"/>
          <w:sz w:val="28"/>
          <w:szCs w:val="28"/>
        </w:rPr>
        <w:t>мкЕД</w:t>
      </w:r>
      <w:proofErr w:type="spellEnd"/>
      <w:r w:rsidRPr="00F8298A">
        <w:rPr>
          <w:rFonts w:ascii="Times New Roman" w:hAnsi="Times New Roman" w:cs="Times New Roman"/>
          <w:color w:val="auto"/>
          <w:sz w:val="28"/>
          <w:szCs w:val="28"/>
        </w:rPr>
        <w:t xml:space="preserve">/мл против 2,6 – 24,9 </w:t>
      </w:r>
      <w:proofErr w:type="spellStart"/>
      <w:r w:rsidRPr="00F8298A">
        <w:rPr>
          <w:rFonts w:ascii="Times New Roman" w:hAnsi="Times New Roman" w:cs="Times New Roman"/>
          <w:color w:val="auto"/>
          <w:sz w:val="28"/>
          <w:szCs w:val="28"/>
        </w:rPr>
        <w:t>мкЕД</w:t>
      </w:r>
      <w:proofErr w:type="spellEnd"/>
      <w:r w:rsidRPr="00F8298A">
        <w:rPr>
          <w:rFonts w:ascii="Times New Roman" w:hAnsi="Times New Roman" w:cs="Times New Roman"/>
          <w:color w:val="auto"/>
          <w:sz w:val="28"/>
          <w:szCs w:val="28"/>
        </w:rPr>
        <w:t xml:space="preserve">/мл, </w:t>
      </w:r>
      <w:proofErr w:type="gramStart"/>
      <w:r w:rsidRPr="00F8298A">
        <w:rPr>
          <w:rFonts w:ascii="Times New Roman" w:hAnsi="Times New Roman" w:cs="Times New Roman"/>
          <w:color w:val="auto"/>
          <w:sz w:val="28"/>
          <w:szCs w:val="28"/>
        </w:rPr>
        <w:t>р</w:t>
      </w:r>
      <w:proofErr w:type="gramEnd"/>
      <w:r w:rsidRPr="00F8298A">
        <w:rPr>
          <w:rFonts w:ascii="Times New Roman" w:hAnsi="Times New Roman" w:cs="Times New Roman"/>
          <w:color w:val="auto"/>
          <w:sz w:val="28"/>
          <w:szCs w:val="28"/>
        </w:rPr>
        <w:t xml:space="preserve">&lt;0,05). </w:t>
      </w:r>
    </w:p>
    <w:p w:rsidR="00F8298A" w:rsidRPr="00F8298A" w:rsidRDefault="00F8298A" w:rsidP="00F829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8298A">
        <w:rPr>
          <w:rFonts w:ascii="Times New Roman" w:hAnsi="Times New Roman" w:cs="Times New Roman"/>
          <w:color w:val="auto"/>
          <w:sz w:val="28"/>
          <w:szCs w:val="28"/>
        </w:rPr>
        <w:t xml:space="preserve">Женщины контрольной группы не имели отклонений в показателях гормональных исследований. </w:t>
      </w:r>
    </w:p>
    <w:p w:rsidR="00F8298A" w:rsidRPr="00F8298A" w:rsidRDefault="00F8298A" w:rsidP="00F8298A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8298A">
        <w:rPr>
          <w:rFonts w:ascii="Times New Roman" w:hAnsi="Times New Roman" w:cs="Times New Roman"/>
          <w:color w:val="auto"/>
          <w:sz w:val="28"/>
          <w:szCs w:val="28"/>
        </w:rPr>
        <w:t>На основании полученных данных можн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 предположить, что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гиперинсули</w:t>
      </w:r>
      <w:r w:rsidRPr="00F8298A">
        <w:rPr>
          <w:rFonts w:ascii="Times New Roman" w:hAnsi="Times New Roman" w:cs="Times New Roman"/>
          <w:color w:val="auto"/>
          <w:sz w:val="28"/>
          <w:szCs w:val="28"/>
        </w:rPr>
        <w:t>немия</w:t>
      </w:r>
      <w:proofErr w:type="spellEnd"/>
      <w:r w:rsidRPr="00F8298A">
        <w:rPr>
          <w:rFonts w:ascii="Times New Roman" w:hAnsi="Times New Roman" w:cs="Times New Roman"/>
          <w:color w:val="auto"/>
          <w:sz w:val="28"/>
          <w:szCs w:val="28"/>
        </w:rPr>
        <w:t xml:space="preserve"> является одним из факторов, влияющих на повышение уровня андрогенов при СПКЯ. </w:t>
      </w:r>
    </w:p>
    <w:p w:rsidR="00F8298A" w:rsidRPr="00F8298A" w:rsidRDefault="00F8298A" w:rsidP="00F8298A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8298A">
        <w:rPr>
          <w:rFonts w:ascii="Times New Roman" w:hAnsi="Times New Roman" w:cs="Times New Roman"/>
          <w:color w:val="auto"/>
          <w:sz w:val="28"/>
          <w:szCs w:val="28"/>
        </w:rPr>
        <w:t xml:space="preserve">Выводы. В процессе лечения СПКЯ необходимо учитывать уровень инсулина в крови, как один из этапов патогенетической цепи развития данного заболевания. </w:t>
      </w:r>
    </w:p>
    <w:p w:rsidR="00F8298A" w:rsidRPr="00F8298A" w:rsidRDefault="00F8298A" w:rsidP="00F8298A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8298A" w:rsidRPr="00F82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ranklin Gothic Book">
    <w:altName w:val="Franklin Gothic Book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1F7"/>
    <w:rsid w:val="00636A9C"/>
    <w:rsid w:val="00DB71F7"/>
    <w:rsid w:val="00F8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298A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298A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438</Words>
  <Characters>2503</Characters>
  <Application>Microsoft Office Word</Application>
  <DocSecurity>0</DocSecurity>
  <Lines>20</Lines>
  <Paragraphs>5</Paragraphs>
  <ScaleCrop>false</ScaleCrop>
  <Company>Krokoz™</Company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2017-04-12T10:17:00Z</dcterms:created>
  <dcterms:modified xsi:type="dcterms:W3CDTF">2017-04-12T10:23:00Z</dcterms:modified>
</cp:coreProperties>
</file>