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038">
        <w:rPr>
          <w:rFonts w:ascii="Times New Roman" w:hAnsi="Times New Roman" w:cs="Times New Roman"/>
          <w:b/>
          <w:bCs/>
          <w:sz w:val="28"/>
          <w:szCs w:val="28"/>
        </w:rPr>
        <w:t>ЛЕЧЕНИЕ СИНДРОМА ИСТОЩЕННЫХ ЯИЧНИКОВ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038">
        <w:rPr>
          <w:rFonts w:ascii="Times New Roman" w:hAnsi="Times New Roman" w:cs="Times New Roman"/>
          <w:b/>
          <w:bCs/>
          <w:sz w:val="28"/>
          <w:szCs w:val="28"/>
        </w:rPr>
        <w:t>C ИСПОЛЬЗОВАНИЕМ МОНОХРОМАТИЧЕСКОГО КРАСНОГО СВЕТА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Гайворонская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С.И.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университет,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г. Харьков, Украина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Целым рядом клинических исследований было доказано, что при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воздействии </w:t>
      </w:r>
      <w:bookmarkStart w:id="0" w:name="_GoBack"/>
      <w:bookmarkEnd w:id="0"/>
      <w:r w:rsidRPr="00BD1038">
        <w:rPr>
          <w:rFonts w:ascii="Times New Roman" w:hAnsi="Times New Roman" w:cs="Times New Roman"/>
          <w:sz w:val="28"/>
          <w:szCs w:val="28"/>
        </w:rPr>
        <w:t>на организм низкоинтенсивного лазерного излучения наблюдается выраженная активация ферментов, происходит интенсификация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метаболических процессов, а также ускоряется элиминация конечных продуктов обмена. Биологические эффекты излучения зависят от исходного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состояния поврежденного органа и организма в целом.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Цель исследования изучить опо</w:t>
      </w:r>
      <w:r>
        <w:rPr>
          <w:rFonts w:ascii="Times New Roman" w:hAnsi="Times New Roman" w:cs="Times New Roman"/>
          <w:sz w:val="28"/>
          <w:szCs w:val="28"/>
        </w:rPr>
        <w:t>средованное влияние монохромати</w:t>
      </w:r>
      <w:r w:rsidRPr="00BD1038">
        <w:rPr>
          <w:rFonts w:ascii="Times New Roman" w:hAnsi="Times New Roman" w:cs="Times New Roman"/>
          <w:sz w:val="28"/>
          <w:szCs w:val="28"/>
        </w:rPr>
        <w:t>ческого красного излучения на некоторые показатели функции яичников 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гипофизарных гормонов.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Материалы и методы. Основную группу составили 50 женщин с синдромом истощения яичников. В группу контроля вошли 20 здоровых женщин.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Пациентки обеих групп были в возрасте 30–40 лет.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При антропометрии у больных основной группы был выявлен женский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фенотип. Гипоплазии молочных желез</w:t>
      </w:r>
      <w:r>
        <w:rPr>
          <w:rFonts w:ascii="Times New Roman" w:hAnsi="Times New Roman" w:cs="Times New Roman"/>
          <w:sz w:val="28"/>
          <w:szCs w:val="28"/>
        </w:rPr>
        <w:t xml:space="preserve"> не наблюдалось. При гинекологи</w:t>
      </w:r>
      <w:r w:rsidRPr="00BD1038">
        <w:rPr>
          <w:rFonts w:ascii="Times New Roman" w:hAnsi="Times New Roman" w:cs="Times New Roman"/>
          <w:sz w:val="28"/>
          <w:szCs w:val="28"/>
        </w:rPr>
        <w:t>ческом осмотре выявлена гипоплазия матки, снижение эстрогенной реакции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слизистых оболочек, отсутствие симптома «зрачка». Результаты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кольпоцитологического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исследования: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кариопикнотический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индекс – в пределах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0-10%, во влагалищной слизи присутствуют базальные и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парабазальные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эпителиальные клетки. Ректальная температура – монофазная. При ультразвуковом исследовании выявлены умень</w:t>
      </w:r>
      <w:r>
        <w:rPr>
          <w:rFonts w:ascii="Times New Roman" w:hAnsi="Times New Roman" w:cs="Times New Roman"/>
          <w:sz w:val="28"/>
          <w:szCs w:val="28"/>
        </w:rPr>
        <w:t>шенные в размерах матка и яични</w:t>
      </w:r>
      <w:r w:rsidRPr="00BD1038">
        <w:rPr>
          <w:rFonts w:ascii="Times New Roman" w:hAnsi="Times New Roman" w:cs="Times New Roman"/>
          <w:sz w:val="28"/>
          <w:szCs w:val="28"/>
        </w:rPr>
        <w:t xml:space="preserve">ки. Структура яичников в основном гомогенная, умеренно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гиперэхогенного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характера, фолликулы –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премордиальные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>, единичные, желтые тела отсутствуют.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lastRenderedPageBreak/>
        <w:t>При исследовании плазмы крови пациенток основной группы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лечения выявлен низкий уровень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эстрадиола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- 23,6±3,7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>/мл при норме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40–300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>/мл (</w:t>
      </w:r>
      <w:proofErr w:type="gramStart"/>
      <w:r w:rsidRPr="00BD10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1038">
        <w:rPr>
          <w:rFonts w:ascii="Times New Roman" w:hAnsi="Times New Roman" w:cs="Times New Roman"/>
          <w:sz w:val="28"/>
          <w:szCs w:val="28"/>
        </w:rPr>
        <w:t>&lt;0,001). При определе</w:t>
      </w:r>
      <w:r>
        <w:rPr>
          <w:rFonts w:ascii="Times New Roman" w:hAnsi="Times New Roman" w:cs="Times New Roman"/>
          <w:sz w:val="28"/>
          <w:szCs w:val="28"/>
        </w:rPr>
        <w:t>нии гонадотропных гормонов отме</w:t>
      </w:r>
      <w:r w:rsidRPr="00BD1038">
        <w:rPr>
          <w:rFonts w:ascii="Times New Roman" w:hAnsi="Times New Roman" w:cs="Times New Roman"/>
          <w:sz w:val="28"/>
          <w:szCs w:val="28"/>
        </w:rPr>
        <w:t>чено заметное повышение фолликулостимулирующего гормона (ФСГ), базальный уровень которого составлял 15,01±0,52 МЕ/л против 1,5-10 МЕ/мл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у здоровых женщин того же возраста (</w:t>
      </w:r>
      <w:proofErr w:type="gramStart"/>
      <w:r w:rsidRPr="00BD10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1038">
        <w:rPr>
          <w:rFonts w:ascii="Times New Roman" w:hAnsi="Times New Roman" w:cs="Times New Roman"/>
          <w:sz w:val="28"/>
          <w:szCs w:val="28"/>
        </w:rPr>
        <w:t xml:space="preserve">&lt;0,001). Содержание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лютеинизирующего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гормона (ЛГ) у больных с синдромом истощенных яичников было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несколько раз выше уровня базальной секреции гормона (16,13±4,67 МЕ/л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против 3-15 МЕ/л, </w:t>
      </w:r>
      <w:proofErr w:type="gramStart"/>
      <w:r w:rsidRPr="00BD10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1038">
        <w:rPr>
          <w:rFonts w:ascii="Times New Roman" w:hAnsi="Times New Roman" w:cs="Times New Roman"/>
          <w:sz w:val="28"/>
          <w:szCs w:val="28"/>
        </w:rPr>
        <w:t>&lt;0,001). Уровень пролактина в основной группе был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снижен в 2 раза по сравнению с его содержанием у здоровых женщин.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Уровень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эстрадиола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>, ФСГ и ЛГ у женщин контрольной группы соответствовал пределам физиологической нормы.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Для лечения низкоинтенсивным красным лазерным излучением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длиной волны 0,632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был применен аппарат «Мустанг-2000» в режиме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постоянной генерации импульсов. Действие лазера являлось локальным,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луч лазера был направлен на кожу живота в проекции яичников. Диаметр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светового пятна составил 2 см. Продолжительность воздействия – 5 минут,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курс лечения – 10 процедур. Лечение проводилось с 5-го по 15-й дни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менструального цикла при спонтанной или после стимулированной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менструации.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Результаты исследования. У 18% женщин основной группы на 28-30-й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день прошла менструация. Уровень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эстрадиола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повысился до нормальных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величин (145±15,7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>/мл), а показатели гипофизарных гормонов достигли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физиологических пределов.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Кариопикнотический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индекс повысился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30,8±3,9% (</w:t>
      </w:r>
      <w:proofErr w:type="gramStart"/>
      <w:r w:rsidRPr="00BD10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D1038">
        <w:rPr>
          <w:rFonts w:ascii="Times New Roman" w:hAnsi="Times New Roman" w:cs="Times New Roman"/>
          <w:sz w:val="28"/>
          <w:szCs w:val="28"/>
        </w:rPr>
        <w:t>&lt;0,001); во влагалищной слизи стали преобладать промежуточные и поверхностные клетки; появился симптом «зрачка» (++).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По данным ультразвукового исследования, у 7 пациенток отмечен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рост фолликулов до размеров 7–9 мм на 15-й день менструального цикла.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Овуляция у данной группы не произошла.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При анализе результатов лечения </w:t>
      </w:r>
      <w:r w:rsidRPr="00BD1038">
        <w:rPr>
          <w:rFonts w:ascii="Times New Roman" w:hAnsi="Times New Roman" w:cs="Times New Roman"/>
          <w:sz w:val="28"/>
          <w:szCs w:val="28"/>
        </w:rPr>
        <w:lastRenderedPageBreak/>
        <w:t xml:space="preserve">выявлены положительные изменения у группы больных с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гип</w:t>
      </w:r>
      <w:proofErr w:type="gramStart"/>
      <w:r w:rsidRPr="00BD103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D1038">
        <w:rPr>
          <w:rFonts w:ascii="Times New Roman" w:hAnsi="Times New Roman" w:cs="Times New Roman"/>
          <w:sz w:val="28"/>
          <w:szCs w:val="28"/>
        </w:rPr>
        <w:t xml:space="preserve">, олиго-,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опсоменореей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длительностью 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>более 0,5 лет.</w:t>
      </w:r>
    </w:p>
    <w:p w:rsidR="00BD1038" w:rsidRPr="00BD1038" w:rsidRDefault="00BD1038" w:rsidP="00BD1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038">
        <w:rPr>
          <w:rFonts w:ascii="Times New Roman" w:hAnsi="Times New Roman" w:cs="Times New Roman"/>
          <w:sz w:val="28"/>
          <w:szCs w:val="28"/>
        </w:rPr>
        <w:t>Выводы. Низкоинтенсивное красное лазерное излучение может быть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1038">
        <w:rPr>
          <w:rFonts w:ascii="Times New Roman" w:hAnsi="Times New Roman" w:cs="Times New Roman"/>
          <w:sz w:val="28"/>
          <w:szCs w:val="28"/>
        </w:rPr>
        <w:t xml:space="preserve">эффективным в лечении синдрома истощенных яичников. Ремиссии </w:t>
      </w:r>
      <w:proofErr w:type="gramStart"/>
      <w:r w:rsidRPr="00BD1038">
        <w:rPr>
          <w:rFonts w:ascii="Times New Roman" w:hAnsi="Times New Roman" w:cs="Times New Roman"/>
          <w:sz w:val="28"/>
          <w:szCs w:val="28"/>
        </w:rPr>
        <w:t>заболевания</w:t>
      </w:r>
      <w:proofErr w:type="gramEnd"/>
      <w:r w:rsidRPr="00BD1038">
        <w:rPr>
          <w:rFonts w:ascii="Times New Roman" w:hAnsi="Times New Roman" w:cs="Times New Roman"/>
          <w:sz w:val="28"/>
          <w:szCs w:val="28"/>
        </w:rPr>
        <w:t xml:space="preserve"> возможно добиться в случае проявления его в виде </w:t>
      </w:r>
      <w:proofErr w:type="spellStart"/>
      <w:r w:rsidRPr="00BD1038">
        <w:rPr>
          <w:rFonts w:ascii="Times New Roman" w:hAnsi="Times New Roman" w:cs="Times New Roman"/>
          <w:sz w:val="28"/>
          <w:szCs w:val="28"/>
        </w:rPr>
        <w:t>гипоменструального</w:t>
      </w:r>
      <w:proofErr w:type="spellEnd"/>
      <w:r w:rsidRPr="00BD1038">
        <w:rPr>
          <w:rFonts w:ascii="Times New Roman" w:hAnsi="Times New Roman" w:cs="Times New Roman"/>
          <w:sz w:val="28"/>
          <w:szCs w:val="28"/>
        </w:rPr>
        <w:t xml:space="preserve"> синдрома. Рекомендуется начи</w:t>
      </w:r>
      <w:r>
        <w:rPr>
          <w:rFonts w:ascii="Times New Roman" w:hAnsi="Times New Roman" w:cs="Times New Roman"/>
          <w:sz w:val="28"/>
          <w:szCs w:val="28"/>
        </w:rPr>
        <w:t>нать лечение сразу после появле</w:t>
      </w:r>
      <w:r w:rsidRPr="00BD1038">
        <w:rPr>
          <w:rFonts w:ascii="Times New Roman" w:hAnsi="Times New Roman" w:cs="Times New Roman"/>
          <w:sz w:val="28"/>
          <w:szCs w:val="28"/>
        </w:rPr>
        <w:t>ния первых симптомов заболевания.</w:t>
      </w:r>
    </w:p>
    <w:sectPr w:rsidR="00BD1038" w:rsidRPr="00BD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DB"/>
    <w:rsid w:val="000A64DB"/>
    <w:rsid w:val="0012314C"/>
    <w:rsid w:val="007D4C40"/>
    <w:rsid w:val="00BD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572</Words>
  <Characters>3266</Characters>
  <Application>Microsoft Office Word</Application>
  <DocSecurity>0</DocSecurity>
  <Lines>27</Lines>
  <Paragraphs>7</Paragraphs>
  <ScaleCrop>false</ScaleCrop>
  <Company>Krokoz™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2016-12-06T10:59:00Z</dcterms:created>
  <dcterms:modified xsi:type="dcterms:W3CDTF">2016-12-06T11:03:00Z</dcterms:modified>
</cp:coreProperties>
</file>