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drawings/drawing1.xml" ContentType="application/vnd.openxmlformats-officedocument.drawingml.chartshapes+xml"/>
  <Override PartName="/word/theme/theme1.xml" ContentType="application/vnd.openxmlformats-officedocument.theme+xml"/>
  <Override PartName="/word/charts/chart2.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B7AF9" w:rsidRDefault="001B7AF9" w:rsidP="00F83991">
      <w:pPr>
        <w:spacing w:line="360" w:lineRule="auto"/>
        <w:rPr>
          <w:b/>
          <w:noProof/>
          <w:sz w:val="28"/>
          <w:szCs w:val="28"/>
          <w:lang w:val="ru-RU"/>
        </w:rPr>
      </w:pPr>
      <w:r w:rsidRPr="00797058">
        <w:rPr>
          <w:b/>
          <w:noProof/>
          <w:sz w:val="28"/>
          <w:szCs w:val="28"/>
          <w:lang w:val="ru-RU"/>
        </w:rPr>
        <w:t xml:space="preserve">УДК </w:t>
      </w:r>
      <w:r w:rsidR="0053240A">
        <w:rPr>
          <w:b/>
          <w:noProof/>
          <w:sz w:val="28"/>
          <w:szCs w:val="28"/>
          <w:lang w:val="ru-RU"/>
        </w:rPr>
        <w:t>615.26</w:t>
      </w:r>
      <w:r w:rsidR="001B2B2C">
        <w:rPr>
          <w:b/>
          <w:noProof/>
          <w:sz w:val="28"/>
          <w:szCs w:val="28"/>
          <w:lang w:val="ru-RU"/>
        </w:rPr>
        <w:t xml:space="preserve"> – 085.322:582.795.10</w:t>
      </w:r>
    </w:p>
    <w:p w:rsidR="001B7AF9" w:rsidRPr="00797058" w:rsidRDefault="00755932" w:rsidP="00F83991">
      <w:pPr>
        <w:spacing w:line="360" w:lineRule="auto"/>
        <w:ind w:firstLine="387"/>
        <w:jc w:val="center"/>
        <w:rPr>
          <w:b/>
          <w:noProof/>
          <w:sz w:val="28"/>
          <w:szCs w:val="28"/>
          <w:lang w:val="ru-RU"/>
        </w:rPr>
      </w:pPr>
      <w:r>
        <w:rPr>
          <w:b/>
          <w:noProof/>
          <w:sz w:val="28"/>
          <w:szCs w:val="28"/>
          <w:lang w:val="ru-RU"/>
        </w:rPr>
        <w:t>ВИВЧЕННЯ ФАРМАКОЛОГІЧНИХ ВЛАСТИВОСТЕЙ</w:t>
      </w:r>
      <w:r w:rsidR="00A47BB4">
        <w:rPr>
          <w:b/>
          <w:noProof/>
          <w:sz w:val="28"/>
          <w:szCs w:val="28"/>
          <w:lang w:val="ru-RU"/>
        </w:rPr>
        <w:t xml:space="preserve"> </w:t>
      </w:r>
      <w:r w:rsidR="00F6659E">
        <w:rPr>
          <w:b/>
          <w:noProof/>
          <w:sz w:val="28"/>
          <w:szCs w:val="28"/>
          <w:lang w:val="ru-RU"/>
        </w:rPr>
        <w:t xml:space="preserve">ГУСТОГО ЕКСТРАКТУ З КОРНЕПЛОДІВ МОРКВИ – </w:t>
      </w:r>
      <w:r w:rsidR="00F6659E">
        <w:rPr>
          <w:b/>
          <w:noProof/>
          <w:sz w:val="28"/>
          <w:szCs w:val="28"/>
          <w:lang w:val="uk-UA"/>
        </w:rPr>
        <w:t xml:space="preserve">НОВОГО ПОТЕНЦІЙНОГО ПРЕПАРАТУ </w:t>
      </w:r>
      <w:r w:rsidR="00F6659E">
        <w:rPr>
          <w:b/>
          <w:noProof/>
          <w:sz w:val="28"/>
          <w:szCs w:val="28"/>
          <w:lang w:val="ru-RU"/>
        </w:rPr>
        <w:t xml:space="preserve">З РЕПАРАТИВНОЮ ДІЄЮ </w:t>
      </w:r>
    </w:p>
    <w:p w:rsidR="001B7AF9" w:rsidRPr="00797058" w:rsidRDefault="00FD7A12" w:rsidP="00F83991">
      <w:pPr>
        <w:tabs>
          <w:tab w:val="left" w:pos="426"/>
        </w:tabs>
        <w:spacing w:line="360" w:lineRule="auto"/>
        <w:ind w:firstLine="284"/>
        <w:jc w:val="right"/>
        <w:rPr>
          <w:b/>
          <w:noProof/>
          <w:sz w:val="28"/>
          <w:szCs w:val="28"/>
          <w:lang w:val="ru-RU"/>
        </w:rPr>
      </w:pPr>
      <w:r>
        <w:rPr>
          <w:b/>
          <w:noProof/>
          <w:sz w:val="28"/>
          <w:szCs w:val="28"/>
          <w:lang w:val="ru-RU"/>
        </w:rPr>
        <w:t>Єрмоленко Тамара Іванівна</w:t>
      </w:r>
      <w:r w:rsidR="001B7AF9" w:rsidRPr="00797058">
        <w:rPr>
          <w:b/>
          <w:noProof/>
          <w:sz w:val="28"/>
          <w:szCs w:val="28"/>
          <w:lang w:val="ru-RU"/>
        </w:rPr>
        <w:t>,</w:t>
      </w:r>
    </w:p>
    <w:p w:rsidR="001B7AF9" w:rsidRPr="00797058" w:rsidRDefault="00FD7A12" w:rsidP="00F83991">
      <w:pPr>
        <w:tabs>
          <w:tab w:val="left" w:pos="426"/>
        </w:tabs>
        <w:spacing w:line="360" w:lineRule="auto"/>
        <w:ind w:firstLine="284"/>
        <w:jc w:val="right"/>
        <w:rPr>
          <w:noProof/>
          <w:sz w:val="28"/>
          <w:szCs w:val="28"/>
          <w:lang w:val="ru-RU"/>
        </w:rPr>
      </w:pPr>
      <w:r>
        <w:rPr>
          <w:noProof/>
          <w:sz w:val="28"/>
          <w:szCs w:val="28"/>
          <w:lang w:val="ru-RU"/>
        </w:rPr>
        <w:t>д.фарм</w:t>
      </w:r>
      <w:r w:rsidR="007448E6">
        <w:rPr>
          <w:noProof/>
          <w:sz w:val="28"/>
          <w:szCs w:val="28"/>
          <w:lang w:val="ru-RU"/>
        </w:rPr>
        <w:t>.н</w:t>
      </w:r>
      <w:r w:rsidR="001B7AF9" w:rsidRPr="00797058">
        <w:rPr>
          <w:noProof/>
          <w:sz w:val="28"/>
          <w:szCs w:val="28"/>
          <w:lang w:val="ru-RU"/>
        </w:rPr>
        <w:t xml:space="preserve">., </w:t>
      </w:r>
      <w:r w:rsidR="007448E6">
        <w:rPr>
          <w:noProof/>
          <w:sz w:val="28"/>
          <w:szCs w:val="28"/>
          <w:lang w:val="ru-RU"/>
        </w:rPr>
        <w:t>професор</w:t>
      </w:r>
    </w:p>
    <w:p w:rsidR="001B7AF9" w:rsidRPr="00797058" w:rsidRDefault="007448E6" w:rsidP="00F83991">
      <w:pPr>
        <w:tabs>
          <w:tab w:val="left" w:pos="426"/>
        </w:tabs>
        <w:spacing w:line="360" w:lineRule="auto"/>
        <w:jc w:val="right"/>
        <w:rPr>
          <w:b/>
          <w:noProof/>
          <w:sz w:val="28"/>
          <w:szCs w:val="28"/>
          <w:lang w:val="ru-RU"/>
        </w:rPr>
      </w:pPr>
      <w:r>
        <w:rPr>
          <w:b/>
          <w:noProof/>
          <w:sz w:val="28"/>
          <w:szCs w:val="28"/>
          <w:lang w:val="ru-RU"/>
        </w:rPr>
        <w:t xml:space="preserve">Шаповал Ольга Миколаївна, </w:t>
      </w:r>
    </w:p>
    <w:p w:rsidR="001B7AF9" w:rsidRDefault="007448E6" w:rsidP="00F83991">
      <w:pPr>
        <w:tabs>
          <w:tab w:val="left" w:pos="426"/>
        </w:tabs>
        <w:spacing w:line="360" w:lineRule="auto"/>
        <w:jc w:val="right"/>
        <w:rPr>
          <w:noProof/>
          <w:sz w:val="28"/>
          <w:szCs w:val="28"/>
          <w:lang w:val="ru-RU"/>
        </w:rPr>
      </w:pPr>
      <w:r>
        <w:rPr>
          <w:noProof/>
          <w:sz w:val="28"/>
          <w:szCs w:val="28"/>
          <w:lang w:val="ru-RU"/>
        </w:rPr>
        <w:t>к.біол.н., доцент</w:t>
      </w:r>
    </w:p>
    <w:p w:rsidR="007448E6" w:rsidRPr="00797058" w:rsidRDefault="007448E6" w:rsidP="00F83991">
      <w:pPr>
        <w:tabs>
          <w:tab w:val="left" w:pos="426"/>
        </w:tabs>
        <w:spacing w:line="360" w:lineRule="auto"/>
        <w:jc w:val="right"/>
        <w:rPr>
          <w:b/>
          <w:noProof/>
          <w:sz w:val="28"/>
          <w:szCs w:val="28"/>
          <w:lang w:val="ru-RU"/>
        </w:rPr>
      </w:pPr>
      <w:r>
        <w:rPr>
          <w:b/>
          <w:noProof/>
          <w:sz w:val="28"/>
          <w:szCs w:val="28"/>
          <w:lang w:val="ru-RU"/>
        </w:rPr>
        <w:t xml:space="preserve">Чорна Наталія Степанівна, </w:t>
      </w:r>
    </w:p>
    <w:p w:rsidR="007448E6" w:rsidRDefault="007448E6" w:rsidP="00F83991">
      <w:pPr>
        <w:tabs>
          <w:tab w:val="left" w:pos="426"/>
        </w:tabs>
        <w:spacing w:line="360" w:lineRule="auto"/>
        <w:jc w:val="right"/>
        <w:rPr>
          <w:noProof/>
          <w:sz w:val="28"/>
          <w:szCs w:val="28"/>
          <w:lang w:val="ru-RU"/>
        </w:rPr>
      </w:pPr>
      <w:r>
        <w:rPr>
          <w:noProof/>
          <w:sz w:val="28"/>
          <w:szCs w:val="28"/>
          <w:lang w:val="ru-RU"/>
        </w:rPr>
        <w:t>к.фарм.н.</w:t>
      </w:r>
    </w:p>
    <w:p w:rsidR="001B7AF9" w:rsidRDefault="00CE64A1" w:rsidP="00F83991">
      <w:pPr>
        <w:tabs>
          <w:tab w:val="left" w:pos="426"/>
        </w:tabs>
        <w:spacing w:line="360" w:lineRule="auto"/>
        <w:jc w:val="right"/>
        <w:rPr>
          <w:bCs/>
          <w:noProof/>
          <w:sz w:val="28"/>
          <w:szCs w:val="28"/>
          <w:lang w:val="ru-RU"/>
        </w:rPr>
      </w:pPr>
      <w:r>
        <w:rPr>
          <w:bCs/>
          <w:noProof/>
          <w:sz w:val="28"/>
          <w:szCs w:val="28"/>
          <w:lang w:val="ru-RU"/>
        </w:rPr>
        <w:t>Харківський національний медичний університет</w:t>
      </w:r>
    </w:p>
    <w:p w:rsidR="001B7AF9" w:rsidRPr="00EF1A7A" w:rsidRDefault="00CE64A1" w:rsidP="00F83991">
      <w:pPr>
        <w:tabs>
          <w:tab w:val="left" w:pos="426"/>
        </w:tabs>
        <w:spacing w:line="360" w:lineRule="auto"/>
        <w:jc w:val="right"/>
        <w:rPr>
          <w:noProof/>
          <w:sz w:val="28"/>
          <w:szCs w:val="28"/>
          <w:lang w:val="ru-RU"/>
        </w:rPr>
      </w:pPr>
      <w:r>
        <w:rPr>
          <w:bCs/>
          <w:noProof/>
          <w:sz w:val="28"/>
          <w:szCs w:val="28"/>
          <w:lang w:val="ru-RU"/>
        </w:rPr>
        <w:t>м.</w:t>
      </w:r>
      <w:r w:rsidR="00C24922">
        <w:rPr>
          <w:bCs/>
          <w:noProof/>
          <w:sz w:val="28"/>
          <w:szCs w:val="28"/>
          <w:lang w:val="ru-RU"/>
        </w:rPr>
        <w:t xml:space="preserve"> </w:t>
      </w:r>
      <w:r>
        <w:rPr>
          <w:bCs/>
          <w:noProof/>
          <w:sz w:val="28"/>
          <w:szCs w:val="28"/>
          <w:lang w:val="ru-RU"/>
        </w:rPr>
        <w:t>Харків</w:t>
      </w:r>
      <w:r w:rsidR="001B7AF9">
        <w:rPr>
          <w:bCs/>
          <w:noProof/>
          <w:sz w:val="28"/>
          <w:szCs w:val="28"/>
          <w:lang w:val="ru-RU"/>
        </w:rPr>
        <w:t>, Укра</w:t>
      </w:r>
      <w:r>
        <w:rPr>
          <w:bCs/>
          <w:noProof/>
          <w:sz w:val="28"/>
          <w:szCs w:val="28"/>
          <w:lang w:val="ru-RU"/>
        </w:rPr>
        <w:t>ї</w:t>
      </w:r>
      <w:r w:rsidR="001B7AF9">
        <w:rPr>
          <w:bCs/>
          <w:noProof/>
          <w:sz w:val="28"/>
          <w:szCs w:val="28"/>
          <w:lang w:val="ru-RU"/>
        </w:rPr>
        <w:t>на</w:t>
      </w:r>
    </w:p>
    <w:p w:rsidR="001B7AF9" w:rsidRPr="00EF1A7A" w:rsidRDefault="00CE64A1" w:rsidP="00F83991">
      <w:pPr>
        <w:tabs>
          <w:tab w:val="left" w:pos="426"/>
        </w:tabs>
        <w:spacing w:line="360" w:lineRule="auto"/>
        <w:jc w:val="right"/>
        <w:rPr>
          <w:noProof/>
          <w:sz w:val="28"/>
          <w:szCs w:val="28"/>
          <w:lang w:val="ru-RU"/>
        </w:rPr>
      </w:pPr>
      <w:r w:rsidRPr="00CE64A1">
        <w:rPr>
          <w:noProof/>
          <w:sz w:val="28"/>
          <w:szCs w:val="28"/>
          <w:lang w:val="en-US"/>
        </w:rPr>
        <w:t>farmakologia</w:t>
      </w:r>
      <w:r w:rsidRPr="00116D06">
        <w:rPr>
          <w:noProof/>
          <w:sz w:val="28"/>
          <w:szCs w:val="28"/>
          <w:lang w:val="ru-RU"/>
        </w:rPr>
        <w:t>@</w:t>
      </w:r>
      <w:r w:rsidRPr="00CE64A1">
        <w:rPr>
          <w:noProof/>
          <w:sz w:val="28"/>
          <w:szCs w:val="28"/>
          <w:lang w:val="en-US"/>
        </w:rPr>
        <w:t>ukr</w:t>
      </w:r>
      <w:r w:rsidRPr="00116D06">
        <w:rPr>
          <w:noProof/>
          <w:sz w:val="28"/>
          <w:szCs w:val="28"/>
          <w:lang w:val="ru-RU"/>
        </w:rPr>
        <w:t>.</w:t>
      </w:r>
      <w:r w:rsidRPr="00CE64A1">
        <w:rPr>
          <w:noProof/>
          <w:sz w:val="28"/>
          <w:szCs w:val="28"/>
          <w:lang w:val="en-US"/>
        </w:rPr>
        <w:t>net</w:t>
      </w:r>
    </w:p>
    <w:p w:rsidR="001B7AF9" w:rsidRPr="00797058" w:rsidRDefault="001B7AF9" w:rsidP="00F83991">
      <w:pPr>
        <w:spacing w:line="360" w:lineRule="auto"/>
        <w:ind w:firstLine="387"/>
        <w:jc w:val="both"/>
        <w:rPr>
          <w:noProof/>
          <w:sz w:val="28"/>
          <w:szCs w:val="28"/>
          <w:lang w:val="ru-RU"/>
        </w:rPr>
      </w:pPr>
    </w:p>
    <w:p w:rsidR="001B7AF9" w:rsidRPr="00CC0BAE" w:rsidRDefault="007A2298" w:rsidP="00170E6B">
      <w:pPr>
        <w:pStyle w:val="ac"/>
        <w:spacing w:line="360" w:lineRule="auto"/>
        <w:ind w:left="0" w:right="0" w:firstLine="709"/>
        <w:rPr>
          <w:b/>
          <w:noProof/>
        </w:rPr>
      </w:pPr>
      <w:r>
        <w:rPr>
          <w:b/>
          <w:noProof/>
          <w:lang w:val="ru-RU"/>
        </w:rPr>
        <w:t>А</w:t>
      </w:r>
      <w:r w:rsidR="001B7AF9" w:rsidRPr="00797058">
        <w:rPr>
          <w:b/>
          <w:noProof/>
          <w:lang w:val="ru-RU"/>
        </w:rPr>
        <w:t>нотац</w:t>
      </w:r>
      <w:r w:rsidR="00116D06">
        <w:rPr>
          <w:b/>
          <w:noProof/>
          <w:lang w:val="ru-RU"/>
        </w:rPr>
        <w:t>і</w:t>
      </w:r>
      <w:r w:rsidR="001B7AF9" w:rsidRPr="00797058">
        <w:rPr>
          <w:b/>
          <w:noProof/>
          <w:lang w:val="ru-RU"/>
        </w:rPr>
        <w:t xml:space="preserve">я: </w:t>
      </w:r>
      <w:r w:rsidR="00CC0BAE">
        <w:rPr>
          <w:noProof/>
          <w:lang w:val="ru-RU"/>
        </w:rPr>
        <w:t xml:space="preserve">В процесі проведеного </w:t>
      </w:r>
      <w:r w:rsidR="00AF4DCC">
        <w:rPr>
          <w:noProof/>
          <w:lang w:val="ru-RU"/>
        </w:rPr>
        <w:t xml:space="preserve">дослідження </w:t>
      </w:r>
      <w:r w:rsidR="00C24922">
        <w:rPr>
          <w:noProof/>
          <w:lang w:val="ru-RU"/>
        </w:rPr>
        <w:t>в</w:t>
      </w:r>
      <w:r w:rsidR="000D62EC">
        <w:rPr>
          <w:noProof/>
          <w:lang w:val="ru-RU"/>
        </w:rPr>
        <w:t xml:space="preserve">становлено </w:t>
      </w:r>
      <w:r w:rsidR="000D62EC" w:rsidRPr="00E0330A">
        <w:t>відсутність токсичної дії при одноразовому внутрішньошлунковому введенні щурам</w:t>
      </w:r>
      <w:r w:rsidR="00167D98">
        <w:t xml:space="preserve"> густого екстракту з корнеплодів моркви</w:t>
      </w:r>
      <w:r w:rsidR="000D62EC" w:rsidRPr="00E0330A">
        <w:t xml:space="preserve"> </w:t>
      </w:r>
      <w:r w:rsidR="00167D98">
        <w:t>(</w:t>
      </w:r>
      <w:r w:rsidR="000D62EC" w:rsidRPr="00E0330A">
        <w:t>ГЕКМ</w:t>
      </w:r>
      <w:r w:rsidR="00167D98">
        <w:t>)</w:t>
      </w:r>
      <w:r w:rsidR="000D62EC" w:rsidRPr="00E0330A">
        <w:t xml:space="preserve"> в дозі 5000 мг/кг, що свідчить про те</w:t>
      </w:r>
      <w:r w:rsidR="000D62EC" w:rsidRPr="000764CD">
        <w:t>,</w:t>
      </w:r>
      <w:r w:rsidR="000D62EC" w:rsidRPr="00E0330A">
        <w:t xml:space="preserve"> що ЛД</w:t>
      </w:r>
      <w:r w:rsidR="000D62EC" w:rsidRPr="00E0330A">
        <w:rPr>
          <w:vertAlign w:val="subscript"/>
        </w:rPr>
        <w:t>50</w:t>
      </w:r>
      <w:r w:rsidR="000D62EC" w:rsidRPr="00E0330A">
        <w:t xml:space="preserve"> </w:t>
      </w:r>
      <w:r w:rsidR="00167D98">
        <w:t>ГЕКМ</w:t>
      </w:r>
      <w:r w:rsidR="000D62EC" w:rsidRPr="00E0330A">
        <w:t xml:space="preserve"> знаходиться за межами 5000 мг/кг. Згідно з токсикологічною класифікацією речовин К.К.</w:t>
      </w:r>
      <w:r w:rsidR="00C24922">
        <w:t xml:space="preserve"> </w:t>
      </w:r>
      <w:r w:rsidR="000D62EC" w:rsidRPr="00E0330A">
        <w:t xml:space="preserve">Сидорова  ГЕКМ  належать до V класу токсичності – практично нешкідливих речовин. </w:t>
      </w:r>
      <w:r w:rsidR="00AF4DCC">
        <w:t>Вивчення</w:t>
      </w:r>
      <w:r w:rsidR="00170E6B" w:rsidRPr="00B63A23">
        <w:t xml:space="preserve"> </w:t>
      </w:r>
      <w:r w:rsidR="00170E6B">
        <w:t>впливу ГЕКМ</w:t>
      </w:r>
      <w:r w:rsidR="000D62EC" w:rsidRPr="00B63A23">
        <w:t xml:space="preserve"> на перебіг </w:t>
      </w:r>
      <w:r w:rsidR="00170E6B">
        <w:t>карагенінового</w:t>
      </w:r>
      <w:r w:rsidR="00A47BB4">
        <w:t xml:space="preserve"> запалення лапи у щурів показало </w:t>
      </w:r>
      <w:r w:rsidR="000D62EC" w:rsidRPr="00B63A23">
        <w:t>значущу</w:t>
      </w:r>
      <w:r w:rsidR="000D62EC">
        <w:t>,</w:t>
      </w:r>
      <w:r w:rsidR="000D62EC" w:rsidRPr="00B63A23">
        <w:t xml:space="preserve"> </w:t>
      </w:r>
      <w:r w:rsidR="000D62EC">
        <w:t xml:space="preserve">майже на рівні препарату порівняння диклофенаку натрію, </w:t>
      </w:r>
      <w:r w:rsidR="000D62EC" w:rsidRPr="00B63A23">
        <w:t xml:space="preserve">здатність </w:t>
      </w:r>
      <w:r w:rsidR="00C07A6D">
        <w:t>ГЕКМ</w:t>
      </w:r>
      <w:r w:rsidR="000D62EC" w:rsidRPr="00B63A23">
        <w:t xml:space="preserve"> пригнічувати запал</w:t>
      </w:r>
      <w:r w:rsidR="000D62EC">
        <w:t xml:space="preserve">ення. </w:t>
      </w:r>
      <w:r w:rsidR="00A47BB4" w:rsidRPr="00084DAF">
        <w:t>Отримані</w:t>
      </w:r>
      <w:r w:rsidR="00A47BB4">
        <w:t xml:space="preserve"> </w:t>
      </w:r>
      <w:r w:rsidR="00170E6B" w:rsidRPr="00084DAF">
        <w:t>дані</w:t>
      </w:r>
      <w:r w:rsidR="00170E6B">
        <w:t xml:space="preserve"> </w:t>
      </w:r>
      <w:r w:rsidR="00170E6B" w:rsidRPr="00084DAF">
        <w:t>свідчать про</w:t>
      </w:r>
      <w:r w:rsidR="00170E6B">
        <w:t xml:space="preserve"> високий ступінь </w:t>
      </w:r>
      <w:r w:rsidR="00170E6B" w:rsidRPr="00084DAF">
        <w:t xml:space="preserve"> </w:t>
      </w:r>
      <w:r w:rsidR="00170E6B">
        <w:t>безпечності  ГЕКМ, та наявності в складі репаративної дії ГЕКМ значущого протизапального ефекту, що робить його перспективним для подальшого вивчення з метою створення нового лікарського засобу для лікування захворювань шкіри.</w:t>
      </w:r>
    </w:p>
    <w:p w:rsidR="001B7AF9" w:rsidRPr="00B323AC" w:rsidRDefault="001B7AF9" w:rsidP="00F83991">
      <w:pPr>
        <w:spacing w:line="360" w:lineRule="auto"/>
        <w:ind w:firstLine="387"/>
        <w:jc w:val="both"/>
        <w:rPr>
          <w:b/>
          <w:noProof/>
          <w:sz w:val="28"/>
          <w:szCs w:val="28"/>
          <w:lang w:val="uk-UA"/>
        </w:rPr>
      </w:pPr>
      <w:r w:rsidRPr="00B323AC">
        <w:rPr>
          <w:b/>
          <w:noProof/>
          <w:sz w:val="28"/>
          <w:szCs w:val="28"/>
          <w:lang w:val="uk-UA"/>
        </w:rPr>
        <w:t>Ключ</w:t>
      </w:r>
      <w:r w:rsidR="00116D06" w:rsidRPr="00B323AC">
        <w:rPr>
          <w:b/>
          <w:noProof/>
          <w:sz w:val="28"/>
          <w:szCs w:val="28"/>
          <w:lang w:val="uk-UA"/>
        </w:rPr>
        <w:t>о</w:t>
      </w:r>
      <w:r w:rsidRPr="00B323AC">
        <w:rPr>
          <w:b/>
          <w:noProof/>
          <w:sz w:val="28"/>
          <w:szCs w:val="28"/>
          <w:lang w:val="uk-UA"/>
        </w:rPr>
        <w:t>в</w:t>
      </w:r>
      <w:r w:rsidR="00116D06" w:rsidRPr="00B323AC">
        <w:rPr>
          <w:b/>
          <w:noProof/>
          <w:sz w:val="28"/>
          <w:szCs w:val="28"/>
          <w:lang w:val="uk-UA"/>
        </w:rPr>
        <w:t>і</w:t>
      </w:r>
      <w:r w:rsidRPr="00B323AC">
        <w:rPr>
          <w:b/>
          <w:noProof/>
          <w:sz w:val="28"/>
          <w:szCs w:val="28"/>
          <w:lang w:val="uk-UA"/>
        </w:rPr>
        <w:t xml:space="preserve"> слова: </w:t>
      </w:r>
      <w:r w:rsidR="00C77B00">
        <w:rPr>
          <w:noProof/>
          <w:sz w:val="28"/>
          <w:szCs w:val="28"/>
          <w:lang w:val="uk-UA"/>
        </w:rPr>
        <w:t xml:space="preserve">густий екстракт з корнеплодів моркви, </w:t>
      </w:r>
      <w:r w:rsidR="00504D86" w:rsidRPr="00B323AC">
        <w:rPr>
          <w:noProof/>
          <w:sz w:val="28"/>
          <w:szCs w:val="28"/>
          <w:lang w:val="uk-UA"/>
        </w:rPr>
        <w:t xml:space="preserve">харчові рослини, </w:t>
      </w:r>
      <w:r w:rsidR="00504D86">
        <w:rPr>
          <w:noProof/>
          <w:sz w:val="28"/>
          <w:szCs w:val="28"/>
          <w:lang w:val="uk-UA"/>
        </w:rPr>
        <w:t xml:space="preserve">морква посівна, </w:t>
      </w:r>
      <w:r w:rsidR="00504D86" w:rsidRPr="00B323AC">
        <w:rPr>
          <w:noProof/>
          <w:sz w:val="28"/>
          <w:szCs w:val="28"/>
          <w:lang w:val="uk-UA"/>
        </w:rPr>
        <w:t xml:space="preserve">лікарські засоби </w:t>
      </w:r>
      <w:r w:rsidR="00504D86">
        <w:rPr>
          <w:noProof/>
          <w:sz w:val="28"/>
          <w:szCs w:val="28"/>
          <w:lang w:val="uk-UA"/>
        </w:rPr>
        <w:t>для лікування ран, репаративна дія</w:t>
      </w:r>
      <w:r w:rsidR="00B323AC">
        <w:rPr>
          <w:noProof/>
          <w:sz w:val="28"/>
          <w:szCs w:val="28"/>
          <w:lang w:val="uk-UA"/>
        </w:rPr>
        <w:t xml:space="preserve">, </w:t>
      </w:r>
      <w:r w:rsidR="009078A4">
        <w:rPr>
          <w:noProof/>
          <w:sz w:val="28"/>
          <w:szCs w:val="28"/>
          <w:lang w:val="uk-UA"/>
        </w:rPr>
        <w:t>безпечність</w:t>
      </w:r>
      <w:r w:rsidR="0040219F">
        <w:rPr>
          <w:noProof/>
          <w:sz w:val="28"/>
          <w:szCs w:val="28"/>
          <w:lang w:val="uk-UA"/>
        </w:rPr>
        <w:t>, гостра токси</w:t>
      </w:r>
      <w:r w:rsidR="009078A4">
        <w:rPr>
          <w:noProof/>
          <w:sz w:val="28"/>
          <w:szCs w:val="28"/>
          <w:lang w:val="uk-UA"/>
        </w:rPr>
        <w:t>ч</w:t>
      </w:r>
      <w:r w:rsidR="0040219F">
        <w:rPr>
          <w:noProof/>
          <w:sz w:val="28"/>
          <w:szCs w:val="28"/>
          <w:lang w:val="uk-UA"/>
        </w:rPr>
        <w:t>ність, протизапальна дія.</w:t>
      </w:r>
    </w:p>
    <w:p w:rsidR="001B7AF9" w:rsidRPr="00B323AC" w:rsidRDefault="001B7AF9" w:rsidP="00F83991">
      <w:pPr>
        <w:spacing w:line="360" w:lineRule="auto"/>
        <w:ind w:firstLine="387"/>
        <w:jc w:val="both"/>
        <w:rPr>
          <w:noProof/>
          <w:sz w:val="28"/>
          <w:szCs w:val="28"/>
          <w:lang w:val="uk-UA"/>
        </w:rPr>
      </w:pPr>
    </w:p>
    <w:p w:rsidR="00DE1DD5" w:rsidRDefault="005143DF" w:rsidP="00762EAB">
      <w:pPr>
        <w:spacing w:line="360" w:lineRule="auto"/>
        <w:ind w:firstLine="387"/>
        <w:jc w:val="both"/>
        <w:rPr>
          <w:sz w:val="28"/>
          <w:lang w:val="uk-UA"/>
        </w:rPr>
      </w:pPr>
      <w:r>
        <w:rPr>
          <w:noProof/>
          <w:sz w:val="28"/>
          <w:szCs w:val="28"/>
          <w:lang w:val="uk-UA"/>
        </w:rPr>
        <w:lastRenderedPageBreak/>
        <w:t>Об</w:t>
      </w:r>
      <w:r w:rsidR="009977F5">
        <w:rPr>
          <w:noProof/>
          <w:sz w:val="28"/>
          <w:szCs w:val="28"/>
          <w:lang w:val="uk-UA"/>
        </w:rPr>
        <w:t>ʼ</w:t>
      </w:r>
      <w:r>
        <w:rPr>
          <w:noProof/>
          <w:sz w:val="28"/>
          <w:szCs w:val="28"/>
          <w:lang w:val="uk-UA"/>
        </w:rPr>
        <w:t xml:space="preserve">єктом наших досліджень </w:t>
      </w:r>
      <w:r w:rsidR="009240C8">
        <w:rPr>
          <w:noProof/>
          <w:sz w:val="28"/>
          <w:szCs w:val="28"/>
          <w:lang w:val="uk-UA"/>
        </w:rPr>
        <w:t xml:space="preserve">обрано </w:t>
      </w:r>
      <w:r w:rsidR="009240C8">
        <w:rPr>
          <w:sz w:val="28"/>
          <w:lang w:val="uk-UA"/>
        </w:rPr>
        <w:t xml:space="preserve">густий екстракт з корнеплодів моркви </w:t>
      </w:r>
      <w:r w:rsidR="00241C82">
        <w:rPr>
          <w:sz w:val="28"/>
          <w:lang w:val="uk-UA"/>
        </w:rPr>
        <w:t xml:space="preserve">посівної </w:t>
      </w:r>
      <w:r w:rsidR="009240C8">
        <w:rPr>
          <w:sz w:val="28"/>
          <w:lang w:val="uk-UA"/>
        </w:rPr>
        <w:t xml:space="preserve">(ГЕКМ). </w:t>
      </w:r>
      <w:r w:rsidR="009977F5">
        <w:rPr>
          <w:sz w:val="28"/>
          <w:lang w:val="uk-UA"/>
        </w:rPr>
        <w:t xml:space="preserve">Такий вибір обґрунтовано тим, </w:t>
      </w:r>
      <w:r w:rsidR="00241C82">
        <w:rPr>
          <w:sz w:val="28"/>
          <w:lang w:val="uk-UA"/>
        </w:rPr>
        <w:t xml:space="preserve">що </w:t>
      </w:r>
      <w:r w:rsidR="00241C82" w:rsidRPr="00A80063">
        <w:rPr>
          <w:sz w:val="28"/>
          <w:lang w:val="uk-UA"/>
        </w:rPr>
        <w:t>морква посівна (</w:t>
      </w:r>
      <w:r w:rsidR="00241C82" w:rsidRPr="00CF14B2">
        <w:rPr>
          <w:i/>
          <w:sz w:val="28"/>
          <w:lang w:val="uk-UA"/>
        </w:rPr>
        <w:t>Daucuscarota L. subsp. sativus (Hoffm.) Roehl.</w:t>
      </w:r>
      <w:r w:rsidR="00241C82" w:rsidRPr="00A80063">
        <w:rPr>
          <w:sz w:val="28"/>
          <w:lang w:val="uk-UA"/>
        </w:rPr>
        <w:t>) родини Селерових (</w:t>
      </w:r>
      <w:r w:rsidR="00241C82" w:rsidRPr="00CF14B2">
        <w:rPr>
          <w:i/>
          <w:sz w:val="28"/>
          <w:lang w:val="uk-UA"/>
        </w:rPr>
        <w:t>Apiaceae</w:t>
      </w:r>
      <w:r w:rsidR="00241C82" w:rsidRPr="00A80063">
        <w:rPr>
          <w:sz w:val="28"/>
          <w:lang w:val="uk-UA"/>
        </w:rPr>
        <w:t>)</w:t>
      </w:r>
      <w:r w:rsidR="00241C82">
        <w:rPr>
          <w:sz w:val="28"/>
          <w:lang w:val="uk-UA"/>
        </w:rPr>
        <w:t xml:space="preserve"> є представником </w:t>
      </w:r>
      <w:r w:rsidR="00AE695B">
        <w:rPr>
          <w:sz w:val="28"/>
          <w:lang w:val="uk-UA"/>
        </w:rPr>
        <w:t>харчових рослин</w:t>
      </w:r>
      <w:r w:rsidR="00FA0F20">
        <w:rPr>
          <w:sz w:val="28"/>
          <w:lang w:val="uk-UA"/>
        </w:rPr>
        <w:t xml:space="preserve"> </w:t>
      </w:r>
      <w:r w:rsidR="002102AB">
        <w:rPr>
          <w:sz w:val="28"/>
          <w:lang w:val="uk-UA"/>
        </w:rPr>
        <w:t>і</w:t>
      </w:r>
      <w:r w:rsidR="006E404F">
        <w:rPr>
          <w:sz w:val="28"/>
          <w:lang w:val="uk-UA"/>
        </w:rPr>
        <w:t xml:space="preserve"> має до</w:t>
      </w:r>
      <w:r w:rsidR="005575B2">
        <w:rPr>
          <w:sz w:val="28"/>
          <w:lang w:val="uk-UA"/>
        </w:rPr>
        <w:t>с</w:t>
      </w:r>
      <w:r w:rsidR="006E404F">
        <w:rPr>
          <w:sz w:val="28"/>
          <w:lang w:val="uk-UA"/>
        </w:rPr>
        <w:t xml:space="preserve">татню й </w:t>
      </w:r>
      <w:r w:rsidR="00AE695B" w:rsidRPr="00BD4672">
        <w:rPr>
          <w:sz w:val="28"/>
          <w:lang w:val="uk-UA"/>
        </w:rPr>
        <w:t xml:space="preserve">стабільну сировинну базу </w:t>
      </w:r>
      <w:r w:rsidR="005575B2">
        <w:rPr>
          <w:sz w:val="28"/>
          <w:lang w:val="uk-UA"/>
        </w:rPr>
        <w:t xml:space="preserve">та </w:t>
      </w:r>
      <w:r w:rsidR="00AE695B" w:rsidRPr="00BD4672">
        <w:rPr>
          <w:sz w:val="28"/>
          <w:lang w:val="uk-UA"/>
        </w:rPr>
        <w:t>доказану нешкідливість для організму людини</w:t>
      </w:r>
      <w:r w:rsidR="002102AB">
        <w:rPr>
          <w:sz w:val="28"/>
          <w:lang w:val="uk-UA"/>
        </w:rPr>
        <w:t xml:space="preserve">, </w:t>
      </w:r>
      <w:r w:rsidR="0028718A" w:rsidRPr="006903B4">
        <w:rPr>
          <w:sz w:val="28"/>
          <w:lang w:val="uk-UA"/>
        </w:rPr>
        <w:t>багата на різні класи біологічно активних речовин, серед яких присутні каротиноїди</w:t>
      </w:r>
      <w:r w:rsidR="000D3C80">
        <w:rPr>
          <w:sz w:val="28"/>
          <w:lang w:val="uk-UA"/>
        </w:rPr>
        <w:t xml:space="preserve"> </w:t>
      </w:r>
      <w:r w:rsidR="0028718A" w:rsidRPr="006903B4">
        <w:rPr>
          <w:sz w:val="28"/>
          <w:lang w:val="uk-UA"/>
        </w:rPr>
        <w:t>(α-, β-, γ-, ξ-каротини), вітаміни (тіамін, рібофлавін, ніацин, фолієва кислота, вітамін С та Е), мінерали (калій, кальцій, фосфор, ферум, магній, цинк та ін.), пектинові речовини, леткі та фенольні сполуки, тощо</w:t>
      </w:r>
      <w:r w:rsidR="00FA0F20">
        <w:rPr>
          <w:sz w:val="28"/>
          <w:lang w:val="uk-UA"/>
        </w:rPr>
        <w:t xml:space="preserve"> </w:t>
      </w:r>
      <w:r w:rsidR="00762EAB" w:rsidRPr="006903B4">
        <w:rPr>
          <w:sz w:val="28"/>
          <w:lang w:val="uk-UA"/>
        </w:rPr>
        <w:t>[</w:t>
      </w:r>
      <w:r w:rsidR="00762EAB">
        <w:rPr>
          <w:sz w:val="28"/>
          <w:lang w:val="uk-UA"/>
        </w:rPr>
        <w:t>1, с.172</w:t>
      </w:r>
      <w:r w:rsidR="00762EAB" w:rsidRPr="006903B4">
        <w:rPr>
          <w:sz w:val="28"/>
          <w:lang w:val="uk-UA"/>
        </w:rPr>
        <w:t>]</w:t>
      </w:r>
      <w:r w:rsidR="00762EAB">
        <w:rPr>
          <w:sz w:val="28"/>
          <w:lang w:val="uk-UA"/>
        </w:rPr>
        <w:t xml:space="preserve">. </w:t>
      </w:r>
      <w:r w:rsidR="008D50FD">
        <w:rPr>
          <w:sz w:val="28"/>
          <w:lang w:val="uk-UA"/>
        </w:rPr>
        <w:t xml:space="preserve">В процесі аналізу даних літератури </w:t>
      </w:r>
      <w:r w:rsidR="006659CC">
        <w:rPr>
          <w:sz w:val="28"/>
          <w:lang w:val="uk-UA"/>
        </w:rPr>
        <w:t>нами</w:t>
      </w:r>
      <w:r w:rsidR="00DE1DD5">
        <w:rPr>
          <w:sz w:val="28"/>
          <w:lang w:val="uk-UA"/>
        </w:rPr>
        <w:t xml:space="preserve"> доведено</w:t>
      </w:r>
      <w:r w:rsidR="00FA0F20">
        <w:rPr>
          <w:sz w:val="28"/>
          <w:lang w:val="uk-UA"/>
        </w:rPr>
        <w:t xml:space="preserve"> </w:t>
      </w:r>
      <w:r w:rsidR="006075B7" w:rsidRPr="006903B4">
        <w:rPr>
          <w:sz w:val="28"/>
          <w:lang w:val="uk-UA"/>
        </w:rPr>
        <w:t>[</w:t>
      </w:r>
      <w:r w:rsidR="006075B7">
        <w:rPr>
          <w:sz w:val="28"/>
          <w:lang w:val="uk-UA"/>
        </w:rPr>
        <w:t>2, с.30</w:t>
      </w:r>
      <w:r w:rsidR="006075B7" w:rsidRPr="006903B4">
        <w:rPr>
          <w:sz w:val="28"/>
          <w:lang w:val="uk-UA"/>
        </w:rPr>
        <w:t>]</w:t>
      </w:r>
      <w:r w:rsidR="00DE1DD5">
        <w:rPr>
          <w:sz w:val="28"/>
          <w:lang w:val="uk-UA"/>
        </w:rPr>
        <w:t>, що рослин</w:t>
      </w:r>
      <w:r w:rsidR="003A14AF">
        <w:rPr>
          <w:sz w:val="28"/>
          <w:lang w:val="uk-UA"/>
        </w:rPr>
        <w:t>а</w:t>
      </w:r>
      <w:r w:rsidR="00DE1DD5">
        <w:rPr>
          <w:sz w:val="28"/>
          <w:lang w:val="uk-UA"/>
        </w:rPr>
        <w:t xml:space="preserve"> роду Селерових морква посівна, маючи  потужну, доступну та дешеву сировинну базу, є джерел</w:t>
      </w:r>
      <w:r w:rsidR="00A65440">
        <w:rPr>
          <w:sz w:val="28"/>
          <w:lang w:val="uk-UA"/>
        </w:rPr>
        <w:t>о</w:t>
      </w:r>
      <w:r w:rsidR="00DE1DD5">
        <w:rPr>
          <w:sz w:val="28"/>
          <w:lang w:val="uk-UA"/>
        </w:rPr>
        <w:t>м</w:t>
      </w:r>
      <w:r w:rsidR="000D3C80">
        <w:rPr>
          <w:sz w:val="28"/>
          <w:lang w:val="uk-UA"/>
        </w:rPr>
        <w:t xml:space="preserve"> </w:t>
      </w:r>
      <w:r w:rsidR="00DE1DD5">
        <w:rPr>
          <w:sz w:val="28"/>
          <w:lang w:val="uk-UA"/>
        </w:rPr>
        <w:t>субстанцій, що містять суму біологічно активних речовин, перспективних для створення на їх основі нових лікарських засобів з цитопротекторною, протизапальною, нефропротекторною, ранозагоювальною, репаративною дією</w:t>
      </w:r>
      <w:r w:rsidR="00DE1DD5" w:rsidRPr="00BA66D9">
        <w:rPr>
          <w:sz w:val="28"/>
          <w:lang w:val="uk-UA"/>
        </w:rPr>
        <w:t xml:space="preserve"> та є перспективними </w:t>
      </w:r>
      <w:r w:rsidR="00DE1DD5">
        <w:rPr>
          <w:sz w:val="28"/>
          <w:lang w:val="uk-UA"/>
        </w:rPr>
        <w:t>для впровадження в медичну практику з метою лікування пошкоджень шкіри.</w:t>
      </w:r>
      <w:r w:rsidR="007D6A54">
        <w:rPr>
          <w:sz w:val="28"/>
          <w:lang w:val="uk-UA"/>
        </w:rPr>
        <w:t xml:space="preserve"> Базуючись на цих даних </w:t>
      </w:r>
      <w:r w:rsidR="00B544E2">
        <w:rPr>
          <w:sz w:val="28"/>
          <w:lang w:val="uk-UA"/>
        </w:rPr>
        <w:t xml:space="preserve">нами проведено дослідження з </w:t>
      </w:r>
      <w:r w:rsidR="00B544E2" w:rsidRPr="00E43643">
        <w:rPr>
          <w:sz w:val="28"/>
          <w:lang w:val="uk-UA"/>
        </w:rPr>
        <w:t>експериментальн</w:t>
      </w:r>
      <w:r w:rsidR="00B544E2">
        <w:rPr>
          <w:sz w:val="28"/>
          <w:lang w:val="uk-UA"/>
        </w:rPr>
        <w:t>ого</w:t>
      </w:r>
      <w:r w:rsidR="00B544E2" w:rsidRPr="00E43643">
        <w:rPr>
          <w:sz w:val="28"/>
          <w:lang w:val="uk-UA"/>
        </w:rPr>
        <w:t xml:space="preserve"> обґрунтування </w:t>
      </w:r>
      <w:r w:rsidR="00B544E2">
        <w:rPr>
          <w:sz w:val="28"/>
          <w:lang w:val="uk-UA"/>
        </w:rPr>
        <w:t xml:space="preserve">можливості </w:t>
      </w:r>
      <w:r w:rsidR="00B544E2" w:rsidRPr="00E43643">
        <w:rPr>
          <w:sz w:val="28"/>
          <w:lang w:val="uk-UA"/>
        </w:rPr>
        <w:t>застосування ГЕК</w:t>
      </w:r>
      <w:r w:rsidR="00B544E2">
        <w:rPr>
          <w:sz w:val="28"/>
          <w:lang w:val="uk-UA"/>
        </w:rPr>
        <w:t>М</w:t>
      </w:r>
      <w:r w:rsidR="000D3C80">
        <w:rPr>
          <w:sz w:val="28"/>
          <w:lang w:val="uk-UA"/>
        </w:rPr>
        <w:t xml:space="preserve"> </w:t>
      </w:r>
      <w:r w:rsidR="00B544E2" w:rsidRPr="00DB18F0">
        <w:rPr>
          <w:noProof/>
          <w:sz w:val="28"/>
          <w:szCs w:val="28"/>
          <w:lang w:val="uk-UA"/>
        </w:rPr>
        <w:t>в лікуванні опікових ран шкіри</w:t>
      </w:r>
      <w:r w:rsidR="006C109F">
        <w:rPr>
          <w:noProof/>
          <w:sz w:val="28"/>
          <w:szCs w:val="28"/>
          <w:lang w:val="uk-UA"/>
        </w:rPr>
        <w:t xml:space="preserve"> </w:t>
      </w:r>
      <w:r w:rsidR="00B544E2" w:rsidRPr="006903B4">
        <w:rPr>
          <w:sz w:val="28"/>
          <w:lang w:val="uk-UA"/>
        </w:rPr>
        <w:t>[</w:t>
      </w:r>
      <w:r w:rsidR="00B544E2">
        <w:rPr>
          <w:sz w:val="28"/>
          <w:lang w:val="uk-UA"/>
        </w:rPr>
        <w:t>3, с.</w:t>
      </w:r>
      <w:r w:rsidR="00240C13">
        <w:rPr>
          <w:sz w:val="28"/>
          <w:lang w:val="uk-UA"/>
        </w:rPr>
        <w:t>244</w:t>
      </w:r>
      <w:r w:rsidR="00B544E2" w:rsidRPr="006903B4">
        <w:rPr>
          <w:sz w:val="28"/>
          <w:lang w:val="uk-UA"/>
        </w:rPr>
        <w:t>]</w:t>
      </w:r>
      <w:r w:rsidR="00B544E2" w:rsidRPr="00DB18F0">
        <w:rPr>
          <w:noProof/>
          <w:sz w:val="28"/>
          <w:szCs w:val="28"/>
          <w:lang w:val="uk-UA"/>
        </w:rPr>
        <w:t>.</w:t>
      </w:r>
      <w:r w:rsidR="000D3C80">
        <w:rPr>
          <w:noProof/>
          <w:sz w:val="28"/>
          <w:szCs w:val="28"/>
          <w:lang w:val="uk-UA"/>
        </w:rPr>
        <w:t xml:space="preserve"> </w:t>
      </w:r>
      <w:r w:rsidR="00314159">
        <w:rPr>
          <w:sz w:val="28"/>
          <w:lang w:val="uk-UA"/>
        </w:rPr>
        <w:t xml:space="preserve">Отримані </w:t>
      </w:r>
      <w:r w:rsidR="00375A3B">
        <w:rPr>
          <w:sz w:val="28"/>
          <w:lang w:val="uk-UA"/>
        </w:rPr>
        <w:t xml:space="preserve">результати  </w:t>
      </w:r>
      <w:r w:rsidR="00314159">
        <w:rPr>
          <w:sz w:val="28"/>
          <w:lang w:val="uk-UA"/>
        </w:rPr>
        <w:t>дозволили</w:t>
      </w:r>
      <w:r w:rsidR="00375A3B">
        <w:rPr>
          <w:sz w:val="28"/>
          <w:lang w:val="uk-UA"/>
        </w:rPr>
        <w:t xml:space="preserve"> зробити висновок про значущу ранозагоювальну дію густого екстракту з корнеплодів моркви, яка переважає в 2,7 разу таку препарату порівняння </w:t>
      </w:r>
      <w:r w:rsidR="00375A3B" w:rsidRPr="0092406A">
        <w:rPr>
          <w:sz w:val="28"/>
          <w:lang w:val="uk-UA"/>
        </w:rPr>
        <w:t>маз</w:t>
      </w:r>
      <w:r w:rsidR="00375A3B">
        <w:rPr>
          <w:sz w:val="28"/>
          <w:lang w:val="uk-UA"/>
        </w:rPr>
        <w:t>і</w:t>
      </w:r>
      <w:r w:rsidR="00375A3B" w:rsidRPr="0092406A">
        <w:rPr>
          <w:sz w:val="28"/>
          <w:lang w:val="uk-UA"/>
        </w:rPr>
        <w:t xml:space="preserve"> «Вундехіл»</w:t>
      </w:r>
      <w:r w:rsidR="00375A3B">
        <w:rPr>
          <w:sz w:val="28"/>
          <w:lang w:val="uk-UA"/>
        </w:rPr>
        <w:t xml:space="preserve"> на моделі опікової рани шкіри ІІ ступеню у щурів. </w:t>
      </w:r>
      <w:r w:rsidR="00AA5D31">
        <w:rPr>
          <w:sz w:val="28"/>
          <w:lang w:val="uk-UA"/>
        </w:rPr>
        <w:t xml:space="preserve">Зроблено </w:t>
      </w:r>
      <w:r w:rsidR="00375A3B">
        <w:rPr>
          <w:sz w:val="28"/>
          <w:lang w:val="uk-UA"/>
        </w:rPr>
        <w:t>припу</w:t>
      </w:r>
      <w:r w:rsidR="00AA5D31">
        <w:rPr>
          <w:sz w:val="28"/>
          <w:lang w:val="uk-UA"/>
        </w:rPr>
        <w:t>щення</w:t>
      </w:r>
      <w:r w:rsidR="00375A3B">
        <w:rPr>
          <w:sz w:val="28"/>
          <w:lang w:val="uk-UA"/>
        </w:rPr>
        <w:t xml:space="preserve">, що значуща репаративна дія густого екстракту з корнеплодів моркви обумовлена високим вмістом β-каротину, який має доказані ранозагоювальні та репаративні властивості та застосовується в лікуванні ранового процесу. </w:t>
      </w:r>
      <w:r w:rsidR="00375A3B" w:rsidRPr="0092406A">
        <w:rPr>
          <w:sz w:val="28"/>
          <w:lang w:val="uk-UA"/>
        </w:rPr>
        <w:t xml:space="preserve">Результати проведеного дослідження свідчать про </w:t>
      </w:r>
      <w:r w:rsidR="00375A3B">
        <w:rPr>
          <w:sz w:val="28"/>
          <w:lang w:val="uk-UA"/>
        </w:rPr>
        <w:t>можливість</w:t>
      </w:r>
      <w:r w:rsidR="00375A3B" w:rsidRPr="0092406A">
        <w:rPr>
          <w:sz w:val="28"/>
          <w:lang w:val="uk-UA"/>
        </w:rPr>
        <w:t xml:space="preserve"> застосування густого екстракту з корнеплодів</w:t>
      </w:r>
      <w:r w:rsidR="00676DD8">
        <w:rPr>
          <w:sz w:val="28"/>
          <w:lang w:val="uk-UA"/>
        </w:rPr>
        <w:t xml:space="preserve"> </w:t>
      </w:r>
      <w:r w:rsidR="00375A3B">
        <w:rPr>
          <w:sz w:val="28"/>
          <w:lang w:val="uk-UA"/>
        </w:rPr>
        <w:t>моркви</w:t>
      </w:r>
      <w:r w:rsidR="00375A3B" w:rsidRPr="0092406A">
        <w:rPr>
          <w:sz w:val="28"/>
          <w:lang w:val="uk-UA"/>
        </w:rPr>
        <w:t xml:space="preserve"> в лікуванн</w:t>
      </w:r>
      <w:r w:rsidR="00375A3B">
        <w:rPr>
          <w:sz w:val="28"/>
          <w:lang w:val="uk-UA"/>
        </w:rPr>
        <w:t>і опікової</w:t>
      </w:r>
      <w:r w:rsidR="00046ED3">
        <w:rPr>
          <w:sz w:val="28"/>
          <w:lang w:val="uk-UA"/>
        </w:rPr>
        <w:t xml:space="preserve"> </w:t>
      </w:r>
      <w:r w:rsidR="00375A3B">
        <w:rPr>
          <w:sz w:val="28"/>
          <w:lang w:val="uk-UA"/>
        </w:rPr>
        <w:t xml:space="preserve">рани </w:t>
      </w:r>
      <w:r w:rsidR="00375A3B" w:rsidRPr="0092406A">
        <w:rPr>
          <w:sz w:val="28"/>
          <w:lang w:val="uk-UA"/>
        </w:rPr>
        <w:t>шкіри</w:t>
      </w:r>
      <w:r w:rsidR="00046ED3">
        <w:rPr>
          <w:sz w:val="28"/>
          <w:lang w:val="uk-UA"/>
        </w:rPr>
        <w:t xml:space="preserve"> </w:t>
      </w:r>
      <w:r w:rsidR="00AA5D31" w:rsidRPr="006903B4">
        <w:rPr>
          <w:sz w:val="28"/>
          <w:lang w:val="uk-UA"/>
        </w:rPr>
        <w:t>[</w:t>
      </w:r>
      <w:r w:rsidR="00AA5D31">
        <w:rPr>
          <w:sz w:val="28"/>
          <w:lang w:val="uk-UA"/>
        </w:rPr>
        <w:t>3, с.244</w:t>
      </w:r>
      <w:r w:rsidR="00AA5D31" w:rsidRPr="006903B4">
        <w:rPr>
          <w:sz w:val="28"/>
          <w:lang w:val="uk-UA"/>
        </w:rPr>
        <w:t>]</w:t>
      </w:r>
      <w:r w:rsidR="00375A3B" w:rsidRPr="0092406A">
        <w:rPr>
          <w:sz w:val="28"/>
          <w:lang w:val="uk-UA"/>
        </w:rPr>
        <w:t>.</w:t>
      </w:r>
    </w:p>
    <w:p w:rsidR="00C77B00" w:rsidRDefault="00160187" w:rsidP="00D056C9">
      <w:pPr>
        <w:spacing w:line="360" w:lineRule="auto"/>
        <w:ind w:firstLine="387"/>
        <w:jc w:val="both"/>
        <w:rPr>
          <w:sz w:val="28"/>
          <w:lang w:val="uk-UA"/>
        </w:rPr>
      </w:pPr>
      <w:r>
        <w:rPr>
          <w:noProof/>
          <w:sz w:val="28"/>
          <w:szCs w:val="28"/>
          <w:lang w:val="uk-UA"/>
        </w:rPr>
        <w:t xml:space="preserve">Подальше вивчення </w:t>
      </w:r>
      <w:r w:rsidR="001861A3">
        <w:rPr>
          <w:noProof/>
          <w:sz w:val="28"/>
          <w:szCs w:val="28"/>
          <w:lang w:val="uk-UA"/>
        </w:rPr>
        <w:t xml:space="preserve">нового потенційного лікарського засобу включає дослідження </w:t>
      </w:r>
      <w:r w:rsidR="00012CBE">
        <w:rPr>
          <w:noProof/>
          <w:sz w:val="28"/>
          <w:szCs w:val="28"/>
          <w:lang w:val="uk-UA"/>
        </w:rPr>
        <w:t xml:space="preserve">його </w:t>
      </w:r>
      <w:r w:rsidR="001861A3">
        <w:rPr>
          <w:noProof/>
          <w:sz w:val="28"/>
          <w:szCs w:val="28"/>
          <w:lang w:val="uk-UA"/>
        </w:rPr>
        <w:t>безпечності та фармакологічних властиво</w:t>
      </w:r>
      <w:r w:rsidR="00012CBE">
        <w:rPr>
          <w:noProof/>
          <w:sz w:val="28"/>
          <w:szCs w:val="28"/>
          <w:lang w:val="uk-UA"/>
        </w:rPr>
        <w:t xml:space="preserve">стей. Посилаючись на вищезазначене мета даної рооботи </w:t>
      </w:r>
      <w:r w:rsidR="00307F0D">
        <w:rPr>
          <w:noProof/>
          <w:sz w:val="28"/>
          <w:szCs w:val="28"/>
          <w:lang w:val="uk-UA"/>
        </w:rPr>
        <w:t xml:space="preserve">– визначення </w:t>
      </w:r>
      <w:r w:rsidR="00A35C19">
        <w:rPr>
          <w:noProof/>
          <w:sz w:val="28"/>
          <w:szCs w:val="28"/>
          <w:lang w:val="uk-UA"/>
        </w:rPr>
        <w:t xml:space="preserve">безпечності </w:t>
      </w:r>
      <w:r w:rsidR="00307F0D">
        <w:rPr>
          <w:noProof/>
          <w:sz w:val="28"/>
          <w:szCs w:val="28"/>
          <w:lang w:val="uk-UA"/>
        </w:rPr>
        <w:t xml:space="preserve">ГЕКМ шляхом </w:t>
      </w:r>
      <w:r w:rsidR="00307F0D">
        <w:rPr>
          <w:noProof/>
          <w:sz w:val="28"/>
          <w:szCs w:val="28"/>
          <w:lang w:val="uk-UA"/>
        </w:rPr>
        <w:lastRenderedPageBreak/>
        <w:t xml:space="preserve">вивчення гострої токсичності </w:t>
      </w:r>
      <w:r w:rsidR="00E85400">
        <w:rPr>
          <w:noProof/>
          <w:sz w:val="28"/>
          <w:szCs w:val="28"/>
          <w:lang w:val="uk-UA"/>
        </w:rPr>
        <w:t xml:space="preserve">та впливу ГЕКМ на перебіг </w:t>
      </w:r>
      <w:r w:rsidR="00C25633">
        <w:rPr>
          <w:noProof/>
          <w:sz w:val="28"/>
          <w:szCs w:val="28"/>
          <w:lang w:val="uk-UA"/>
        </w:rPr>
        <w:t xml:space="preserve">експериментальної </w:t>
      </w:r>
      <w:r w:rsidR="00E85400">
        <w:rPr>
          <w:noProof/>
          <w:sz w:val="28"/>
          <w:szCs w:val="28"/>
          <w:lang w:val="uk-UA"/>
        </w:rPr>
        <w:t>запал</w:t>
      </w:r>
      <w:r w:rsidR="002D1A56">
        <w:rPr>
          <w:noProof/>
          <w:sz w:val="28"/>
          <w:szCs w:val="28"/>
          <w:lang w:val="uk-UA"/>
        </w:rPr>
        <w:t>ьної реакції</w:t>
      </w:r>
      <w:r w:rsidR="00C25633">
        <w:rPr>
          <w:noProof/>
          <w:sz w:val="28"/>
          <w:szCs w:val="28"/>
          <w:lang w:val="uk-UA"/>
        </w:rPr>
        <w:t xml:space="preserve"> у щурів</w:t>
      </w:r>
      <w:r w:rsidR="002D1A56">
        <w:rPr>
          <w:noProof/>
          <w:sz w:val="28"/>
          <w:szCs w:val="28"/>
          <w:lang w:val="uk-UA"/>
        </w:rPr>
        <w:t xml:space="preserve">, яка </w:t>
      </w:r>
      <w:r w:rsidR="00EE01C2">
        <w:rPr>
          <w:noProof/>
          <w:sz w:val="28"/>
          <w:szCs w:val="28"/>
          <w:lang w:val="uk-UA"/>
        </w:rPr>
        <w:t xml:space="preserve">бере участь у перебігу </w:t>
      </w:r>
      <w:r w:rsidR="00EE01C2">
        <w:rPr>
          <w:sz w:val="28"/>
          <w:lang w:val="uk-UA"/>
        </w:rPr>
        <w:t>опікової</w:t>
      </w:r>
      <w:r w:rsidR="00676DD8">
        <w:rPr>
          <w:sz w:val="28"/>
          <w:lang w:val="uk-UA"/>
        </w:rPr>
        <w:t xml:space="preserve"> </w:t>
      </w:r>
      <w:r w:rsidR="00EE01C2">
        <w:rPr>
          <w:sz w:val="28"/>
          <w:lang w:val="uk-UA"/>
        </w:rPr>
        <w:t xml:space="preserve">рани </w:t>
      </w:r>
      <w:r w:rsidR="00EE01C2" w:rsidRPr="0092406A">
        <w:rPr>
          <w:sz w:val="28"/>
          <w:lang w:val="uk-UA"/>
        </w:rPr>
        <w:t>шкіри</w:t>
      </w:r>
      <w:r w:rsidR="00EE01C2">
        <w:rPr>
          <w:sz w:val="28"/>
          <w:lang w:val="uk-UA"/>
        </w:rPr>
        <w:t xml:space="preserve">. </w:t>
      </w:r>
    </w:p>
    <w:p w:rsidR="00C25633" w:rsidRPr="00056833" w:rsidRDefault="00C25633" w:rsidP="00C25633">
      <w:pPr>
        <w:spacing w:line="360" w:lineRule="auto"/>
        <w:ind w:firstLine="709"/>
        <w:jc w:val="both"/>
        <w:rPr>
          <w:sz w:val="28"/>
          <w:lang w:val="uk-UA"/>
        </w:rPr>
      </w:pPr>
      <w:r w:rsidRPr="005750C1">
        <w:rPr>
          <w:sz w:val="28"/>
          <w:lang w:val="uk-UA"/>
        </w:rPr>
        <w:t>Досліди проводили на експериментальних тваринах, вирощених у віварії ЦНДЛ ХНМУ, який обладнано відповідно до чинних санітарно-гігієнічних норм</w:t>
      </w:r>
      <w:r w:rsidRPr="00C25633">
        <w:rPr>
          <w:sz w:val="28"/>
          <w:lang w:val="ru-RU"/>
        </w:rPr>
        <w:t xml:space="preserve"> [</w:t>
      </w:r>
      <w:r w:rsidR="00D02EEB">
        <w:rPr>
          <w:sz w:val="28"/>
          <w:lang w:val="uk-UA"/>
        </w:rPr>
        <w:t>4, с.508</w:t>
      </w:r>
      <w:r w:rsidRPr="00C25633">
        <w:rPr>
          <w:sz w:val="28"/>
          <w:lang w:val="ru-RU"/>
        </w:rPr>
        <w:t>]</w:t>
      </w:r>
      <w:r w:rsidRPr="00D942DA">
        <w:rPr>
          <w:sz w:val="28"/>
          <w:lang w:val="uk-UA"/>
        </w:rPr>
        <w:t xml:space="preserve">. </w:t>
      </w:r>
      <w:r w:rsidRPr="005750C1">
        <w:rPr>
          <w:sz w:val="28"/>
          <w:lang w:val="uk-UA"/>
        </w:rPr>
        <w:t xml:space="preserve">Дослідних тварин утримували на стандартному харчовому раціоні. Доступ тварин до води був завжди вільний. Під час експерименту тварини знаходилися у кімнаті для проведення </w:t>
      </w:r>
      <w:r>
        <w:rPr>
          <w:sz w:val="28"/>
          <w:lang w:val="uk-UA"/>
        </w:rPr>
        <w:t>досліджень</w:t>
      </w:r>
      <w:r w:rsidRPr="005750C1">
        <w:rPr>
          <w:sz w:val="28"/>
          <w:lang w:val="uk-UA"/>
        </w:rPr>
        <w:t xml:space="preserve"> при t = 18-24˚С, вологості не більше 55 %, природному світловому режимі «день-ніч», у пластикових клітках, на збалансованому харчовому раціоні. Дослідження проводилися з дотриманням правил біоетики – гуманного поводження з тваринами згідно з положеннями Європейської конвенції із захисту лабораторних тварин (м. Страсбург, 1986 р.) і IV-го Національного конгресу з біоетики (м. Київ, 2010)</w:t>
      </w:r>
      <w:r w:rsidRPr="00C25633">
        <w:rPr>
          <w:sz w:val="28"/>
          <w:lang w:val="ru-RU"/>
        </w:rPr>
        <w:t xml:space="preserve"> [</w:t>
      </w:r>
      <w:r w:rsidR="00D02EEB">
        <w:rPr>
          <w:sz w:val="28"/>
          <w:lang w:val="uk-UA"/>
        </w:rPr>
        <w:t>5, с.145</w:t>
      </w:r>
      <w:r w:rsidRPr="00C25633">
        <w:rPr>
          <w:sz w:val="28"/>
          <w:lang w:val="ru-RU"/>
        </w:rPr>
        <w:t>]</w:t>
      </w:r>
      <w:r w:rsidRPr="00056833">
        <w:rPr>
          <w:sz w:val="28"/>
          <w:lang w:val="uk-UA"/>
        </w:rPr>
        <w:t xml:space="preserve">. </w:t>
      </w:r>
    </w:p>
    <w:p w:rsidR="00C25633" w:rsidRPr="00EB78D2" w:rsidRDefault="00C25633" w:rsidP="00C25633">
      <w:pPr>
        <w:spacing w:line="360" w:lineRule="auto"/>
        <w:ind w:firstLine="720"/>
        <w:jc w:val="both"/>
        <w:rPr>
          <w:sz w:val="28"/>
          <w:lang w:val="uk-UA"/>
        </w:rPr>
      </w:pPr>
      <w:r w:rsidRPr="00C25633">
        <w:rPr>
          <w:iCs/>
          <w:sz w:val="28"/>
          <w:lang w:val="ru-RU"/>
        </w:rPr>
        <w:t>Отримані експериментальні д</w:t>
      </w:r>
      <w:r w:rsidRPr="00C25633">
        <w:rPr>
          <w:sz w:val="28"/>
          <w:lang w:val="ru-RU"/>
        </w:rPr>
        <w:t>ані статистично оброблені методом варіаційної статистики. Для отримання статистичних висновків застос</w:t>
      </w:r>
      <w:r w:rsidR="000C39A5">
        <w:rPr>
          <w:sz w:val="28"/>
          <w:lang w:val="ru-RU"/>
        </w:rPr>
        <w:t>ов</w:t>
      </w:r>
      <w:r w:rsidRPr="00C25633">
        <w:rPr>
          <w:sz w:val="28"/>
          <w:lang w:val="ru-RU"/>
        </w:rPr>
        <w:t>ували однофакторний дисперсійний аналіз, або критерій Крускала-Уоліса для даних, які не підлягають нормальному закону розподілення, при порівнянні вибірок – застос</w:t>
      </w:r>
      <w:r w:rsidR="00E22AB7">
        <w:rPr>
          <w:sz w:val="28"/>
          <w:lang w:val="ru-RU"/>
        </w:rPr>
        <w:t>ов</w:t>
      </w:r>
      <w:r w:rsidRPr="00C25633">
        <w:rPr>
          <w:sz w:val="28"/>
          <w:lang w:val="ru-RU"/>
        </w:rPr>
        <w:t>ували методи множинних порівнянь (критерій Ньюмена-Кейлса для множинних порівнянь або критерій Манна-Уітні) при рівні імовірності р</w:t>
      </w:r>
      <w:r w:rsidR="00E22AB7">
        <w:rPr>
          <w:sz w:val="28"/>
          <w:lang w:val="ru-RU"/>
        </w:rPr>
        <w:t>&lt;</w:t>
      </w:r>
      <w:r w:rsidRPr="00C25633">
        <w:rPr>
          <w:sz w:val="28"/>
          <w:lang w:val="ru-RU"/>
        </w:rPr>
        <w:t>0,05</w:t>
      </w:r>
      <w:r w:rsidR="000C39A5">
        <w:rPr>
          <w:sz w:val="28"/>
          <w:lang w:val="ru-RU"/>
        </w:rPr>
        <w:t xml:space="preserve"> </w:t>
      </w:r>
      <w:r w:rsidRPr="00C25633">
        <w:rPr>
          <w:sz w:val="28"/>
          <w:lang w:val="ru-RU"/>
        </w:rPr>
        <w:t>[</w:t>
      </w:r>
      <w:r w:rsidR="00E22AB7">
        <w:rPr>
          <w:sz w:val="28"/>
          <w:lang w:val="uk-UA"/>
        </w:rPr>
        <w:t>6, с.349</w:t>
      </w:r>
      <w:r w:rsidRPr="00C25633">
        <w:rPr>
          <w:sz w:val="28"/>
          <w:lang w:val="ru-RU"/>
        </w:rPr>
        <w:t>].</w:t>
      </w:r>
    </w:p>
    <w:p w:rsidR="00A005DD" w:rsidRDefault="00893FEE" w:rsidP="007D61A2">
      <w:pPr>
        <w:spacing w:line="360" w:lineRule="auto"/>
        <w:ind w:firstLine="387"/>
        <w:jc w:val="both"/>
        <w:rPr>
          <w:sz w:val="28"/>
          <w:lang w:val="uk-UA"/>
        </w:rPr>
      </w:pPr>
      <w:r w:rsidRPr="00893FEE">
        <w:rPr>
          <w:noProof/>
          <w:sz w:val="28"/>
          <w:szCs w:val="28"/>
          <w:lang w:val="uk-UA"/>
        </w:rPr>
        <w:t xml:space="preserve">З метою визначення </w:t>
      </w:r>
      <w:r>
        <w:rPr>
          <w:noProof/>
          <w:sz w:val="28"/>
          <w:szCs w:val="28"/>
          <w:lang w:val="uk-UA"/>
        </w:rPr>
        <w:t>безпечності</w:t>
      </w:r>
      <w:r w:rsidRPr="00893FEE">
        <w:rPr>
          <w:noProof/>
          <w:sz w:val="28"/>
          <w:szCs w:val="28"/>
          <w:lang w:val="uk-UA"/>
        </w:rPr>
        <w:t xml:space="preserve"> та відтворення клініки гострого отруєння гостру токсичність </w:t>
      </w:r>
      <w:r>
        <w:rPr>
          <w:noProof/>
          <w:sz w:val="28"/>
          <w:szCs w:val="28"/>
          <w:lang w:val="uk-UA"/>
        </w:rPr>
        <w:t>ГЕКМ</w:t>
      </w:r>
      <w:r w:rsidRPr="00893FEE">
        <w:rPr>
          <w:noProof/>
          <w:sz w:val="28"/>
          <w:szCs w:val="28"/>
          <w:lang w:val="uk-UA"/>
        </w:rPr>
        <w:t xml:space="preserve"> вивчали відповідно до методичн</w:t>
      </w:r>
      <w:r w:rsidR="00A50B0E">
        <w:rPr>
          <w:noProof/>
          <w:sz w:val="28"/>
          <w:szCs w:val="28"/>
          <w:lang w:val="uk-UA"/>
        </w:rPr>
        <w:t>их рекомендацій ДЕЦ МОЗ України</w:t>
      </w:r>
      <w:r w:rsidRPr="00893FEE">
        <w:rPr>
          <w:noProof/>
          <w:sz w:val="28"/>
          <w:szCs w:val="28"/>
          <w:lang w:val="uk-UA"/>
        </w:rPr>
        <w:t xml:space="preserve"> на щурах обох статей після одноразового внутрішньошлункового введення [7, </w:t>
      </w:r>
      <w:r w:rsidR="00E22AB7">
        <w:rPr>
          <w:noProof/>
          <w:sz w:val="28"/>
          <w:szCs w:val="28"/>
          <w:lang w:val="uk-UA"/>
        </w:rPr>
        <w:t>с.74</w:t>
      </w:r>
      <w:r w:rsidRPr="00893FEE">
        <w:rPr>
          <w:noProof/>
          <w:sz w:val="28"/>
          <w:szCs w:val="28"/>
          <w:lang w:val="uk-UA"/>
        </w:rPr>
        <w:t xml:space="preserve">]. Шлях уведення обраний </w:t>
      </w:r>
      <w:r>
        <w:rPr>
          <w:noProof/>
          <w:sz w:val="28"/>
          <w:szCs w:val="28"/>
          <w:lang w:val="uk-UA"/>
        </w:rPr>
        <w:t xml:space="preserve">базуючись на тому, що </w:t>
      </w:r>
      <w:r w:rsidR="00773793" w:rsidRPr="00893FEE">
        <w:rPr>
          <w:noProof/>
          <w:sz w:val="28"/>
          <w:szCs w:val="28"/>
          <w:lang w:val="uk-UA"/>
        </w:rPr>
        <w:t>внутрішньошлунков</w:t>
      </w:r>
      <w:r>
        <w:rPr>
          <w:noProof/>
          <w:sz w:val="28"/>
          <w:szCs w:val="28"/>
          <w:lang w:val="uk-UA"/>
        </w:rPr>
        <w:t>ий та топікальний шлях введення чин</w:t>
      </w:r>
      <w:r w:rsidR="00773793">
        <w:rPr>
          <w:noProof/>
          <w:sz w:val="28"/>
          <w:szCs w:val="28"/>
          <w:lang w:val="uk-UA"/>
        </w:rPr>
        <w:t>я</w:t>
      </w:r>
      <w:r>
        <w:rPr>
          <w:noProof/>
          <w:sz w:val="28"/>
          <w:szCs w:val="28"/>
          <w:lang w:val="uk-UA"/>
        </w:rPr>
        <w:t>ть резорбтивну дію</w:t>
      </w:r>
      <w:r w:rsidR="00773793">
        <w:rPr>
          <w:noProof/>
          <w:sz w:val="28"/>
          <w:szCs w:val="28"/>
          <w:lang w:val="uk-UA"/>
        </w:rPr>
        <w:t xml:space="preserve"> та можуть викликати </w:t>
      </w:r>
      <w:r w:rsidR="00E27761">
        <w:rPr>
          <w:noProof/>
          <w:sz w:val="28"/>
          <w:szCs w:val="28"/>
          <w:lang w:val="uk-UA"/>
        </w:rPr>
        <w:t>розвиток як бажаних, так і небажаних ефектів</w:t>
      </w:r>
      <w:r w:rsidRPr="00893FEE">
        <w:rPr>
          <w:noProof/>
          <w:sz w:val="28"/>
          <w:szCs w:val="28"/>
          <w:lang w:val="uk-UA"/>
        </w:rPr>
        <w:t xml:space="preserve">. Значення доз обирали </w:t>
      </w:r>
      <w:r w:rsidR="00A005DD">
        <w:rPr>
          <w:noProof/>
          <w:sz w:val="28"/>
          <w:szCs w:val="28"/>
          <w:lang w:val="uk-UA"/>
        </w:rPr>
        <w:t>відпові</w:t>
      </w:r>
      <w:r w:rsidRPr="00893FEE">
        <w:rPr>
          <w:noProof/>
          <w:sz w:val="28"/>
          <w:szCs w:val="28"/>
          <w:lang w:val="uk-UA"/>
        </w:rPr>
        <w:t xml:space="preserve">дно </w:t>
      </w:r>
      <w:r w:rsidR="00A005DD">
        <w:rPr>
          <w:noProof/>
          <w:sz w:val="28"/>
          <w:szCs w:val="28"/>
          <w:lang w:val="uk-UA"/>
        </w:rPr>
        <w:t>до</w:t>
      </w:r>
      <w:r w:rsidRPr="00893FEE">
        <w:rPr>
          <w:noProof/>
          <w:sz w:val="28"/>
          <w:szCs w:val="28"/>
          <w:lang w:val="uk-UA"/>
        </w:rPr>
        <w:t xml:space="preserve"> методични</w:t>
      </w:r>
      <w:r w:rsidR="00A005DD">
        <w:rPr>
          <w:noProof/>
          <w:sz w:val="28"/>
          <w:szCs w:val="28"/>
          <w:lang w:val="uk-UA"/>
        </w:rPr>
        <w:t>х</w:t>
      </w:r>
      <w:r w:rsidRPr="00893FEE">
        <w:rPr>
          <w:noProof/>
          <w:sz w:val="28"/>
          <w:szCs w:val="28"/>
          <w:lang w:val="uk-UA"/>
        </w:rPr>
        <w:t xml:space="preserve"> рекомендаці</w:t>
      </w:r>
      <w:r w:rsidR="00A005DD">
        <w:rPr>
          <w:noProof/>
          <w:sz w:val="28"/>
          <w:szCs w:val="28"/>
          <w:lang w:val="uk-UA"/>
        </w:rPr>
        <w:t>й</w:t>
      </w:r>
      <w:r w:rsidRPr="00893FEE">
        <w:rPr>
          <w:noProof/>
          <w:sz w:val="28"/>
          <w:szCs w:val="28"/>
          <w:lang w:val="uk-UA"/>
        </w:rPr>
        <w:t xml:space="preserve"> ДЕЦ МОЗ України</w:t>
      </w:r>
      <w:r w:rsidR="00A005DD">
        <w:rPr>
          <w:noProof/>
          <w:sz w:val="28"/>
          <w:szCs w:val="28"/>
          <w:lang w:val="uk-UA"/>
        </w:rPr>
        <w:t>, в яких заз</w:t>
      </w:r>
      <w:r w:rsidR="000C39A5">
        <w:rPr>
          <w:noProof/>
          <w:sz w:val="28"/>
          <w:szCs w:val="28"/>
          <w:lang w:val="uk-UA"/>
        </w:rPr>
        <w:t>на</w:t>
      </w:r>
      <w:r w:rsidR="00A005DD">
        <w:rPr>
          <w:noProof/>
          <w:sz w:val="28"/>
          <w:szCs w:val="28"/>
          <w:lang w:val="uk-UA"/>
        </w:rPr>
        <w:t>чено, що</w:t>
      </w:r>
      <w:r w:rsidR="00A005DD" w:rsidRPr="00893FEE">
        <w:rPr>
          <w:noProof/>
          <w:sz w:val="28"/>
          <w:szCs w:val="28"/>
          <w:lang w:val="uk-UA"/>
        </w:rPr>
        <w:t xml:space="preserve"> при виборі доз для  внутрішньошлункового введення лімітуючим показником при визначенні гострої токсичності є максимальна доза </w:t>
      </w:r>
      <w:r w:rsidR="00A005DD">
        <w:rPr>
          <w:noProof/>
          <w:sz w:val="28"/>
          <w:szCs w:val="28"/>
          <w:lang w:val="uk-UA"/>
        </w:rPr>
        <w:t xml:space="preserve">4-го </w:t>
      </w:r>
      <w:r w:rsidR="00A005DD" w:rsidRPr="00893FEE">
        <w:rPr>
          <w:noProof/>
          <w:sz w:val="28"/>
          <w:szCs w:val="28"/>
          <w:lang w:val="uk-UA"/>
        </w:rPr>
        <w:t xml:space="preserve">класу токсичності (малотоксичні речовини) – 5000 мг/кг. </w:t>
      </w:r>
      <w:r w:rsidR="00A005DD">
        <w:rPr>
          <w:noProof/>
          <w:sz w:val="28"/>
          <w:szCs w:val="28"/>
          <w:lang w:val="uk-UA"/>
        </w:rPr>
        <w:lastRenderedPageBreak/>
        <w:t>Якщо</w:t>
      </w:r>
      <w:r w:rsidR="00A005DD" w:rsidRPr="00893FEE">
        <w:rPr>
          <w:noProof/>
          <w:sz w:val="28"/>
          <w:szCs w:val="28"/>
          <w:lang w:val="uk-UA"/>
        </w:rPr>
        <w:t xml:space="preserve"> ця доза не викликає загибелі тварин</w:t>
      </w:r>
      <w:r w:rsidR="00BF4AA5">
        <w:rPr>
          <w:noProof/>
          <w:sz w:val="28"/>
          <w:szCs w:val="28"/>
          <w:lang w:val="uk-UA"/>
        </w:rPr>
        <w:t xml:space="preserve">, </w:t>
      </w:r>
      <w:r w:rsidR="00773793">
        <w:rPr>
          <w:noProof/>
          <w:sz w:val="28"/>
          <w:szCs w:val="28"/>
          <w:lang w:val="uk-UA"/>
        </w:rPr>
        <w:t xml:space="preserve">вважається </w:t>
      </w:r>
      <w:r w:rsidR="00773793" w:rsidRPr="00893FEE">
        <w:rPr>
          <w:noProof/>
          <w:sz w:val="28"/>
          <w:szCs w:val="28"/>
          <w:lang w:val="uk-UA"/>
        </w:rPr>
        <w:t xml:space="preserve">недоцільним </w:t>
      </w:r>
      <w:r w:rsidR="00A005DD" w:rsidRPr="00893FEE">
        <w:rPr>
          <w:noProof/>
          <w:sz w:val="28"/>
          <w:szCs w:val="28"/>
          <w:lang w:val="uk-UA"/>
        </w:rPr>
        <w:t>введення більшої дози</w:t>
      </w:r>
      <w:r w:rsidR="00773793">
        <w:rPr>
          <w:noProof/>
          <w:sz w:val="28"/>
          <w:szCs w:val="28"/>
          <w:lang w:val="uk-UA"/>
        </w:rPr>
        <w:t xml:space="preserve">. </w:t>
      </w:r>
      <w:r w:rsidR="00A005DD">
        <w:rPr>
          <w:noProof/>
          <w:sz w:val="28"/>
          <w:szCs w:val="28"/>
          <w:lang w:val="uk-UA"/>
        </w:rPr>
        <w:t>Отже</w:t>
      </w:r>
      <w:r w:rsidR="00BF4AA5">
        <w:rPr>
          <w:noProof/>
          <w:sz w:val="28"/>
          <w:szCs w:val="28"/>
          <w:lang w:val="uk-UA"/>
        </w:rPr>
        <w:t xml:space="preserve"> </w:t>
      </w:r>
      <w:r w:rsidR="00A005DD">
        <w:rPr>
          <w:noProof/>
          <w:sz w:val="28"/>
          <w:szCs w:val="28"/>
          <w:lang w:val="uk-UA"/>
        </w:rPr>
        <w:t xml:space="preserve">для досліду </w:t>
      </w:r>
      <w:r w:rsidR="00A005DD" w:rsidRPr="00893FEE">
        <w:rPr>
          <w:noProof/>
          <w:sz w:val="28"/>
          <w:szCs w:val="28"/>
          <w:lang w:val="uk-UA"/>
        </w:rPr>
        <w:t xml:space="preserve">нами була обрана доза </w:t>
      </w:r>
      <w:r w:rsidR="00A005DD">
        <w:rPr>
          <w:noProof/>
          <w:sz w:val="28"/>
          <w:szCs w:val="28"/>
          <w:lang w:val="uk-UA"/>
        </w:rPr>
        <w:t>ГЕКМ</w:t>
      </w:r>
      <w:r w:rsidR="00A005DD" w:rsidRPr="00893FEE">
        <w:rPr>
          <w:noProof/>
          <w:sz w:val="28"/>
          <w:szCs w:val="28"/>
          <w:lang w:val="uk-UA"/>
        </w:rPr>
        <w:t xml:space="preserve"> 5000 мг/кг, яку вводили одноразово внутрішньо</w:t>
      </w:r>
      <w:r w:rsidR="00EE7D6E">
        <w:rPr>
          <w:noProof/>
          <w:sz w:val="28"/>
          <w:szCs w:val="28"/>
          <w:lang w:val="uk-UA"/>
        </w:rPr>
        <w:t xml:space="preserve">шлунково щурам самцям та самкам </w:t>
      </w:r>
      <w:r w:rsidR="00A005DD" w:rsidRPr="00893FEE">
        <w:rPr>
          <w:noProof/>
          <w:sz w:val="28"/>
          <w:szCs w:val="28"/>
          <w:lang w:val="uk-UA"/>
        </w:rPr>
        <w:t>[7</w:t>
      </w:r>
      <w:r w:rsidR="00E22AB7">
        <w:rPr>
          <w:noProof/>
          <w:sz w:val="28"/>
          <w:szCs w:val="28"/>
          <w:lang w:val="uk-UA"/>
        </w:rPr>
        <w:t xml:space="preserve">, с.74 </w:t>
      </w:r>
      <w:r w:rsidR="00A005DD" w:rsidRPr="00893FEE">
        <w:rPr>
          <w:noProof/>
          <w:sz w:val="28"/>
          <w:szCs w:val="28"/>
          <w:lang w:val="uk-UA"/>
        </w:rPr>
        <w:t>]</w:t>
      </w:r>
      <w:r w:rsidR="00E27761">
        <w:rPr>
          <w:noProof/>
          <w:sz w:val="28"/>
          <w:szCs w:val="28"/>
          <w:lang w:val="uk-UA"/>
        </w:rPr>
        <w:t xml:space="preserve">. </w:t>
      </w:r>
      <w:r w:rsidR="007D61A2" w:rsidRPr="00893FEE">
        <w:rPr>
          <w:noProof/>
          <w:sz w:val="28"/>
          <w:szCs w:val="28"/>
          <w:lang w:val="uk-UA"/>
        </w:rPr>
        <w:t>Після введення препарату за тваринами спостерігали протягом 14 днів та оцінювали загальний стан тварин, виживаність, динаміку маси тіла тварин, а по закінченні досліду після виведення тварин з експерименту проводили макроскопічну оцінку стану внутрішніх орг</w:t>
      </w:r>
      <w:r w:rsidR="007D61A2">
        <w:rPr>
          <w:noProof/>
          <w:sz w:val="28"/>
          <w:szCs w:val="28"/>
          <w:lang w:val="uk-UA"/>
        </w:rPr>
        <w:t>анів та систем, витягали органи та</w:t>
      </w:r>
      <w:r w:rsidR="007D61A2" w:rsidRPr="00893FEE">
        <w:rPr>
          <w:noProof/>
          <w:sz w:val="28"/>
          <w:szCs w:val="28"/>
          <w:lang w:val="uk-UA"/>
        </w:rPr>
        <w:t xml:space="preserve"> зважували їх з метою визначення масових коефіцієнтів</w:t>
      </w:r>
      <w:r w:rsidR="007D61A2">
        <w:rPr>
          <w:noProof/>
          <w:sz w:val="28"/>
          <w:szCs w:val="28"/>
          <w:lang w:val="uk-UA"/>
        </w:rPr>
        <w:t xml:space="preserve">. </w:t>
      </w:r>
      <w:r w:rsidR="00E27761" w:rsidRPr="00F0302F">
        <w:rPr>
          <w:sz w:val="28"/>
          <w:lang w:val="uk-UA"/>
        </w:rPr>
        <w:t xml:space="preserve">Інтегральним </w:t>
      </w:r>
      <w:r w:rsidR="00A005DD" w:rsidRPr="00F0302F">
        <w:rPr>
          <w:sz w:val="28"/>
          <w:lang w:val="uk-UA"/>
        </w:rPr>
        <w:t>показником</w:t>
      </w:r>
      <w:r w:rsidR="00E27761">
        <w:rPr>
          <w:sz w:val="28"/>
          <w:lang w:val="uk-UA"/>
        </w:rPr>
        <w:t xml:space="preserve"> безпечності використання</w:t>
      </w:r>
      <w:r w:rsidR="00E27761" w:rsidRPr="00F0302F">
        <w:rPr>
          <w:sz w:val="28"/>
          <w:lang w:val="uk-UA"/>
        </w:rPr>
        <w:t xml:space="preserve"> лікарського засобу</w:t>
      </w:r>
      <w:r w:rsidR="00207B94">
        <w:rPr>
          <w:sz w:val="28"/>
          <w:lang w:val="uk-UA"/>
        </w:rPr>
        <w:t xml:space="preserve"> </w:t>
      </w:r>
      <w:r w:rsidR="00A005DD" w:rsidRPr="00F0302F">
        <w:rPr>
          <w:sz w:val="28"/>
          <w:lang w:val="uk-UA"/>
        </w:rPr>
        <w:t xml:space="preserve">є </w:t>
      </w:r>
      <w:r w:rsidR="00E27761">
        <w:rPr>
          <w:sz w:val="28"/>
          <w:lang w:val="uk-UA"/>
        </w:rPr>
        <w:t xml:space="preserve">значення </w:t>
      </w:r>
      <w:r w:rsidR="00E27761" w:rsidRPr="00F0302F">
        <w:rPr>
          <w:sz w:val="28"/>
          <w:lang w:val="uk-UA"/>
        </w:rPr>
        <w:t>середньолетальн</w:t>
      </w:r>
      <w:r w:rsidR="00E27761">
        <w:rPr>
          <w:sz w:val="28"/>
          <w:lang w:val="uk-UA"/>
        </w:rPr>
        <w:t>ої</w:t>
      </w:r>
      <w:r w:rsidR="00E27761" w:rsidRPr="00F0302F">
        <w:rPr>
          <w:sz w:val="28"/>
          <w:lang w:val="uk-UA"/>
        </w:rPr>
        <w:t xml:space="preserve"> доз</w:t>
      </w:r>
      <w:r w:rsidR="00E27761">
        <w:rPr>
          <w:sz w:val="28"/>
          <w:lang w:val="uk-UA"/>
        </w:rPr>
        <w:t>и</w:t>
      </w:r>
      <w:r w:rsidR="00E27761" w:rsidRPr="00F0302F">
        <w:rPr>
          <w:sz w:val="28"/>
          <w:lang w:val="uk-UA"/>
        </w:rPr>
        <w:t xml:space="preserve"> (LD</w:t>
      </w:r>
      <w:r w:rsidR="00E27761" w:rsidRPr="00F0302F">
        <w:rPr>
          <w:sz w:val="28"/>
          <w:vertAlign w:val="subscript"/>
          <w:lang w:val="uk-UA"/>
        </w:rPr>
        <w:t>50</w:t>
      </w:r>
      <w:r w:rsidR="00E27761" w:rsidRPr="00F0302F">
        <w:rPr>
          <w:sz w:val="28"/>
          <w:lang w:val="uk-UA"/>
        </w:rPr>
        <w:t>)</w:t>
      </w:r>
      <w:r w:rsidR="00BF4AA5">
        <w:rPr>
          <w:sz w:val="28"/>
          <w:lang w:val="uk-UA"/>
        </w:rPr>
        <w:t xml:space="preserve"> </w:t>
      </w:r>
      <w:r w:rsidR="00E27761">
        <w:rPr>
          <w:sz w:val="28"/>
          <w:lang w:val="uk-UA"/>
        </w:rPr>
        <w:t>та широти терапевтичної дії, які визначають за показником</w:t>
      </w:r>
      <w:r w:rsidR="00BF4AA5">
        <w:rPr>
          <w:sz w:val="28"/>
          <w:lang w:val="uk-UA"/>
        </w:rPr>
        <w:t xml:space="preserve"> </w:t>
      </w:r>
      <w:r w:rsidR="00E27761">
        <w:rPr>
          <w:sz w:val="28"/>
          <w:lang w:val="uk-UA"/>
        </w:rPr>
        <w:t>виживаність/летальність тварин</w:t>
      </w:r>
      <w:r w:rsidR="00825B0C">
        <w:rPr>
          <w:sz w:val="28"/>
          <w:lang w:val="uk-UA"/>
        </w:rPr>
        <w:t xml:space="preserve"> </w:t>
      </w:r>
      <w:r w:rsidR="00825B0C" w:rsidRPr="00893FEE">
        <w:rPr>
          <w:noProof/>
          <w:sz w:val="28"/>
          <w:szCs w:val="28"/>
          <w:lang w:val="uk-UA"/>
        </w:rPr>
        <w:t>[7</w:t>
      </w:r>
      <w:r w:rsidR="00825B0C">
        <w:rPr>
          <w:noProof/>
          <w:sz w:val="28"/>
          <w:szCs w:val="28"/>
          <w:lang w:val="uk-UA"/>
        </w:rPr>
        <w:t xml:space="preserve">, с.74 </w:t>
      </w:r>
      <w:r w:rsidR="00825B0C" w:rsidRPr="00893FEE">
        <w:rPr>
          <w:noProof/>
          <w:sz w:val="28"/>
          <w:szCs w:val="28"/>
          <w:lang w:val="uk-UA"/>
        </w:rPr>
        <w:t>]</w:t>
      </w:r>
      <w:r w:rsidR="00E27761">
        <w:rPr>
          <w:sz w:val="28"/>
          <w:lang w:val="uk-UA"/>
        </w:rPr>
        <w:t>.</w:t>
      </w:r>
    </w:p>
    <w:p w:rsidR="00D247BE" w:rsidRPr="00F36EC9" w:rsidRDefault="00D247BE" w:rsidP="00F36EC9">
      <w:pPr>
        <w:pStyle w:val="ac"/>
        <w:spacing w:line="360" w:lineRule="auto"/>
        <w:ind w:left="0" w:right="0" w:firstLine="709"/>
      </w:pPr>
      <w:r w:rsidRPr="00623C09">
        <w:t xml:space="preserve">Дослідження </w:t>
      </w:r>
      <w:r w:rsidR="00F5144C">
        <w:t>впливу</w:t>
      </w:r>
      <w:r w:rsidRPr="00623C09">
        <w:t xml:space="preserve"> </w:t>
      </w:r>
      <w:r w:rsidRPr="00A0318C">
        <w:t>ГЕ</w:t>
      </w:r>
      <w:r>
        <w:t>КМ</w:t>
      </w:r>
      <w:r w:rsidRPr="00623C09">
        <w:t xml:space="preserve"> </w:t>
      </w:r>
      <w:r w:rsidR="00F5144C">
        <w:t>на перебіг</w:t>
      </w:r>
      <w:r w:rsidRPr="00623C09">
        <w:t xml:space="preserve"> запальної реакції проводили </w:t>
      </w:r>
      <w:r w:rsidR="00F5144C">
        <w:t xml:space="preserve">в порівнянні з класичним засобом диклофенаком натрію </w:t>
      </w:r>
      <w:r w:rsidR="008325A9">
        <w:t xml:space="preserve">з доказаною протизапальною дією </w:t>
      </w:r>
      <w:r w:rsidRPr="00623C09">
        <w:t>на моделі гострого карагенінового набряку стопи у білих щурів масою 180-</w:t>
      </w:r>
      <w:smartTag w:uri="urn:schemas-microsoft-com:office:smarttags" w:element="metricconverter">
        <w:smartTagPr>
          <w:attr w:name="ProductID" w:val="200 г"/>
        </w:smartTagPr>
        <w:r w:rsidRPr="00623C09">
          <w:t>200 г</w:t>
        </w:r>
      </w:smartTag>
      <w:r w:rsidRPr="00623C09">
        <w:t xml:space="preserve">. загальноприйнятим методом </w:t>
      </w:r>
      <w:r w:rsidR="00825B0C" w:rsidRPr="00893FEE">
        <w:rPr>
          <w:noProof/>
        </w:rPr>
        <w:t>[</w:t>
      </w:r>
      <w:r w:rsidR="00825B0C">
        <w:rPr>
          <w:noProof/>
        </w:rPr>
        <w:t>8, с.292</w:t>
      </w:r>
      <w:r w:rsidR="00825B0C" w:rsidRPr="00893FEE">
        <w:rPr>
          <w:noProof/>
        </w:rPr>
        <w:t>]</w:t>
      </w:r>
      <w:r w:rsidRPr="00623C09">
        <w:t xml:space="preserve">.  Набряк викликали субплантарним введенням 0,1 мл 1% розчину карагеніну в одну із задніх кінцівок щурів дослідних та контрольних груп через 1 годину після введення препарату порівняння </w:t>
      </w:r>
      <w:r w:rsidR="00E71318" w:rsidRPr="00623C09">
        <w:t xml:space="preserve">диклофенаку </w:t>
      </w:r>
      <w:r w:rsidRPr="00623C09">
        <w:t>натрію у дозі 8,0 мг/кг</w:t>
      </w:r>
      <w:r>
        <w:t xml:space="preserve"> </w:t>
      </w:r>
      <w:r w:rsidRPr="00623C09">
        <w:t xml:space="preserve"> та </w:t>
      </w:r>
      <w:r w:rsidRPr="00A0318C">
        <w:t>ГЕ</w:t>
      </w:r>
      <w:r>
        <w:t>КМ</w:t>
      </w:r>
      <w:r w:rsidRPr="00966BCC">
        <w:t xml:space="preserve"> </w:t>
      </w:r>
      <w:r w:rsidRPr="00623C09">
        <w:t xml:space="preserve">у дозах </w:t>
      </w:r>
      <w:r w:rsidR="00F36EC9">
        <w:t xml:space="preserve">від </w:t>
      </w:r>
      <w:r w:rsidRPr="00623C09">
        <w:t xml:space="preserve">5 </w:t>
      </w:r>
      <w:r w:rsidR="00F36EC9">
        <w:t>до</w:t>
      </w:r>
      <w:r w:rsidRPr="00623C09">
        <w:t xml:space="preserve"> </w:t>
      </w:r>
      <w:r w:rsidR="008325A9">
        <w:t>50</w:t>
      </w:r>
      <w:r w:rsidRPr="00623C09">
        <w:t xml:space="preserve"> мг/кг відповідно. </w:t>
      </w:r>
      <w:r w:rsidRPr="009575F1">
        <w:t>Контрольна група щурів одержувала еквівалентну кількість розчинника. Про розвиток набряку судили за збільшенням об'єму стопи, який вимірювали в динаміці через 1; 2; 3; 4</w:t>
      </w:r>
      <w:r w:rsidR="008325A9">
        <w:t xml:space="preserve"> та</w:t>
      </w:r>
      <w:r w:rsidRPr="009575F1">
        <w:t xml:space="preserve"> 5 годин після введення флогогену за допомогою механічного онкометра за А.С. Захаревським </w:t>
      </w:r>
      <w:r w:rsidR="00825B0C" w:rsidRPr="00893FEE">
        <w:rPr>
          <w:noProof/>
        </w:rPr>
        <w:t>[</w:t>
      </w:r>
      <w:r w:rsidR="00825B0C">
        <w:rPr>
          <w:noProof/>
        </w:rPr>
        <w:t>8, с.292</w:t>
      </w:r>
      <w:r w:rsidR="00825B0C" w:rsidRPr="00893FEE">
        <w:rPr>
          <w:noProof/>
        </w:rPr>
        <w:t>]</w:t>
      </w:r>
      <w:r w:rsidRPr="009575F1">
        <w:t xml:space="preserve">. </w:t>
      </w:r>
      <w:r w:rsidR="006A1AA8" w:rsidRPr="00A23FE3">
        <w:rPr>
          <w:lang w:val="ru-RU"/>
        </w:rPr>
        <w:t xml:space="preserve">Протизапальну </w:t>
      </w:r>
      <w:r w:rsidRPr="00A23FE3">
        <w:rPr>
          <w:lang w:val="ru-RU"/>
        </w:rPr>
        <w:t xml:space="preserve">активність препаратів виражали у % і визначали за здатністю зменшувати набряк у дослідних тварин у порівнянні з контрольними. </w:t>
      </w:r>
    </w:p>
    <w:p w:rsidR="007E0A21" w:rsidRPr="007D61A2" w:rsidRDefault="000C39A5" w:rsidP="007E0A21">
      <w:pPr>
        <w:spacing w:line="360" w:lineRule="auto"/>
        <w:ind w:firstLine="720"/>
        <w:jc w:val="both"/>
        <w:rPr>
          <w:sz w:val="28"/>
          <w:lang w:val="uk-UA"/>
        </w:rPr>
      </w:pPr>
      <w:r>
        <w:rPr>
          <w:sz w:val="28"/>
          <w:lang w:val="uk-UA"/>
        </w:rPr>
        <w:t>В</w:t>
      </w:r>
      <w:r w:rsidR="007E0A21">
        <w:rPr>
          <w:sz w:val="28"/>
          <w:lang w:val="uk-UA"/>
        </w:rPr>
        <w:t xml:space="preserve">становлено, що одноразове внутрішньошлункове введення </w:t>
      </w:r>
      <w:r w:rsidR="007E0A21" w:rsidRPr="00A0318C">
        <w:rPr>
          <w:sz w:val="28"/>
          <w:lang w:val="uk-UA"/>
        </w:rPr>
        <w:t>ГЕ</w:t>
      </w:r>
      <w:r w:rsidR="007E0A21">
        <w:rPr>
          <w:sz w:val="28"/>
          <w:lang w:val="uk-UA"/>
        </w:rPr>
        <w:t xml:space="preserve">КМ в дозі 5000 мг/кг не викликає загибелі щурів та симптомів інтоксикації, про що </w:t>
      </w:r>
      <w:r w:rsidR="007E0A21" w:rsidRPr="007D61A2">
        <w:rPr>
          <w:sz w:val="28"/>
          <w:lang w:val="uk-UA"/>
        </w:rPr>
        <w:t xml:space="preserve">свідчить значення виживаності тварин на рівні 100%. </w:t>
      </w:r>
      <w:r w:rsidR="006C1A2E" w:rsidRPr="006A0AC0">
        <w:rPr>
          <w:sz w:val="28"/>
          <w:szCs w:val="28"/>
          <w:lang w:val="uk-UA" w:eastAsia="uk-UA"/>
        </w:rPr>
        <w:t xml:space="preserve">У </w:t>
      </w:r>
      <w:r w:rsidR="006C1A2E">
        <w:rPr>
          <w:sz w:val="28"/>
          <w:szCs w:val="28"/>
          <w:lang w:val="uk-UA" w:eastAsia="uk-UA"/>
        </w:rPr>
        <w:t>тварин</w:t>
      </w:r>
      <w:r w:rsidR="006C1A2E" w:rsidRPr="006A0AC0">
        <w:rPr>
          <w:sz w:val="28"/>
          <w:szCs w:val="28"/>
          <w:lang w:val="uk-UA" w:eastAsia="uk-UA"/>
        </w:rPr>
        <w:t xml:space="preserve"> після одноразового внутрішньошлункового введення </w:t>
      </w:r>
      <w:r w:rsidR="006C1A2E" w:rsidRPr="00A0318C">
        <w:rPr>
          <w:sz w:val="28"/>
          <w:lang w:val="uk-UA"/>
        </w:rPr>
        <w:t>ГЕ</w:t>
      </w:r>
      <w:r w:rsidR="006C1A2E">
        <w:rPr>
          <w:sz w:val="28"/>
          <w:lang w:val="uk-UA"/>
        </w:rPr>
        <w:t>КМ</w:t>
      </w:r>
      <w:r w:rsidR="006C1A2E" w:rsidRPr="006A0AC0">
        <w:rPr>
          <w:sz w:val="28"/>
          <w:szCs w:val="28"/>
          <w:lang w:val="uk-UA" w:eastAsia="uk-UA"/>
        </w:rPr>
        <w:t xml:space="preserve"> та у груп</w:t>
      </w:r>
      <w:r w:rsidR="006C1A2E">
        <w:rPr>
          <w:sz w:val="28"/>
          <w:szCs w:val="28"/>
          <w:lang w:val="uk-UA" w:eastAsia="uk-UA"/>
        </w:rPr>
        <w:t>і</w:t>
      </w:r>
      <w:r w:rsidR="006C1A2E" w:rsidRPr="006A0AC0">
        <w:rPr>
          <w:sz w:val="28"/>
          <w:szCs w:val="28"/>
          <w:lang w:val="uk-UA" w:eastAsia="uk-UA"/>
        </w:rPr>
        <w:t xml:space="preserve"> інтактних тварин протягом терміну спостереження відбувається </w:t>
      </w:r>
      <w:r w:rsidR="006C1A2E">
        <w:rPr>
          <w:sz w:val="28"/>
          <w:szCs w:val="28"/>
          <w:lang w:val="uk-UA" w:eastAsia="uk-UA"/>
        </w:rPr>
        <w:t xml:space="preserve">фізіологічне </w:t>
      </w:r>
      <w:r w:rsidR="006C1A2E" w:rsidRPr="006A0AC0">
        <w:rPr>
          <w:sz w:val="28"/>
          <w:szCs w:val="28"/>
          <w:lang w:val="uk-UA" w:eastAsia="uk-UA"/>
        </w:rPr>
        <w:t xml:space="preserve">збільшення </w:t>
      </w:r>
      <w:r w:rsidR="006C1A2E" w:rsidRPr="006A0AC0">
        <w:rPr>
          <w:sz w:val="28"/>
          <w:szCs w:val="28"/>
          <w:lang w:val="uk-UA" w:eastAsia="uk-UA"/>
        </w:rPr>
        <w:lastRenderedPageBreak/>
        <w:t>маси тіла відносно вихідних даних</w:t>
      </w:r>
      <w:r w:rsidR="006C1A2E">
        <w:rPr>
          <w:sz w:val="28"/>
          <w:szCs w:val="28"/>
          <w:lang w:val="uk-UA" w:eastAsia="uk-UA"/>
        </w:rPr>
        <w:t xml:space="preserve">. </w:t>
      </w:r>
      <w:r w:rsidR="005029B9" w:rsidRPr="007D61A2">
        <w:rPr>
          <w:sz w:val="28"/>
          <w:lang w:val="uk-UA"/>
        </w:rPr>
        <w:t xml:space="preserve">На 14 день експерименту при </w:t>
      </w:r>
      <w:r w:rsidR="007E0A21" w:rsidRPr="007D61A2">
        <w:rPr>
          <w:sz w:val="28"/>
          <w:lang w:val="uk-UA"/>
        </w:rPr>
        <w:t xml:space="preserve">зовнішньому огляді </w:t>
      </w:r>
      <w:r w:rsidR="00454D1E">
        <w:rPr>
          <w:sz w:val="28"/>
          <w:lang w:val="uk-UA"/>
        </w:rPr>
        <w:t xml:space="preserve">фізіологічний </w:t>
      </w:r>
      <w:r w:rsidR="005029B9">
        <w:rPr>
          <w:sz w:val="28"/>
          <w:lang w:val="uk-UA"/>
        </w:rPr>
        <w:t xml:space="preserve">стан </w:t>
      </w:r>
      <w:r w:rsidR="007E0A21" w:rsidRPr="007D61A2">
        <w:rPr>
          <w:sz w:val="28"/>
          <w:lang w:val="uk-UA"/>
        </w:rPr>
        <w:t>дослідн</w:t>
      </w:r>
      <w:r w:rsidR="005029B9">
        <w:rPr>
          <w:sz w:val="28"/>
          <w:lang w:val="uk-UA"/>
        </w:rPr>
        <w:t>их</w:t>
      </w:r>
      <w:r w:rsidR="007E0A21" w:rsidRPr="007D61A2">
        <w:rPr>
          <w:sz w:val="28"/>
          <w:lang w:val="uk-UA"/>
        </w:rPr>
        <w:t xml:space="preserve"> </w:t>
      </w:r>
      <w:r w:rsidR="005029B9">
        <w:rPr>
          <w:sz w:val="28"/>
          <w:lang w:val="uk-UA"/>
        </w:rPr>
        <w:t>не відрізнявся від</w:t>
      </w:r>
      <w:r w:rsidR="007E0A21" w:rsidRPr="007D61A2">
        <w:rPr>
          <w:sz w:val="28"/>
          <w:lang w:val="uk-UA"/>
        </w:rPr>
        <w:t xml:space="preserve"> </w:t>
      </w:r>
      <w:r w:rsidR="00454D1E">
        <w:rPr>
          <w:sz w:val="28"/>
          <w:lang w:val="uk-UA"/>
        </w:rPr>
        <w:t>інтактн</w:t>
      </w:r>
      <w:r w:rsidR="005029B9">
        <w:rPr>
          <w:sz w:val="28"/>
          <w:lang w:val="uk-UA"/>
        </w:rPr>
        <w:t>их</w:t>
      </w:r>
      <w:r w:rsidR="006C1A2E">
        <w:rPr>
          <w:sz w:val="28"/>
          <w:lang w:val="uk-UA"/>
        </w:rPr>
        <w:t xml:space="preserve"> тварин</w:t>
      </w:r>
      <w:r w:rsidR="007E0A21" w:rsidRPr="007D61A2">
        <w:rPr>
          <w:sz w:val="28"/>
          <w:lang w:val="uk-UA"/>
        </w:rPr>
        <w:t xml:space="preserve">. </w:t>
      </w:r>
    </w:p>
    <w:p w:rsidR="007E0A21" w:rsidRPr="006C1A2E" w:rsidRDefault="007E0A21" w:rsidP="006C1A2E">
      <w:pPr>
        <w:spacing w:line="360" w:lineRule="auto"/>
        <w:ind w:firstLine="720"/>
        <w:jc w:val="both"/>
        <w:rPr>
          <w:sz w:val="28"/>
          <w:lang w:val="uk-UA"/>
        </w:rPr>
      </w:pPr>
      <w:r w:rsidRPr="002051B2">
        <w:rPr>
          <w:sz w:val="28"/>
          <w:lang w:val="uk-UA"/>
        </w:rPr>
        <w:t xml:space="preserve">Після виведення тварин з досліду під час розтину </w:t>
      </w:r>
      <w:r w:rsidR="000C39A5">
        <w:rPr>
          <w:sz w:val="28"/>
          <w:lang w:val="uk-UA"/>
        </w:rPr>
        <w:t>в</w:t>
      </w:r>
      <w:r w:rsidRPr="002051B2">
        <w:rPr>
          <w:sz w:val="28"/>
          <w:lang w:val="uk-UA"/>
        </w:rPr>
        <w:t>становлено, що</w:t>
      </w:r>
      <w:r w:rsidR="002051B2">
        <w:rPr>
          <w:sz w:val="28"/>
          <w:lang w:val="uk-UA"/>
        </w:rPr>
        <w:t xml:space="preserve"> </w:t>
      </w:r>
      <w:r w:rsidRPr="002051B2">
        <w:rPr>
          <w:sz w:val="28"/>
          <w:lang w:val="uk-UA"/>
        </w:rPr>
        <w:t>всі</w:t>
      </w:r>
      <w:r w:rsidR="002051B2">
        <w:rPr>
          <w:sz w:val="28"/>
          <w:lang w:val="uk-UA"/>
        </w:rPr>
        <w:t xml:space="preserve"> </w:t>
      </w:r>
      <w:r w:rsidRPr="002051B2">
        <w:rPr>
          <w:sz w:val="28"/>
          <w:lang w:val="uk-UA"/>
        </w:rPr>
        <w:t>тварини</w:t>
      </w:r>
      <w:r w:rsidR="002051B2">
        <w:rPr>
          <w:sz w:val="28"/>
          <w:lang w:val="uk-UA"/>
        </w:rPr>
        <w:t xml:space="preserve"> </w:t>
      </w:r>
      <w:r w:rsidRPr="002051B2">
        <w:rPr>
          <w:sz w:val="28"/>
          <w:lang w:val="uk-UA"/>
        </w:rPr>
        <w:t>мали</w:t>
      </w:r>
      <w:r w:rsidR="002051B2">
        <w:rPr>
          <w:sz w:val="28"/>
          <w:lang w:val="uk-UA"/>
        </w:rPr>
        <w:t xml:space="preserve"> </w:t>
      </w:r>
      <w:r w:rsidRPr="002051B2">
        <w:rPr>
          <w:sz w:val="28"/>
          <w:lang w:val="uk-UA"/>
        </w:rPr>
        <w:t>охайний</w:t>
      </w:r>
      <w:r w:rsidR="002051B2">
        <w:rPr>
          <w:sz w:val="28"/>
          <w:lang w:val="uk-UA"/>
        </w:rPr>
        <w:t xml:space="preserve"> </w:t>
      </w:r>
      <w:r w:rsidRPr="002051B2">
        <w:rPr>
          <w:sz w:val="28"/>
          <w:lang w:val="uk-UA"/>
        </w:rPr>
        <w:t>шерстний</w:t>
      </w:r>
      <w:r w:rsidR="002051B2">
        <w:rPr>
          <w:sz w:val="28"/>
          <w:lang w:val="uk-UA"/>
        </w:rPr>
        <w:t xml:space="preserve"> </w:t>
      </w:r>
      <w:r w:rsidRPr="002051B2">
        <w:rPr>
          <w:sz w:val="28"/>
          <w:lang w:val="uk-UA"/>
        </w:rPr>
        <w:t>покрив та незмінені</w:t>
      </w:r>
      <w:r w:rsidR="00FB033C">
        <w:rPr>
          <w:sz w:val="28"/>
          <w:lang w:val="uk-UA"/>
        </w:rPr>
        <w:t xml:space="preserve"> </w:t>
      </w:r>
      <w:r w:rsidRPr="002051B2">
        <w:rPr>
          <w:sz w:val="28"/>
          <w:lang w:val="uk-UA"/>
        </w:rPr>
        <w:t>слизові</w:t>
      </w:r>
      <w:r w:rsidR="00FB033C">
        <w:rPr>
          <w:sz w:val="28"/>
          <w:lang w:val="uk-UA"/>
        </w:rPr>
        <w:t xml:space="preserve"> </w:t>
      </w:r>
      <w:r w:rsidRPr="002051B2">
        <w:rPr>
          <w:sz w:val="28"/>
          <w:lang w:val="uk-UA"/>
        </w:rPr>
        <w:t>оболонки</w:t>
      </w:r>
      <w:r w:rsidR="00FB033C">
        <w:rPr>
          <w:sz w:val="28"/>
          <w:lang w:val="uk-UA"/>
        </w:rPr>
        <w:t xml:space="preserve"> </w:t>
      </w:r>
      <w:r w:rsidRPr="002051B2">
        <w:rPr>
          <w:sz w:val="28"/>
          <w:lang w:val="uk-UA"/>
        </w:rPr>
        <w:t>природних</w:t>
      </w:r>
      <w:r w:rsidR="001A6C1D">
        <w:rPr>
          <w:sz w:val="28"/>
          <w:lang w:val="uk-UA"/>
        </w:rPr>
        <w:t xml:space="preserve"> </w:t>
      </w:r>
      <w:r w:rsidRPr="002051B2">
        <w:rPr>
          <w:sz w:val="28"/>
          <w:lang w:val="uk-UA"/>
        </w:rPr>
        <w:t>отворів. Макроскопічне</w:t>
      </w:r>
      <w:r w:rsidR="00FB033C">
        <w:rPr>
          <w:sz w:val="28"/>
          <w:lang w:val="uk-UA"/>
        </w:rPr>
        <w:t xml:space="preserve"> </w:t>
      </w:r>
      <w:r w:rsidRPr="002051B2">
        <w:rPr>
          <w:sz w:val="28"/>
          <w:lang w:val="uk-UA"/>
        </w:rPr>
        <w:t>дослідження</w:t>
      </w:r>
      <w:r w:rsidR="001A6C1D">
        <w:rPr>
          <w:sz w:val="28"/>
          <w:lang w:val="uk-UA"/>
        </w:rPr>
        <w:t xml:space="preserve"> </w:t>
      </w:r>
      <w:r w:rsidRPr="002051B2">
        <w:rPr>
          <w:sz w:val="28"/>
          <w:lang w:val="uk-UA"/>
        </w:rPr>
        <w:t>внутрішніх</w:t>
      </w:r>
      <w:r w:rsidR="00FB033C">
        <w:rPr>
          <w:sz w:val="28"/>
          <w:lang w:val="uk-UA"/>
        </w:rPr>
        <w:t xml:space="preserve"> </w:t>
      </w:r>
      <w:r w:rsidRPr="002051B2">
        <w:rPr>
          <w:sz w:val="28"/>
          <w:lang w:val="uk-UA"/>
        </w:rPr>
        <w:t>органів</w:t>
      </w:r>
      <w:r w:rsidR="00FB033C">
        <w:rPr>
          <w:sz w:val="28"/>
          <w:lang w:val="uk-UA"/>
        </w:rPr>
        <w:t xml:space="preserve"> </w:t>
      </w:r>
      <w:r w:rsidRPr="002051B2">
        <w:rPr>
          <w:sz w:val="28"/>
          <w:lang w:val="uk-UA"/>
        </w:rPr>
        <w:t>засвідчило</w:t>
      </w:r>
      <w:r w:rsidR="00FB033C">
        <w:rPr>
          <w:sz w:val="28"/>
          <w:lang w:val="uk-UA"/>
        </w:rPr>
        <w:t xml:space="preserve"> </w:t>
      </w:r>
      <w:r w:rsidRPr="002051B2">
        <w:rPr>
          <w:sz w:val="28"/>
          <w:lang w:val="uk-UA"/>
        </w:rPr>
        <w:t>відсутність</w:t>
      </w:r>
      <w:r w:rsidR="00FB033C">
        <w:rPr>
          <w:sz w:val="28"/>
          <w:lang w:val="uk-UA"/>
        </w:rPr>
        <w:t xml:space="preserve"> </w:t>
      </w:r>
      <w:r w:rsidRPr="002051B2">
        <w:rPr>
          <w:sz w:val="28"/>
          <w:lang w:val="uk-UA"/>
        </w:rPr>
        <w:t>ознак</w:t>
      </w:r>
      <w:r w:rsidR="00FB033C">
        <w:rPr>
          <w:sz w:val="28"/>
          <w:lang w:val="uk-UA"/>
        </w:rPr>
        <w:t xml:space="preserve"> </w:t>
      </w:r>
      <w:r w:rsidRPr="002051B2">
        <w:rPr>
          <w:sz w:val="28"/>
          <w:lang w:val="uk-UA"/>
        </w:rPr>
        <w:t>гіпо- або</w:t>
      </w:r>
      <w:r w:rsidR="00FB033C">
        <w:rPr>
          <w:sz w:val="28"/>
          <w:lang w:val="uk-UA"/>
        </w:rPr>
        <w:t xml:space="preserve"> </w:t>
      </w:r>
      <w:r w:rsidRPr="002051B2">
        <w:rPr>
          <w:sz w:val="28"/>
          <w:lang w:val="uk-UA"/>
        </w:rPr>
        <w:t>гіпертрофії</w:t>
      </w:r>
      <w:r w:rsidR="00FB033C">
        <w:rPr>
          <w:sz w:val="28"/>
          <w:lang w:val="uk-UA"/>
        </w:rPr>
        <w:t xml:space="preserve"> </w:t>
      </w:r>
      <w:r w:rsidRPr="002051B2">
        <w:rPr>
          <w:sz w:val="28"/>
          <w:lang w:val="uk-UA"/>
        </w:rPr>
        <w:t>органів, порушень</w:t>
      </w:r>
      <w:r w:rsidR="00FB033C">
        <w:rPr>
          <w:sz w:val="28"/>
          <w:lang w:val="uk-UA"/>
        </w:rPr>
        <w:t xml:space="preserve"> </w:t>
      </w:r>
      <w:r w:rsidRPr="002051B2">
        <w:rPr>
          <w:sz w:val="28"/>
          <w:lang w:val="uk-UA"/>
        </w:rPr>
        <w:t>кровообігу, запалення, пухлинного росту. При огляді</w:t>
      </w:r>
      <w:r w:rsidR="00FB033C">
        <w:rPr>
          <w:sz w:val="28"/>
          <w:lang w:val="uk-UA"/>
        </w:rPr>
        <w:t xml:space="preserve"> </w:t>
      </w:r>
      <w:r w:rsidRPr="002051B2">
        <w:rPr>
          <w:sz w:val="28"/>
          <w:lang w:val="uk-UA"/>
        </w:rPr>
        <w:t>порожнин</w:t>
      </w:r>
      <w:r w:rsidR="00FB033C">
        <w:rPr>
          <w:sz w:val="28"/>
          <w:lang w:val="uk-UA"/>
        </w:rPr>
        <w:t xml:space="preserve"> </w:t>
      </w:r>
      <w:r w:rsidRPr="002051B2">
        <w:rPr>
          <w:sz w:val="28"/>
          <w:lang w:val="uk-UA"/>
        </w:rPr>
        <w:t>тіла не виявлено</w:t>
      </w:r>
      <w:r w:rsidR="00FB033C">
        <w:rPr>
          <w:sz w:val="28"/>
          <w:lang w:val="uk-UA"/>
        </w:rPr>
        <w:t xml:space="preserve"> </w:t>
      </w:r>
      <w:r w:rsidRPr="002051B2">
        <w:rPr>
          <w:sz w:val="28"/>
          <w:lang w:val="uk-UA"/>
        </w:rPr>
        <w:t>наявності</w:t>
      </w:r>
      <w:r w:rsidR="001A6C1D">
        <w:rPr>
          <w:sz w:val="28"/>
          <w:lang w:val="uk-UA"/>
        </w:rPr>
        <w:t xml:space="preserve"> </w:t>
      </w:r>
      <w:r w:rsidRPr="002051B2">
        <w:rPr>
          <w:sz w:val="28"/>
          <w:lang w:val="uk-UA"/>
        </w:rPr>
        <w:t>патологічного</w:t>
      </w:r>
      <w:r w:rsidR="001A6C1D">
        <w:rPr>
          <w:sz w:val="28"/>
          <w:lang w:val="uk-UA"/>
        </w:rPr>
        <w:t xml:space="preserve"> </w:t>
      </w:r>
      <w:r w:rsidRPr="002051B2">
        <w:rPr>
          <w:sz w:val="28"/>
          <w:lang w:val="uk-UA"/>
        </w:rPr>
        <w:t>вмісту, спайок. Таким чином, за результатами макроскопічного</w:t>
      </w:r>
      <w:r w:rsidR="00825B0C">
        <w:rPr>
          <w:sz w:val="28"/>
          <w:lang w:val="uk-UA"/>
        </w:rPr>
        <w:t xml:space="preserve"> </w:t>
      </w:r>
      <w:r w:rsidRPr="002051B2">
        <w:rPr>
          <w:sz w:val="28"/>
          <w:lang w:val="uk-UA"/>
        </w:rPr>
        <w:t>огляду</w:t>
      </w:r>
      <w:r w:rsidR="00825B0C">
        <w:rPr>
          <w:sz w:val="28"/>
          <w:lang w:val="uk-UA"/>
        </w:rPr>
        <w:t xml:space="preserve"> </w:t>
      </w:r>
      <w:r w:rsidRPr="002051B2">
        <w:rPr>
          <w:sz w:val="28"/>
          <w:lang w:val="uk-UA"/>
        </w:rPr>
        <w:t>внутрішніх</w:t>
      </w:r>
      <w:r w:rsidR="00825B0C">
        <w:rPr>
          <w:sz w:val="28"/>
          <w:lang w:val="uk-UA"/>
        </w:rPr>
        <w:t xml:space="preserve"> </w:t>
      </w:r>
      <w:r w:rsidRPr="002051B2">
        <w:rPr>
          <w:sz w:val="28"/>
          <w:lang w:val="uk-UA"/>
        </w:rPr>
        <w:t>органів та порожнин</w:t>
      </w:r>
      <w:r w:rsidR="001A6C1D">
        <w:rPr>
          <w:sz w:val="28"/>
          <w:lang w:val="uk-UA"/>
        </w:rPr>
        <w:t xml:space="preserve"> </w:t>
      </w:r>
      <w:r w:rsidRPr="002051B2">
        <w:rPr>
          <w:sz w:val="28"/>
          <w:lang w:val="uk-UA"/>
        </w:rPr>
        <w:t>тіла</w:t>
      </w:r>
      <w:r w:rsidR="001A6C1D">
        <w:rPr>
          <w:sz w:val="28"/>
          <w:lang w:val="uk-UA"/>
        </w:rPr>
        <w:t xml:space="preserve"> </w:t>
      </w:r>
      <w:r w:rsidRPr="002051B2">
        <w:rPr>
          <w:sz w:val="28"/>
          <w:lang w:val="uk-UA"/>
        </w:rPr>
        <w:t>щурів</w:t>
      </w:r>
      <w:r w:rsidR="001A6C1D">
        <w:rPr>
          <w:sz w:val="28"/>
          <w:lang w:val="uk-UA"/>
        </w:rPr>
        <w:t xml:space="preserve"> </w:t>
      </w:r>
      <w:r w:rsidRPr="002051B2">
        <w:rPr>
          <w:sz w:val="28"/>
          <w:lang w:val="uk-UA"/>
        </w:rPr>
        <w:t xml:space="preserve">обох статей </w:t>
      </w:r>
      <w:r w:rsidR="000C39A5">
        <w:rPr>
          <w:sz w:val="28"/>
          <w:lang w:val="uk-UA"/>
        </w:rPr>
        <w:t>в</w:t>
      </w:r>
      <w:r w:rsidRPr="002051B2">
        <w:rPr>
          <w:sz w:val="28"/>
          <w:lang w:val="uk-UA"/>
        </w:rPr>
        <w:t>становлено, що</w:t>
      </w:r>
      <w:r w:rsidR="00825B0C">
        <w:rPr>
          <w:sz w:val="28"/>
          <w:lang w:val="uk-UA"/>
        </w:rPr>
        <w:t xml:space="preserve"> </w:t>
      </w:r>
      <w:r w:rsidRPr="002051B2">
        <w:rPr>
          <w:sz w:val="28"/>
          <w:lang w:val="uk-UA"/>
        </w:rPr>
        <w:t>одноразове</w:t>
      </w:r>
      <w:r w:rsidR="00825B0C">
        <w:rPr>
          <w:sz w:val="28"/>
          <w:lang w:val="uk-UA"/>
        </w:rPr>
        <w:t xml:space="preserve"> </w:t>
      </w:r>
      <w:r w:rsidRPr="002051B2">
        <w:rPr>
          <w:sz w:val="28"/>
          <w:lang w:val="uk-UA"/>
        </w:rPr>
        <w:t>введення</w:t>
      </w:r>
      <w:r w:rsidR="00825B0C">
        <w:rPr>
          <w:sz w:val="28"/>
          <w:lang w:val="uk-UA"/>
        </w:rPr>
        <w:t xml:space="preserve"> </w:t>
      </w:r>
      <w:r w:rsidRPr="002051B2">
        <w:rPr>
          <w:sz w:val="28"/>
          <w:lang w:val="uk-UA"/>
        </w:rPr>
        <w:t>ГЕКМ в дозі 5000 мг/кг є безпечним для тварин і не чинить патологічного</w:t>
      </w:r>
      <w:r w:rsidR="001A6C1D">
        <w:rPr>
          <w:sz w:val="28"/>
          <w:lang w:val="uk-UA"/>
        </w:rPr>
        <w:t xml:space="preserve"> </w:t>
      </w:r>
      <w:r w:rsidRPr="002051B2">
        <w:rPr>
          <w:sz w:val="28"/>
          <w:lang w:val="uk-UA"/>
        </w:rPr>
        <w:t>впливу на стан внутрішніх</w:t>
      </w:r>
      <w:r w:rsidR="001A6C1D">
        <w:rPr>
          <w:sz w:val="28"/>
          <w:lang w:val="uk-UA"/>
        </w:rPr>
        <w:t xml:space="preserve"> </w:t>
      </w:r>
      <w:r w:rsidRPr="002051B2">
        <w:rPr>
          <w:sz w:val="28"/>
          <w:lang w:val="uk-UA"/>
        </w:rPr>
        <w:t>органів та систем організму.</w:t>
      </w:r>
      <w:r w:rsidR="006C1A2E">
        <w:rPr>
          <w:sz w:val="28"/>
          <w:lang w:val="uk-UA"/>
        </w:rPr>
        <w:t xml:space="preserve"> </w:t>
      </w:r>
      <w:r w:rsidRPr="001F3BD8">
        <w:rPr>
          <w:sz w:val="28"/>
          <w:lang w:val="uk-UA"/>
        </w:rPr>
        <w:t xml:space="preserve">Розрахунок та подальший аналіз показників </w:t>
      </w:r>
      <w:r>
        <w:rPr>
          <w:sz w:val="28"/>
          <w:lang w:val="uk-UA"/>
        </w:rPr>
        <w:t>коефіцієнтів маси</w:t>
      </w:r>
      <w:r w:rsidRPr="001F3BD8">
        <w:rPr>
          <w:sz w:val="28"/>
          <w:lang w:val="uk-UA"/>
        </w:rPr>
        <w:t xml:space="preserve"> внутрішніх органів тварин засвідчив, що </w:t>
      </w:r>
      <w:r>
        <w:rPr>
          <w:sz w:val="28"/>
          <w:lang w:val="uk-UA"/>
        </w:rPr>
        <w:t xml:space="preserve">введення </w:t>
      </w:r>
      <w:r w:rsidRPr="00A0318C">
        <w:rPr>
          <w:sz w:val="28"/>
          <w:lang w:val="uk-UA"/>
        </w:rPr>
        <w:t>ГЕ</w:t>
      </w:r>
      <w:r>
        <w:rPr>
          <w:sz w:val="28"/>
          <w:lang w:val="uk-UA"/>
        </w:rPr>
        <w:t>КМ</w:t>
      </w:r>
      <w:r w:rsidRPr="001F3BD8">
        <w:rPr>
          <w:sz w:val="28"/>
          <w:lang w:val="uk-UA"/>
        </w:rPr>
        <w:t xml:space="preserve"> не </w:t>
      </w:r>
      <w:r>
        <w:rPr>
          <w:sz w:val="28"/>
          <w:lang w:val="uk-UA"/>
        </w:rPr>
        <w:t>викликало змін в  значеннях КМ більшості внутрішніх органів</w:t>
      </w:r>
      <w:r w:rsidRPr="001F3BD8">
        <w:rPr>
          <w:sz w:val="28"/>
          <w:lang w:val="uk-UA"/>
        </w:rPr>
        <w:t xml:space="preserve"> порівняно з тваринами </w:t>
      </w:r>
      <w:r w:rsidR="00E872F9">
        <w:rPr>
          <w:sz w:val="28"/>
          <w:lang w:val="uk-UA"/>
        </w:rPr>
        <w:t xml:space="preserve">інтактної </w:t>
      </w:r>
      <w:r w:rsidRPr="001F3BD8">
        <w:rPr>
          <w:sz w:val="28"/>
          <w:lang w:val="uk-UA"/>
        </w:rPr>
        <w:t>групи</w:t>
      </w:r>
      <w:r>
        <w:rPr>
          <w:sz w:val="28"/>
          <w:lang w:val="uk-UA"/>
        </w:rPr>
        <w:t xml:space="preserve">. </w:t>
      </w:r>
    </w:p>
    <w:p w:rsidR="007E0A21" w:rsidRPr="00804E19" w:rsidRDefault="007E0A21" w:rsidP="00C267D2">
      <w:pPr>
        <w:pStyle w:val="a7"/>
        <w:spacing w:before="0" w:beforeAutospacing="0" w:after="0" w:afterAutospacing="0" w:line="360" w:lineRule="auto"/>
        <w:ind w:firstLine="720"/>
        <w:jc w:val="both"/>
        <w:rPr>
          <w:szCs w:val="28"/>
        </w:rPr>
      </w:pPr>
      <w:r w:rsidRPr="00804E19">
        <w:rPr>
          <w:szCs w:val="28"/>
        </w:rPr>
        <w:t xml:space="preserve">Отже, зважаючи на вищенаведені результати дослідження та на рекомендації ДЕЦ МОЗ України </w:t>
      </w:r>
      <w:r w:rsidR="00E872F9" w:rsidRPr="00893FEE">
        <w:rPr>
          <w:noProof/>
          <w:szCs w:val="28"/>
        </w:rPr>
        <w:t>[7</w:t>
      </w:r>
      <w:r w:rsidR="00E872F9">
        <w:rPr>
          <w:noProof/>
          <w:szCs w:val="28"/>
        </w:rPr>
        <w:t xml:space="preserve">, с.74 </w:t>
      </w:r>
      <w:r w:rsidR="00E872F9" w:rsidRPr="00893FEE">
        <w:rPr>
          <w:noProof/>
          <w:szCs w:val="28"/>
        </w:rPr>
        <w:t>]</w:t>
      </w:r>
      <w:r w:rsidRPr="00804E19">
        <w:rPr>
          <w:szCs w:val="28"/>
        </w:rPr>
        <w:t xml:space="preserve">, встановлення середньолетальної дози </w:t>
      </w:r>
      <w:r w:rsidR="00C267D2" w:rsidRPr="00804E19">
        <w:rPr>
          <w:szCs w:val="28"/>
        </w:rPr>
        <w:t>ЛД</w:t>
      </w:r>
      <w:r w:rsidR="00C267D2" w:rsidRPr="00804E19">
        <w:rPr>
          <w:szCs w:val="28"/>
          <w:vertAlign w:val="subscript"/>
        </w:rPr>
        <w:t>50</w:t>
      </w:r>
      <w:r w:rsidR="00C267D2">
        <w:rPr>
          <w:szCs w:val="28"/>
          <w:vertAlign w:val="subscript"/>
        </w:rPr>
        <w:t xml:space="preserve"> </w:t>
      </w:r>
      <w:r w:rsidRPr="00A0318C">
        <w:t>ГЕ</w:t>
      </w:r>
      <w:r>
        <w:t>КМ</w:t>
      </w:r>
      <w:r w:rsidRPr="00804E19">
        <w:rPr>
          <w:szCs w:val="28"/>
        </w:rPr>
        <w:t xml:space="preserve"> є неможливим, бо внутрішньошлункове введення максимально вводимої</w:t>
      </w:r>
      <w:r w:rsidR="001A6C1D">
        <w:rPr>
          <w:szCs w:val="28"/>
        </w:rPr>
        <w:t xml:space="preserve"> </w:t>
      </w:r>
      <w:r w:rsidRPr="00804E19">
        <w:rPr>
          <w:szCs w:val="28"/>
        </w:rPr>
        <w:t xml:space="preserve">щурам дози 5000 мг/кг не викликало смерті або патологічних змін з боку функціонального </w:t>
      </w:r>
      <w:r>
        <w:rPr>
          <w:szCs w:val="28"/>
        </w:rPr>
        <w:t xml:space="preserve">стану організму </w:t>
      </w:r>
      <w:r w:rsidR="001A6C1D">
        <w:rPr>
          <w:szCs w:val="28"/>
        </w:rPr>
        <w:t>тварин</w:t>
      </w:r>
      <w:r w:rsidRPr="00804E19">
        <w:rPr>
          <w:szCs w:val="28"/>
        </w:rPr>
        <w:t xml:space="preserve">. Таким чином, комплекс проведених досліджень з вивчення гострої токсичності нового </w:t>
      </w:r>
      <w:r>
        <w:rPr>
          <w:szCs w:val="28"/>
        </w:rPr>
        <w:t xml:space="preserve">препарату </w:t>
      </w:r>
      <w:r w:rsidRPr="00804E19">
        <w:rPr>
          <w:szCs w:val="28"/>
        </w:rPr>
        <w:t xml:space="preserve"> дозволив встановити відсутність токсичної дії при одноразовому внут</w:t>
      </w:r>
      <w:r>
        <w:rPr>
          <w:szCs w:val="28"/>
        </w:rPr>
        <w:t>рішньошлунковому введенні щурам</w:t>
      </w:r>
      <w:r w:rsidR="00C267D2">
        <w:rPr>
          <w:szCs w:val="28"/>
        </w:rPr>
        <w:t xml:space="preserve"> </w:t>
      </w:r>
      <w:r w:rsidRPr="00A0318C">
        <w:t>ГЕ</w:t>
      </w:r>
      <w:r>
        <w:t>КМ</w:t>
      </w:r>
      <w:r>
        <w:rPr>
          <w:szCs w:val="28"/>
        </w:rPr>
        <w:t xml:space="preserve"> в дозі 5000 мг/кг,</w:t>
      </w:r>
      <w:r w:rsidRPr="00804E19">
        <w:rPr>
          <w:szCs w:val="28"/>
        </w:rPr>
        <w:t xml:space="preserve"> що свідчить про те що ЛД</w:t>
      </w:r>
      <w:r w:rsidRPr="00804E19">
        <w:rPr>
          <w:szCs w:val="28"/>
          <w:vertAlign w:val="subscript"/>
        </w:rPr>
        <w:t>50</w:t>
      </w:r>
      <w:r w:rsidRPr="00804E19">
        <w:rPr>
          <w:szCs w:val="28"/>
        </w:rPr>
        <w:t xml:space="preserve"> знаходиться за межами 5000 мг/кг. Згідно з токсикологічною класифікацією речовин К.К.</w:t>
      </w:r>
      <w:r w:rsidR="000C39A5">
        <w:rPr>
          <w:szCs w:val="28"/>
        </w:rPr>
        <w:t xml:space="preserve"> </w:t>
      </w:r>
      <w:r w:rsidRPr="00804E19">
        <w:rPr>
          <w:szCs w:val="28"/>
        </w:rPr>
        <w:t xml:space="preserve">Сидорова </w:t>
      </w:r>
      <w:r w:rsidR="00E872F9" w:rsidRPr="00893FEE">
        <w:rPr>
          <w:noProof/>
          <w:szCs w:val="28"/>
        </w:rPr>
        <w:t>[7</w:t>
      </w:r>
      <w:r w:rsidR="00E872F9">
        <w:rPr>
          <w:noProof/>
          <w:szCs w:val="28"/>
        </w:rPr>
        <w:t xml:space="preserve">, с.74 </w:t>
      </w:r>
      <w:r w:rsidR="00E872F9" w:rsidRPr="00893FEE">
        <w:rPr>
          <w:noProof/>
          <w:szCs w:val="28"/>
        </w:rPr>
        <w:t>]</w:t>
      </w:r>
      <w:r w:rsidRPr="00804E19">
        <w:rPr>
          <w:szCs w:val="28"/>
        </w:rPr>
        <w:t xml:space="preserve"> </w:t>
      </w:r>
      <w:r w:rsidRPr="00A0318C">
        <w:t>ГЕ</w:t>
      </w:r>
      <w:r>
        <w:t>КМ</w:t>
      </w:r>
      <w:r w:rsidRPr="00804E19">
        <w:rPr>
          <w:szCs w:val="28"/>
        </w:rPr>
        <w:t xml:space="preserve"> при </w:t>
      </w:r>
      <w:r w:rsidR="00E908B6">
        <w:rPr>
          <w:szCs w:val="28"/>
        </w:rPr>
        <w:t>одноразово</w:t>
      </w:r>
      <w:r>
        <w:rPr>
          <w:szCs w:val="28"/>
        </w:rPr>
        <w:t>му</w:t>
      </w:r>
      <w:r w:rsidR="00046ED3">
        <w:rPr>
          <w:szCs w:val="28"/>
        </w:rPr>
        <w:t xml:space="preserve"> </w:t>
      </w:r>
      <w:r w:rsidRPr="00804E19">
        <w:rPr>
          <w:szCs w:val="28"/>
        </w:rPr>
        <w:t>внутрішньошлунковому введенні належить до V класу токсичності – практично нешкідливих речовин.</w:t>
      </w:r>
      <w:r w:rsidR="00C267D2">
        <w:rPr>
          <w:szCs w:val="28"/>
        </w:rPr>
        <w:t xml:space="preserve"> </w:t>
      </w:r>
      <w:r w:rsidRPr="00804E19">
        <w:rPr>
          <w:szCs w:val="28"/>
        </w:rPr>
        <w:t xml:space="preserve">Зазначені результати свідчать про високий ступінь безпечності </w:t>
      </w:r>
      <w:r w:rsidRPr="00A0318C">
        <w:t>ГЕ</w:t>
      </w:r>
      <w:r>
        <w:t>КМ</w:t>
      </w:r>
      <w:r>
        <w:rPr>
          <w:szCs w:val="28"/>
        </w:rPr>
        <w:t xml:space="preserve">, </w:t>
      </w:r>
      <w:r w:rsidRPr="00804E19">
        <w:rPr>
          <w:szCs w:val="28"/>
        </w:rPr>
        <w:t>бо значення дози ЛД</w:t>
      </w:r>
      <w:r w:rsidRPr="00F26C47">
        <w:rPr>
          <w:szCs w:val="28"/>
          <w:vertAlign w:val="subscript"/>
        </w:rPr>
        <w:t>50</w:t>
      </w:r>
      <w:r w:rsidR="00C267D2">
        <w:rPr>
          <w:szCs w:val="28"/>
          <w:vertAlign w:val="subscript"/>
        </w:rPr>
        <w:t xml:space="preserve"> </w:t>
      </w:r>
      <w:r w:rsidRPr="00A0318C">
        <w:t>ГЕ</w:t>
      </w:r>
      <w:r>
        <w:t>КМ</w:t>
      </w:r>
      <w:r w:rsidRPr="00804E19">
        <w:rPr>
          <w:szCs w:val="28"/>
        </w:rPr>
        <w:t xml:space="preserve"> при внутрішньошлунковому введенні лежить за межами 5000 мг/кг. </w:t>
      </w:r>
    </w:p>
    <w:p w:rsidR="007E0A21" w:rsidRDefault="007E0A21" w:rsidP="007E0A21">
      <w:pPr>
        <w:pStyle w:val="ac"/>
        <w:spacing w:line="360" w:lineRule="auto"/>
        <w:ind w:left="0" w:right="0" w:firstLine="709"/>
      </w:pPr>
      <w:r>
        <w:t xml:space="preserve">Дослідження впливу густого екстракту з коренеплодів моркви на перебіг експериментального </w:t>
      </w:r>
      <w:r>
        <w:rPr>
          <w:lang w:val="ru-RU"/>
        </w:rPr>
        <w:t>ексудативного</w:t>
      </w:r>
      <w:r w:rsidR="00C267D2">
        <w:rPr>
          <w:lang w:val="ru-RU"/>
        </w:rPr>
        <w:t xml:space="preserve"> </w:t>
      </w:r>
      <w:r>
        <w:t xml:space="preserve">запалення лапи у щурів, викликаного </w:t>
      </w:r>
      <w:r>
        <w:lastRenderedPageBreak/>
        <w:t>карагеніном</w:t>
      </w:r>
      <w:r w:rsidR="00C267D2">
        <w:t>,</w:t>
      </w:r>
      <w:r w:rsidRPr="008317E6">
        <w:t xml:space="preserve"> проведене згідно з методичними рекомендаціями ДЕЦ МОЗ України </w:t>
      </w:r>
      <w:r w:rsidR="00DD22C9" w:rsidRPr="00893FEE">
        <w:rPr>
          <w:noProof/>
        </w:rPr>
        <w:t>[</w:t>
      </w:r>
      <w:r w:rsidR="00DD22C9">
        <w:rPr>
          <w:noProof/>
        </w:rPr>
        <w:t>8, с.292</w:t>
      </w:r>
      <w:r w:rsidR="00DD22C9" w:rsidRPr="00893FEE">
        <w:rPr>
          <w:noProof/>
        </w:rPr>
        <w:t>]</w:t>
      </w:r>
      <w:r w:rsidRPr="008317E6">
        <w:t xml:space="preserve">. Відомо, що ексудативна фаза запалення, яка настає після альтерації тканин, відіграє важливу роль у розвитку всього комплексу тканинних змін при </w:t>
      </w:r>
      <w:r>
        <w:t>опіков</w:t>
      </w:r>
      <w:r w:rsidR="00B00640">
        <w:t>ому</w:t>
      </w:r>
      <w:r>
        <w:t xml:space="preserve"> </w:t>
      </w:r>
      <w:r w:rsidR="00B00640">
        <w:t>пошкодженні</w:t>
      </w:r>
      <w:r>
        <w:t xml:space="preserve"> та хворобі шкіри</w:t>
      </w:r>
      <w:r w:rsidRPr="008317E6">
        <w:t>. Провідним механізмом у розвитку ексудативної реакції є порушення проникності судин мікроциркуляторного русла, яке розвивається</w:t>
      </w:r>
      <w:r>
        <w:t xml:space="preserve"> під дією медіаторів запалення.</w:t>
      </w:r>
      <w:r w:rsidR="00283C49">
        <w:t xml:space="preserve"> Динаміка об’єму набряку стопи</w:t>
      </w:r>
      <w:r w:rsidR="00353678">
        <w:t xml:space="preserve"> представлена на рис. 1</w:t>
      </w:r>
      <w:r w:rsidR="00F85136">
        <w:t>, а вираженість протизапальної дії у відсотках на рис.2.</w:t>
      </w:r>
    </w:p>
    <w:p w:rsidR="00F85136" w:rsidRDefault="00F85136" w:rsidP="007E0A21">
      <w:pPr>
        <w:pStyle w:val="ac"/>
        <w:spacing w:line="360" w:lineRule="auto"/>
        <w:ind w:left="0" w:right="0" w:firstLine="709"/>
      </w:pPr>
    </w:p>
    <w:p w:rsidR="00353678" w:rsidRDefault="00C414F5" w:rsidP="001165A1">
      <w:pPr>
        <w:pStyle w:val="ac"/>
        <w:tabs>
          <w:tab w:val="clear" w:pos="1035"/>
        </w:tabs>
        <w:spacing w:line="360" w:lineRule="auto"/>
        <w:ind w:left="0" w:right="0"/>
      </w:pPr>
      <w:r>
        <w:rPr>
          <w:noProof/>
          <w:lang w:val="ru-RU"/>
        </w:rPr>
        <w:pict>
          <v:shapetype id="_x0000_t202" coordsize="21600,21600" o:spt="202" path="m,l,21600r21600,l21600,xe">
            <v:stroke joinstyle="miter"/>
            <v:path gradientshapeok="t" o:connecttype="rect"/>
          </v:shapetype>
          <v:shape id="_x0000_s1027" type="#_x0000_t202" style="position:absolute;left:0;text-align:left;margin-left:59.2pt;margin-top:5.55pt;width:225.9pt;height:27.3pt;z-index:251658240" stroked="f">
            <v:textbox style="mso-next-textbox:#_x0000_s1027">
              <w:txbxContent>
                <w:p w:rsidR="008325A9" w:rsidRPr="005E3000" w:rsidRDefault="008325A9">
                  <w:pPr>
                    <w:rPr>
                      <w:lang w:val="uk-UA"/>
                    </w:rPr>
                  </w:pPr>
                  <w:r>
                    <w:rPr>
                      <w:lang w:val="uk-UA"/>
                    </w:rPr>
                    <w:t xml:space="preserve">Динаміка набряку стоби, ∆ </w:t>
                  </w:r>
                  <w:r>
                    <w:rPr>
                      <w:lang w:val="en-US"/>
                    </w:rPr>
                    <w:t>V</w:t>
                  </w:r>
                  <w:r w:rsidRPr="005E3000">
                    <w:rPr>
                      <w:lang w:val="ru-RU"/>
                    </w:rPr>
                    <w:t xml:space="preserve"> </w:t>
                  </w:r>
                  <w:r>
                    <w:rPr>
                      <w:lang w:val="uk-UA"/>
                    </w:rPr>
                    <w:t>у.о.</w:t>
                  </w:r>
                </w:p>
              </w:txbxContent>
            </v:textbox>
          </v:shape>
        </w:pict>
      </w:r>
      <w:r w:rsidR="001165A1" w:rsidRPr="001165A1">
        <w:rPr>
          <w:noProof/>
          <w:lang w:val="ru-RU"/>
        </w:rPr>
        <w:drawing>
          <wp:inline distT="0" distB="0" distL="0" distR="0">
            <wp:extent cx="6234605" cy="4235669"/>
            <wp:effectExtent l="19050" t="0" r="13795" b="0"/>
            <wp:docPr id="3"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7"/>
              </a:graphicData>
            </a:graphic>
          </wp:inline>
        </w:drawing>
      </w:r>
    </w:p>
    <w:p w:rsidR="00F85136" w:rsidRDefault="00F85136" w:rsidP="007E0A21">
      <w:pPr>
        <w:pStyle w:val="ac"/>
        <w:spacing w:line="360" w:lineRule="auto"/>
        <w:ind w:left="0" w:right="0" w:firstLine="709"/>
      </w:pPr>
    </w:p>
    <w:p w:rsidR="00353678" w:rsidRPr="006D74C7" w:rsidRDefault="002E4FA4" w:rsidP="00D82649">
      <w:pPr>
        <w:pStyle w:val="ac"/>
        <w:spacing w:line="360" w:lineRule="auto"/>
        <w:ind w:left="709" w:right="0"/>
        <w:jc w:val="center"/>
        <w:rPr>
          <w:b/>
        </w:rPr>
      </w:pPr>
      <w:r w:rsidRPr="006D74C7">
        <w:rPr>
          <w:b/>
        </w:rPr>
        <w:t>Рис.1</w:t>
      </w:r>
      <w:r w:rsidR="006D74C7" w:rsidRPr="006D74C7">
        <w:rPr>
          <w:b/>
        </w:rPr>
        <w:t xml:space="preserve">. </w:t>
      </w:r>
      <w:r w:rsidRPr="006D74C7">
        <w:rPr>
          <w:b/>
        </w:rPr>
        <w:t xml:space="preserve"> Вплив ГЕКМ в дозах від 5 до 50 мг/кг та диклофенаку натрію </w:t>
      </w:r>
      <w:r w:rsidR="00266E2B" w:rsidRPr="006D74C7">
        <w:rPr>
          <w:b/>
        </w:rPr>
        <w:t>в дозі 8 мг/кг на перебіг карагенінового набряку лапи у щурів</w:t>
      </w:r>
      <w:r w:rsidR="006B6BFF" w:rsidRPr="006D74C7">
        <w:rPr>
          <w:b/>
        </w:rPr>
        <w:t>.</w:t>
      </w:r>
    </w:p>
    <w:p w:rsidR="006B6BFF" w:rsidRDefault="006B6BFF" w:rsidP="007E0A21">
      <w:pPr>
        <w:pStyle w:val="ac"/>
        <w:spacing w:line="360" w:lineRule="auto"/>
        <w:ind w:left="0" w:right="0" w:firstLine="709"/>
      </w:pPr>
    </w:p>
    <w:p w:rsidR="00F85136" w:rsidRDefault="00F85136" w:rsidP="00F85136">
      <w:pPr>
        <w:pStyle w:val="ac"/>
        <w:spacing w:line="360" w:lineRule="auto"/>
        <w:ind w:left="0" w:right="0"/>
      </w:pPr>
      <w:r w:rsidRPr="00F85136">
        <w:rPr>
          <w:noProof/>
          <w:lang w:val="ru-RU"/>
        </w:rPr>
        <w:lastRenderedPageBreak/>
        <w:drawing>
          <wp:inline distT="0" distB="0" distL="0" distR="0">
            <wp:extent cx="6120130" cy="3257458"/>
            <wp:effectExtent l="19050" t="0" r="13970" b="92"/>
            <wp:docPr id="5" name="Диаграм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rsidR="00F85136" w:rsidRPr="00D82649" w:rsidRDefault="00F85136" w:rsidP="00D82649">
      <w:pPr>
        <w:pStyle w:val="ac"/>
        <w:tabs>
          <w:tab w:val="clear" w:pos="1035"/>
        </w:tabs>
        <w:spacing w:line="360" w:lineRule="auto"/>
        <w:ind w:left="851" w:right="0" w:hanging="142"/>
        <w:jc w:val="center"/>
        <w:rPr>
          <w:b/>
        </w:rPr>
      </w:pPr>
      <w:r w:rsidRPr="00D82649">
        <w:rPr>
          <w:b/>
        </w:rPr>
        <w:t xml:space="preserve">Рис.2. Протизапальна активність ГЕКМ в дозах від 5 до 50 мг/кг та диклофенаку натрію в дозі 8 мг/кг </w:t>
      </w:r>
      <w:r w:rsidR="00D449E8" w:rsidRPr="00D82649">
        <w:rPr>
          <w:b/>
        </w:rPr>
        <w:t>в умовах гострого</w:t>
      </w:r>
      <w:r w:rsidRPr="00D82649">
        <w:rPr>
          <w:b/>
        </w:rPr>
        <w:t xml:space="preserve"> карагенінового набряку лапи у щурів.</w:t>
      </w:r>
    </w:p>
    <w:p w:rsidR="00F85136" w:rsidRDefault="00F85136" w:rsidP="007E0A21">
      <w:pPr>
        <w:pStyle w:val="ac"/>
        <w:spacing w:line="360" w:lineRule="auto"/>
        <w:ind w:left="0" w:right="0" w:firstLine="709"/>
      </w:pPr>
    </w:p>
    <w:p w:rsidR="00A5584D" w:rsidRPr="00A5584D" w:rsidRDefault="00266E2B" w:rsidP="00A5584D">
      <w:pPr>
        <w:pStyle w:val="ac"/>
        <w:spacing w:line="360" w:lineRule="auto"/>
        <w:ind w:left="0" w:right="0" w:firstLine="709"/>
      </w:pPr>
      <w:r>
        <w:t>Представлені</w:t>
      </w:r>
      <w:r w:rsidR="00933EF8">
        <w:t xml:space="preserve"> на рис.1</w:t>
      </w:r>
      <w:r>
        <w:t xml:space="preserve"> результати </w:t>
      </w:r>
      <w:r w:rsidR="00A97798">
        <w:t>свідчать про те, що найкращу ефективніст</w:t>
      </w:r>
      <w:r w:rsidR="00CB44F9">
        <w:t>ь ГЕКМ проявляє в дозі 30 мг/кг</w:t>
      </w:r>
      <w:r w:rsidR="00076751">
        <w:t xml:space="preserve"> – середня за 5 годин протизапальна дія становить </w:t>
      </w:r>
      <w:r w:rsidR="00076751" w:rsidRPr="00076751">
        <w:t>58,44%</w:t>
      </w:r>
      <w:r w:rsidR="0092648C">
        <w:t xml:space="preserve">, за динамікою </w:t>
      </w:r>
      <w:r w:rsidR="00F543E8">
        <w:t xml:space="preserve">впливу на </w:t>
      </w:r>
      <w:r w:rsidR="0092648C">
        <w:t xml:space="preserve">перебіг запальної </w:t>
      </w:r>
      <w:r w:rsidR="00E908B6">
        <w:t>реакції</w:t>
      </w:r>
      <w:r w:rsidR="0092648C">
        <w:t xml:space="preserve"> наближаючись до референтного диклофенаку натрію</w:t>
      </w:r>
      <w:r w:rsidR="000A1A21">
        <w:t xml:space="preserve">, середня за 5 годин протизапальна дія якого складає  </w:t>
      </w:r>
      <w:r w:rsidR="000A1A21" w:rsidRPr="00076751">
        <w:t>63,96</w:t>
      </w:r>
      <w:r w:rsidR="000A1A21">
        <w:t>%</w:t>
      </w:r>
      <w:r w:rsidR="0092648C">
        <w:t xml:space="preserve">. </w:t>
      </w:r>
      <w:r w:rsidR="00BB2900">
        <w:t>Так, як демострує рис.2</w:t>
      </w:r>
      <w:r w:rsidR="004512A0">
        <w:t>,</w:t>
      </w:r>
      <w:r w:rsidR="00BB2900">
        <w:t xml:space="preserve"> вираженість протизапальної </w:t>
      </w:r>
      <w:r w:rsidR="00F543E8">
        <w:t>ді</w:t>
      </w:r>
      <w:r w:rsidR="00BB2900">
        <w:t>ї</w:t>
      </w:r>
      <w:r w:rsidR="004512A0">
        <w:t xml:space="preserve"> ГЕКМ в дозі 30 мг/кг </w:t>
      </w:r>
      <w:r w:rsidR="00067524">
        <w:t>через 1,2,3,4</w:t>
      </w:r>
      <w:r w:rsidR="00E470DD">
        <w:t xml:space="preserve"> та 5 годин після маніфестації запалення складає 62,5%, 48,6%,</w:t>
      </w:r>
      <w:r w:rsidR="001223AC">
        <w:t xml:space="preserve"> 55,4%, 52,2% та 73,5% відповідно.</w:t>
      </w:r>
      <w:r w:rsidR="00602221">
        <w:t xml:space="preserve"> Зважаючи на </w:t>
      </w:r>
      <w:r w:rsidR="0018003F">
        <w:t xml:space="preserve">наведену динаміку протизапальної дії ГЕКМ та </w:t>
      </w:r>
      <w:r w:rsidR="00602221">
        <w:t>те</w:t>
      </w:r>
      <w:r w:rsidR="00602221" w:rsidRPr="008317E6">
        <w:t xml:space="preserve">, </w:t>
      </w:r>
      <w:r w:rsidR="00602221">
        <w:t xml:space="preserve">що </w:t>
      </w:r>
      <w:r w:rsidR="00602221" w:rsidRPr="008317E6">
        <w:t xml:space="preserve">за даними Di Rosa зі співавторами </w:t>
      </w:r>
      <w:r w:rsidR="00080BC4" w:rsidRPr="00893FEE">
        <w:rPr>
          <w:noProof/>
        </w:rPr>
        <w:t>[</w:t>
      </w:r>
      <w:r w:rsidR="00080BC4">
        <w:rPr>
          <w:noProof/>
        </w:rPr>
        <w:t>8, с.292</w:t>
      </w:r>
      <w:r w:rsidR="00080BC4" w:rsidRPr="00893FEE">
        <w:rPr>
          <w:noProof/>
        </w:rPr>
        <w:t>]</w:t>
      </w:r>
      <w:r w:rsidR="00602221" w:rsidRPr="008317E6">
        <w:t>, у перші 30-90 хвилин патогенезу розвитку карагенінового набряку беруть участь гістамін та серотонін, в інтервалі між 1,5-2,5 годинами – кініни, а між 2,</w:t>
      </w:r>
      <w:r w:rsidR="0018003F">
        <w:t>5-5,5 годинами – простагландини, можна зробити висновок</w:t>
      </w:r>
      <w:r w:rsidR="0041011D">
        <w:t xml:space="preserve">, що </w:t>
      </w:r>
      <w:r w:rsidR="001523C3">
        <w:t xml:space="preserve">протизапальна дія </w:t>
      </w:r>
      <w:r w:rsidR="0041011D">
        <w:t xml:space="preserve">ГЕКМ в дозі 30 мг/кг </w:t>
      </w:r>
      <w:r w:rsidR="001523C3">
        <w:t xml:space="preserve">опосередковується через пригнічення медіаторів </w:t>
      </w:r>
      <w:r w:rsidR="006214F5">
        <w:t xml:space="preserve">запалення гістаміну, серотоніну, кінінів та протстагландинів. </w:t>
      </w:r>
      <w:r w:rsidR="00C50BE0">
        <w:t xml:space="preserve">Ми вважаємо, що цей </w:t>
      </w:r>
      <w:r w:rsidR="00A21B95">
        <w:t xml:space="preserve">механізм </w:t>
      </w:r>
      <w:r w:rsidR="009D08F6">
        <w:t xml:space="preserve">здатності ГЕКМ </w:t>
      </w:r>
      <w:r w:rsidR="00870C00">
        <w:t>пригніч</w:t>
      </w:r>
      <w:r w:rsidR="009D08F6">
        <w:t>увати</w:t>
      </w:r>
      <w:r w:rsidR="00870C00">
        <w:t xml:space="preserve"> запалення </w:t>
      </w:r>
      <w:r w:rsidR="00C50BE0">
        <w:t>обумовлений високим вмістом β-</w:t>
      </w:r>
      <w:r w:rsidR="00C50BE0">
        <w:lastRenderedPageBreak/>
        <w:t xml:space="preserve">каротину, який будучи потужним антиоксидантом </w:t>
      </w:r>
      <w:r w:rsidR="00AB7C71">
        <w:t xml:space="preserve">стабілізує мембрани клітин і може </w:t>
      </w:r>
      <w:r w:rsidR="00AB7C71" w:rsidRPr="00AB7C71">
        <w:t>перешкоджати</w:t>
      </w:r>
      <w:r w:rsidR="00AB7C71">
        <w:t xml:space="preserve"> вивільненню </w:t>
      </w:r>
      <w:r w:rsidR="00060875">
        <w:t>вищеназваних медіаторів запалення та розвитку запального процесу</w:t>
      </w:r>
      <w:r w:rsidR="00796B5A">
        <w:t>, в тому числі і внаслідок опіково</w:t>
      </w:r>
      <w:r w:rsidR="00353AC6">
        <w:t>го</w:t>
      </w:r>
      <w:r w:rsidR="00796B5A">
        <w:t xml:space="preserve"> </w:t>
      </w:r>
      <w:r w:rsidR="00353AC6">
        <w:t xml:space="preserve">пошкодження </w:t>
      </w:r>
      <w:r w:rsidR="00796B5A">
        <w:t>шкіри</w:t>
      </w:r>
      <w:r w:rsidR="006C109F">
        <w:t xml:space="preserve"> </w:t>
      </w:r>
      <w:r w:rsidR="00DB1E99" w:rsidRPr="002B36F3">
        <w:t>[</w:t>
      </w:r>
      <w:r w:rsidR="006C109F">
        <w:t>3, с.244</w:t>
      </w:r>
      <w:r w:rsidR="006C109F" w:rsidRPr="006903B4">
        <w:t>]</w:t>
      </w:r>
      <w:r w:rsidR="00796B5A">
        <w:t>.</w:t>
      </w:r>
    </w:p>
    <w:p w:rsidR="00A5584D" w:rsidRPr="00DB1E99" w:rsidRDefault="000764CD" w:rsidP="004362A8">
      <w:pPr>
        <w:pStyle w:val="ac"/>
        <w:spacing w:line="360" w:lineRule="auto"/>
        <w:ind w:left="0" w:right="0" w:firstLine="709"/>
        <w:rPr>
          <w:lang w:val="ru-RU"/>
        </w:rPr>
      </w:pPr>
      <w:r>
        <w:t>Отже,</w:t>
      </w:r>
      <w:r w:rsidRPr="000764CD">
        <w:t xml:space="preserve"> </w:t>
      </w:r>
      <w:r w:rsidRPr="00E0330A">
        <w:t>в процесі</w:t>
      </w:r>
      <w:r w:rsidR="00A5584D" w:rsidRPr="00E0330A">
        <w:t xml:space="preserve"> вивчення гострої токсичності ГЕКМ  доведено відсутність токсичної дії при одноразовому внутрішньошлунковому введенні щурам ГЕКМ в дозі 5000 мг/кг, що свідчить про те</w:t>
      </w:r>
      <w:r w:rsidRPr="000764CD">
        <w:t>,</w:t>
      </w:r>
      <w:r w:rsidR="00A5584D" w:rsidRPr="00E0330A">
        <w:t xml:space="preserve"> що ЛД</w:t>
      </w:r>
      <w:r w:rsidR="00A5584D" w:rsidRPr="00E0330A">
        <w:rPr>
          <w:vertAlign w:val="subscript"/>
        </w:rPr>
        <w:t>50</w:t>
      </w:r>
      <w:r w:rsidR="00A5584D" w:rsidRPr="00E0330A">
        <w:t xml:space="preserve"> ц</w:t>
      </w:r>
      <w:r w:rsidRPr="000764CD">
        <w:t>ьго</w:t>
      </w:r>
      <w:r w:rsidR="00A5584D" w:rsidRPr="00E0330A">
        <w:t xml:space="preserve"> нов</w:t>
      </w:r>
      <w:r w:rsidRPr="000764CD">
        <w:t>ого</w:t>
      </w:r>
      <w:r w:rsidR="00A5584D" w:rsidRPr="00E0330A">
        <w:t xml:space="preserve"> рослинн</w:t>
      </w:r>
      <w:r w:rsidRPr="000764CD">
        <w:t>ого</w:t>
      </w:r>
      <w:r w:rsidR="00A5584D" w:rsidRPr="00E0330A">
        <w:t xml:space="preserve"> препарат</w:t>
      </w:r>
      <w:r w:rsidRPr="000764CD">
        <w:t>у</w:t>
      </w:r>
      <w:r w:rsidR="00A5584D" w:rsidRPr="00E0330A">
        <w:t xml:space="preserve"> знаходиться за межами 5000 мг/кг. Згідно з токсикологічною класифікацією речовин К.К.</w:t>
      </w:r>
      <w:r w:rsidR="00353AC6">
        <w:t xml:space="preserve"> </w:t>
      </w:r>
      <w:r w:rsidR="00A5584D" w:rsidRPr="00E0330A">
        <w:t xml:space="preserve">Сидорова  ГЕКМ  при одноразововму внутрішньошлунковому введенні належать до V класу токсичності – практично нешкідливих речовин. </w:t>
      </w:r>
      <w:r w:rsidR="00A5584D" w:rsidRPr="00B63A23">
        <w:t>Результати дослідження впливу ГЕКМ  на перебіг експериментального ексудативного запалення лапи у щурів, викликаного карагеніном, свідчать про значущу</w:t>
      </w:r>
      <w:r w:rsidR="00A5584D">
        <w:t>,</w:t>
      </w:r>
      <w:r w:rsidR="00A5584D" w:rsidRPr="00B63A23">
        <w:t xml:space="preserve"> </w:t>
      </w:r>
      <w:r w:rsidR="00A5584D">
        <w:t xml:space="preserve">майже на рівні препарату порівняння диклофенаку натрію, </w:t>
      </w:r>
      <w:r w:rsidR="00A5584D" w:rsidRPr="00B63A23">
        <w:t>здатність нов</w:t>
      </w:r>
      <w:r w:rsidR="004362A8">
        <w:rPr>
          <w:lang w:val="ru-RU"/>
        </w:rPr>
        <w:t>ого</w:t>
      </w:r>
      <w:r w:rsidR="00A5584D" w:rsidRPr="00B63A23">
        <w:t xml:space="preserve"> рослинн</w:t>
      </w:r>
      <w:r w:rsidR="004362A8">
        <w:rPr>
          <w:lang w:val="ru-RU"/>
        </w:rPr>
        <w:t>ого</w:t>
      </w:r>
      <w:r w:rsidR="00A5584D" w:rsidRPr="00B63A23">
        <w:t xml:space="preserve"> препарат</w:t>
      </w:r>
      <w:r w:rsidR="004362A8">
        <w:rPr>
          <w:lang w:val="ru-RU"/>
        </w:rPr>
        <w:t>у</w:t>
      </w:r>
      <w:r w:rsidR="00A5584D" w:rsidRPr="00B63A23">
        <w:t xml:space="preserve"> пригнічувати ексудативні процеси в умовах експериментально</w:t>
      </w:r>
      <w:r w:rsidR="00A5584D">
        <w:t>го</w:t>
      </w:r>
      <w:r w:rsidR="00A5584D" w:rsidRPr="00B63A23">
        <w:t xml:space="preserve"> запал</w:t>
      </w:r>
      <w:r w:rsidR="00A5584D">
        <w:t xml:space="preserve">ення. </w:t>
      </w:r>
    </w:p>
    <w:p w:rsidR="000E334B" w:rsidRPr="000E334B" w:rsidRDefault="006C109F" w:rsidP="006C109F">
      <w:pPr>
        <w:spacing w:line="360" w:lineRule="auto"/>
        <w:ind w:firstLine="387"/>
        <w:jc w:val="both"/>
        <w:rPr>
          <w:sz w:val="28"/>
          <w:lang w:val="uk-UA"/>
        </w:rPr>
      </w:pPr>
      <w:r w:rsidRPr="00084DAF">
        <w:rPr>
          <w:sz w:val="28"/>
          <w:lang w:val="uk-UA"/>
        </w:rPr>
        <w:t>Таким чином, отримані</w:t>
      </w:r>
      <w:r>
        <w:rPr>
          <w:sz w:val="28"/>
          <w:lang w:val="uk-UA"/>
        </w:rPr>
        <w:t xml:space="preserve"> </w:t>
      </w:r>
      <w:r w:rsidRPr="00084DAF">
        <w:rPr>
          <w:sz w:val="28"/>
          <w:lang w:val="uk-UA"/>
        </w:rPr>
        <w:t>дані</w:t>
      </w:r>
      <w:r>
        <w:rPr>
          <w:sz w:val="28"/>
          <w:lang w:val="uk-UA"/>
        </w:rPr>
        <w:t xml:space="preserve"> </w:t>
      </w:r>
      <w:r w:rsidRPr="00084DAF">
        <w:rPr>
          <w:sz w:val="28"/>
          <w:lang w:val="uk-UA"/>
        </w:rPr>
        <w:t>свідчать про</w:t>
      </w:r>
      <w:r w:rsidR="000E334B">
        <w:rPr>
          <w:sz w:val="28"/>
          <w:lang w:val="uk-UA"/>
        </w:rPr>
        <w:t xml:space="preserve"> високий ступінь </w:t>
      </w:r>
      <w:r w:rsidRPr="00084DAF">
        <w:rPr>
          <w:sz w:val="28"/>
          <w:lang w:val="uk-UA"/>
        </w:rPr>
        <w:t xml:space="preserve"> </w:t>
      </w:r>
      <w:r w:rsidR="000E334B">
        <w:rPr>
          <w:sz w:val="28"/>
          <w:lang w:val="uk-UA"/>
        </w:rPr>
        <w:t>безпечності  ГЕКМ</w:t>
      </w:r>
      <w:r w:rsidR="00AB1990">
        <w:rPr>
          <w:sz w:val="28"/>
          <w:lang w:val="uk-UA"/>
        </w:rPr>
        <w:t xml:space="preserve">, та наявності в складі репаративної дії ГЕКМ значущого протизапального ефекту, що робить його перспективним для подальшого вивчення з метою створення нового лікарського засобу для лікування захворювань шкіри. </w:t>
      </w:r>
    </w:p>
    <w:p w:rsidR="00E43643" w:rsidRPr="0092406A" w:rsidRDefault="00E43643" w:rsidP="00F83991">
      <w:pPr>
        <w:spacing w:line="360" w:lineRule="auto"/>
        <w:ind w:firstLine="387"/>
        <w:jc w:val="both"/>
        <w:rPr>
          <w:sz w:val="28"/>
          <w:lang w:val="uk-UA"/>
        </w:rPr>
      </w:pPr>
    </w:p>
    <w:p w:rsidR="001B7AF9" w:rsidRPr="00797058" w:rsidRDefault="001B7AF9" w:rsidP="00F83991">
      <w:pPr>
        <w:spacing w:line="360" w:lineRule="auto"/>
        <w:ind w:firstLine="387"/>
        <w:jc w:val="center"/>
        <w:rPr>
          <w:b/>
          <w:noProof/>
          <w:sz w:val="28"/>
          <w:szCs w:val="28"/>
          <w:lang w:val="ru-RU"/>
        </w:rPr>
      </w:pPr>
      <w:r w:rsidRPr="00797058">
        <w:rPr>
          <w:b/>
          <w:noProof/>
          <w:sz w:val="28"/>
          <w:szCs w:val="28"/>
          <w:lang w:val="ru-RU"/>
        </w:rPr>
        <w:t>Список л</w:t>
      </w:r>
      <w:r w:rsidR="00071E79">
        <w:rPr>
          <w:b/>
          <w:noProof/>
          <w:sz w:val="28"/>
          <w:szCs w:val="28"/>
          <w:lang w:val="ru-RU"/>
        </w:rPr>
        <w:t>і</w:t>
      </w:r>
      <w:r w:rsidRPr="00797058">
        <w:rPr>
          <w:b/>
          <w:noProof/>
          <w:sz w:val="28"/>
          <w:szCs w:val="28"/>
          <w:lang w:val="ru-RU"/>
        </w:rPr>
        <w:t>тератур</w:t>
      </w:r>
      <w:r w:rsidR="00071E79">
        <w:rPr>
          <w:b/>
          <w:noProof/>
          <w:sz w:val="28"/>
          <w:szCs w:val="28"/>
          <w:lang w:val="ru-RU"/>
        </w:rPr>
        <w:t>и</w:t>
      </w:r>
    </w:p>
    <w:p w:rsidR="00C049C8" w:rsidRPr="008E3F2C" w:rsidRDefault="00C049C8" w:rsidP="00C049C8">
      <w:pPr>
        <w:numPr>
          <w:ilvl w:val="0"/>
          <w:numId w:val="1"/>
        </w:numPr>
        <w:autoSpaceDE w:val="0"/>
        <w:autoSpaceDN w:val="0"/>
        <w:adjustRightInd w:val="0"/>
        <w:spacing w:line="360" w:lineRule="auto"/>
        <w:ind w:left="426"/>
        <w:jc w:val="both"/>
        <w:rPr>
          <w:sz w:val="28"/>
          <w:szCs w:val="28"/>
          <w:lang w:val="ru-RU"/>
        </w:rPr>
      </w:pPr>
      <w:r w:rsidRPr="008E3F2C">
        <w:rPr>
          <w:sz w:val="28"/>
          <w:szCs w:val="28"/>
          <w:lang w:val="ru-RU"/>
        </w:rPr>
        <w:t>Пазюк Д. М. В., Вельма В. В., Кисличенко В. С. Дослідження</w:t>
      </w:r>
      <w:r w:rsidR="00E42EB4">
        <w:rPr>
          <w:sz w:val="28"/>
          <w:szCs w:val="28"/>
          <w:lang w:val="ru-RU"/>
        </w:rPr>
        <w:t xml:space="preserve"> </w:t>
      </w:r>
      <w:r w:rsidRPr="008E3F2C">
        <w:rPr>
          <w:sz w:val="28"/>
          <w:szCs w:val="28"/>
          <w:lang w:val="ru-RU"/>
        </w:rPr>
        <w:t>гідроксикоричних кислот в коренеплодах</w:t>
      </w:r>
      <w:r w:rsidR="00E42EB4">
        <w:rPr>
          <w:sz w:val="28"/>
          <w:szCs w:val="28"/>
          <w:lang w:val="ru-RU"/>
        </w:rPr>
        <w:t xml:space="preserve"> </w:t>
      </w:r>
      <w:r w:rsidRPr="008E3F2C">
        <w:rPr>
          <w:sz w:val="28"/>
          <w:szCs w:val="28"/>
          <w:lang w:val="ru-RU"/>
        </w:rPr>
        <w:t>моркви</w:t>
      </w:r>
      <w:r w:rsidR="00E42EB4">
        <w:rPr>
          <w:sz w:val="28"/>
          <w:szCs w:val="28"/>
          <w:lang w:val="ru-RU"/>
        </w:rPr>
        <w:t xml:space="preserve"> </w:t>
      </w:r>
      <w:r w:rsidRPr="008E3F2C">
        <w:rPr>
          <w:sz w:val="28"/>
          <w:szCs w:val="28"/>
          <w:lang w:val="ru-RU"/>
        </w:rPr>
        <w:t>посівної</w:t>
      </w:r>
      <w:r w:rsidRPr="008E3F2C">
        <w:rPr>
          <w:sz w:val="28"/>
          <w:szCs w:val="28"/>
          <w:lang w:val="uk-UA"/>
        </w:rPr>
        <w:t>.</w:t>
      </w:r>
      <w:r w:rsidR="00E42EB4">
        <w:rPr>
          <w:sz w:val="28"/>
          <w:szCs w:val="28"/>
          <w:lang w:val="uk-UA"/>
        </w:rPr>
        <w:t xml:space="preserve"> </w:t>
      </w:r>
      <w:r w:rsidRPr="008E3F2C">
        <w:rPr>
          <w:sz w:val="28"/>
          <w:szCs w:val="28"/>
          <w:lang w:val="ru-RU"/>
        </w:rPr>
        <w:t>Збірник</w:t>
      </w:r>
      <w:r w:rsidR="00E42EB4">
        <w:rPr>
          <w:sz w:val="28"/>
          <w:szCs w:val="28"/>
          <w:lang w:val="ru-RU"/>
        </w:rPr>
        <w:t xml:space="preserve"> </w:t>
      </w:r>
      <w:r w:rsidRPr="008E3F2C">
        <w:rPr>
          <w:sz w:val="28"/>
          <w:szCs w:val="28"/>
          <w:lang w:val="ru-RU"/>
        </w:rPr>
        <w:t>наукових</w:t>
      </w:r>
      <w:r w:rsidR="00E42EB4">
        <w:rPr>
          <w:sz w:val="28"/>
          <w:szCs w:val="28"/>
          <w:lang w:val="ru-RU"/>
        </w:rPr>
        <w:t xml:space="preserve"> </w:t>
      </w:r>
      <w:r w:rsidRPr="008E3F2C">
        <w:rPr>
          <w:sz w:val="28"/>
          <w:szCs w:val="28"/>
          <w:lang w:val="ru-RU"/>
        </w:rPr>
        <w:t>праць</w:t>
      </w:r>
      <w:r w:rsidR="00E42EB4">
        <w:rPr>
          <w:sz w:val="28"/>
          <w:szCs w:val="28"/>
          <w:lang w:val="ru-RU"/>
        </w:rPr>
        <w:t xml:space="preserve"> </w:t>
      </w:r>
      <w:r w:rsidRPr="008E3F2C">
        <w:rPr>
          <w:sz w:val="28"/>
          <w:szCs w:val="28"/>
          <w:lang w:val="ru-RU"/>
        </w:rPr>
        <w:t>співробітників НМАПО ім. ПЛ Шупика. 2015. №. 24 (5). С. 172-176.</w:t>
      </w:r>
    </w:p>
    <w:p w:rsidR="00240C13" w:rsidRDefault="000D2864" w:rsidP="00240C13">
      <w:pPr>
        <w:numPr>
          <w:ilvl w:val="0"/>
          <w:numId w:val="1"/>
        </w:numPr>
        <w:autoSpaceDE w:val="0"/>
        <w:autoSpaceDN w:val="0"/>
        <w:adjustRightInd w:val="0"/>
        <w:spacing w:line="360" w:lineRule="auto"/>
        <w:ind w:left="426"/>
        <w:jc w:val="both"/>
        <w:rPr>
          <w:sz w:val="28"/>
          <w:szCs w:val="28"/>
          <w:lang w:val="ru-RU"/>
        </w:rPr>
      </w:pPr>
      <w:r w:rsidRPr="008E3F2C">
        <w:rPr>
          <w:sz w:val="28"/>
          <w:szCs w:val="28"/>
          <w:lang w:val="en-US"/>
        </w:rPr>
        <w:t>Iermolenko T. I., Chorna N. S., Shapoval O. M. Theoretical justification of the search for potential medicinal products containing food plant biologically active substances. Clinical pharmacy. 2019. Vol 23, No 2. P.30-38.</w:t>
      </w:r>
    </w:p>
    <w:p w:rsidR="00240C13" w:rsidRPr="00240C13" w:rsidRDefault="00240C13" w:rsidP="00240C13">
      <w:pPr>
        <w:numPr>
          <w:ilvl w:val="0"/>
          <w:numId w:val="1"/>
        </w:numPr>
        <w:autoSpaceDE w:val="0"/>
        <w:autoSpaceDN w:val="0"/>
        <w:adjustRightInd w:val="0"/>
        <w:spacing w:line="360" w:lineRule="auto"/>
        <w:ind w:left="426"/>
        <w:jc w:val="both"/>
        <w:rPr>
          <w:sz w:val="28"/>
          <w:szCs w:val="28"/>
          <w:lang w:val="en-US"/>
        </w:rPr>
      </w:pPr>
      <w:r w:rsidRPr="00160187">
        <w:rPr>
          <w:sz w:val="28"/>
          <w:szCs w:val="28"/>
          <w:lang w:val="ru-RU"/>
        </w:rPr>
        <w:lastRenderedPageBreak/>
        <w:t>Єрмоленко Т. І., Шаповал О. М.., Чорна Н. С. Можливості</w:t>
      </w:r>
      <w:r w:rsidR="00E42EB4">
        <w:rPr>
          <w:sz w:val="28"/>
          <w:szCs w:val="28"/>
          <w:lang w:val="ru-RU"/>
        </w:rPr>
        <w:t xml:space="preserve"> </w:t>
      </w:r>
      <w:r w:rsidRPr="00160187">
        <w:rPr>
          <w:sz w:val="28"/>
          <w:szCs w:val="28"/>
          <w:lang w:val="ru-RU"/>
        </w:rPr>
        <w:t>застосування</w:t>
      </w:r>
      <w:r w:rsidR="00E42EB4">
        <w:rPr>
          <w:sz w:val="28"/>
          <w:szCs w:val="28"/>
          <w:lang w:val="ru-RU"/>
        </w:rPr>
        <w:t xml:space="preserve"> </w:t>
      </w:r>
      <w:r w:rsidRPr="00160187">
        <w:rPr>
          <w:sz w:val="28"/>
          <w:szCs w:val="28"/>
          <w:lang w:val="ru-RU"/>
        </w:rPr>
        <w:t>густого</w:t>
      </w:r>
      <w:r w:rsidR="00E42EB4">
        <w:rPr>
          <w:sz w:val="28"/>
          <w:szCs w:val="28"/>
          <w:lang w:val="ru-RU"/>
        </w:rPr>
        <w:t xml:space="preserve"> </w:t>
      </w:r>
      <w:r w:rsidRPr="00160187">
        <w:rPr>
          <w:sz w:val="28"/>
          <w:szCs w:val="28"/>
          <w:lang w:val="ru-RU"/>
        </w:rPr>
        <w:t>екстракту з корнеплодів</w:t>
      </w:r>
      <w:r w:rsidR="00E42EB4">
        <w:rPr>
          <w:sz w:val="28"/>
          <w:szCs w:val="28"/>
          <w:lang w:val="ru-RU"/>
        </w:rPr>
        <w:t xml:space="preserve"> </w:t>
      </w:r>
      <w:r w:rsidRPr="00160187">
        <w:rPr>
          <w:sz w:val="28"/>
          <w:szCs w:val="28"/>
          <w:lang w:val="ru-RU"/>
        </w:rPr>
        <w:t>моркви в лікуванні</w:t>
      </w:r>
      <w:r w:rsidR="00E42EB4">
        <w:rPr>
          <w:sz w:val="28"/>
          <w:szCs w:val="28"/>
          <w:lang w:val="ru-RU"/>
        </w:rPr>
        <w:t xml:space="preserve"> </w:t>
      </w:r>
      <w:r w:rsidRPr="00160187">
        <w:rPr>
          <w:sz w:val="28"/>
          <w:szCs w:val="28"/>
          <w:lang w:val="ru-RU"/>
        </w:rPr>
        <w:t xml:space="preserve">опікових ран шкіри // </w:t>
      </w:r>
      <w:r w:rsidRPr="00240C13">
        <w:rPr>
          <w:sz w:val="28"/>
          <w:szCs w:val="28"/>
          <w:lang w:val="en-US"/>
        </w:rPr>
        <w:t>Topical</w:t>
      </w:r>
      <w:r w:rsidR="00305658">
        <w:rPr>
          <w:sz w:val="28"/>
          <w:szCs w:val="28"/>
          <w:lang w:val="uk-UA"/>
        </w:rPr>
        <w:t xml:space="preserve"> </w:t>
      </w:r>
      <w:r w:rsidRPr="00240C13">
        <w:rPr>
          <w:sz w:val="28"/>
          <w:szCs w:val="28"/>
          <w:lang w:val="en-US"/>
        </w:rPr>
        <w:t>issues</w:t>
      </w:r>
      <w:r w:rsidR="00305658">
        <w:rPr>
          <w:sz w:val="28"/>
          <w:szCs w:val="28"/>
          <w:lang w:val="uk-UA"/>
        </w:rPr>
        <w:t xml:space="preserve"> </w:t>
      </w:r>
      <w:r w:rsidRPr="00240C13">
        <w:rPr>
          <w:sz w:val="28"/>
          <w:szCs w:val="28"/>
          <w:lang w:val="en-US"/>
        </w:rPr>
        <w:t>of</w:t>
      </w:r>
      <w:r w:rsidR="00C96A6E">
        <w:rPr>
          <w:sz w:val="28"/>
          <w:szCs w:val="28"/>
          <w:lang w:val="uk-UA"/>
        </w:rPr>
        <w:t xml:space="preserve"> </w:t>
      </w:r>
      <w:r w:rsidRPr="00240C13">
        <w:rPr>
          <w:sz w:val="28"/>
          <w:szCs w:val="28"/>
          <w:lang w:val="en-US"/>
        </w:rPr>
        <w:t>the</w:t>
      </w:r>
      <w:r w:rsidR="00C96A6E">
        <w:rPr>
          <w:sz w:val="28"/>
          <w:szCs w:val="28"/>
          <w:lang w:val="uk-UA"/>
        </w:rPr>
        <w:t xml:space="preserve"> </w:t>
      </w:r>
      <w:r w:rsidRPr="00240C13">
        <w:rPr>
          <w:sz w:val="28"/>
          <w:szCs w:val="28"/>
          <w:lang w:val="en-US"/>
        </w:rPr>
        <w:t>development</w:t>
      </w:r>
      <w:r w:rsidR="00C96A6E">
        <w:rPr>
          <w:sz w:val="28"/>
          <w:szCs w:val="28"/>
          <w:lang w:val="uk-UA"/>
        </w:rPr>
        <w:t xml:space="preserve"> </w:t>
      </w:r>
      <w:r w:rsidRPr="00240C13">
        <w:rPr>
          <w:sz w:val="28"/>
          <w:szCs w:val="28"/>
          <w:lang w:val="en-US"/>
        </w:rPr>
        <w:t>of</w:t>
      </w:r>
      <w:r w:rsidR="00C96A6E">
        <w:rPr>
          <w:sz w:val="28"/>
          <w:szCs w:val="28"/>
          <w:lang w:val="uk-UA"/>
        </w:rPr>
        <w:t xml:space="preserve"> </w:t>
      </w:r>
      <w:r w:rsidRPr="00240C13">
        <w:rPr>
          <w:sz w:val="28"/>
          <w:szCs w:val="28"/>
          <w:lang w:val="en-US"/>
        </w:rPr>
        <w:t>modern</w:t>
      </w:r>
      <w:r w:rsidR="00C96A6E">
        <w:rPr>
          <w:sz w:val="28"/>
          <w:szCs w:val="28"/>
          <w:lang w:val="uk-UA"/>
        </w:rPr>
        <w:t xml:space="preserve"> </w:t>
      </w:r>
      <w:r w:rsidRPr="00240C13">
        <w:rPr>
          <w:sz w:val="28"/>
          <w:szCs w:val="28"/>
          <w:lang w:val="en-US"/>
        </w:rPr>
        <w:t>science</w:t>
      </w:r>
      <w:r w:rsidRPr="00160187">
        <w:rPr>
          <w:sz w:val="28"/>
          <w:szCs w:val="28"/>
          <w:lang w:val="ru-RU"/>
        </w:rPr>
        <w:t xml:space="preserve">. </w:t>
      </w:r>
      <w:r w:rsidRPr="00240C13">
        <w:rPr>
          <w:sz w:val="28"/>
          <w:szCs w:val="28"/>
          <w:lang w:val="en-US"/>
        </w:rPr>
        <w:t xml:space="preserve">Abstracts of the 1st International scientific and practical conference. Publishing House “ACCENT”. </w:t>
      </w:r>
      <w:r w:rsidR="00C96A6E">
        <w:rPr>
          <w:sz w:val="28"/>
          <w:szCs w:val="28"/>
          <w:lang w:val="en-US"/>
        </w:rPr>
        <w:t>Sofia, Bulgaria. 2019. Pp. 244-</w:t>
      </w:r>
      <w:r w:rsidRPr="00240C13">
        <w:rPr>
          <w:sz w:val="28"/>
          <w:szCs w:val="28"/>
          <w:lang w:val="en-US"/>
        </w:rPr>
        <w:t>248.</w:t>
      </w:r>
    </w:p>
    <w:p w:rsidR="00D02EEB" w:rsidRPr="008D5AB7" w:rsidRDefault="00D02EEB" w:rsidP="00D02EEB">
      <w:pPr>
        <w:numPr>
          <w:ilvl w:val="0"/>
          <w:numId w:val="1"/>
        </w:numPr>
        <w:autoSpaceDE w:val="0"/>
        <w:autoSpaceDN w:val="0"/>
        <w:adjustRightInd w:val="0"/>
        <w:spacing w:line="360" w:lineRule="auto"/>
        <w:ind w:left="426"/>
        <w:jc w:val="both"/>
        <w:rPr>
          <w:sz w:val="28"/>
        </w:rPr>
      </w:pPr>
      <w:r w:rsidRPr="00D02EEB">
        <w:rPr>
          <w:sz w:val="28"/>
          <w:lang w:val="ru-RU"/>
        </w:rPr>
        <w:t>Надлежащая производственная практика лекарственных средств // Под.ред. Н.А.Ляпунова, В.А.Загория, В.П.Георгиевского, Е.П</w:t>
      </w:r>
      <w:r w:rsidR="00ED035A">
        <w:rPr>
          <w:sz w:val="28"/>
          <w:lang w:val="ru-RU"/>
        </w:rPr>
        <w:t>.Безуглой. К.:МОРИОН, 1999.</w:t>
      </w:r>
      <w:r w:rsidRPr="00D02EEB">
        <w:rPr>
          <w:sz w:val="28"/>
          <w:lang w:val="ru-RU"/>
        </w:rPr>
        <w:t xml:space="preserve"> </w:t>
      </w:r>
      <w:r w:rsidRPr="008D5AB7">
        <w:rPr>
          <w:sz w:val="28"/>
        </w:rPr>
        <w:t>С.508-545.</w:t>
      </w:r>
    </w:p>
    <w:p w:rsidR="00240C13" w:rsidRPr="00E22AB7" w:rsidRDefault="00D02EEB" w:rsidP="00C049C8">
      <w:pPr>
        <w:numPr>
          <w:ilvl w:val="0"/>
          <w:numId w:val="1"/>
        </w:numPr>
        <w:autoSpaceDE w:val="0"/>
        <w:autoSpaceDN w:val="0"/>
        <w:adjustRightInd w:val="0"/>
        <w:spacing w:line="360" w:lineRule="auto"/>
        <w:ind w:left="426"/>
        <w:jc w:val="both"/>
        <w:rPr>
          <w:sz w:val="28"/>
          <w:szCs w:val="28"/>
          <w:lang w:val="ru-RU"/>
        </w:rPr>
      </w:pPr>
      <w:r w:rsidRPr="00231BC7">
        <w:rPr>
          <w:sz w:val="28"/>
          <w:lang w:val="en-US"/>
        </w:rPr>
        <w:t>Commission of the European Communities: Council Directive of 18 December 1986 on the Lows, regulating the Application of Principles of Good Laboratory Practice and the Verification of Their Applications for Tests on Chemical Substences (87/18/EEC). The Rules Governing Medicinal Pro</w:t>
      </w:r>
      <w:r w:rsidR="00ED035A">
        <w:rPr>
          <w:sz w:val="28"/>
          <w:lang w:val="en-US"/>
        </w:rPr>
        <w:t>ducts in the European Community</w:t>
      </w:r>
      <w:r w:rsidR="00ED035A">
        <w:rPr>
          <w:sz w:val="28"/>
          <w:lang w:val="uk-UA"/>
        </w:rPr>
        <w:t>.</w:t>
      </w:r>
      <w:r w:rsidRPr="00231BC7">
        <w:rPr>
          <w:sz w:val="28"/>
          <w:lang w:val="en-US"/>
        </w:rPr>
        <w:t xml:space="preserve">  1991. V. 1. </w:t>
      </w:r>
      <w:r w:rsidRPr="00065631">
        <w:rPr>
          <w:sz w:val="28"/>
          <w:lang w:val="en-US"/>
        </w:rPr>
        <w:t>P. 145-146.</w:t>
      </w:r>
    </w:p>
    <w:p w:rsidR="00E22AB7" w:rsidRPr="008D5AB7" w:rsidRDefault="00E22AB7" w:rsidP="00E22AB7">
      <w:pPr>
        <w:numPr>
          <w:ilvl w:val="0"/>
          <w:numId w:val="1"/>
        </w:numPr>
        <w:autoSpaceDE w:val="0"/>
        <w:autoSpaceDN w:val="0"/>
        <w:adjustRightInd w:val="0"/>
        <w:spacing w:line="360" w:lineRule="auto"/>
        <w:ind w:left="426"/>
        <w:jc w:val="both"/>
        <w:rPr>
          <w:sz w:val="28"/>
        </w:rPr>
      </w:pPr>
      <w:r w:rsidRPr="00E22AB7">
        <w:rPr>
          <w:sz w:val="28"/>
          <w:lang w:val="ru-RU"/>
        </w:rPr>
        <w:t>Основные методы статистической обработки результатов фармакологи</w:t>
      </w:r>
      <w:r w:rsidRPr="00E22AB7">
        <w:rPr>
          <w:sz w:val="28"/>
          <w:lang w:val="ru-RU"/>
        </w:rPr>
        <w:softHyphen/>
        <w:t>чес</w:t>
      </w:r>
      <w:r w:rsidRPr="00E22AB7">
        <w:rPr>
          <w:sz w:val="28"/>
          <w:lang w:val="ru-RU"/>
        </w:rPr>
        <w:softHyphen/>
        <w:t>ких экспериментов/В кн.: Руководство по экспериментальному (докли</w:t>
      </w:r>
      <w:r w:rsidRPr="00E22AB7">
        <w:rPr>
          <w:sz w:val="28"/>
          <w:lang w:val="ru-RU"/>
        </w:rPr>
        <w:softHyphen/>
        <w:t>ни</w:t>
      </w:r>
      <w:r w:rsidRPr="00E22AB7">
        <w:rPr>
          <w:sz w:val="28"/>
          <w:lang w:val="ru-RU"/>
        </w:rPr>
        <w:softHyphen/>
        <w:t>чес</w:t>
      </w:r>
      <w:r w:rsidRPr="00E22AB7">
        <w:rPr>
          <w:sz w:val="28"/>
          <w:lang w:val="ru-RU"/>
        </w:rPr>
        <w:softHyphen/>
        <w:t xml:space="preserve">кому) изучению новых фармакологических веществ. </w:t>
      </w:r>
      <w:r w:rsidRPr="008D5AB7">
        <w:rPr>
          <w:sz w:val="28"/>
        </w:rPr>
        <w:t>М.: Ремедиум, 2000. С. 349-354.</w:t>
      </w:r>
    </w:p>
    <w:p w:rsidR="00E22AB7" w:rsidRPr="000C10D6" w:rsidRDefault="00E22AB7" w:rsidP="00C049C8">
      <w:pPr>
        <w:numPr>
          <w:ilvl w:val="0"/>
          <w:numId w:val="1"/>
        </w:numPr>
        <w:autoSpaceDE w:val="0"/>
        <w:autoSpaceDN w:val="0"/>
        <w:adjustRightInd w:val="0"/>
        <w:spacing w:line="360" w:lineRule="auto"/>
        <w:ind w:left="426"/>
        <w:jc w:val="both"/>
        <w:rPr>
          <w:sz w:val="28"/>
          <w:szCs w:val="28"/>
          <w:lang w:val="uk-UA"/>
        </w:rPr>
      </w:pPr>
      <w:r w:rsidRPr="00827BFC">
        <w:rPr>
          <w:sz w:val="28"/>
          <w:lang w:val="uk-UA"/>
        </w:rPr>
        <w:t>Коваленко В.М., Стефанов О.В., Максимов О.В., Трахтенберг І.М. Експериментальне вивчення токсичної дії потенційних лікарських засобів</w:t>
      </w:r>
      <w:r>
        <w:rPr>
          <w:sz w:val="28"/>
          <w:lang w:val="uk-UA"/>
        </w:rPr>
        <w:t>.</w:t>
      </w:r>
      <w:r w:rsidRPr="00827BFC">
        <w:rPr>
          <w:sz w:val="28"/>
          <w:lang w:val="uk-UA"/>
        </w:rPr>
        <w:t xml:space="preserve"> У кн..: Доклінічні дослідження лікарських з</w:t>
      </w:r>
      <w:r>
        <w:rPr>
          <w:sz w:val="28"/>
          <w:lang w:val="uk-UA"/>
        </w:rPr>
        <w:t>асобів (методичні рекомендації).</w:t>
      </w:r>
      <w:r w:rsidR="00A96476">
        <w:rPr>
          <w:sz w:val="28"/>
          <w:lang w:val="uk-UA"/>
        </w:rPr>
        <w:t xml:space="preserve"> </w:t>
      </w:r>
      <w:r w:rsidRPr="00827BFC">
        <w:rPr>
          <w:sz w:val="28"/>
          <w:lang w:val="uk-UA"/>
        </w:rPr>
        <w:t>За редакцією член.-к</w:t>
      </w:r>
      <w:r>
        <w:rPr>
          <w:sz w:val="28"/>
          <w:lang w:val="uk-UA"/>
        </w:rPr>
        <w:t xml:space="preserve">ор. АМН України О.В.Стефанова.  К.: Авіцена, 2001. </w:t>
      </w:r>
      <w:r w:rsidRPr="00827BFC">
        <w:rPr>
          <w:sz w:val="28"/>
          <w:lang w:val="uk-UA"/>
        </w:rPr>
        <w:t>С. 74- 97.</w:t>
      </w:r>
    </w:p>
    <w:p w:rsidR="00825B0C" w:rsidRPr="008E3F2C" w:rsidRDefault="00825B0C" w:rsidP="00C049C8">
      <w:pPr>
        <w:numPr>
          <w:ilvl w:val="0"/>
          <w:numId w:val="1"/>
        </w:numPr>
        <w:autoSpaceDE w:val="0"/>
        <w:autoSpaceDN w:val="0"/>
        <w:adjustRightInd w:val="0"/>
        <w:spacing w:line="360" w:lineRule="auto"/>
        <w:ind w:left="426"/>
        <w:jc w:val="both"/>
        <w:rPr>
          <w:sz w:val="28"/>
          <w:szCs w:val="28"/>
          <w:lang w:val="ru-RU"/>
        </w:rPr>
      </w:pPr>
      <w:r w:rsidRPr="009C61BD">
        <w:rPr>
          <w:sz w:val="28"/>
          <w:lang w:val="uk-UA"/>
        </w:rPr>
        <w:t>Дроговоз С.М., Зупанець І.А., Мохорт М.А., Яковлєва Л.В., Клєбанов Б.М. Експериментальне (доклінічне) вивчення фармакологічних речовин,</w:t>
      </w:r>
      <w:r w:rsidRPr="008A6B0F">
        <w:rPr>
          <w:sz w:val="28"/>
          <w:lang w:val="uk-UA"/>
        </w:rPr>
        <w:t xml:space="preserve"> </w:t>
      </w:r>
      <w:r w:rsidRPr="004B4829">
        <w:rPr>
          <w:sz w:val="28"/>
          <w:lang w:val="uk-UA"/>
        </w:rPr>
        <w:t>які пропонуються як нестероїдні протизапальні засоби. У кн.: Доклінічні</w:t>
      </w:r>
      <w:r w:rsidRPr="008A6B0F">
        <w:rPr>
          <w:sz w:val="28"/>
          <w:lang w:val="uk-UA"/>
        </w:rPr>
        <w:t xml:space="preserve"> дослідження лікарських засобів (методичні рекомендації)/ За редакцією член.-кор. АМН України О.В.Стефанова. К.: Авіцена, 2001. С. 292-</w:t>
      </w:r>
      <w:r w:rsidRPr="00351ADC">
        <w:rPr>
          <w:sz w:val="28"/>
          <w:lang w:val="uk-UA"/>
        </w:rPr>
        <w:t>306.</w:t>
      </w:r>
    </w:p>
    <w:sectPr w:rsidR="00825B0C" w:rsidRPr="008E3F2C" w:rsidSect="00116D06">
      <w:headerReference w:type="default" r:id="rId9"/>
      <w:pgSz w:w="11906" w:h="16838"/>
      <w:pgMar w:top="1134" w:right="1134" w:bottom="1134" w:left="1134"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B86C94" w:rsidRDefault="00B86C94" w:rsidP="004E3A43">
      <w:r>
        <w:separator/>
      </w:r>
    </w:p>
  </w:endnote>
  <w:endnote w:type="continuationSeparator" w:id="1">
    <w:p w:rsidR="00B86C94" w:rsidRDefault="00B86C94" w:rsidP="004E3A43">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Arial">
    <w:panose1 w:val="020B0604020202020204"/>
    <w:charset w:val="CC"/>
    <w:family w:val="swiss"/>
    <w:pitch w:val="variable"/>
    <w:sig w:usb0="E0002AFF" w:usb1="C0007843" w:usb2="00000009" w:usb3="00000000" w:csb0="000001FF" w:csb1="00000000"/>
  </w:font>
  <w:font w:name="Verdana">
    <w:panose1 w:val="020B0604030504040204"/>
    <w:charset w:val="CC"/>
    <w:family w:val="swiss"/>
    <w:pitch w:val="variable"/>
    <w:sig w:usb0="A10006FF" w:usb1="4000205B" w:usb2="00000010" w:usb3="00000000" w:csb0="0000019F" w:csb1="00000000"/>
  </w:font>
  <w:font w:name="Courier New">
    <w:panose1 w:val="02070309020205020404"/>
    <w:charset w:val="CC"/>
    <w:family w:val="modern"/>
    <w:pitch w:val="fixed"/>
    <w:sig w:usb0="E0002AFF" w:usb1="C0007843" w:usb2="00000009" w:usb3="00000000" w:csb0="000001FF" w:csb1="00000000"/>
  </w:font>
  <w:font w:name="Tahoma">
    <w:panose1 w:val="020B0604030504040204"/>
    <w:charset w:val="CC"/>
    <w:family w:val="swiss"/>
    <w:pitch w:val="variable"/>
    <w:sig w:usb0="E1002EFF" w:usb1="C000605B" w:usb2="00000029" w:usb3="00000000" w:csb0="000101F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B86C94" w:rsidRDefault="00B86C94" w:rsidP="004E3A43">
      <w:r>
        <w:separator/>
      </w:r>
    </w:p>
  </w:footnote>
  <w:footnote w:type="continuationSeparator" w:id="1">
    <w:p w:rsidR="00B86C94" w:rsidRDefault="00B86C94" w:rsidP="004E3A43">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586172"/>
      <w:docPartObj>
        <w:docPartGallery w:val="Page Numbers (Top of Page)"/>
        <w:docPartUnique/>
      </w:docPartObj>
    </w:sdtPr>
    <w:sdtContent>
      <w:p w:rsidR="008325A9" w:rsidRDefault="008325A9">
        <w:pPr>
          <w:pStyle w:val="ad"/>
          <w:jc w:val="right"/>
        </w:pPr>
        <w:fldSimple w:instr=" PAGE   \* MERGEFORMAT ">
          <w:r w:rsidR="00353AC6">
            <w:rPr>
              <w:noProof/>
            </w:rPr>
            <w:t>9</w:t>
          </w:r>
        </w:fldSimple>
      </w:p>
    </w:sdtContent>
  </w:sdt>
  <w:p w:rsidR="008325A9" w:rsidRDefault="008325A9">
    <w:pPr>
      <w:pStyle w:val="ad"/>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27287488"/>
    <w:multiLevelType w:val="hybridMultilevel"/>
    <w:tmpl w:val="B6E8513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7CBE4D9F"/>
    <w:multiLevelType w:val="hybridMultilevel"/>
    <w:tmpl w:val="1D50ECDC"/>
    <w:lvl w:ilvl="0" w:tplc="0419000F">
      <w:start w:val="1"/>
      <w:numFmt w:val="decimal"/>
      <w:lvlText w:val="%1."/>
      <w:lvlJc w:val="left"/>
      <w:pPr>
        <w:ind w:left="1146" w:hanging="360"/>
      </w:pPr>
    </w:lvl>
    <w:lvl w:ilvl="1" w:tplc="04190019" w:tentative="1">
      <w:start w:val="1"/>
      <w:numFmt w:val="lowerLetter"/>
      <w:lvlText w:val="%2."/>
      <w:lvlJc w:val="left"/>
      <w:pPr>
        <w:ind w:left="1866" w:hanging="360"/>
      </w:pPr>
    </w:lvl>
    <w:lvl w:ilvl="2" w:tplc="0419001B" w:tentative="1">
      <w:start w:val="1"/>
      <w:numFmt w:val="lowerRoman"/>
      <w:lvlText w:val="%3."/>
      <w:lvlJc w:val="right"/>
      <w:pPr>
        <w:ind w:left="2586" w:hanging="180"/>
      </w:pPr>
    </w:lvl>
    <w:lvl w:ilvl="3" w:tplc="0419000F" w:tentative="1">
      <w:start w:val="1"/>
      <w:numFmt w:val="decimal"/>
      <w:lvlText w:val="%4."/>
      <w:lvlJc w:val="left"/>
      <w:pPr>
        <w:ind w:left="3306" w:hanging="360"/>
      </w:pPr>
    </w:lvl>
    <w:lvl w:ilvl="4" w:tplc="04190019" w:tentative="1">
      <w:start w:val="1"/>
      <w:numFmt w:val="lowerLetter"/>
      <w:lvlText w:val="%5."/>
      <w:lvlJc w:val="left"/>
      <w:pPr>
        <w:ind w:left="4026" w:hanging="360"/>
      </w:pPr>
    </w:lvl>
    <w:lvl w:ilvl="5" w:tplc="0419001B" w:tentative="1">
      <w:start w:val="1"/>
      <w:numFmt w:val="lowerRoman"/>
      <w:lvlText w:val="%6."/>
      <w:lvlJc w:val="right"/>
      <w:pPr>
        <w:ind w:left="4746" w:hanging="180"/>
      </w:pPr>
    </w:lvl>
    <w:lvl w:ilvl="6" w:tplc="0419000F" w:tentative="1">
      <w:start w:val="1"/>
      <w:numFmt w:val="decimal"/>
      <w:lvlText w:val="%7."/>
      <w:lvlJc w:val="left"/>
      <w:pPr>
        <w:ind w:left="5466" w:hanging="360"/>
      </w:pPr>
    </w:lvl>
    <w:lvl w:ilvl="7" w:tplc="04190019" w:tentative="1">
      <w:start w:val="1"/>
      <w:numFmt w:val="lowerLetter"/>
      <w:lvlText w:val="%8."/>
      <w:lvlJc w:val="left"/>
      <w:pPr>
        <w:ind w:left="6186" w:hanging="360"/>
      </w:pPr>
    </w:lvl>
    <w:lvl w:ilvl="8" w:tplc="0419001B" w:tentative="1">
      <w:start w:val="1"/>
      <w:numFmt w:val="lowerRoman"/>
      <w:lvlText w:val="%9."/>
      <w:lvlJc w:val="right"/>
      <w:pPr>
        <w:ind w:left="6906" w:hanging="180"/>
      </w:pPr>
    </w:lvl>
  </w:abstractNum>
  <w:abstractNum w:abstractNumId="2">
    <w:nsid w:val="7F884DCD"/>
    <w:multiLevelType w:val="hybridMultilevel"/>
    <w:tmpl w:val="013475E6"/>
    <w:lvl w:ilvl="0" w:tplc="0419000F">
      <w:start w:val="1"/>
      <w:numFmt w:val="decimal"/>
      <w:lvlText w:val="%1."/>
      <w:lvlJc w:val="left"/>
      <w:pPr>
        <w:ind w:left="36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2"/>
  </w:num>
  <w:num w:numId="2">
    <w:abstractNumId w:val="1"/>
  </w:num>
  <w:num w:numId="3">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1"/>
  <w:defaultTabStop w:val="708"/>
  <w:drawingGridHorizontalSpacing w:val="120"/>
  <w:displayHorizontalDrawingGridEvery w:val="2"/>
  <w:characterSpacingControl w:val="doNotCompress"/>
  <w:footnotePr>
    <w:footnote w:id="0"/>
    <w:footnote w:id="1"/>
  </w:footnotePr>
  <w:endnotePr>
    <w:endnote w:id="0"/>
    <w:endnote w:id="1"/>
  </w:endnotePr>
  <w:compat/>
  <w:rsids>
    <w:rsidRoot w:val="00E554F3"/>
    <w:rsid w:val="00012CBE"/>
    <w:rsid w:val="0001528C"/>
    <w:rsid w:val="00016590"/>
    <w:rsid w:val="000254E1"/>
    <w:rsid w:val="00041877"/>
    <w:rsid w:val="00046ED3"/>
    <w:rsid w:val="0005062C"/>
    <w:rsid w:val="00060875"/>
    <w:rsid w:val="00060EC7"/>
    <w:rsid w:val="000641B9"/>
    <w:rsid w:val="00067524"/>
    <w:rsid w:val="00071E79"/>
    <w:rsid w:val="00075D2D"/>
    <w:rsid w:val="000764CD"/>
    <w:rsid w:val="00076751"/>
    <w:rsid w:val="00080BC4"/>
    <w:rsid w:val="0008223E"/>
    <w:rsid w:val="00084DAF"/>
    <w:rsid w:val="000903F2"/>
    <w:rsid w:val="00096661"/>
    <w:rsid w:val="000A1A21"/>
    <w:rsid w:val="000A2CA7"/>
    <w:rsid w:val="000A4949"/>
    <w:rsid w:val="000B1D90"/>
    <w:rsid w:val="000C10D6"/>
    <w:rsid w:val="000C39A5"/>
    <w:rsid w:val="000D2864"/>
    <w:rsid w:val="000D3C80"/>
    <w:rsid w:val="000D62EC"/>
    <w:rsid w:val="000E334B"/>
    <w:rsid w:val="000E445A"/>
    <w:rsid w:val="000E72C1"/>
    <w:rsid w:val="000F129F"/>
    <w:rsid w:val="001165A1"/>
    <w:rsid w:val="00116D06"/>
    <w:rsid w:val="001223AC"/>
    <w:rsid w:val="00131562"/>
    <w:rsid w:val="00131897"/>
    <w:rsid w:val="00136224"/>
    <w:rsid w:val="001363A6"/>
    <w:rsid w:val="001523C3"/>
    <w:rsid w:val="00160187"/>
    <w:rsid w:val="00165CD4"/>
    <w:rsid w:val="00165EBC"/>
    <w:rsid w:val="00167D98"/>
    <w:rsid w:val="00170215"/>
    <w:rsid w:val="00170E6B"/>
    <w:rsid w:val="0018003F"/>
    <w:rsid w:val="001861A3"/>
    <w:rsid w:val="001963B8"/>
    <w:rsid w:val="001A4B1A"/>
    <w:rsid w:val="001A6C1D"/>
    <w:rsid w:val="001B1E3C"/>
    <w:rsid w:val="001B2164"/>
    <w:rsid w:val="001B2B2C"/>
    <w:rsid w:val="001B5CF2"/>
    <w:rsid w:val="001B7AF9"/>
    <w:rsid w:val="001D312A"/>
    <w:rsid w:val="001D6E9A"/>
    <w:rsid w:val="001D7FA3"/>
    <w:rsid w:val="002051B2"/>
    <w:rsid w:val="0020571E"/>
    <w:rsid w:val="00207B94"/>
    <w:rsid w:val="002102AB"/>
    <w:rsid w:val="00240C13"/>
    <w:rsid w:val="00241C82"/>
    <w:rsid w:val="00266E2B"/>
    <w:rsid w:val="00274B7C"/>
    <w:rsid w:val="002815F7"/>
    <w:rsid w:val="00283C49"/>
    <w:rsid w:val="002868E1"/>
    <w:rsid w:val="0028718A"/>
    <w:rsid w:val="002A0C12"/>
    <w:rsid w:val="002A3E26"/>
    <w:rsid w:val="002B0842"/>
    <w:rsid w:val="002B36F3"/>
    <w:rsid w:val="002D1A56"/>
    <w:rsid w:val="002D5704"/>
    <w:rsid w:val="002E4FA4"/>
    <w:rsid w:val="00305658"/>
    <w:rsid w:val="00307F0D"/>
    <w:rsid w:val="00314159"/>
    <w:rsid w:val="00336832"/>
    <w:rsid w:val="00343F4D"/>
    <w:rsid w:val="00346EC2"/>
    <w:rsid w:val="00353678"/>
    <w:rsid w:val="00353AC6"/>
    <w:rsid w:val="003552E5"/>
    <w:rsid w:val="00362C12"/>
    <w:rsid w:val="00375A3B"/>
    <w:rsid w:val="003803FE"/>
    <w:rsid w:val="003855DD"/>
    <w:rsid w:val="00395F9E"/>
    <w:rsid w:val="003A14AF"/>
    <w:rsid w:val="003E0640"/>
    <w:rsid w:val="003E25F1"/>
    <w:rsid w:val="003F70D1"/>
    <w:rsid w:val="004012E8"/>
    <w:rsid w:val="0040219F"/>
    <w:rsid w:val="00402EE4"/>
    <w:rsid w:val="0041011D"/>
    <w:rsid w:val="004362A8"/>
    <w:rsid w:val="004507F5"/>
    <w:rsid w:val="004512A0"/>
    <w:rsid w:val="00454D1E"/>
    <w:rsid w:val="00482A50"/>
    <w:rsid w:val="00490216"/>
    <w:rsid w:val="004A76E1"/>
    <w:rsid w:val="004B7186"/>
    <w:rsid w:val="004D02C2"/>
    <w:rsid w:val="004E3A43"/>
    <w:rsid w:val="004E452B"/>
    <w:rsid w:val="004F090E"/>
    <w:rsid w:val="004F4680"/>
    <w:rsid w:val="005014B7"/>
    <w:rsid w:val="00501A0C"/>
    <w:rsid w:val="005029B9"/>
    <w:rsid w:val="00504D86"/>
    <w:rsid w:val="005143DF"/>
    <w:rsid w:val="0053240A"/>
    <w:rsid w:val="005575B2"/>
    <w:rsid w:val="00571311"/>
    <w:rsid w:val="00581E4E"/>
    <w:rsid w:val="0058377F"/>
    <w:rsid w:val="00587FF6"/>
    <w:rsid w:val="005A5969"/>
    <w:rsid w:val="005A6648"/>
    <w:rsid w:val="005C4036"/>
    <w:rsid w:val="005E3000"/>
    <w:rsid w:val="005F16CB"/>
    <w:rsid w:val="00602221"/>
    <w:rsid w:val="006065CE"/>
    <w:rsid w:val="006075B7"/>
    <w:rsid w:val="00607F9E"/>
    <w:rsid w:val="006214F5"/>
    <w:rsid w:val="00630188"/>
    <w:rsid w:val="006657A3"/>
    <w:rsid w:val="006659CC"/>
    <w:rsid w:val="00672656"/>
    <w:rsid w:val="00676DD8"/>
    <w:rsid w:val="006869C9"/>
    <w:rsid w:val="006969B4"/>
    <w:rsid w:val="006A1AA8"/>
    <w:rsid w:val="006B6BFF"/>
    <w:rsid w:val="006C109F"/>
    <w:rsid w:val="006C1A2E"/>
    <w:rsid w:val="006D74C7"/>
    <w:rsid w:val="006E404F"/>
    <w:rsid w:val="007030BD"/>
    <w:rsid w:val="00714AFB"/>
    <w:rsid w:val="00717701"/>
    <w:rsid w:val="00722B11"/>
    <w:rsid w:val="007448E6"/>
    <w:rsid w:val="00754A91"/>
    <w:rsid w:val="00755932"/>
    <w:rsid w:val="00760354"/>
    <w:rsid w:val="00762EAB"/>
    <w:rsid w:val="00767213"/>
    <w:rsid w:val="007677C7"/>
    <w:rsid w:val="00773793"/>
    <w:rsid w:val="00792C23"/>
    <w:rsid w:val="00793215"/>
    <w:rsid w:val="00796B5A"/>
    <w:rsid w:val="007979C6"/>
    <w:rsid w:val="007A2298"/>
    <w:rsid w:val="007B1507"/>
    <w:rsid w:val="007C1990"/>
    <w:rsid w:val="007D2DC6"/>
    <w:rsid w:val="007D61A2"/>
    <w:rsid w:val="007D6A54"/>
    <w:rsid w:val="007E0A21"/>
    <w:rsid w:val="00801F7B"/>
    <w:rsid w:val="008149FE"/>
    <w:rsid w:val="00825B0C"/>
    <w:rsid w:val="0082714F"/>
    <w:rsid w:val="008325A9"/>
    <w:rsid w:val="00870C00"/>
    <w:rsid w:val="00885764"/>
    <w:rsid w:val="00893FEE"/>
    <w:rsid w:val="008A18DE"/>
    <w:rsid w:val="008A5D54"/>
    <w:rsid w:val="008A6193"/>
    <w:rsid w:val="008D50FD"/>
    <w:rsid w:val="008D758B"/>
    <w:rsid w:val="008E3F2C"/>
    <w:rsid w:val="009078A4"/>
    <w:rsid w:val="0092406A"/>
    <w:rsid w:val="009240C8"/>
    <w:rsid w:val="0092648C"/>
    <w:rsid w:val="0092681F"/>
    <w:rsid w:val="00933EF8"/>
    <w:rsid w:val="00934733"/>
    <w:rsid w:val="009575F1"/>
    <w:rsid w:val="00972B71"/>
    <w:rsid w:val="00987895"/>
    <w:rsid w:val="009977F5"/>
    <w:rsid w:val="009A1B37"/>
    <w:rsid w:val="009B230B"/>
    <w:rsid w:val="009D08F6"/>
    <w:rsid w:val="009D2EE6"/>
    <w:rsid w:val="009D4445"/>
    <w:rsid w:val="009E68B6"/>
    <w:rsid w:val="00A005DD"/>
    <w:rsid w:val="00A21080"/>
    <w:rsid w:val="00A21B95"/>
    <w:rsid w:val="00A21EBB"/>
    <w:rsid w:val="00A305D4"/>
    <w:rsid w:val="00A32340"/>
    <w:rsid w:val="00A34B8D"/>
    <w:rsid w:val="00A35C19"/>
    <w:rsid w:val="00A42D2C"/>
    <w:rsid w:val="00A47BB4"/>
    <w:rsid w:val="00A50B0E"/>
    <w:rsid w:val="00A518F0"/>
    <w:rsid w:val="00A5584D"/>
    <w:rsid w:val="00A65440"/>
    <w:rsid w:val="00A65DCC"/>
    <w:rsid w:val="00A803DB"/>
    <w:rsid w:val="00A96476"/>
    <w:rsid w:val="00A97798"/>
    <w:rsid w:val="00AA20E6"/>
    <w:rsid w:val="00AA5D31"/>
    <w:rsid w:val="00AA7657"/>
    <w:rsid w:val="00AB0501"/>
    <w:rsid w:val="00AB1990"/>
    <w:rsid w:val="00AB2E98"/>
    <w:rsid w:val="00AB703D"/>
    <w:rsid w:val="00AB7C71"/>
    <w:rsid w:val="00AE695B"/>
    <w:rsid w:val="00AF4DCC"/>
    <w:rsid w:val="00B00640"/>
    <w:rsid w:val="00B047EA"/>
    <w:rsid w:val="00B22183"/>
    <w:rsid w:val="00B323AC"/>
    <w:rsid w:val="00B37E93"/>
    <w:rsid w:val="00B544E2"/>
    <w:rsid w:val="00B75B72"/>
    <w:rsid w:val="00B86C94"/>
    <w:rsid w:val="00B87D1B"/>
    <w:rsid w:val="00B955B8"/>
    <w:rsid w:val="00BB2900"/>
    <w:rsid w:val="00BB2A4B"/>
    <w:rsid w:val="00BD1809"/>
    <w:rsid w:val="00BD77BC"/>
    <w:rsid w:val="00BE68F5"/>
    <w:rsid w:val="00BF4AA5"/>
    <w:rsid w:val="00C01C02"/>
    <w:rsid w:val="00C0408F"/>
    <w:rsid w:val="00C049C8"/>
    <w:rsid w:val="00C07A6D"/>
    <w:rsid w:val="00C1146F"/>
    <w:rsid w:val="00C24922"/>
    <w:rsid w:val="00C25633"/>
    <w:rsid w:val="00C267D2"/>
    <w:rsid w:val="00C414F5"/>
    <w:rsid w:val="00C4391F"/>
    <w:rsid w:val="00C50BE0"/>
    <w:rsid w:val="00C65BCA"/>
    <w:rsid w:val="00C77B00"/>
    <w:rsid w:val="00C77BB2"/>
    <w:rsid w:val="00C815B4"/>
    <w:rsid w:val="00C8363B"/>
    <w:rsid w:val="00C92B63"/>
    <w:rsid w:val="00C96A6E"/>
    <w:rsid w:val="00CB31DB"/>
    <w:rsid w:val="00CB44F9"/>
    <w:rsid w:val="00CC0BAE"/>
    <w:rsid w:val="00CD1227"/>
    <w:rsid w:val="00CD477E"/>
    <w:rsid w:val="00CE4322"/>
    <w:rsid w:val="00CE64A1"/>
    <w:rsid w:val="00CF0483"/>
    <w:rsid w:val="00CF14B2"/>
    <w:rsid w:val="00D02EEB"/>
    <w:rsid w:val="00D056C9"/>
    <w:rsid w:val="00D247BE"/>
    <w:rsid w:val="00D32B58"/>
    <w:rsid w:val="00D449E8"/>
    <w:rsid w:val="00D50806"/>
    <w:rsid w:val="00D6098A"/>
    <w:rsid w:val="00D64DE2"/>
    <w:rsid w:val="00D65217"/>
    <w:rsid w:val="00D702E4"/>
    <w:rsid w:val="00D82649"/>
    <w:rsid w:val="00DB18F0"/>
    <w:rsid w:val="00DB1E99"/>
    <w:rsid w:val="00DC7A80"/>
    <w:rsid w:val="00DD22C9"/>
    <w:rsid w:val="00DD29D6"/>
    <w:rsid w:val="00DE1DD5"/>
    <w:rsid w:val="00DE6D80"/>
    <w:rsid w:val="00DF27D2"/>
    <w:rsid w:val="00DF6E07"/>
    <w:rsid w:val="00E11D61"/>
    <w:rsid w:val="00E22AB7"/>
    <w:rsid w:val="00E253DC"/>
    <w:rsid w:val="00E27761"/>
    <w:rsid w:val="00E3413B"/>
    <w:rsid w:val="00E345AD"/>
    <w:rsid w:val="00E42EB4"/>
    <w:rsid w:val="00E43643"/>
    <w:rsid w:val="00E470DD"/>
    <w:rsid w:val="00E50CC5"/>
    <w:rsid w:val="00E554F3"/>
    <w:rsid w:val="00E623F5"/>
    <w:rsid w:val="00E71318"/>
    <w:rsid w:val="00E76EBD"/>
    <w:rsid w:val="00E821A6"/>
    <w:rsid w:val="00E85400"/>
    <w:rsid w:val="00E872F9"/>
    <w:rsid w:val="00E908B6"/>
    <w:rsid w:val="00E91EBE"/>
    <w:rsid w:val="00EA2C3A"/>
    <w:rsid w:val="00EC065C"/>
    <w:rsid w:val="00EC7C37"/>
    <w:rsid w:val="00ED035A"/>
    <w:rsid w:val="00EE01C2"/>
    <w:rsid w:val="00EE4080"/>
    <w:rsid w:val="00EE7D6E"/>
    <w:rsid w:val="00EF05C5"/>
    <w:rsid w:val="00EF7498"/>
    <w:rsid w:val="00EF7CA7"/>
    <w:rsid w:val="00F125A1"/>
    <w:rsid w:val="00F2235A"/>
    <w:rsid w:val="00F3079E"/>
    <w:rsid w:val="00F36EC9"/>
    <w:rsid w:val="00F5144C"/>
    <w:rsid w:val="00F543E8"/>
    <w:rsid w:val="00F6659E"/>
    <w:rsid w:val="00F7030A"/>
    <w:rsid w:val="00F76417"/>
    <w:rsid w:val="00F83991"/>
    <w:rsid w:val="00F83D36"/>
    <w:rsid w:val="00F85136"/>
    <w:rsid w:val="00F97125"/>
    <w:rsid w:val="00FA0F20"/>
    <w:rsid w:val="00FB033C"/>
    <w:rsid w:val="00FB2EEC"/>
    <w:rsid w:val="00FB416F"/>
    <w:rsid w:val="00FD1E09"/>
    <w:rsid w:val="00FD7A12"/>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Calibri" w:hAnsi="Times New Roman" w:cs="Times New Roman"/>
        <w:sz w:val="28"/>
        <w:szCs w:val="28"/>
        <w:lang w:val="ru-RU" w:eastAsia="ru-RU" w:bidi="ar-SA"/>
      </w:rPr>
    </w:rPrDefault>
    <w:pPrDefault>
      <w:pPr>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locked="1" w:uiPriority="0" w:qFormat="1"/>
    <w:lsdException w:name="Title" w:semiHidden="0" w:unhideWhenUsed="0" w:qFormat="1"/>
    <w:lsdException w:name="Default Paragraph Font" w:uiPriority="1"/>
    <w:lsdException w:name="Subtitle" w:locked="1" w:semiHidden="0" w:uiPriority="0" w:unhideWhenUsed="0" w:qFormat="1"/>
    <w:lsdException w:name="Body Text Indent 2" w:uiPriority="0"/>
    <w:lsdException w:name="Block Text" w:uiPriority="0"/>
    <w:lsdException w:name="Strong" w:locked="1" w:semiHidden="0" w:uiPriority="0" w:unhideWhenUsed="0" w:qFormat="1"/>
    <w:lsdException w:name="Emphasis" w:semiHidden="0" w:unhideWhenUsed="0" w:qFormat="1"/>
    <w:lsdException w:name="Plain Text" w:uiPriority="0"/>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B7AF9"/>
    <w:pPr>
      <w:jc w:val="left"/>
    </w:pPr>
    <w:rPr>
      <w:rFonts w:eastAsia="Times New Roman"/>
      <w:sz w:val="24"/>
      <w:szCs w:val="24"/>
      <w:lang w:val="en-GB" w:eastAsia="en-GB"/>
    </w:rPr>
  </w:style>
  <w:style w:type="paragraph" w:styleId="1">
    <w:name w:val="heading 1"/>
    <w:basedOn w:val="a"/>
    <w:next w:val="a"/>
    <w:link w:val="10"/>
    <w:qFormat/>
    <w:rsid w:val="007030BD"/>
    <w:pPr>
      <w:keepNext/>
      <w:keepLines/>
      <w:spacing w:before="480" w:line="276" w:lineRule="auto"/>
      <w:jc w:val="both"/>
      <w:outlineLvl w:val="0"/>
    </w:pPr>
    <w:rPr>
      <w:rFonts w:asciiTheme="majorHAnsi" w:eastAsiaTheme="majorEastAsia" w:hAnsiTheme="majorHAnsi" w:cstheme="majorBidi"/>
      <w:b/>
      <w:color w:val="365F91" w:themeColor="accent1" w:themeShade="BF"/>
      <w:sz w:val="28"/>
      <w:szCs w:val="28"/>
      <w:lang w:val="uk-UA" w:eastAsia="en-US"/>
    </w:rPr>
  </w:style>
  <w:style w:type="paragraph" w:styleId="2">
    <w:name w:val="heading 2"/>
    <w:basedOn w:val="a"/>
    <w:next w:val="a"/>
    <w:link w:val="20"/>
    <w:unhideWhenUsed/>
    <w:qFormat/>
    <w:rsid w:val="007030BD"/>
    <w:pPr>
      <w:keepNext/>
      <w:keepLines/>
      <w:spacing w:before="200" w:line="276" w:lineRule="auto"/>
      <w:jc w:val="both"/>
      <w:outlineLvl w:val="1"/>
    </w:pPr>
    <w:rPr>
      <w:rFonts w:asciiTheme="majorHAnsi" w:eastAsiaTheme="majorEastAsia" w:hAnsiTheme="majorHAnsi" w:cstheme="majorBidi"/>
      <w:b/>
      <w:color w:val="4F81BD" w:themeColor="accent1"/>
      <w:sz w:val="26"/>
      <w:szCs w:val="26"/>
      <w:lang w:val="uk-UA" w:eastAsia="en-US"/>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7030BD"/>
    <w:rPr>
      <w:rFonts w:asciiTheme="majorHAnsi" w:eastAsiaTheme="majorEastAsia" w:hAnsiTheme="majorHAnsi" w:cstheme="majorBidi"/>
      <w:b/>
      <w:bCs/>
      <w:color w:val="365F91" w:themeColor="accent1" w:themeShade="BF"/>
      <w:sz w:val="28"/>
      <w:szCs w:val="28"/>
      <w:lang w:eastAsia="en-US"/>
    </w:rPr>
  </w:style>
  <w:style w:type="character" w:customStyle="1" w:styleId="20">
    <w:name w:val="Заголовок 2 Знак"/>
    <w:basedOn w:val="a0"/>
    <w:link w:val="2"/>
    <w:rsid w:val="007030BD"/>
    <w:rPr>
      <w:rFonts w:asciiTheme="majorHAnsi" w:eastAsiaTheme="majorEastAsia" w:hAnsiTheme="majorHAnsi" w:cstheme="majorBidi"/>
      <w:b/>
      <w:bCs/>
      <w:color w:val="4F81BD" w:themeColor="accent1"/>
      <w:sz w:val="26"/>
      <w:szCs w:val="26"/>
      <w:lang w:eastAsia="en-US"/>
    </w:rPr>
  </w:style>
  <w:style w:type="paragraph" w:styleId="a3">
    <w:name w:val="Title"/>
    <w:basedOn w:val="a"/>
    <w:link w:val="a4"/>
    <w:uiPriority w:val="99"/>
    <w:qFormat/>
    <w:rsid w:val="007030BD"/>
    <w:pPr>
      <w:jc w:val="center"/>
    </w:pPr>
    <w:rPr>
      <w:rFonts w:eastAsia="Calibri"/>
      <w:b/>
      <w:sz w:val="28"/>
      <w:szCs w:val="28"/>
      <w:lang w:val="uk-UA" w:eastAsia="en-US"/>
    </w:rPr>
  </w:style>
  <w:style w:type="character" w:customStyle="1" w:styleId="a4">
    <w:name w:val="Название Знак"/>
    <w:link w:val="a3"/>
    <w:uiPriority w:val="99"/>
    <w:rsid w:val="007030BD"/>
    <w:rPr>
      <w:rFonts w:ascii="Times New Roman" w:hAnsi="Times New Roman" w:cs="Times New Roman"/>
      <w:b/>
      <w:bCs/>
      <w:sz w:val="28"/>
      <w:szCs w:val="28"/>
      <w:lang w:val="uk-UA"/>
    </w:rPr>
  </w:style>
  <w:style w:type="character" w:styleId="a5">
    <w:name w:val="Emphasis"/>
    <w:uiPriority w:val="99"/>
    <w:qFormat/>
    <w:rsid w:val="007030BD"/>
    <w:rPr>
      <w:i/>
      <w:iCs/>
    </w:rPr>
  </w:style>
  <w:style w:type="paragraph" w:styleId="a6">
    <w:name w:val="List Paragraph"/>
    <w:basedOn w:val="a"/>
    <w:uiPriority w:val="34"/>
    <w:qFormat/>
    <w:rsid w:val="007030BD"/>
    <w:pPr>
      <w:ind w:left="720"/>
      <w:contextualSpacing/>
      <w:jc w:val="both"/>
    </w:pPr>
    <w:rPr>
      <w:lang w:val="uk-UA" w:eastAsia="ru-RU"/>
    </w:rPr>
  </w:style>
  <w:style w:type="paragraph" w:customStyle="1" w:styleId="11">
    <w:name w:val="Абзац списка1"/>
    <w:basedOn w:val="a"/>
    <w:uiPriority w:val="99"/>
    <w:qFormat/>
    <w:rsid w:val="007030BD"/>
    <w:pPr>
      <w:ind w:left="708"/>
      <w:jc w:val="both"/>
    </w:pPr>
    <w:rPr>
      <w:lang w:val="uk-UA" w:eastAsia="ru-RU"/>
    </w:rPr>
  </w:style>
  <w:style w:type="paragraph" w:customStyle="1" w:styleId="3">
    <w:name w:val="Знак Знак3"/>
    <w:basedOn w:val="a"/>
    <w:rsid w:val="00D702E4"/>
    <w:rPr>
      <w:rFonts w:ascii="Verdana" w:hAnsi="Verdana" w:cs="Verdana"/>
      <w:sz w:val="20"/>
      <w:szCs w:val="20"/>
      <w:lang w:val="en-US" w:eastAsia="en-US"/>
    </w:rPr>
  </w:style>
  <w:style w:type="paragraph" w:styleId="a7">
    <w:name w:val="Normal (Web)"/>
    <w:basedOn w:val="a"/>
    <w:rsid w:val="000F129F"/>
    <w:pPr>
      <w:spacing w:before="100" w:beforeAutospacing="1" w:after="100" w:afterAutospacing="1"/>
    </w:pPr>
    <w:rPr>
      <w:sz w:val="28"/>
      <w:lang w:val="uk-UA" w:eastAsia="ru-RU"/>
    </w:rPr>
  </w:style>
  <w:style w:type="paragraph" w:styleId="a8">
    <w:name w:val="Body Text Indent"/>
    <w:basedOn w:val="a"/>
    <w:link w:val="a9"/>
    <w:uiPriority w:val="99"/>
    <w:semiHidden/>
    <w:unhideWhenUsed/>
    <w:rsid w:val="000F129F"/>
    <w:pPr>
      <w:spacing w:after="120"/>
      <w:ind w:left="283"/>
    </w:pPr>
    <w:rPr>
      <w:sz w:val="20"/>
      <w:szCs w:val="28"/>
      <w:lang w:val="ru-RU" w:eastAsia="ru-RU"/>
    </w:rPr>
  </w:style>
  <w:style w:type="character" w:customStyle="1" w:styleId="a9">
    <w:name w:val="Основной текст с отступом Знак"/>
    <w:basedOn w:val="a0"/>
    <w:link w:val="a8"/>
    <w:uiPriority w:val="99"/>
    <w:semiHidden/>
    <w:rsid w:val="000F129F"/>
    <w:rPr>
      <w:rFonts w:eastAsia="Times New Roman"/>
      <w:sz w:val="20"/>
    </w:rPr>
  </w:style>
  <w:style w:type="paragraph" w:styleId="21">
    <w:name w:val="Body Text Indent 2"/>
    <w:basedOn w:val="a"/>
    <w:link w:val="22"/>
    <w:rsid w:val="000F129F"/>
    <w:pPr>
      <w:spacing w:after="120" w:line="480" w:lineRule="auto"/>
      <w:ind w:left="283"/>
    </w:pPr>
    <w:rPr>
      <w:lang w:val="ru-RU" w:eastAsia="ru-RU"/>
    </w:rPr>
  </w:style>
  <w:style w:type="character" w:customStyle="1" w:styleId="22">
    <w:name w:val="Основной текст с отступом 2 Знак"/>
    <w:basedOn w:val="a0"/>
    <w:link w:val="21"/>
    <w:rsid w:val="000F129F"/>
    <w:rPr>
      <w:rFonts w:eastAsia="Times New Roman"/>
      <w:sz w:val="24"/>
      <w:szCs w:val="24"/>
    </w:rPr>
  </w:style>
  <w:style w:type="paragraph" w:styleId="aa">
    <w:name w:val="Plain Text"/>
    <w:basedOn w:val="a"/>
    <w:link w:val="ab"/>
    <w:rsid w:val="000F129F"/>
    <w:rPr>
      <w:rFonts w:ascii="Courier New" w:hAnsi="Courier New"/>
      <w:sz w:val="28"/>
      <w:szCs w:val="28"/>
      <w:lang w:val="ru-RU" w:eastAsia="ru-RU"/>
    </w:rPr>
  </w:style>
  <w:style w:type="character" w:customStyle="1" w:styleId="ab">
    <w:name w:val="Текст Знак"/>
    <w:basedOn w:val="a0"/>
    <w:link w:val="aa"/>
    <w:rsid w:val="000F129F"/>
    <w:rPr>
      <w:rFonts w:ascii="Courier New" w:eastAsia="Times New Roman" w:hAnsi="Courier New"/>
    </w:rPr>
  </w:style>
  <w:style w:type="paragraph" w:styleId="ac">
    <w:name w:val="Block Text"/>
    <w:basedOn w:val="a"/>
    <w:rsid w:val="000F129F"/>
    <w:pPr>
      <w:tabs>
        <w:tab w:val="left" w:pos="1035"/>
      </w:tabs>
      <w:ind w:left="360" w:right="-285"/>
      <w:jc w:val="both"/>
    </w:pPr>
    <w:rPr>
      <w:sz w:val="28"/>
      <w:szCs w:val="28"/>
      <w:lang w:val="uk-UA" w:eastAsia="ru-RU"/>
    </w:rPr>
  </w:style>
  <w:style w:type="paragraph" w:styleId="ad">
    <w:name w:val="header"/>
    <w:basedOn w:val="a"/>
    <w:link w:val="ae"/>
    <w:uiPriority w:val="99"/>
    <w:rsid w:val="005014B7"/>
    <w:pPr>
      <w:tabs>
        <w:tab w:val="center" w:pos="4677"/>
        <w:tab w:val="right" w:pos="9355"/>
      </w:tabs>
    </w:pPr>
    <w:rPr>
      <w:sz w:val="28"/>
      <w:szCs w:val="28"/>
      <w:lang w:val="ru-RU" w:eastAsia="ru-RU"/>
    </w:rPr>
  </w:style>
  <w:style w:type="character" w:customStyle="1" w:styleId="ae">
    <w:name w:val="Верхний колонтитул Знак"/>
    <w:basedOn w:val="a0"/>
    <w:link w:val="ad"/>
    <w:uiPriority w:val="99"/>
    <w:rsid w:val="005014B7"/>
    <w:rPr>
      <w:rFonts w:eastAsia="Times New Roman"/>
    </w:rPr>
  </w:style>
  <w:style w:type="paragraph" w:styleId="af">
    <w:name w:val="Balloon Text"/>
    <w:basedOn w:val="a"/>
    <w:link w:val="af0"/>
    <w:uiPriority w:val="99"/>
    <w:semiHidden/>
    <w:unhideWhenUsed/>
    <w:rsid w:val="00353678"/>
    <w:rPr>
      <w:rFonts w:ascii="Tahoma" w:hAnsi="Tahoma" w:cs="Tahoma"/>
      <w:sz w:val="16"/>
      <w:szCs w:val="16"/>
    </w:rPr>
  </w:style>
  <w:style w:type="character" w:customStyle="1" w:styleId="af0">
    <w:name w:val="Текст выноски Знак"/>
    <w:basedOn w:val="a0"/>
    <w:link w:val="af"/>
    <w:uiPriority w:val="99"/>
    <w:semiHidden/>
    <w:rsid w:val="00353678"/>
    <w:rPr>
      <w:rFonts w:ascii="Tahoma" w:eastAsia="Times New Roman" w:hAnsi="Tahoma" w:cs="Tahoma"/>
      <w:sz w:val="16"/>
      <w:szCs w:val="16"/>
      <w:lang w:val="en-GB" w:eastAsia="en-GB"/>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18436595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chart" Target="charts/chart2.xml"/><Relationship Id="rId13" Type="http://schemas.microsoft.com/office/2007/relationships/stylesWithEffects" Target="stylesWithEffects.xml"/><Relationship Id="rId3" Type="http://schemas.openxmlformats.org/officeDocument/2006/relationships/settings" Target="settings.xml"/><Relationship Id="rId7" Type="http://schemas.openxmlformats.org/officeDocument/2006/relationships/chart" Target="charts/chart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eader" Target="header1.xml"/></Relationships>
</file>

<file path=word/charts/_rels/chart1.xml.rels><?xml version="1.0" encoding="UTF-8" standalone="yes"?>
<Relationships xmlns="http://schemas.openxmlformats.org/package/2006/relationships"><Relationship Id="rId2" Type="http://schemas.openxmlformats.org/officeDocument/2006/relationships/chartUserShapes" Target="../drawings/drawing1.xml"/><Relationship Id="rId1" Type="http://schemas.openxmlformats.org/officeDocument/2006/relationships/oleObject" Target="file:///D:\&#1053;&#1044;&#1056;18-22\&#1076;&#1080;&#1072;&#1075;&#1088;%20&#1089;&#1090;-&#1084;-2.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D:\&#1053;&#1044;&#1056;18-22\&#1076;&#1080;&#1072;&#1075;&#1088;%20&#1089;&#1090;-&#1084;-2.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ru-RU"/>
  <c:chart>
    <c:plotArea>
      <c:layout>
        <c:manualLayout>
          <c:layoutTarget val="inner"/>
          <c:xMode val="edge"/>
          <c:yMode val="edge"/>
          <c:x val="5.8125439238128095E-2"/>
          <c:y val="0.10046808378201739"/>
          <c:w val="0.92885991710052773"/>
          <c:h val="0.52561850323998405"/>
        </c:manualLayout>
      </c:layout>
      <c:lineChart>
        <c:grouping val="standard"/>
        <c:ser>
          <c:idx val="0"/>
          <c:order val="0"/>
          <c:tx>
            <c:strRef>
              <c:f>Лист1!$A$2</c:f>
              <c:strCache>
                <c:ptCount val="1"/>
                <c:pt idx="0">
                  <c:v>Контрольна патологія</c:v>
                </c:pt>
              </c:strCache>
            </c:strRef>
          </c:tx>
          <c:spPr>
            <a:ln>
              <a:solidFill>
                <a:schemeClr val="tx1"/>
              </a:solidFill>
            </a:ln>
          </c:spPr>
          <c:marker>
            <c:symbol val="square"/>
            <c:size val="11"/>
            <c:spPr>
              <a:solidFill>
                <a:schemeClr val="tx1">
                  <a:lumMod val="50000"/>
                  <a:lumOff val="50000"/>
                </a:schemeClr>
              </a:solidFill>
              <a:ln w="28575">
                <a:solidFill>
                  <a:schemeClr val="tx1"/>
                </a:solidFill>
              </a:ln>
            </c:spPr>
          </c:marker>
          <c:errBars>
            <c:errDir val="y"/>
            <c:errBarType val="both"/>
            <c:errValType val="fixedVal"/>
            <c:val val="0.1"/>
          </c:errBars>
          <c:cat>
            <c:strRef>
              <c:f>Лист1!$B$1:$F$1</c:f>
              <c:strCache>
                <c:ptCount val="5"/>
                <c:pt idx="0">
                  <c:v>1 год</c:v>
                </c:pt>
                <c:pt idx="1">
                  <c:v>2 год</c:v>
                </c:pt>
                <c:pt idx="2">
                  <c:v>3 год</c:v>
                </c:pt>
                <c:pt idx="3">
                  <c:v>4 год</c:v>
                </c:pt>
                <c:pt idx="4">
                  <c:v>5 год</c:v>
                </c:pt>
              </c:strCache>
            </c:strRef>
          </c:cat>
          <c:val>
            <c:numRef>
              <c:f>Лист1!$B$2:$F$2</c:f>
              <c:numCache>
                <c:formatCode>General</c:formatCode>
                <c:ptCount val="5"/>
                <c:pt idx="0">
                  <c:v>0.48000000000000015</c:v>
                </c:pt>
                <c:pt idx="1">
                  <c:v>0.72000000000000031</c:v>
                </c:pt>
                <c:pt idx="2">
                  <c:v>0.83000000000000029</c:v>
                </c:pt>
                <c:pt idx="3">
                  <c:v>0.9</c:v>
                </c:pt>
                <c:pt idx="4">
                  <c:v>0.83000000000000029</c:v>
                </c:pt>
              </c:numCache>
            </c:numRef>
          </c:val>
        </c:ser>
        <c:ser>
          <c:idx val="1"/>
          <c:order val="1"/>
          <c:tx>
            <c:strRef>
              <c:f>Лист1!$A$3</c:f>
              <c:strCache>
                <c:ptCount val="1"/>
                <c:pt idx="0">
                  <c:v>ГЕКМ, 5 мг/кг</c:v>
                </c:pt>
              </c:strCache>
            </c:strRef>
          </c:tx>
          <c:cat>
            <c:strRef>
              <c:f>Лист1!$B$1:$F$1</c:f>
              <c:strCache>
                <c:ptCount val="5"/>
                <c:pt idx="0">
                  <c:v>1 год</c:v>
                </c:pt>
                <c:pt idx="1">
                  <c:v>2 год</c:v>
                </c:pt>
                <c:pt idx="2">
                  <c:v>3 год</c:v>
                </c:pt>
                <c:pt idx="3">
                  <c:v>4 год</c:v>
                </c:pt>
                <c:pt idx="4">
                  <c:v>5 год</c:v>
                </c:pt>
              </c:strCache>
            </c:strRef>
          </c:cat>
          <c:val>
            <c:numRef>
              <c:f>Лист1!$B$3:$F$3</c:f>
              <c:numCache>
                <c:formatCode>General</c:formatCode>
                <c:ptCount val="5"/>
                <c:pt idx="0">
                  <c:v>0.25</c:v>
                </c:pt>
                <c:pt idx="1">
                  <c:v>0.43000000000000016</c:v>
                </c:pt>
                <c:pt idx="2">
                  <c:v>0.58000000000000007</c:v>
                </c:pt>
                <c:pt idx="3">
                  <c:v>0.63000000000000034</c:v>
                </c:pt>
                <c:pt idx="4">
                  <c:v>0.47000000000000008</c:v>
                </c:pt>
              </c:numCache>
            </c:numRef>
          </c:val>
        </c:ser>
        <c:ser>
          <c:idx val="2"/>
          <c:order val="2"/>
          <c:tx>
            <c:strRef>
              <c:f>Лист1!$A$4</c:f>
              <c:strCache>
                <c:ptCount val="1"/>
                <c:pt idx="0">
                  <c:v>ГЕКМ, 10 мг/кг</c:v>
                </c:pt>
              </c:strCache>
            </c:strRef>
          </c:tx>
          <c:cat>
            <c:strRef>
              <c:f>Лист1!$B$1:$F$1</c:f>
              <c:strCache>
                <c:ptCount val="5"/>
                <c:pt idx="0">
                  <c:v>1 год</c:v>
                </c:pt>
                <c:pt idx="1">
                  <c:v>2 год</c:v>
                </c:pt>
                <c:pt idx="2">
                  <c:v>3 год</c:v>
                </c:pt>
                <c:pt idx="3">
                  <c:v>4 год</c:v>
                </c:pt>
                <c:pt idx="4">
                  <c:v>5 год</c:v>
                </c:pt>
              </c:strCache>
            </c:strRef>
          </c:cat>
          <c:val>
            <c:numRef>
              <c:f>Лист1!$B$4:$F$4</c:f>
              <c:numCache>
                <c:formatCode>General</c:formatCode>
                <c:ptCount val="5"/>
                <c:pt idx="0">
                  <c:v>0.28000000000000008</c:v>
                </c:pt>
                <c:pt idx="1">
                  <c:v>0.55000000000000004</c:v>
                </c:pt>
                <c:pt idx="2">
                  <c:v>0.53</c:v>
                </c:pt>
                <c:pt idx="3">
                  <c:v>0.62000000000000033</c:v>
                </c:pt>
                <c:pt idx="4">
                  <c:v>0.2</c:v>
                </c:pt>
              </c:numCache>
            </c:numRef>
          </c:val>
        </c:ser>
        <c:ser>
          <c:idx val="3"/>
          <c:order val="3"/>
          <c:tx>
            <c:strRef>
              <c:f>Лист1!$A$5</c:f>
              <c:strCache>
                <c:ptCount val="1"/>
                <c:pt idx="0">
                  <c:v>ГЕКМ, 20 мг/кг</c:v>
                </c:pt>
              </c:strCache>
            </c:strRef>
          </c:tx>
          <c:cat>
            <c:strRef>
              <c:f>Лист1!$B$1:$F$1</c:f>
              <c:strCache>
                <c:ptCount val="5"/>
                <c:pt idx="0">
                  <c:v>1 год</c:v>
                </c:pt>
                <c:pt idx="1">
                  <c:v>2 год</c:v>
                </c:pt>
                <c:pt idx="2">
                  <c:v>3 год</c:v>
                </c:pt>
                <c:pt idx="3">
                  <c:v>4 год</c:v>
                </c:pt>
                <c:pt idx="4">
                  <c:v>5 год</c:v>
                </c:pt>
              </c:strCache>
            </c:strRef>
          </c:cat>
          <c:val>
            <c:numRef>
              <c:f>Лист1!$B$5:$F$5</c:f>
              <c:numCache>
                <c:formatCode>General</c:formatCode>
                <c:ptCount val="5"/>
                <c:pt idx="0">
                  <c:v>0.25</c:v>
                </c:pt>
                <c:pt idx="1">
                  <c:v>0.48000000000000015</c:v>
                </c:pt>
                <c:pt idx="2">
                  <c:v>0.53</c:v>
                </c:pt>
                <c:pt idx="3">
                  <c:v>0.62000000000000033</c:v>
                </c:pt>
                <c:pt idx="4">
                  <c:v>0.38000000000000017</c:v>
                </c:pt>
              </c:numCache>
            </c:numRef>
          </c:val>
        </c:ser>
        <c:ser>
          <c:idx val="4"/>
          <c:order val="4"/>
          <c:tx>
            <c:strRef>
              <c:f>Лист1!$A$6</c:f>
              <c:strCache>
                <c:ptCount val="1"/>
                <c:pt idx="0">
                  <c:v>ГЕКМ, 30 мг/кг</c:v>
                </c:pt>
              </c:strCache>
            </c:strRef>
          </c:tx>
          <c:spPr>
            <a:ln>
              <a:solidFill>
                <a:schemeClr val="accent1">
                  <a:lumMod val="75000"/>
                </a:schemeClr>
              </a:solidFill>
            </a:ln>
          </c:spPr>
          <c:marker>
            <c:symbol val="star"/>
            <c:size val="11"/>
            <c:spPr>
              <a:gradFill>
                <a:gsLst>
                  <a:gs pos="0">
                    <a:schemeClr val="accent1">
                      <a:tint val="66000"/>
                      <a:satMod val="160000"/>
                    </a:schemeClr>
                  </a:gs>
                  <a:gs pos="50000">
                    <a:schemeClr val="accent1">
                      <a:tint val="44500"/>
                      <a:satMod val="160000"/>
                    </a:schemeClr>
                  </a:gs>
                  <a:gs pos="100000">
                    <a:schemeClr val="accent1">
                      <a:tint val="23500"/>
                      <a:satMod val="160000"/>
                    </a:schemeClr>
                  </a:gs>
                </a:gsLst>
                <a:lin ang="5400000" scaled="0"/>
              </a:gradFill>
              <a:ln w="25400">
                <a:solidFill>
                  <a:schemeClr val="accent1">
                    <a:lumMod val="75000"/>
                  </a:schemeClr>
                </a:solidFill>
              </a:ln>
            </c:spPr>
          </c:marker>
          <c:errBars>
            <c:errDir val="y"/>
            <c:errBarType val="both"/>
            <c:errValType val="fixedVal"/>
            <c:val val="0.05"/>
          </c:errBars>
          <c:cat>
            <c:strRef>
              <c:f>Лист1!$B$1:$F$1</c:f>
              <c:strCache>
                <c:ptCount val="5"/>
                <c:pt idx="0">
                  <c:v>1 год</c:v>
                </c:pt>
                <c:pt idx="1">
                  <c:v>2 год</c:v>
                </c:pt>
                <c:pt idx="2">
                  <c:v>3 год</c:v>
                </c:pt>
                <c:pt idx="3">
                  <c:v>4 год</c:v>
                </c:pt>
                <c:pt idx="4">
                  <c:v>5 год</c:v>
                </c:pt>
              </c:strCache>
            </c:strRef>
          </c:cat>
          <c:val>
            <c:numRef>
              <c:f>Лист1!$B$6:$F$6</c:f>
              <c:numCache>
                <c:formatCode>General</c:formatCode>
                <c:ptCount val="5"/>
                <c:pt idx="0">
                  <c:v>0.18000000000000008</c:v>
                </c:pt>
                <c:pt idx="1">
                  <c:v>0.37000000000000016</c:v>
                </c:pt>
                <c:pt idx="2">
                  <c:v>0.37000000000000016</c:v>
                </c:pt>
                <c:pt idx="3">
                  <c:v>0.43000000000000016</c:v>
                </c:pt>
                <c:pt idx="4">
                  <c:v>0.22</c:v>
                </c:pt>
              </c:numCache>
            </c:numRef>
          </c:val>
        </c:ser>
        <c:ser>
          <c:idx val="5"/>
          <c:order val="5"/>
          <c:tx>
            <c:strRef>
              <c:f>Лист1!$A$7</c:f>
              <c:strCache>
                <c:ptCount val="1"/>
                <c:pt idx="0">
                  <c:v>ГЕКМ, 50 мг/кг</c:v>
                </c:pt>
              </c:strCache>
            </c:strRef>
          </c:tx>
          <c:cat>
            <c:strRef>
              <c:f>Лист1!$B$1:$F$1</c:f>
              <c:strCache>
                <c:ptCount val="5"/>
                <c:pt idx="0">
                  <c:v>1 год</c:v>
                </c:pt>
                <c:pt idx="1">
                  <c:v>2 год</c:v>
                </c:pt>
                <c:pt idx="2">
                  <c:v>3 год</c:v>
                </c:pt>
                <c:pt idx="3">
                  <c:v>4 год</c:v>
                </c:pt>
                <c:pt idx="4">
                  <c:v>5 год</c:v>
                </c:pt>
              </c:strCache>
            </c:strRef>
          </c:cat>
          <c:val>
            <c:numRef>
              <c:f>Лист1!$B$7:$F$7</c:f>
              <c:numCache>
                <c:formatCode>General</c:formatCode>
                <c:ptCount val="5"/>
                <c:pt idx="0">
                  <c:v>0.33000000000000024</c:v>
                </c:pt>
                <c:pt idx="1">
                  <c:v>0.60000000000000031</c:v>
                </c:pt>
                <c:pt idx="2">
                  <c:v>0.53</c:v>
                </c:pt>
                <c:pt idx="3">
                  <c:v>0.68</c:v>
                </c:pt>
                <c:pt idx="4">
                  <c:v>0.28000000000000008</c:v>
                </c:pt>
              </c:numCache>
            </c:numRef>
          </c:val>
        </c:ser>
        <c:ser>
          <c:idx val="6"/>
          <c:order val="6"/>
          <c:tx>
            <c:strRef>
              <c:f>Лист1!$A$8</c:f>
              <c:strCache>
                <c:ptCount val="1"/>
                <c:pt idx="0">
                  <c:v>Диклофенак натрію, 8 мг/кг</c:v>
                </c:pt>
              </c:strCache>
            </c:strRef>
          </c:tx>
          <c:spPr>
            <a:ln>
              <a:solidFill>
                <a:schemeClr val="bg2">
                  <a:lumMod val="25000"/>
                </a:schemeClr>
              </a:solidFill>
            </a:ln>
          </c:spPr>
          <c:marker>
            <c:symbol val="diamond"/>
            <c:size val="12"/>
            <c:spPr>
              <a:ln w="28575">
                <a:solidFill>
                  <a:srgbClr val="EEECE1">
                    <a:lumMod val="25000"/>
                  </a:srgbClr>
                </a:solidFill>
              </a:ln>
            </c:spPr>
          </c:marker>
          <c:errBars>
            <c:errDir val="y"/>
            <c:errBarType val="both"/>
            <c:errValType val="fixedVal"/>
            <c:val val="0.05"/>
          </c:errBars>
          <c:cat>
            <c:strRef>
              <c:f>Лист1!$B$1:$F$1</c:f>
              <c:strCache>
                <c:ptCount val="5"/>
                <c:pt idx="0">
                  <c:v>1 год</c:v>
                </c:pt>
                <c:pt idx="1">
                  <c:v>2 год</c:v>
                </c:pt>
                <c:pt idx="2">
                  <c:v>3 год</c:v>
                </c:pt>
                <c:pt idx="3">
                  <c:v>4 год</c:v>
                </c:pt>
                <c:pt idx="4">
                  <c:v>5 год</c:v>
                </c:pt>
              </c:strCache>
            </c:strRef>
          </c:cat>
          <c:val>
            <c:numRef>
              <c:f>Лист1!$B$8:$F$8</c:f>
              <c:numCache>
                <c:formatCode>General</c:formatCode>
                <c:ptCount val="5"/>
                <c:pt idx="0">
                  <c:v>0.30000000000000016</c:v>
                </c:pt>
                <c:pt idx="1">
                  <c:v>0.27</c:v>
                </c:pt>
                <c:pt idx="2">
                  <c:v>0.17</c:v>
                </c:pt>
                <c:pt idx="3">
                  <c:v>0.32000000000000017</c:v>
                </c:pt>
                <c:pt idx="4">
                  <c:v>0.2</c:v>
                </c:pt>
              </c:numCache>
            </c:numRef>
          </c:val>
        </c:ser>
        <c:marker val="1"/>
        <c:axId val="63553536"/>
        <c:axId val="63679104"/>
      </c:lineChart>
      <c:catAx>
        <c:axId val="63553536"/>
        <c:scaling>
          <c:orientation val="minMax"/>
        </c:scaling>
        <c:axPos val="b"/>
        <c:tickLblPos val="nextTo"/>
        <c:crossAx val="63679104"/>
        <c:crosses val="autoZero"/>
        <c:auto val="1"/>
        <c:lblAlgn val="ctr"/>
        <c:lblOffset val="100"/>
      </c:catAx>
      <c:valAx>
        <c:axId val="63679104"/>
        <c:scaling>
          <c:orientation val="minMax"/>
        </c:scaling>
        <c:axPos val="l"/>
        <c:majorGridlines/>
        <c:numFmt formatCode="General" sourceLinked="1"/>
        <c:tickLblPos val="nextTo"/>
        <c:crossAx val="63553536"/>
        <c:crosses val="autoZero"/>
        <c:crossBetween val="between"/>
      </c:valAx>
      <c:spPr>
        <a:ln>
          <a:solidFill>
            <a:schemeClr val="tx1"/>
          </a:solidFill>
        </a:ln>
      </c:spPr>
    </c:plotArea>
    <c:legend>
      <c:legendPos val="r"/>
      <c:layout>
        <c:manualLayout>
          <c:xMode val="edge"/>
          <c:yMode val="edge"/>
          <c:x val="5.2002925863775459E-3"/>
          <c:y val="0.80544587723636063"/>
          <c:w val="0.9765847711658997"/>
          <c:h val="0.19166850520496517"/>
        </c:manualLayout>
      </c:layout>
    </c:legend>
    <c:plotVisOnly val="1"/>
  </c:chart>
  <c:txPr>
    <a:bodyPr/>
    <a:lstStyle/>
    <a:p>
      <a:pPr>
        <a:defRPr sz="1200" baseline="0">
          <a:latin typeface="Times New Roman" pitchFamily="18" charset="0"/>
        </a:defRPr>
      </a:pPr>
      <a:endParaRPr lang="ru-RU"/>
    </a:p>
  </c:txPr>
  <c:externalData r:id="rId1"/>
  <c:userShapes r:id="rId2"/>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ru-RU"/>
  <c:chart>
    <c:plotArea>
      <c:layout>
        <c:manualLayout>
          <c:layoutTarget val="inner"/>
          <c:xMode val="edge"/>
          <c:yMode val="edge"/>
          <c:x val="5.4508650128411475E-2"/>
          <c:y val="3.7382221161748719E-2"/>
          <c:w val="0.92529506392346161"/>
          <c:h val="0.66133540125666113"/>
        </c:manualLayout>
      </c:layout>
      <c:barChart>
        <c:barDir val="col"/>
        <c:grouping val="clustered"/>
        <c:ser>
          <c:idx val="0"/>
          <c:order val="0"/>
          <c:tx>
            <c:strRef>
              <c:f>Лист1!$A$34</c:f>
              <c:strCache>
                <c:ptCount val="1"/>
                <c:pt idx="0">
                  <c:v>ГЕКМ, 5 мг/кг</c:v>
                </c:pt>
              </c:strCache>
            </c:strRef>
          </c:tx>
          <c:spPr>
            <a:gradFill flip="none" rotWithShape="1">
              <a:gsLst>
                <a:gs pos="0">
                  <a:srgbClr val="FFFFFF"/>
                </a:gs>
                <a:gs pos="16000">
                  <a:srgbClr val="1F1F1F"/>
                </a:gs>
                <a:gs pos="17999">
                  <a:srgbClr val="FFFFFF"/>
                </a:gs>
                <a:gs pos="42000">
                  <a:srgbClr val="636363"/>
                </a:gs>
                <a:gs pos="53000">
                  <a:srgbClr val="CFCFCF"/>
                </a:gs>
                <a:gs pos="66000">
                  <a:srgbClr val="CFCFCF"/>
                </a:gs>
                <a:gs pos="75999">
                  <a:srgbClr val="1F1F1F"/>
                </a:gs>
                <a:gs pos="78999">
                  <a:srgbClr val="FFFFFF"/>
                </a:gs>
                <a:gs pos="100000">
                  <a:srgbClr val="7F7F7F"/>
                </a:gs>
              </a:gsLst>
              <a:lin ang="0" scaled="1"/>
              <a:tileRect/>
            </a:gradFill>
            <a:ln w="9525">
              <a:solidFill>
                <a:schemeClr val="tx1"/>
              </a:solidFill>
            </a:ln>
          </c:spPr>
          <c:dLbls>
            <c:txPr>
              <a:bodyPr/>
              <a:lstStyle/>
              <a:p>
                <a:pPr>
                  <a:defRPr sz="1000"/>
                </a:pPr>
                <a:endParaRPr lang="ru-RU"/>
              </a:p>
            </c:txPr>
            <c:showVal val="1"/>
          </c:dLbls>
          <c:cat>
            <c:strRef>
              <c:f>Лист1!$B$33:$F$33</c:f>
              <c:strCache>
                <c:ptCount val="5"/>
                <c:pt idx="0">
                  <c:v>1 год</c:v>
                </c:pt>
                <c:pt idx="1">
                  <c:v>2 год</c:v>
                </c:pt>
                <c:pt idx="2">
                  <c:v>3 год</c:v>
                </c:pt>
                <c:pt idx="3">
                  <c:v>4 год</c:v>
                </c:pt>
                <c:pt idx="4">
                  <c:v>5 год</c:v>
                </c:pt>
              </c:strCache>
            </c:strRef>
          </c:cat>
          <c:val>
            <c:numRef>
              <c:f>Лист1!$B$34:$F$34</c:f>
              <c:numCache>
                <c:formatCode>General</c:formatCode>
                <c:ptCount val="5"/>
                <c:pt idx="0">
                  <c:v>47.9</c:v>
                </c:pt>
                <c:pt idx="1">
                  <c:v>40.300000000000004</c:v>
                </c:pt>
                <c:pt idx="2">
                  <c:v>30.1</c:v>
                </c:pt>
                <c:pt idx="3">
                  <c:v>30</c:v>
                </c:pt>
                <c:pt idx="4">
                  <c:v>30</c:v>
                </c:pt>
              </c:numCache>
            </c:numRef>
          </c:val>
        </c:ser>
        <c:ser>
          <c:idx val="1"/>
          <c:order val="1"/>
          <c:tx>
            <c:strRef>
              <c:f>Лист1!$A$35</c:f>
              <c:strCache>
                <c:ptCount val="1"/>
                <c:pt idx="0">
                  <c:v>ГЕКМ, 10 мг/кг</c:v>
                </c:pt>
              </c:strCache>
            </c:strRef>
          </c:tx>
          <c:spPr>
            <a:gradFill flip="none" rotWithShape="1">
              <a:gsLst>
                <a:gs pos="0">
                  <a:srgbClr val="825600"/>
                </a:gs>
                <a:gs pos="13000">
                  <a:srgbClr val="FFA800"/>
                </a:gs>
                <a:gs pos="28000">
                  <a:srgbClr val="825600"/>
                </a:gs>
                <a:gs pos="42999">
                  <a:srgbClr val="FFA800"/>
                </a:gs>
                <a:gs pos="58000">
                  <a:srgbClr val="825600"/>
                </a:gs>
                <a:gs pos="72000">
                  <a:srgbClr val="FFA800"/>
                </a:gs>
                <a:gs pos="87000">
                  <a:srgbClr val="825600"/>
                </a:gs>
                <a:gs pos="100000">
                  <a:srgbClr val="FFA800"/>
                </a:gs>
              </a:gsLst>
              <a:lin ang="5400000" scaled="0"/>
              <a:tileRect/>
            </a:gradFill>
          </c:spPr>
          <c:dLbls>
            <c:dLbl>
              <c:idx val="1"/>
              <c:layout>
                <c:manualLayout>
                  <c:x val="8.3004772774434247E-3"/>
                  <c:y val="0"/>
                </c:manualLayout>
              </c:layout>
              <c:showVal val="1"/>
            </c:dLbl>
            <c:dLbl>
              <c:idx val="2"/>
              <c:layout>
                <c:manualLayout>
                  <c:x val="2.0751193193608631E-3"/>
                  <c:y val="-2.3392473517693857E-2"/>
                </c:manualLayout>
              </c:layout>
              <c:showVal val="1"/>
            </c:dLbl>
            <c:dLbl>
              <c:idx val="3"/>
              <c:layout>
                <c:manualLayout>
                  <c:x val="0"/>
                  <c:y val="-2.3392473517693857E-2"/>
                </c:manualLayout>
              </c:layout>
              <c:showVal val="1"/>
            </c:dLbl>
            <c:txPr>
              <a:bodyPr/>
              <a:lstStyle/>
              <a:p>
                <a:pPr>
                  <a:defRPr sz="1000"/>
                </a:pPr>
                <a:endParaRPr lang="ru-RU"/>
              </a:p>
            </c:txPr>
            <c:showVal val="1"/>
          </c:dLbls>
          <c:cat>
            <c:strRef>
              <c:f>Лист1!$B$33:$F$33</c:f>
              <c:strCache>
                <c:ptCount val="5"/>
                <c:pt idx="0">
                  <c:v>1 год</c:v>
                </c:pt>
                <c:pt idx="1">
                  <c:v>2 год</c:v>
                </c:pt>
                <c:pt idx="2">
                  <c:v>3 год</c:v>
                </c:pt>
                <c:pt idx="3">
                  <c:v>4 год</c:v>
                </c:pt>
                <c:pt idx="4">
                  <c:v>5 год</c:v>
                </c:pt>
              </c:strCache>
            </c:strRef>
          </c:cat>
          <c:val>
            <c:numRef>
              <c:f>Лист1!$B$35:$F$35</c:f>
              <c:numCache>
                <c:formatCode>General</c:formatCode>
                <c:ptCount val="5"/>
                <c:pt idx="0">
                  <c:v>41.7</c:v>
                </c:pt>
                <c:pt idx="1">
                  <c:v>23.6</c:v>
                </c:pt>
                <c:pt idx="2">
                  <c:v>36.1</c:v>
                </c:pt>
                <c:pt idx="3">
                  <c:v>31.1</c:v>
                </c:pt>
                <c:pt idx="4">
                  <c:v>32</c:v>
                </c:pt>
              </c:numCache>
            </c:numRef>
          </c:val>
        </c:ser>
        <c:ser>
          <c:idx val="2"/>
          <c:order val="2"/>
          <c:tx>
            <c:strRef>
              <c:f>Лист1!$A$36</c:f>
              <c:strCache>
                <c:ptCount val="1"/>
                <c:pt idx="0">
                  <c:v>ГЕКМ, 20 мг/кг</c:v>
                </c:pt>
              </c:strCache>
            </c:strRef>
          </c:tx>
          <c:spPr>
            <a:gradFill flip="none" rotWithShape="1">
              <a:gsLst>
                <a:gs pos="0">
                  <a:srgbClr val="825600"/>
                </a:gs>
                <a:gs pos="13000">
                  <a:srgbClr val="FFA800"/>
                </a:gs>
                <a:gs pos="28000">
                  <a:srgbClr val="825600"/>
                </a:gs>
                <a:gs pos="42999">
                  <a:srgbClr val="FFA800"/>
                </a:gs>
                <a:gs pos="58000">
                  <a:srgbClr val="825600"/>
                </a:gs>
                <a:gs pos="72000">
                  <a:srgbClr val="FFA800"/>
                </a:gs>
                <a:gs pos="87000">
                  <a:srgbClr val="825600"/>
                </a:gs>
                <a:gs pos="100000">
                  <a:srgbClr val="FFA800"/>
                </a:gs>
              </a:gsLst>
              <a:lin ang="13500000" scaled="1"/>
              <a:tileRect/>
            </a:gradFill>
          </c:spPr>
          <c:dLbls>
            <c:dLbl>
              <c:idx val="2"/>
              <c:layout>
                <c:manualLayout>
                  <c:x val="8.3004772774434663E-3"/>
                  <c:y val="1.559498234512924E-2"/>
                </c:manualLayout>
              </c:layout>
              <c:showVal val="1"/>
            </c:dLbl>
            <c:dLbl>
              <c:idx val="3"/>
              <c:layout>
                <c:manualLayout>
                  <c:x val="7.6086829415019036E-17"/>
                  <c:y val="1.559498234512924E-2"/>
                </c:manualLayout>
              </c:layout>
              <c:showVal val="1"/>
            </c:dLbl>
            <c:txPr>
              <a:bodyPr/>
              <a:lstStyle/>
              <a:p>
                <a:pPr>
                  <a:defRPr sz="1000"/>
                </a:pPr>
                <a:endParaRPr lang="ru-RU"/>
              </a:p>
            </c:txPr>
            <c:showVal val="1"/>
          </c:dLbls>
          <c:cat>
            <c:strRef>
              <c:f>Лист1!$B$33:$F$33</c:f>
              <c:strCache>
                <c:ptCount val="5"/>
                <c:pt idx="0">
                  <c:v>1 год</c:v>
                </c:pt>
                <c:pt idx="1">
                  <c:v>2 год</c:v>
                </c:pt>
                <c:pt idx="2">
                  <c:v>3 год</c:v>
                </c:pt>
                <c:pt idx="3">
                  <c:v>4 год</c:v>
                </c:pt>
                <c:pt idx="4">
                  <c:v>5 год</c:v>
                </c:pt>
              </c:strCache>
            </c:strRef>
          </c:cat>
          <c:val>
            <c:numRef>
              <c:f>Лист1!$B$36:$F$36</c:f>
              <c:numCache>
                <c:formatCode>General</c:formatCode>
                <c:ptCount val="5"/>
                <c:pt idx="0">
                  <c:v>47.9</c:v>
                </c:pt>
                <c:pt idx="1">
                  <c:v>33.300000000000004</c:v>
                </c:pt>
                <c:pt idx="2">
                  <c:v>36.1</c:v>
                </c:pt>
                <c:pt idx="3">
                  <c:v>31.1</c:v>
                </c:pt>
                <c:pt idx="4">
                  <c:v>54.2</c:v>
                </c:pt>
              </c:numCache>
            </c:numRef>
          </c:val>
        </c:ser>
        <c:ser>
          <c:idx val="3"/>
          <c:order val="3"/>
          <c:tx>
            <c:strRef>
              <c:f>Лист1!$A$37</c:f>
              <c:strCache>
                <c:ptCount val="1"/>
                <c:pt idx="0">
                  <c:v>ГЕКМ, 30 мг/кг</c:v>
                </c:pt>
              </c:strCache>
            </c:strRef>
          </c:tx>
          <c:spPr>
            <a:gradFill flip="none" rotWithShape="1">
              <a:gsLst>
                <a:gs pos="0">
                  <a:srgbClr val="000082"/>
                </a:gs>
                <a:gs pos="13000">
                  <a:srgbClr val="0047FF"/>
                </a:gs>
                <a:gs pos="28000">
                  <a:srgbClr val="000082"/>
                </a:gs>
                <a:gs pos="42999">
                  <a:srgbClr val="0047FF"/>
                </a:gs>
                <a:gs pos="58000">
                  <a:srgbClr val="000082"/>
                </a:gs>
                <a:gs pos="72000">
                  <a:srgbClr val="0047FF"/>
                </a:gs>
                <a:gs pos="87000">
                  <a:srgbClr val="000082"/>
                </a:gs>
                <a:gs pos="100000">
                  <a:srgbClr val="0047FF"/>
                </a:gs>
              </a:gsLst>
              <a:lin ang="0" scaled="0"/>
              <a:tileRect/>
            </a:gradFill>
          </c:spPr>
          <c:dLbls>
            <c:showVal val="1"/>
          </c:dLbls>
          <c:cat>
            <c:strRef>
              <c:f>Лист1!$B$33:$F$33</c:f>
              <c:strCache>
                <c:ptCount val="5"/>
                <c:pt idx="0">
                  <c:v>1 год</c:v>
                </c:pt>
                <c:pt idx="1">
                  <c:v>2 год</c:v>
                </c:pt>
                <c:pt idx="2">
                  <c:v>3 год</c:v>
                </c:pt>
                <c:pt idx="3">
                  <c:v>4 год</c:v>
                </c:pt>
                <c:pt idx="4">
                  <c:v>5 год</c:v>
                </c:pt>
              </c:strCache>
            </c:strRef>
          </c:cat>
          <c:val>
            <c:numRef>
              <c:f>Лист1!$B$37:$F$37</c:f>
              <c:numCache>
                <c:formatCode>General</c:formatCode>
                <c:ptCount val="5"/>
                <c:pt idx="0">
                  <c:v>62.5</c:v>
                </c:pt>
                <c:pt idx="1">
                  <c:v>48.6</c:v>
                </c:pt>
                <c:pt idx="2">
                  <c:v>55.4</c:v>
                </c:pt>
                <c:pt idx="3">
                  <c:v>52.2</c:v>
                </c:pt>
                <c:pt idx="4">
                  <c:v>73.5</c:v>
                </c:pt>
              </c:numCache>
            </c:numRef>
          </c:val>
        </c:ser>
        <c:ser>
          <c:idx val="4"/>
          <c:order val="4"/>
          <c:tx>
            <c:strRef>
              <c:f>Лист1!$A$38</c:f>
              <c:strCache>
                <c:ptCount val="1"/>
                <c:pt idx="0">
                  <c:v>ГЕКМ, 50 мг/кг</c:v>
                </c:pt>
              </c:strCache>
            </c:strRef>
          </c:tx>
          <c:spPr>
            <a:gradFill flip="none" rotWithShape="1">
              <a:gsLst>
                <a:gs pos="0">
                  <a:srgbClr val="825600"/>
                </a:gs>
                <a:gs pos="13000">
                  <a:srgbClr val="FFA800"/>
                </a:gs>
                <a:gs pos="28000">
                  <a:srgbClr val="825600"/>
                </a:gs>
                <a:gs pos="42999">
                  <a:srgbClr val="FFA800"/>
                </a:gs>
                <a:gs pos="58000">
                  <a:srgbClr val="825600"/>
                </a:gs>
                <a:gs pos="72000">
                  <a:srgbClr val="FFA800"/>
                </a:gs>
                <a:gs pos="87000">
                  <a:srgbClr val="825600"/>
                </a:gs>
                <a:gs pos="100000">
                  <a:srgbClr val="FFA800"/>
                </a:gs>
              </a:gsLst>
              <a:lin ang="8100000" scaled="1"/>
              <a:tileRect/>
            </a:gradFill>
          </c:spPr>
          <c:dLbls>
            <c:dLbl>
              <c:idx val="0"/>
              <c:layout>
                <c:manualLayout>
                  <c:x val="1.2450715916165181E-2"/>
                  <c:y val="2.7291219103976201E-2"/>
                </c:manualLayout>
              </c:layout>
              <c:showVal val="1"/>
            </c:dLbl>
            <c:dLbl>
              <c:idx val="1"/>
              <c:layout>
                <c:manualLayout>
                  <c:x val="8.3004772774434663E-3"/>
                  <c:y val="1.559498234512924E-2"/>
                </c:manualLayout>
              </c:layout>
              <c:showVal val="1"/>
            </c:dLbl>
            <c:dLbl>
              <c:idx val="2"/>
              <c:layout>
                <c:manualLayout>
                  <c:x val="1.2450715916165261E-2"/>
                  <c:y val="1.9493727931411547E-2"/>
                </c:manualLayout>
              </c:layout>
              <c:showVal val="1"/>
            </c:dLbl>
            <c:dLbl>
              <c:idx val="3"/>
              <c:layout>
                <c:manualLayout>
                  <c:x val="8.3004772774434663E-3"/>
                  <c:y val="0"/>
                </c:manualLayout>
              </c:layout>
              <c:showVal val="1"/>
            </c:dLbl>
            <c:dLbl>
              <c:idx val="4"/>
              <c:layout>
                <c:manualLayout>
                  <c:x val="8.3004772774434663E-3"/>
                  <c:y val="3.1189964690258476E-2"/>
                </c:manualLayout>
              </c:layout>
              <c:showVal val="1"/>
            </c:dLbl>
            <c:showVal val="1"/>
          </c:dLbls>
          <c:cat>
            <c:strRef>
              <c:f>Лист1!$B$33:$F$33</c:f>
              <c:strCache>
                <c:ptCount val="5"/>
                <c:pt idx="0">
                  <c:v>1 год</c:v>
                </c:pt>
                <c:pt idx="1">
                  <c:v>2 год</c:v>
                </c:pt>
                <c:pt idx="2">
                  <c:v>3 год</c:v>
                </c:pt>
                <c:pt idx="3">
                  <c:v>4 год</c:v>
                </c:pt>
                <c:pt idx="4">
                  <c:v>5 год</c:v>
                </c:pt>
              </c:strCache>
            </c:strRef>
          </c:cat>
          <c:val>
            <c:numRef>
              <c:f>Лист1!$B$38:$F$38</c:f>
              <c:numCache>
                <c:formatCode>General</c:formatCode>
                <c:ptCount val="5"/>
                <c:pt idx="0">
                  <c:v>31.3</c:v>
                </c:pt>
                <c:pt idx="1">
                  <c:v>16.7</c:v>
                </c:pt>
                <c:pt idx="2">
                  <c:v>36.1</c:v>
                </c:pt>
                <c:pt idx="3">
                  <c:v>24.4</c:v>
                </c:pt>
                <c:pt idx="4">
                  <c:v>66.3</c:v>
                </c:pt>
              </c:numCache>
            </c:numRef>
          </c:val>
        </c:ser>
        <c:ser>
          <c:idx val="5"/>
          <c:order val="5"/>
          <c:tx>
            <c:strRef>
              <c:f>Лист1!$A$39</c:f>
              <c:strCache>
                <c:ptCount val="1"/>
                <c:pt idx="0">
                  <c:v>диклофенак натрію, 8 мг/кг</c:v>
                </c:pt>
              </c:strCache>
            </c:strRef>
          </c:tx>
          <c:spPr>
            <a:gradFill flip="none" rotWithShape="1">
              <a:gsLst>
                <a:gs pos="0">
                  <a:srgbClr val="DDEBCF"/>
                </a:gs>
                <a:gs pos="50000">
                  <a:srgbClr val="9CB86E"/>
                </a:gs>
                <a:gs pos="100000">
                  <a:srgbClr val="156B13"/>
                </a:gs>
              </a:gsLst>
              <a:lin ang="0" scaled="0"/>
              <a:tileRect/>
            </a:gradFill>
          </c:spPr>
          <c:dLbls>
            <c:showVal val="1"/>
          </c:dLbls>
          <c:cat>
            <c:strRef>
              <c:f>Лист1!$B$33:$F$33</c:f>
              <c:strCache>
                <c:ptCount val="5"/>
                <c:pt idx="0">
                  <c:v>1 год</c:v>
                </c:pt>
                <c:pt idx="1">
                  <c:v>2 год</c:v>
                </c:pt>
                <c:pt idx="2">
                  <c:v>3 год</c:v>
                </c:pt>
                <c:pt idx="3">
                  <c:v>4 год</c:v>
                </c:pt>
                <c:pt idx="4">
                  <c:v>5 год</c:v>
                </c:pt>
              </c:strCache>
            </c:strRef>
          </c:cat>
          <c:val>
            <c:numRef>
              <c:f>Лист1!$B$39:$F$39</c:f>
              <c:numCache>
                <c:formatCode>General</c:formatCode>
                <c:ptCount val="5"/>
                <c:pt idx="0">
                  <c:v>37.5</c:v>
                </c:pt>
                <c:pt idx="1">
                  <c:v>62.5</c:v>
                </c:pt>
                <c:pt idx="2">
                  <c:v>79.5</c:v>
                </c:pt>
                <c:pt idx="3">
                  <c:v>64.400000000000006</c:v>
                </c:pt>
                <c:pt idx="4">
                  <c:v>75.900000000000006</c:v>
                </c:pt>
              </c:numCache>
            </c:numRef>
          </c:val>
        </c:ser>
        <c:axId val="65787776"/>
        <c:axId val="67665920"/>
      </c:barChart>
      <c:catAx>
        <c:axId val="65787776"/>
        <c:scaling>
          <c:orientation val="minMax"/>
        </c:scaling>
        <c:axPos val="b"/>
        <c:tickLblPos val="nextTo"/>
        <c:crossAx val="67665920"/>
        <c:crosses val="autoZero"/>
        <c:auto val="1"/>
        <c:lblAlgn val="ctr"/>
        <c:lblOffset val="100"/>
      </c:catAx>
      <c:valAx>
        <c:axId val="67665920"/>
        <c:scaling>
          <c:orientation val="minMax"/>
        </c:scaling>
        <c:axPos val="l"/>
        <c:majorGridlines/>
        <c:numFmt formatCode="General" sourceLinked="1"/>
        <c:tickLblPos val="nextTo"/>
        <c:crossAx val="65787776"/>
        <c:crosses val="autoZero"/>
        <c:crossBetween val="between"/>
      </c:valAx>
      <c:spPr>
        <a:ln>
          <a:solidFill>
            <a:sysClr val="windowText" lastClr="000000"/>
          </a:solidFill>
        </a:ln>
      </c:spPr>
    </c:plotArea>
    <c:legend>
      <c:legendPos val="r"/>
      <c:layout>
        <c:manualLayout>
          <c:xMode val="edge"/>
          <c:yMode val="edge"/>
          <c:x val="4.7904072474811613E-2"/>
          <c:y val="0.80555979744956163"/>
          <c:w val="0.87861922501622769"/>
          <c:h val="0.19359420981468226"/>
        </c:manualLayout>
      </c:layout>
    </c:legend>
    <c:plotVisOnly val="1"/>
  </c:chart>
  <c:txPr>
    <a:bodyPr/>
    <a:lstStyle/>
    <a:p>
      <a:pPr>
        <a:defRPr sz="1200">
          <a:latin typeface="Times New Roman" pitchFamily="18" charset="0"/>
          <a:cs typeface="Times New Roman" pitchFamily="18" charset="0"/>
        </a:defRPr>
      </a:pPr>
      <a:endParaRPr lang="ru-RU"/>
    </a:p>
  </c:txPr>
  <c:externalData r:id="rId1"/>
</c:chartSpace>
</file>

<file path=word/drawings/drawing1.xml><?xml version="1.0" encoding="utf-8"?>
<c:userShapes xmlns:c="http://schemas.openxmlformats.org/drawingml/2006/chart">
  <cdr:relSizeAnchor xmlns:cdr="http://schemas.openxmlformats.org/drawingml/2006/chartDrawing">
    <cdr:from>
      <cdr:x>0.71127</cdr:x>
      <cdr:y>0.70471</cdr:y>
    </cdr:from>
    <cdr:to>
      <cdr:x>0.99955</cdr:x>
      <cdr:y>0.78412</cdr:y>
    </cdr:to>
    <cdr:sp macro="" textlink="">
      <cdr:nvSpPr>
        <cdr:cNvPr id="2" name="TextBox 1"/>
        <cdr:cNvSpPr txBox="1"/>
      </cdr:nvSpPr>
      <cdr:spPr>
        <a:xfrm xmlns:a="http://schemas.openxmlformats.org/drawingml/2006/main">
          <a:off x="4434511" y="2984937"/>
          <a:ext cx="1797269" cy="336332"/>
        </a:xfrm>
        <a:prstGeom xmlns:a="http://schemas.openxmlformats.org/drawingml/2006/main" prst="rect">
          <a:avLst/>
        </a:prstGeom>
      </cdr:spPr>
      <cdr:txBody>
        <a:bodyPr xmlns:a="http://schemas.openxmlformats.org/drawingml/2006/main" wrap="square" rtlCol="0"/>
        <a:lstStyle xmlns:a="http://schemas.openxmlformats.org/drawingml/2006/main"/>
        <a:p xmlns:a="http://schemas.openxmlformats.org/drawingml/2006/main">
          <a:r>
            <a:rPr lang="ru-RU" sz="1200"/>
            <a:t>Тривалість досліду, год.</a:t>
          </a:r>
        </a:p>
      </cdr:txBody>
    </cdr:sp>
  </cdr:relSizeAnchor>
</c:userShape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Классическая">
      <a:majorFont>
        <a:latin typeface="Arial"/>
        <a:ea typeface=""/>
        <a:cs typeface=""/>
        <a:font script="Jpan" typeface="ＭＳ Ｐゴシック"/>
        <a:font script="Hang" typeface="돋움"/>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ajorFont>
      <a:minorFont>
        <a:latin typeface="Times New Roman"/>
        <a:ea typeface=""/>
        <a:cs typeface=""/>
        <a:font script="Jpan" typeface="ＭＳ Ｐ明朝"/>
        <a:font script="Hang" typeface="바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118</TotalTime>
  <Pages>9</Pages>
  <Words>2249</Words>
  <Characters>12824</Characters>
  <Application>Microsoft Office Word</Application>
  <DocSecurity>0</DocSecurity>
  <Lines>106</Lines>
  <Paragraphs>30</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15043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farm1</dc:creator>
  <cp:lastModifiedBy>farm1</cp:lastModifiedBy>
  <cp:revision>14</cp:revision>
  <cp:lastPrinted>2020-02-18T08:28:00Z</cp:lastPrinted>
  <dcterms:created xsi:type="dcterms:W3CDTF">2020-02-18T07:31:00Z</dcterms:created>
  <dcterms:modified xsi:type="dcterms:W3CDTF">2020-02-18T09:35:00Z</dcterms:modified>
</cp:coreProperties>
</file>