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4EE5" w:rsidRPr="00C73345" w:rsidRDefault="00194EE5" w:rsidP="00194EE5">
      <w:pPr>
        <w:spacing w:after="0" w:line="360" w:lineRule="auto"/>
        <w:jc w:val="center"/>
        <w:rPr>
          <w:rFonts w:ascii="Times New Roman" w:eastAsia="Calibri" w:hAnsi="Times New Roman" w:cs="Times New Roman"/>
          <w:bCs/>
          <w:i/>
          <w:sz w:val="28"/>
          <w:vertAlign w:val="superscript"/>
          <w:lang w:val="uk-UA"/>
        </w:rPr>
      </w:pPr>
      <w:r w:rsidRPr="00194EE5">
        <w:rPr>
          <w:rFonts w:ascii="Times New Roman" w:eastAsia="Calibri" w:hAnsi="Times New Roman" w:cs="Times New Roman"/>
          <w:b/>
          <w:sz w:val="28"/>
          <w:lang w:val="uk-UA"/>
        </w:rPr>
        <w:t>СУЧАСНЕ МІСЦЕ НЕФРОЛОГІЇ У СИСТЕМИ ОХОРОНИ ЗДОРОВ’Я</w:t>
      </w:r>
      <w:r w:rsidRPr="00194EE5">
        <w:rPr>
          <w:rFonts w:ascii="Times New Roman" w:eastAsia="Calibri" w:hAnsi="Times New Roman" w:cs="Times New Roman"/>
          <w:bCs/>
          <w:i/>
          <w:sz w:val="28"/>
          <w:lang w:val="uk-UA"/>
        </w:rPr>
        <w:t xml:space="preserve"> </w:t>
      </w:r>
      <w:proofErr w:type="spellStart"/>
      <w:r w:rsidRPr="00194EE5">
        <w:rPr>
          <w:rFonts w:ascii="Times New Roman" w:eastAsia="Calibri" w:hAnsi="Times New Roman" w:cs="Times New Roman"/>
          <w:bCs/>
          <w:i/>
          <w:sz w:val="28"/>
          <w:lang w:val="uk-UA"/>
        </w:rPr>
        <w:t>Андон’єва</w:t>
      </w:r>
      <w:proofErr w:type="spellEnd"/>
      <w:r w:rsidRPr="00194EE5">
        <w:rPr>
          <w:rFonts w:ascii="Times New Roman" w:eastAsia="Calibri" w:hAnsi="Times New Roman" w:cs="Times New Roman"/>
          <w:bCs/>
          <w:i/>
          <w:sz w:val="28"/>
          <w:lang w:val="uk-UA"/>
        </w:rPr>
        <w:t xml:space="preserve"> Н. М.</w:t>
      </w:r>
      <w:r w:rsidRPr="00194EE5">
        <w:rPr>
          <w:rFonts w:ascii="Times New Roman" w:eastAsia="Calibri" w:hAnsi="Times New Roman" w:cs="Times New Roman"/>
          <w:bCs/>
          <w:i/>
          <w:sz w:val="28"/>
          <w:vertAlign w:val="superscript"/>
          <w:lang w:val="uk-UA"/>
        </w:rPr>
        <w:t xml:space="preserve"> 1,2</w:t>
      </w:r>
      <w:r w:rsidRPr="00194EE5">
        <w:rPr>
          <w:rFonts w:ascii="Times New Roman" w:eastAsia="Calibri" w:hAnsi="Times New Roman" w:cs="Times New Roman"/>
          <w:bCs/>
          <w:i/>
          <w:sz w:val="28"/>
          <w:lang w:val="uk-UA"/>
        </w:rPr>
        <w:t>, Гуц О. А.</w:t>
      </w:r>
      <w:r w:rsidRPr="00194EE5">
        <w:rPr>
          <w:rFonts w:ascii="Times New Roman" w:eastAsia="Calibri" w:hAnsi="Times New Roman" w:cs="Times New Roman"/>
          <w:bCs/>
          <w:i/>
          <w:sz w:val="28"/>
          <w:vertAlign w:val="superscript"/>
          <w:lang w:val="uk-UA"/>
        </w:rPr>
        <w:t xml:space="preserve"> 1,2</w:t>
      </w:r>
      <w:r w:rsidRPr="00194EE5">
        <w:rPr>
          <w:rFonts w:ascii="Times New Roman" w:eastAsia="Calibri" w:hAnsi="Times New Roman" w:cs="Times New Roman"/>
          <w:bCs/>
          <w:i/>
          <w:sz w:val="28"/>
          <w:lang w:val="uk-UA"/>
        </w:rPr>
        <w:t>, Дубовик М. Я.</w:t>
      </w:r>
      <w:r w:rsidRPr="00194EE5">
        <w:rPr>
          <w:rFonts w:ascii="Times New Roman" w:eastAsia="Calibri" w:hAnsi="Times New Roman" w:cs="Times New Roman"/>
          <w:bCs/>
          <w:i/>
          <w:sz w:val="28"/>
          <w:vertAlign w:val="superscript"/>
          <w:lang w:val="uk-UA"/>
        </w:rPr>
        <w:t xml:space="preserve"> 1,2</w:t>
      </w:r>
      <w:r w:rsidRPr="00194EE5">
        <w:rPr>
          <w:rFonts w:ascii="Times New Roman" w:eastAsia="Calibri" w:hAnsi="Times New Roman" w:cs="Times New Roman"/>
          <w:bCs/>
          <w:i/>
          <w:sz w:val="28"/>
          <w:lang w:val="uk-UA"/>
        </w:rPr>
        <w:t>, Лісова Г. В.</w:t>
      </w:r>
      <w:r w:rsidRPr="00194EE5">
        <w:rPr>
          <w:rFonts w:ascii="Times New Roman" w:eastAsia="Calibri" w:hAnsi="Times New Roman" w:cs="Times New Roman"/>
          <w:bCs/>
          <w:i/>
          <w:sz w:val="28"/>
          <w:vertAlign w:val="superscript"/>
          <w:lang w:val="uk-UA"/>
        </w:rPr>
        <w:t xml:space="preserve"> 1</w:t>
      </w:r>
      <w:r w:rsidRPr="00194EE5">
        <w:rPr>
          <w:rFonts w:ascii="Times New Roman" w:eastAsia="Calibri" w:hAnsi="Times New Roman" w:cs="Times New Roman"/>
          <w:bCs/>
          <w:i/>
          <w:sz w:val="28"/>
          <w:lang w:val="uk-UA"/>
        </w:rPr>
        <w:t xml:space="preserve">, </w:t>
      </w:r>
      <w:proofErr w:type="spellStart"/>
      <w:r w:rsidR="00966411">
        <w:rPr>
          <w:rFonts w:ascii="Times New Roman" w:eastAsia="Calibri" w:hAnsi="Times New Roman" w:cs="Times New Roman"/>
          <w:bCs/>
          <w:i/>
          <w:sz w:val="28"/>
          <w:lang w:val="uk-UA"/>
        </w:rPr>
        <w:t>Колупа</w:t>
      </w:r>
      <w:proofErr w:type="spellEnd"/>
      <w:r w:rsidR="00966411">
        <w:rPr>
          <w:rFonts w:ascii="Times New Roman" w:eastAsia="Calibri" w:hAnsi="Times New Roman" w:cs="Times New Roman"/>
          <w:bCs/>
          <w:i/>
          <w:sz w:val="28"/>
          <w:lang w:val="uk-UA"/>
        </w:rPr>
        <w:t>єв С. М.</w:t>
      </w:r>
      <w:r w:rsidR="00966411">
        <w:rPr>
          <w:rFonts w:ascii="Times New Roman" w:eastAsia="Calibri" w:hAnsi="Times New Roman" w:cs="Times New Roman"/>
          <w:bCs/>
          <w:i/>
          <w:sz w:val="28"/>
          <w:vertAlign w:val="superscript"/>
          <w:lang w:val="uk-UA"/>
        </w:rPr>
        <w:t>1,2</w:t>
      </w:r>
      <w:r w:rsidR="00966411">
        <w:rPr>
          <w:rFonts w:ascii="Times New Roman" w:eastAsia="Calibri" w:hAnsi="Times New Roman" w:cs="Times New Roman"/>
          <w:bCs/>
          <w:i/>
          <w:sz w:val="28"/>
          <w:lang w:val="uk-UA"/>
        </w:rPr>
        <w:t xml:space="preserve">, </w:t>
      </w:r>
      <w:proofErr w:type="spellStart"/>
      <w:r w:rsidRPr="00194EE5">
        <w:rPr>
          <w:rFonts w:ascii="Times New Roman" w:eastAsia="Calibri" w:hAnsi="Times New Roman" w:cs="Times New Roman"/>
          <w:bCs/>
          <w:i/>
          <w:sz w:val="28"/>
          <w:lang w:val="uk-UA"/>
        </w:rPr>
        <w:t>Валковська</w:t>
      </w:r>
      <w:proofErr w:type="spellEnd"/>
      <w:r w:rsidRPr="00194EE5">
        <w:rPr>
          <w:rFonts w:ascii="Times New Roman" w:eastAsia="Calibri" w:hAnsi="Times New Roman" w:cs="Times New Roman"/>
          <w:bCs/>
          <w:i/>
          <w:sz w:val="28"/>
          <w:lang w:val="uk-UA"/>
        </w:rPr>
        <w:t xml:space="preserve"> Т. Л.</w:t>
      </w:r>
      <w:r w:rsidRPr="00194EE5">
        <w:rPr>
          <w:rFonts w:ascii="Times New Roman" w:eastAsia="Calibri" w:hAnsi="Times New Roman" w:cs="Times New Roman"/>
          <w:bCs/>
          <w:i/>
          <w:sz w:val="28"/>
          <w:vertAlign w:val="superscript"/>
          <w:lang w:val="uk-UA"/>
        </w:rPr>
        <w:t xml:space="preserve"> 1,2</w:t>
      </w:r>
      <w:r w:rsidR="00CB5553">
        <w:rPr>
          <w:rFonts w:ascii="Times New Roman" w:eastAsia="Calibri" w:hAnsi="Times New Roman" w:cs="Times New Roman"/>
          <w:bCs/>
          <w:i/>
          <w:sz w:val="28"/>
          <w:lang w:val="uk-UA"/>
        </w:rPr>
        <w:t xml:space="preserve">, </w:t>
      </w:r>
      <w:proofErr w:type="spellStart"/>
      <w:r w:rsidR="00CB5553" w:rsidRPr="00CB5553">
        <w:rPr>
          <w:rFonts w:ascii="Times New Roman" w:eastAsia="Calibri" w:hAnsi="Times New Roman" w:cs="Times New Roman"/>
          <w:bCs/>
          <w:i/>
          <w:sz w:val="28"/>
          <w:lang w:val="uk-UA"/>
        </w:rPr>
        <w:t>Желєзнікова</w:t>
      </w:r>
      <w:proofErr w:type="spellEnd"/>
      <w:r w:rsidR="00CB5553" w:rsidRPr="00CB5553">
        <w:rPr>
          <w:rFonts w:ascii="Times New Roman" w:eastAsia="Calibri" w:hAnsi="Times New Roman" w:cs="Times New Roman"/>
          <w:bCs/>
          <w:i/>
          <w:sz w:val="28"/>
          <w:lang w:val="uk-UA"/>
        </w:rPr>
        <w:t xml:space="preserve"> М. О.</w:t>
      </w:r>
      <w:r w:rsidR="00CB5553" w:rsidRPr="00CB5553">
        <w:rPr>
          <w:rFonts w:ascii="Times New Roman" w:eastAsia="Calibri" w:hAnsi="Times New Roman" w:cs="Times New Roman"/>
          <w:bCs/>
          <w:i/>
          <w:sz w:val="28"/>
          <w:vertAlign w:val="superscript"/>
          <w:lang w:val="uk-UA"/>
        </w:rPr>
        <w:t>1,2</w:t>
      </w:r>
      <w:r w:rsidR="00C73345">
        <w:rPr>
          <w:rFonts w:ascii="Times New Roman" w:eastAsia="Calibri" w:hAnsi="Times New Roman" w:cs="Times New Roman"/>
          <w:bCs/>
          <w:i/>
          <w:sz w:val="28"/>
          <w:lang w:val="uk-UA"/>
        </w:rPr>
        <w:t>, Олянич С. О.</w:t>
      </w:r>
      <w:r w:rsidR="00C73345">
        <w:rPr>
          <w:rFonts w:ascii="Times New Roman" w:eastAsia="Calibri" w:hAnsi="Times New Roman" w:cs="Times New Roman"/>
          <w:bCs/>
          <w:i/>
          <w:sz w:val="28"/>
          <w:vertAlign w:val="superscript"/>
          <w:lang w:val="uk-UA"/>
        </w:rPr>
        <w:t>1</w:t>
      </w:r>
    </w:p>
    <w:p w:rsidR="00194EE5" w:rsidRPr="00194EE5" w:rsidRDefault="00194EE5" w:rsidP="00194EE5">
      <w:pPr>
        <w:spacing w:after="0" w:line="360" w:lineRule="auto"/>
        <w:jc w:val="center"/>
        <w:rPr>
          <w:rFonts w:ascii="Times New Roman" w:eastAsia="Calibri" w:hAnsi="Times New Roman" w:cs="Times New Roman"/>
          <w:bCs/>
          <w:sz w:val="28"/>
          <w:lang w:val="uk-UA"/>
        </w:rPr>
      </w:pPr>
      <w:r w:rsidRPr="00194EE5">
        <w:rPr>
          <w:rFonts w:ascii="Times New Roman" w:eastAsia="Calibri" w:hAnsi="Times New Roman" w:cs="Times New Roman"/>
          <w:bCs/>
          <w:i/>
          <w:sz w:val="28"/>
          <w:vertAlign w:val="superscript"/>
          <w:lang w:val="uk-UA"/>
        </w:rPr>
        <w:t>1</w:t>
      </w:r>
      <w:r w:rsidRPr="00194EE5">
        <w:rPr>
          <w:rFonts w:ascii="Times New Roman" w:eastAsia="Calibri" w:hAnsi="Times New Roman" w:cs="Times New Roman"/>
          <w:bCs/>
          <w:sz w:val="28"/>
          <w:lang w:val="uk-UA"/>
        </w:rPr>
        <w:t>Харківський національний медичний університет</w:t>
      </w:r>
    </w:p>
    <w:p w:rsidR="00194EE5" w:rsidRPr="00194EE5" w:rsidRDefault="00194EE5" w:rsidP="00194EE5">
      <w:pPr>
        <w:spacing w:after="0" w:line="360" w:lineRule="auto"/>
        <w:jc w:val="center"/>
        <w:rPr>
          <w:rFonts w:ascii="Times New Roman" w:eastAsia="Calibri" w:hAnsi="Times New Roman" w:cs="Times New Roman"/>
          <w:bCs/>
          <w:sz w:val="28"/>
          <w:lang w:val="uk-UA"/>
        </w:rPr>
      </w:pPr>
      <w:r w:rsidRPr="00194EE5">
        <w:rPr>
          <w:rFonts w:ascii="Times New Roman" w:eastAsia="Calibri" w:hAnsi="Times New Roman" w:cs="Times New Roman"/>
          <w:bCs/>
          <w:i/>
          <w:sz w:val="28"/>
          <w:vertAlign w:val="superscript"/>
          <w:lang w:val="uk-UA"/>
        </w:rPr>
        <w:t>2</w:t>
      </w:r>
      <w:r w:rsidRPr="00194EE5">
        <w:rPr>
          <w:rFonts w:ascii="Times New Roman" w:eastAsia="Calibri" w:hAnsi="Times New Roman" w:cs="Times New Roman"/>
          <w:bCs/>
          <w:sz w:val="28"/>
          <w:lang w:val="uk-UA"/>
        </w:rPr>
        <w:t>Обласний медичний клінічний центр урології, нефрології ім. В. І. Шаповала, м. Харків</w:t>
      </w:r>
    </w:p>
    <w:p w:rsidR="00194EE5" w:rsidRPr="00194EE5" w:rsidRDefault="00194EE5" w:rsidP="00194EE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lang w:val="uk-UA"/>
        </w:rPr>
      </w:pPr>
    </w:p>
    <w:p w:rsidR="00194EE5" w:rsidRPr="00194EE5" w:rsidRDefault="00194EE5" w:rsidP="00194EE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lang w:val="uk-UA"/>
        </w:rPr>
      </w:pPr>
      <w:r w:rsidRPr="00194EE5">
        <w:rPr>
          <w:rFonts w:ascii="Times New Roman" w:eastAsia="Calibri" w:hAnsi="Times New Roman" w:cs="Times New Roman"/>
          <w:bCs/>
          <w:sz w:val="28"/>
          <w:lang w:val="uk-UA"/>
        </w:rPr>
        <w:t>Захворювання нирок - глобальна проблема системи охорони здоров'я, що зачіпає більше 750 млн. людей у всьому світі. Поширеність захворювань нирок, а також їх діагностика і лікування в різних країнах істотно відрізняються. Значення та наслідки захворювань нирок найбільш вивчені в розвинених країнах, але останнім часом з'являється все більше даних, що свідчать про аналогічною і навіть більш високу поширеність захворювань нирок і в країнах, що розвиваються. Включення показників контролю за станом нирок у існуючі програми по профілактиці хронічних захворювань допоможе оптимізувати загальносвітові зусилля, спрямовані на отримання надійних даних про частоту і поширеність захворювань нирок і їх наслідки.</w:t>
      </w:r>
    </w:p>
    <w:p w:rsidR="00194EE5" w:rsidRPr="00194EE5" w:rsidRDefault="00194EE5" w:rsidP="00194EE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lang w:val="uk-UA"/>
        </w:rPr>
      </w:pPr>
      <w:r w:rsidRPr="00194EE5">
        <w:rPr>
          <w:rFonts w:ascii="Times New Roman" w:eastAsia="Calibri" w:hAnsi="Times New Roman" w:cs="Times New Roman"/>
          <w:bCs/>
          <w:sz w:val="28"/>
          <w:lang w:val="uk-UA"/>
        </w:rPr>
        <w:t>Є ще одна важлива проблема – глобальне значення захворювань нирок (в тому числі, гострого пошкодження нирок (ГПН) і хронічної хвороби нирок(ХХН)) досі не отримало широкого визнання, і вони залишаються поза списком актуальних питань загальносвітової економічної політики. Так, в Глобальному плані дій Всесвітньої організації охорони здоров'я (ВООЗ) з профілактики та контролю неінфекційних захворювань 2013 р. основна увага зосереджена на серцево-судинних захворюваннях, злоякісних новоутвореннях, хронічних захворюваннях дихальних шляхів та цукровому діабеті тощо, але тільки не на захворюваннях нирок.</w:t>
      </w:r>
    </w:p>
    <w:p w:rsidR="00194EE5" w:rsidRPr="00194EE5" w:rsidRDefault="00194EE5" w:rsidP="00194EE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lang w:val="uk-UA"/>
        </w:rPr>
      </w:pPr>
      <w:r w:rsidRPr="00194EE5">
        <w:rPr>
          <w:rFonts w:ascii="Times New Roman" w:eastAsia="Calibri" w:hAnsi="Times New Roman" w:cs="Times New Roman"/>
          <w:bCs/>
          <w:sz w:val="28"/>
          <w:lang w:val="uk-UA"/>
        </w:rPr>
        <w:t xml:space="preserve">Це не може не вселяти занепокоєння, оскільки результати дослідження "Глобальний тягар хвороб 2015" свідчать, що близько 1,2 млн. осіб померло від ХХН і більше 2 млн. осіб померло через відсутність доступу до </w:t>
      </w:r>
      <w:proofErr w:type="spellStart"/>
      <w:r w:rsidRPr="00194EE5">
        <w:rPr>
          <w:rFonts w:ascii="Times New Roman" w:eastAsia="Calibri" w:hAnsi="Times New Roman" w:cs="Times New Roman"/>
          <w:bCs/>
          <w:sz w:val="28"/>
          <w:lang w:val="uk-UA"/>
        </w:rPr>
        <w:t>діалізної</w:t>
      </w:r>
      <w:proofErr w:type="spellEnd"/>
      <w:r w:rsidRPr="00194EE5">
        <w:rPr>
          <w:rFonts w:ascii="Times New Roman" w:eastAsia="Calibri" w:hAnsi="Times New Roman" w:cs="Times New Roman"/>
          <w:bCs/>
          <w:sz w:val="28"/>
          <w:lang w:val="uk-UA"/>
        </w:rPr>
        <w:t xml:space="preserve"> терапії в 2010 р. За деякими оцінками, ще близько 1,7 млн. пацієнтів щорічно </w:t>
      </w:r>
      <w:r w:rsidRPr="00194EE5">
        <w:rPr>
          <w:rFonts w:ascii="Times New Roman" w:eastAsia="Calibri" w:hAnsi="Times New Roman" w:cs="Times New Roman"/>
          <w:bCs/>
          <w:sz w:val="28"/>
          <w:lang w:val="uk-UA"/>
        </w:rPr>
        <w:lastRenderedPageBreak/>
        <w:t>вмирають від гострого пошкодження нирок. Таким чином, захворювання нирок, мабуть, можуть стати причиною більшого числа смертей, ніж чотири основних неінфекційних захворювання, включених у поточний План з профілактики та контролю неінфекційних захворювань.</w:t>
      </w:r>
    </w:p>
    <w:p w:rsidR="00194EE5" w:rsidRPr="00194EE5" w:rsidRDefault="00194EE5" w:rsidP="00194EE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lang w:val="uk-UA"/>
        </w:rPr>
      </w:pPr>
      <w:r w:rsidRPr="00194EE5">
        <w:rPr>
          <w:rFonts w:ascii="Times New Roman" w:eastAsia="Calibri" w:hAnsi="Times New Roman" w:cs="Times New Roman"/>
          <w:bCs/>
          <w:sz w:val="28"/>
          <w:lang w:val="uk-UA"/>
        </w:rPr>
        <w:t>В останні десятиліття отримано дані про зв'язок численних факторів зовнішнього середовища, а також генетичних, соціально-економічних і клінічних факторів з ризиком розвитку захворювання нирок. Показано, що в більшості країн світу частота захворювань нирок в популяції корелює також з соціально значущими факторами. Були ідентифіковані та інші фактори ризику розвитку захворювань нирок і прогресування ХХН, що теоретично легко модифікуються, які надають непропорційно більший вплив у соціально неблагополучних групах – такі як недостатньо частий і незадовільний контроль цукрового діабету, артеріальної гіпертензії і неправильний спосіб життя.</w:t>
      </w:r>
    </w:p>
    <w:p w:rsidR="00194EE5" w:rsidRPr="00194EE5" w:rsidRDefault="00194EE5" w:rsidP="00194EE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lang w:val="uk-UA"/>
        </w:rPr>
      </w:pPr>
      <w:r w:rsidRPr="00194EE5">
        <w:rPr>
          <w:rFonts w:ascii="Times New Roman" w:eastAsia="Calibri" w:hAnsi="Times New Roman" w:cs="Times New Roman"/>
          <w:bCs/>
          <w:sz w:val="28"/>
          <w:lang w:val="uk-UA"/>
        </w:rPr>
        <w:t>Цукровий діабет являє собою провідну причину прогресуючого ураження нирок у всьому світі. У 2016 р. на цукровий діабет страждав 1 з 11 дорослих, причому більше 80% з них проживали в країнах з низьким або середнім рівнем доходу, в яких ресурси для надання допомоги обмежені. Артеріальною гіпертензією, яка є другою провідною причиною розвитку ХХН, страждає близько 1 мільярда людей у всьому світі.</w:t>
      </w:r>
      <w:r w:rsidRPr="00194EE5">
        <w:rPr>
          <w:lang w:val="uk-UA"/>
        </w:rPr>
        <w:t xml:space="preserve"> </w:t>
      </w:r>
      <w:r w:rsidRPr="00194EE5">
        <w:rPr>
          <w:rFonts w:ascii="Times New Roman" w:eastAsia="Calibri" w:hAnsi="Times New Roman" w:cs="Times New Roman"/>
          <w:bCs/>
          <w:sz w:val="28"/>
          <w:lang w:val="uk-UA"/>
        </w:rPr>
        <w:t>Контроль артеріальної гіпертензії має велике значення для уповільнення прогресування ХХН і зниження ризику смерті як у осіб з ХХН, так і без неї. Артеріальна гіпертензія є більш ніж у 90% пацієнтів з пізніми стадіями ХХН.</w:t>
      </w:r>
    </w:p>
    <w:p w:rsidR="00194EE5" w:rsidRPr="00194EE5" w:rsidRDefault="00194EE5" w:rsidP="00194EE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lang w:val="uk-UA"/>
        </w:rPr>
      </w:pPr>
      <w:r w:rsidRPr="00194EE5">
        <w:rPr>
          <w:rFonts w:ascii="Times New Roman" w:eastAsia="Calibri" w:hAnsi="Times New Roman" w:cs="Times New Roman"/>
          <w:bCs/>
          <w:sz w:val="28"/>
          <w:lang w:val="uk-UA"/>
        </w:rPr>
        <w:t xml:space="preserve">Соціально-економічний статус значно впливає на спосіб життя і характер харчування. В останні роки було показано, що здорове харчування асоційоване з сприятливими наслідками ХХН, однак особи з низьким доходом часто не можуть дотримуватися здорового харчування, що сприяє збільшенню ризику розвитку захворювань нирок. </w:t>
      </w:r>
    </w:p>
    <w:p w:rsidR="00194EE5" w:rsidRPr="00194EE5" w:rsidRDefault="00194EE5" w:rsidP="00194EE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lang w:val="uk-UA"/>
        </w:rPr>
      </w:pPr>
      <w:r w:rsidRPr="00194EE5">
        <w:rPr>
          <w:rFonts w:ascii="Times New Roman" w:eastAsia="Calibri" w:hAnsi="Times New Roman" w:cs="Times New Roman"/>
          <w:bCs/>
          <w:sz w:val="28"/>
          <w:lang w:val="uk-UA"/>
        </w:rPr>
        <w:t xml:space="preserve">Гостре пошкодження нирок нерідко залишається не </w:t>
      </w:r>
      <w:proofErr w:type="spellStart"/>
      <w:r w:rsidRPr="00194EE5">
        <w:rPr>
          <w:rFonts w:ascii="Times New Roman" w:eastAsia="Calibri" w:hAnsi="Times New Roman" w:cs="Times New Roman"/>
          <w:bCs/>
          <w:sz w:val="28"/>
          <w:lang w:val="uk-UA"/>
        </w:rPr>
        <w:t>діагностованим</w:t>
      </w:r>
      <w:proofErr w:type="spellEnd"/>
      <w:r w:rsidRPr="00194EE5">
        <w:rPr>
          <w:rFonts w:ascii="Times New Roman" w:eastAsia="Calibri" w:hAnsi="Times New Roman" w:cs="Times New Roman"/>
          <w:bCs/>
          <w:sz w:val="28"/>
          <w:lang w:val="uk-UA"/>
        </w:rPr>
        <w:t xml:space="preserve">, частота його у госпіталізованих пацієнтів досягає 8-16%. В даний час гостре </w:t>
      </w:r>
      <w:r w:rsidRPr="00194EE5">
        <w:rPr>
          <w:rFonts w:ascii="Times New Roman" w:eastAsia="Calibri" w:hAnsi="Times New Roman" w:cs="Times New Roman"/>
          <w:bCs/>
          <w:sz w:val="28"/>
          <w:lang w:val="uk-UA"/>
        </w:rPr>
        <w:lastRenderedPageBreak/>
        <w:t xml:space="preserve">пошкодження нирок вважається визнаним фактором ризику розвитку ХХН.  У свою чергу ризики розвитку гострого пошкодження нирок різноманітні і в цілому мало відрізняються від ризиків розвитку ХХН. ГПН, що пов'язане з впливом </w:t>
      </w:r>
      <w:proofErr w:type="spellStart"/>
      <w:r w:rsidRPr="00194EE5">
        <w:rPr>
          <w:rFonts w:ascii="Times New Roman" w:eastAsia="Calibri" w:hAnsi="Times New Roman" w:cs="Times New Roman"/>
          <w:bCs/>
          <w:sz w:val="28"/>
          <w:lang w:val="uk-UA"/>
        </w:rPr>
        <w:t>нефротоксичних</w:t>
      </w:r>
      <w:proofErr w:type="spellEnd"/>
      <w:r w:rsidRPr="00194EE5">
        <w:rPr>
          <w:rFonts w:ascii="Times New Roman" w:eastAsia="Calibri" w:hAnsi="Times New Roman" w:cs="Times New Roman"/>
          <w:bCs/>
          <w:sz w:val="28"/>
          <w:lang w:val="uk-UA"/>
        </w:rPr>
        <w:t xml:space="preserve"> речовин, альтернативних (традиційних) лікарських препаратів, інфекцій вносить свій внесок у збільшення ризику смерті і розвитку ХХН.</w:t>
      </w:r>
    </w:p>
    <w:p w:rsidR="00194EE5" w:rsidRPr="00194EE5" w:rsidRDefault="00194EE5" w:rsidP="00194EE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lang w:val="uk-UA"/>
        </w:rPr>
      </w:pPr>
      <w:r w:rsidRPr="00194EE5">
        <w:rPr>
          <w:rFonts w:ascii="Times New Roman" w:eastAsia="Calibri" w:hAnsi="Times New Roman" w:cs="Times New Roman"/>
          <w:bCs/>
          <w:sz w:val="28"/>
          <w:lang w:val="uk-UA"/>
        </w:rPr>
        <w:t xml:space="preserve">Медична допомога при захворюваннях нирок складна і дорога, тому можливості її забезпечення тісно пов'язані з суспільною політикою і фінансовим станом країни. </w:t>
      </w:r>
    </w:p>
    <w:p w:rsidR="00194EE5" w:rsidRPr="00194EE5" w:rsidRDefault="00194EE5" w:rsidP="00194EE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lang w:val="uk-UA"/>
        </w:rPr>
      </w:pPr>
      <w:r w:rsidRPr="00194EE5">
        <w:rPr>
          <w:rFonts w:ascii="Times New Roman" w:eastAsia="Calibri" w:hAnsi="Times New Roman" w:cs="Times New Roman"/>
          <w:bCs/>
          <w:sz w:val="28"/>
          <w:lang w:val="uk-UA"/>
        </w:rPr>
        <w:t>У 2017 р. Міжнародне товариство нефрологів підсумувало дані по різних країнах про можливості надання медичної допомоги при захворюваннях нирок, використовуючи опитувальник – Глобальний атлас здоров'я нирок (</w:t>
      </w:r>
      <w:proofErr w:type="spellStart"/>
      <w:r w:rsidRPr="00194EE5">
        <w:rPr>
          <w:rFonts w:ascii="Times New Roman" w:eastAsia="Calibri" w:hAnsi="Times New Roman" w:cs="Times New Roman"/>
          <w:bCs/>
          <w:sz w:val="28"/>
          <w:lang w:val="uk-UA"/>
        </w:rPr>
        <w:t>Global</w:t>
      </w:r>
      <w:proofErr w:type="spellEnd"/>
      <w:r w:rsidRPr="00194EE5">
        <w:rPr>
          <w:rFonts w:ascii="Times New Roman" w:eastAsia="Calibri" w:hAnsi="Times New Roman" w:cs="Times New Roman"/>
          <w:bCs/>
          <w:sz w:val="28"/>
          <w:lang w:val="uk-UA"/>
        </w:rPr>
        <w:t xml:space="preserve"> </w:t>
      </w:r>
      <w:proofErr w:type="spellStart"/>
      <w:r w:rsidRPr="00194EE5">
        <w:rPr>
          <w:rFonts w:ascii="Times New Roman" w:eastAsia="Calibri" w:hAnsi="Times New Roman" w:cs="Times New Roman"/>
          <w:bCs/>
          <w:sz w:val="28"/>
          <w:lang w:val="uk-UA"/>
        </w:rPr>
        <w:t>Kidney</w:t>
      </w:r>
      <w:proofErr w:type="spellEnd"/>
      <w:r w:rsidRPr="00194EE5">
        <w:rPr>
          <w:rFonts w:ascii="Times New Roman" w:eastAsia="Calibri" w:hAnsi="Times New Roman" w:cs="Times New Roman"/>
          <w:bCs/>
          <w:sz w:val="28"/>
          <w:lang w:val="uk-UA"/>
        </w:rPr>
        <w:t xml:space="preserve"> </w:t>
      </w:r>
      <w:proofErr w:type="spellStart"/>
      <w:r w:rsidRPr="00194EE5">
        <w:rPr>
          <w:rFonts w:ascii="Times New Roman" w:eastAsia="Calibri" w:hAnsi="Times New Roman" w:cs="Times New Roman"/>
          <w:bCs/>
          <w:sz w:val="28"/>
          <w:lang w:val="uk-UA"/>
        </w:rPr>
        <w:t>Health</w:t>
      </w:r>
      <w:proofErr w:type="spellEnd"/>
      <w:r w:rsidRPr="00194EE5">
        <w:rPr>
          <w:rFonts w:ascii="Times New Roman" w:eastAsia="Calibri" w:hAnsi="Times New Roman" w:cs="Times New Roman"/>
          <w:bCs/>
          <w:sz w:val="28"/>
          <w:lang w:val="uk-UA"/>
        </w:rPr>
        <w:t xml:space="preserve"> </w:t>
      </w:r>
      <w:proofErr w:type="spellStart"/>
      <w:r w:rsidRPr="00194EE5">
        <w:rPr>
          <w:rFonts w:ascii="Times New Roman" w:eastAsia="Calibri" w:hAnsi="Times New Roman" w:cs="Times New Roman"/>
          <w:bCs/>
          <w:sz w:val="28"/>
          <w:lang w:val="uk-UA"/>
        </w:rPr>
        <w:t>Atlas</w:t>
      </w:r>
      <w:proofErr w:type="spellEnd"/>
      <w:r w:rsidRPr="00194EE5">
        <w:rPr>
          <w:rFonts w:ascii="Times New Roman" w:eastAsia="Calibri" w:hAnsi="Times New Roman" w:cs="Times New Roman"/>
          <w:bCs/>
          <w:sz w:val="28"/>
          <w:lang w:val="uk-UA"/>
        </w:rPr>
        <w:t xml:space="preserve">), відповідний модульним принципом ВООЗ. Дані Глобального атласу здоров'я нирок підкреслюють обмежену обізнаність про захворювання нирок та їх наслідки, а також зберігається нерівність у ресурсах, необхідних для вирішення проблеми захворювань нирок у всьому світі. </w:t>
      </w:r>
      <w:r>
        <w:rPr>
          <w:rFonts w:ascii="Times New Roman" w:eastAsia="Calibri" w:hAnsi="Times New Roman" w:cs="Times New Roman"/>
          <w:bCs/>
          <w:sz w:val="28"/>
          <w:lang w:val="uk-UA"/>
        </w:rPr>
        <w:t>Так</w:t>
      </w:r>
      <w:r w:rsidRPr="00194EE5">
        <w:rPr>
          <w:rFonts w:ascii="Times New Roman" w:eastAsia="Calibri" w:hAnsi="Times New Roman" w:cs="Times New Roman"/>
          <w:bCs/>
          <w:sz w:val="28"/>
          <w:lang w:val="uk-UA"/>
        </w:rPr>
        <w:t>, ХХН була визнана в якості пріоритетного напрямку охорони здоров'я урядами лише 36% країн, що брали участь в опитуванні.</w:t>
      </w:r>
    </w:p>
    <w:p w:rsidR="00194EE5" w:rsidRPr="00194EE5" w:rsidRDefault="00194EE5" w:rsidP="00194EE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lang w:val="uk-UA"/>
        </w:rPr>
      </w:pPr>
      <w:r w:rsidRPr="00194EE5">
        <w:rPr>
          <w:rFonts w:ascii="Times New Roman" w:eastAsia="Calibri" w:hAnsi="Times New Roman" w:cs="Times New Roman"/>
          <w:bCs/>
          <w:sz w:val="28"/>
          <w:lang w:val="uk-UA"/>
        </w:rPr>
        <w:t xml:space="preserve">Розподіл методів замісної ниркової терапії (ЗНТ) значно варіює. При поверхневій оцінці з'ясувалося, що всі країни повідомили про наявність служб, що забезпечують хронічний гемодіаліз, і більше 90% країн – короткостроковий гемодіаліз. Проте доступність і розподіл ЗНТ в різних країнах і регіонах значною мірою нерівномірні, і часто потрібна непомірно висока оплата лікування з власних коштів пацієнта, особливо у країнах з низьким рівнем доходу. Наприклад, понад 90% країн з доходом вище середнього рівня і високим доходом повідомили про наявність служб, що забезпечують хронічний перитонеальний діаліз, в той час як у країнах з низьким доходом і доходом нижче середнього рівня цей вид лікування доступний лише 64% і 35%, відповідно. Більше 90% країн з доходом вище </w:t>
      </w:r>
      <w:r w:rsidRPr="00194EE5">
        <w:rPr>
          <w:rFonts w:ascii="Times New Roman" w:eastAsia="Calibri" w:hAnsi="Times New Roman" w:cs="Times New Roman"/>
          <w:bCs/>
          <w:sz w:val="28"/>
          <w:lang w:val="uk-UA"/>
        </w:rPr>
        <w:lastRenderedPageBreak/>
        <w:t>середнього рівня і високим доходом повідомили про наявність служби трансплантації нирки, причому більше 85% цих країн заявили про використання органів від живих, так і від трупних донорів. Як і очікувалося, в країнах з низьким доходом спостерігалася найбільш низька доступність трансплантації нирки (про наявність відповідних служб повідомили тільки 12% країн), причому з використанням органів від живих донорів.</w:t>
      </w:r>
    </w:p>
    <w:p w:rsidR="00194EE5" w:rsidRPr="00194EE5" w:rsidRDefault="00194EE5" w:rsidP="00194EE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lang w:val="uk-UA"/>
        </w:rPr>
      </w:pPr>
      <w:r w:rsidRPr="00194EE5">
        <w:rPr>
          <w:rFonts w:ascii="Times New Roman" w:eastAsia="Calibri" w:hAnsi="Times New Roman" w:cs="Times New Roman"/>
          <w:bCs/>
          <w:sz w:val="28"/>
          <w:lang w:val="uk-UA"/>
        </w:rPr>
        <w:t>В Україні, згідно з даними національного регістру, налічується 8 904 людини, які отримують замісну ниркову терапію, з них 6 759 осіб отримують гемодіаліз, 886 – перитонеальний діаліз і 1259 осіб є реципієнтами ниркового трансплантату.</w:t>
      </w:r>
    </w:p>
    <w:p w:rsidR="00194EE5" w:rsidRPr="00194EE5" w:rsidRDefault="00194EE5" w:rsidP="00194EE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lang w:val="uk-UA"/>
        </w:rPr>
      </w:pPr>
      <w:r w:rsidRPr="00194EE5">
        <w:rPr>
          <w:rFonts w:ascii="Times New Roman" w:eastAsia="Calibri" w:hAnsi="Times New Roman" w:cs="Times New Roman"/>
          <w:bCs/>
          <w:sz w:val="28"/>
          <w:lang w:val="uk-UA"/>
        </w:rPr>
        <w:t>По всьому світу відзначені також значні відмінності і в розподілі персоналу, який надає допомогу при захворюваннях нирок, особливо це стосується нефрологів. Найменша забезпеченість лікарями (&lt;5 нефрологів на 1 млн. населення) характерна для країн з низьким рівнем доходу, тоді як про найбільш високої забезпеченості лікарями (&gt;15 на 1 млн. населення) повідомляли в основному країни з високим рівнем доходу. В Україні (як і в Харківській області) ця цифра становить приблизно 10 лікарів-нефрологів на 1 млн. населення.</w:t>
      </w:r>
    </w:p>
    <w:p w:rsidR="00194EE5" w:rsidRPr="00194EE5" w:rsidRDefault="00194EE5" w:rsidP="00194EE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lang w:val="uk-UA"/>
        </w:rPr>
      </w:pPr>
      <w:r w:rsidRPr="00194EE5">
        <w:rPr>
          <w:rFonts w:ascii="Times New Roman" w:eastAsia="Calibri" w:hAnsi="Times New Roman" w:cs="Times New Roman"/>
          <w:bCs/>
          <w:sz w:val="28"/>
          <w:lang w:val="uk-UA"/>
        </w:rPr>
        <w:t xml:space="preserve">Більшість країн повідомили, що лікуванням як ХХН, так і ГПН займаються переважно нефрологи. Лікарі первинної ланки надання медичної допомоги більшою мірою зайняті лікуванням ХХН, ніж ГПН: 64% країн повідомили, що лікарі первинної ланки відповідають за лікування ХХН, і тільки 35% країн – що лікарі первинної ланки відповідають за лікування ГПН. </w:t>
      </w:r>
    </w:p>
    <w:p w:rsidR="00194EE5" w:rsidRPr="00194EE5" w:rsidRDefault="00194EE5" w:rsidP="00194EE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lang w:val="uk-UA"/>
        </w:rPr>
      </w:pPr>
      <w:r w:rsidRPr="00194EE5">
        <w:rPr>
          <w:rFonts w:ascii="Times New Roman" w:eastAsia="Calibri" w:hAnsi="Times New Roman" w:cs="Times New Roman"/>
          <w:bCs/>
          <w:sz w:val="28"/>
          <w:lang w:val="uk-UA"/>
        </w:rPr>
        <w:t xml:space="preserve">Фахівці з надання інтенсивної допомоги відповідали за лікування ГПН в 75% країн, ймовірно тому, що лікування ГПН, як правило, проводиться в умовах стаціонару. При цьому знову відзначені істотні відмінності: фахівці з інтенсивної терапії займаються лікуванням ГПН в 45% країн з низьким рівнем доходу і в 90% країн з високим доходом. Така розбіжність може бути </w:t>
      </w:r>
      <w:r w:rsidRPr="00194EE5">
        <w:rPr>
          <w:rFonts w:ascii="Times New Roman" w:eastAsia="Calibri" w:hAnsi="Times New Roman" w:cs="Times New Roman"/>
          <w:bCs/>
          <w:sz w:val="28"/>
          <w:lang w:val="uk-UA"/>
        </w:rPr>
        <w:lastRenderedPageBreak/>
        <w:t>обумовлена загальним дефіцитом фахівців з інтенсивної терапії в країнах з низьким доходом.</w:t>
      </w:r>
    </w:p>
    <w:p w:rsidR="00194EE5" w:rsidRPr="00194EE5" w:rsidRDefault="00194EE5" w:rsidP="00194EE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lang w:val="uk-UA"/>
        </w:rPr>
      </w:pPr>
      <w:r w:rsidRPr="00194EE5">
        <w:rPr>
          <w:rFonts w:ascii="Times New Roman" w:eastAsia="Calibri" w:hAnsi="Times New Roman" w:cs="Times New Roman"/>
          <w:bCs/>
          <w:sz w:val="28"/>
          <w:lang w:val="uk-UA"/>
        </w:rPr>
        <w:t>Лідируюча роль в наданні допомоги при захворюваннях нирок належить нефрологам, і їх відсутність може призвести до несприятливих наслідків як для політики у області охорони здоров'я, так і для практики.</w:t>
      </w:r>
      <w:r>
        <w:rPr>
          <w:rFonts w:ascii="Times New Roman" w:eastAsia="Calibri" w:hAnsi="Times New Roman" w:cs="Times New Roman"/>
          <w:bCs/>
          <w:sz w:val="28"/>
          <w:lang w:val="uk-UA"/>
        </w:rPr>
        <w:t xml:space="preserve"> </w:t>
      </w:r>
      <w:r w:rsidRPr="00194EE5">
        <w:rPr>
          <w:rFonts w:ascii="Times New Roman" w:eastAsia="Calibri" w:hAnsi="Times New Roman" w:cs="Times New Roman"/>
          <w:bCs/>
          <w:sz w:val="28"/>
          <w:lang w:val="uk-UA"/>
        </w:rPr>
        <w:t xml:space="preserve">Для раннього виявлення і лікування ГПН і ХХН необхідно посилити базову інфраструктуру служб первинної медико-санітарної допомоги. </w:t>
      </w:r>
    </w:p>
    <w:p w:rsidR="00194EE5" w:rsidRPr="00194EE5" w:rsidRDefault="00194EE5" w:rsidP="00194EE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lang w:val="uk-UA"/>
        </w:rPr>
      </w:pPr>
      <w:r w:rsidRPr="00194EE5">
        <w:rPr>
          <w:rFonts w:ascii="Times New Roman" w:eastAsia="Calibri" w:hAnsi="Times New Roman" w:cs="Times New Roman"/>
          <w:bCs/>
          <w:sz w:val="28"/>
          <w:lang w:val="uk-UA"/>
        </w:rPr>
        <w:t>Незважаючи на те, що оптимальна допомога при захворюваннях нирок передбачає акцент на профілактиці в цілях скорочення небажаних наслідків захворювань нирок на популяційному рівні, повинна здійснюватися також підтримка в області впровадження більш прагматичних підходів до забезпечення ЗНТ. Гострий перитонеальний діаліз може бути перспективним методом лікування ГПН, так як він порівнянний по ефективності з гемодіалізом, але вимагає меншої оснащеності і може проводитися за допомогою розчинів та катетерів, адаптованих до місцевих ресурсів.</w:t>
      </w:r>
    </w:p>
    <w:p w:rsidR="00194EE5" w:rsidRPr="00194EE5" w:rsidRDefault="00194EE5" w:rsidP="00194EE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lang w:val="uk-UA"/>
        </w:rPr>
      </w:pPr>
      <w:r w:rsidRPr="00194EE5">
        <w:rPr>
          <w:rFonts w:ascii="Times New Roman" w:eastAsia="Calibri" w:hAnsi="Times New Roman" w:cs="Times New Roman"/>
          <w:bCs/>
          <w:sz w:val="28"/>
          <w:lang w:val="uk-UA"/>
        </w:rPr>
        <w:t>Необхідно заохочувати програми трансплантації нирки шляхом підвищення інформованості державних і політичних лідерів в різних країнах. Трансплантація являє собою оптимальний з клінічної точки зору і економічно ефективний метод ЗПТ за умови, що вартість операції і тривалої терапії та спостереження стабільно забезпечуються за рахунок державного (і/або приватного) фінансування.</w:t>
      </w:r>
    </w:p>
    <w:p w:rsidR="00194EE5" w:rsidRPr="00194EE5" w:rsidRDefault="00194EE5" w:rsidP="00194EE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lang w:val="uk-UA"/>
        </w:rPr>
      </w:pPr>
      <w:r w:rsidRPr="00194EE5">
        <w:rPr>
          <w:rFonts w:ascii="Times New Roman" w:eastAsia="Calibri" w:hAnsi="Times New Roman" w:cs="Times New Roman"/>
          <w:bCs/>
          <w:sz w:val="28"/>
          <w:lang w:val="uk-UA"/>
        </w:rPr>
        <w:t>Забезпеченість допомогою при захворюваннях нирок і її доступність широко варіюють. Надання загального доступу до послуг охорони здоров'я до 2030 р. є однією з цілей ВООЗ в галузі сталого розвитку. Загальний доступ до послуг охорони здоров'я не може включати всі етапи надання допомоги при захворюваннях нирок у всіх країнах, оскільки це, як правило, залежить від політичних, екон</w:t>
      </w:r>
      <w:r>
        <w:rPr>
          <w:rFonts w:ascii="Times New Roman" w:eastAsia="Calibri" w:hAnsi="Times New Roman" w:cs="Times New Roman"/>
          <w:bCs/>
          <w:sz w:val="28"/>
          <w:lang w:val="uk-UA"/>
        </w:rPr>
        <w:t xml:space="preserve">омічних і культурних факторів. </w:t>
      </w:r>
      <w:r w:rsidRPr="00194EE5">
        <w:rPr>
          <w:rFonts w:ascii="Times New Roman" w:eastAsia="Calibri" w:hAnsi="Times New Roman" w:cs="Times New Roman"/>
          <w:bCs/>
          <w:sz w:val="28"/>
          <w:lang w:val="uk-UA"/>
        </w:rPr>
        <w:t>Саме усвідомлення того, що це можливо здійснити і важливо для країни або регіону з метою зниження тягаря і наслідків захворювань нирок, стане важливим кроком до досягнення рівності в питаннях, що стосуються збереження здоров'я нирок.</w:t>
      </w:r>
      <w:bookmarkStart w:id="0" w:name="_GoBack"/>
      <w:bookmarkEnd w:id="0"/>
    </w:p>
    <w:sectPr w:rsidR="00194EE5" w:rsidRPr="00194EE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288A"/>
    <w:rsid w:val="00126377"/>
    <w:rsid w:val="00194EE5"/>
    <w:rsid w:val="0020288A"/>
    <w:rsid w:val="0096635B"/>
    <w:rsid w:val="00966411"/>
    <w:rsid w:val="00C73345"/>
    <w:rsid w:val="00CB55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99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089831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8854796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03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430550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12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711737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790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528364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710954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03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1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621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6858854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958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344429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879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157066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108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7364494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20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26546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9650096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2295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77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39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62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16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942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2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6010856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73186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8630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7982270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412329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5033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2692788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874263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86652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063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001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7842163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519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4304598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313758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543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7467614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1701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7829744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132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623416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5</Pages>
  <Words>1445</Words>
  <Characters>8243</Characters>
  <Application>Microsoft Office Word</Application>
  <DocSecurity>0</DocSecurity>
  <Lines>68</Lines>
  <Paragraphs>19</Paragraphs>
  <ScaleCrop>false</ScaleCrop>
  <Company/>
  <LinksUpToDate>false</LinksUpToDate>
  <CharactersWithSpaces>9669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78</cp:lastModifiedBy>
  <cp:revision>5</cp:revision>
  <dcterms:created xsi:type="dcterms:W3CDTF">2019-05-05T12:48:00Z</dcterms:created>
  <dcterms:modified xsi:type="dcterms:W3CDTF">2019-06-05T08:18:00Z</dcterms:modified>
</cp:coreProperties>
</file>