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0EE9" w:rsidRPr="00271AF6" w:rsidRDefault="00FC0EE9" w:rsidP="00FC0EE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271AF6">
        <w:rPr>
          <w:rFonts w:ascii="Times New Roman" w:hAnsi="Times New Roman" w:cs="Times New Roman"/>
          <w:b/>
          <w:sz w:val="24"/>
          <w:szCs w:val="24"/>
          <w:lang w:val="uk-UA"/>
        </w:rPr>
        <w:t>УДК</w:t>
      </w:r>
      <w:r w:rsidR="0090430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616.37-092.9:613.288</w:t>
      </w:r>
    </w:p>
    <w:p w:rsidR="00FC0EE9" w:rsidRDefault="00FC0EE9" w:rsidP="00FC0EE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A1519" w:rsidRPr="00271AF6" w:rsidRDefault="00411B2D" w:rsidP="00271AF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271AF6">
        <w:rPr>
          <w:rFonts w:ascii="Times New Roman" w:hAnsi="Times New Roman" w:cs="Times New Roman"/>
          <w:b/>
          <w:sz w:val="24"/>
          <w:szCs w:val="24"/>
        </w:rPr>
        <w:t xml:space="preserve">НЕГАТИВНИЙ ВПЛИВ ХАРЧУВАННЯ </w:t>
      </w:r>
      <w:proofErr w:type="gramStart"/>
      <w:r w:rsidRPr="00271AF6">
        <w:rPr>
          <w:rFonts w:ascii="Times New Roman" w:hAnsi="Times New Roman" w:cs="Times New Roman"/>
          <w:b/>
          <w:sz w:val="24"/>
          <w:szCs w:val="24"/>
        </w:rPr>
        <w:t>З</w:t>
      </w:r>
      <w:proofErr w:type="gramEnd"/>
      <w:r w:rsidRPr="00271AF6">
        <w:rPr>
          <w:rFonts w:ascii="Times New Roman" w:hAnsi="Times New Roman" w:cs="Times New Roman"/>
          <w:b/>
          <w:sz w:val="24"/>
          <w:szCs w:val="24"/>
        </w:rPr>
        <w:t xml:space="preserve"> НАДЛИШКОМ ЖИРІВ НА МОРФОФУНКЦІОНАЛЬНИЙ СТАН ЕКЗО- І ЕНДОКРИННОГО АПАРАТУ ПІДШЛУНКОВОЇ ЗАЛОЗИ ЩУРІВ ТА ЇХ ПОТОМСТВА</w:t>
      </w:r>
    </w:p>
    <w:p w:rsidR="00271AF6" w:rsidRDefault="00FC0EE9" w:rsidP="00271AF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271AF6">
        <w:rPr>
          <w:rFonts w:ascii="Times New Roman" w:hAnsi="Times New Roman" w:cs="Times New Roman"/>
          <w:b/>
          <w:sz w:val="24"/>
          <w:szCs w:val="24"/>
          <w:lang w:val="uk-UA"/>
        </w:rPr>
        <w:t xml:space="preserve">NEGATIVE EFFECTS OF </w:t>
      </w:r>
      <w:r w:rsidR="006035A0" w:rsidRPr="00271AF6">
        <w:rPr>
          <w:rFonts w:ascii="Times New Roman" w:hAnsi="Times New Roman" w:cs="Times New Roman"/>
          <w:b/>
          <w:sz w:val="24"/>
          <w:szCs w:val="24"/>
          <w:lang w:val="uk-UA"/>
        </w:rPr>
        <w:t xml:space="preserve">DIET </w:t>
      </w:r>
      <w:r w:rsidRPr="00271AF6">
        <w:rPr>
          <w:rFonts w:ascii="Times New Roman" w:hAnsi="Times New Roman" w:cs="Times New Roman"/>
          <w:b/>
          <w:sz w:val="24"/>
          <w:szCs w:val="24"/>
          <w:lang w:val="uk-UA"/>
        </w:rPr>
        <w:t xml:space="preserve">WITH EXCESSIVE FATS ON THE MORPHOFUNCTIONAL STATE OF THE EXO- AND ENDOCRINE APPARATUS OF THE PANCREAS IN RATS AND </w:t>
      </w:r>
      <w:r w:rsidR="006035A0" w:rsidRPr="00271AF6">
        <w:rPr>
          <w:rFonts w:ascii="Times New Roman" w:hAnsi="Times New Roman" w:cs="Times New Roman"/>
          <w:b/>
          <w:sz w:val="24"/>
          <w:szCs w:val="24"/>
          <w:lang w:val="uk-UA"/>
        </w:rPr>
        <w:t>THEIR OFFSPRING</w:t>
      </w:r>
    </w:p>
    <w:p w:rsidR="00411B2D" w:rsidRPr="00271AF6" w:rsidRDefault="00411B2D" w:rsidP="00271AF6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Ковальцова</w:t>
      </w:r>
      <w:proofErr w:type="spellEnd"/>
      <w:r w:rsidR="00FC0EE9"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М.В.,</w:t>
      </w:r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Огнєва</w:t>
      </w:r>
      <w:proofErr w:type="spellEnd"/>
      <w:r w:rsidR="00FC0EE9"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Л.Г.,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Сулхдост</w:t>
      </w:r>
      <w:proofErr w:type="spellEnd"/>
      <w:r w:rsidR="00FC0EE9"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І.О.</w:t>
      </w:r>
    </w:p>
    <w:p w:rsidR="00411B2D" w:rsidRPr="00271AF6" w:rsidRDefault="00411B2D" w:rsidP="00271AF6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271AF6">
        <w:rPr>
          <w:rFonts w:ascii="Times New Roman" w:hAnsi="Times New Roman" w:cs="Times New Roman"/>
          <w:sz w:val="24"/>
          <w:szCs w:val="24"/>
        </w:rPr>
        <w:t>Харківський</w:t>
      </w:r>
      <w:proofErr w:type="spellEnd"/>
      <w:r w:rsidRPr="00271A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1AF6">
        <w:rPr>
          <w:rFonts w:ascii="Times New Roman" w:hAnsi="Times New Roman" w:cs="Times New Roman"/>
          <w:sz w:val="24"/>
          <w:szCs w:val="24"/>
        </w:rPr>
        <w:t>національний</w:t>
      </w:r>
      <w:proofErr w:type="spellEnd"/>
      <w:r w:rsidRPr="00271A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1AF6">
        <w:rPr>
          <w:rFonts w:ascii="Times New Roman" w:hAnsi="Times New Roman" w:cs="Times New Roman"/>
          <w:sz w:val="24"/>
          <w:szCs w:val="24"/>
        </w:rPr>
        <w:t>медичний</w:t>
      </w:r>
      <w:proofErr w:type="spellEnd"/>
      <w:r w:rsidRPr="00271A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1AF6"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 w:rsidRPr="00271AF6">
        <w:rPr>
          <w:rFonts w:ascii="Times New Roman" w:hAnsi="Times New Roman" w:cs="Times New Roman"/>
          <w:sz w:val="24"/>
          <w:szCs w:val="24"/>
        </w:rPr>
        <w:t xml:space="preserve">, </w:t>
      </w:r>
      <w:r w:rsidR="00647E2A">
        <w:rPr>
          <w:rFonts w:ascii="Times New Roman" w:hAnsi="Times New Roman" w:cs="Times New Roman"/>
          <w:sz w:val="24"/>
          <w:szCs w:val="24"/>
        </w:rPr>
        <w:t>м.</w:t>
      </w:r>
      <w:r w:rsidR="00647E2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bookmarkStart w:id="0" w:name="_GoBack"/>
      <w:bookmarkEnd w:id="0"/>
      <w:proofErr w:type="spellStart"/>
      <w:r w:rsidR="00647E2A">
        <w:rPr>
          <w:rFonts w:ascii="Times New Roman" w:hAnsi="Times New Roman" w:cs="Times New Roman"/>
          <w:sz w:val="24"/>
          <w:szCs w:val="24"/>
        </w:rPr>
        <w:t>Харк</w:t>
      </w:r>
      <w:proofErr w:type="spellEnd"/>
      <w:r w:rsidR="00647E2A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647E2A">
        <w:rPr>
          <w:rFonts w:ascii="Times New Roman" w:hAnsi="Times New Roman" w:cs="Times New Roman"/>
          <w:sz w:val="24"/>
          <w:szCs w:val="24"/>
        </w:rPr>
        <w:t>в</w:t>
      </w:r>
      <w:r w:rsidR="00647E2A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271AF6">
        <w:rPr>
          <w:rFonts w:ascii="Times New Roman" w:hAnsi="Times New Roman" w:cs="Times New Roman"/>
          <w:sz w:val="24"/>
          <w:szCs w:val="24"/>
        </w:rPr>
        <w:t>Україна</w:t>
      </w:r>
      <w:proofErr w:type="spellEnd"/>
    </w:p>
    <w:p w:rsidR="00FC0EE9" w:rsidRPr="00271AF6" w:rsidRDefault="00FC0EE9" w:rsidP="00271AF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11B2D" w:rsidRPr="00271AF6" w:rsidRDefault="00411B2D" w:rsidP="00271AF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427B">
        <w:rPr>
          <w:rFonts w:ascii="Times New Roman" w:hAnsi="Times New Roman" w:cs="Times New Roman"/>
          <w:sz w:val="24"/>
          <w:szCs w:val="24"/>
          <w:lang w:val="uk-UA"/>
        </w:rPr>
        <w:t xml:space="preserve">Актуальність. Функціональні ураження підшлункової залози (ПЖ) є одним з найменш вивчених питань </w:t>
      </w:r>
      <w:proofErr w:type="spellStart"/>
      <w:r w:rsidRPr="0077427B">
        <w:rPr>
          <w:rFonts w:ascii="Times New Roman" w:hAnsi="Times New Roman" w:cs="Times New Roman"/>
          <w:sz w:val="24"/>
          <w:szCs w:val="24"/>
          <w:lang w:val="uk-UA"/>
        </w:rPr>
        <w:t>панкреатології</w:t>
      </w:r>
      <w:proofErr w:type="spellEnd"/>
      <w:r w:rsidRPr="0077427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271AF6">
        <w:rPr>
          <w:rFonts w:ascii="Times New Roman" w:hAnsi="Times New Roman" w:cs="Times New Roman"/>
          <w:sz w:val="24"/>
          <w:szCs w:val="24"/>
        </w:rPr>
        <w:t xml:space="preserve">На </w:t>
      </w:r>
      <w:proofErr w:type="spellStart"/>
      <w:r w:rsidRPr="00271AF6">
        <w:rPr>
          <w:rFonts w:ascii="Times New Roman" w:hAnsi="Times New Roman" w:cs="Times New Roman"/>
          <w:sz w:val="24"/>
          <w:szCs w:val="24"/>
        </w:rPr>
        <w:t>секреторну</w:t>
      </w:r>
      <w:proofErr w:type="spellEnd"/>
      <w:r w:rsidRPr="00271A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1AF6">
        <w:rPr>
          <w:rFonts w:ascii="Times New Roman" w:hAnsi="Times New Roman" w:cs="Times New Roman"/>
          <w:sz w:val="24"/>
          <w:szCs w:val="24"/>
        </w:rPr>
        <w:t>активність</w:t>
      </w:r>
      <w:proofErr w:type="spellEnd"/>
      <w:r w:rsidRPr="00271AF6">
        <w:rPr>
          <w:rFonts w:ascii="Times New Roman" w:hAnsi="Times New Roman" w:cs="Times New Roman"/>
          <w:sz w:val="24"/>
          <w:szCs w:val="24"/>
        </w:rPr>
        <w:t xml:space="preserve"> ПЖ </w:t>
      </w:r>
      <w:proofErr w:type="spellStart"/>
      <w:r w:rsidRPr="00271AF6">
        <w:rPr>
          <w:rFonts w:ascii="Times New Roman" w:hAnsi="Times New Roman" w:cs="Times New Roman"/>
          <w:sz w:val="24"/>
          <w:szCs w:val="24"/>
        </w:rPr>
        <w:t>може</w:t>
      </w:r>
      <w:proofErr w:type="spellEnd"/>
      <w:r w:rsidRPr="00271A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1AF6">
        <w:rPr>
          <w:rFonts w:ascii="Times New Roman" w:hAnsi="Times New Roman" w:cs="Times New Roman"/>
          <w:sz w:val="24"/>
          <w:szCs w:val="24"/>
        </w:rPr>
        <w:t>впливати</w:t>
      </w:r>
      <w:proofErr w:type="spellEnd"/>
      <w:r w:rsidRPr="00271A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1AF6">
        <w:rPr>
          <w:rFonts w:ascii="Times New Roman" w:hAnsi="Times New Roman" w:cs="Times New Roman"/>
          <w:sz w:val="24"/>
          <w:szCs w:val="24"/>
        </w:rPr>
        <w:t>вживання</w:t>
      </w:r>
      <w:proofErr w:type="spellEnd"/>
      <w:r w:rsidRPr="00271A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1AF6">
        <w:rPr>
          <w:rFonts w:ascii="Times New Roman" w:hAnsi="Times New Roman" w:cs="Times New Roman"/>
          <w:sz w:val="24"/>
          <w:szCs w:val="24"/>
        </w:rPr>
        <w:t>висококалорійної</w:t>
      </w:r>
      <w:proofErr w:type="spellEnd"/>
      <w:r w:rsidRPr="00271A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1AF6">
        <w:rPr>
          <w:rFonts w:ascii="Times New Roman" w:hAnsi="Times New Roman" w:cs="Times New Roman"/>
          <w:sz w:val="24"/>
          <w:szCs w:val="24"/>
        </w:rPr>
        <w:t>їжі</w:t>
      </w:r>
      <w:proofErr w:type="spellEnd"/>
      <w:r w:rsidRPr="00271AF6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271AF6">
        <w:rPr>
          <w:rFonts w:ascii="Times New Roman" w:hAnsi="Times New Roman" w:cs="Times New Roman"/>
          <w:sz w:val="24"/>
          <w:szCs w:val="24"/>
        </w:rPr>
        <w:t>підвищеним</w:t>
      </w:r>
      <w:proofErr w:type="spellEnd"/>
      <w:r w:rsidRPr="00271A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1AF6">
        <w:rPr>
          <w:rFonts w:ascii="Times New Roman" w:hAnsi="Times New Roman" w:cs="Times New Roman"/>
          <w:sz w:val="24"/>
          <w:szCs w:val="24"/>
        </w:rPr>
        <w:t>вмістом</w:t>
      </w:r>
      <w:proofErr w:type="spellEnd"/>
      <w:r w:rsidRPr="00271AF6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271AF6">
        <w:rPr>
          <w:rFonts w:ascii="Times New Roman" w:hAnsi="Times New Roman" w:cs="Times New Roman"/>
          <w:sz w:val="24"/>
          <w:szCs w:val="24"/>
        </w:rPr>
        <w:t>ній</w:t>
      </w:r>
      <w:proofErr w:type="spellEnd"/>
      <w:r w:rsidRPr="00271A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1AF6">
        <w:rPr>
          <w:rFonts w:ascii="Times New Roman" w:hAnsi="Times New Roman" w:cs="Times New Roman"/>
          <w:sz w:val="24"/>
          <w:szCs w:val="24"/>
        </w:rPr>
        <w:t>жирів</w:t>
      </w:r>
      <w:proofErr w:type="spellEnd"/>
      <w:r w:rsidRPr="00271AF6">
        <w:rPr>
          <w:rFonts w:ascii="Times New Roman" w:hAnsi="Times New Roman" w:cs="Times New Roman"/>
          <w:sz w:val="24"/>
          <w:szCs w:val="24"/>
        </w:rPr>
        <w:t>.</w:t>
      </w:r>
    </w:p>
    <w:p w:rsidR="00411B2D" w:rsidRPr="00271AF6" w:rsidRDefault="00411B2D" w:rsidP="00271AF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03DFA">
        <w:rPr>
          <w:rFonts w:ascii="Times New Roman" w:hAnsi="Times New Roman" w:cs="Times New Roman"/>
          <w:sz w:val="24"/>
          <w:szCs w:val="24"/>
        </w:rPr>
        <w:t>Мет</w:t>
      </w:r>
      <w:r w:rsidR="00271AF6" w:rsidRPr="00903DFA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903DFA">
        <w:rPr>
          <w:rFonts w:ascii="Times New Roman" w:hAnsi="Times New Roman" w:cs="Times New Roman"/>
          <w:sz w:val="24"/>
          <w:szCs w:val="24"/>
        </w:rPr>
        <w:t xml:space="preserve"> </w:t>
      </w:r>
      <w:r w:rsidR="00271AF6" w:rsidRPr="00903DFA">
        <w:rPr>
          <w:rFonts w:ascii="Times New Roman" w:hAnsi="Times New Roman" w:cs="Times New Roman"/>
          <w:sz w:val="24"/>
          <w:szCs w:val="24"/>
          <w:lang w:val="uk-UA"/>
        </w:rPr>
        <w:t>роботи.</w:t>
      </w:r>
      <w:r w:rsidRPr="00271AF6">
        <w:rPr>
          <w:rFonts w:ascii="Times New Roman" w:hAnsi="Times New Roman" w:cs="Times New Roman"/>
          <w:sz w:val="24"/>
          <w:szCs w:val="24"/>
        </w:rPr>
        <w:t xml:space="preserve"> </w:t>
      </w:r>
      <w:r w:rsidR="00271AF6" w:rsidRPr="00271AF6">
        <w:rPr>
          <w:rFonts w:ascii="Times New Roman" w:hAnsi="Times New Roman" w:cs="Times New Roman"/>
          <w:sz w:val="24"/>
          <w:szCs w:val="24"/>
          <w:lang w:val="uk-UA"/>
        </w:rPr>
        <w:t>У</w:t>
      </w:r>
      <w:proofErr w:type="spellStart"/>
      <w:r w:rsidRPr="00271AF6">
        <w:rPr>
          <w:rFonts w:ascii="Times New Roman" w:hAnsi="Times New Roman" w:cs="Times New Roman"/>
          <w:sz w:val="24"/>
          <w:szCs w:val="24"/>
        </w:rPr>
        <w:t>точнення</w:t>
      </w:r>
      <w:proofErr w:type="spellEnd"/>
      <w:r w:rsidRPr="00271A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1AF6">
        <w:rPr>
          <w:rFonts w:ascii="Times New Roman" w:hAnsi="Times New Roman" w:cs="Times New Roman"/>
          <w:sz w:val="24"/>
          <w:szCs w:val="24"/>
        </w:rPr>
        <w:t>патогенетичних</w:t>
      </w:r>
      <w:proofErr w:type="spellEnd"/>
      <w:r w:rsidRPr="00271A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1AF6">
        <w:rPr>
          <w:rFonts w:ascii="Times New Roman" w:hAnsi="Times New Roman" w:cs="Times New Roman"/>
          <w:sz w:val="24"/>
          <w:szCs w:val="24"/>
        </w:rPr>
        <w:t>механізмів</w:t>
      </w:r>
      <w:proofErr w:type="spellEnd"/>
      <w:r w:rsidRPr="00271A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1AF6">
        <w:rPr>
          <w:rFonts w:ascii="Times New Roman" w:hAnsi="Times New Roman" w:cs="Times New Roman"/>
          <w:sz w:val="24"/>
          <w:szCs w:val="24"/>
        </w:rPr>
        <w:t>ушкодження</w:t>
      </w:r>
      <w:proofErr w:type="spellEnd"/>
      <w:r w:rsidRPr="00271AF6">
        <w:rPr>
          <w:rFonts w:ascii="Times New Roman" w:hAnsi="Times New Roman" w:cs="Times New Roman"/>
          <w:sz w:val="24"/>
          <w:szCs w:val="24"/>
        </w:rPr>
        <w:t xml:space="preserve"> ПЖ, шляхом </w:t>
      </w:r>
      <w:proofErr w:type="spellStart"/>
      <w:r w:rsidRPr="00271AF6">
        <w:rPr>
          <w:rFonts w:ascii="Times New Roman" w:hAnsi="Times New Roman" w:cs="Times New Roman"/>
          <w:sz w:val="24"/>
          <w:szCs w:val="24"/>
        </w:rPr>
        <w:t>вивчення</w:t>
      </w:r>
      <w:proofErr w:type="spellEnd"/>
      <w:r w:rsidRPr="00271A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1AF6">
        <w:rPr>
          <w:rFonts w:ascii="Times New Roman" w:hAnsi="Times New Roman" w:cs="Times New Roman"/>
          <w:sz w:val="24"/>
          <w:szCs w:val="24"/>
        </w:rPr>
        <w:t>морфофункціонального</w:t>
      </w:r>
      <w:proofErr w:type="spellEnd"/>
      <w:r w:rsidRPr="00271AF6">
        <w:rPr>
          <w:rFonts w:ascii="Times New Roman" w:hAnsi="Times New Roman" w:cs="Times New Roman"/>
          <w:sz w:val="24"/>
          <w:szCs w:val="24"/>
        </w:rPr>
        <w:t xml:space="preserve"> стану </w:t>
      </w:r>
      <w:proofErr w:type="spellStart"/>
      <w:r w:rsidRPr="00271AF6">
        <w:rPr>
          <w:rFonts w:ascii="Times New Roman" w:hAnsi="Times New Roman" w:cs="Times New Roman"/>
          <w:sz w:val="24"/>
          <w:szCs w:val="24"/>
        </w:rPr>
        <w:t>екзо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271AF6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271AF6">
        <w:rPr>
          <w:rFonts w:ascii="Times New Roman" w:hAnsi="Times New Roman" w:cs="Times New Roman"/>
          <w:sz w:val="24"/>
          <w:szCs w:val="24"/>
        </w:rPr>
        <w:t>ендокринної</w:t>
      </w:r>
      <w:proofErr w:type="spellEnd"/>
      <w:r w:rsidRPr="00271A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1AF6">
        <w:rPr>
          <w:rFonts w:ascii="Times New Roman" w:hAnsi="Times New Roman" w:cs="Times New Roman"/>
          <w:sz w:val="24"/>
          <w:szCs w:val="24"/>
        </w:rPr>
        <w:t>частини</w:t>
      </w:r>
      <w:proofErr w:type="spellEnd"/>
      <w:r w:rsidRPr="00271AF6">
        <w:rPr>
          <w:rFonts w:ascii="Times New Roman" w:hAnsi="Times New Roman" w:cs="Times New Roman"/>
          <w:sz w:val="24"/>
          <w:szCs w:val="24"/>
        </w:rPr>
        <w:t xml:space="preserve"> ПЖ </w:t>
      </w:r>
      <w:proofErr w:type="spellStart"/>
      <w:r w:rsidRPr="00271AF6">
        <w:rPr>
          <w:rFonts w:ascii="Times New Roman" w:hAnsi="Times New Roman" w:cs="Times New Roman"/>
          <w:sz w:val="24"/>
          <w:szCs w:val="24"/>
        </w:rPr>
        <w:t>щурів</w:t>
      </w:r>
      <w:proofErr w:type="spellEnd"/>
      <w:r w:rsidRPr="00271AF6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271AF6">
        <w:rPr>
          <w:rFonts w:ascii="Times New Roman" w:hAnsi="Times New Roman" w:cs="Times New Roman"/>
          <w:sz w:val="24"/>
          <w:szCs w:val="24"/>
        </w:rPr>
        <w:t>їх</w:t>
      </w:r>
      <w:proofErr w:type="spellEnd"/>
      <w:r w:rsidRPr="00271AF6">
        <w:rPr>
          <w:rFonts w:ascii="Times New Roman" w:hAnsi="Times New Roman" w:cs="Times New Roman"/>
          <w:sz w:val="24"/>
          <w:szCs w:val="24"/>
        </w:rPr>
        <w:t xml:space="preserve"> потомства при </w:t>
      </w:r>
      <w:proofErr w:type="spellStart"/>
      <w:r w:rsidRPr="00271AF6">
        <w:rPr>
          <w:rFonts w:ascii="Times New Roman" w:hAnsi="Times New Roman" w:cs="Times New Roman"/>
          <w:sz w:val="24"/>
          <w:szCs w:val="24"/>
        </w:rPr>
        <w:t>незбалансованому</w:t>
      </w:r>
      <w:proofErr w:type="spellEnd"/>
      <w:r w:rsidRPr="00271A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1AF6">
        <w:rPr>
          <w:rFonts w:ascii="Times New Roman" w:hAnsi="Times New Roman" w:cs="Times New Roman"/>
          <w:sz w:val="24"/>
          <w:szCs w:val="24"/>
        </w:rPr>
        <w:t>харчуванні</w:t>
      </w:r>
      <w:proofErr w:type="spellEnd"/>
      <w:r w:rsidRPr="00271AF6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271AF6">
        <w:rPr>
          <w:rFonts w:ascii="Times New Roman" w:hAnsi="Times New Roman" w:cs="Times New Roman"/>
          <w:sz w:val="24"/>
          <w:szCs w:val="24"/>
        </w:rPr>
        <w:t>надлишком</w:t>
      </w:r>
      <w:proofErr w:type="spellEnd"/>
      <w:r w:rsidRPr="00271A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1AF6">
        <w:rPr>
          <w:rFonts w:ascii="Times New Roman" w:hAnsi="Times New Roman" w:cs="Times New Roman"/>
          <w:sz w:val="24"/>
          <w:szCs w:val="24"/>
        </w:rPr>
        <w:t>жирів</w:t>
      </w:r>
      <w:proofErr w:type="spellEnd"/>
      <w:r w:rsidRPr="00271AF6">
        <w:rPr>
          <w:rFonts w:ascii="Times New Roman" w:hAnsi="Times New Roman" w:cs="Times New Roman"/>
          <w:sz w:val="24"/>
          <w:szCs w:val="24"/>
        </w:rPr>
        <w:t>.</w:t>
      </w:r>
    </w:p>
    <w:p w:rsidR="00411B2D" w:rsidRPr="00271AF6" w:rsidRDefault="00411B2D" w:rsidP="00271AF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03DFA">
        <w:rPr>
          <w:rFonts w:ascii="Times New Roman" w:hAnsi="Times New Roman" w:cs="Times New Roman"/>
          <w:sz w:val="24"/>
          <w:szCs w:val="24"/>
          <w:lang w:val="uk-UA"/>
        </w:rPr>
        <w:t xml:space="preserve">Матеріали </w:t>
      </w:r>
      <w:r w:rsidR="000A270F" w:rsidRPr="00903DFA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903DFA">
        <w:rPr>
          <w:rFonts w:ascii="Times New Roman" w:hAnsi="Times New Roman" w:cs="Times New Roman"/>
          <w:sz w:val="24"/>
          <w:szCs w:val="24"/>
          <w:lang w:val="uk-UA"/>
        </w:rPr>
        <w:t xml:space="preserve"> методи.</w:t>
      </w:r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Вивчено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морфофункціональні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зміни ПЖ вагітних щур</w:t>
      </w:r>
      <w:r w:rsidR="0051386A">
        <w:rPr>
          <w:rFonts w:ascii="Times New Roman" w:hAnsi="Times New Roman" w:cs="Times New Roman"/>
          <w:sz w:val="24"/>
          <w:szCs w:val="24"/>
          <w:lang w:val="uk-UA"/>
        </w:rPr>
        <w:t>ів і їх потомства популяції WAG/</w:t>
      </w:r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G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Sto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з використанням гістологічного, цитох</w:t>
      </w:r>
      <w:r w:rsidR="00155EED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271AF6">
        <w:rPr>
          <w:rFonts w:ascii="Times New Roman" w:hAnsi="Times New Roman" w:cs="Times New Roman"/>
          <w:sz w:val="24"/>
          <w:szCs w:val="24"/>
          <w:lang w:val="uk-UA"/>
        </w:rPr>
        <w:t>м</w:t>
      </w:r>
      <w:r w:rsidR="00155EED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271AF6">
        <w:rPr>
          <w:rFonts w:ascii="Times New Roman" w:hAnsi="Times New Roman" w:cs="Times New Roman"/>
          <w:sz w:val="24"/>
          <w:szCs w:val="24"/>
          <w:lang w:val="uk-UA"/>
        </w:rPr>
        <w:t>ч</w:t>
      </w:r>
      <w:r w:rsidR="00155EED">
        <w:rPr>
          <w:rFonts w:ascii="Times New Roman" w:hAnsi="Times New Roman" w:cs="Times New Roman"/>
          <w:sz w:val="24"/>
          <w:szCs w:val="24"/>
          <w:lang w:val="uk-UA"/>
        </w:rPr>
        <w:t>н</w:t>
      </w:r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ого і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цітоморфометріч</w:t>
      </w:r>
      <w:r w:rsidR="00155EED">
        <w:rPr>
          <w:rFonts w:ascii="Times New Roman" w:hAnsi="Times New Roman" w:cs="Times New Roman"/>
          <w:sz w:val="24"/>
          <w:szCs w:val="24"/>
          <w:lang w:val="uk-UA"/>
        </w:rPr>
        <w:t>н</w:t>
      </w:r>
      <w:r w:rsidRPr="00271AF6">
        <w:rPr>
          <w:rFonts w:ascii="Times New Roman" w:hAnsi="Times New Roman" w:cs="Times New Roman"/>
          <w:sz w:val="24"/>
          <w:szCs w:val="24"/>
          <w:lang w:val="uk-UA"/>
        </w:rPr>
        <w:t>ого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методів. Оцінку секреторною активності ПЖ і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гормональносубстратних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взаємин досліджували за використання біохімічного методу. Всі групи експериментальних тварин включали 10 голів. Основні групи: вагітні щури (1 гр.) і їх потомство - новонароджені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крисята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(гр. 1.1), 1-місячні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крисята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(гр. 1.2), 2-місячні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крисята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(гр. 1.3). Групу порівняння склали щури, </w:t>
      </w:r>
      <w:r w:rsidR="00F7354F">
        <w:rPr>
          <w:rFonts w:ascii="Times New Roman" w:hAnsi="Times New Roman" w:cs="Times New Roman"/>
          <w:sz w:val="24"/>
          <w:szCs w:val="24"/>
          <w:lang w:val="uk-UA"/>
        </w:rPr>
        <w:t>які</w:t>
      </w:r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отримували збалансоване харчування, і їх потомство аналогічного віку.</w:t>
      </w:r>
    </w:p>
    <w:p w:rsidR="00411B2D" w:rsidRPr="00271AF6" w:rsidRDefault="00411B2D" w:rsidP="00271AF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03DFA">
        <w:rPr>
          <w:rFonts w:ascii="Times New Roman" w:hAnsi="Times New Roman" w:cs="Times New Roman"/>
          <w:sz w:val="24"/>
          <w:szCs w:val="24"/>
          <w:lang w:val="uk-UA"/>
        </w:rPr>
        <w:t>Результати</w:t>
      </w:r>
      <w:r w:rsidR="000A270F" w:rsidRPr="00903DFA">
        <w:rPr>
          <w:rFonts w:ascii="Times New Roman" w:hAnsi="Times New Roman" w:cs="Times New Roman"/>
          <w:sz w:val="24"/>
          <w:szCs w:val="24"/>
          <w:lang w:val="uk-UA"/>
        </w:rPr>
        <w:t xml:space="preserve"> дослідження</w:t>
      </w:r>
      <w:r w:rsidRPr="00903DFA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У підшлунковій залозі вагітних щурів, які отримували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гіперкалорійних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дієту, і у їх потомства виявлені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морфофункціональні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зміни. Гіперплазія і гіпертрофія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екзокриноцитів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і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ендокріноцітов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, поява дрібних острівців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Лангерганса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, помірна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морфофункциональная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активність в частині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екзокриноцитів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і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ендокріноцітов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є відображенням компенсаторно-пристосувальної реакції. Посилення дистрофічних, склеротичних процесів,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апоптозу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екзокрінацітах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і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ендокріноціти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, свідчить про наступаючому виснаженні клітин після функціонального перенапруження підшлункової залози внаслідок тривалої аліментарної гіперглікемії. Одночасно відмічено підвищення в крові рівнів ліпази і α-амілази і зниження α1-антитрипсину, що свідчить про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гіперпанкреатізм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Гиперферментемия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на тлі виражених морфологічних змін </w:t>
      </w:r>
      <w:r w:rsidR="0051386A">
        <w:rPr>
          <w:rFonts w:ascii="Times New Roman" w:hAnsi="Times New Roman" w:cs="Times New Roman"/>
          <w:sz w:val="24"/>
          <w:szCs w:val="24"/>
          <w:lang w:val="uk-UA"/>
        </w:rPr>
        <w:t xml:space="preserve">підшлункової залози зумовлена </w:t>
      </w:r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гіперфункцією непошкоджених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екзокриноцитів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. Так само виявлено високий рівень інсуліну в поєднанні з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гіперкортікостеронеміей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(у щурів) і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гіпокортікостеронеміей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(у частині щурят), яка, ймовірно, має компенсаторний характер і зумовлює активізацію процесів катаболізму. Свідченням цього є гіперглікемія, помірна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гіпопротеїнемія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, незначне підвищення рівня жирних кислот і </w:t>
      </w:r>
      <w:r w:rsidR="00271AF6"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значне підвищення </w:t>
      </w:r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кетонових тіл. Таким чином вживання їжі з надмірним вмістом вуглеводів і жирів в раціоні харчування вагітних щурів, призводить до компенсаторної гіпертрофії β-клітин підшлункової залози і обумовлює їх компенсаторну гіперфункцію з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гіперпродукцією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інсуліну.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Г</w:t>
      </w:r>
      <w:r w:rsidR="00436256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271AF6">
        <w:rPr>
          <w:rFonts w:ascii="Times New Roman" w:hAnsi="Times New Roman" w:cs="Times New Roman"/>
          <w:sz w:val="24"/>
          <w:szCs w:val="24"/>
          <w:lang w:val="uk-UA"/>
        </w:rPr>
        <w:t>пер</w:t>
      </w:r>
      <w:r w:rsidR="00436256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271AF6">
        <w:rPr>
          <w:rFonts w:ascii="Times New Roman" w:hAnsi="Times New Roman" w:cs="Times New Roman"/>
          <w:sz w:val="24"/>
          <w:szCs w:val="24"/>
          <w:lang w:val="uk-UA"/>
        </w:rPr>
        <w:t>нсул</w:t>
      </w:r>
      <w:r w:rsidR="00436256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271AF6">
        <w:rPr>
          <w:rFonts w:ascii="Times New Roman" w:hAnsi="Times New Roman" w:cs="Times New Roman"/>
          <w:sz w:val="24"/>
          <w:szCs w:val="24"/>
          <w:lang w:val="uk-UA"/>
        </w:rPr>
        <w:t>нем</w:t>
      </w:r>
      <w:r w:rsidR="00436256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271AF6">
        <w:rPr>
          <w:rFonts w:ascii="Times New Roman" w:hAnsi="Times New Roman" w:cs="Times New Roman"/>
          <w:sz w:val="24"/>
          <w:szCs w:val="24"/>
          <w:lang w:val="uk-UA"/>
        </w:rPr>
        <w:t>я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стимулює збільшення рівня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кортикостерону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і пов'язану з цим г</w:t>
      </w:r>
      <w:r w:rsidR="00436256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271AF6">
        <w:rPr>
          <w:rFonts w:ascii="Times New Roman" w:hAnsi="Times New Roman" w:cs="Times New Roman"/>
          <w:sz w:val="24"/>
          <w:szCs w:val="24"/>
          <w:lang w:val="uk-UA"/>
        </w:rPr>
        <w:t>пергл</w:t>
      </w:r>
      <w:r w:rsidR="00436256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271AF6">
        <w:rPr>
          <w:rFonts w:ascii="Times New Roman" w:hAnsi="Times New Roman" w:cs="Times New Roman"/>
          <w:sz w:val="24"/>
          <w:szCs w:val="24"/>
          <w:lang w:val="uk-UA"/>
        </w:rPr>
        <w:t>кем</w:t>
      </w:r>
      <w:r w:rsidR="00436256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ю. У такій ситуації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г</w:t>
      </w:r>
      <w:r w:rsidR="00436256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271AF6">
        <w:rPr>
          <w:rFonts w:ascii="Times New Roman" w:hAnsi="Times New Roman" w:cs="Times New Roman"/>
          <w:sz w:val="24"/>
          <w:szCs w:val="24"/>
          <w:lang w:val="uk-UA"/>
        </w:rPr>
        <w:t>ипер</w:t>
      </w:r>
      <w:r w:rsidR="00436256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271AF6">
        <w:rPr>
          <w:rFonts w:ascii="Times New Roman" w:hAnsi="Times New Roman" w:cs="Times New Roman"/>
          <w:sz w:val="24"/>
          <w:szCs w:val="24"/>
          <w:lang w:val="uk-UA"/>
        </w:rPr>
        <w:t>нсул</w:t>
      </w:r>
      <w:r w:rsidR="00436256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271AF6">
        <w:rPr>
          <w:rFonts w:ascii="Times New Roman" w:hAnsi="Times New Roman" w:cs="Times New Roman"/>
          <w:sz w:val="24"/>
          <w:szCs w:val="24"/>
          <w:lang w:val="uk-UA"/>
        </w:rPr>
        <w:t>нем</w:t>
      </w:r>
      <w:r w:rsidR="00436256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271AF6">
        <w:rPr>
          <w:rFonts w:ascii="Times New Roman" w:hAnsi="Times New Roman" w:cs="Times New Roman"/>
          <w:sz w:val="24"/>
          <w:szCs w:val="24"/>
          <w:lang w:val="uk-UA"/>
        </w:rPr>
        <w:t>я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є вторинною і має пристосувальне значення для зменшення рівня глікемії. Поєднання гіперглікемії з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г</w:t>
      </w:r>
      <w:r w:rsidR="00436256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271AF6">
        <w:rPr>
          <w:rFonts w:ascii="Times New Roman" w:hAnsi="Times New Roman" w:cs="Times New Roman"/>
          <w:sz w:val="24"/>
          <w:szCs w:val="24"/>
          <w:lang w:val="uk-UA"/>
        </w:rPr>
        <w:t>пер</w:t>
      </w:r>
      <w:r w:rsidR="00436256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271AF6">
        <w:rPr>
          <w:rFonts w:ascii="Times New Roman" w:hAnsi="Times New Roman" w:cs="Times New Roman"/>
          <w:sz w:val="24"/>
          <w:szCs w:val="24"/>
          <w:lang w:val="uk-UA"/>
        </w:rPr>
        <w:t>нсул</w:t>
      </w:r>
      <w:r w:rsidR="00436256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271AF6">
        <w:rPr>
          <w:rFonts w:ascii="Times New Roman" w:hAnsi="Times New Roman" w:cs="Times New Roman"/>
          <w:sz w:val="24"/>
          <w:szCs w:val="24"/>
          <w:lang w:val="uk-UA"/>
        </w:rPr>
        <w:t>нем</w:t>
      </w:r>
      <w:r w:rsidR="00436256">
        <w:rPr>
          <w:rFonts w:ascii="Times New Roman" w:hAnsi="Times New Roman" w:cs="Times New Roman"/>
          <w:sz w:val="24"/>
          <w:szCs w:val="24"/>
          <w:lang w:val="uk-UA"/>
        </w:rPr>
        <w:t>ією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свідчить про розвиток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інсулінорезистентності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інсулінозалежних тканин. Аргументом на користь такого трактування отриманих даних є високий рівень в крові жирних кислот і збільшення кількості кетонових тіл, що відображають внутрішньоклітинний дефіцит глюкози і пов'язане з цим порушення метаболізму в мітохондріях вільних жирних кислот через β-окислення і порушення метаболізму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ацетил-КоА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в циклі Кребса. Ознаки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морфофункціональних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порушень ПЖ є вже </w:t>
      </w:r>
      <w:r w:rsidRPr="00271AF6">
        <w:rPr>
          <w:rFonts w:ascii="Times New Roman" w:hAnsi="Times New Roman" w:cs="Times New Roman"/>
          <w:sz w:val="24"/>
          <w:szCs w:val="24"/>
          <w:lang w:val="uk-UA"/>
        </w:rPr>
        <w:lastRenderedPageBreak/>
        <w:t>у новонароджених щурят (і вони схожі з такими у їхніх матерів) і в міру росту тварин поглиблюються, незважаючи на нормальний режим харчування.</w:t>
      </w:r>
    </w:p>
    <w:p w:rsidR="00FC0EE9" w:rsidRPr="00271AF6" w:rsidRDefault="00FC0EE9" w:rsidP="00271AF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03DFA">
        <w:rPr>
          <w:rFonts w:ascii="Times New Roman" w:hAnsi="Times New Roman" w:cs="Times New Roman"/>
          <w:sz w:val="24"/>
          <w:szCs w:val="24"/>
          <w:lang w:val="uk-UA"/>
        </w:rPr>
        <w:t>Висновки.</w:t>
      </w:r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Результати проведеного дослідження свідчать про те, що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гіперкалорійна</w:t>
      </w:r>
      <w:proofErr w:type="spellEnd"/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дієта вагітних щурів з підвищеним вмістом вуглеводів і жирів є істотним чинником ризику розвитку хронічної панкреатичної недостатності і цукрового діабету в подальшому не тільки у самих щурів, а й у їх потомства.</w:t>
      </w:r>
    </w:p>
    <w:p w:rsidR="00D175C3" w:rsidRPr="00D175C3" w:rsidRDefault="00D175C3" w:rsidP="00271AF6">
      <w:pPr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sz w:val="24"/>
          <w:szCs w:val="24"/>
          <w:lang w:val="uk-UA" w:eastAsia="ru-RU"/>
        </w:rPr>
      </w:pPr>
      <w:r w:rsidRPr="00D175C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Ключові слова: </w:t>
      </w:r>
      <w:proofErr w:type="spellStart"/>
      <w:r w:rsidRPr="00D175C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гіперкалорійная</w:t>
      </w:r>
      <w:proofErr w:type="spellEnd"/>
      <w:r w:rsidRPr="00D175C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дієта, </w:t>
      </w:r>
      <w:proofErr w:type="spellStart"/>
      <w:r w:rsidRPr="00D175C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морфофункціональний</w:t>
      </w:r>
      <w:proofErr w:type="spellEnd"/>
      <w:r w:rsidRPr="00D175C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стан підшлункової залози, </w:t>
      </w:r>
      <w:r w:rsidRPr="00271AF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вагітні</w:t>
      </w:r>
      <w:r w:rsidRPr="00D175C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щури</w:t>
      </w:r>
      <w:r w:rsidRPr="00271AF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</w:t>
      </w:r>
      <w:r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новонароджені </w:t>
      </w:r>
      <w:proofErr w:type="spellStart"/>
      <w:r w:rsidRPr="00271AF6">
        <w:rPr>
          <w:rFonts w:ascii="Times New Roman" w:hAnsi="Times New Roman" w:cs="Times New Roman"/>
          <w:sz w:val="24"/>
          <w:szCs w:val="24"/>
          <w:lang w:val="uk-UA"/>
        </w:rPr>
        <w:t>крисята</w:t>
      </w:r>
      <w:proofErr w:type="spellEnd"/>
    </w:p>
    <w:p w:rsidR="00D175C3" w:rsidRPr="00D175C3" w:rsidRDefault="00D175C3" w:rsidP="00271AF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175C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Keywords:</w:t>
      </w:r>
      <w:r w:rsidRPr="00D175C3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proofErr w:type="spellStart"/>
      <w:r w:rsidRPr="00D175C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hypercaloric</w:t>
      </w:r>
      <w:proofErr w:type="spellEnd"/>
      <w:r w:rsidRPr="00D175C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diet, morphology and function of the pancreas, </w:t>
      </w:r>
      <w:r w:rsidR="00B46850" w:rsidRPr="00271AF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pregnant rats, new-born rat cubs</w:t>
      </w:r>
      <w:r w:rsidR="00B46850" w:rsidRPr="00271AF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sectPr w:rsidR="00D175C3" w:rsidRPr="00D175C3" w:rsidSect="0051386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7937"/>
    <w:rsid w:val="000A270F"/>
    <w:rsid w:val="00155EED"/>
    <w:rsid w:val="00271AF6"/>
    <w:rsid w:val="00411B2D"/>
    <w:rsid w:val="00436256"/>
    <w:rsid w:val="0051386A"/>
    <w:rsid w:val="005A1519"/>
    <w:rsid w:val="006035A0"/>
    <w:rsid w:val="00647E2A"/>
    <w:rsid w:val="0077427B"/>
    <w:rsid w:val="00903DFA"/>
    <w:rsid w:val="0090430E"/>
    <w:rsid w:val="00967937"/>
    <w:rsid w:val="00B46850"/>
    <w:rsid w:val="00D175C3"/>
    <w:rsid w:val="00F7354F"/>
    <w:rsid w:val="00FC0E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640</Words>
  <Characters>3648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4280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11</cp:revision>
  <dcterms:created xsi:type="dcterms:W3CDTF">2021-09-13T16:05:00Z</dcterms:created>
  <dcterms:modified xsi:type="dcterms:W3CDTF">2021-09-14T10:19:00Z</dcterms:modified>
</cp:coreProperties>
</file>