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4CBF1E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Баришева Даріна Володимирівна, здобувач вищої освіти</w:t>
      </w:r>
    </w:p>
    <w:p w14:paraId="774CAB1A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ІІ медичного факультету</w:t>
      </w:r>
    </w:p>
    <w:p w14:paraId="534CF00B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Харківський національний медичний університет, Україна</w:t>
      </w:r>
    </w:p>
    <w:p w14:paraId="49A1A98A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Топчий Анна Сергіївна, здобувач вищої освіти ІІ медичного факультету</w:t>
      </w:r>
    </w:p>
    <w:p w14:paraId="59F2014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Харківський національний медичний університет, Україна</w:t>
      </w:r>
    </w:p>
    <w:p w14:paraId="3427DB15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Науковий керівник: Рибка Олена Сергіївна, канд. мед. наук,</w:t>
      </w:r>
    </w:p>
    <w:p w14:paraId="780C89BF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асистент кафедри педіатрії № 1 та неонатології</w:t>
      </w:r>
    </w:p>
    <w:p w14:paraId="140D4B6B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Харківський національний медичний університет, Україна</w:t>
      </w:r>
    </w:p>
    <w:p w14:paraId="5D12F20E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АКТУАЛЬНІ ПРОБЛЕМИ СУЧАСНИХ МЕТОДІВ</w:t>
      </w:r>
    </w:p>
    <w:p w14:paraId="3ADCE70A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ЛІКУВАННЯ МУКОВІСЦИДОЗУ</w:t>
      </w:r>
    </w:p>
    <w:p w14:paraId="4798504F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Актуальність. За даними Всесвітньої організації охорони здоров'я (ВООЗ), на</w:t>
      </w:r>
    </w:p>
    <w:p w14:paraId="394DD332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сьогоднішній день муковісцидоз (кістозний фіброз) є одним з найпоширеніших</w:t>
      </w:r>
    </w:p>
    <w:p w14:paraId="79ABFF99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рідкісних спадкових розладів у дітей європеоїдної раси. На жаль, повні дані про</w:t>
      </w:r>
    </w:p>
    <w:p w14:paraId="56799A00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поширеність муковісцидозу (МВ) в Україні відсутні, однак за припущеннями</w:t>
      </w:r>
    </w:p>
    <w:p w14:paraId="1215D0F0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Міжнародного дослідницького центру з муковісцидозу (</w:t>
      </w:r>
      <w:r>
        <w:t>Cystic</w:t>
      </w:r>
      <w:r w:rsidRPr="00922084">
        <w:rPr>
          <w:lang w:val="ru-RU"/>
        </w:rPr>
        <w:t xml:space="preserve"> </w:t>
      </w:r>
      <w:r>
        <w:t>Fibrosis</w:t>
      </w:r>
      <w:r w:rsidRPr="00922084">
        <w:rPr>
          <w:lang w:val="ru-RU"/>
        </w:rPr>
        <w:t xml:space="preserve"> </w:t>
      </w:r>
      <w:r>
        <w:t>Worldwide</w:t>
      </w:r>
      <w:r w:rsidRPr="00922084">
        <w:rPr>
          <w:lang w:val="ru-RU"/>
        </w:rPr>
        <w:t>)</w:t>
      </w:r>
    </w:p>
    <w:p w14:paraId="69FD3FFB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кожен 400-ий новонароджений в нашій країні може бути потенційно хворим.</w:t>
      </w:r>
    </w:p>
    <w:p w14:paraId="338C7440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Сучасні високоефективні модуляторні терапії (</w:t>
      </w:r>
      <w:r>
        <w:t>HEMTs</w:t>
      </w:r>
      <w:r w:rsidRPr="00922084">
        <w:rPr>
          <w:lang w:val="ru-RU"/>
        </w:rPr>
        <w:t>) покращили прогноз</w:t>
      </w:r>
    </w:p>
    <w:p w14:paraId="2E547C9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для дітей із МВ і дане захворювання більше не вважається виключно дитячим,</w:t>
      </w:r>
    </w:p>
    <w:p w14:paraId="7A3C6F50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оскільки нові лікувальні підходи дозволяють пацієнтам жити довше та більш якісно,</w:t>
      </w:r>
    </w:p>
    <w:p w14:paraId="7B8754AF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але з плином часу накопичуються звіти про випадки та дані спостережень, що</w:t>
      </w:r>
    </w:p>
    <w:p w14:paraId="11C8AAE6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описують різні несприятливі явища після початку терапії.</w:t>
      </w:r>
    </w:p>
    <w:p w14:paraId="5A50EDA1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Мета роботи. Проаналізувати наявні літературні джерела та виділити дані</w:t>
      </w:r>
    </w:p>
    <w:p w14:paraId="6DB91C8B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клінічних випробувань щодо доступних </w:t>
      </w:r>
      <w:r>
        <w:t>HEMT</w:t>
      </w:r>
      <w:r w:rsidRPr="00922084">
        <w:rPr>
          <w:lang w:val="ru-RU"/>
        </w:rPr>
        <w:t>, висвітлити їхні відповідні легеневі</w:t>
      </w:r>
    </w:p>
    <w:p w14:paraId="7188DF4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та позалегеневі ефекти, а також будь-які зареєстровані побічні ефекти.</w:t>
      </w:r>
    </w:p>
    <w:p w14:paraId="2AEA9E74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Матеріали та методи. В ході написання роботи була використана медична</w:t>
      </w:r>
    </w:p>
    <w:p w14:paraId="05CDA521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література вітчизняних та закордонних авторів, статті, опубліковані науковими</w:t>
      </w:r>
    </w:p>
    <w:p w14:paraId="3D44A66D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інтернет-виданнями та результати експериментальних досліджень. Для отримання</w:t>
      </w:r>
    </w:p>
    <w:p w14:paraId="0DB1695C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додаткових матеріалів нами були розглянуті статистичні дані, опубліковані</w:t>
      </w:r>
    </w:p>
    <w:p w14:paraId="6A23A604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Всесвітньою організацією охорони здоров’я. Аналіз змісту вказаних інформаційних</w:t>
      </w:r>
    </w:p>
    <w:p w14:paraId="74A4DF1C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джерел - основний метод теоретичного наукового дослідження.</w:t>
      </w:r>
    </w:p>
    <w:p w14:paraId="74103872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Результати та обговорення.</w:t>
      </w:r>
    </w:p>
    <w:p w14:paraId="2D52503F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lastRenderedPageBreak/>
        <w:t>Муковісцидоз - аутосомно-рецесивний розлад, що виникає в результаті мутації</w:t>
      </w:r>
    </w:p>
    <w:p w14:paraId="49DD4AD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в </w:t>
      </w:r>
      <w:r>
        <w:t>CFTR</w:t>
      </w:r>
      <w:r w:rsidRPr="00922084">
        <w:rPr>
          <w:lang w:val="ru-RU"/>
        </w:rPr>
        <w:t>, гені, що кодує мембранний білок — трансмембранний регулятор</w:t>
      </w:r>
    </w:p>
    <w:p w14:paraId="498CFEA9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муковісцидозу, який зазвичай транспортує хлорид і бікарбонат, призводить до</w:t>
      </w:r>
    </w:p>
    <w:p w14:paraId="41126A18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порушення гідратації та ураження бронхопульмональної системи.</w:t>
      </w:r>
    </w:p>
    <w:p w14:paraId="7A7CE63E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Найпоширенішою мутацією генів, пов’язаною з МВ, є </w:t>
      </w:r>
      <w:r>
        <w:t>F</w:t>
      </w:r>
      <w:r w:rsidRPr="00922084">
        <w:rPr>
          <w:lang w:val="ru-RU"/>
        </w:rPr>
        <w:t>508</w:t>
      </w:r>
      <w:r>
        <w:t>del</w:t>
      </w:r>
      <w:r w:rsidRPr="00922084">
        <w:rPr>
          <w:lang w:val="ru-RU"/>
        </w:rPr>
        <w:t xml:space="preserve">. На частку </w:t>
      </w:r>
      <w:r>
        <w:t>F</w:t>
      </w:r>
      <w:r w:rsidRPr="00922084">
        <w:rPr>
          <w:lang w:val="ru-RU"/>
        </w:rPr>
        <w:t>508</w:t>
      </w:r>
      <w:r>
        <w:t>del</w:t>
      </w:r>
    </w:p>
    <w:p w14:paraId="2499DC53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припадає приблизно дві третини випадків МВ (66,8%). Інші поширені мутації:</w:t>
      </w:r>
    </w:p>
    <w:p w14:paraId="3DA6231C" w14:textId="77777777" w:rsidR="00922084" w:rsidRPr="00922084" w:rsidRDefault="00922084" w:rsidP="00922084">
      <w:pPr>
        <w:rPr>
          <w:lang w:val="ru-RU"/>
        </w:rPr>
      </w:pPr>
      <w:r>
        <w:t>G</w:t>
      </w:r>
      <w:r w:rsidRPr="00922084">
        <w:rPr>
          <w:lang w:val="ru-RU"/>
        </w:rPr>
        <w:t>542</w:t>
      </w:r>
      <w:r>
        <w:t>X</w:t>
      </w:r>
      <w:r w:rsidRPr="00922084">
        <w:rPr>
          <w:lang w:val="ru-RU"/>
        </w:rPr>
        <w:t xml:space="preserve"> (2,6%,), </w:t>
      </w:r>
      <w:r>
        <w:t>N</w:t>
      </w:r>
      <w:r w:rsidRPr="00922084">
        <w:rPr>
          <w:lang w:val="ru-RU"/>
        </w:rPr>
        <w:t>1303</w:t>
      </w:r>
      <w:r>
        <w:t>K</w:t>
      </w:r>
      <w:r w:rsidRPr="00922084">
        <w:rPr>
          <w:lang w:val="ru-RU"/>
        </w:rPr>
        <w:t xml:space="preserve"> (1,6%), </w:t>
      </w:r>
      <w:r>
        <w:t>G</w:t>
      </w:r>
      <w:r w:rsidRPr="00922084">
        <w:rPr>
          <w:lang w:val="ru-RU"/>
        </w:rPr>
        <w:t>551</w:t>
      </w:r>
      <w:r>
        <w:t>D</w:t>
      </w:r>
      <w:r w:rsidRPr="00922084">
        <w:rPr>
          <w:lang w:val="ru-RU"/>
        </w:rPr>
        <w:t xml:space="preserve"> (1,5%), </w:t>
      </w:r>
      <w:r>
        <w:t>W</w:t>
      </w:r>
      <w:r w:rsidRPr="00922084">
        <w:rPr>
          <w:lang w:val="ru-RU"/>
        </w:rPr>
        <w:t>1282</w:t>
      </w:r>
      <w:r>
        <w:t>X</w:t>
      </w:r>
      <w:r w:rsidRPr="00922084">
        <w:rPr>
          <w:lang w:val="ru-RU"/>
        </w:rPr>
        <w:t xml:space="preserve"> (1,0%).</w:t>
      </w:r>
    </w:p>
    <w:p w14:paraId="299DC389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Патогенні мутації в </w:t>
      </w:r>
      <w:r>
        <w:t>CFTR</w:t>
      </w:r>
      <w:r w:rsidRPr="00922084">
        <w:rPr>
          <w:lang w:val="ru-RU"/>
        </w:rPr>
        <w:t xml:space="preserve"> поділяють на класи </w:t>
      </w:r>
      <w:r>
        <w:t>I</w:t>
      </w:r>
      <w:r w:rsidRPr="00922084">
        <w:rPr>
          <w:lang w:val="ru-RU"/>
        </w:rPr>
        <w:t>–</w:t>
      </w:r>
      <w:r>
        <w:t>VI</w:t>
      </w:r>
      <w:r w:rsidRPr="00922084">
        <w:rPr>
          <w:lang w:val="ru-RU"/>
        </w:rPr>
        <w:t>, відповідно до дефектів у</w:t>
      </w:r>
    </w:p>
    <w:p w14:paraId="24633ADC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процесі продукування білка: мутації (великі видалення та вставки; мутації місця</w:t>
      </w:r>
    </w:p>
    <w:p w14:paraId="0DD5C678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зрощування; мутації зсуву кадру), що призводять до нефункціонального білка</w:t>
      </w:r>
    </w:p>
    <w:p w14:paraId="5D2B9414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(клас </w:t>
      </w:r>
      <w:r>
        <w:t>I</w:t>
      </w:r>
      <w:r w:rsidRPr="00922084">
        <w:rPr>
          <w:lang w:val="ru-RU"/>
        </w:rPr>
        <w:t xml:space="preserve">); призводять до аберантно складеного білка н (клас </w:t>
      </w:r>
      <w:r>
        <w:t>II</w:t>
      </w:r>
      <w:r w:rsidRPr="00922084">
        <w:rPr>
          <w:lang w:val="ru-RU"/>
        </w:rPr>
        <w:t>, включаючи найбільш</w:t>
      </w:r>
    </w:p>
    <w:p w14:paraId="6BDC9CBA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частий варіант, </w:t>
      </w:r>
      <w:r>
        <w:t>Phe</w:t>
      </w:r>
      <w:r w:rsidRPr="00922084">
        <w:rPr>
          <w:lang w:val="ru-RU"/>
        </w:rPr>
        <w:t>508</w:t>
      </w:r>
      <w:r>
        <w:t>del</w:t>
      </w:r>
      <w:r w:rsidRPr="00922084">
        <w:rPr>
          <w:lang w:val="ru-RU"/>
        </w:rPr>
        <w:t xml:space="preserve">); гейтинг-мутації (клас </w:t>
      </w:r>
      <w:r>
        <w:t>III</w:t>
      </w:r>
      <w:r w:rsidRPr="00922084">
        <w:rPr>
          <w:lang w:val="ru-RU"/>
        </w:rPr>
        <w:t>); варіанти зниження</w:t>
      </w:r>
    </w:p>
    <w:p w14:paraId="09758721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Тренди та перспективи розвитку мультидисциплінарних досліджень</w:t>
      </w:r>
    </w:p>
    <w:p w14:paraId="78A8A3C9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провідності (клас </w:t>
      </w:r>
      <w:r>
        <w:t>IV</w:t>
      </w:r>
      <w:r w:rsidRPr="00922084">
        <w:rPr>
          <w:lang w:val="ru-RU"/>
        </w:rPr>
        <w:t>); нормальний білок, що виробляється в недостатній кількості</w:t>
      </w:r>
    </w:p>
    <w:p w14:paraId="78A03CBE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(клас </w:t>
      </w:r>
      <w:r>
        <w:t>V</w:t>
      </w:r>
      <w:r w:rsidRPr="00922084">
        <w:rPr>
          <w:lang w:val="ru-RU"/>
        </w:rPr>
        <w:t xml:space="preserve">); і нестабільність білка на клітинній мембрані (клас </w:t>
      </w:r>
      <w:r>
        <w:t>VI</w:t>
      </w:r>
      <w:r w:rsidRPr="00922084">
        <w:rPr>
          <w:lang w:val="ru-RU"/>
        </w:rPr>
        <w:t>).</w:t>
      </w:r>
    </w:p>
    <w:p w14:paraId="3647466D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Основою терапії МВ протягом тривалого часу є симптоматичне лікування, яке</w:t>
      </w:r>
    </w:p>
    <w:p w14:paraId="676591BF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передбачає щоденний прийом різноманітних ліків, включаючи антибіотики,</w:t>
      </w:r>
    </w:p>
    <w:p w14:paraId="3E953789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бронходилататори, протизапальні засоби, осмотичні засоби та муколітики для</w:t>
      </w:r>
    </w:p>
    <w:p w14:paraId="7D8052DD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уповільнення прогресування захворювання та затримки процесу ураження легень.</w:t>
      </w:r>
    </w:p>
    <w:p w14:paraId="3EF7EF28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Ключову роль у лікуванні МВ відіграють модулятори трансмембранного регулятора</w:t>
      </w:r>
    </w:p>
    <w:p w14:paraId="489EA992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провідності муковісцидозу (модулятори </w:t>
      </w:r>
      <w:r>
        <w:t>CFTR</w:t>
      </w:r>
      <w:r w:rsidRPr="00922084">
        <w:rPr>
          <w:lang w:val="ru-RU"/>
        </w:rPr>
        <w:t>), які стали революційним відкриттям</w:t>
      </w:r>
    </w:p>
    <w:p w14:paraId="09DC304A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в лікуванні МВ.</w:t>
      </w:r>
    </w:p>
    <w:p w14:paraId="5F355016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Модулятори </w:t>
      </w:r>
      <w:r>
        <w:t>CFTR</w:t>
      </w:r>
      <w:r w:rsidRPr="00922084">
        <w:rPr>
          <w:lang w:val="ru-RU"/>
        </w:rPr>
        <w:t xml:space="preserve"> — це спеціалізована група препаратів, яка входить до</w:t>
      </w:r>
    </w:p>
    <w:p w14:paraId="1B4E479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складу терапії кістозного фіброзу (КФ). Дані лікарські засоби здатні звʼязуватися з</w:t>
      </w:r>
    </w:p>
    <w:p w14:paraId="251D3F6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пошкодженими ділянками білка </w:t>
      </w:r>
      <w:r>
        <w:t>CFTR</w:t>
      </w:r>
      <w:r w:rsidRPr="00922084">
        <w:rPr>
          <w:lang w:val="ru-RU"/>
        </w:rPr>
        <w:t xml:space="preserve"> задля досягнення вироблення фізіологічної,</w:t>
      </w:r>
    </w:p>
    <w:p w14:paraId="6E161A32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за структурним складом, слизи. Запровадження модуляторів </w:t>
      </w:r>
      <w:r>
        <w:t>CFTR</w:t>
      </w:r>
      <w:r w:rsidRPr="00922084">
        <w:rPr>
          <w:lang w:val="ru-RU"/>
        </w:rPr>
        <w:t xml:space="preserve"> спричинило</w:t>
      </w:r>
    </w:p>
    <w:p w14:paraId="60F7F0D0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значне покращення результатів лікування пацієнтів і збільшення очікуваної</w:t>
      </w:r>
    </w:p>
    <w:p w14:paraId="22DE571F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тривалості життя.</w:t>
      </w:r>
    </w:p>
    <w:p w14:paraId="46C107E5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Наразі існує чотири таргетні препарати, які модулюють (потенціюють і</w:t>
      </w:r>
    </w:p>
    <w:p w14:paraId="7658A88A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коригують) білок </w:t>
      </w:r>
      <w:r>
        <w:t>CFTR</w:t>
      </w:r>
      <w:r w:rsidRPr="00922084">
        <w:rPr>
          <w:lang w:val="ru-RU"/>
        </w:rPr>
        <w:t xml:space="preserve"> схвалені регуляторними органами для використання в США</w:t>
      </w:r>
    </w:p>
    <w:p w14:paraId="4246B9DB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та Європі: «Калідеко» (</w:t>
      </w:r>
      <w:r>
        <w:t>Kalydeco</w:t>
      </w:r>
      <w:r w:rsidRPr="00922084">
        <w:rPr>
          <w:lang w:val="ru-RU"/>
        </w:rPr>
        <w:t>, Івакафтор), «Оркамбі» (</w:t>
      </w:r>
      <w:r>
        <w:t>Orcambi</w:t>
      </w:r>
      <w:r w:rsidRPr="00922084">
        <w:rPr>
          <w:lang w:val="ru-RU"/>
        </w:rPr>
        <w:t>, Люмакавтор +</w:t>
      </w:r>
    </w:p>
    <w:p w14:paraId="2E54ECFD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lastRenderedPageBreak/>
        <w:t>Івакавтор), Сімдеко (</w:t>
      </w:r>
      <w:r>
        <w:t>Symdeco</w:t>
      </w:r>
      <w:r w:rsidRPr="00922084">
        <w:rPr>
          <w:lang w:val="ru-RU"/>
        </w:rPr>
        <w:t>, Тезакафтор + Івакафтор) та «Трикафта» або</w:t>
      </w:r>
    </w:p>
    <w:p w14:paraId="0B146501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«Кафтрио» (</w:t>
      </w:r>
      <w:r>
        <w:t>Trikafta</w:t>
      </w:r>
      <w:r w:rsidRPr="00922084">
        <w:rPr>
          <w:lang w:val="ru-RU"/>
        </w:rPr>
        <w:t>, Елексакафтор + Тезакафтор + Івакафтор).</w:t>
      </w:r>
    </w:p>
    <w:p w14:paraId="28738898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На сьогоднішній день ефективний у пацієнтів із мутаціями </w:t>
      </w:r>
      <w:r>
        <w:t>III</w:t>
      </w:r>
      <w:r w:rsidRPr="00922084">
        <w:rPr>
          <w:lang w:val="ru-RU"/>
        </w:rPr>
        <w:t xml:space="preserve"> класу є</w:t>
      </w:r>
    </w:p>
    <w:p w14:paraId="734BEFA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«Івакафтор» (</w:t>
      </w:r>
      <w:r>
        <w:t>IVA</w:t>
      </w:r>
      <w:r w:rsidRPr="00922084">
        <w:rPr>
          <w:lang w:val="ru-RU"/>
        </w:rPr>
        <w:t>). Цей препарат був вперше схвалений для клінічного</w:t>
      </w:r>
    </w:p>
    <w:p w14:paraId="4335E1F6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використання в 2012 році Управлінням з контролю за продуктами і ліками США</w:t>
      </w:r>
    </w:p>
    <w:p w14:paraId="052A83CC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(</w:t>
      </w:r>
      <w:r>
        <w:t>FDA</w:t>
      </w:r>
      <w:r w:rsidRPr="00922084">
        <w:rPr>
          <w:lang w:val="ru-RU"/>
        </w:rPr>
        <w:t>) і тепер доступний для дітей віком від 1 місяця. Це «потенціатор», який</w:t>
      </w:r>
    </w:p>
    <w:p w14:paraId="4B0ECC0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зв’язується з дефектним білком </w:t>
      </w:r>
      <w:r>
        <w:t>CFTR</w:t>
      </w:r>
      <w:r w:rsidRPr="00922084">
        <w:rPr>
          <w:lang w:val="ru-RU"/>
        </w:rPr>
        <w:t>, щоб відкрити канали на поверхні клітини і</w:t>
      </w:r>
    </w:p>
    <w:p w14:paraId="11B5F4C0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таким чином сприяти транспорту іонів через клітинну мембрану. «Оркамбі» та</w:t>
      </w:r>
    </w:p>
    <w:p w14:paraId="0C7B12D0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«Сімдеко» також використовується для пацієнтів віком від 1 року та старше. Ці</w:t>
      </w:r>
    </w:p>
    <w:p w14:paraId="688D7DB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модулятори мають дві копії мутації </w:t>
      </w:r>
      <w:r>
        <w:t>F</w:t>
      </w:r>
      <w:r w:rsidRPr="00922084">
        <w:rPr>
          <w:lang w:val="ru-RU"/>
        </w:rPr>
        <w:t>508</w:t>
      </w:r>
      <w:r>
        <w:t>del</w:t>
      </w:r>
      <w:r w:rsidRPr="00922084">
        <w:rPr>
          <w:lang w:val="ru-RU"/>
        </w:rPr>
        <w:t>. «Трикафта» схвалений в 30 країнах,</w:t>
      </w:r>
    </w:p>
    <w:p w14:paraId="171CD29D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показаний для дітей старше 2 років та має одну копію мутації, що реагує на терапію.</w:t>
      </w:r>
    </w:p>
    <w:p w14:paraId="47C8918C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Незважаючи на те, що протягом останніх 10 років було проведено багато</w:t>
      </w:r>
    </w:p>
    <w:p w14:paraId="748490C2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клінічних випробувань, що оцінюють ефективність цих високоефективних</w:t>
      </w:r>
    </w:p>
    <w:p w14:paraId="1CB247B5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модуляторних терапій (</w:t>
      </w:r>
      <w:r>
        <w:t>HEMT</w:t>
      </w:r>
      <w:r w:rsidRPr="00922084">
        <w:rPr>
          <w:lang w:val="ru-RU"/>
        </w:rPr>
        <w:t>), даних про довгострокові побічні ефекти</w:t>
      </w:r>
    </w:p>
    <w:p w14:paraId="7E75AD83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залишається мало. Найпоширеніші побічні ефекти, що були виявлені: головний</w:t>
      </w:r>
    </w:p>
    <w:p w14:paraId="038E74BA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біль, запаморочення та відчуття нестачі повітря («Оркамбі», «Сімдеко»), високий</w:t>
      </w:r>
    </w:p>
    <w:p w14:paraId="0B20BA0C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рівень креатинінфосфокінази («Трикафта»), ринорея, закладеність носа та</w:t>
      </w:r>
    </w:p>
    <w:p w14:paraId="018E13DD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висипання («Оркамбі», «Трикафта», «Калідеко»).</w:t>
      </w:r>
    </w:p>
    <w:p w14:paraId="429CACEC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Висновки. Проаналізувавши наявні матеріали, можна зробити висновок, що</w:t>
      </w:r>
    </w:p>
    <w:p w14:paraId="0FA2B6F3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тема є досить актуальною та потребує подальшого ретельного вивчення щодо</w:t>
      </w:r>
    </w:p>
    <w:p w14:paraId="705145B7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лікування модуляторами МВ, оскільки дані препарати показали свою ефективність</w:t>
      </w:r>
    </w:p>
    <w:p w14:paraId="78EC7B95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 xml:space="preserve">у процесі підвищення функціональності білка </w:t>
      </w:r>
      <w:r>
        <w:t>CFTR</w:t>
      </w:r>
      <w:r w:rsidRPr="00922084">
        <w:rPr>
          <w:lang w:val="ru-RU"/>
        </w:rPr>
        <w:t>, продукування якого</w:t>
      </w:r>
    </w:p>
    <w:p w14:paraId="234DF7F2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порушено.</w:t>
      </w:r>
    </w:p>
    <w:p w14:paraId="012DB94A" w14:textId="77777777" w:rsidR="00922084" w:rsidRPr="00922084" w:rsidRDefault="00922084" w:rsidP="00922084">
      <w:pPr>
        <w:rPr>
          <w:lang w:val="ru-RU"/>
        </w:rPr>
      </w:pPr>
      <w:r w:rsidRPr="00922084">
        <w:rPr>
          <w:lang w:val="ru-RU"/>
        </w:rPr>
        <w:t>Список використаних джерел:</w:t>
      </w:r>
    </w:p>
    <w:p w14:paraId="5229EC1A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ru-RU"/>
        </w:rPr>
        <w:t xml:space="preserve">1. </w:t>
      </w:r>
      <w:r>
        <w:t>Deignan</w:t>
      </w:r>
      <w:r w:rsidRPr="00922084">
        <w:rPr>
          <w:lang w:val="ru-RU"/>
        </w:rPr>
        <w:t xml:space="preserve"> </w:t>
      </w:r>
      <w:r>
        <w:t>JL</w:t>
      </w:r>
      <w:r w:rsidRPr="00922084">
        <w:rPr>
          <w:lang w:val="ru-RU"/>
        </w:rPr>
        <w:t xml:space="preserve">, </w:t>
      </w:r>
      <w:r>
        <w:t>Astbury</w:t>
      </w:r>
      <w:r w:rsidRPr="00922084">
        <w:rPr>
          <w:lang w:val="ru-RU"/>
        </w:rPr>
        <w:t xml:space="preserve"> </w:t>
      </w:r>
      <w:r>
        <w:t>C</w:t>
      </w:r>
      <w:r w:rsidRPr="00922084">
        <w:rPr>
          <w:lang w:val="ru-RU"/>
        </w:rPr>
        <w:t xml:space="preserve">, </w:t>
      </w:r>
      <w:r>
        <w:t>Cutting</w:t>
      </w:r>
      <w:r w:rsidRPr="00922084">
        <w:rPr>
          <w:lang w:val="ru-RU"/>
        </w:rPr>
        <w:t xml:space="preserve"> </w:t>
      </w:r>
      <w:r>
        <w:t>GR</w:t>
      </w:r>
      <w:r w:rsidRPr="00922084">
        <w:rPr>
          <w:lang w:val="ru-RU"/>
        </w:rPr>
        <w:t xml:space="preserve">, </w:t>
      </w:r>
      <w:r>
        <w:t>Del</w:t>
      </w:r>
      <w:r w:rsidRPr="00922084">
        <w:rPr>
          <w:lang w:val="ru-RU"/>
        </w:rPr>
        <w:t xml:space="preserve"> </w:t>
      </w:r>
      <w:r>
        <w:t>Gaudio</w:t>
      </w:r>
      <w:r w:rsidRPr="00922084">
        <w:rPr>
          <w:lang w:val="ru-RU"/>
        </w:rPr>
        <w:t xml:space="preserve"> </w:t>
      </w:r>
      <w:r>
        <w:t>D</w:t>
      </w:r>
      <w:r w:rsidRPr="00922084">
        <w:rPr>
          <w:lang w:val="ru-RU"/>
        </w:rPr>
        <w:t xml:space="preserve">, </w:t>
      </w:r>
      <w:r>
        <w:t>Gregg</w:t>
      </w:r>
      <w:r w:rsidRPr="00922084">
        <w:rPr>
          <w:lang w:val="ru-RU"/>
        </w:rPr>
        <w:t xml:space="preserve"> </w:t>
      </w:r>
      <w:r>
        <w:t>AR</w:t>
      </w:r>
      <w:r w:rsidRPr="00922084">
        <w:rPr>
          <w:lang w:val="ru-RU"/>
        </w:rPr>
        <w:t xml:space="preserve">, </w:t>
      </w:r>
      <w:r>
        <w:t>Grody</w:t>
      </w:r>
      <w:r w:rsidRPr="00922084">
        <w:rPr>
          <w:lang w:val="ru-RU"/>
        </w:rPr>
        <w:t xml:space="preserve"> </w:t>
      </w:r>
      <w:r>
        <w:t>WW</w:t>
      </w:r>
      <w:r w:rsidRPr="00922084">
        <w:rPr>
          <w:lang w:val="ru-RU"/>
        </w:rPr>
        <w:t xml:space="preserve">, </w:t>
      </w:r>
      <w:r>
        <w:t>et</w:t>
      </w:r>
      <w:r w:rsidRPr="00922084">
        <w:rPr>
          <w:lang w:val="ru-RU"/>
        </w:rPr>
        <w:t xml:space="preserve"> </w:t>
      </w:r>
      <w:r>
        <w:t>al</w:t>
      </w:r>
      <w:r w:rsidRPr="00922084">
        <w:rPr>
          <w:lang w:val="ru-RU"/>
        </w:rPr>
        <w:t xml:space="preserve">. </w:t>
      </w:r>
      <w:r w:rsidRPr="00922084">
        <w:rPr>
          <w:lang w:val="en-US"/>
        </w:rPr>
        <w:t>CFTR variant</w:t>
      </w:r>
    </w:p>
    <w:p w14:paraId="2D537F55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testing: a technical standard of the American College of Medical Genetics and Genomics (ACMG).</w:t>
      </w:r>
    </w:p>
    <w:p w14:paraId="7748B5AB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Genet Med. 020;22(8):1288-95. doi: 10.1038/541436-020-0822-5.</w:t>
      </w:r>
    </w:p>
    <w:p w14:paraId="3B6E6080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 xml:space="preserve">26 </w:t>
      </w:r>
      <w:r>
        <w:t>квітня</w:t>
      </w:r>
      <w:r w:rsidRPr="00922084">
        <w:rPr>
          <w:lang w:val="en-US"/>
        </w:rPr>
        <w:t xml:space="preserve"> 2024 </w:t>
      </w:r>
      <w:r>
        <w:t>рік</w:t>
      </w:r>
      <w:r w:rsidRPr="00922084">
        <w:rPr>
          <w:lang w:val="en-US"/>
        </w:rPr>
        <w:t xml:space="preserve"> • </w:t>
      </w:r>
      <w:r>
        <w:t>Одеса</w:t>
      </w:r>
      <w:r w:rsidRPr="00922084">
        <w:rPr>
          <w:lang w:val="en-US"/>
        </w:rPr>
        <w:t xml:space="preserve">, </w:t>
      </w:r>
      <w:r>
        <w:t>Україна</w:t>
      </w:r>
      <w:r w:rsidRPr="00922084">
        <w:rPr>
          <w:lang w:val="en-US"/>
        </w:rPr>
        <w:t xml:space="preserve"> • </w:t>
      </w:r>
      <w:r>
        <w:t>Молодіжна</w:t>
      </w:r>
      <w:r w:rsidRPr="00922084">
        <w:rPr>
          <w:lang w:val="en-US"/>
        </w:rPr>
        <w:t xml:space="preserve"> </w:t>
      </w:r>
      <w:r>
        <w:t>наукова</w:t>
      </w:r>
      <w:r w:rsidRPr="00922084">
        <w:rPr>
          <w:lang w:val="en-US"/>
        </w:rPr>
        <w:t xml:space="preserve"> </w:t>
      </w:r>
      <w:r>
        <w:t>ліга</w:t>
      </w:r>
      <w:r w:rsidRPr="00922084">
        <w:rPr>
          <w:lang w:val="en-US"/>
        </w:rPr>
        <w:t>.</w:t>
      </w:r>
    </w:p>
    <w:p w14:paraId="7C3FB13E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2. Scotet V, Gutierrez H, Farrell PM. Newborn Screening for CF across the Globe-Where Is It</w:t>
      </w:r>
    </w:p>
    <w:p w14:paraId="327F87FE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Worthwhile? Int J Neonatal Screen [Internet]. 2020[cited 2022 Sep 25];6(1):18. doi:</w:t>
      </w:r>
    </w:p>
    <w:p w14:paraId="6190E779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10.3390/ijns6010018.</w:t>
      </w:r>
    </w:p>
    <w:p w14:paraId="0F0D02BF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lastRenderedPageBreak/>
        <w:t>3. Bell SC, Mall MA, Gutierrez H, Macek M, Madge S, Davies JC, et al. The future of cystic fibrosis</w:t>
      </w:r>
    </w:p>
    <w:p w14:paraId="012F218C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care: a global perspective. Lancet Respir Med. 2020;8(1):65-124. doi: 10.1016/S2213-</w:t>
      </w:r>
    </w:p>
    <w:p w14:paraId="0826A844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2600(19)30337-6.</w:t>
      </w:r>
    </w:p>
    <w:p w14:paraId="4E11F938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4. Tan SMJ, Coffey MJ, Ooi CY. Differences in clinical outcomes of paediatric cystic fibrosis patients</w:t>
      </w:r>
    </w:p>
    <w:p w14:paraId="2292A762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with and without meconium ileus. J Cyst Fibros. 2019;18(6):857-62. doi: 10.1016/j.jcf.2019.09.008.</w:t>
      </w:r>
    </w:p>
    <w:p w14:paraId="6F2C2813" w14:textId="77777777" w:rsidR="00922084" w:rsidRPr="00922084" w:rsidRDefault="00922084" w:rsidP="00922084">
      <w:pPr>
        <w:rPr>
          <w:lang w:val="en-US"/>
        </w:rPr>
      </w:pPr>
      <w:r w:rsidRPr="00922084">
        <w:rPr>
          <w:lang w:val="en-US"/>
        </w:rPr>
        <w:t>5. Chaudhry S. Cystic Fibrosis: Improving quality of life. J Community Health Manag 2021;8(2):91-6.</w:t>
      </w:r>
    </w:p>
    <w:p w14:paraId="39B69586" w14:textId="0C0A5A11" w:rsidR="00FF615B" w:rsidRPr="00922084" w:rsidRDefault="00922084" w:rsidP="00922084">
      <w:pPr>
        <w:rPr>
          <w:lang w:val="en-US"/>
        </w:rPr>
      </w:pPr>
      <w:r w:rsidRPr="00922084">
        <w:rPr>
          <w:lang w:val="en-US"/>
        </w:rPr>
        <w:t>doi: 10.18231/j.jchm.2021.021.</w:t>
      </w:r>
    </w:p>
    <w:sectPr w:rsidR="00FF615B" w:rsidRPr="009220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15B"/>
    <w:rsid w:val="00922084"/>
    <w:rsid w:val="00FE0CE9"/>
    <w:rsid w:val="00FF6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02FF6"/>
  <w15:chartTrackingRefBased/>
  <w15:docId w15:val="{EACD59E6-DC24-4C6C-A749-151E29A4D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975</Words>
  <Characters>5852</Characters>
  <Application>Microsoft Office Word</Application>
  <DocSecurity>0</DocSecurity>
  <Lines>48</Lines>
  <Paragraphs>13</Paragraphs>
  <ScaleCrop>false</ScaleCrop>
  <Company/>
  <LinksUpToDate>false</LinksUpToDate>
  <CharactersWithSpaces>6814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рыбка</dc:creator>
  <cp:keywords/>
  <dc:description/>
  <cp:lastModifiedBy>елена рыбка</cp:lastModifiedBy>
  <cp:revision>2</cp:revision>
  <dcterms:created xsi:type="dcterms:W3CDTF">2024-06-01T16:25:00Z</dcterms:created>
  <dcterms:modified xsi:type="dcterms:W3CDTF">2024-06-01T16:26:00Z</dcterms:modified>
</cp:coreProperties>
</file>