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929E5" w:rsidRPr="00960229" w:rsidRDefault="007929E5" w:rsidP="007929E5">
      <w:pPr>
        <w:suppressAutoHyphens/>
        <w:jc w:val="center"/>
        <w:rPr>
          <w:b/>
          <w:bCs/>
          <w:sz w:val="20"/>
        </w:rPr>
      </w:pPr>
      <w:r w:rsidRPr="00960229">
        <w:rPr>
          <w:b/>
          <w:bCs/>
          <w:sz w:val="20"/>
        </w:rPr>
        <w:t xml:space="preserve">ПРИИМУЩЕСТВА СПОРОГЕННЫХ ФОРМ </w:t>
      </w:r>
      <w:r w:rsidRPr="00960229">
        <w:rPr>
          <w:b/>
          <w:bCs/>
          <w:sz w:val="20"/>
          <w:lang w:val="en-US"/>
        </w:rPr>
        <w:t>B</w:t>
      </w:r>
      <w:r w:rsidRPr="00960229">
        <w:rPr>
          <w:b/>
          <w:bCs/>
          <w:sz w:val="20"/>
        </w:rPr>
        <w:t>.</w:t>
      </w:r>
      <w:r w:rsidRPr="00960229">
        <w:rPr>
          <w:b/>
          <w:bCs/>
          <w:sz w:val="20"/>
          <w:lang w:val="en-US"/>
        </w:rPr>
        <w:t>SUBTILIS</w:t>
      </w:r>
      <w:r w:rsidRPr="00960229">
        <w:rPr>
          <w:b/>
          <w:bCs/>
          <w:sz w:val="20"/>
        </w:rPr>
        <w:t xml:space="preserve"> В КОРРЕКЦИИ “СИНДРОМА ИЗБЫТОЧНОГО РОСТА БАКТЕРИЙ”</w:t>
      </w:r>
    </w:p>
    <w:p w:rsidR="007929E5" w:rsidRPr="00960229" w:rsidRDefault="007929E5" w:rsidP="007929E5">
      <w:pPr>
        <w:suppressAutoHyphens/>
        <w:jc w:val="center"/>
        <w:rPr>
          <w:i/>
          <w:iCs/>
          <w:sz w:val="20"/>
          <w:lang w:val="uk-UA"/>
        </w:rPr>
      </w:pPr>
      <w:r w:rsidRPr="00960229">
        <w:rPr>
          <w:i/>
          <w:iCs/>
          <w:sz w:val="20"/>
        </w:rPr>
        <w:t>Макеева Н.И.</w:t>
      </w:r>
      <w:r w:rsidRPr="00960229">
        <w:rPr>
          <w:i/>
          <w:iCs/>
          <w:sz w:val="20"/>
          <w:vertAlign w:val="superscript"/>
          <w:lang w:val="uk-UA"/>
        </w:rPr>
        <w:t>1</w:t>
      </w:r>
      <w:r w:rsidRPr="00960229">
        <w:rPr>
          <w:i/>
          <w:iCs/>
          <w:sz w:val="20"/>
        </w:rPr>
        <w:t>, Казанов В.Я.</w:t>
      </w:r>
      <w:r w:rsidRPr="00960229">
        <w:rPr>
          <w:i/>
          <w:iCs/>
          <w:sz w:val="20"/>
          <w:vertAlign w:val="superscript"/>
          <w:lang w:val="uk-UA"/>
        </w:rPr>
        <w:t>1</w:t>
      </w:r>
      <w:r w:rsidRPr="00960229">
        <w:rPr>
          <w:i/>
          <w:iCs/>
          <w:sz w:val="20"/>
        </w:rPr>
        <w:t>, Осьмачко И.Е.</w:t>
      </w:r>
      <w:r w:rsidRPr="00960229">
        <w:rPr>
          <w:i/>
          <w:iCs/>
          <w:sz w:val="20"/>
          <w:vertAlign w:val="superscript"/>
          <w:lang w:val="uk-UA"/>
        </w:rPr>
        <w:t>2</w:t>
      </w:r>
    </w:p>
    <w:p w:rsidR="007929E5" w:rsidRPr="00960229" w:rsidRDefault="007929E5" w:rsidP="007929E5">
      <w:pPr>
        <w:suppressAutoHyphens/>
        <w:jc w:val="center"/>
        <w:rPr>
          <w:sz w:val="20"/>
        </w:rPr>
      </w:pPr>
      <w:r w:rsidRPr="00960229">
        <w:rPr>
          <w:iCs/>
          <w:sz w:val="20"/>
          <w:vertAlign w:val="superscript"/>
          <w:lang w:val="uk-UA"/>
        </w:rPr>
        <w:t>1</w:t>
      </w:r>
      <w:r w:rsidRPr="00960229">
        <w:rPr>
          <w:sz w:val="20"/>
        </w:rPr>
        <w:t>Харьковский национальный медицинский университет</w:t>
      </w:r>
    </w:p>
    <w:p w:rsidR="007929E5" w:rsidRPr="00960229" w:rsidRDefault="007929E5" w:rsidP="007929E5">
      <w:pPr>
        <w:suppressAutoHyphens/>
        <w:jc w:val="center"/>
        <w:rPr>
          <w:sz w:val="20"/>
        </w:rPr>
      </w:pPr>
      <w:r w:rsidRPr="00960229">
        <w:rPr>
          <w:sz w:val="20"/>
          <w:lang w:val="uk-UA"/>
        </w:rPr>
        <w:t>К</w:t>
      </w:r>
      <w:r w:rsidRPr="00960229">
        <w:rPr>
          <w:sz w:val="20"/>
        </w:rPr>
        <w:t>афедра педиатрии № 2</w:t>
      </w:r>
    </w:p>
    <w:p w:rsidR="007929E5" w:rsidRPr="00960229" w:rsidRDefault="007929E5" w:rsidP="007929E5">
      <w:pPr>
        <w:suppressAutoHyphens/>
        <w:jc w:val="center"/>
        <w:rPr>
          <w:sz w:val="20"/>
        </w:rPr>
      </w:pPr>
      <w:r w:rsidRPr="00960229">
        <w:rPr>
          <w:sz w:val="20"/>
          <w:vertAlign w:val="superscript"/>
          <w:lang w:val="uk-UA"/>
        </w:rPr>
        <w:t>2</w:t>
      </w:r>
      <w:r w:rsidRPr="00960229">
        <w:rPr>
          <w:sz w:val="20"/>
        </w:rPr>
        <w:t xml:space="preserve">КНП </w:t>
      </w:r>
      <w:r w:rsidRPr="00960229">
        <w:rPr>
          <w:i/>
          <w:iCs/>
          <w:sz w:val="20"/>
        </w:rPr>
        <w:t xml:space="preserve"> </w:t>
      </w:r>
      <w:r w:rsidRPr="00960229">
        <w:rPr>
          <w:sz w:val="20"/>
        </w:rPr>
        <w:t>“Городская клиническая детская больница №16” Харьковского городского совета</w:t>
      </w:r>
    </w:p>
    <w:p w:rsidR="007929E5" w:rsidRPr="00960229" w:rsidRDefault="007929E5" w:rsidP="007929E5">
      <w:pPr>
        <w:suppressAutoHyphens/>
        <w:ind w:firstLine="709"/>
        <w:rPr>
          <w:sz w:val="20"/>
        </w:rPr>
      </w:pPr>
    </w:p>
    <w:p w:rsidR="007929E5" w:rsidRPr="00960229" w:rsidRDefault="007929E5" w:rsidP="007929E5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>Дисбактериоз кишечника является одним из наиболее распространенных, проблемных, плохо поддающихся коррекции патологических состояний, возникающих под влиянием различных неблагоприятных факторов. С современных позиций дисбактериоз не является самостоятельной нозологической формой, это результат обширной группы заболеваний с нарушением соотношения микробных видов, составляющих индивидуальный микробиоценоз каждого из микробиотопов человеческого организма. И не случайно термин “дисбактериоз” отсутствует в регистре МКБ-10. Но дисбактериоз это не только количественное и качественное изменение кишечной микрофлоры, это клинико-лабораторный синдром, характеризирующийся еще симптомами поражения кишечника, транслокацией различных видов микрофлоры в несвойственные биотопы, избыточным ростом условно-патогенной микрофлоры. В результате этого не выполняются  в полном объеме физиологические функции пищеварения и всасывания питательных веществ, метаболизм, секреция; нарушается проницаемость кишечного барьера, моторика, репаративные процессы, иммунитет. И прежде всего, снижается противостояние колонизации кишечника экзогенными патогенными микроорганизмами.</w:t>
      </w:r>
    </w:p>
    <w:p w:rsidR="007929E5" w:rsidRPr="00960229" w:rsidRDefault="007929E5" w:rsidP="007929E5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 xml:space="preserve">В коррекции дисбиоза кишечника практически реализуемым направлением является применение представителей нормальной микрофлоры человека – пробиотиков, оптимизирующих микробиологический статус организма. Основоположником концепции применения пробиотиков стал И.И. Мечников, удостоенный за работы в этом направлении Нобелевской премии в области медицины в 1908 г. За последующие годы изучено и применяется на практике большое количество микроорганизмов в составе фармпрепаратов. А спорогенные формы, в частности </w:t>
      </w:r>
      <w:r w:rsidRPr="00960229">
        <w:rPr>
          <w:sz w:val="20"/>
          <w:lang w:val="en-US"/>
        </w:rPr>
        <w:t>B</w:t>
      </w:r>
      <w:r w:rsidRPr="00960229">
        <w:rPr>
          <w:sz w:val="20"/>
        </w:rPr>
        <w:t>.</w:t>
      </w:r>
      <w:r w:rsidRPr="00960229">
        <w:rPr>
          <w:sz w:val="20"/>
          <w:lang w:val="en-US"/>
        </w:rPr>
        <w:t>Subtilis</w:t>
      </w:r>
      <w:r w:rsidRPr="00960229">
        <w:rPr>
          <w:sz w:val="20"/>
        </w:rPr>
        <w:t xml:space="preserve">, устойчивы к кислой среде желудка, в неизмененном виде проникают в кишечник и превращаются в вегетативные формы. Также устойчивы к действию антибиотиков, что дает возможность их применения на фоне антибактериального лечения. Наряду с высокой антагонистической активностью в отношении патогенной и условно-патогенной микрофлоры, в т.ч. грибов рода </w:t>
      </w:r>
      <w:r w:rsidRPr="00960229">
        <w:rPr>
          <w:sz w:val="20"/>
          <w:lang w:val="en-US"/>
        </w:rPr>
        <w:t>Candida</w:t>
      </w:r>
      <w:r w:rsidRPr="00960229">
        <w:rPr>
          <w:sz w:val="20"/>
        </w:rPr>
        <w:t xml:space="preserve">, </w:t>
      </w:r>
      <w:r w:rsidRPr="00960229">
        <w:rPr>
          <w:sz w:val="20"/>
          <w:lang w:val="en-US"/>
        </w:rPr>
        <w:t>B</w:t>
      </w:r>
      <w:r w:rsidRPr="00960229">
        <w:rPr>
          <w:sz w:val="20"/>
        </w:rPr>
        <w:t>.</w:t>
      </w:r>
      <w:r w:rsidRPr="00960229">
        <w:rPr>
          <w:sz w:val="20"/>
          <w:lang w:val="en-US"/>
        </w:rPr>
        <w:t>Subtilis</w:t>
      </w:r>
      <w:r w:rsidRPr="00960229">
        <w:rPr>
          <w:sz w:val="20"/>
        </w:rPr>
        <w:t xml:space="preserve"> обладает антивирусным действием вследствие синтеза альфа-2-интерферона. Описывается и иммуномодулирующие свойства сенной палочки. Таким препаратом является “Бактисубтил” ООО ФЗ “Биофарма”, Украина.</w:t>
      </w:r>
    </w:p>
    <w:p w:rsidR="007929E5" w:rsidRPr="00960229" w:rsidRDefault="007929E5" w:rsidP="007929E5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 xml:space="preserve">Субалин получали 18 детей с компенсированным и субкомпенсированным дисбактериозом на фоне функциональных и органических заболеваний органов пищеварения (хронический гастрит, язвенная болезнь, синдром раздраженного кишечника, функциональная диспепсия, патология желчевыводящих путей) и 17 больных с воспалительными заболеваниями респираторного тракта (10 из них получали антибактериальную терапию). У этих больных чаще выделяли бактерии рода протей, кандида и энтеробактер на фоне уменьшения содержания лакто- и бифидобактерий. Копрограмма при субкомпенсированном дисбатериозе характеризовалась увеличением количества нейтрального жира, мышечных волокон, клетчатки. </w:t>
      </w:r>
    </w:p>
    <w:p w:rsidR="007929E5" w:rsidRPr="00960229" w:rsidRDefault="007929E5" w:rsidP="007929E5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 xml:space="preserve">На фоне патогенетической и симптоматической терапии основного заболевания больные получали Субалин в рекомендуемых дозах в течение 10 дней согласно инструкции производителя препарата. По окончанию лечения у всех детей с клиническими проявлениями дисбиоза отмечено купирование боли в животе, метеоризма, нормализация частоты испражнений, количественный состав микробиоты кишечника, и показатели копрограммы также нормализовались у этих больных. Результат использования препарата свидетельствуют о положительном клинико-лабораторном эффекте у большинства больных детей и целесообразности его применения в коррекции “синдрома избыточного роста бактерий”. </w:t>
      </w:r>
    </w:p>
    <w:p w:rsidR="007929E5" w:rsidRDefault="007929E5"/>
    <w:sectPr w:rsidR="007929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9E5"/>
    <w:rsid w:val="00792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B45DAE-183F-F746-A00D-E97195E34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929E5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563</Words>
  <Characters>3289</Characters>
  <Application>Microsoft Office Word</Application>
  <DocSecurity>0</DocSecurity>
  <Lines>68</Lines>
  <Paragraphs>31</Paragraphs>
  <ScaleCrop>false</ScaleCrop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2020-11-15T17:43:00Z</dcterms:created>
  <dcterms:modified xsi:type="dcterms:W3CDTF">2020-11-15T17:43:00Z</dcterms:modified>
</cp:coreProperties>
</file>