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29E5" w:rsidRPr="00960229" w:rsidRDefault="007929E5" w:rsidP="007929E5">
      <w:pPr>
        <w:suppressAutoHyphens/>
        <w:jc w:val="center"/>
        <w:rPr>
          <w:b/>
          <w:bCs/>
          <w:sz w:val="20"/>
        </w:rPr>
      </w:pPr>
      <w:r w:rsidRPr="00960229">
        <w:rPr>
          <w:b/>
          <w:bCs/>
          <w:sz w:val="20"/>
        </w:rPr>
        <w:t xml:space="preserve">ПРИИМУЩЕСТВА СПОРОГЕННЫХ ФОРМ </w:t>
      </w:r>
      <w:r w:rsidRPr="00960229">
        <w:rPr>
          <w:b/>
          <w:bCs/>
          <w:sz w:val="20"/>
          <w:lang w:val="en-US"/>
        </w:rPr>
        <w:t>B</w:t>
      </w:r>
      <w:r w:rsidRPr="00960229">
        <w:rPr>
          <w:b/>
          <w:bCs/>
          <w:sz w:val="20"/>
        </w:rPr>
        <w:t>.</w:t>
      </w:r>
      <w:r w:rsidRPr="00960229">
        <w:rPr>
          <w:b/>
          <w:bCs/>
          <w:sz w:val="20"/>
          <w:lang w:val="en-US"/>
        </w:rPr>
        <w:t>SUBTILIS</w:t>
      </w:r>
      <w:r w:rsidRPr="00960229">
        <w:rPr>
          <w:b/>
          <w:bCs/>
          <w:sz w:val="20"/>
        </w:rPr>
        <w:t xml:space="preserve"> В КОРРЕКЦИИ “СИНДРОМА ИЗБЫТОЧНОГО РОСТА БАКТЕРИЙ”</w:t>
      </w:r>
    </w:p>
    <w:p w:rsidR="007929E5" w:rsidRPr="00960229" w:rsidRDefault="007929E5" w:rsidP="007929E5">
      <w:pPr>
        <w:suppressAutoHyphens/>
        <w:jc w:val="center"/>
        <w:rPr>
          <w:i/>
          <w:iCs/>
          <w:sz w:val="20"/>
          <w:lang w:val="uk-UA"/>
        </w:rPr>
      </w:pPr>
      <w:r w:rsidRPr="00960229">
        <w:rPr>
          <w:i/>
          <w:iCs/>
          <w:sz w:val="20"/>
        </w:rPr>
        <w:t>Макеева Н.И.</w:t>
      </w:r>
      <w:r w:rsidRPr="00960229">
        <w:rPr>
          <w:i/>
          <w:iCs/>
          <w:sz w:val="20"/>
          <w:vertAlign w:val="superscript"/>
          <w:lang w:val="uk-UA"/>
        </w:rPr>
        <w:t>1</w:t>
      </w:r>
      <w:r w:rsidRPr="00960229">
        <w:rPr>
          <w:i/>
          <w:iCs/>
          <w:sz w:val="20"/>
        </w:rPr>
        <w:t>, Казанов В.Я.</w:t>
      </w:r>
      <w:r w:rsidRPr="00960229">
        <w:rPr>
          <w:i/>
          <w:iCs/>
          <w:sz w:val="20"/>
          <w:vertAlign w:val="superscript"/>
          <w:lang w:val="uk-UA"/>
        </w:rPr>
        <w:t>1</w:t>
      </w:r>
      <w:r w:rsidRPr="00960229">
        <w:rPr>
          <w:i/>
          <w:iCs/>
          <w:sz w:val="20"/>
        </w:rPr>
        <w:t>, Осьмачко И.Е.</w:t>
      </w:r>
      <w:r w:rsidRPr="00960229">
        <w:rPr>
          <w:i/>
          <w:iCs/>
          <w:sz w:val="20"/>
          <w:vertAlign w:val="superscript"/>
          <w:lang w:val="uk-UA"/>
        </w:rPr>
        <w:t>2</w:t>
      </w:r>
    </w:p>
    <w:p w:rsidR="007929E5" w:rsidRPr="00960229" w:rsidRDefault="007929E5" w:rsidP="007929E5">
      <w:pPr>
        <w:suppressAutoHyphens/>
        <w:jc w:val="center"/>
        <w:rPr>
          <w:sz w:val="20"/>
        </w:rPr>
      </w:pPr>
      <w:r w:rsidRPr="00960229">
        <w:rPr>
          <w:iCs/>
          <w:sz w:val="20"/>
          <w:vertAlign w:val="superscript"/>
          <w:lang w:val="uk-UA"/>
        </w:rPr>
        <w:t>1</w:t>
      </w:r>
      <w:r w:rsidRPr="00960229">
        <w:rPr>
          <w:sz w:val="20"/>
        </w:rPr>
        <w:t>Харьковский национальный медицинский университет</w:t>
      </w:r>
    </w:p>
    <w:p w:rsidR="007929E5" w:rsidRPr="00960229" w:rsidRDefault="007929E5" w:rsidP="007929E5">
      <w:pPr>
        <w:suppressAutoHyphens/>
        <w:jc w:val="center"/>
        <w:rPr>
          <w:sz w:val="20"/>
        </w:rPr>
      </w:pPr>
      <w:r w:rsidRPr="00960229">
        <w:rPr>
          <w:sz w:val="20"/>
          <w:lang w:val="uk-UA"/>
        </w:rPr>
        <w:t>К</w:t>
      </w:r>
      <w:r w:rsidRPr="00960229">
        <w:rPr>
          <w:sz w:val="20"/>
        </w:rPr>
        <w:t>афедра педиатрии № 2</w:t>
      </w:r>
    </w:p>
    <w:p w:rsidR="007929E5" w:rsidRPr="00960229" w:rsidRDefault="007929E5" w:rsidP="007929E5">
      <w:pPr>
        <w:suppressAutoHyphens/>
        <w:jc w:val="center"/>
        <w:rPr>
          <w:sz w:val="20"/>
        </w:rPr>
      </w:pPr>
      <w:r w:rsidRPr="00960229">
        <w:rPr>
          <w:sz w:val="20"/>
          <w:vertAlign w:val="superscript"/>
          <w:lang w:val="uk-UA"/>
        </w:rPr>
        <w:t>2</w:t>
      </w:r>
      <w:r w:rsidRPr="00960229">
        <w:rPr>
          <w:sz w:val="20"/>
        </w:rPr>
        <w:t xml:space="preserve">КНП </w:t>
      </w:r>
      <w:r w:rsidRPr="00960229">
        <w:rPr>
          <w:i/>
          <w:iCs/>
          <w:sz w:val="20"/>
        </w:rPr>
        <w:t xml:space="preserve"> </w:t>
      </w:r>
      <w:r w:rsidRPr="00960229">
        <w:rPr>
          <w:sz w:val="20"/>
        </w:rPr>
        <w:t>“Городская клиническая детская больница №16” Харьковского городского совета</w:t>
      </w:r>
    </w:p>
    <w:p w:rsidR="007929E5" w:rsidRPr="00960229" w:rsidRDefault="007929E5" w:rsidP="007929E5">
      <w:pPr>
        <w:suppressAutoHyphens/>
        <w:ind w:firstLine="709"/>
        <w:rPr>
          <w:sz w:val="20"/>
        </w:rPr>
      </w:pPr>
    </w:p>
    <w:p w:rsidR="007929E5" w:rsidRPr="00960229" w:rsidRDefault="007929E5" w:rsidP="007929E5">
      <w:pPr>
        <w:suppressAutoHyphens/>
        <w:ind w:firstLine="709"/>
        <w:jc w:val="both"/>
        <w:rPr>
          <w:sz w:val="20"/>
        </w:rPr>
      </w:pPr>
      <w:r w:rsidRPr="00960229">
        <w:rPr>
          <w:sz w:val="20"/>
        </w:rPr>
        <w:t>Дисбактериоз кишечника является одним из наиболее распространенных, проблемных, плохо поддающихся коррекции патологических состояний, возникающих под влиянием различных неблагоприятных факторов. С современных позиций дисбактериоз не является самостоятельной нозологической формой, это результат обширной группы заболеваний с нарушением соотношения микробных видов, составляющих индивидуальный микробиоценоз каждого из микробиотопов человеческого организма. И не случайно термин “дисбактериоз” отсутствует в регистре МКБ-10. Но дисбактериоз это не только количественное и качественное изменение кишечной микрофлоры, это клинико-лабораторный синдром, характеризирующийся еще симптомами поражения кишечника, транслокацией различных видов микрофлоры в несвойственные биотопы, избыточным ростом условно-патогенной микрофлоры. В результате этого не выполняются  в полном объеме физиологические функции пищеварения и всасывания питательных веществ, метаболизм, секреция; нарушается проницаемость кишечного барьера, моторика, репаративные процессы, иммунитет. И прежде всего, снижается противостояние колонизации кишечника экзогенными патогенными микроорганизмами.</w:t>
      </w:r>
    </w:p>
    <w:p w:rsidR="007929E5" w:rsidRPr="00960229" w:rsidRDefault="007929E5" w:rsidP="007929E5">
      <w:pPr>
        <w:suppressAutoHyphens/>
        <w:ind w:firstLine="709"/>
        <w:jc w:val="both"/>
        <w:rPr>
          <w:sz w:val="20"/>
        </w:rPr>
      </w:pPr>
      <w:r w:rsidRPr="00960229">
        <w:rPr>
          <w:sz w:val="20"/>
        </w:rPr>
        <w:t xml:space="preserve">В коррекции дисбиоза кишечника практически реализуемым направлением является применение представителей нормальной микрофлоры человека – пробиотиков, оптимизирующих микробиологический статус организма. Основоположником концепции применения пробиотиков стал И.И. Мечников, удостоенный за работы в этом направлении Нобелевской премии в области медицины в 1908 г. За последующие годы изучено и применяется на практике большое количество микроорганизмов в составе фармпрепаратов. А спорогенные формы, в частности </w:t>
      </w:r>
      <w:r w:rsidRPr="00960229">
        <w:rPr>
          <w:sz w:val="20"/>
          <w:lang w:val="en-US"/>
        </w:rPr>
        <w:t>B</w:t>
      </w:r>
      <w:r w:rsidRPr="00960229">
        <w:rPr>
          <w:sz w:val="20"/>
        </w:rPr>
        <w:t>.</w:t>
      </w:r>
      <w:r w:rsidRPr="00960229">
        <w:rPr>
          <w:sz w:val="20"/>
          <w:lang w:val="en-US"/>
        </w:rPr>
        <w:t>Subtilis</w:t>
      </w:r>
      <w:r w:rsidRPr="00960229">
        <w:rPr>
          <w:sz w:val="20"/>
        </w:rPr>
        <w:t xml:space="preserve">, устойчивы к кислой среде желудка, в неизмененном виде проникают в кишечник и превращаются в вегетативные формы. Также устойчивы к действию антибиотиков, что дает возможность их применения на фоне антибактериального лечения. Наряду с высокой антагонистической активностью в отношении патогенной и условно-патогенной микрофлоры, в т.ч. грибов рода </w:t>
      </w:r>
      <w:r w:rsidRPr="00960229">
        <w:rPr>
          <w:sz w:val="20"/>
          <w:lang w:val="en-US"/>
        </w:rPr>
        <w:t>Candida</w:t>
      </w:r>
      <w:r w:rsidRPr="00960229">
        <w:rPr>
          <w:sz w:val="20"/>
        </w:rPr>
        <w:t xml:space="preserve">, </w:t>
      </w:r>
      <w:r w:rsidRPr="00960229">
        <w:rPr>
          <w:sz w:val="20"/>
          <w:lang w:val="en-US"/>
        </w:rPr>
        <w:t>B</w:t>
      </w:r>
      <w:r w:rsidRPr="00960229">
        <w:rPr>
          <w:sz w:val="20"/>
        </w:rPr>
        <w:t>.</w:t>
      </w:r>
      <w:r w:rsidRPr="00960229">
        <w:rPr>
          <w:sz w:val="20"/>
          <w:lang w:val="en-US"/>
        </w:rPr>
        <w:t>Subtilis</w:t>
      </w:r>
      <w:r w:rsidRPr="00960229">
        <w:rPr>
          <w:sz w:val="20"/>
        </w:rPr>
        <w:t xml:space="preserve"> обладает антивирусным действием вследствие синтеза альфа-2-интерферона. Описывается и иммуномодулирующие свойства сенной палочки. Таким препаратом является “Бактисубтил” ООО ФЗ “Биофарма”, Украина.</w:t>
      </w:r>
    </w:p>
    <w:p w:rsidR="007929E5" w:rsidRPr="00960229" w:rsidRDefault="007929E5" w:rsidP="007929E5">
      <w:pPr>
        <w:suppressAutoHyphens/>
        <w:ind w:firstLine="709"/>
        <w:jc w:val="both"/>
        <w:rPr>
          <w:sz w:val="20"/>
        </w:rPr>
      </w:pPr>
      <w:r w:rsidRPr="00960229">
        <w:rPr>
          <w:sz w:val="20"/>
        </w:rPr>
        <w:t xml:space="preserve">Субалин получали 18 детей с компенсированным и субкомпенсированным дисбактериозом на фоне функциональных и органических заболеваний органов пищеварения (хронический гастрит, язвенная болезнь, синдром раздраженного кишечника, функциональная диспепсия, патология желчевыводящих путей) и 17 больных с воспалительными заболеваниями респираторного тракта (10 из них получали антибактериальную терапию). У этих больных чаще выделяли бактерии рода протей, кандида и энтеробактер на фоне уменьшения содержания лакто- и бифидобактерий. Копрограмма при субкомпенсированном дисбатериозе характеризовалась увеличением количества нейтрального жира, мышечных волокон, клетчатки. </w:t>
      </w:r>
    </w:p>
    <w:p w:rsidR="007929E5" w:rsidRPr="00960229" w:rsidRDefault="007929E5" w:rsidP="007929E5">
      <w:pPr>
        <w:suppressAutoHyphens/>
        <w:ind w:firstLine="709"/>
        <w:jc w:val="both"/>
        <w:rPr>
          <w:sz w:val="20"/>
        </w:rPr>
      </w:pPr>
      <w:r w:rsidRPr="00960229">
        <w:rPr>
          <w:sz w:val="20"/>
        </w:rPr>
        <w:t xml:space="preserve">На фоне патогенетической и симптоматической терапии основного заболевания больные получали Субалин в рекомендуемых дозах в течение 10 дней согласно инструкции производителя препарата. По окончанию лечения у всех детей с клиническими проявлениями дисбиоза отмечено купирование боли в животе, метеоризма, нормализация частоты испражнений, количественный состав микробиоты кишечника, и показатели копрограммы также нормализовались у этих больных. Результат использования препарата свидетельствуют о положительном клинико-лабораторном эффекте у большинства больных детей и целесообразности его применения в коррекции “синдрома избыточного роста бактерий”. </w:t>
      </w:r>
    </w:p>
    <w:p w:rsidR="007929E5" w:rsidRDefault="007929E5"/>
    <w:sectPr w:rsidR="00792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E5"/>
    <w:rsid w:val="0079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45DAE-183F-F746-A00D-E97195E3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9E5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563</Words>
  <Characters>3289</Characters>
  <Application>Microsoft Office Word</Application>
  <DocSecurity>0</DocSecurity>
  <Lines>68</Lines>
  <Paragraphs>31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Potikhenska</dc:creator>
  <cp:keywords/>
  <dc:description/>
  <cp:lastModifiedBy>Khrystyna Potikhenska</cp:lastModifiedBy>
  <cp:revision>1</cp:revision>
  <dcterms:created xsi:type="dcterms:W3CDTF">2020-11-15T17:43:00Z</dcterms:created>
  <dcterms:modified xsi:type="dcterms:W3CDTF">2020-11-15T17:43:00Z</dcterms:modified>
</cp:coreProperties>
</file>