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F2A" w:rsidRDefault="00C10F2A" w:rsidP="00C10F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ВЛИЯНИЕ ПОВЕДЕНЧЕСКИХ ФАКТОРОВ РИСКА НА ХРОНИЧЕ-</w:t>
      </w:r>
    </w:p>
    <w:p w:rsidR="00C10F2A" w:rsidRDefault="00C10F2A" w:rsidP="00C10F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СКИЙ СТРЕСС У ПАЦИЕНТОВ С ХРОНИЧЕСКИМИ НЕИНФЕК-</w:t>
      </w:r>
    </w:p>
    <w:p w:rsidR="00C10F2A" w:rsidRDefault="00C10F2A" w:rsidP="00C10F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ЦИОННЫМИ ЗАБОЛЕВАНИЯМИ</w:t>
      </w:r>
    </w:p>
    <w:p w:rsidR="00C10F2A" w:rsidRDefault="00C10F2A" w:rsidP="00C10F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Исаева А.С.,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Вовченко М.Н., Резник Л.А.,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Гопций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C10F2A" w:rsidRDefault="00C10F2A" w:rsidP="00C10F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 «Национальный институт терапии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Л.Т.Малой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НАМНУ»,</w:t>
      </w:r>
    </w:p>
    <w:p w:rsidR="00C10F2A" w:rsidRDefault="00C10F2A" w:rsidP="00C10F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Украина, Харьков</w:t>
      </w:r>
    </w:p>
    <w:p w:rsidR="00C10F2A" w:rsidRDefault="00C10F2A" w:rsidP="00C10F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sz w:val="28"/>
          <w:szCs w:val="28"/>
        </w:rPr>
        <w:t>настоящей работы было изучить поведенческие факторы риска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больных с ХНИЗ и их связь с реак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цией на хронический стресс.</w:t>
      </w:r>
    </w:p>
    <w:p w:rsidR="00C10F2A" w:rsidRDefault="00C10F2A" w:rsidP="00C10F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Материалы и методы</w:t>
      </w:r>
      <w:r>
        <w:rPr>
          <w:rFonts w:ascii="Times New Roman" w:hAnsi="Times New Roman" w:cs="Times New Roman"/>
          <w:sz w:val="28"/>
          <w:szCs w:val="28"/>
        </w:rPr>
        <w:t>. Обследовано 43 пациента со стабильным течением ишемической болезни сердца (ИБС), гипертонической болезни (ГБ)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сахарным диабетом (СД). Все пациенты получали постоянные дозы медицинских препаратов согласно действующих рекомендаций. Средний возраст пациентов – 63,25±8,6 лет. Из них женщин было 37 (86,1%) и 6 (13,9%) мужчин.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 страдали 10 (23,2%) человек, стабильной ИБС – 36 (83,8%), при этом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83% был установлен II ФК и 17 % - III ФК. Инфаркт миокарда (ИМ)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анамнезе имели 16 (37,2%). ГБ была диагностирована у 42 (97,7%) пациентов.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 (51,2%)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дислипидемия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Чрескожное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коронарное вмешательство 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проведено 7 (16,3%) пациентам в связи с ИБС. Определяли содержание холестерина и его фракций, глюкозы крови,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гликозилированного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гемоглобина, а также уровень мочевой кислоты. Оценку качества жизни выполняли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помощью опросника SF-36 «</w:t>
      </w:r>
      <w:proofErr w:type="spellStart"/>
      <w:r>
        <w:rPr>
          <w:rFonts w:ascii="Times New Roman" w:hAnsi="Times New Roman" w:cs="Times New Roman"/>
          <w:sz w:val="28"/>
          <w:szCs w:val="28"/>
        </w:rPr>
        <w:t>Health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Status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Survey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оценку уровня стресса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F2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1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помощью</w:t>
      </w:r>
      <w:r w:rsidRPr="00C1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опросника</w:t>
      </w:r>
      <w:r w:rsidRPr="00C10F2A">
        <w:rPr>
          <w:rFonts w:ascii="Times New Roman" w:hAnsi="Times New Roman" w:cs="Times New Roman"/>
          <w:sz w:val="28"/>
          <w:szCs w:val="28"/>
        </w:rPr>
        <w:t xml:space="preserve"> </w:t>
      </w:r>
      <w:r w:rsidRPr="00C10F2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10F2A">
        <w:rPr>
          <w:rFonts w:ascii="Times New Roman" w:hAnsi="Times New Roman" w:cs="Times New Roman"/>
          <w:sz w:val="28"/>
          <w:szCs w:val="28"/>
        </w:rPr>
        <w:t xml:space="preserve"> </w:t>
      </w:r>
      <w:r w:rsidRPr="00C10F2A">
        <w:rPr>
          <w:rFonts w:ascii="Times New Roman" w:hAnsi="Times New Roman" w:cs="Times New Roman"/>
          <w:sz w:val="28"/>
          <w:szCs w:val="28"/>
          <w:lang w:val="en-US"/>
        </w:rPr>
        <w:t>Depression</w:t>
      </w:r>
      <w:r w:rsidRPr="00C10F2A">
        <w:rPr>
          <w:rFonts w:ascii="Times New Roman" w:hAnsi="Times New Roman" w:cs="Times New Roman"/>
          <w:sz w:val="28"/>
          <w:szCs w:val="28"/>
        </w:rPr>
        <w:t xml:space="preserve"> </w:t>
      </w:r>
      <w:r w:rsidRPr="00C10F2A">
        <w:rPr>
          <w:rFonts w:ascii="Times New Roman" w:hAnsi="Times New Roman" w:cs="Times New Roman"/>
          <w:sz w:val="28"/>
          <w:szCs w:val="28"/>
          <w:lang w:val="en-US"/>
        </w:rPr>
        <w:t>Anxiety</w:t>
      </w:r>
      <w:r w:rsidRPr="00C10F2A">
        <w:rPr>
          <w:rFonts w:ascii="Times New Roman" w:hAnsi="Times New Roman" w:cs="Times New Roman"/>
          <w:sz w:val="28"/>
          <w:szCs w:val="28"/>
        </w:rPr>
        <w:t xml:space="preserve"> </w:t>
      </w:r>
      <w:r w:rsidRPr="00C10F2A">
        <w:rPr>
          <w:rFonts w:ascii="Times New Roman" w:hAnsi="Times New Roman" w:cs="Times New Roman"/>
          <w:sz w:val="28"/>
          <w:szCs w:val="28"/>
          <w:lang w:val="en-US"/>
        </w:rPr>
        <w:t>Stress</w:t>
      </w:r>
      <w:r w:rsidRPr="00C10F2A">
        <w:rPr>
          <w:rFonts w:ascii="Times New Roman" w:hAnsi="Times New Roman" w:cs="Times New Roman"/>
          <w:sz w:val="28"/>
          <w:szCs w:val="28"/>
        </w:rPr>
        <w:t xml:space="preserve"> </w:t>
      </w:r>
      <w:r w:rsidRPr="00C10F2A">
        <w:rPr>
          <w:rFonts w:ascii="Times New Roman" w:hAnsi="Times New Roman" w:cs="Times New Roman"/>
          <w:sz w:val="28"/>
          <w:szCs w:val="28"/>
          <w:lang w:val="en-US"/>
        </w:rPr>
        <w:t>Scale</w:t>
      </w:r>
      <w:r w:rsidRPr="00C10F2A">
        <w:rPr>
          <w:rFonts w:ascii="Times New Roman" w:hAnsi="Times New Roman" w:cs="Times New Roman"/>
          <w:sz w:val="28"/>
          <w:szCs w:val="28"/>
        </w:rPr>
        <w:t xml:space="preserve">, </w:t>
      </w:r>
      <w:r w:rsidRPr="00C10F2A">
        <w:rPr>
          <w:rFonts w:ascii="Times New Roman" w:hAnsi="Times New Roman" w:cs="Times New Roman"/>
          <w:sz w:val="28"/>
          <w:szCs w:val="28"/>
          <w:lang w:val="en-US"/>
        </w:rPr>
        <w:t>DASS</w:t>
      </w:r>
      <w:r w:rsidRPr="00C10F2A">
        <w:rPr>
          <w:rFonts w:ascii="Times New Roman" w:hAnsi="Times New Roman" w:cs="Times New Roman"/>
          <w:sz w:val="28"/>
          <w:szCs w:val="28"/>
        </w:rPr>
        <w:t>-21.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1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момент оценки стресса все пациенты были стабильны, в исследование не включались пациенты, перенесшие ИМ менее 1 года. Всем был выполнен биоэлектрический импеданс на приборе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Omron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Body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Composition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Monitor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тела, рост, ИМТ, % скелетных мышц, подкожного жара, висцерального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жира); измерение толщины подкожно-жировой складки, динамометрию.</w:t>
      </w:r>
    </w:p>
    <w:p w:rsidR="00C10F2A" w:rsidRDefault="00C10F2A" w:rsidP="00C10F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>. Уровень качества жизни во всей группе составил 58,65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балла, уровень стресса 20,9 балла. Достоверной разницы между мужчинами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женщинами не установлено. Среди обследованных пациентов, курящих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 13,95 %. Средняя дистанция ходьбы в сутки составила 2438,09 метров.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Регулярные тренировки посещали 20,93%. Из обследованных 76,75% пациентов употребляло овощей менее 500 г в сутки. Количество употребляемой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соли точно не определялось, но 27,90 % отметили, что досаливают пищу. 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 корреляционный анализ между уровнем стресса и изучаемыми факторами. Коэффициент корреляции Пирсона составил: отрицательные корреляционные связи между качеством жизни, (-2,7, р&lt;0,05), физической активностью, (-0,4, р&lt;0,05), скелетными мышцами, (-0,15, р&lt;0,05) и висцеральным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жиром (-0,11, р&lt;0,05). Получены положительные корреляции между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стресса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мочевой кислотой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подкожным жиром.</w:t>
      </w:r>
    </w:p>
    <w:p w:rsidR="00881A5D" w:rsidRDefault="00C10F2A" w:rsidP="00C10F2A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Выводы. </w:t>
      </w:r>
      <w:r>
        <w:rPr>
          <w:rFonts w:ascii="Times New Roman" w:hAnsi="Times New Roman" w:cs="Times New Roman"/>
          <w:sz w:val="28"/>
          <w:szCs w:val="28"/>
        </w:rPr>
        <w:t>Реакция на хронический стресс может влиять на поведенческие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факторы, антропометрические показатели, уровень мочевой кислоты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8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F2A"/>
    <w:rsid w:val="00881A5D"/>
    <w:rsid w:val="00C10F2A"/>
    <w:rsid w:val="00C65A47"/>
    <w:rsid w:val="00F6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0645A-3D55-4B62-B022-851D1E1C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2017-06-15T05:02:00Z</dcterms:created>
  <dcterms:modified xsi:type="dcterms:W3CDTF">2017-06-15T05:06:00Z</dcterms:modified>
</cp:coreProperties>
</file>