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1A0A" w:rsidRDefault="00E01A0A" w:rsidP="00E01A0A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01A0A">
        <w:rPr>
          <w:rFonts w:ascii="Times New Roman" w:hAnsi="Times New Roman" w:cs="Times New Roman"/>
          <w:b/>
          <w:bCs/>
          <w:sz w:val="28"/>
          <w:szCs w:val="28"/>
        </w:rPr>
        <w:t>Маркери</w:t>
      </w:r>
      <w:proofErr w:type="spellEnd"/>
      <w:r w:rsidRPr="00E01A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b/>
          <w:bCs/>
          <w:sz w:val="28"/>
          <w:szCs w:val="28"/>
        </w:rPr>
        <w:t>ангіогенезу</w:t>
      </w:r>
      <w:proofErr w:type="spellEnd"/>
      <w:r w:rsidRPr="00E01A0A">
        <w:rPr>
          <w:rFonts w:ascii="Times New Roman" w:hAnsi="Times New Roman" w:cs="Times New Roman"/>
          <w:b/>
          <w:bCs/>
          <w:sz w:val="28"/>
          <w:szCs w:val="28"/>
        </w:rPr>
        <w:t xml:space="preserve"> у </w:t>
      </w:r>
      <w:proofErr w:type="spellStart"/>
      <w:r w:rsidRPr="00E01A0A">
        <w:rPr>
          <w:rFonts w:ascii="Times New Roman" w:hAnsi="Times New Roman" w:cs="Times New Roman"/>
          <w:b/>
          <w:bCs/>
          <w:sz w:val="28"/>
          <w:szCs w:val="28"/>
        </w:rPr>
        <w:t>хворих</w:t>
      </w:r>
      <w:proofErr w:type="spellEnd"/>
      <w:r w:rsidRPr="00E01A0A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 w:rsidRPr="00E01A0A">
        <w:rPr>
          <w:rFonts w:ascii="Times New Roman" w:hAnsi="Times New Roman" w:cs="Times New Roman"/>
          <w:b/>
          <w:bCs/>
          <w:sz w:val="28"/>
          <w:szCs w:val="28"/>
        </w:rPr>
        <w:t>гострий</w:t>
      </w:r>
      <w:proofErr w:type="spellEnd"/>
      <w:r w:rsidRPr="00E01A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b/>
          <w:bCs/>
          <w:sz w:val="28"/>
          <w:szCs w:val="28"/>
        </w:rPr>
        <w:t>інфаркт</w:t>
      </w:r>
      <w:proofErr w:type="spellEnd"/>
      <w:r w:rsidRPr="00E01A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b/>
          <w:bCs/>
          <w:sz w:val="28"/>
          <w:szCs w:val="28"/>
        </w:rPr>
        <w:t>міокарда</w:t>
      </w:r>
      <w:proofErr w:type="spellEnd"/>
      <w:r w:rsidRPr="00E01A0A">
        <w:rPr>
          <w:rFonts w:ascii="Times New Roman" w:hAnsi="Times New Roman" w:cs="Times New Roman"/>
          <w:b/>
          <w:bCs/>
          <w:sz w:val="28"/>
          <w:szCs w:val="28"/>
        </w:rPr>
        <w:t xml:space="preserve"> та </w:t>
      </w:r>
      <w:proofErr w:type="spellStart"/>
      <w:r w:rsidRPr="00E01A0A">
        <w:rPr>
          <w:rFonts w:ascii="Times New Roman" w:hAnsi="Times New Roman" w:cs="Times New Roman"/>
          <w:b/>
          <w:bCs/>
          <w:sz w:val="28"/>
          <w:szCs w:val="28"/>
        </w:rPr>
        <w:t>ожиріння</w:t>
      </w:r>
      <w:proofErr w:type="spellEnd"/>
      <w:r w:rsidRPr="00E01A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01A0A" w:rsidRDefault="00E01A0A" w:rsidP="00E01A0A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01A0A">
        <w:rPr>
          <w:rFonts w:ascii="Times New Roman" w:hAnsi="Times New Roman" w:cs="Times New Roman"/>
          <w:b/>
          <w:bCs/>
          <w:sz w:val="28"/>
          <w:szCs w:val="28"/>
        </w:rPr>
        <w:t>Мартовицький</w:t>
      </w:r>
      <w:proofErr w:type="spellEnd"/>
      <w:r w:rsidRPr="00E01A0A">
        <w:rPr>
          <w:rFonts w:ascii="Times New Roman" w:hAnsi="Times New Roman" w:cs="Times New Roman"/>
          <w:b/>
          <w:bCs/>
          <w:sz w:val="28"/>
          <w:szCs w:val="28"/>
        </w:rPr>
        <w:t xml:space="preserve"> Д. В. </w:t>
      </w:r>
    </w:p>
    <w:p w:rsidR="00E01A0A" w:rsidRDefault="00E01A0A" w:rsidP="00E01A0A">
      <w:pPr>
        <w:pStyle w:val="Default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E01A0A">
        <w:rPr>
          <w:rFonts w:ascii="Times New Roman" w:hAnsi="Times New Roman" w:cs="Times New Roman"/>
          <w:i/>
          <w:iCs/>
          <w:sz w:val="28"/>
          <w:szCs w:val="28"/>
        </w:rPr>
        <w:t>Харківський</w:t>
      </w:r>
      <w:proofErr w:type="spellEnd"/>
      <w:r w:rsidRPr="00E01A0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i/>
          <w:iCs/>
          <w:sz w:val="28"/>
          <w:szCs w:val="28"/>
        </w:rPr>
        <w:t>національний</w:t>
      </w:r>
      <w:proofErr w:type="spellEnd"/>
      <w:r w:rsidRPr="00E01A0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i/>
          <w:iCs/>
          <w:sz w:val="28"/>
          <w:szCs w:val="28"/>
        </w:rPr>
        <w:t>медичний</w:t>
      </w:r>
      <w:proofErr w:type="spellEnd"/>
      <w:r w:rsidRPr="00E01A0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i/>
          <w:iCs/>
          <w:sz w:val="28"/>
          <w:szCs w:val="28"/>
        </w:rPr>
        <w:t>університет</w:t>
      </w:r>
      <w:proofErr w:type="spellEnd"/>
      <w:r w:rsidRPr="00E01A0A">
        <w:rPr>
          <w:rFonts w:ascii="Times New Roman" w:hAnsi="Times New Roman" w:cs="Times New Roman"/>
          <w:i/>
          <w:iCs/>
          <w:sz w:val="28"/>
          <w:szCs w:val="28"/>
        </w:rPr>
        <w:t xml:space="preserve">, м. </w:t>
      </w:r>
      <w:proofErr w:type="spellStart"/>
      <w:r w:rsidRPr="00E01A0A">
        <w:rPr>
          <w:rFonts w:ascii="Times New Roman" w:hAnsi="Times New Roman" w:cs="Times New Roman"/>
          <w:i/>
          <w:iCs/>
          <w:sz w:val="28"/>
          <w:szCs w:val="28"/>
        </w:rPr>
        <w:t>Харків</w:t>
      </w:r>
      <w:proofErr w:type="spellEnd"/>
      <w:r w:rsidRPr="00E01A0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E01A0A">
        <w:rPr>
          <w:rFonts w:ascii="Times New Roman" w:hAnsi="Times New Roman" w:cs="Times New Roman"/>
          <w:i/>
          <w:iCs/>
          <w:sz w:val="28"/>
          <w:szCs w:val="28"/>
        </w:rPr>
        <w:t>Україна</w:t>
      </w:r>
      <w:proofErr w:type="spellEnd"/>
      <w:r w:rsidRPr="00E01A0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E01A0A" w:rsidRDefault="00E01A0A" w:rsidP="00E01A0A">
      <w:pPr>
        <w:pStyle w:val="Default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01A0A">
        <w:rPr>
          <w:rFonts w:ascii="Times New Roman" w:hAnsi="Times New Roman" w:cs="Times New Roman"/>
          <w:b/>
          <w:bCs/>
          <w:sz w:val="28"/>
          <w:szCs w:val="28"/>
        </w:rPr>
        <w:t xml:space="preserve">Мета </w:t>
      </w:r>
      <w:proofErr w:type="spellStart"/>
      <w:r w:rsidRPr="00E01A0A">
        <w:rPr>
          <w:rFonts w:ascii="Times New Roman" w:hAnsi="Times New Roman" w:cs="Times New Roman"/>
          <w:b/>
          <w:bCs/>
          <w:sz w:val="28"/>
          <w:szCs w:val="28"/>
        </w:rPr>
        <w:t>роботи</w:t>
      </w:r>
      <w:proofErr w:type="spellEnd"/>
      <w:r w:rsidRPr="00E01A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01A0A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вивчити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маркери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ангіогенезу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інсуліноподібний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фактор росту-1 (ІФР-1) і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ендостатин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- у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гострий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інфаркт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міокарду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(ГІМ) за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відсутності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E01A0A" w:rsidRDefault="00E01A0A" w:rsidP="00E01A0A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b/>
          <w:bCs/>
          <w:sz w:val="28"/>
          <w:szCs w:val="28"/>
        </w:rPr>
        <w:t>Матеріали</w:t>
      </w:r>
      <w:proofErr w:type="spellEnd"/>
      <w:r w:rsidRPr="00E01A0A">
        <w:rPr>
          <w:rFonts w:ascii="Times New Roman" w:hAnsi="Times New Roman" w:cs="Times New Roman"/>
          <w:b/>
          <w:bCs/>
          <w:sz w:val="28"/>
          <w:szCs w:val="28"/>
        </w:rPr>
        <w:t xml:space="preserve"> та </w:t>
      </w:r>
      <w:proofErr w:type="spellStart"/>
      <w:r w:rsidRPr="00E01A0A">
        <w:rPr>
          <w:rFonts w:ascii="Times New Roman" w:hAnsi="Times New Roman" w:cs="Times New Roman"/>
          <w:b/>
          <w:bCs/>
          <w:sz w:val="28"/>
          <w:szCs w:val="28"/>
        </w:rPr>
        <w:t>методи</w:t>
      </w:r>
      <w:proofErr w:type="spellEnd"/>
      <w:r w:rsidRPr="00E01A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b/>
          <w:bCs/>
          <w:sz w:val="28"/>
          <w:szCs w:val="28"/>
        </w:rPr>
        <w:t>дослідження</w:t>
      </w:r>
      <w:proofErr w:type="spellEnd"/>
      <w:r w:rsidRPr="00E01A0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E01A0A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дослідженні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взяли участь 105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пацієнтів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з ГІМ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супутнім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ожирінням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середній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вік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64,6 ± 7,4 року), 55 з них - з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гострим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ІМ з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коморбідним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ожирінням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і 60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- з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гострим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ІМ без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порівнянні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статтю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віком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Контрольну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групу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склали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здорових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відповідного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статі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. ГІМ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діагностували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Європейським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товариством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кардіологів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(ESC).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встановлювалося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показником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індексу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маси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тіла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>: 18,5 - 24,9 кг / м2 (нормальна вага) і 30 кг / м2 (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E01A0A" w:rsidRDefault="00E01A0A" w:rsidP="00E01A0A">
      <w:pPr>
        <w:pStyle w:val="Default"/>
        <w:rPr>
          <w:rFonts w:ascii="Times New Roman" w:hAnsi="Times New Roman" w:cs="Times New Roman"/>
          <w:sz w:val="28"/>
          <w:szCs w:val="28"/>
        </w:rPr>
      </w:pPr>
      <w:proofErr w:type="spellStart"/>
      <w:r w:rsidRPr="00E01A0A">
        <w:rPr>
          <w:rFonts w:ascii="Times New Roman" w:hAnsi="Times New Roman" w:cs="Times New Roman"/>
          <w:b/>
          <w:bCs/>
          <w:sz w:val="28"/>
          <w:szCs w:val="28"/>
        </w:rPr>
        <w:t>Результати</w:t>
      </w:r>
      <w:proofErr w:type="spellEnd"/>
      <w:r w:rsidRPr="00E01A0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E01A0A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пацієнтів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на ГІМ з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ожирінням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і без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рівні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ІФР-1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статистично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достовірно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вищими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контрольної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(р &lt;0,05).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Рівні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ІФР-1 при ГІМ з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ожирінням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статистично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достовірно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вищими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сироватці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з ГІМ без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(180,64 ± 12,2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нг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/ мл і 128,76 ± 8,1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нг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/ мл, p &lt;0,05).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Рівні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ендостатину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групі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з ГІМ та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ожирінням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нижчими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групі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ГІМ без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(148,26 ± 6,04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пмоль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/ л та 169,83 ± 8,39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пмоль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/ л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, р &lt;0,05).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Пацієнти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на ГІМ з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ожирінням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і без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показали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високі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рівні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ендостатину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контрольна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(р &lt;0,05). </w:t>
      </w:r>
    </w:p>
    <w:p w:rsidR="00E01A0A" w:rsidRPr="00E01A0A" w:rsidRDefault="00E01A0A" w:rsidP="00E01A0A">
      <w:pPr>
        <w:pStyle w:val="Default"/>
        <w:rPr>
          <w:rFonts w:ascii="Times New Roman" w:hAnsi="Times New Roman" w:cs="Times New Roman"/>
          <w:sz w:val="28"/>
          <w:szCs w:val="28"/>
        </w:rPr>
      </w:pPr>
      <w:proofErr w:type="spellStart"/>
      <w:r w:rsidRPr="00E01A0A">
        <w:rPr>
          <w:rFonts w:ascii="Times New Roman" w:hAnsi="Times New Roman" w:cs="Times New Roman"/>
          <w:b/>
          <w:bCs/>
          <w:sz w:val="28"/>
          <w:szCs w:val="28"/>
        </w:rPr>
        <w:t>Висновки</w:t>
      </w:r>
      <w:proofErr w:type="spellEnd"/>
      <w:r w:rsidRPr="00E01A0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пацієнти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гострий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інфаркт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міокарда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показали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рівнів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інсуліноподібного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фактору росту-1 і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ендостатину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порівняно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з контрольною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групою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Наявність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lastRenderedPageBreak/>
        <w:t>ожиріння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гострому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інфаркту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міокарда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супроводжувалося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підвищенням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інсуліноподібного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фактору росту-1 і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зниженням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ендостатину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порівняно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пацієнтами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гострий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інфаркт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міокарда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Pr="00E01A0A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E01A0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1103" w:rsidRPr="00E01A0A" w:rsidRDefault="00CA1103">
      <w:pPr>
        <w:rPr>
          <w:rFonts w:ascii="Times New Roman" w:hAnsi="Times New Roman" w:cs="Times New Roman"/>
          <w:sz w:val="28"/>
          <w:szCs w:val="28"/>
          <w:lang w:val="ru-UA"/>
        </w:rPr>
      </w:pPr>
    </w:p>
    <w:sectPr w:rsidR="00CA1103" w:rsidRPr="00E01A0A" w:rsidSect="008838C9">
      <w:pgSz w:w="8730" w:h="12745"/>
      <w:pgMar w:top="1463" w:right="656" w:bottom="624" w:left="85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PS">
    <w:altName w:val="Times New Roman PS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A0A"/>
    <w:rsid w:val="00CA1103"/>
    <w:rsid w:val="00E0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FAF0B"/>
  <w15:chartTrackingRefBased/>
  <w15:docId w15:val="{85F222AB-4E09-49A1-8013-14429B22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01A0A"/>
    <w:pPr>
      <w:autoSpaceDE w:val="0"/>
      <w:autoSpaceDN w:val="0"/>
      <w:adjustRightInd w:val="0"/>
      <w:spacing w:after="0" w:line="240" w:lineRule="auto"/>
    </w:pPr>
    <w:rPr>
      <w:rFonts w:ascii="Times New Roman PS" w:hAnsi="Times New Roman PS" w:cs="Times New Roman PS"/>
      <w:color w:val="000000"/>
      <w:sz w:val="24"/>
      <w:szCs w:val="24"/>
      <w:lang w:val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Denis</cp:lastModifiedBy>
  <cp:revision>1</cp:revision>
  <dcterms:created xsi:type="dcterms:W3CDTF">2019-05-22T07:52:00Z</dcterms:created>
  <dcterms:modified xsi:type="dcterms:W3CDTF">2019-05-22T07:55:00Z</dcterms:modified>
</cp:coreProperties>
</file>