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40"/>
          <w:szCs w:val="40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40"/>
          <w:szCs w:val="40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40"/>
          <w:szCs w:val="40"/>
        </w:rPr>
      </w:pPr>
    </w:p>
    <w:p w:rsidR="00753592" w:rsidRPr="00753592" w:rsidRDefault="00753592" w:rsidP="0075359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40"/>
          <w:szCs w:val="40"/>
          <w:lang w:val="ru-RU"/>
        </w:rPr>
      </w:pPr>
      <w:r w:rsidRPr="00753592">
        <w:rPr>
          <w:rFonts w:ascii="Times New Roman" w:hAnsi="Times New Roman" w:cs="Times New Roman"/>
          <w:sz w:val="40"/>
          <w:szCs w:val="40"/>
          <w:lang w:val="ru-RU"/>
        </w:rPr>
        <w:t>СОВРЕМЕННЫЕ ТЕНДЕНЦИИ РАЗВИТИЯ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40"/>
          <w:szCs w:val="40"/>
          <w:lang w:val="ru-RU"/>
        </w:rPr>
      </w:pPr>
      <w:r w:rsidRPr="00753592">
        <w:rPr>
          <w:rFonts w:ascii="Times New Roman" w:hAnsi="Times New Roman" w:cs="Times New Roman"/>
          <w:sz w:val="40"/>
          <w:szCs w:val="40"/>
          <w:lang w:val="ru-RU"/>
        </w:rPr>
        <w:t>НАУКИ И ТЕХНОЛОГИЙ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  <w:lang w:val="ru-RU"/>
        </w:rPr>
      </w:pPr>
      <w:r w:rsidRPr="00753592">
        <w:rPr>
          <w:rFonts w:ascii="Times New Roman" w:hAnsi="Times New Roman" w:cs="Times New Roman"/>
          <w:b/>
          <w:bCs/>
          <w:sz w:val="36"/>
          <w:szCs w:val="36"/>
          <w:lang w:val="ru-RU"/>
        </w:rPr>
        <w:t xml:space="preserve">2016 </w:t>
      </w:r>
      <w:r>
        <w:rPr>
          <w:rFonts w:ascii="Symbol" w:hAnsi="Symbol" w:cs="Symbol"/>
          <w:sz w:val="36"/>
          <w:szCs w:val="36"/>
        </w:rPr>
        <w:t></w:t>
      </w:r>
      <w:r>
        <w:rPr>
          <w:rFonts w:ascii="Symbol" w:hAnsi="Symbol" w:cs="Symbol"/>
          <w:sz w:val="36"/>
          <w:szCs w:val="36"/>
        </w:rPr>
        <w:t></w:t>
      </w:r>
      <w:r w:rsidRPr="00753592">
        <w:rPr>
          <w:rFonts w:ascii="Times New Roman,Bold" w:hAnsi="Times New Roman,Bold" w:cs="Times New Roman,Bold"/>
          <w:b/>
          <w:bCs/>
          <w:sz w:val="36"/>
          <w:szCs w:val="36"/>
          <w:lang w:val="ru-RU"/>
        </w:rPr>
        <w:t xml:space="preserve">№ </w:t>
      </w:r>
      <w:r w:rsidRPr="00753592">
        <w:rPr>
          <w:rFonts w:ascii="Times New Roman" w:hAnsi="Times New Roman" w:cs="Times New Roman"/>
          <w:b/>
          <w:bCs/>
          <w:sz w:val="36"/>
          <w:szCs w:val="36"/>
          <w:lang w:val="ru-RU"/>
        </w:rPr>
        <w:t>11</w:t>
      </w:r>
      <w:r w:rsidRPr="00753592">
        <w:rPr>
          <w:rFonts w:ascii="Times New Roman,Bold" w:hAnsi="Times New Roman,Bold" w:cs="Times New Roman,Bold"/>
          <w:b/>
          <w:bCs/>
          <w:sz w:val="36"/>
          <w:szCs w:val="36"/>
          <w:lang w:val="ru-RU"/>
        </w:rPr>
        <w:t xml:space="preserve">, часть </w:t>
      </w:r>
      <w:r w:rsidRPr="00753592">
        <w:rPr>
          <w:rFonts w:ascii="Times New Roman" w:hAnsi="Times New Roman" w:cs="Times New Roman"/>
          <w:b/>
          <w:bCs/>
          <w:sz w:val="36"/>
          <w:szCs w:val="36"/>
          <w:lang w:val="ru-RU"/>
        </w:rPr>
        <w:t>5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,Bold" w:hAnsi="Times New Roman,Bold" w:cs="Times New Roman,Bold"/>
          <w:b/>
          <w:bCs/>
          <w:sz w:val="32"/>
          <w:szCs w:val="32"/>
          <w:lang w:val="ru-RU"/>
        </w:rPr>
      </w:pPr>
      <w:r w:rsidRPr="00753592">
        <w:rPr>
          <w:rFonts w:ascii="Times New Roman,Bold" w:hAnsi="Times New Roman,Bold" w:cs="Times New Roman,Bold"/>
          <w:b/>
          <w:bCs/>
          <w:sz w:val="32"/>
          <w:szCs w:val="32"/>
          <w:lang w:val="ru-RU"/>
        </w:rPr>
        <w:t>Периодический научный сборник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,Italic" w:hAnsi="Times New Roman,Italic" w:cs="Times New Roman,Italic"/>
          <w:i/>
          <w:iCs/>
          <w:sz w:val="28"/>
          <w:szCs w:val="28"/>
          <w:lang w:val="ru-RU"/>
        </w:rPr>
      </w:pPr>
      <w:r w:rsidRPr="00753592">
        <w:rPr>
          <w:rFonts w:ascii="Times New Roman,Italic" w:hAnsi="Times New Roman,Italic" w:cs="Times New Roman,Italic"/>
          <w:i/>
          <w:iCs/>
          <w:sz w:val="28"/>
          <w:szCs w:val="28"/>
          <w:lang w:val="ru-RU"/>
        </w:rPr>
        <w:t>по материалам</w:t>
      </w:r>
    </w:p>
    <w:p w:rsidR="00753592" w:rsidRDefault="00753592" w:rsidP="0075359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,Italic" w:hAnsi="Times New Roman,Italic" w:cs="Times New Roman,Italic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XX </w:t>
      </w:r>
      <w:r>
        <w:rPr>
          <w:rFonts w:ascii="Times New Roman,Italic" w:hAnsi="Times New Roman,Italic" w:cs="Times New Roman,Italic"/>
          <w:i/>
          <w:iCs/>
          <w:sz w:val="28"/>
          <w:szCs w:val="28"/>
        </w:rPr>
        <w:t>Международной научно</w:t>
      </w:r>
      <w:r>
        <w:rPr>
          <w:rFonts w:ascii="Times New Roman" w:hAnsi="Times New Roman" w:cs="Times New Roman"/>
          <w:i/>
          <w:iCs/>
          <w:sz w:val="28"/>
          <w:szCs w:val="28"/>
        </w:rPr>
        <w:t>-</w:t>
      </w:r>
      <w:r>
        <w:rPr>
          <w:rFonts w:ascii="Times New Roman,Italic" w:hAnsi="Times New Roman,Italic" w:cs="Times New Roman,Italic"/>
          <w:i/>
          <w:iCs/>
          <w:sz w:val="28"/>
          <w:szCs w:val="28"/>
        </w:rPr>
        <w:t>практической конференции</w:t>
      </w:r>
    </w:p>
    <w:p w:rsidR="00753592" w:rsidRDefault="00753592" w:rsidP="00753592">
      <w:pPr>
        <w:autoSpaceDE w:val="0"/>
        <w:autoSpaceDN w:val="0"/>
        <w:adjustRightInd w:val="0"/>
        <w:spacing w:after="0" w:line="360" w:lineRule="auto"/>
        <w:jc w:val="center"/>
        <w:rPr>
          <w:rFonts w:cs="Times New Roman,Bold"/>
          <w:b/>
          <w:bCs/>
          <w:sz w:val="28"/>
          <w:szCs w:val="28"/>
        </w:rPr>
      </w:pPr>
      <w:r>
        <w:rPr>
          <w:rFonts w:ascii="Times New Roman,Italic" w:hAnsi="Times New Roman,Italic" w:cs="Times New Roman,Italic"/>
          <w:i/>
          <w:iCs/>
          <w:sz w:val="28"/>
          <w:szCs w:val="28"/>
        </w:rPr>
        <w:t xml:space="preserve">г. Белгород, 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30 </w:t>
      </w:r>
      <w:r>
        <w:rPr>
          <w:rFonts w:ascii="Times New Roman,Italic" w:hAnsi="Times New Roman,Italic" w:cs="Times New Roman,Italic"/>
          <w:i/>
          <w:iCs/>
          <w:sz w:val="28"/>
          <w:szCs w:val="28"/>
        </w:rPr>
        <w:t>ноября 2016 г.</w:t>
      </w: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cs="Times New Roman,Bold"/>
          <w:b/>
          <w:bCs/>
          <w:sz w:val="28"/>
          <w:szCs w:val="28"/>
        </w:rPr>
      </w:pP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28"/>
          <w:szCs w:val="28"/>
          <w:lang w:val="ru-RU"/>
        </w:rPr>
      </w:pPr>
      <w:r w:rsidRPr="00753592">
        <w:rPr>
          <w:rFonts w:ascii="Times New Roman,Bold" w:hAnsi="Times New Roman,Bold" w:cs="Times New Roman,Bold"/>
          <w:b/>
          <w:bCs/>
          <w:sz w:val="28"/>
          <w:szCs w:val="28"/>
          <w:lang w:val="ru-RU"/>
        </w:rPr>
        <w:lastRenderedPageBreak/>
        <w:t>СОДЕРЖАНИЕ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 w:rsidRPr="00753592">
        <w:rPr>
          <w:rFonts w:ascii="Arial,Bold" w:hAnsi="Arial,Bold" w:cs="Arial,Bold"/>
          <w:b/>
          <w:bCs/>
          <w:sz w:val="24"/>
          <w:szCs w:val="24"/>
          <w:lang w:val="ru-RU"/>
        </w:rPr>
        <w:t xml:space="preserve">СЕКЦИЯ «МЕДИЦИНСКИЕ НАУКИ» 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 xml:space="preserve">Алимбекова А.Б., Шауменкулова Ф.Р., Бейсен Н.М. </w:t>
      </w:r>
      <w:r w:rsidRPr="00753592">
        <w:rPr>
          <w:rFonts w:ascii="Times New Roman" w:hAnsi="Times New Roman" w:cs="Times New Roman"/>
          <w:sz w:val="24"/>
          <w:szCs w:val="24"/>
          <w:lang w:val="ru-RU"/>
        </w:rPr>
        <w:t xml:space="preserve">ЛЕЧЕНИЕ ОРВИ И </w:t>
      </w:r>
      <w:proofErr w:type="gramStart"/>
      <w:r w:rsidRPr="00753592">
        <w:rPr>
          <w:rFonts w:ascii="Times New Roman" w:hAnsi="Times New Roman" w:cs="Times New Roman"/>
          <w:sz w:val="24"/>
          <w:szCs w:val="24"/>
          <w:lang w:val="ru-RU"/>
        </w:rPr>
        <w:t>ВИРУСНЫХ</w:t>
      </w:r>
      <w:proofErr w:type="gramEnd"/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ДИАРЕЙ У ДЕТЕЙ ......................................................................................................................... 6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 xml:space="preserve">Бедина С.А., Мартемьянов В.Ф., Мозговая Е.Э., Лаврова Д.П. </w:t>
      </w:r>
      <w:r w:rsidRPr="00753592">
        <w:rPr>
          <w:rFonts w:ascii="Times New Roman" w:hAnsi="Times New Roman" w:cs="Times New Roman"/>
          <w:sz w:val="24"/>
          <w:szCs w:val="24"/>
          <w:lang w:val="ru-RU"/>
        </w:rPr>
        <w:t>АКТИВНОСТЬ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ФЕРМЕНТОВ ПУРИНОВОГО МЕТАБОЛИЗМА В ЭРИТРОЦИТАХ БОЛЬНЫХ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ПОДАГРОЙ ..................................................................................................................................... 8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>Беловол А.Н., Бобронникова Л.Р., Аль</w:t>
      </w:r>
      <w:r w:rsidRPr="00753592">
        <w:rPr>
          <w:rFonts w:ascii="Times New Roman" w:hAnsi="Times New Roman" w:cs="Times New Roman"/>
          <w:b/>
          <w:bCs/>
          <w:i/>
          <w:iCs/>
          <w:sz w:val="24"/>
          <w:szCs w:val="24"/>
          <w:lang w:val="ru-RU"/>
        </w:rPr>
        <w:t>-</w:t>
      </w: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>Травнех Е.В</w:t>
      </w:r>
      <w:r w:rsidRPr="00753592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. </w:t>
      </w:r>
      <w:r w:rsidRPr="00753592">
        <w:rPr>
          <w:rFonts w:ascii="Times New Roman" w:hAnsi="Times New Roman" w:cs="Times New Roman"/>
          <w:sz w:val="24"/>
          <w:szCs w:val="24"/>
          <w:lang w:val="ru-RU"/>
        </w:rPr>
        <w:t>ПЕРЕКИСНОЕ ОКИСЛЕНИЕ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БЕЛКОВ КАК МАРКЕР ВАСКУЛЯРНОГО РЕМОДЕЛИРОВАНИЯ У ПАЦИЕНТОВ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С АРТЕРИАЛЬНОЙ ГИПЕРТЕНЗИЕЙ И САХАРНЫМ ДИАБЕТОМ 2 ТИПА ................... 10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 xml:space="preserve">Галегашвили Л.Н., Емелина Е.С., Никонова А.В., Зюлькина Л.А. </w:t>
      </w:r>
      <w:r w:rsidRPr="00753592">
        <w:rPr>
          <w:rFonts w:ascii="Times New Roman" w:hAnsi="Times New Roman" w:cs="Times New Roman"/>
          <w:sz w:val="24"/>
          <w:szCs w:val="24"/>
          <w:lang w:val="ru-RU"/>
        </w:rPr>
        <w:t>СОВРЕМЕННАЯ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КОНЦЕПЦИЯ МЕХАНИЧЕСКОЙ ОБРАБОТКИ КОРНЕВЫХ КАНАЛОВ.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ПОЛОЖИТЕЛЬНЫЕ И ОТРИЦАТЕЛЬНЫЕ СТОРОНЫ ИСПОЛЬЗОВАНИЯ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 xml:space="preserve">САМОАДАПТИРУЮЩЕГОСЯ ФАЙЛА </w:t>
      </w:r>
      <w:r>
        <w:rPr>
          <w:rFonts w:ascii="Times New Roman" w:hAnsi="Times New Roman" w:cs="Times New Roman"/>
          <w:sz w:val="24"/>
          <w:szCs w:val="24"/>
        </w:rPr>
        <w:t>SAF</w:t>
      </w:r>
      <w:r w:rsidRPr="00753592">
        <w:rPr>
          <w:rFonts w:ascii="Times New Roman" w:hAnsi="Times New Roman" w:cs="Times New Roman"/>
          <w:sz w:val="24"/>
          <w:szCs w:val="24"/>
          <w:lang w:val="ru-RU"/>
        </w:rPr>
        <w:t>..........................................................................13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>Галкин А.Н., Никонова А.В., Емелина Е.С</w:t>
      </w:r>
      <w:r w:rsidRPr="00753592">
        <w:rPr>
          <w:rFonts w:ascii="Times New Roman" w:hAnsi="Times New Roman" w:cs="Times New Roman"/>
          <w:b/>
          <w:bCs/>
          <w:i/>
          <w:iCs/>
          <w:sz w:val="24"/>
          <w:szCs w:val="24"/>
          <w:lang w:val="ru-RU"/>
        </w:rPr>
        <w:t xml:space="preserve">., </w:t>
      </w: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 xml:space="preserve">Фролова К.Е. </w:t>
      </w:r>
      <w:proofErr w:type="gramStart"/>
      <w:r w:rsidRPr="00753592">
        <w:rPr>
          <w:rFonts w:ascii="Times New Roman" w:hAnsi="Times New Roman" w:cs="Times New Roman"/>
          <w:sz w:val="24"/>
          <w:szCs w:val="24"/>
          <w:lang w:val="ru-RU"/>
        </w:rPr>
        <w:t>ВНУТРИКАНАЛЬНОЕ</w:t>
      </w:r>
      <w:proofErr w:type="gramEnd"/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ОТБЕЛИВАНИЕ ЗУБОВ (ЭНДООТБЕЛИВАНИЕ) ................................................................. 16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 xml:space="preserve">Голинский Ю.Г., Огрина Н.А., Шашорин Р.В., Любченко Л.О. </w:t>
      </w:r>
      <w:r w:rsidRPr="00753592">
        <w:rPr>
          <w:rFonts w:ascii="Times New Roman" w:hAnsi="Times New Roman" w:cs="Times New Roman"/>
          <w:sz w:val="24"/>
          <w:szCs w:val="24"/>
          <w:lang w:val="ru-RU"/>
        </w:rPr>
        <w:t>ОЦЕНКА ТОЧНОСТИ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ТРЕХМЕРНОГО ОТОБРАЖЕНИЯ ИМПЛАНТАТА ПРИ ПОЛУЧЕНИИ ОТТИСКОВ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РАЗЛИЧНЫМИ МЕТОДАМИ И МАТЕРИАЛАМИ ................................................................ 18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 xml:space="preserve">Гукасян Е.Л. </w:t>
      </w:r>
      <w:r w:rsidRPr="00753592">
        <w:rPr>
          <w:rFonts w:ascii="Times New Roman" w:hAnsi="Times New Roman" w:cs="Times New Roman"/>
          <w:sz w:val="24"/>
          <w:szCs w:val="24"/>
          <w:lang w:val="ru-RU"/>
        </w:rPr>
        <w:t xml:space="preserve">ИММУННАЯ </w:t>
      </w:r>
      <w:proofErr w:type="gramStart"/>
      <w:r w:rsidRPr="00753592">
        <w:rPr>
          <w:rFonts w:ascii="Times New Roman" w:hAnsi="Times New Roman" w:cs="Times New Roman"/>
          <w:sz w:val="24"/>
          <w:szCs w:val="24"/>
          <w:lang w:val="ru-RU"/>
        </w:rPr>
        <w:t>НЕДОСТАТОЧНОСТЬ В ПАТОГЕНЕЗЕ</w:t>
      </w:r>
      <w:proofErr w:type="gramEnd"/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РИНОСИНУСИТА ........................................................................................................................ 25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 xml:space="preserve">Давтян А.Д., Шпак Е.И., Быкова А.А., Удальцова Е.В. </w:t>
      </w:r>
      <w:r w:rsidRPr="00753592">
        <w:rPr>
          <w:rFonts w:ascii="Times New Roman" w:hAnsi="Times New Roman" w:cs="Times New Roman"/>
          <w:sz w:val="24"/>
          <w:szCs w:val="24"/>
          <w:lang w:val="ru-RU"/>
        </w:rPr>
        <w:t>ПРИМЕНЕНИЕ ВОДНО-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АБРАЗИВНЫХ СИСТЕМ У БЕРЕМЕННЫХ И ЛИЦ С ЗАБОЛЕВАНИЕМ СЕРДЕЧНО-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СОСУДИСТОЙ СИСТЕМЫ ........................................................................................................ 28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>Емелина Е.С., Пылайкина В.В., Никонова А.В</w:t>
      </w:r>
      <w:r w:rsidRPr="00753592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., </w:t>
      </w: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 xml:space="preserve">Капралова Г.А. </w:t>
      </w:r>
      <w:r w:rsidRPr="00753592">
        <w:rPr>
          <w:rFonts w:ascii="Times New Roman" w:hAnsi="Times New Roman" w:cs="Times New Roman"/>
          <w:sz w:val="24"/>
          <w:szCs w:val="24"/>
          <w:lang w:val="ru-RU"/>
        </w:rPr>
        <w:t>ПРИНЦИПЫ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ЛЕЧЕНИЯ ПАРОДОНТОЗА ........................................................................................................ 31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 xml:space="preserve">Емельянова А.Н., Епифанцева Н.В., Емельянов А.С., Чупрова Г.А. </w:t>
      </w:r>
      <w:r w:rsidRPr="00753592">
        <w:rPr>
          <w:rFonts w:ascii="Times New Roman" w:hAnsi="Times New Roman" w:cs="Times New Roman"/>
          <w:sz w:val="24"/>
          <w:szCs w:val="24"/>
          <w:lang w:val="ru-RU"/>
        </w:rPr>
        <w:t>КЛИНИКО-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 xml:space="preserve">ЭПИДЕМИОЛОГИЧЕСКАЯ ХАРАКТЕРИСТИКА ГРИППА </w:t>
      </w:r>
      <w:proofErr w:type="gramStart"/>
      <w:r w:rsidRPr="00753592">
        <w:rPr>
          <w:rFonts w:ascii="Times New Roman" w:hAnsi="Times New Roman" w:cs="Times New Roman"/>
          <w:sz w:val="24"/>
          <w:szCs w:val="24"/>
          <w:lang w:val="ru-RU"/>
        </w:rPr>
        <w:t>В</w:t>
      </w:r>
      <w:proofErr w:type="gramEnd"/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ПОСТПАНДЕМИЧЕСКИЙ ПЕРИОД ........................................................................................ 33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ru-RU"/>
        </w:rPr>
        <w:t xml:space="preserve">Епифанцева Н.В., Емельянова А.Н., Калинина Э.Н., Чупрова Г.А. </w:t>
      </w:r>
      <w:r w:rsidRPr="00753592">
        <w:rPr>
          <w:rFonts w:ascii="Times New Roman" w:hAnsi="Times New Roman" w:cs="Times New Roman"/>
          <w:sz w:val="24"/>
          <w:szCs w:val="24"/>
          <w:lang w:val="ru-RU"/>
        </w:rPr>
        <w:t>УРОВЕНЬ</w:t>
      </w: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ЦИТОКИНОВ У ВАКЦИНИРОВАННЫХ И НЕВАКЦИНИРОВАННЫХ ДЕТЕЙ,</w:t>
      </w: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3592">
        <w:rPr>
          <w:rFonts w:ascii="Times New Roman" w:hAnsi="Times New Roman" w:cs="Times New Roman"/>
          <w:sz w:val="24"/>
          <w:szCs w:val="24"/>
          <w:lang w:val="ru-RU"/>
        </w:rPr>
        <w:t>БОЛЬНЫХ КОКЛЮШЕМ ........................................................................................................... 38</w:t>
      </w: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3592" w:rsidRPr="00753592" w:rsidRDefault="00753592" w:rsidP="00753592">
      <w:pPr>
        <w:spacing w:line="360" w:lineRule="auto"/>
        <w:jc w:val="center"/>
        <w:rPr>
          <w:rFonts w:asciiTheme="majorBidi" w:hAnsiTheme="majorBidi" w:cstheme="majorBidi"/>
          <w:b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b/>
          <w:sz w:val="28"/>
          <w:szCs w:val="28"/>
          <w:lang w:val="ru-RU"/>
        </w:rPr>
        <w:lastRenderedPageBreak/>
        <w:t>ПЕРЕКИСНОЕ ОКИСЛЕНИЕ БЕЛКОВ КАК МАРКЕР ВАСКУЛЯРНОГО РЕМОДЕЛИРОВАНИЯ У ПАЦИЕНТОВ С АРТЕРИАЛЬНОЙ ГИПЕРТЕНЗИЕЙ И САХАРНЫМ ДИАБЕТОМ 2 ТИПА</w:t>
      </w:r>
    </w:p>
    <w:p w:rsidR="00753592" w:rsidRPr="00753592" w:rsidRDefault="00753592" w:rsidP="00753592">
      <w:pPr>
        <w:tabs>
          <w:tab w:val="left" w:pos="3225"/>
        </w:tabs>
        <w:ind w:firstLine="720"/>
        <w:jc w:val="right"/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  <w:t>Беловол А.Н.</w:t>
      </w:r>
    </w:p>
    <w:p w:rsidR="00753592" w:rsidRPr="00753592" w:rsidRDefault="00753592" w:rsidP="00753592">
      <w:pPr>
        <w:jc w:val="right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>академик Национальной академии медицинских наук Украины,            профессор кафедры клинической фармакологии, д-р мед</w:t>
      </w:r>
      <w:proofErr w:type="gramStart"/>
      <w:r w:rsidRPr="00753592">
        <w:rPr>
          <w:rFonts w:asciiTheme="majorBidi" w:hAnsiTheme="majorBidi" w:cstheme="majorBidi"/>
          <w:sz w:val="28"/>
          <w:szCs w:val="28"/>
          <w:lang w:val="ru-RU"/>
        </w:rPr>
        <w:t>.</w:t>
      </w:r>
      <w:proofErr w:type="gramEnd"/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proofErr w:type="gramStart"/>
      <w:r w:rsidRPr="00753592">
        <w:rPr>
          <w:rFonts w:asciiTheme="majorBidi" w:hAnsiTheme="majorBidi" w:cstheme="majorBidi"/>
          <w:sz w:val="28"/>
          <w:szCs w:val="28"/>
          <w:lang w:val="ru-RU"/>
        </w:rPr>
        <w:t>н</w:t>
      </w:r>
      <w:proofErr w:type="gramEnd"/>
      <w:r w:rsidRPr="00753592">
        <w:rPr>
          <w:rFonts w:asciiTheme="majorBidi" w:hAnsiTheme="majorBidi" w:cstheme="majorBidi"/>
          <w:sz w:val="28"/>
          <w:szCs w:val="28"/>
          <w:lang w:val="ru-RU"/>
        </w:rPr>
        <w:t>аук, профессор,        Харьковский национальный медицинский университет, Украина, Харьков</w:t>
      </w:r>
    </w:p>
    <w:p w:rsidR="00753592" w:rsidRPr="00753592" w:rsidRDefault="00753592" w:rsidP="00753592">
      <w:pPr>
        <w:tabs>
          <w:tab w:val="left" w:pos="3225"/>
        </w:tabs>
        <w:ind w:firstLine="720"/>
        <w:jc w:val="right"/>
        <w:rPr>
          <w:rFonts w:asciiTheme="majorBidi" w:hAnsiTheme="majorBidi" w:cstheme="majorBidi"/>
          <w:b/>
          <w:i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753592">
        <w:rPr>
          <w:rFonts w:asciiTheme="majorBidi" w:hAnsiTheme="majorBidi" w:cstheme="majorBidi"/>
          <w:b/>
          <w:i/>
          <w:sz w:val="28"/>
          <w:szCs w:val="28"/>
          <w:lang w:val="ru-RU"/>
        </w:rPr>
        <w:t>Бобронникова Л.Р.</w:t>
      </w:r>
    </w:p>
    <w:p w:rsidR="00753592" w:rsidRPr="00753592" w:rsidRDefault="00753592" w:rsidP="00753592">
      <w:pPr>
        <w:jc w:val="right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>профессор кафедры клинической фармакологии, д-р мед</w:t>
      </w:r>
      <w:proofErr w:type="gramStart"/>
      <w:r w:rsidRPr="00753592">
        <w:rPr>
          <w:rFonts w:asciiTheme="majorBidi" w:hAnsiTheme="majorBidi" w:cstheme="majorBidi"/>
          <w:sz w:val="28"/>
          <w:szCs w:val="28"/>
          <w:lang w:val="ru-RU"/>
        </w:rPr>
        <w:t>.</w:t>
      </w:r>
      <w:proofErr w:type="gramEnd"/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proofErr w:type="gramStart"/>
      <w:r w:rsidRPr="00753592">
        <w:rPr>
          <w:rFonts w:asciiTheme="majorBidi" w:hAnsiTheme="majorBidi" w:cstheme="majorBidi"/>
          <w:sz w:val="28"/>
          <w:szCs w:val="28"/>
          <w:lang w:val="ru-RU"/>
        </w:rPr>
        <w:t>н</w:t>
      </w:r>
      <w:proofErr w:type="gramEnd"/>
      <w:r w:rsidRPr="00753592">
        <w:rPr>
          <w:rFonts w:asciiTheme="majorBidi" w:hAnsiTheme="majorBidi" w:cstheme="majorBidi"/>
          <w:sz w:val="28"/>
          <w:szCs w:val="28"/>
          <w:lang w:val="ru-RU"/>
        </w:rPr>
        <w:t>аук, профессор, Харьковский национальный медицинский университет, Украина, Харьков</w:t>
      </w:r>
    </w:p>
    <w:p w:rsidR="00753592" w:rsidRPr="00753592" w:rsidRDefault="00753592" w:rsidP="00753592">
      <w:pPr>
        <w:tabs>
          <w:tab w:val="left" w:pos="3225"/>
        </w:tabs>
        <w:ind w:firstLine="720"/>
        <w:jc w:val="right"/>
        <w:rPr>
          <w:rFonts w:asciiTheme="majorBidi" w:hAnsiTheme="majorBidi" w:cstheme="majorBidi"/>
          <w:b/>
          <w:bCs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  <w:t>Аль-Травнех Е.В</w:t>
      </w:r>
      <w:r w:rsidRPr="00753592">
        <w:rPr>
          <w:rFonts w:asciiTheme="majorBidi" w:hAnsiTheme="majorBidi" w:cstheme="majorBidi"/>
          <w:b/>
          <w:bCs/>
          <w:sz w:val="28"/>
          <w:szCs w:val="28"/>
          <w:lang w:val="ru-RU"/>
        </w:rPr>
        <w:t>.</w:t>
      </w:r>
    </w:p>
    <w:p w:rsidR="00753592" w:rsidRPr="00753592" w:rsidRDefault="00753592" w:rsidP="00753592">
      <w:pPr>
        <w:jc w:val="right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>аспирант кафедры клинической фармакологии                                        Харьковский национальный медицинский университет, Украина, Харьков</w:t>
      </w:r>
    </w:p>
    <w:p w:rsidR="00753592" w:rsidRPr="00753592" w:rsidRDefault="00753592" w:rsidP="00753592">
      <w:pPr>
        <w:tabs>
          <w:tab w:val="left" w:pos="3225"/>
        </w:tabs>
        <w:ind w:firstLine="720"/>
        <w:jc w:val="right"/>
        <w:rPr>
          <w:rFonts w:asciiTheme="majorBidi" w:hAnsiTheme="majorBidi" w:cstheme="majorBidi"/>
          <w:b/>
          <w:bCs/>
          <w:sz w:val="28"/>
          <w:szCs w:val="28"/>
          <w:lang w:val="ru-RU"/>
        </w:rPr>
      </w:pPr>
    </w:p>
    <w:p w:rsidR="00753592" w:rsidRPr="00753592" w:rsidRDefault="00753592" w:rsidP="00753592">
      <w:pPr>
        <w:ind w:firstLine="720"/>
        <w:jc w:val="both"/>
        <w:rPr>
          <w:rFonts w:asciiTheme="majorBidi" w:hAnsiTheme="majorBidi" w:cstheme="majorBidi"/>
          <w:iCs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В статье рассмотрено перекисное окисление белка, как маркер прогрессирования углеводных нарушений и сосудистого ремоделирования у пациентов с артериальной гипертензией и сахарным диабетом 2 типа. </w:t>
      </w:r>
    </w:p>
    <w:p w:rsidR="00753592" w:rsidRPr="00753592" w:rsidRDefault="00753592" w:rsidP="00753592">
      <w:pPr>
        <w:ind w:firstLine="709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i/>
          <w:iCs/>
          <w:sz w:val="28"/>
          <w:szCs w:val="28"/>
          <w:lang w:val="ru-RU"/>
        </w:rPr>
        <w:t>Ключевые слова:</w:t>
      </w:r>
      <w:r w:rsidRPr="00753592">
        <w:rPr>
          <w:rFonts w:asciiTheme="majorBidi" w:hAnsiTheme="majorBidi" w:cstheme="majorBidi"/>
          <w:iCs/>
          <w:sz w:val="28"/>
          <w:szCs w:val="28"/>
          <w:lang w:val="ru-RU"/>
        </w:rPr>
        <w:t xml:space="preserve"> артериальная гипертензия, сахарный диабет 2 типа, углеводный обмен, сосудистое ремоделирование, перекисное окисление белков.</w:t>
      </w:r>
    </w:p>
    <w:p w:rsidR="00753592" w:rsidRPr="00753592" w:rsidRDefault="00753592" w:rsidP="00753592">
      <w:pPr>
        <w:tabs>
          <w:tab w:val="left" w:pos="3225"/>
          <w:tab w:val="left" w:pos="6510"/>
        </w:tabs>
        <w:ind w:firstLine="720"/>
        <w:rPr>
          <w:rFonts w:asciiTheme="majorBidi" w:hAnsiTheme="majorBidi" w:cstheme="majorBidi"/>
          <w:b/>
          <w:bCs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b/>
          <w:bCs/>
          <w:sz w:val="28"/>
          <w:szCs w:val="28"/>
          <w:lang w:val="ru-RU"/>
        </w:rPr>
        <w:tab/>
      </w:r>
      <w:r w:rsidRPr="00753592">
        <w:rPr>
          <w:rFonts w:asciiTheme="majorBidi" w:hAnsiTheme="majorBidi" w:cstheme="majorBidi"/>
          <w:b/>
          <w:bCs/>
          <w:sz w:val="28"/>
          <w:szCs w:val="28"/>
          <w:lang w:val="ru-RU"/>
        </w:rPr>
        <w:tab/>
      </w:r>
    </w:p>
    <w:p w:rsidR="00753592" w:rsidRPr="00753592" w:rsidRDefault="00753592" w:rsidP="00753592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 xml:space="preserve">Артериальная гипертензия (АГ) и сахарный диабет (СД) 2 типа являются компонентами метаболического синдрома и как любой другой адаптивный или патологический процесс сопровождаются образованием активных форм кислорода и активацией свободно-радикального окисления 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lastRenderedPageBreak/>
        <w:t>[2,9]. В ответ на это происходит активация антиоксидантной системы (АОС) организма, представителями которой являются антиперекисные ферменты: супероксиддисмутаза, глутатионпериоксидаза, глутатионредуктаза, каталаза и пр. [3]. Известны многочисленные данные, касающиеся изучения механизмов перекисного окисления липидов и его роли в нормальном и патологическом функционировании клеток, однако, кроме главного субстрата, переокисления — молекул биомембран, вызывают и перекисное окисление белков (ПОБ) [1,6]. Установлено, что в состоянии окислительного стресса атаке активных форм кислорода подвергаются не липиды, а, в первую очередь, белки плазматических мембран [5,8]. В единичных исследованиях установлено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, что изменения показателей ПОБ в сыворотке крови могут быть обусловлены воздействием гиперинсулинемии, которая приводит к уменьшению скорости гликолитических процессов в организме, ослаблению биосинтеза АТФ с последующей активацией окислительных реакций [4,7]. Поэтому актуальным является изучение влияния ПОБ на течение коморбидных АГ и СД 2 типа.</w:t>
      </w:r>
    </w:p>
    <w:p w:rsidR="00753592" w:rsidRPr="00753592" w:rsidRDefault="00753592" w:rsidP="00753592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b/>
          <w:sz w:val="28"/>
          <w:szCs w:val="28"/>
          <w:lang w:val="ru-RU"/>
        </w:rPr>
        <w:t>Цель.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Изучить взаимосвязь  между ПОБ и ремоделированием сосудистой стенки у пациентов с АГ и СД  типа.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color w:val="000000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  <w:lang w:val="uk-UA" w:eastAsia="uk-UA"/>
        </w:rPr>
        <w:t>Обследовано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 w:eastAsia="uk-UA"/>
        </w:rPr>
        <w:t xml:space="preserve"> 84 пациента с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АГ 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II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 xml:space="preserve"> стадии и 2-й степени. Средний возраст пациентов составил 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uk-UA"/>
        </w:rPr>
        <w:t>54,7±5,4 года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. Пациенты разделены на группы: 1-я группа (</w:t>
      </w:r>
      <w:proofErr w:type="gramStart"/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п</w:t>
      </w:r>
      <w:proofErr w:type="gramEnd"/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=41) с сочетанным течением АГ и СД 2 типа; 2-я группа (п=43) пациенты с АГ без СД 2 типа. Контрольная группа (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n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=20) была сопоставима по возрасту и полу.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color w:val="000000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Диагностику АГ проводи</w:t>
      </w:r>
      <w:bookmarkStart w:id="0" w:name="_GoBack"/>
      <w:bookmarkEnd w:id="0"/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ли согласно рекомендациям Европейского общества по АГ и Европейского общества кардиологов (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ESH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/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ESC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 xml:space="preserve">,2013), а также Украинской ассоциации кардиологов по профилактике и лечению АГ 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lastRenderedPageBreak/>
        <w:t xml:space="preserve">(2013). Диагноз СД 2 типа устанавливали </w:t>
      </w:r>
      <w:proofErr w:type="gramStart"/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согласно</w:t>
      </w:r>
      <w:proofErr w:type="gramEnd"/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 xml:space="preserve"> общих рекомендаций Европейской Ассоциации по изучению СД (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EASD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 xml:space="preserve">, 2013). 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И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uk-UA"/>
        </w:rPr>
        <w:t>сследовали у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ровень гликозилированого гемоглоб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uk-UA"/>
        </w:rPr>
        <w:t>и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на (</w:t>
      </w:r>
      <w:r w:rsidRPr="00753592">
        <w:rPr>
          <w:rFonts w:asciiTheme="majorBidi" w:hAnsiTheme="majorBidi" w:cstheme="majorBidi"/>
          <w:sz w:val="28"/>
          <w:szCs w:val="28"/>
        </w:rPr>
        <w:t>HbA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1</w:t>
      </w:r>
      <w:r w:rsidRPr="00753592">
        <w:rPr>
          <w:rFonts w:asciiTheme="majorBidi" w:hAnsiTheme="majorBidi" w:cstheme="majorBidi"/>
          <w:sz w:val="28"/>
          <w:szCs w:val="28"/>
        </w:rPr>
        <w:t>c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)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>, концентрацию глюко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зы крови натощак (ГКН) и инсулина в сыворотке крови, определяли и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ндекс инсулинорезистентности (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HOMA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-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IR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ru-RU"/>
        </w:rPr>
        <w:t>) рассчитывали по формуле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: </w:t>
      </w:r>
      <w:proofErr w:type="gramStart"/>
      <w:r w:rsidRPr="00753592">
        <w:rPr>
          <w:rFonts w:asciiTheme="majorBidi" w:hAnsiTheme="majorBidi" w:cstheme="majorBidi"/>
          <w:sz w:val="28"/>
          <w:szCs w:val="28"/>
          <w:lang w:val="ru-RU"/>
        </w:rPr>
        <w:t>НОМА-</w:t>
      </w:r>
      <w:r w:rsidRPr="00753592">
        <w:rPr>
          <w:rFonts w:asciiTheme="majorBidi" w:hAnsiTheme="majorBidi" w:cstheme="majorBidi"/>
          <w:sz w:val="28"/>
          <w:szCs w:val="28"/>
        </w:rPr>
        <w:t>IR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= инсулин, (инсулин натощак (мкЕД / мл) х глюкоза натощак (ммоль/л)/22,5.</w:t>
      </w:r>
      <w:proofErr w:type="gramEnd"/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Для определения толерантности к глюкозе проводили пероральный глюкозотолерантный тест. 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Определяли уровнь карбонильных белков (КБ), активность супероксиддисмутазы (СОД) и глутатионпероксидазы (ГПО). 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>Проводили ультразвуковое исследование общих сонных артерий с измерением толщины комплекса интима-медиа общих сонных артерий (ТИМ ОСА).</w:t>
      </w:r>
      <w:r w:rsidRPr="00753592">
        <w:rPr>
          <w:rFonts w:asciiTheme="majorBidi" w:hAnsiTheme="majorBidi" w:cstheme="majorBidi"/>
          <w:color w:val="000000"/>
          <w:sz w:val="28"/>
          <w:szCs w:val="28"/>
          <w:lang w:val="uk-UA" w:eastAsia="uk-UA"/>
        </w:rPr>
        <w:t xml:space="preserve"> Статистическую обработку полученных результатов проведено с использованием пакета програм Statistica 8,0.</w:t>
      </w:r>
    </w:p>
    <w:p w:rsidR="00753592" w:rsidRPr="00753592" w:rsidRDefault="00753592" w:rsidP="00753592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753592">
        <w:rPr>
          <w:rFonts w:asciiTheme="majorBidi" w:hAnsiTheme="majorBidi" w:cstheme="majorBidi"/>
          <w:b/>
          <w:sz w:val="28"/>
          <w:szCs w:val="28"/>
          <w:lang w:val="ru-RU"/>
        </w:rPr>
        <w:t xml:space="preserve">Результаты. 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Нарушение толерантности к глюкозе у пациентов с АГ наблюдалось в 9,6% случаев (р&lt;0,05), тогда как у пациентов 2-й группы в 96,5% (р&lt;0,05).  Достоверное повышение НbA1c у пациентов 2-й группы в сравнении с контролем (р&lt;0,05), что свидетельствовало о  неудовлетворительной компенсации углеводного обмена. У пациентов 2-й группы в 7,3% наблюдалось достоверное повышение уровня ГКН относительно группы контроля  (р&lt;0,05), максимального значения этот показатель достиг у пациентов с сочетанным течением АГ и СД 2 типа (р&lt;0,05). 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uk-UA"/>
        </w:rPr>
        <w:t>Наиболее высокие значения КБ были у пациентов с сочетанным течением АГ и СД 2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>типа (1.65±0.12 ед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/м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>л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;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53592">
        <w:rPr>
          <w:rFonts w:asciiTheme="majorBidi" w:hAnsiTheme="majorBidi" w:cstheme="majorBidi"/>
          <w:sz w:val="28"/>
          <w:szCs w:val="28"/>
        </w:rPr>
        <w:t>p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&lt;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>0.05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)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, что сопровождалось 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lastRenderedPageBreak/>
        <w:t xml:space="preserve">достоверной активацией системы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ГПО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(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14.52±0.33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мкмоль/мл/мин;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контроль - 10.38±0.22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мкмоль/мл/мин; </w:t>
      </w:r>
      <w:r w:rsidRPr="00753592">
        <w:rPr>
          <w:rFonts w:asciiTheme="majorBidi" w:hAnsiTheme="majorBidi" w:cstheme="majorBidi"/>
          <w:sz w:val="28"/>
          <w:szCs w:val="28"/>
        </w:rPr>
        <w:t>p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&lt;0.05)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и умеренным снижением активности СОД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(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>1.23±0.02 ед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/мин·мл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>, контроль - 1.64±0.02 ед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/мин·мл; р&lt;0.05).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>Необходимо отметить, что у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 32% пациентов с АГ и у 15% пациентов с АГ и СД 2 типа,  имеющими повышенные уровни КБ, показатели СОД и ГПО сыворотки крови были в пределах нормальных значений. Только у 19% больных с АГ и 5% с коморбидным течением АГ и СД 2 типа происходило повышение активности СОД и ГПО, что расценено как адекватная реакция системы антиоксидантной защиты на активацию ПОБ. Установлена положительная корреляционная связь между показателем КБ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753592">
        <w:rPr>
          <w:rFonts w:asciiTheme="majorBidi" w:hAnsiTheme="majorBidi" w:cstheme="majorBidi"/>
          <w:sz w:val="28"/>
          <w:szCs w:val="28"/>
          <w:lang w:val="uk-UA"/>
        </w:rPr>
        <w:t xml:space="preserve">и 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>НОМА-</w:t>
      </w:r>
      <w:r w:rsidRPr="00753592">
        <w:rPr>
          <w:rFonts w:asciiTheme="majorBidi" w:hAnsiTheme="majorBidi" w:cstheme="majorBidi"/>
          <w:sz w:val="28"/>
          <w:szCs w:val="28"/>
        </w:rPr>
        <w:t>IR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(г = 0,42; р&lt;0,05), уровнем инсулина (г = 0,46; р&lt;0,01), ГКН (г = 0,48; р&lt;0,05).  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b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>У обследуемых с АГ и СД 2 типа показатели ТИМ ОСА, были достоверно выше  у пациентов с более высоким уровнем КБ в сыворотке крови (</w:t>
      </w:r>
      <w:proofErr w:type="gramStart"/>
      <w:r w:rsidRPr="00753592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gramEnd"/>
      <w:r w:rsidRPr="00753592">
        <w:rPr>
          <w:rFonts w:asciiTheme="majorBidi" w:hAnsiTheme="majorBidi" w:cstheme="majorBidi"/>
          <w:sz w:val="28"/>
          <w:szCs w:val="28"/>
          <w:lang w:val="ru-RU"/>
        </w:rPr>
        <w:t>&lt;0,05). Показатели ТИМ ОСА у пациентов 1-й группы были  достоверно выше, чем в группе сравнения (</w:t>
      </w:r>
      <w:proofErr w:type="gramStart"/>
      <w:r w:rsidRPr="00753592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gramEnd"/>
      <w:r w:rsidRPr="00753592">
        <w:rPr>
          <w:rFonts w:asciiTheme="majorBidi" w:hAnsiTheme="majorBidi" w:cstheme="majorBidi"/>
          <w:sz w:val="28"/>
          <w:szCs w:val="28"/>
          <w:lang w:val="ru-RU"/>
        </w:rPr>
        <w:t>&lt;0,001) и положительно коррелировали с НОМА-</w:t>
      </w:r>
      <w:r w:rsidRPr="00753592">
        <w:rPr>
          <w:rFonts w:asciiTheme="majorBidi" w:hAnsiTheme="majorBidi" w:cstheme="majorBidi"/>
          <w:sz w:val="28"/>
          <w:szCs w:val="28"/>
        </w:rPr>
        <w:t>IR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(г = 0,44; р&lt;0,01) и уровнем КБ (г = 0,46; р&lt;0,05), а отрицательно с показателем СОД (г = -0,52; р&lt;0,05) и ГПО (г = -0,42; р&lt;0,01), что говорит о влиянии процессов ПОБ на прогрессирование ремоделирования сосудистой стенки.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ab/>
      </w:r>
      <w:r w:rsidRPr="00753592">
        <w:rPr>
          <w:rFonts w:asciiTheme="majorBidi" w:hAnsiTheme="majorBidi" w:cstheme="majorBidi"/>
          <w:b/>
          <w:sz w:val="28"/>
          <w:szCs w:val="28"/>
          <w:lang w:val="ru-RU"/>
        </w:rPr>
        <w:t>Выводы</w:t>
      </w: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. Сочетание АГ и СД 2 типа сопровождается прогрессированием нарушений углеводного обмена.  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t xml:space="preserve">          Доказано, что у пациентов с АГ и СД 2 типа происходит активация ПОБ и АОЗ, характер и степень которых зависят от выраженности инсулинорезистентности и углеводного дисбаланса. 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</w:rPr>
      </w:pPr>
      <w:r w:rsidRPr="00753592">
        <w:rPr>
          <w:rFonts w:asciiTheme="majorBidi" w:hAnsiTheme="majorBidi" w:cstheme="majorBidi"/>
          <w:sz w:val="28"/>
          <w:szCs w:val="28"/>
          <w:lang w:val="ru-RU"/>
        </w:rPr>
        <w:lastRenderedPageBreak/>
        <w:t xml:space="preserve">         Установлена взаимосвязь ТИМ ОСА и показателей КБ, что можно рассматривать как маркер сосудистого ремоделирования у пациентов с коморбидностью </w:t>
      </w:r>
      <w:r w:rsidRPr="00753592">
        <w:rPr>
          <w:rFonts w:asciiTheme="majorBidi" w:hAnsiTheme="majorBidi" w:cstheme="majorBidi"/>
          <w:sz w:val="28"/>
          <w:szCs w:val="28"/>
        </w:rPr>
        <w:t>АГ и СД 2 типа.</w:t>
      </w:r>
    </w:p>
    <w:p w:rsidR="00753592" w:rsidRPr="00753592" w:rsidRDefault="00753592" w:rsidP="00753592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</w:rPr>
      </w:pPr>
      <w:r w:rsidRPr="00753592">
        <w:rPr>
          <w:rFonts w:asciiTheme="majorBidi" w:hAnsiTheme="majorBidi" w:cstheme="majorBidi"/>
          <w:sz w:val="28"/>
          <w:szCs w:val="28"/>
        </w:rPr>
        <w:t>Список литературы:</w:t>
      </w:r>
    </w:p>
    <w:p w:rsidR="00753592" w:rsidRPr="00753592" w:rsidRDefault="00753592" w:rsidP="00753592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Theme="majorBidi" w:hAnsiTheme="majorBidi" w:cstheme="majorBidi"/>
          <w:color w:val="000000"/>
          <w:sz w:val="28"/>
          <w:szCs w:val="28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</w:rPr>
        <w:t>Chen H., Yu M., Li M., Zhao R., Zhu Q., Zhou W., Lu M., Lu Y., Zheng T., Jiang J.,</w:t>
      </w:r>
      <w:r w:rsidRPr="00753592">
        <w:rPr>
          <w:rStyle w:val="apple-converted-space"/>
          <w:rFonts w:asciiTheme="majorBidi" w:hAnsiTheme="majorBidi" w:cstheme="majorBidi"/>
          <w:color w:val="000000"/>
          <w:sz w:val="28"/>
          <w:szCs w:val="28"/>
        </w:rPr>
        <w:t> </w:t>
      </w:r>
      <w:r w:rsidRPr="00753592">
        <w:rPr>
          <w:rStyle w:val="a4"/>
          <w:rFonts w:asciiTheme="majorBidi" w:hAnsiTheme="majorBidi" w:cstheme="majorBidi"/>
          <w:i w:val="0"/>
          <w:iCs w:val="0"/>
          <w:color w:val="000000"/>
          <w:sz w:val="28"/>
          <w:szCs w:val="28"/>
          <w:bdr w:val="none" w:sz="0" w:space="0" w:color="auto" w:frame="1"/>
        </w:rPr>
        <w:t>et  al</w:t>
      </w:r>
      <w:r w:rsidRPr="00753592">
        <w:rPr>
          <w:rStyle w:val="a4"/>
          <w:rFonts w:asciiTheme="majorBidi" w:hAnsiTheme="majorBidi" w:cstheme="majorBidi"/>
          <w:color w:val="000000"/>
          <w:sz w:val="28"/>
          <w:szCs w:val="28"/>
          <w:bdr w:val="none" w:sz="0" w:space="0" w:color="auto" w:frame="1"/>
        </w:rPr>
        <w:t xml:space="preserve">. 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>Polymorphic variations in manganese superoxide dismutase (MnSOD), glutathione peroxidase-1 (GPX1), and catalase (CAT) contribute to elevated plasma triglyceride levels in Chinese patients with type 2 diabetes or diabetic cardiovascular disease/ H. Chen, M. Yu, M. Li Mol// Cell. Biochem.-2012.-</w:t>
      </w:r>
      <w:r w:rsidRPr="00753592">
        <w:rPr>
          <w:rFonts w:asciiTheme="majorBidi" w:hAnsiTheme="majorBidi" w:cstheme="majorBidi"/>
          <w:color w:val="000000"/>
          <w:sz w:val="28"/>
          <w:szCs w:val="28"/>
          <w:lang w:bidi="ar-LB"/>
        </w:rPr>
        <w:t>Vol.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t xml:space="preserve"> 363.-P. 85–91</w:t>
      </w:r>
      <w:r w:rsidRPr="00753592">
        <w:rPr>
          <w:rFonts w:asciiTheme="majorBidi" w:hAnsiTheme="majorBidi" w:cstheme="majorBidi"/>
          <w:color w:val="5C5C5C"/>
          <w:sz w:val="28"/>
          <w:szCs w:val="28"/>
        </w:rPr>
        <w:t>.</w:t>
      </w:r>
    </w:p>
    <w:p w:rsidR="00753592" w:rsidRPr="00753592" w:rsidRDefault="00753592" w:rsidP="00753592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Theme="majorBidi" w:hAnsiTheme="majorBidi" w:cstheme="majorBidi"/>
          <w:color w:val="000000"/>
          <w:sz w:val="28"/>
          <w:szCs w:val="28"/>
        </w:rPr>
      </w:pPr>
      <w:r w:rsidRPr="00753592">
        <w:rPr>
          <w:rFonts w:asciiTheme="majorBidi" w:eastAsia="Arial Unicode MS" w:hAnsiTheme="majorBidi" w:cstheme="majorBidi"/>
          <w:color w:val="000000"/>
          <w:sz w:val="28"/>
          <w:szCs w:val="28"/>
        </w:rPr>
        <w:t xml:space="preserve"> Kassab S., Piwowar A.  Cell oxidant stress delivery and cell dysfunction onset in type 2 diabetes/ Kassab, A. Piwowar// Biochimie.-2012.-Vol. 94.-P. 1837–1848. </w:t>
      </w:r>
    </w:p>
    <w:p w:rsidR="00753592" w:rsidRPr="00753592" w:rsidRDefault="00753592" w:rsidP="00753592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Theme="majorBidi" w:hAnsiTheme="majorBidi" w:cstheme="majorBidi"/>
          <w:color w:val="000000"/>
          <w:sz w:val="28"/>
          <w:szCs w:val="28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</w:rPr>
        <w:t>Leopold J.A., Loscalzo J.  Oxidative risk for atherothrombotic cardiovascular disease/ J.A. Leopold, J. Loscalzo// Free Radic. Biol. Med.-2009.-Vol. 47.-P. 1673–1706.</w:t>
      </w:r>
    </w:p>
    <w:p w:rsidR="00753592" w:rsidRPr="00753592" w:rsidRDefault="00753592" w:rsidP="00753592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Theme="majorBidi" w:hAnsiTheme="majorBidi" w:cstheme="majorBidi"/>
          <w:color w:val="000000"/>
          <w:sz w:val="28"/>
          <w:szCs w:val="28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</w:rPr>
        <w:t>Makuc J., Petrovic D. No association between NOS2 and NOS3 polymorphisms and diabetic nephropathy in type 2 diabetics/ J. Makuc, D. Petrovic// Cent. Eur. J. Biol.-2012.-Vol. 7.-P. 404-410.</w:t>
      </w:r>
    </w:p>
    <w:p w:rsidR="00753592" w:rsidRPr="00753592" w:rsidRDefault="00753592" w:rsidP="00753592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Theme="majorBidi" w:hAnsiTheme="majorBidi" w:cstheme="majorBidi"/>
          <w:color w:val="5C5C5C"/>
          <w:sz w:val="28"/>
          <w:szCs w:val="28"/>
        </w:rPr>
      </w:pPr>
      <w:r w:rsidRPr="00753592">
        <w:rPr>
          <w:rFonts w:asciiTheme="majorBidi" w:eastAsia="Arial Unicode MS" w:hAnsiTheme="majorBidi" w:cstheme="majorBidi"/>
          <w:color w:val="000000"/>
          <w:sz w:val="28"/>
          <w:szCs w:val="28"/>
        </w:rPr>
        <w:t>Moore D.J., Gregory J.M., Kumah-crystal Y.A., Simmons J.H.  Mitigating micro- and macro- vascular complications of diabetes bigining in adolescence/D.J. Moore, J.M. Gregory, Y.A. Kumah-crystal// Vasc. Health Risk Manag.-2009.-</w:t>
      </w:r>
      <w:r w:rsidRPr="00753592">
        <w:rPr>
          <w:rFonts w:asciiTheme="majorBidi" w:eastAsia="Arial Unicode MS" w:hAnsiTheme="majorBidi" w:cstheme="majorBidi"/>
          <w:color w:val="000000"/>
          <w:sz w:val="28"/>
          <w:szCs w:val="28"/>
          <w:lang w:bidi="ar-LB"/>
        </w:rPr>
        <w:t>Vol.5.-P</w:t>
      </w:r>
      <w:r w:rsidRPr="00753592">
        <w:rPr>
          <w:rFonts w:asciiTheme="majorBidi" w:eastAsia="Arial Unicode MS" w:hAnsiTheme="majorBidi" w:cstheme="majorBidi"/>
          <w:color w:val="000000"/>
          <w:sz w:val="28"/>
          <w:szCs w:val="28"/>
        </w:rPr>
        <w:t>. 1015–1031.</w:t>
      </w:r>
    </w:p>
    <w:p w:rsidR="00753592" w:rsidRPr="00753592" w:rsidRDefault="00753592" w:rsidP="00753592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Theme="majorBidi" w:hAnsiTheme="majorBidi" w:cstheme="majorBidi"/>
          <w:color w:val="000000"/>
          <w:sz w:val="28"/>
          <w:szCs w:val="28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</w:rPr>
        <w:t xml:space="preserve">Pacal L., Varvarovska J., Rusavy Z., Lacigova S., Stetina R., Racek J., Pomahacova R., Tanhauserova V., Kankova K.   Parameters of oxidative stress, </w:t>
      </w:r>
      <w:r w:rsidRPr="00753592">
        <w:rPr>
          <w:rFonts w:asciiTheme="majorBidi" w:hAnsiTheme="majorBidi" w:cstheme="majorBidi"/>
          <w:color w:val="000000"/>
          <w:sz w:val="28"/>
          <w:szCs w:val="28"/>
        </w:rPr>
        <w:lastRenderedPageBreak/>
        <w:t xml:space="preserve">DNA damage and DNA repair in type 1 and type 2 diabetes mellitus L. Pacal, J. Varvarovska, </w:t>
      </w:r>
      <w:proofErr w:type="gramStart"/>
      <w:r w:rsidRPr="00753592">
        <w:rPr>
          <w:rFonts w:asciiTheme="majorBidi" w:hAnsiTheme="majorBidi" w:cstheme="majorBidi"/>
          <w:color w:val="000000"/>
          <w:sz w:val="28"/>
          <w:szCs w:val="28"/>
        </w:rPr>
        <w:t>Z</w:t>
      </w:r>
      <w:proofErr w:type="gramEnd"/>
      <w:r w:rsidRPr="00753592">
        <w:rPr>
          <w:rFonts w:asciiTheme="majorBidi" w:hAnsiTheme="majorBidi" w:cstheme="majorBidi"/>
          <w:color w:val="000000"/>
          <w:sz w:val="28"/>
          <w:szCs w:val="28"/>
        </w:rPr>
        <w:t>. Rusavy Arch. Physiol. Biochem.-2011.-Vol. 117.-P. 222–230.</w:t>
      </w:r>
    </w:p>
    <w:p w:rsidR="00753592" w:rsidRPr="00753592" w:rsidRDefault="00753592" w:rsidP="00753592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Theme="majorBidi" w:eastAsia="Arial Unicode MS" w:hAnsiTheme="majorBidi" w:cstheme="majorBidi"/>
          <w:color w:val="000000"/>
          <w:sz w:val="28"/>
          <w:szCs w:val="28"/>
        </w:rPr>
      </w:pPr>
      <w:r w:rsidRPr="00753592">
        <w:rPr>
          <w:rFonts w:asciiTheme="majorBidi" w:eastAsia="Arial Unicode MS" w:hAnsiTheme="majorBidi" w:cstheme="majorBidi"/>
          <w:color w:val="000000"/>
          <w:sz w:val="28"/>
          <w:szCs w:val="28"/>
        </w:rPr>
        <w:t>Sanchez-Gomez F.J., Espinosa-Diez C.E., Dubey M., Dikshit M., Lamas S.  S-glutathionylation: relevance in diabetes and potential role as a biomarker/ F.J. Sanchez-Gomez, C.E. Espinosa-Diez, M. Dubey //Biol. Chem.-2013.-Vol. 394.-P. 1263–1280.</w:t>
      </w:r>
    </w:p>
    <w:p w:rsidR="00753592" w:rsidRPr="00753592" w:rsidRDefault="00753592" w:rsidP="00753592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Theme="majorBidi" w:hAnsiTheme="majorBidi" w:cstheme="majorBidi"/>
          <w:color w:val="000000"/>
          <w:sz w:val="28"/>
          <w:szCs w:val="28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</w:rPr>
        <w:t>Verma S., Sagar N., Vats P., Shukla K.N., Abbas M., Banerjee M. Antioxidant enzyme levels as markers for type 2 diabetes mellitus S. Verma, N. Sagar, P. Vats Int. J. Bioassays.-2013.-Vol. 2.-P. 685–690.</w:t>
      </w:r>
    </w:p>
    <w:p w:rsidR="00753592" w:rsidRPr="00753592" w:rsidRDefault="00753592" w:rsidP="00753592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Theme="majorBidi" w:hAnsiTheme="majorBidi" w:cstheme="majorBidi"/>
          <w:color w:val="000000"/>
          <w:sz w:val="28"/>
          <w:szCs w:val="28"/>
        </w:rPr>
      </w:pPr>
      <w:r w:rsidRPr="00753592">
        <w:rPr>
          <w:rFonts w:asciiTheme="majorBidi" w:hAnsiTheme="majorBidi" w:cstheme="majorBidi"/>
          <w:color w:val="000000"/>
          <w:sz w:val="28"/>
          <w:szCs w:val="28"/>
        </w:rPr>
        <w:t xml:space="preserve">Yamakura F., Kawasaki H. Post-translational modifications of superoxide dismutase F. Yamakura, H. </w:t>
      </w:r>
      <w:proofErr w:type="gramStart"/>
      <w:r w:rsidRPr="00753592">
        <w:rPr>
          <w:rFonts w:asciiTheme="majorBidi" w:hAnsiTheme="majorBidi" w:cstheme="majorBidi"/>
          <w:color w:val="000000"/>
          <w:sz w:val="28"/>
          <w:szCs w:val="28"/>
        </w:rPr>
        <w:t>Kawasaki  Biochim</w:t>
      </w:r>
      <w:proofErr w:type="gramEnd"/>
      <w:r w:rsidRPr="00753592">
        <w:rPr>
          <w:rFonts w:asciiTheme="majorBidi" w:hAnsiTheme="majorBidi" w:cstheme="majorBidi"/>
          <w:color w:val="000000"/>
          <w:sz w:val="28"/>
          <w:szCs w:val="28"/>
        </w:rPr>
        <w:t>. Biophys. Acta (BBA) – Proteins Proteomics.-2010.-Vol. 1804.-P. 318–325.</w:t>
      </w: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3592" w:rsidRPr="00753592" w:rsidRDefault="00753592" w:rsidP="007535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753592" w:rsidRPr="00753592" w:rsidSect="00302A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,Bold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,Italic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,Bold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,BoldItalic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284490"/>
    <w:multiLevelType w:val="hybridMultilevel"/>
    <w:tmpl w:val="E87C8A58"/>
    <w:lvl w:ilvl="0" w:tplc="E08023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753592"/>
    <w:rsid w:val="00302A5F"/>
    <w:rsid w:val="007535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A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535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753592"/>
  </w:style>
  <w:style w:type="character" w:styleId="a4">
    <w:name w:val="Emphasis"/>
    <w:basedOn w:val="a0"/>
    <w:uiPriority w:val="20"/>
    <w:qFormat/>
    <w:rsid w:val="0075359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1651</Words>
  <Characters>9412</Characters>
  <Application>Microsoft Office Word</Application>
  <DocSecurity>0</DocSecurity>
  <Lines>78</Lines>
  <Paragraphs>22</Paragraphs>
  <ScaleCrop>false</ScaleCrop>
  <Company>MultiDVD Team</Company>
  <LinksUpToDate>false</LinksUpToDate>
  <CharactersWithSpaces>11041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2</cp:revision>
  <dcterms:created xsi:type="dcterms:W3CDTF">2016-12-12T13:39:00Z</dcterms:created>
  <dcterms:modified xsi:type="dcterms:W3CDTF">2016-12-12T13:51:00Z</dcterms:modified>
</cp:coreProperties>
</file>