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242D" w:rsidRPr="0006242D" w:rsidRDefault="0006242D" w:rsidP="0006242D">
      <w:pPr>
        <w:pStyle w:val="Pa11"/>
        <w:spacing w:after="100"/>
        <w:jc w:val="center"/>
        <w:rPr>
          <w:rFonts w:ascii="Times New Roman" w:hAnsi="Times New Roman" w:cs="Times New Roman"/>
          <w:color w:val="221E1F"/>
          <w:sz w:val="28"/>
          <w:szCs w:val="28"/>
        </w:rPr>
      </w:pPr>
      <w:r w:rsidRPr="0006242D">
        <w:rPr>
          <w:rFonts w:ascii="Times New Roman" w:hAnsi="Times New Roman" w:cs="Times New Roman"/>
          <w:b/>
          <w:bCs/>
          <w:color w:val="221E1F"/>
          <w:sz w:val="28"/>
          <w:szCs w:val="28"/>
        </w:rPr>
        <w:t>АНАЛІЗ ТА ДІАГНОСТИКА СТАНУ НАВЧАЛЬНОГО ПРОЦЕСУ НА ПРИКЛАДІ ВИКЛАДАННЯ ДИСЦИПЛІНИ «ФІЗИЧНА РЕАБІЛІТАЦІЯ ТА СПОРТИВНА МЕДИЦИНА» СТУДЕНТАМ ХАРКІВСЬКОГО НАЦІОНАЛЬНОГО МЕДИЧНОГО УНІВЕРСИТЕТУ</w:t>
      </w:r>
    </w:p>
    <w:p w:rsidR="0006242D" w:rsidRPr="0006242D" w:rsidRDefault="0006242D" w:rsidP="0006242D">
      <w:pPr>
        <w:pStyle w:val="Pa12"/>
        <w:spacing w:after="40"/>
        <w:jc w:val="center"/>
        <w:rPr>
          <w:rFonts w:ascii="Times New Roman" w:hAnsi="Times New Roman" w:cs="Times New Roman"/>
          <w:color w:val="221E1F"/>
          <w:sz w:val="28"/>
          <w:szCs w:val="28"/>
        </w:rPr>
      </w:pPr>
      <w:proofErr w:type="spellStart"/>
      <w:r w:rsidRPr="0006242D">
        <w:rPr>
          <w:rFonts w:ascii="Times New Roman" w:hAnsi="Times New Roman" w:cs="Times New Roman"/>
          <w:b/>
          <w:bCs/>
          <w:i/>
          <w:iCs/>
          <w:color w:val="221E1F"/>
          <w:sz w:val="28"/>
          <w:szCs w:val="28"/>
        </w:rPr>
        <w:t>Латогуз</w:t>
      </w:r>
      <w:proofErr w:type="spellEnd"/>
      <w:r w:rsidRPr="0006242D">
        <w:rPr>
          <w:rFonts w:ascii="Times New Roman" w:hAnsi="Times New Roman" w:cs="Times New Roman"/>
          <w:b/>
          <w:bCs/>
          <w:i/>
          <w:iCs/>
          <w:color w:val="221E1F"/>
          <w:sz w:val="28"/>
          <w:szCs w:val="28"/>
        </w:rPr>
        <w:t xml:space="preserve"> С.І., </w:t>
      </w:r>
      <w:proofErr w:type="spellStart"/>
      <w:r w:rsidRPr="0006242D">
        <w:rPr>
          <w:rFonts w:ascii="Times New Roman" w:hAnsi="Times New Roman" w:cs="Times New Roman"/>
          <w:b/>
          <w:bCs/>
          <w:i/>
          <w:iCs/>
          <w:color w:val="221E1F"/>
          <w:sz w:val="28"/>
          <w:szCs w:val="28"/>
        </w:rPr>
        <w:t>Істомін</w:t>
      </w:r>
      <w:proofErr w:type="spellEnd"/>
      <w:r w:rsidRPr="0006242D">
        <w:rPr>
          <w:rFonts w:ascii="Times New Roman" w:hAnsi="Times New Roman" w:cs="Times New Roman"/>
          <w:b/>
          <w:bCs/>
          <w:i/>
          <w:iCs/>
          <w:color w:val="221E1F"/>
          <w:sz w:val="28"/>
          <w:szCs w:val="28"/>
        </w:rPr>
        <w:t xml:space="preserve"> А.Г., </w:t>
      </w:r>
      <w:proofErr w:type="spellStart"/>
      <w:r w:rsidRPr="0006242D">
        <w:rPr>
          <w:rFonts w:ascii="Times New Roman" w:hAnsi="Times New Roman" w:cs="Times New Roman"/>
          <w:b/>
          <w:bCs/>
          <w:i/>
          <w:iCs/>
          <w:color w:val="221E1F"/>
          <w:sz w:val="28"/>
          <w:szCs w:val="28"/>
        </w:rPr>
        <w:t>Куций</w:t>
      </w:r>
      <w:proofErr w:type="spellEnd"/>
      <w:r w:rsidRPr="0006242D">
        <w:rPr>
          <w:rFonts w:ascii="Times New Roman" w:hAnsi="Times New Roman" w:cs="Times New Roman"/>
          <w:b/>
          <w:bCs/>
          <w:i/>
          <w:iCs/>
          <w:color w:val="221E1F"/>
          <w:sz w:val="28"/>
          <w:szCs w:val="28"/>
        </w:rPr>
        <w:t xml:space="preserve"> Д.В.</w:t>
      </w:r>
    </w:p>
    <w:p w:rsidR="00034A42" w:rsidRPr="0006242D" w:rsidRDefault="0006242D" w:rsidP="0006242D">
      <w:pPr>
        <w:jc w:val="center"/>
        <w:rPr>
          <w:rFonts w:ascii="Times New Roman" w:hAnsi="Times New Roman" w:cs="Times New Roman"/>
          <w:i/>
          <w:iCs/>
          <w:color w:val="221E1F"/>
          <w:sz w:val="28"/>
          <w:szCs w:val="28"/>
        </w:rPr>
      </w:pPr>
      <w:proofErr w:type="spellStart"/>
      <w:r w:rsidRPr="0006242D">
        <w:rPr>
          <w:rFonts w:ascii="Times New Roman" w:hAnsi="Times New Roman" w:cs="Times New Roman"/>
          <w:i/>
          <w:iCs/>
          <w:color w:val="221E1F"/>
          <w:sz w:val="28"/>
          <w:szCs w:val="28"/>
        </w:rPr>
        <w:t>Харківський</w:t>
      </w:r>
      <w:proofErr w:type="spellEnd"/>
      <w:r w:rsidRPr="0006242D">
        <w:rPr>
          <w:rFonts w:ascii="Times New Roman" w:hAnsi="Times New Roman" w:cs="Times New Roman"/>
          <w:i/>
          <w:iCs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i/>
          <w:iCs/>
          <w:color w:val="221E1F"/>
          <w:sz w:val="28"/>
          <w:szCs w:val="28"/>
        </w:rPr>
        <w:t>національний</w:t>
      </w:r>
      <w:proofErr w:type="spellEnd"/>
      <w:r w:rsidRPr="0006242D">
        <w:rPr>
          <w:rFonts w:ascii="Times New Roman" w:hAnsi="Times New Roman" w:cs="Times New Roman"/>
          <w:i/>
          <w:iCs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i/>
          <w:iCs/>
          <w:color w:val="221E1F"/>
          <w:sz w:val="28"/>
          <w:szCs w:val="28"/>
        </w:rPr>
        <w:t>медичний</w:t>
      </w:r>
      <w:proofErr w:type="spellEnd"/>
      <w:r w:rsidRPr="0006242D">
        <w:rPr>
          <w:rFonts w:ascii="Times New Roman" w:hAnsi="Times New Roman" w:cs="Times New Roman"/>
          <w:i/>
          <w:iCs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i/>
          <w:iCs/>
          <w:color w:val="221E1F"/>
          <w:sz w:val="28"/>
          <w:szCs w:val="28"/>
        </w:rPr>
        <w:t>університет</w:t>
      </w:r>
      <w:proofErr w:type="spellEnd"/>
    </w:p>
    <w:p w:rsidR="0006242D" w:rsidRPr="0006242D" w:rsidRDefault="0006242D" w:rsidP="00707B30">
      <w:pPr>
        <w:pStyle w:val="Pa3"/>
        <w:spacing w:line="360" w:lineRule="auto"/>
        <w:ind w:firstLine="340"/>
        <w:jc w:val="both"/>
        <w:rPr>
          <w:rFonts w:ascii="Times New Roman" w:hAnsi="Times New Roman" w:cs="Times New Roman"/>
          <w:color w:val="221E1F"/>
          <w:sz w:val="28"/>
          <w:szCs w:val="28"/>
        </w:rPr>
      </w:pPr>
      <w:r w:rsidRPr="0006242D">
        <w:rPr>
          <w:rFonts w:ascii="Times New Roman" w:hAnsi="Times New Roman" w:cs="Times New Roman"/>
          <w:b/>
          <w:bCs/>
          <w:color w:val="221E1F"/>
          <w:sz w:val="28"/>
          <w:szCs w:val="28"/>
        </w:rPr>
        <w:t>Вступ</w:t>
      </w:r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.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Аналіз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і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діагностика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стану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навчання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є одним з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етапів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проектування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управління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навчальним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процесом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.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Необхідність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його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проведення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пов'язана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з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тим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,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що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управ</w:t>
      </w:r>
      <w:r w:rsidRPr="0006242D">
        <w:rPr>
          <w:rFonts w:ascii="Times New Roman" w:hAnsi="Times New Roman" w:cs="Times New Roman"/>
          <w:color w:val="221E1F"/>
          <w:sz w:val="28"/>
          <w:szCs w:val="28"/>
        </w:rPr>
        <w:softHyphen/>
        <w:t>ління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будь-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якою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системою, у тому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числі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й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педагогічною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,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залежить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від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умов, у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яких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вона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функціонує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.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Технологія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організації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та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здійснення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процесу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навчання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фахівця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в кон</w:t>
      </w:r>
      <w:r w:rsidRPr="0006242D">
        <w:rPr>
          <w:rFonts w:ascii="Times New Roman" w:hAnsi="Times New Roman" w:cs="Times New Roman"/>
          <w:color w:val="221E1F"/>
          <w:sz w:val="28"/>
          <w:szCs w:val="28"/>
        </w:rPr>
        <w:softHyphen/>
        <w:t xml:space="preserve">кретному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навчальному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закладі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багато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в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чому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залежить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від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умов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його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роботи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[1, 2, 3, 4].</w:t>
      </w:r>
    </w:p>
    <w:p w:rsidR="0006242D" w:rsidRDefault="0006242D" w:rsidP="00707B30">
      <w:pPr>
        <w:spacing w:after="0" w:line="360" w:lineRule="auto"/>
        <w:rPr>
          <w:rFonts w:ascii="Times New Roman" w:hAnsi="Times New Roman" w:cs="Times New Roman"/>
          <w:color w:val="221E1F"/>
          <w:sz w:val="28"/>
          <w:szCs w:val="28"/>
          <w:lang w:val="uk-UA"/>
        </w:rPr>
      </w:pP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Крім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того, одним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із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найважливіших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чинників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,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що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ви</w:t>
      </w:r>
      <w:r w:rsidRPr="0006242D">
        <w:rPr>
          <w:rFonts w:ascii="Times New Roman" w:hAnsi="Times New Roman" w:cs="Times New Roman"/>
          <w:color w:val="221E1F"/>
          <w:sz w:val="28"/>
          <w:szCs w:val="28"/>
        </w:rPr>
        <w:softHyphen/>
        <w:t>значає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технологію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навчання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студентів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із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певної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дисциплі</w:t>
      </w:r>
      <w:r w:rsidRPr="0006242D">
        <w:rPr>
          <w:rFonts w:ascii="Times New Roman" w:hAnsi="Times New Roman" w:cs="Times New Roman"/>
          <w:color w:val="221E1F"/>
          <w:sz w:val="28"/>
          <w:szCs w:val="28"/>
        </w:rPr>
        <w:softHyphen/>
        <w:t>ни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, теми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або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розділу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, є характеристика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здібностей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,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рівня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базових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знань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і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вмінь</w:t>
      </w:r>
      <w:proofErr w:type="spellEnd"/>
      <w:r w:rsidRPr="0006242D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color w:val="221E1F"/>
          <w:sz w:val="28"/>
          <w:szCs w:val="28"/>
        </w:rPr>
        <w:t>студентів</w:t>
      </w:r>
      <w:proofErr w:type="spellEnd"/>
      <w:r>
        <w:rPr>
          <w:rFonts w:ascii="Times New Roman" w:hAnsi="Times New Roman" w:cs="Times New Roman"/>
          <w:color w:val="221E1F"/>
          <w:sz w:val="28"/>
          <w:szCs w:val="28"/>
          <w:lang w:val="uk-UA"/>
        </w:rPr>
        <w:t>.</w:t>
      </w:r>
    </w:p>
    <w:p w:rsidR="0006242D" w:rsidRPr="0006242D" w:rsidRDefault="0006242D" w:rsidP="00707B30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06242D">
        <w:rPr>
          <w:rFonts w:ascii="Times New Roman" w:hAnsi="Times New Roman" w:cs="Times New Roman"/>
          <w:b/>
          <w:bCs/>
          <w:sz w:val="28"/>
          <w:szCs w:val="28"/>
          <w:lang w:val="uk-UA"/>
        </w:rPr>
        <w:t>Основна частина</w:t>
      </w:r>
      <w:r w:rsidRPr="0006242D">
        <w:rPr>
          <w:rFonts w:ascii="Times New Roman" w:hAnsi="Times New Roman" w:cs="Times New Roman"/>
          <w:sz w:val="28"/>
          <w:szCs w:val="28"/>
          <w:lang w:val="uk-UA"/>
        </w:rPr>
        <w:t>. Дисципліна «Фізична реабілітація та спортивна медицина» – базова дисципліна у підготовці багатьох фахівців освітньо-кваліфікаційного рівня «Ма</w:t>
      </w:r>
      <w:r w:rsidRPr="0006242D">
        <w:rPr>
          <w:rFonts w:ascii="Times New Roman" w:hAnsi="Times New Roman" w:cs="Times New Roman"/>
          <w:sz w:val="28"/>
          <w:szCs w:val="28"/>
          <w:lang w:val="uk-UA"/>
        </w:rPr>
        <w:softHyphen/>
        <w:t>гістр» кваліфікації «Лікувальна справа», «Педіатрія», «Сто</w:t>
      </w:r>
      <w:r w:rsidRPr="0006242D">
        <w:rPr>
          <w:rFonts w:ascii="Times New Roman" w:hAnsi="Times New Roman" w:cs="Times New Roman"/>
          <w:sz w:val="28"/>
          <w:szCs w:val="28"/>
          <w:lang w:val="uk-UA"/>
        </w:rPr>
        <w:softHyphen/>
        <w:t>матологія» у вищих медичних закладах освіти України ІІІ-</w:t>
      </w:r>
      <w:r w:rsidRPr="0006242D">
        <w:rPr>
          <w:rFonts w:ascii="Times New Roman" w:hAnsi="Times New Roman" w:cs="Times New Roman"/>
          <w:sz w:val="28"/>
          <w:szCs w:val="28"/>
        </w:rPr>
        <w:t>IV</w:t>
      </w:r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 рівнів акредитації, затверджених наказами МОН Украї</w:t>
      </w:r>
      <w:r w:rsidRPr="0006242D">
        <w:rPr>
          <w:rFonts w:ascii="Times New Roman" w:hAnsi="Times New Roman" w:cs="Times New Roman"/>
          <w:sz w:val="28"/>
          <w:szCs w:val="28"/>
          <w:lang w:val="uk-UA"/>
        </w:rPr>
        <w:softHyphen/>
        <w:t>ни. Вона ґрунтується на формуванні у студентів уявлення про можливості збереження і зміцнення здоров’я, підви</w:t>
      </w:r>
      <w:r w:rsidRPr="0006242D">
        <w:rPr>
          <w:rFonts w:ascii="Times New Roman" w:hAnsi="Times New Roman" w:cs="Times New Roman"/>
          <w:sz w:val="28"/>
          <w:szCs w:val="28"/>
          <w:lang w:val="uk-UA"/>
        </w:rPr>
        <w:softHyphen/>
        <w:t>щення рівня функціонального стану, росту спортивних досягнень за допомогою оптимізації фізичної активності та удосконалення медичного забезпечення спортивних чи оздоровчих тренувань, а також набуття студентами знань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242D">
        <w:rPr>
          <w:rFonts w:ascii="Times New Roman" w:hAnsi="Times New Roman" w:cs="Times New Roman"/>
          <w:sz w:val="28"/>
          <w:szCs w:val="28"/>
          <w:lang w:val="uk-UA"/>
        </w:rPr>
        <w:t>про засоби найбільш ефективного і раннього повернення хворих та інвалідів до побутових і трудових процесів, які реалізують професійну спрямованість фахівців конкрет</w:t>
      </w:r>
      <w:r w:rsidRPr="0006242D">
        <w:rPr>
          <w:rFonts w:ascii="Times New Roman" w:hAnsi="Times New Roman" w:cs="Times New Roman"/>
          <w:sz w:val="28"/>
          <w:szCs w:val="28"/>
          <w:lang w:val="uk-UA"/>
        </w:rPr>
        <w:softHyphen/>
        <w:t>ного напряму й спеціальності, утворюючи беззаперечний зв'язок зі спеціальними дисциплінами. Будучи включеною у процес підготовки фахівців, ця навчальна дисципліна від</w:t>
      </w:r>
      <w:r w:rsidRPr="0006242D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різняється множинними системними </w:t>
      </w:r>
      <w:r w:rsidRPr="0006242D">
        <w:rPr>
          <w:rFonts w:ascii="Times New Roman" w:hAnsi="Times New Roman" w:cs="Times New Roman"/>
          <w:sz w:val="28"/>
          <w:szCs w:val="28"/>
          <w:lang w:val="uk-UA"/>
        </w:rPr>
        <w:lastRenderedPageBreak/>
        <w:t>зв’язками, що одно</w:t>
      </w:r>
      <w:r w:rsidRPr="0006242D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часно вимагає урахування наявної бази знань та окреслення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зв’язків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 із перспективною частиною підготовки.</w:t>
      </w:r>
    </w:p>
    <w:p w:rsidR="0006242D" w:rsidRPr="0006242D" w:rsidRDefault="0006242D" w:rsidP="00707B30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06242D">
        <w:rPr>
          <w:rFonts w:ascii="Times New Roman" w:hAnsi="Times New Roman" w:cs="Times New Roman"/>
          <w:sz w:val="28"/>
          <w:szCs w:val="28"/>
        </w:rPr>
        <w:t xml:space="preserve">Нами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удосконалено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дидактичний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інструментарій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урахування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викладанні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дисципліни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Фізична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реабілітація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та спор</w:t>
      </w:r>
      <w:r w:rsidRPr="0006242D">
        <w:rPr>
          <w:rFonts w:ascii="Times New Roman" w:hAnsi="Times New Roman" w:cs="Times New Roman"/>
          <w:sz w:val="28"/>
          <w:szCs w:val="28"/>
        </w:rPr>
        <w:softHyphen/>
        <w:t xml:space="preserve">тивна медицина» студентам ХНМУ.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уточнені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процесуально-методичні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викла</w:t>
      </w:r>
      <w:r w:rsidRPr="0006242D">
        <w:rPr>
          <w:rFonts w:ascii="Times New Roman" w:hAnsi="Times New Roman" w:cs="Times New Roman"/>
          <w:sz w:val="28"/>
          <w:szCs w:val="28"/>
        </w:rPr>
        <w:softHyphen/>
        <w:t>дання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6242D">
        <w:rPr>
          <w:rFonts w:ascii="Times New Roman" w:hAnsi="Times New Roman" w:cs="Times New Roman"/>
          <w:sz w:val="28"/>
          <w:szCs w:val="28"/>
        </w:rPr>
        <w:t>дисципліни.Особливість</w:t>
      </w:r>
      <w:proofErr w:type="spellEnd"/>
      <w:proofErr w:type="gram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розробленої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поля</w:t>
      </w:r>
      <w:r w:rsidRPr="0006242D">
        <w:rPr>
          <w:rFonts w:ascii="Times New Roman" w:hAnsi="Times New Roman" w:cs="Times New Roman"/>
          <w:sz w:val="28"/>
          <w:szCs w:val="28"/>
        </w:rPr>
        <w:softHyphen/>
        <w:t>гає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у тому,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вибір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зміст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нової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теми, а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системного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ряд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виводять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базовий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зміст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. Вони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актуалізувати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базові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компенсувати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прогалини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в них, особливо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стосується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Вкрай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важливимє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зв'язок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цільовими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змістовними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техноло</w:t>
      </w:r>
      <w:r w:rsidRPr="0006242D">
        <w:rPr>
          <w:rFonts w:ascii="Times New Roman" w:hAnsi="Times New Roman" w:cs="Times New Roman"/>
          <w:sz w:val="28"/>
          <w:szCs w:val="28"/>
        </w:rPr>
        <w:softHyphen/>
        <w:t>гічними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компонентами тем. В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ідеалі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зміст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по</w:t>
      </w:r>
      <w:r w:rsidRPr="0006242D">
        <w:rPr>
          <w:rFonts w:ascii="Times New Roman" w:hAnsi="Times New Roman" w:cs="Times New Roman"/>
          <w:sz w:val="28"/>
          <w:szCs w:val="28"/>
        </w:rPr>
        <w:softHyphen/>
        <w:t>передньої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теми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базою для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наступної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теми.</w:t>
      </w:r>
    </w:p>
    <w:p w:rsidR="0006242D" w:rsidRPr="0006242D" w:rsidRDefault="0006242D" w:rsidP="00707B30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06242D">
        <w:rPr>
          <w:rFonts w:ascii="Times New Roman" w:hAnsi="Times New Roman" w:cs="Times New Roman"/>
          <w:sz w:val="28"/>
          <w:szCs w:val="28"/>
        </w:rPr>
        <w:t xml:space="preserve">Модель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дисципліни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Фізична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реабіліта</w:t>
      </w:r>
      <w:r w:rsidRPr="0006242D">
        <w:rPr>
          <w:rFonts w:ascii="Times New Roman" w:hAnsi="Times New Roman" w:cs="Times New Roman"/>
          <w:sz w:val="28"/>
          <w:szCs w:val="28"/>
        </w:rPr>
        <w:softHyphen/>
        <w:t>ція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та спортивна медицина»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циклічну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структуру.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Ви</w:t>
      </w:r>
      <w:r w:rsidRPr="0006242D">
        <w:rPr>
          <w:rFonts w:ascii="Times New Roman" w:hAnsi="Times New Roman" w:cs="Times New Roman"/>
          <w:sz w:val="28"/>
          <w:szCs w:val="28"/>
        </w:rPr>
        <w:softHyphen/>
        <w:t>хідним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компонентом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є мета. Вона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визначає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зміст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певної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нової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теми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дисципліни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тех</w:t>
      </w:r>
      <w:r w:rsidRPr="0006242D">
        <w:rPr>
          <w:rFonts w:ascii="Times New Roman" w:hAnsi="Times New Roman" w:cs="Times New Roman"/>
          <w:sz w:val="28"/>
          <w:szCs w:val="28"/>
        </w:rPr>
        <w:softHyphen/>
        <w:t>нології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змісту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студента</w:t>
      </w:r>
      <w:r w:rsidRPr="0006242D">
        <w:rPr>
          <w:rFonts w:ascii="Times New Roman" w:hAnsi="Times New Roman" w:cs="Times New Roman"/>
          <w:sz w:val="28"/>
          <w:szCs w:val="28"/>
        </w:rPr>
        <w:softHyphen/>
        <w:t xml:space="preserve">ми. Так само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важливо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враховувати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матеріально-технічну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сторону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і контингент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со</w:t>
      </w:r>
      <w:r w:rsidRPr="0006242D">
        <w:rPr>
          <w:rFonts w:ascii="Times New Roman" w:hAnsi="Times New Roman" w:cs="Times New Roman"/>
          <w:sz w:val="28"/>
          <w:szCs w:val="28"/>
        </w:rPr>
        <w:softHyphen/>
        <w:t>ціодемографічні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психологічні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характеристики,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базової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>).</w:t>
      </w:r>
    </w:p>
    <w:p w:rsidR="0006242D" w:rsidRPr="0006242D" w:rsidRDefault="0006242D" w:rsidP="00707B30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Низький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інтерактивних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традицій</w:t>
      </w:r>
      <w:r w:rsidRPr="0006242D">
        <w:rPr>
          <w:rFonts w:ascii="Times New Roman" w:hAnsi="Times New Roman" w:cs="Times New Roman"/>
          <w:sz w:val="28"/>
          <w:szCs w:val="28"/>
        </w:rPr>
        <w:softHyphen/>
        <w:t>ній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методиці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інтенсивній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самостійній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потужний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зворотній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зв'язок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очі</w:t>
      </w:r>
      <w:r w:rsidRPr="0006242D">
        <w:rPr>
          <w:rFonts w:ascii="Times New Roman" w:hAnsi="Times New Roman" w:cs="Times New Roman"/>
          <w:sz w:val="28"/>
          <w:szCs w:val="28"/>
        </w:rPr>
        <w:softHyphen/>
        <w:t>куваний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ефект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Активізація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передба</w:t>
      </w:r>
      <w:r w:rsidRPr="0006242D">
        <w:rPr>
          <w:rFonts w:ascii="Times New Roman" w:hAnsi="Times New Roman" w:cs="Times New Roman"/>
          <w:sz w:val="28"/>
          <w:szCs w:val="28"/>
        </w:rPr>
        <w:softHyphen/>
        <w:t>чає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постійну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взаємодію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можливим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06242D">
        <w:rPr>
          <w:rFonts w:ascii="Times New Roman" w:hAnsi="Times New Roman" w:cs="Times New Roman"/>
          <w:sz w:val="28"/>
          <w:szCs w:val="28"/>
        </w:rPr>
        <w:t>у першу</w:t>
      </w:r>
      <w:proofErr w:type="gram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усвідомлення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викладачем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майстерного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дидактичного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інстру</w:t>
      </w:r>
      <w:r w:rsidRPr="0006242D">
        <w:rPr>
          <w:rFonts w:ascii="Times New Roman" w:hAnsi="Times New Roman" w:cs="Times New Roman"/>
          <w:sz w:val="28"/>
          <w:szCs w:val="28"/>
        </w:rPr>
        <w:softHyphen/>
        <w:t>ментарію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з метою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актуалізації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базового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необ</w:t>
      </w:r>
      <w:r w:rsidRPr="0006242D">
        <w:rPr>
          <w:rFonts w:ascii="Times New Roman" w:hAnsi="Times New Roman" w:cs="Times New Roman"/>
          <w:sz w:val="28"/>
          <w:szCs w:val="28"/>
        </w:rPr>
        <w:softHyphen/>
        <w:t>хідного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включення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нього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обставин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інформування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про контингент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lastRenderedPageBreak/>
        <w:t>інтереси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, характер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пізнавальних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зосередитися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навчальному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вимог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виконувати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поставлені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навчальні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>.</w:t>
      </w:r>
    </w:p>
    <w:p w:rsidR="0006242D" w:rsidRPr="0006242D" w:rsidRDefault="0006242D" w:rsidP="00707B30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 w:rsidRPr="0006242D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06242D">
        <w:rPr>
          <w:rFonts w:ascii="Times New Roman" w:hAnsi="Times New Roman" w:cs="Times New Roman"/>
          <w:b/>
          <w:bCs/>
          <w:sz w:val="28"/>
          <w:szCs w:val="28"/>
        </w:rPr>
        <w:t>:</w:t>
      </w:r>
      <w:bookmarkStart w:id="0" w:name="_GoBack"/>
      <w:bookmarkEnd w:id="0"/>
    </w:p>
    <w:p w:rsidR="0006242D" w:rsidRPr="0006242D" w:rsidRDefault="0006242D" w:rsidP="00707B30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06242D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«стан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два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охоплюють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матеріально-технічні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дидактичні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норми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про</w:t>
      </w:r>
      <w:r w:rsidRPr="0006242D">
        <w:rPr>
          <w:rFonts w:ascii="Times New Roman" w:hAnsi="Times New Roman" w:cs="Times New Roman"/>
          <w:sz w:val="28"/>
          <w:szCs w:val="28"/>
        </w:rPr>
        <w:softHyphen/>
        <w:t>цесу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базові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психо</w:t>
      </w:r>
      <w:r w:rsidRPr="0006242D">
        <w:rPr>
          <w:rFonts w:ascii="Times New Roman" w:hAnsi="Times New Roman" w:cs="Times New Roman"/>
          <w:sz w:val="28"/>
          <w:szCs w:val="28"/>
        </w:rPr>
        <w:softHyphen/>
        <w:t>фізіологічні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характеристики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навчальної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початкові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Кожен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аспектів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особливої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добір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оптимальних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>.</w:t>
      </w:r>
    </w:p>
    <w:p w:rsidR="0006242D" w:rsidRDefault="0006242D" w:rsidP="00707B30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06242D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Теоретичні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передумови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розробки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методики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навчан</w:t>
      </w:r>
      <w:r w:rsidRPr="0006242D">
        <w:rPr>
          <w:rFonts w:ascii="Times New Roman" w:hAnsi="Times New Roman" w:cs="Times New Roman"/>
          <w:sz w:val="28"/>
          <w:szCs w:val="28"/>
        </w:rPr>
        <w:softHyphen/>
        <w:t>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ХНМУ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дисципліні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Фізична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реабілітація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та спортивна медицина» з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являють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собою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ця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методика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отримає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відмінні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властивості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сприятимуть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підви</w:t>
      </w:r>
      <w:r w:rsidRPr="0006242D">
        <w:rPr>
          <w:rFonts w:ascii="Times New Roman" w:hAnsi="Times New Roman" w:cs="Times New Roman"/>
          <w:sz w:val="28"/>
          <w:szCs w:val="28"/>
        </w:rPr>
        <w:softHyphen/>
        <w:t>щенню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навчальної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успішності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06242D">
        <w:rPr>
          <w:rFonts w:ascii="Times New Roman" w:hAnsi="Times New Roman" w:cs="Times New Roman"/>
          <w:sz w:val="28"/>
          <w:szCs w:val="28"/>
        </w:rPr>
        <w:t>.</w:t>
      </w:r>
    </w:p>
    <w:p w:rsidR="0006242D" w:rsidRPr="0006242D" w:rsidRDefault="0006242D" w:rsidP="00707B3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6242D">
        <w:rPr>
          <w:rFonts w:ascii="Times New Roman" w:hAnsi="Times New Roman" w:cs="Times New Roman"/>
          <w:sz w:val="28"/>
          <w:szCs w:val="28"/>
          <w:lang w:val="uk-UA"/>
        </w:rPr>
        <w:t>Література:</w:t>
      </w:r>
    </w:p>
    <w:p w:rsidR="0006242D" w:rsidRPr="0006242D" w:rsidRDefault="0006242D" w:rsidP="00707B3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Атанов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 Г.А.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Деятельностный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подход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обучении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Донецк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>: «ЕАИ–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пресс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>», 2001. – 100 с.</w:t>
      </w:r>
    </w:p>
    <w:p w:rsidR="0006242D" w:rsidRPr="0006242D" w:rsidRDefault="0006242D" w:rsidP="00707B3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Лікувальнафізична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 культура. Підручник/ В.С. Соколовський, Н.О. Романова, О.П.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Юшковська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. – Одесса: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Одес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держ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>. мед. ун-т, 2005. – 234 с. – (Б-ка студента-медика).</w:t>
      </w:r>
    </w:p>
    <w:p w:rsidR="0006242D" w:rsidRPr="0006242D" w:rsidRDefault="0006242D" w:rsidP="00707B3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Педагогика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Учебное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ст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-в пед.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ин-ов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 – М.: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Просвещение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>, 1968. –526 с.</w:t>
      </w:r>
    </w:p>
    <w:p w:rsidR="0006242D" w:rsidRPr="0006242D" w:rsidRDefault="0006242D" w:rsidP="00707B3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Якунин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 В.А.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Педагогическая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психология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Учеб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Европ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ин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-т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экспертов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. – СПб.: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 xml:space="preserve">-во Михайлова В.А.: 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>-во «</w:t>
      </w:r>
      <w:proofErr w:type="spellStart"/>
      <w:r w:rsidRPr="0006242D">
        <w:rPr>
          <w:rFonts w:ascii="Times New Roman" w:hAnsi="Times New Roman" w:cs="Times New Roman"/>
          <w:sz w:val="28"/>
          <w:szCs w:val="28"/>
          <w:lang w:val="uk-UA"/>
        </w:rPr>
        <w:t>Полиус</w:t>
      </w:r>
      <w:proofErr w:type="spellEnd"/>
      <w:r w:rsidRPr="0006242D">
        <w:rPr>
          <w:rFonts w:ascii="Times New Roman" w:hAnsi="Times New Roman" w:cs="Times New Roman"/>
          <w:sz w:val="28"/>
          <w:szCs w:val="28"/>
          <w:lang w:val="uk-UA"/>
        </w:rPr>
        <w:t>», 1998. – 639 с.</w:t>
      </w:r>
    </w:p>
    <w:sectPr w:rsidR="0006242D" w:rsidRPr="000624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nos">
    <w:altName w:val="Tinos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719A"/>
    <w:rsid w:val="00034A42"/>
    <w:rsid w:val="0006242D"/>
    <w:rsid w:val="00707B30"/>
    <w:rsid w:val="00CE719A"/>
    <w:rsid w:val="00EA1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D660F6-5DDF-4626-B5DB-46FB2B132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11">
    <w:name w:val="Pa11"/>
    <w:basedOn w:val="a"/>
    <w:next w:val="a"/>
    <w:uiPriority w:val="99"/>
    <w:rsid w:val="0006242D"/>
    <w:pPr>
      <w:autoSpaceDE w:val="0"/>
      <w:autoSpaceDN w:val="0"/>
      <w:adjustRightInd w:val="0"/>
      <w:spacing w:after="0" w:line="201" w:lineRule="atLeast"/>
    </w:pPr>
    <w:rPr>
      <w:rFonts w:ascii="Tinos" w:hAnsi="Tinos"/>
      <w:sz w:val="24"/>
      <w:szCs w:val="24"/>
    </w:rPr>
  </w:style>
  <w:style w:type="paragraph" w:customStyle="1" w:styleId="Pa12">
    <w:name w:val="Pa12"/>
    <w:basedOn w:val="a"/>
    <w:next w:val="a"/>
    <w:uiPriority w:val="99"/>
    <w:rsid w:val="0006242D"/>
    <w:pPr>
      <w:autoSpaceDE w:val="0"/>
      <w:autoSpaceDN w:val="0"/>
      <w:adjustRightInd w:val="0"/>
      <w:spacing w:after="0" w:line="201" w:lineRule="atLeast"/>
    </w:pPr>
    <w:rPr>
      <w:rFonts w:ascii="Tinos" w:hAnsi="Tinos"/>
      <w:sz w:val="24"/>
      <w:szCs w:val="24"/>
    </w:rPr>
  </w:style>
  <w:style w:type="paragraph" w:customStyle="1" w:styleId="Pa3">
    <w:name w:val="Pa3"/>
    <w:basedOn w:val="a"/>
    <w:next w:val="a"/>
    <w:uiPriority w:val="99"/>
    <w:rsid w:val="0006242D"/>
    <w:pPr>
      <w:autoSpaceDE w:val="0"/>
      <w:autoSpaceDN w:val="0"/>
      <w:adjustRightInd w:val="0"/>
      <w:spacing w:after="0" w:line="191" w:lineRule="atLeast"/>
    </w:pPr>
    <w:rPr>
      <w:rFonts w:ascii="Tinos" w:hAnsi="Tinos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782</Words>
  <Characters>4460</Characters>
  <Application>Microsoft Office Word</Application>
  <DocSecurity>0</DocSecurity>
  <Lines>37</Lines>
  <Paragraphs>10</Paragraphs>
  <ScaleCrop>false</ScaleCrop>
  <Company/>
  <LinksUpToDate>false</LinksUpToDate>
  <CharactersWithSpaces>5232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2019-06-05T22:21:00Z</dcterms:created>
  <dcterms:modified xsi:type="dcterms:W3CDTF">2019-06-05T22:29:00Z</dcterms:modified>
</cp:coreProperties>
</file>