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5AF" w:rsidRPr="007B248E" w:rsidRDefault="008165AF" w:rsidP="008165AF">
      <w:pPr>
        <w:jc w:val="center"/>
        <w:rPr>
          <w:b/>
          <w:sz w:val="28"/>
          <w:szCs w:val="28"/>
          <w:lang w:val="uk-UA"/>
        </w:rPr>
      </w:pPr>
      <w:r w:rsidRPr="007B248E">
        <w:rPr>
          <w:b/>
          <w:sz w:val="28"/>
          <w:szCs w:val="28"/>
          <w:lang w:val="uk-UA"/>
        </w:rPr>
        <w:t>ХАРАКТЕРИСТИКА ОКИСЛЮВАЛЬНО-АНТИОКСИДАНТНОГО ГОМЕОСТАЗУ У ПІДШЛУНКОВІЙ ЗАЛОЗІ ЩУРІВ-САМИЦЬ ТА ЇХ НОВОНАРОДЖЕНОГО ПОТОМСТВА ПРИ НЕЗБАЛАНСОВАНОМУ ХАРЧУВАННІ ПРОТЯГОМ ВАГІТНОСТІ</w:t>
      </w:r>
    </w:p>
    <w:p w:rsidR="008165AF" w:rsidRPr="007B248E" w:rsidRDefault="008165AF" w:rsidP="008165AF">
      <w:pPr>
        <w:rPr>
          <w:b/>
          <w:i/>
          <w:sz w:val="28"/>
          <w:szCs w:val="28"/>
          <w:lang w:val="uk-UA"/>
        </w:rPr>
      </w:pPr>
      <w:r w:rsidRPr="007B248E">
        <w:rPr>
          <w:b/>
          <w:i/>
          <w:sz w:val="28"/>
          <w:szCs w:val="28"/>
          <w:lang w:val="uk-UA"/>
        </w:rPr>
        <w:t>Ніколаєва О.В., Сіренко В.А., Павлова О.О., Шутова Н.А., Горбач Т.В.</w:t>
      </w:r>
    </w:p>
    <w:p w:rsidR="008165AF" w:rsidRPr="008D7F5A" w:rsidRDefault="008165AF" w:rsidP="008165AF">
      <w:pPr>
        <w:rPr>
          <w:i/>
          <w:sz w:val="28"/>
          <w:szCs w:val="28"/>
        </w:rPr>
      </w:pPr>
      <w:r w:rsidRPr="007B248E">
        <w:rPr>
          <w:i/>
          <w:sz w:val="28"/>
          <w:szCs w:val="28"/>
          <w:lang w:val="uk-UA"/>
        </w:rPr>
        <w:t>Харківський національний медичний університет (</w:t>
      </w:r>
      <w:proofErr w:type="spellStart"/>
      <w:r w:rsidRPr="007B248E">
        <w:rPr>
          <w:i/>
          <w:sz w:val="28"/>
          <w:szCs w:val="28"/>
          <w:lang w:val="uk-UA"/>
        </w:rPr>
        <w:t>nikolayevaov</w:t>
      </w:r>
      <w:proofErr w:type="spellEnd"/>
      <w:r w:rsidRPr="007B248E">
        <w:rPr>
          <w:i/>
          <w:sz w:val="28"/>
          <w:szCs w:val="28"/>
          <w:lang w:val="uk-UA"/>
        </w:rPr>
        <w:t>@gmail.com)</w:t>
      </w:r>
    </w:p>
    <w:p w:rsidR="008165AF" w:rsidRPr="008D7F5A" w:rsidRDefault="008165AF" w:rsidP="008165AF">
      <w:pPr>
        <w:spacing w:line="360" w:lineRule="auto"/>
        <w:rPr>
          <w:sz w:val="28"/>
          <w:szCs w:val="28"/>
        </w:rPr>
      </w:pPr>
    </w:p>
    <w:p w:rsidR="008165AF" w:rsidRPr="007B248E" w:rsidRDefault="008165AF" w:rsidP="008165AF">
      <w:pPr>
        <w:jc w:val="both"/>
        <w:rPr>
          <w:sz w:val="28"/>
          <w:szCs w:val="28"/>
          <w:lang w:val="uk-UA"/>
        </w:rPr>
      </w:pPr>
      <w:r w:rsidRPr="008D7F5A">
        <w:rPr>
          <w:sz w:val="28"/>
          <w:szCs w:val="28"/>
        </w:rPr>
        <w:tab/>
      </w:r>
      <w:r w:rsidRPr="007B248E">
        <w:rPr>
          <w:sz w:val="28"/>
          <w:szCs w:val="28"/>
          <w:lang w:val="uk-UA"/>
        </w:rPr>
        <w:t>Патологія підшлункової залози (ПЗ) є актуальною проблемою сучасної гастроентерології. Серед чинників ураження ПЗ важливе значення має аліме</w:t>
      </w:r>
      <w:r w:rsidRPr="007B248E">
        <w:rPr>
          <w:sz w:val="28"/>
          <w:szCs w:val="28"/>
          <w:lang w:val="uk-UA"/>
        </w:rPr>
        <w:t>н</w:t>
      </w:r>
      <w:r w:rsidRPr="007B248E">
        <w:rPr>
          <w:sz w:val="28"/>
          <w:szCs w:val="28"/>
          <w:lang w:val="uk-UA"/>
        </w:rPr>
        <w:t>тарний фактор. Метою дослідження було з’ясування впливу незбалансованого харчува</w:t>
      </w:r>
      <w:r w:rsidRPr="007B248E">
        <w:rPr>
          <w:sz w:val="28"/>
          <w:szCs w:val="28"/>
          <w:lang w:val="uk-UA"/>
        </w:rPr>
        <w:t>н</w:t>
      </w:r>
      <w:r w:rsidRPr="007B248E">
        <w:rPr>
          <w:sz w:val="28"/>
          <w:szCs w:val="28"/>
          <w:lang w:val="uk-UA"/>
        </w:rPr>
        <w:t xml:space="preserve">ня з надлишком або дефіцитом поживних речовин на </w:t>
      </w:r>
      <w:proofErr w:type="spellStart"/>
      <w:r w:rsidRPr="007B248E">
        <w:rPr>
          <w:sz w:val="28"/>
          <w:szCs w:val="28"/>
          <w:lang w:val="uk-UA"/>
        </w:rPr>
        <w:t>окислювально-антиокси</w:t>
      </w:r>
      <w:r>
        <w:rPr>
          <w:sz w:val="28"/>
          <w:szCs w:val="28"/>
          <w:lang w:val="uk-UA"/>
        </w:rPr>
        <w:t>-</w:t>
      </w:r>
      <w:r w:rsidRPr="007B248E">
        <w:rPr>
          <w:sz w:val="28"/>
          <w:szCs w:val="28"/>
          <w:lang w:val="uk-UA"/>
        </w:rPr>
        <w:t>дантний</w:t>
      </w:r>
      <w:proofErr w:type="spellEnd"/>
      <w:r w:rsidRPr="007B248E">
        <w:rPr>
          <w:sz w:val="28"/>
          <w:szCs w:val="28"/>
          <w:lang w:val="uk-UA"/>
        </w:rPr>
        <w:t xml:space="preserve"> гомеостаз (ОАГ) в ПЗ вагітних щурів  та їх новонародженого потомства.</w:t>
      </w:r>
    </w:p>
    <w:p w:rsidR="008165AF" w:rsidRPr="007B248E" w:rsidRDefault="008165AF" w:rsidP="008165AF">
      <w:pPr>
        <w:ind w:firstLine="708"/>
        <w:jc w:val="both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 xml:space="preserve">Експериментальне дослідження проведене на 60 білих нелінійних щурах популяції </w:t>
      </w:r>
      <w:r w:rsidRPr="007B248E">
        <w:rPr>
          <w:sz w:val="28"/>
          <w:szCs w:val="28"/>
        </w:rPr>
        <w:t xml:space="preserve">WAG/G </w:t>
      </w:r>
      <w:proofErr w:type="spellStart"/>
      <w:r w:rsidRPr="007B248E">
        <w:rPr>
          <w:sz w:val="28"/>
          <w:szCs w:val="28"/>
        </w:rPr>
        <w:t>Sto</w:t>
      </w:r>
      <w:proofErr w:type="spellEnd"/>
      <w:r w:rsidRPr="007B248E">
        <w:rPr>
          <w:sz w:val="28"/>
          <w:szCs w:val="28"/>
          <w:lang w:val="uk-UA"/>
        </w:rPr>
        <w:t>. Вивчений стан ОАГ у ПЗ 6-ти щурів-матерів, які прот</w:t>
      </w:r>
      <w:r w:rsidRPr="007B248E">
        <w:rPr>
          <w:sz w:val="28"/>
          <w:szCs w:val="28"/>
          <w:lang w:val="uk-UA"/>
        </w:rPr>
        <w:t>я</w:t>
      </w:r>
      <w:r w:rsidRPr="007B248E">
        <w:rPr>
          <w:sz w:val="28"/>
          <w:szCs w:val="28"/>
          <w:lang w:val="uk-UA"/>
        </w:rPr>
        <w:t>гом вагітності отримували незбалансоване харчування із надлишком вуглеводів і ж</w:t>
      </w:r>
      <w:r w:rsidRPr="007B248E">
        <w:rPr>
          <w:sz w:val="28"/>
          <w:szCs w:val="28"/>
          <w:lang w:val="uk-UA"/>
        </w:rPr>
        <w:t>и</w:t>
      </w:r>
      <w:r w:rsidRPr="007B248E">
        <w:rPr>
          <w:sz w:val="28"/>
          <w:szCs w:val="28"/>
          <w:lang w:val="uk-UA"/>
        </w:rPr>
        <w:t>рів, та 16-ти їх новонароджених щурят (відповідно групи 1-М та 1-Н) і 6-ти щурів-матерів, які протягом вагітності отримували незбалансоване харчування із деф</w:t>
      </w:r>
      <w:r w:rsidRPr="007B248E">
        <w:rPr>
          <w:sz w:val="28"/>
          <w:szCs w:val="28"/>
          <w:lang w:val="uk-UA"/>
        </w:rPr>
        <w:t>і</w:t>
      </w:r>
      <w:r w:rsidRPr="007B248E">
        <w:rPr>
          <w:sz w:val="28"/>
          <w:szCs w:val="28"/>
          <w:lang w:val="uk-UA"/>
        </w:rPr>
        <w:t xml:space="preserve">цитом поживних речовин (в першу чергу білків), та 18-ти їх </w:t>
      </w:r>
      <w:r>
        <w:rPr>
          <w:sz w:val="28"/>
          <w:szCs w:val="28"/>
          <w:lang w:val="uk-UA"/>
        </w:rPr>
        <w:t>новонарод</w:t>
      </w:r>
      <w:r w:rsidRPr="007B248E">
        <w:rPr>
          <w:sz w:val="28"/>
          <w:szCs w:val="28"/>
          <w:lang w:val="uk-UA"/>
        </w:rPr>
        <w:t>жених щ</w:t>
      </w:r>
      <w:r w:rsidRPr="007B248E">
        <w:rPr>
          <w:sz w:val="28"/>
          <w:szCs w:val="28"/>
          <w:lang w:val="uk-UA"/>
        </w:rPr>
        <w:t>у</w:t>
      </w:r>
      <w:r w:rsidRPr="007B248E">
        <w:rPr>
          <w:sz w:val="28"/>
          <w:szCs w:val="28"/>
          <w:lang w:val="uk-UA"/>
        </w:rPr>
        <w:t xml:space="preserve">рят (відповідно групи 2-М та 2-Н). Групи контролю склали 7 щурів-матерів та 7 новонароджених щурят. Активність </w:t>
      </w:r>
      <w:proofErr w:type="spellStart"/>
      <w:r w:rsidRPr="007B248E">
        <w:rPr>
          <w:sz w:val="28"/>
          <w:szCs w:val="28"/>
          <w:lang w:val="uk-UA"/>
        </w:rPr>
        <w:t>пероксидного</w:t>
      </w:r>
      <w:proofErr w:type="spellEnd"/>
      <w:r w:rsidRPr="007B248E">
        <w:rPr>
          <w:sz w:val="28"/>
          <w:szCs w:val="28"/>
          <w:lang w:val="uk-UA"/>
        </w:rPr>
        <w:t xml:space="preserve"> окислення ліпідів (ПОЛ) в</w:t>
      </w:r>
      <w:r w:rsidRPr="007B248E">
        <w:rPr>
          <w:sz w:val="28"/>
          <w:szCs w:val="28"/>
          <w:lang w:val="uk-UA"/>
        </w:rPr>
        <w:t>и</w:t>
      </w:r>
      <w:r w:rsidRPr="007B248E">
        <w:rPr>
          <w:sz w:val="28"/>
          <w:szCs w:val="28"/>
          <w:lang w:val="uk-UA"/>
        </w:rPr>
        <w:t xml:space="preserve">значалась за рівнем показників </w:t>
      </w:r>
      <w:proofErr w:type="spellStart"/>
      <w:r w:rsidRPr="007B248E">
        <w:rPr>
          <w:sz w:val="28"/>
          <w:szCs w:val="28"/>
          <w:lang w:val="uk-UA"/>
        </w:rPr>
        <w:t>дієнових</w:t>
      </w:r>
      <w:proofErr w:type="spellEnd"/>
      <w:r w:rsidRPr="007B248E">
        <w:rPr>
          <w:sz w:val="28"/>
          <w:szCs w:val="28"/>
          <w:lang w:val="uk-UA"/>
        </w:rPr>
        <w:t xml:space="preserve"> </w:t>
      </w:r>
      <w:proofErr w:type="spellStart"/>
      <w:r w:rsidRPr="007B248E">
        <w:rPr>
          <w:sz w:val="28"/>
          <w:szCs w:val="28"/>
          <w:lang w:val="uk-UA"/>
        </w:rPr>
        <w:t>кон</w:t>
      </w:r>
      <w:r w:rsidRPr="008D7F5A">
        <w:rPr>
          <w:sz w:val="28"/>
          <w:szCs w:val="28"/>
          <w:lang w:val="uk-UA"/>
        </w:rPr>
        <w:t>’</w:t>
      </w:r>
      <w:r w:rsidRPr="007B248E">
        <w:rPr>
          <w:sz w:val="28"/>
          <w:szCs w:val="28"/>
          <w:lang w:val="uk-UA"/>
        </w:rPr>
        <w:t>югатів</w:t>
      </w:r>
      <w:proofErr w:type="spellEnd"/>
      <w:r w:rsidRPr="007B248E">
        <w:rPr>
          <w:sz w:val="28"/>
          <w:szCs w:val="28"/>
          <w:lang w:val="uk-UA"/>
        </w:rPr>
        <w:t xml:space="preserve"> (ДК) і </w:t>
      </w:r>
      <w:proofErr w:type="spellStart"/>
      <w:r w:rsidRPr="007B248E">
        <w:rPr>
          <w:sz w:val="28"/>
          <w:szCs w:val="28"/>
          <w:lang w:val="uk-UA"/>
        </w:rPr>
        <w:t>малон</w:t>
      </w:r>
      <w:r w:rsidRPr="007B248E">
        <w:rPr>
          <w:sz w:val="28"/>
          <w:szCs w:val="28"/>
          <w:lang w:val="uk-UA"/>
        </w:rPr>
        <w:t>о</w:t>
      </w:r>
      <w:r w:rsidRPr="007B248E">
        <w:rPr>
          <w:sz w:val="28"/>
          <w:szCs w:val="28"/>
          <w:lang w:val="uk-UA"/>
        </w:rPr>
        <w:t>вого</w:t>
      </w:r>
      <w:proofErr w:type="spellEnd"/>
      <w:r w:rsidRPr="007B248E">
        <w:rPr>
          <w:sz w:val="28"/>
          <w:szCs w:val="28"/>
          <w:lang w:val="uk-UA"/>
        </w:rPr>
        <w:t xml:space="preserve"> діальдегіду (МДА), активність антиоксидантної системи (АОС) – за показниками </w:t>
      </w:r>
      <w:proofErr w:type="spellStart"/>
      <w:r w:rsidRPr="007B248E">
        <w:rPr>
          <w:sz w:val="28"/>
          <w:szCs w:val="28"/>
          <w:lang w:val="uk-UA"/>
        </w:rPr>
        <w:t>суперокси</w:t>
      </w:r>
      <w:r w:rsidRPr="007B248E">
        <w:rPr>
          <w:sz w:val="28"/>
          <w:szCs w:val="28"/>
          <w:lang w:val="uk-UA"/>
        </w:rPr>
        <w:t>д</w:t>
      </w:r>
      <w:r w:rsidRPr="007B248E">
        <w:rPr>
          <w:sz w:val="28"/>
          <w:szCs w:val="28"/>
          <w:lang w:val="uk-UA"/>
        </w:rPr>
        <w:t>дисмутази</w:t>
      </w:r>
      <w:proofErr w:type="spellEnd"/>
      <w:r w:rsidRPr="007B248E">
        <w:rPr>
          <w:sz w:val="28"/>
          <w:szCs w:val="28"/>
          <w:lang w:val="uk-UA"/>
        </w:rPr>
        <w:t xml:space="preserve"> (СОД) і каталази (КАТ). Статистичну обробку даних проводили за програмою </w:t>
      </w:r>
      <w:r w:rsidRPr="007B248E">
        <w:rPr>
          <w:sz w:val="28"/>
          <w:szCs w:val="28"/>
          <w:lang w:val="en-US"/>
        </w:rPr>
        <w:t>S</w:t>
      </w:r>
      <w:r w:rsidRPr="007B248E">
        <w:rPr>
          <w:caps/>
          <w:sz w:val="28"/>
          <w:szCs w:val="28"/>
          <w:lang w:val="en-US"/>
        </w:rPr>
        <w:t>tatistica</w:t>
      </w:r>
      <w:r w:rsidRPr="007B248E">
        <w:rPr>
          <w:sz w:val="28"/>
          <w:szCs w:val="28"/>
        </w:rPr>
        <w:t>-</w:t>
      </w:r>
      <w:r w:rsidRPr="008D7F5A">
        <w:rPr>
          <w:sz w:val="28"/>
          <w:szCs w:val="28"/>
        </w:rPr>
        <w:t>10</w:t>
      </w:r>
      <w:r w:rsidRPr="007B248E">
        <w:rPr>
          <w:sz w:val="28"/>
          <w:szCs w:val="28"/>
        </w:rPr>
        <w:t>.</w:t>
      </w:r>
      <w:r w:rsidRPr="007B248E">
        <w:rPr>
          <w:sz w:val="28"/>
          <w:szCs w:val="28"/>
          <w:lang w:val="uk-UA"/>
        </w:rPr>
        <w:t xml:space="preserve"> Достовірність відмін визнач</w:t>
      </w:r>
      <w:r w:rsidRPr="007B248E">
        <w:rPr>
          <w:sz w:val="28"/>
          <w:szCs w:val="28"/>
          <w:lang w:val="uk-UA"/>
        </w:rPr>
        <w:t>а</w:t>
      </w:r>
      <w:r w:rsidRPr="007B248E">
        <w:rPr>
          <w:sz w:val="28"/>
          <w:szCs w:val="28"/>
          <w:lang w:val="uk-UA"/>
        </w:rPr>
        <w:t xml:space="preserve">ли за допомогою критерію </w:t>
      </w:r>
      <w:r w:rsidRPr="007B248E">
        <w:rPr>
          <w:sz w:val="28"/>
          <w:szCs w:val="28"/>
        </w:rPr>
        <w:t>U</w:t>
      </w:r>
      <w:r w:rsidRPr="007B248E">
        <w:rPr>
          <w:sz w:val="28"/>
          <w:szCs w:val="28"/>
          <w:lang w:val="uk-UA"/>
        </w:rPr>
        <w:t xml:space="preserve"> </w:t>
      </w:r>
      <w:proofErr w:type="spellStart"/>
      <w:r w:rsidRPr="007B248E">
        <w:rPr>
          <w:sz w:val="28"/>
          <w:szCs w:val="28"/>
          <w:lang w:val="uk-UA"/>
        </w:rPr>
        <w:t>Манна-Уїтні</w:t>
      </w:r>
      <w:proofErr w:type="spellEnd"/>
      <w:r w:rsidRPr="007B248E">
        <w:rPr>
          <w:sz w:val="28"/>
          <w:szCs w:val="28"/>
          <w:lang w:val="uk-UA"/>
        </w:rPr>
        <w:t>.</w:t>
      </w:r>
    </w:p>
    <w:p w:rsidR="008165AF" w:rsidRPr="007B248E" w:rsidRDefault="008165AF" w:rsidP="008165AF">
      <w:pPr>
        <w:ind w:firstLine="708"/>
        <w:jc w:val="both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>У щурів-матерів 1-М групи у ПЗ виявлене підвищення ДК і МДА (відпові</w:t>
      </w:r>
      <w:r w:rsidRPr="007B248E">
        <w:rPr>
          <w:sz w:val="28"/>
          <w:szCs w:val="28"/>
          <w:lang w:val="uk-UA"/>
        </w:rPr>
        <w:t>д</w:t>
      </w:r>
      <w:r w:rsidRPr="007B248E">
        <w:rPr>
          <w:sz w:val="28"/>
          <w:szCs w:val="28"/>
          <w:lang w:val="uk-UA"/>
        </w:rPr>
        <w:t xml:space="preserve">но на 64,2% і 94,3%, р&lt;0,01) у сполученні із зниженням показників СОД і КАТ (на 27,6% і 23,4%, р&lt;0,01). Це маніфестує активацію процесу ПОЛ на тлі зниження антиоксидантного потенціалу, тобто наявність виразного </w:t>
      </w:r>
      <w:proofErr w:type="spellStart"/>
      <w:r w:rsidRPr="007B248E">
        <w:rPr>
          <w:sz w:val="28"/>
          <w:szCs w:val="28"/>
          <w:lang w:val="uk-UA"/>
        </w:rPr>
        <w:t>оксидативного</w:t>
      </w:r>
      <w:proofErr w:type="spellEnd"/>
      <w:r w:rsidRPr="007B248E">
        <w:rPr>
          <w:sz w:val="28"/>
          <w:szCs w:val="28"/>
          <w:lang w:val="uk-UA"/>
        </w:rPr>
        <w:t xml:space="preserve"> стресу (ОС), який може спричинити пошкодження мембран і внутрішньоклітинних стр</w:t>
      </w:r>
      <w:r w:rsidRPr="007B248E">
        <w:rPr>
          <w:sz w:val="28"/>
          <w:szCs w:val="28"/>
          <w:lang w:val="uk-UA"/>
        </w:rPr>
        <w:t>у</w:t>
      </w:r>
      <w:r w:rsidRPr="007B248E">
        <w:rPr>
          <w:sz w:val="28"/>
          <w:szCs w:val="28"/>
          <w:lang w:val="uk-UA"/>
        </w:rPr>
        <w:t xml:space="preserve">ктур </w:t>
      </w:r>
      <w:proofErr w:type="spellStart"/>
      <w:r w:rsidRPr="007B248E">
        <w:rPr>
          <w:sz w:val="28"/>
          <w:szCs w:val="28"/>
          <w:lang w:val="uk-UA"/>
        </w:rPr>
        <w:t>панкреацитів</w:t>
      </w:r>
      <w:proofErr w:type="spellEnd"/>
      <w:r w:rsidRPr="007B248E">
        <w:rPr>
          <w:sz w:val="28"/>
          <w:szCs w:val="28"/>
          <w:lang w:val="uk-UA"/>
        </w:rPr>
        <w:t>. У щурів-матерів групи 2-М всі показники ОАГ достовірно ві</w:t>
      </w:r>
      <w:r w:rsidRPr="007B248E">
        <w:rPr>
          <w:sz w:val="28"/>
          <w:szCs w:val="28"/>
          <w:lang w:val="uk-UA"/>
        </w:rPr>
        <w:t>д</w:t>
      </w:r>
      <w:r w:rsidRPr="007B248E">
        <w:rPr>
          <w:sz w:val="28"/>
          <w:szCs w:val="28"/>
          <w:lang w:val="uk-UA"/>
        </w:rPr>
        <w:t>різняються від таких у тварин групи 1-М. В них встановлене зн</w:t>
      </w:r>
      <w:r w:rsidRPr="007B248E">
        <w:rPr>
          <w:sz w:val="28"/>
          <w:szCs w:val="28"/>
          <w:lang w:val="uk-UA"/>
        </w:rPr>
        <w:t>и</w:t>
      </w:r>
      <w:r w:rsidRPr="007B248E">
        <w:rPr>
          <w:sz w:val="28"/>
          <w:szCs w:val="28"/>
          <w:lang w:val="uk-UA"/>
        </w:rPr>
        <w:t>ження активності ПОЛ (показників ДК і МДА нижчі за нормативні значення на 7,82% (р&gt;0,05) і 26,23% (р&lt;0,01) відповідно) і АОС (показник СОД в межах норми (+2,8%), а п</w:t>
      </w:r>
      <w:r w:rsidRPr="007B248E">
        <w:rPr>
          <w:sz w:val="28"/>
          <w:szCs w:val="28"/>
          <w:lang w:val="uk-UA"/>
        </w:rPr>
        <w:t>о</w:t>
      </w:r>
      <w:r w:rsidRPr="007B248E">
        <w:rPr>
          <w:sz w:val="28"/>
          <w:szCs w:val="28"/>
          <w:lang w:val="uk-UA"/>
        </w:rPr>
        <w:t>казник КАТ зменшений на 29,48%, р&lt;0,01). Відомо, що ПОЛ є універсальним м</w:t>
      </w:r>
      <w:r w:rsidRPr="007B248E">
        <w:rPr>
          <w:sz w:val="28"/>
          <w:szCs w:val="28"/>
          <w:lang w:val="uk-UA"/>
        </w:rPr>
        <w:t>о</w:t>
      </w:r>
      <w:r w:rsidRPr="007B248E">
        <w:rPr>
          <w:sz w:val="28"/>
          <w:szCs w:val="28"/>
          <w:lang w:val="uk-UA"/>
        </w:rPr>
        <w:t>дифікатором властивостей біологічних мембран, важливим фізіологічним регулятором їх структури і функцій, фактором, що вст</w:t>
      </w:r>
      <w:r w:rsidRPr="007B248E">
        <w:rPr>
          <w:sz w:val="28"/>
          <w:szCs w:val="28"/>
          <w:lang w:val="uk-UA"/>
        </w:rPr>
        <w:t>а</w:t>
      </w:r>
      <w:r w:rsidRPr="007B248E">
        <w:rPr>
          <w:sz w:val="28"/>
          <w:szCs w:val="28"/>
          <w:lang w:val="uk-UA"/>
        </w:rPr>
        <w:t xml:space="preserve">новлює і підтримує стаціонарне функціонування ферментів, </w:t>
      </w:r>
      <w:proofErr w:type="spellStart"/>
      <w:r w:rsidRPr="007B248E">
        <w:rPr>
          <w:sz w:val="28"/>
          <w:szCs w:val="28"/>
          <w:lang w:val="uk-UA"/>
        </w:rPr>
        <w:t>каналоутворювачів</w:t>
      </w:r>
      <w:proofErr w:type="spellEnd"/>
      <w:r w:rsidRPr="007B248E">
        <w:rPr>
          <w:sz w:val="28"/>
          <w:szCs w:val="28"/>
          <w:lang w:val="uk-UA"/>
        </w:rPr>
        <w:t>, рецепторів. Тому зниження акт</w:t>
      </w:r>
      <w:r w:rsidRPr="007B248E">
        <w:rPr>
          <w:sz w:val="28"/>
          <w:szCs w:val="28"/>
          <w:lang w:val="uk-UA"/>
        </w:rPr>
        <w:t>и</w:t>
      </w:r>
      <w:r w:rsidRPr="007B248E">
        <w:rPr>
          <w:sz w:val="28"/>
          <w:szCs w:val="28"/>
          <w:lang w:val="uk-UA"/>
        </w:rPr>
        <w:t xml:space="preserve">вності ПОЛ у щурів групи 2-М (внаслідок дефіциту енергетичних субстратів) є фактором ризику порушення морфології і </w:t>
      </w:r>
      <w:r w:rsidRPr="007B248E">
        <w:rPr>
          <w:sz w:val="28"/>
          <w:szCs w:val="28"/>
          <w:lang w:val="uk-UA"/>
        </w:rPr>
        <w:lastRenderedPageBreak/>
        <w:t>секрето</w:t>
      </w:r>
      <w:r w:rsidRPr="007B248E">
        <w:rPr>
          <w:sz w:val="28"/>
          <w:szCs w:val="28"/>
          <w:lang w:val="uk-UA"/>
        </w:rPr>
        <w:t>р</w:t>
      </w:r>
      <w:r w:rsidRPr="007B248E">
        <w:rPr>
          <w:sz w:val="28"/>
          <w:szCs w:val="28"/>
          <w:lang w:val="uk-UA"/>
        </w:rPr>
        <w:t xml:space="preserve">ної активності </w:t>
      </w:r>
      <w:proofErr w:type="spellStart"/>
      <w:r w:rsidRPr="007B248E">
        <w:rPr>
          <w:sz w:val="28"/>
          <w:szCs w:val="28"/>
          <w:lang w:val="uk-UA"/>
        </w:rPr>
        <w:t>панкреацитів</w:t>
      </w:r>
      <w:proofErr w:type="spellEnd"/>
      <w:r w:rsidRPr="007B248E">
        <w:rPr>
          <w:sz w:val="28"/>
          <w:szCs w:val="28"/>
          <w:lang w:val="uk-UA"/>
        </w:rPr>
        <w:t xml:space="preserve">, а значить і розвитку різної патології ПЗ. </w:t>
      </w:r>
    </w:p>
    <w:p w:rsidR="008165AF" w:rsidRPr="007B248E" w:rsidRDefault="008165AF" w:rsidP="008165AF">
      <w:pPr>
        <w:ind w:firstLine="708"/>
        <w:jc w:val="both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>У щурят групи 1-Н, як і в їх матерів, в ПЗ показники ДК і МДА підвищені (на 26,9% і 99,7%, р&lt;0,01), але, на відміну від матерів, активність СОД і КАТ т</w:t>
      </w:r>
      <w:r w:rsidRPr="007B248E">
        <w:rPr>
          <w:sz w:val="28"/>
          <w:szCs w:val="28"/>
          <w:lang w:val="uk-UA"/>
        </w:rPr>
        <w:t>а</w:t>
      </w:r>
      <w:r w:rsidRPr="007B248E">
        <w:rPr>
          <w:sz w:val="28"/>
          <w:szCs w:val="28"/>
          <w:lang w:val="uk-UA"/>
        </w:rPr>
        <w:t>кож підвищена (на 15,0% і 12,6%, р&lt;0,01). Тобто, ОС в ПЗ тварин спричинив а</w:t>
      </w:r>
      <w:r w:rsidRPr="007B248E">
        <w:rPr>
          <w:sz w:val="28"/>
          <w:szCs w:val="28"/>
          <w:lang w:val="uk-UA"/>
        </w:rPr>
        <w:t>к</w:t>
      </w:r>
      <w:r w:rsidRPr="007B248E">
        <w:rPr>
          <w:sz w:val="28"/>
          <w:szCs w:val="28"/>
          <w:lang w:val="uk-UA"/>
        </w:rPr>
        <w:t>тивацію АОС, яка є механізмом адаптації органу до несприятливих умов пренат</w:t>
      </w:r>
      <w:r w:rsidRPr="007B248E">
        <w:rPr>
          <w:sz w:val="28"/>
          <w:szCs w:val="28"/>
          <w:lang w:val="uk-UA"/>
        </w:rPr>
        <w:t>а</w:t>
      </w:r>
      <w:r w:rsidRPr="007B248E">
        <w:rPr>
          <w:sz w:val="28"/>
          <w:szCs w:val="28"/>
          <w:lang w:val="uk-UA"/>
        </w:rPr>
        <w:t>льного розвитку при надмірному вуглеводному і жировому навантаженні орган</w:t>
      </w:r>
      <w:r w:rsidRPr="007B248E">
        <w:rPr>
          <w:sz w:val="28"/>
          <w:szCs w:val="28"/>
          <w:lang w:val="uk-UA"/>
        </w:rPr>
        <w:t>і</w:t>
      </w:r>
      <w:r w:rsidRPr="007B248E">
        <w:rPr>
          <w:sz w:val="28"/>
          <w:szCs w:val="28"/>
          <w:lang w:val="uk-UA"/>
        </w:rPr>
        <w:t>зму. А от у щурят групи 2-Н зміни АОГ схожі з таким у щурів-матерів групи 1-М. Має місце активація ПОЛ (збільшення показників ДК і МДА на 9,27% і 69,19% (р&lt;0,01) відповідно) при зменшенні активності АОС (зменше</w:t>
      </w:r>
      <w:r w:rsidRPr="007B248E">
        <w:rPr>
          <w:sz w:val="28"/>
          <w:szCs w:val="28"/>
          <w:lang w:val="uk-UA"/>
        </w:rPr>
        <w:t>н</w:t>
      </w:r>
      <w:r w:rsidRPr="007B248E">
        <w:rPr>
          <w:sz w:val="28"/>
          <w:szCs w:val="28"/>
          <w:lang w:val="uk-UA"/>
        </w:rPr>
        <w:t>ня рівня СОД і КАТ на 13,34% і 13,65%, р&lt;0,01), тобто спостерігається порушення АОГ за рахунок некомпенсованої активації ПОЛ.</w:t>
      </w:r>
    </w:p>
    <w:p w:rsidR="008165AF" w:rsidRPr="007B248E" w:rsidRDefault="008165AF" w:rsidP="008165AF">
      <w:pPr>
        <w:ind w:firstLine="708"/>
        <w:jc w:val="both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>Таким чином, незбалансоване харчування вагітних щурів із надлишком або дефіцитом поживних речовин спричиняє порушення ОАГ в ПЗ як щурів-матерів, так і їх потомства. Розлади ОАГ проявляються некомпенсованим підвищення а</w:t>
      </w:r>
      <w:r w:rsidRPr="007B248E">
        <w:rPr>
          <w:sz w:val="28"/>
          <w:szCs w:val="28"/>
          <w:lang w:val="uk-UA"/>
        </w:rPr>
        <w:t>к</w:t>
      </w:r>
      <w:r w:rsidRPr="007B248E">
        <w:rPr>
          <w:sz w:val="28"/>
          <w:szCs w:val="28"/>
          <w:lang w:val="uk-UA"/>
        </w:rPr>
        <w:t>тивності ПОЛ (у тварин 1-М і 2-Н груп), активацією ПОЛ з компенсаторним зб</w:t>
      </w:r>
      <w:r w:rsidRPr="007B248E">
        <w:rPr>
          <w:sz w:val="28"/>
          <w:szCs w:val="28"/>
          <w:lang w:val="uk-UA"/>
        </w:rPr>
        <w:t>і</w:t>
      </w:r>
      <w:r w:rsidRPr="007B248E">
        <w:rPr>
          <w:sz w:val="28"/>
          <w:szCs w:val="28"/>
          <w:lang w:val="uk-UA"/>
        </w:rPr>
        <w:t xml:space="preserve">льшенням активності АОС (у щурят 1-Н групи) та пригніченням </w:t>
      </w:r>
      <w:proofErr w:type="spellStart"/>
      <w:r w:rsidRPr="007B248E">
        <w:rPr>
          <w:sz w:val="28"/>
          <w:szCs w:val="28"/>
          <w:lang w:val="uk-UA"/>
        </w:rPr>
        <w:t>вільнорадикал</w:t>
      </w:r>
      <w:r w:rsidRPr="007B248E">
        <w:rPr>
          <w:sz w:val="28"/>
          <w:szCs w:val="28"/>
          <w:lang w:val="uk-UA"/>
        </w:rPr>
        <w:t>ь</w:t>
      </w:r>
      <w:r w:rsidRPr="007B248E">
        <w:rPr>
          <w:sz w:val="28"/>
          <w:szCs w:val="28"/>
          <w:lang w:val="uk-UA"/>
        </w:rPr>
        <w:t>ного</w:t>
      </w:r>
      <w:proofErr w:type="spellEnd"/>
      <w:r w:rsidRPr="007B248E">
        <w:rPr>
          <w:sz w:val="28"/>
          <w:szCs w:val="28"/>
          <w:lang w:val="uk-UA"/>
        </w:rPr>
        <w:t xml:space="preserve"> окислення (у щурів 2-М групи). Результати дослідження свідчать, що пор</w:t>
      </w:r>
      <w:r w:rsidRPr="007B248E">
        <w:rPr>
          <w:sz w:val="28"/>
          <w:szCs w:val="28"/>
          <w:lang w:val="uk-UA"/>
        </w:rPr>
        <w:t>у</w:t>
      </w:r>
      <w:r w:rsidRPr="007B248E">
        <w:rPr>
          <w:sz w:val="28"/>
          <w:szCs w:val="28"/>
          <w:lang w:val="uk-UA"/>
        </w:rPr>
        <w:t>шення ОАГ є одним із механізмів пошкодження ПЗ в умовах впливу на організм незбалансованого харчування.</w:t>
      </w:r>
    </w:p>
    <w:p w:rsidR="006715E3" w:rsidRPr="008165AF" w:rsidRDefault="006715E3">
      <w:pPr>
        <w:rPr>
          <w:lang w:val="uk-UA"/>
        </w:rPr>
      </w:pPr>
      <w:bookmarkStart w:id="0" w:name="_GoBack"/>
      <w:bookmarkEnd w:id="0"/>
    </w:p>
    <w:sectPr w:rsidR="006715E3" w:rsidRPr="008165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4B8C"/>
    <w:rsid w:val="00514B8C"/>
    <w:rsid w:val="006715E3"/>
    <w:rsid w:val="00816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5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5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605</Words>
  <Characters>3449</Characters>
  <Application>Microsoft Office Word</Application>
  <DocSecurity>0</DocSecurity>
  <Lines>28</Lines>
  <Paragraphs>8</Paragraphs>
  <ScaleCrop>false</ScaleCrop>
  <Company>Krokoz™</Company>
  <LinksUpToDate>false</LinksUpToDate>
  <CharactersWithSpaces>4046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2018-11-22T08:39:00Z</dcterms:created>
  <dcterms:modified xsi:type="dcterms:W3CDTF">2018-11-22T08:40:00Z</dcterms:modified>
</cp:coreProperties>
</file>