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860AE6">
        <w:rPr>
          <w:rFonts w:ascii="Times New Roman" w:hAnsi="Times New Roman" w:cs="Times New Roman"/>
          <w:i/>
          <w:iCs/>
          <w:lang w:val="en-US"/>
        </w:rPr>
        <w:t>Rynchak P., Les</w:t>
      </w:r>
      <w:proofErr w:type="spellStart"/>
      <w:r>
        <w:rPr>
          <w:rFonts w:ascii="TimesNewRomanPS-ItalicMT" w:hAnsi="TimesNewRomanPS-ItalicMT" w:cs="TimesNewRomanPS-ItalicMT"/>
          <w:i/>
          <w:iCs/>
        </w:rPr>
        <w:t>с</w:t>
      </w:r>
      <w:proofErr w:type="spellEnd"/>
      <w:r w:rsidRPr="00860AE6">
        <w:rPr>
          <w:rFonts w:ascii="TimesNewRomanPS-ItalicMT" w:hAnsi="TimesNewRomanPS-ItalicMT" w:cs="TimesNewRomanPS-ItalicMT"/>
          <w:i/>
          <w:iCs/>
          <w:lang w:val="en-US"/>
        </w:rPr>
        <w:t xml:space="preserve">huk </w:t>
      </w:r>
      <w:r w:rsidRPr="00860AE6">
        <w:rPr>
          <w:rFonts w:ascii="Times New Roman" w:hAnsi="Times New Roman" w:cs="Times New Roman"/>
          <w:i/>
          <w:iCs/>
          <w:lang w:val="en-US"/>
        </w:rPr>
        <w:t>I., Mezhens’ka K.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60AE6">
        <w:rPr>
          <w:rFonts w:ascii="Times New Roman" w:hAnsi="Times New Roman" w:cs="Times New Roman"/>
          <w:b/>
          <w:bCs/>
          <w:sz w:val="28"/>
          <w:szCs w:val="28"/>
          <w:lang w:val="en-US"/>
        </w:rPr>
        <w:t>CORRELATION BETWEEN HYDROCARBON EXCHANGE INDICATORS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60AE6">
        <w:rPr>
          <w:rFonts w:ascii="Times New Roman" w:hAnsi="Times New Roman" w:cs="Times New Roman"/>
          <w:b/>
          <w:bCs/>
          <w:sz w:val="28"/>
          <w:szCs w:val="28"/>
          <w:lang w:val="en-US"/>
        </w:rPr>
        <w:t>AND THE DAILY MONITORING OF BLOOD PRESSURE IN THE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60AE6">
        <w:rPr>
          <w:rFonts w:ascii="Times New Roman" w:hAnsi="Times New Roman" w:cs="Times New Roman"/>
          <w:b/>
          <w:bCs/>
          <w:sz w:val="28"/>
          <w:szCs w:val="28"/>
          <w:lang w:val="en-US"/>
        </w:rPr>
        <w:t>PATIENTSWITH METABOLIC SYNDROME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sz w:val="24"/>
          <w:szCs w:val="24"/>
          <w:lang w:val="en-US"/>
        </w:rPr>
        <w:t>Department of Internal Medicine No. 2, Clinical Immunology and Allergology named of Academic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sz w:val="24"/>
          <w:szCs w:val="24"/>
          <w:lang w:val="en-US"/>
        </w:rPr>
        <w:t>L.T. Malaya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ass.prof. Kovalyova Yu.O.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860AE6">
        <w:rPr>
          <w:rFonts w:ascii="Times New Roman" w:hAnsi="Times New Roman" w:cs="Times New Roman"/>
          <w:sz w:val="24"/>
          <w:szCs w:val="24"/>
          <w:lang w:val="en-US"/>
        </w:rPr>
        <w:t>To identify the correlation between carbohydrate metabolism and 24-hour blood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pressure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monitoring in patients with metabolic syndrome (MS).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48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medical records of the in-patient department of CGBC </w:t>
      </w:r>
      <w:r w:rsidRPr="00860AE6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860AE6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27 </w:t>
      </w:r>
      <w:r w:rsidRPr="00860AE6">
        <w:rPr>
          <w:rFonts w:ascii="Times New Roman" w:hAnsi="Times New Roman" w:cs="Times New Roman"/>
          <w:sz w:val="24"/>
          <w:szCs w:val="24"/>
          <w:lang w:val="en-US"/>
        </w:rPr>
        <w:t>for 2017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sz w:val="24"/>
          <w:szCs w:val="24"/>
          <w:lang w:val="en-US"/>
        </w:rPr>
        <w:t>(20 men, 28 women) with arterial hypertension with MS were analyzed, the average age of the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examined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patients was 56 ± 12 years. The presence of MS </w:t>
      </w: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was verified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according to IDF criteria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sz w:val="24"/>
          <w:szCs w:val="24"/>
          <w:lang w:val="en-US"/>
        </w:rPr>
        <w:t>(2005). SMAD, determination of fasting blood glucose (GKN) level and glycosylated hemoglobin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level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(HbA1C) were performed.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  <w:r w:rsidRPr="00860AE6">
        <w:rPr>
          <w:rFonts w:ascii="Calibri" w:hAnsi="Calibri" w:cs="Calibri"/>
          <w:lang w:val="en-US"/>
        </w:rPr>
        <w:t>127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860AE6">
        <w:rPr>
          <w:rFonts w:ascii="Times New Roman" w:hAnsi="Times New Roman" w:cs="Times New Roman"/>
          <w:sz w:val="24"/>
          <w:szCs w:val="24"/>
          <w:lang w:val="en-US"/>
        </w:rPr>
        <w:t>In 26 (54.2%) cases, the normal level of HCV was revealed, and after a load, a violation of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glucose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tolerance - in 22 (45.8%) patients. In patients with increased glucose tolerance, the mean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daily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blood pressure (BP) was (153.62 ± 9.37) / (91.19 ± 1.55) mm Hg, the maximum - (177.63 ±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7.82 )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/ (111.81 ± 3, 66) mm Hg, with normal blood glucose level- (146.5 ± 7.25) / (90.09 ± 2.38) and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(169.65 ± 6.47) / (106.25 ± 4.67) mm Hg. respectively. The daily profile of deepr </w:t>
      </w: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was found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in 15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sz w:val="24"/>
          <w:szCs w:val="24"/>
          <w:lang w:val="en-US"/>
        </w:rPr>
        <w:t>(31.25%) among the patients examined, mainly in patients with normal blood glucose level, the overdeeper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variant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was found in 1 (2.08%), the night-peaker profile in 8 (16.67%) cases. The most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common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was the daily profile of "non-dipper" - in 24 (50.0%) cases, mainly in patients with impaired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glucose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tolerance. An increase in HbA1c&gt; </w:t>
      </w: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6.0%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was found in 21 (43.75%) patients. Among patients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with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increased glucose tolerance, an increase in HbA1c level was detected in 12 (54.55%) patients,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with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normal blood glucose level in 9 (34.62%) cases. Between the HbA1c index and the fasting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glucose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level and after 2 hours after the load, a straight line of medium strength is established for the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correlation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relationship: the correlation coefficient (r) is 0.38 and 0.36, respectively.</w:t>
      </w:r>
    </w:p>
    <w:p w:rsidR="00860AE6" w:rsidRPr="00860AE6" w:rsidRDefault="00860AE6" w:rsidP="00860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60AE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860AE6">
        <w:rPr>
          <w:rFonts w:ascii="Times New Roman" w:hAnsi="Times New Roman" w:cs="Times New Roman"/>
          <w:sz w:val="24"/>
          <w:szCs w:val="24"/>
          <w:lang w:val="en-US"/>
        </w:rPr>
        <w:t>High blood pressure and adverse daily profile of blood pressure "non-dipper" are</w:t>
      </w:r>
    </w:p>
    <w:p w:rsidR="000159F7" w:rsidRPr="00860AE6" w:rsidRDefault="00860AE6" w:rsidP="00860AE6">
      <w:pPr>
        <w:rPr>
          <w:lang w:val="en-US"/>
        </w:rPr>
      </w:pPr>
      <w:proofErr w:type="gramStart"/>
      <w:r w:rsidRPr="00860AE6">
        <w:rPr>
          <w:rFonts w:ascii="Times New Roman" w:hAnsi="Times New Roman" w:cs="Times New Roman"/>
          <w:sz w:val="24"/>
          <w:szCs w:val="24"/>
          <w:lang w:val="en-US"/>
        </w:rPr>
        <w:t>observed</w:t>
      </w:r>
      <w:proofErr w:type="gramEnd"/>
      <w:r w:rsidRPr="00860AE6">
        <w:rPr>
          <w:rFonts w:ascii="Times New Roman" w:hAnsi="Times New Roman" w:cs="Times New Roman"/>
          <w:sz w:val="24"/>
          <w:szCs w:val="24"/>
          <w:lang w:val="en-US"/>
        </w:rPr>
        <w:t xml:space="preserve"> in patients with impaired glucose tolerance.</w:t>
      </w:r>
      <w:bookmarkStart w:id="0" w:name="_GoBack"/>
      <w:bookmarkEnd w:id="0"/>
    </w:p>
    <w:sectPr w:rsidR="000159F7" w:rsidRPr="00860A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-Italic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AE6"/>
    <w:rsid w:val="001F000D"/>
    <w:rsid w:val="006F389D"/>
    <w:rsid w:val="00860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A65A2F-F90A-450F-BDCB-454AC7449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351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2018-10-28T09:46:00Z</dcterms:created>
  <dcterms:modified xsi:type="dcterms:W3CDTF">2018-10-28T09:49:00Z</dcterms:modified>
</cp:coreProperties>
</file>